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8B1" w:rsidRPr="00970E6D" w:rsidRDefault="001B68B1" w:rsidP="001B68B1">
      <w:pPr>
        <w:tabs>
          <w:tab w:val="clear" w:pos="567"/>
        </w:tabs>
        <w:jc w:val="center"/>
        <w:rPr>
          <w:b/>
          <w:bCs/>
        </w:rPr>
      </w:pPr>
      <w:bookmarkStart w:id="0" w:name="Content"/>
      <w:bookmarkStart w:id="1" w:name="_Toc106707122"/>
      <w:bookmarkStart w:id="2" w:name="_Toc155675722"/>
      <w:bookmarkStart w:id="3" w:name="_Toc155675934"/>
      <w:bookmarkStart w:id="4" w:name="_Toc155675975"/>
      <w:bookmarkStart w:id="5" w:name="_Toc155676245"/>
      <w:bookmarkStart w:id="6" w:name="_Toc174415768"/>
      <w:bookmarkStart w:id="7" w:name="_Toc106707725"/>
      <w:bookmarkStart w:id="8" w:name="_Toc155675935"/>
      <w:bookmarkStart w:id="9" w:name="_Toc174415770"/>
      <w:bookmarkStart w:id="10" w:name="_Toc174415844"/>
      <w:bookmarkStart w:id="11" w:name="_Toc174415935"/>
      <w:bookmarkStart w:id="12" w:name="_Toc174416620"/>
      <w:bookmarkStart w:id="13" w:name="_Toc174416662"/>
      <w:bookmarkStart w:id="14" w:name="_Toc174416675"/>
      <w:bookmarkEnd w:id="0"/>
      <w:r w:rsidRPr="00970E6D">
        <w:rPr>
          <w:noProof/>
          <w:lang w:eastAsia="en-AU"/>
        </w:rPr>
        <w:drawing>
          <wp:inline distT="0" distB="0" distL="0" distR="0" wp14:anchorId="52DE40E3" wp14:editId="336C1EE8">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A0C0E" w:rsidP="001B68B1">
      <w:pPr>
        <w:tabs>
          <w:tab w:val="clear" w:pos="567"/>
        </w:tabs>
        <w:jc w:val="center"/>
        <w:rPr>
          <w:bCs/>
          <w:sz w:val="40"/>
          <w:szCs w:val="40"/>
        </w:rPr>
      </w:pPr>
      <w:r>
        <w:rPr>
          <w:b/>
          <w:sz w:val="40"/>
          <w:szCs w:val="40"/>
        </w:rPr>
        <w:t>P</w:t>
      </w:r>
      <w:r w:rsidR="00AA6815">
        <w:rPr>
          <w:b/>
          <w:sz w:val="40"/>
          <w:szCs w:val="40"/>
        </w:rPr>
        <w:t>OST-SECONDARY</w:t>
      </w:r>
      <w:r>
        <w:rPr>
          <w:b/>
          <w:sz w:val="40"/>
          <w:szCs w:val="40"/>
        </w:rPr>
        <w:t xml:space="preserve"> </w:t>
      </w:r>
      <w:r w:rsidR="00AA6815">
        <w:rPr>
          <w:b/>
          <w:sz w:val="40"/>
          <w:szCs w:val="40"/>
        </w:rPr>
        <w:t>EDUCATION</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4A61B0" w:rsidP="001B68B1">
      <w:pPr>
        <w:tabs>
          <w:tab w:val="clear" w:pos="567"/>
        </w:tabs>
        <w:jc w:val="center"/>
        <w:rPr>
          <w:b/>
          <w:sz w:val="40"/>
          <w:szCs w:val="40"/>
        </w:rPr>
      </w:pPr>
      <w:r>
        <w:rPr>
          <w:b/>
          <w:sz w:val="40"/>
          <w:szCs w:val="40"/>
        </w:rPr>
        <w:t xml:space="preserve">STAFF </w:t>
      </w:r>
      <w:r w:rsidR="001B68B1">
        <w:rPr>
          <w:b/>
          <w:sz w:val="40"/>
          <w:szCs w:val="40"/>
        </w:rPr>
        <w:t>DRAFT ASSESSMENT PAPER</w:t>
      </w:r>
      <w:r w:rsidR="001B68B1">
        <w:rPr>
          <w:b/>
          <w:sz w:val="40"/>
          <w:szCs w:val="40"/>
        </w:rPr>
        <w:br/>
        <w:t>CGC 20</w:t>
      </w:r>
      <w:r w:rsidR="001B68B1" w:rsidRPr="00970E6D">
        <w:rPr>
          <w:b/>
          <w:sz w:val="40"/>
          <w:szCs w:val="40"/>
        </w:rPr>
        <w:t>1</w:t>
      </w:r>
      <w:r w:rsidR="001B68B1">
        <w:rPr>
          <w:b/>
          <w:sz w:val="40"/>
          <w:szCs w:val="40"/>
        </w:rPr>
        <w:t>8</w:t>
      </w:r>
      <w:r w:rsidR="001B68B1" w:rsidRPr="00970E6D">
        <w:rPr>
          <w:b/>
          <w:sz w:val="40"/>
          <w:szCs w:val="40"/>
        </w:rPr>
        <w:t>-</w:t>
      </w:r>
      <w:r w:rsidR="005D782A">
        <w:rPr>
          <w:b/>
          <w:sz w:val="40"/>
          <w:szCs w:val="40"/>
        </w:rPr>
        <w:t>01/</w:t>
      </w:r>
      <w:r w:rsidR="00245744">
        <w:rPr>
          <w:b/>
          <w:sz w:val="40"/>
          <w:szCs w:val="40"/>
        </w:rPr>
        <w:t>1</w:t>
      </w:r>
      <w:r w:rsidR="001304DC">
        <w:rPr>
          <w:b/>
          <w:sz w:val="40"/>
          <w:szCs w:val="40"/>
        </w:rPr>
        <w:t>1</w:t>
      </w:r>
      <w:r w:rsidR="001B68B1">
        <w:rPr>
          <w:b/>
          <w:sz w:val="40"/>
          <w:szCs w:val="40"/>
        </w:rPr>
        <w:t>-S</w:t>
      </w: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b/>
          <w:sz w:val="40"/>
          <w:szCs w:val="40"/>
        </w:rPr>
      </w:pPr>
    </w:p>
    <w:p w:rsidR="001B68B1" w:rsidRPr="00970E6D" w:rsidRDefault="001B68B1" w:rsidP="001B68B1">
      <w:pPr>
        <w:tabs>
          <w:tab w:val="clear" w:pos="567"/>
        </w:tabs>
        <w:jc w:val="center"/>
        <w:rPr>
          <w:sz w:val="40"/>
          <w:szCs w:val="40"/>
        </w:rPr>
      </w:pPr>
    </w:p>
    <w:p w:rsidR="001B68B1" w:rsidRPr="00970E6D" w:rsidRDefault="001B68B1" w:rsidP="001B68B1">
      <w:pPr>
        <w:tabs>
          <w:tab w:val="clear" w:pos="567"/>
        </w:tabs>
        <w:jc w:val="right"/>
        <w:rPr>
          <w:b/>
          <w:sz w:val="28"/>
          <w:szCs w:val="28"/>
        </w:rPr>
      </w:pPr>
      <w:r>
        <w:rPr>
          <w:b/>
          <w:sz w:val="28"/>
          <w:szCs w:val="28"/>
        </w:rPr>
        <w:t>APRIL 2018</w:t>
      </w:r>
    </w:p>
    <w:p w:rsidR="001B68B1" w:rsidRPr="00970E6D" w:rsidRDefault="001B68B1" w:rsidP="001B68B1">
      <w:pPr>
        <w:tabs>
          <w:tab w:val="clear" w:pos="567"/>
        </w:tabs>
      </w:pPr>
    </w:p>
    <w:p w:rsidR="001B68B1" w:rsidRPr="00970E6D" w:rsidRDefault="001B68B1" w:rsidP="001B68B1">
      <w:pPr>
        <w:tabs>
          <w:tab w:val="clear" w:pos="567"/>
        </w:tabs>
        <w:sectPr w:rsidR="001B68B1" w:rsidRPr="00970E6D" w:rsidSect="00245744">
          <w:footerReference w:type="default" r:id="rId9"/>
          <w:footerReference w:type="first" r:id="rId10"/>
          <w:pgSz w:w="11899" w:h="16838" w:code="9"/>
          <w:pgMar w:top="1701" w:right="1474" w:bottom="1701" w:left="1474" w:header="709" w:footer="709" w:gutter="0"/>
          <w:cols w:space="708"/>
          <w:titlePg/>
          <w:docGrid w:linePitch="299"/>
        </w:sectPr>
      </w:pPr>
    </w:p>
    <w:tbl>
      <w:tblPr>
        <w:tblStyle w:val="TableGrid"/>
        <w:tblW w:w="5000" w:type="pct"/>
        <w:tblLook w:val="01E0" w:firstRow="1" w:lastRow="1" w:firstColumn="1" w:lastColumn="1" w:noHBand="0" w:noVBand="0"/>
      </w:tblPr>
      <w:tblGrid>
        <w:gridCol w:w="2943"/>
        <w:gridCol w:w="6224"/>
      </w:tblGrid>
      <w:tr w:rsidR="001B68B1" w:rsidRPr="00970E6D" w:rsidTr="00245744">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245744">
            <w:pPr>
              <w:tabs>
                <w:tab w:val="clear" w:pos="567"/>
              </w:tabs>
            </w:pPr>
            <w:r w:rsidRPr="00970E6D">
              <w:lastRenderedPageBreak/>
              <w:t>Paper issued</w:t>
            </w:r>
          </w:p>
        </w:tc>
        <w:tc>
          <w:tcPr>
            <w:tcW w:w="3395" w:type="pct"/>
            <w:tcBorders>
              <w:top w:val="single" w:sz="4" w:space="0" w:color="auto"/>
              <w:left w:val="single" w:sz="4" w:space="0" w:color="auto"/>
              <w:bottom w:val="single" w:sz="4" w:space="0" w:color="auto"/>
              <w:right w:val="single" w:sz="4" w:space="0" w:color="auto"/>
            </w:tcBorders>
          </w:tcPr>
          <w:p w:rsidR="001B68B1" w:rsidRPr="00970E6D" w:rsidRDefault="007B6B37" w:rsidP="00245744">
            <w:pPr>
              <w:tabs>
                <w:tab w:val="clear" w:pos="567"/>
              </w:tabs>
            </w:pPr>
            <w:r>
              <w:t>20 April 2018</w:t>
            </w:r>
          </w:p>
        </w:tc>
      </w:tr>
      <w:tr w:rsidR="001B68B1" w:rsidRPr="00970E6D" w:rsidTr="00245744">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245744">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rsidR="001B68B1" w:rsidRPr="00970E6D" w:rsidRDefault="007B6B37" w:rsidP="00245744">
            <w:pPr>
              <w:tabs>
                <w:tab w:val="clear" w:pos="567"/>
              </w:tabs>
            </w:pPr>
            <w:r w:rsidRPr="00420DC1">
              <w:t>Jacob Savage, 02 6229 8824, Jacob.savage@cgc.gov.au</w:t>
            </w:r>
          </w:p>
        </w:tc>
      </w:tr>
      <w:tr w:rsidR="001B68B1" w:rsidRPr="00970E6D" w:rsidTr="00245744">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245744">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rsidR="00F56572" w:rsidRDefault="007B6B37" w:rsidP="00245744">
            <w:pPr>
              <w:tabs>
                <w:tab w:val="clear" w:pos="567"/>
              </w:tabs>
            </w:pPr>
            <w:r>
              <w:t>31 August 2018</w:t>
            </w:r>
            <w:r w:rsidR="00F56572">
              <w:t>.</w:t>
            </w:r>
          </w:p>
          <w:p w:rsidR="001B68B1" w:rsidRPr="00970E6D" w:rsidRDefault="001B68B1" w:rsidP="00245744">
            <w:pPr>
              <w:tabs>
                <w:tab w:val="clear" w:pos="567"/>
              </w:tabs>
            </w:pPr>
            <w:r w:rsidRPr="00970E6D">
              <w:t xml:space="preserve">Submissions should be emailed in Word format to </w:t>
            </w:r>
            <w:hyperlink r:id="rId11" w:history="1">
              <w:r w:rsidRPr="00970E6D">
                <w:rPr>
                  <w:rStyle w:val="Hyperlink"/>
                </w:rPr>
                <w:t>secretary@cgc.gov.au</w:t>
              </w:r>
            </w:hyperlink>
            <w:r w:rsidRPr="00970E6D">
              <w:t xml:space="preserve"> .</w:t>
            </w:r>
          </w:p>
          <w:p w:rsidR="001B68B1" w:rsidRPr="00970E6D" w:rsidRDefault="001B68B1" w:rsidP="00245744">
            <w:pPr>
              <w:tabs>
                <w:tab w:val="clear" w:pos="567"/>
              </w:tabs>
            </w:pPr>
            <w:r w:rsidRPr="00970E6D">
              <w:t xml:space="preserve">Submissions of more than </w:t>
            </w:r>
            <w:r>
              <w:t>10</w:t>
            </w:r>
            <w:r w:rsidRPr="00970E6D">
              <w:t xml:space="preserve"> pages in length should include a summary section.</w:t>
            </w:r>
          </w:p>
        </w:tc>
      </w:tr>
      <w:tr w:rsidR="001B68B1" w:rsidRPr="00970E6D" w:rsidTr="00245744">
        <w:tc>
          <w:tcPr>
            <w:tcW w:w="1605" w:type="pct"/>
            <w:tcBorders>
              <w:top w:val="single" w:sz="4" w:space="0" w:color="auto"/>
              <w:left w:val="single" w:sz="4" w:space="0" w:color="auto"/>
              <w:bottom w:val="single" w:sz="4" w:space="0" w:color="auto"/>
              <w:right w:val="single" w:sz="4" w:space="0" w:color="auto"/>
            </w:tcBorders>
          </w:tcPr>
          <w:p w:rsidR="001B68B1" w:rsidRPr="00970E6D" w:rsidRDefault="001B68B1" w:rsidP="00245744">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1B68B1" w:rsidRPr="00CF1294" w:rsidRDefault="00F77905" w:rsidP="00245744">
            <w:pPr>
              <w:tabs>
                <w:tab w:val="clear" w:pos="567"/>
              </w:tabs>
            </w:pPr>
            <w:r>
              <w:t>It is the C</w:t>
            </w:r>
            <w:r w:rsidR="001B68B1" w:rsidRPr="00CF1294">
              <w:t xml:space="preserve">ommission’s normal practice to make State submissions available on its website under the CC BY licence, allowing free use of content by third parties. </w:t>
            </w:r>
          </w:p>
          <w:p w:rsidR="001B68B1" w:rsidRPr="00CF1294" w:rsidRDefault="001B68B1" w:rsidP="00245744">
            <w:pPr>
              <w:tabs>
                <w:tab w:val="clear" w:pos="567"/>
              </w:tabs>
            </w:pPr>
            <w:r w:rsidRPr="00CF1294">
              <w:rPr>
                <w:noProof/>
                <w:lang w:eastAsia="en-AU"/>
              </w:rPr>
              <w:drawing>
                <wp:inline distT="0" distB="0" distL="0" distR="0" wp14:anchorId="55EA66F9" wp14:editId="1C7D3D3E">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1B68B1" w:rsidRPr="00CF1294" w:rsidRDefault="001B68B1" w:rsidP="00245744">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1B68B1" w:rsidRPr="00970E6D" w:rsidRDefault="001B68B1" w:rsidP="00245744">
            <w:pPr>
              <w:tabs>
                <w:tab w:val="clear" w:pos="567"/>
              </w:tabs>
            </w:pPr>
            <w:r w:rsidRPr="00CF1294">
              <w:t>Confidential material contained in submissions must be clearly identified or included in separate attachment/s, and details provided in the covering email. Identified confidential materia</w:t>
            </w:r>
            <w:r w:rsidR="00F56572">
              <w:t>l will not be published on the C</w:t>
            </w:r>
            <w:r w:rsidRPr="00CF1294">
              <w:t>ommission’s website.</w:t>
            </w:r>
          </w:p>
        </w:tc>
      </w:tr>
    </w:tbl>
    <w:p w:rsidR="001B68B1" w:rsidRPr="00970E6D" w:rsidRDefault="001B68B1" w:rsidP="001B68B1">
      <w:pPr>
        <w:tabs>
          <w:tab w:val="clear" w:pos="567"/>
        </w:tabs>
        <w:sectPr w:rsidR="001B68B1" w:rsidRPr="00970E6D" w:rsidSect="00245744">
          <w:headerReference w:type="first" r:id="rId14"/>
          <w:footerReference w:type="first" r:id="rId15"/>
          <w:pgSz w:w="11899" w:h="16838" w:code="9"/>
          <w:pgMar w:top="1701" w:right="1474" w:bottom="1701" w:left="1474" w:header="709" w:footer="709" w:gutter="0"/>
          <w:cols w:space="708"/>
          <w:vAlign w:val="bottom"/>
          <w:titlePg/>
          <w:docGrid w:linePitch="299"/>
        </w:sectPr>
      </w:pPr>
    </w:p>
    <w:p w:rsidR="001B68B1" w:rsidRPr="00970E6D" w:rsidRDefault="001B68B1" w:rsidP="001B68B1">
      <w:pPr>
        <w:pStyle w:val="Heading1"/>
      </w:pPr>
      <w:r w:rsidRPr="00970E6D">
        <w:lastRenderedPageBreak/>
        <w:t>C</w:t>
      </w:r>
      <w:bookmarkEnd w:id="1"/>
      <w:bookmarkEnd w:id="2"/>
      <w:bookmarkEnd w:id="3"/>
      <w:bookmarkEnd w:id="4"/>
      <w:bookmarkEnd w:id="5"/>
      <w:bookmarkEnd w:id="6"/>
      <w:r>
        <w:t>ontents</w:t>
      </w:r>
    </w:p>
    <w:p w:rsidR="001B68B1" w:rsidRPr="00970E6D" w:rsidRDefault="001B68B1" w:rsidP="001B68B1">
      <w:pPr>
        <w:tabs>
          <w:tab w:val="clear" w:pos="567"/>
        </w:tabs>
      </w:pPr>
    </w:p>
    <w:p w:rsidR="00846728" w:rsidRDefault="007611E5" w:rsidP="00846728">
      <w:pPr>
        <w:pStyle w:val="TOC1"/>
        <w:tabs>
          <w:tab w:val="left" w:pos="567"/>
        </w:tabs>
        <w:rPr>
          <w:noProof/>
        </w:rPr>
      </w:pPr>
      <w:r>
        <w:tab/>
      </w:r>
      <w:r w:rsidR="00F77905">
        <w:fldChar w:fldCharType="begin"/>
      </w:r>
      <w:r w:rsidR="00F77905">
        <w:instrText xml:space="preserve"> TOC \o "2-2" \f \h \z \u \t "Heading 2,1,Heading 3,3,Heading 4,4" </w:instrText>
      </w:r>
      <w:r w:rsidR="00F77905">
        <w:fldChar w:fldCharType="separate"/>
      </w:r>
      <w:r w:rsidR="00846728">
        <w:rPr>
          <w:rStyle w:val="Hyperlink"/>
          <w:noProof/>
        </w:rPr>
        <w:fldChar w:fldCharType="begin"/>
      </w:r>
      <w:r w:rsidR="00846728">
        <w:rPr>
          <w:rStyle w:val="Hyperlink"/>
          <w:noProof/>
        </w:rPr>
        <w:instrText xml:space="preserve"> TOC \f \h \z \u \t "Heading 2,1,Heading 3,1,Heading 4,3" </w:instrText>
      </w:r>
      <w:r w:rsidR="00846728">
        <w:rPr>
          <w:rStyle w:val="Hyperlink"/>
          <w:noProof/>
        </w:rPr>
        <w:fldChar w:fldCharType="separate"/>
      </w:r>
    </w:p>
    <w:p w:rsidR="00846728" w:rsidRDefault="00CD1BBF" w:rsidP="00846728">
      <w:pPr>
        <w:pStyle w:val="TOC1"/>
        <w:tabs>
          <w:tab w:val="left" w:pos="567"/>
        </w:tabs>
        <w:rPr>
          <w:rFonts w:eastAsiaTheme="minorEastAsia"/>
          <w:b w:val="0"/>
          <w:bCs w:val="0"/>
          <w:caps w:val="0"/>
          <w:noProof/>
          <w:sz w:val="22"/>
          <w:szCs w:val="22"/>
          <w:lang w:eastAsia="en-AU"/>
        </w:rPr>
      </w:pPr>
      <w:hyperlink w:anchor="_Toc511381490" w:history="1">
        <w:r w:rsidR="00846728" w:rsidRPr="0026652E">
          <w:rPr>
            <w:rStyle w:val="Hyperlink"/>
            <w:noProof/>
          </w:rPr>
          <w:t>Post-Secondary education</w:t>
        </w:r>
        <w:r w:rsidR="00846728">
          <w:rPr>
            <w:noProof/>
            <w:webHidden/>
          </w:rPr>
          <w:tab/>
        </w:r>
        <w:r w:rsidR="00846728">
          <w:rPr>
            <w:noProof/>
            <w:webHidden/>
          </w:rPr>
          <w:fldChar w:fldCharType="begin"/>
        </w:r>
        <w:r w:rsidR="00846728">
          <w:rPr>
            <w:noProof/>
            <w:webHidden/>
          </w:rPr>
          <w:instrText xml:space="preserve"> PAGEREF _Toc511381490 \h </w:instrText>
        </w:r>
        <w:r w:rsidR="00846728">
          <w:rPr>
            <w:noProof/>
            <w:webHidden/>
          </w:rPr>
        </w:r>
        <w:r w:rsidR="00846728">
          <w:rPr>
            <w:noProof/>
            <w:webHidden/>
          </w:rPr>
          <w:fldChar w:fldCharType="separate"/>
        </w:r>
        <w:r w:rsidR="00846728">
          <w:rPr>
            <w:noProof/>
            <w:webHidden/>
          </w:rPr>
          <w:t>1</w:t>
        </w:r>
        <w:r w:rsidR="00846728">
          <w:rPr>
            <w:noProof/>
            <w:webHidden/>
          </w:rPr>
          <w:fldChar w:fldCharType="end"/>
        </w:r>
      </w:hyperlink>
    </w:p>
    <w:p w:rsidR="00846728" w:rsidRDefault="00CD1BBF" w:rsidP="00846728">
      <w:pPr>
        <w:pStyle w:val="TOC1"/>
        <w:tabs>
          <w:tab w:val="left" w:pos="567"/>
        </w:tabs>
        <w:rPr>
          <w:rFonts w:eastAsiaTheme="minorEastAsia"/>
          <w:b w:val="0"/>
          <w:bCs w:val="0"/>
          <w:caps w:val="0"/>
          <w:noProof/>
          <w:sz w:val="22"/>
          <w:szCs w:val="22"/>
          <w:lang w:eastAsia="en-AU"/>
        </w:rPr>
      </w:pPr>
      <w:hyperlink w:anchor="_Toc511381491" w:history="1">
        <w:r w:rsidR="00846728" w:rsidRPr="0026652E">
          <w:rPr>
            <w:rStyle w:val="Hyperlink"/>
            <w:noProof/>
          </w:rPr>
          <w:t>2015 REVIEW APPROACH</w:t>
        </w:r>
        <w:r w:rsidR="00846728">
          <w:rPr>
            <w:noProof/>
            <w:webHidden/>
          </w:rPr>
          <w:tab/>
        </w:r>
        <w:r w:rsidR="00846728">
          <w:rPr>
            <w:noProof/>
            <w:webHidden/>
          </w:rPr>
          <w:fldChar w:fldCharType="begin"/>
        </w:r>
        <w:r w:rsidR="00846728">
          <w:rPr>
            <w:noProof/>
            <w:webHidden/>
          </w:rPr>
          <w:instrText xml:space="preserve"> PAGEREF _Toc511381491 \h </w:instrText>
        </w:r>
        <w:r w:rsidR="00846728">
          <w:rPr>
            <w:noProof/>
            <w:webHidden/>
          </w:rPr>
        </w:r>
        <w:r w:rsidR="00846728">
          <w:rPr>
            <w:noProof/>
            <w:webHidden/>
          </w:rPr>
          <w:fldChar w:fldCharType="separate"/>
        </w:r>
        <w:r w:rsidR="00846728">
          <w:rPr>
            <w:noProof/>
            <w:webHidden/>
          </w:rPr>
          <w:t>1</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2" w:history="1">
        <w:r w:rsidR="00846728" w:rsidRPr="0026652E">
          <w:rPr>
            <w:rStyle w:val="Hyperlink"/>
            <w:noProof/>
          </w:rPr>
          <w:t>Services included in this category</w:t>
        </w:r>
        <w:r w:rsidR="00846728">
          <w:rPr>
            <w:noProof/>
            <w:webHidden/>
          </w:rPr>
          <w:tab/>
        </w:r>
        <w:r w:rsidR="00846728">
          <w:rPr>
            <w:noProof/>
            <w:webHidden/>
          </w:rPr>
          <w:fldChar w:fldCharType="begin"/>
        </w:r>
        <w:r w:rsidR="00846728">
          <w:rPr>
            <w:noProof/>
            <w:webHidden/>
          </w:rPr>
          <w:instrText xml:space="preserve"> PAGEREF _Toc511381492 \h </w:instrText>
        </w:r>
        <w:r w:rsidR="00846728">
          <w:rPr>
            <w:noProof/>
            <w:webHidden/>
          </w:rPr>
        </w:r>
        <w:r w:rsidR="00846728">
          <w:rPr>
            <w:noProof/>
            <w:webHidden/>
          </w:rPr>
          <w:fldChar w:fldCharType="separate"/>
        </w:r>
        <w:r w:rsidR="00846728">
          <w:rPr>
            <w:noProof/>
            <w:webHidden/>
          </w:rPr>
          <w:t>1</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3" w:history="1">
        <w:r w:rsidR="00846728" w:rsidRPr="0026652E">
          <w:rPr>
            <w:rStyle w:val="Hyperlink"/>
            <w:noProof/>
          </w:rPr>
          <w:t>Category expenses</w:t>
        </w:r>
        <w:r w:rsidR="00846728">
          <w:rPr>
            <w:noProof/>
            <w:webHidden/>
          </w:rPr>
          <w:tab/>
        </w:r>
        <w:r w:rsidR="00846728">
          <w:rPr>
            <w:noProof/>
            <w:webHidden/>
          </w:rPr>
          <w:fldChar w:fldCharType="begin"/>
        </w:r>
        <w:r w:rsidR="00846728">
          <w:rPr>
            <w:noProof/>
            <w:webHidden/>
          </w:rPr>
          <w:instrText xml:space="preserve"> PAGEREF _Toc511381493 \h </w:instrText>
        </w:r>
        <w:r w:rsidR="00846728">
          <w:rPr>
            <w:noProof/>
            <w:webHidden/>
          </w:rPr>
        </w:r>
        <w:r w:rsidR="00846728">
          <w:rPr>
            <w:noProof/>
            <w:webHidden/>
          </w:rPr>
          <w:fldChar w:fldCharType="separate"/>
        </w:r>
        <w:r w:rsidR="00846728">
          <w:rPr>
            <w:noProof/>
            <w:webHidden/>
          </w:rPr>
          <w:t>1</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4" w:history="1">
        <w:r w:rsidR="00846728" w:rsidRPr="0026652E">
          <w:rPr>
            <w:rStyle w:val="Hyperlink"/>
            <w:noProof/>
          </w:rPr>
          <w:t>Data sources and assessment methods</w:t>
        </w:r>
        <w:r w:rsidR="00846728">
          <w:rPr>
            <w:noProof/>
            <w:webHidden/>
          </w:rPr>
          <w:tab/>
        </w:r>
        <w:r w:rsidR="00846728">
          <w:rPr>
            <w:noProof/>
            <w:webHidden/>
          </w:rPr>
          <w:fldChar w:fldCharType="begin"/>
        </w:r>
        <w:r w:rsidR="00846728">
          <w:rPr>
            <w:noProof/>
            <w:webHidden/>
          </w:rPr>
          <w:instrText xml:space="preserve"> PAGEREF _Toc511381494 \h </w:instrText>
        </w:r>
        <w:r w:rsidR="00846728">
          <w:rPr>
            <w:noProof/>
            <w:webHidden/>
          </w:rPr>
        </w:r>
        <w:r w:rsidR="00846728">
          <w:rPr>
            <w:noProof/>
            <w:webHidden/>
          </w:rPr>
          <w:fldChar w:fldCharType="separate"/>
        </w:r>
        <w:r w:rsidR="00846728">
          <w:rPr>
            <w:noProof/>
            <w:webHidden/>
          </w:rPr>
          <w:t>1</w:t>
        </w:r>
        <w:r w:rsidR="00846728">
          <w:rPr>
            <w:noProof/>
            <w:webHidden/>
          </w:rPr>
          <w:fldChar w:fldCharType="end"/>
        </w:r>
      </w:hyperlink>
    </w:p>
    <w:p w:rsidR="00846728" w:rsidRDefault="00CD1BBF" w:rsidP="00846728">
      <w:pPr>
        <w:pStyle w:val="TOC1"/>
        <w:tabs>
          <w:tab w:val="left" w:pos="567"/>
        </w:tabs>
        <w:rPr>
          <w:rFonts w:eastAsiaTheme="minorEastAsia"/>
          <w:b w:val="0"/>
          <w:bCs w:val="0"/>
          <w:caps w:val="0"/>
          <w:noProof/>
          <w:sz w:val="22"/>
          <w:szCs w:val="22"/>
          <w:lang w:eastAsia="en-AU"/>
        </w:rPr>
      </w:pPr>
      <w:hyperlink w:anchor="_Toc511381495" w:history="1">
        <w:r w:rsidR="00846728" w:rsidRPr="0026652E">
          <w:rPr>
            <w:rStyle w:val="Hyperlink"/>
            <w:noProof/>
          </w:rPr>
          <w:t>ISSUES AND ANALYSIS</w:t>
        </w:r>
        <w:r w:rsidR="00846728">
          <w:rPr>
            <w:noProof/>
            <w:webHidden/>
          </w:rPr>
          <w:tab/>
        </w:r>
        <w:r w:rsidR="00846728">
          <w:rPr>
            <w:noProof/>
            <w:webHidden/>
          </w:rPr>
          <w:fldChar w:fldCharType="begin"/>
        </w:r>
        <w:r w:rsidR="00846728">
          <w:rPr>
            <w:noProof/>
            <w:webHidden/>
          </w:rPr>
          <w:instrText xml:space="preserve"> PAGEREF _Toc511381495 \h </w:instrText>
        </w:r>
        <w:r w:rsidR="00846728">
          <w:rPr>
            <w:noProof/>
            <w:webHidden/>
          </w:rPr>
        </w:r>
        <w:r w:rsidR="00846728">
          <w:rPr>
            <w:noProof/>
            <w:webHidden/>
          </w:rPr>
          <w:fldChar w:fldCharType="separate"/>
        </w:r>
        <w:r w:rsidR="00846728">
          <w:rPr>
            <w:noProof/>
            <w:webHidden/>
          </w:rPr>
          <w:t>3</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6" w:history="1">
        <w:r w:rsidR="00846728" w:rsidRPr="0026652E">
          <w:rPr>
            <w:rStyle w:val="Hyperlink"/>
            <w:noProof/>
          </w:rPr>
          <w:t>Indigenous cost loading</w:t>
        </w:r>
        <w:r w:rsidR="00846728">
          <w:rPr>
            <w:noProof/>
            <w:webHidden/>
          </w:rPr>
          <w:tab/>
        </w:r>
        <w:r w:rsidR="00846728">
          <w:rPr>
            <w:noProof/>
            <w:webHidden/>
          </w:rPr>
          <w:fldChar w:fldCharType="begin"/>
        </w:r>
        <w:r w:rsidR="00846728">
          <w:rPr>
            <w:noProof/>
            <w:webHidden/>
          </w:rPr>
          <w:instrText xml:space="preserve"> PAGEREF _Toc511381496 \h </w:instrText>
        </w:r>
        <w:r w:rsidR="00846728">
          <w:rPr>
            <w:noProof/>
            <w:webHidden/>
          </w:rPr>
        </w:r>
        <w:r w:rsidR="00846728">
          <w:rPr>
            <w:noProof/>
            <w:webHidden/>
          </w:rPr>
          <w:fldChar w:fldCharType="separate"/>
        </w:r>
        <w:r w:rsidR="00846728">
          <w:rPr>
            <w:noProof/>
            <w:webHidden/>
          </w:rPr>
          <w:t>3</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7" w:history="1">
        <w:r w:rsidR="00846728" w:rsidRPr="0026652E">
          <w:rPr>
            <w:rStyle w:val="Hyperlink"/>
            <w:noProof/>
          </w:rPr>
          <w:t>Remoteness cost loadings</w:t>
        </w:r>
        <w:r w:rsidR="00846728">
          <w:rPr>
            <w:noProof/>
            <w:webHidden/>
          </w:rPr>
          <w:tab/>
        </w:r>
        <w:r w:rsidR="00846728">
          <w:rPr>
            <w:noProof/>
            <w:webHidden/>
          </w:rPr>
          <w:fldChar w:fldCharType="begin"/>
        </w:r>
        <w:r w:rsidR="00846728">
          <w:rPr>
            <w:noProof/>
            <w:webHidden/>
          </w:rPr>
          <w:instrText xml:space="preserve"> PAGEREF _Toc511381497 \h </w:instrText>
        </w:r>
        <w:r w:rsidR="00846728">
          <w:rPr>
            <w:noProof/>
            <w:webHidden/>
          </w:rPr>
        </w:r>
        <w:r w:rsidR="00846728">
          <w:rPr>
            <w:noProof/>
            <w:webHidden/>
          </w:rPr>
          <w:fldChar w:fldCharType="separate"/>
        </w:r>
        <w:r w:rsidR="00846728">
          <w:rPr>
            <w:noProof/>
            <w:webHidden/>
          </w:rPr>
          <w:t>4</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8" w:history="1">
        <w:r w:rsidR="00846728" w:rsidRPr="0026652E">
          <w:rPr>
            <w:rStyle w:val="Hyperlink"/>
            <w:noProof/>
          </w:rPr>
          <w:t>Qualification level loading</w:t>
        </w:r>
        <w:r w:rsidR="00846728">
          <w:rPr>
            <w:noProof/>
            <w:webHidden/>
          </w:rPr>
          <w:tab/>
        </w:r>
        <w:r w:rsidR="00846728">
          <w:rPr>
            <w:noProof/>
            <w:webHidden/>
          </w:rPr>
          <w:fldChar w:fldCharType="begin"/>
        </w:r>
        <w:r w:rsidR="00846728">
          <w:rPr>
            <w:noProof/>
            <w:webHidden/>
          </w:rPr>
          <w:instrText xml:space="preserve"> PAGEREF _Toc511381498 \h </w:instrText>
        </w:r>
        <w:r w:rsidR="00846728">
          <w:rPr>
            <w:noProof/>
            <w:webHidden/>
          </w:rPr>
        </w:r>
        <w:r w:rsidR="00846728">
          <w:rPr>
            <w:noProof/>
            <w:webHidden/>
          </w:rPr>
          <w:fldChar w:fldCharType="separate"/>
        </w:r>
        <w:r w:rsidR="00846728">
          <w:rPr>
            <w:noProof/>
            <w:webHidden/>
          </w:rPr>
          <w:t>5</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499" w:history="1">
        <w:r w:rsidR="00846728" w:rsidRPr="0026652E">
          <w:rPr>
            <w:rStyle w:val="Hyperlink"/>
            <w:noProof/>
          </w:rPr>
          <w:t>Industry mix</w:t>
        </w:r>
        <w:r w:rsidR="00846728">
          <w:rPr>
            <w:noProof/>
            <w:webHidden/>
          </w:rPr>
          <w:tab/>
        </w:r>
        <w:r w:rsidR="00846728">
          <w:rPr>
            <w:noProof/>
            <w:webHidden/>
          </w:rPr>
          <w:fldChar w:fldCharType="begin"/>
        </w:r>
        <w:r w:rsidR="00846728">
          <w:rPr>
            <w:noProof/>
            <w:webHidden/>
          </w:rPr>
          <w:instrText xml:space="preserve"> PAGEREF _Toc511381499 \h </w:instrText>
        </w:r>
        <w:r w:rsidR="00846728">
          <w:rPr>
            <w:noProof/>
            <w:webHidden/>
          </w:rPr>
        </w:r>
        <w:r w:rsidR="00846728">
          <w:rPr>
            <w:noProof/>
            <w:webHidden/>
          </w:rPr>
          <w:fldChar w:fldCharType="separate"/>
        </w:r>
        <w:r w:rsidR="00846728">
          <w:rPr>
            <w:noProof/>
            <w:webHidden/>
          </w:rPr>
          <w:t>6</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500" w:history="1">
        <w:r w:rsidR="00846728" w:rsidRPr="0026652E">
          <w:rPr>
            <w:rStyle w:val="Hyperlink"/>
            <w:noProof/>
          </w:rPr>
          <w:t>Public RTO loading</w:t>
        </w:r>
        <w:r w:rsidR="00846728">
          <w:rPr>
            <w:noProof/>
            <w:webHidden/>
          </w:rPr>
          <w:tab/>
        </w:r>
        <w:r w:rsidR="00846728">
          <w:rPr>
            <w:noProof/>
            <w:webHidden/>
          </w:rPr>
          <w:fldChar w:fldCharType="begin"/>
        </w:r>
        <w:r w:rsidR="00846728">
          <w:rPr>
            <w:noProof/>
            <w:webHidden/>
          </w:rPr>
          <w:instrText xml:space="preserve"> PAGEREF _Toc511381500 \h </w:instrText>
        </w:r>
        <w:r w:rsidR="00846728">
          <w:rPr>
            <w:noProof/>
            <w:webHidden/>
          </w:rPr>
        </w:r>
        <w:r w:rsidR="00846728">
          <w:rPr>
            <w:noProof/>
            <w:webHidden/>
          </w:rPr>
          <w:fldChar w:fldCharType="separate"/>
        </w:r>
        <w:r w:rsidR="00846728">
          <w:rPr>
            <w:noProof/>
            <w:webHidden/>
          </w:rPr>
          <w:t>7</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501" w:history="1">
        <w:r w:rsidR="00846728" w:rsidRPr="0026652E">
          <w:rPr>
            <w:rStyle w:val="Hyperlink"/>
            <w:noProof/>
          </w:rPr>
          <w:t>User charges</w:t>
        </w:r>
        <w:r w:rsidR="00846728">
          <w:rPr>
            <w:noProof/>
            <w:webHidden/>
          </w:rPr>
          <w:tab/>
        </w:r>
        <w:r w:rsidR="00846728">
          <w:rPr>
            <w:noProof/>
            <w:webHidden/>
          </w:rPr>
          <w:fldChar w:fldCharType="begin"/>
        </w:r>
        <w:r w:rsidR="00846728">
          <w:rPr>
            <w:noProof/>
            <w:webHidden/>
          </w:rPr>
          <w:instrText xml:space="preserve"> PAGEREF _Toc511381501 \h </w:instrText>
        </w:r>
        <w:r w:rsidR="00846728">
          <w:rPr>
            <w:noProof/>
            <w:webHidden/>
          </w:rPr>
        </w:r>
        <w:r w:rsidR="00846728">
          <w:rPr>
            <w:noProof/>
            <w:webHidden/>
          </w:rPr>
          <w:fldChar w:fldCharType="separate"/>
        </w:r>
        <w:r w:rsidR="00846728">
          <w:rPr>
            <w:noProof/>
            <w:webHidden/>
          </w:rPr>
          <w:t>7</w:t>
        </w:r>
        <w:r w:rsidR="00846728">
          <w:rPr>
            <w:noProof/>
            <w:webHidden/>
          </w:rPr>
          <w:fldChar w:fldCharType="end"/>
        </w:r>
      </w:hyperlink>
    </w:p>
    <w:p w:rsidR="00846728" w:rsidRDefault="00CD1BBF" w:rsidP="00846728">
      <w:pPr>
        <w:pStyle w:val="TOC1"/>
        <w:tabs>
          <w:tab w:val="left" w:pos="567"/>
        </w:tabs>
        <w:rPr>
          <w:rFonts w:eastAsiaTheme="minorEastAsia"/>
          <w:b w:val="0"/>
          <w:bCs w:val="0"/>
          <w:caps w:val="0"/>
          <w:noProof/>
          <w:sz w:val="22"/>
          <w:szCs w:val="22"/>
          <w:lang w:eastAsia="en-AU"/>
        </w:rPr>
      </w:pPr>
      <w:hyperlink w:anchor="_Toc511381502" w:history="1">
        <w:r w:rsidR="00846728" w:rsidRPr="0026652E">
          <w:rPr>
            <w:rStyle w:val="Hyperlink"/>
            <w:noProof/>
          </w:rPr>
          <w:t>CONCLUSION AND WAY FORWARD</w:t>
        </w:r>
        <w:r w:rsidR="00846728">
          <w:rPr>
            <w:noProof/>
            <w:webHidden/>
          </w:rPr>
          <w:tab/>
        </w:r>
        <w:r w:rsidR="00846728">
          <w:rPr>
            <w:noProof/>
            <w:webHidden/>
          </w:rPr>
          <w:fldChar w:fldCharType="begin"/>
        </w:r>
        <w:r w:rsidR="00846728">
          <w:rPr>
            <w:noProof/>
            <w:webHidden/>
          </w:rPr>
          <w:instrText xml:space="preserve"> PAGEREF _Toc511381502 \h </w:instrText>
        </w:r>
        <w:r w:rsidR="00846728">
          <w:rPr>
            <w:noProof/>
            <w:webHidden/>
          </w:rPr>
        </w:r>
        <w:r w:rsidR="00846728">
          <w:rPr>
            <w:noProof/>
            <w:webHidden/>
          </w:rPr>
          <w:fldChar w:fldCharType="separate"/>
        </w:r>
        <w:r w:rsidR="00846728">
          <w:rPr>
            <w:noProof/>
            <w:webHidden/>
          </w:rPr>
          <w:t>9</w:t>
        </w:r>
        <w:r w:rsidR="00846728">
          <w:rPr>
            <w:noProof/>
            <w:webHidden/>
          </w:rPr>
          <w:fldChar w:fldCharType="end"/>
        </w:r>
      </w:hyperlink>
    </w:p>
    <w:p w:rsidR="00846728" w:rsidRDefault="00CD1BBF" w:rsidP="00846728">
      <w:pPr>
        <w:pStyle w:val="TOC3"/>
        <w:tabs>
          <w:tab w:val="left" w:pos="567"/>
        </w:tabs>
        <w:rPr>
          <w:rFonts w:eastAsiaTheme="minorEastAsia"/>
          <w:iCs w:val="0"/>
          <w:noProof/>
          <w:sz w:val="22"/>
          <w:lang w:eastAsia="en-AU"/>
        </w:rPr>
      </w:pPr>
      <w:hyperlink w:anchor="_Toc511381503" w:history="1">
        <w:r w:rsidR="00846728" w:rsidRPr="0026652E">
          <w:rPr>
            <w:rStyle w:val="Hyperlink"/>
            <w:noProof/>
          </w:rPr>
          <w:t>Proposed assessment structure</w:t>
        </w:r>
        <w:r w:rsidR="00846728">
          <w:rPr>
            <w:noProof/>
            <w:webHidden/>
          </w:rPr>
          <w:tab/>
        </w:r>
        <w:r w:rsidR="00846728">
          <w:rPr>
            <w:noProof/>
            <w:webHidden/>
          </w:rPr>
          <w:fldChar w:fldCharType="begin"/>
        </w:r>
        <w:r w:rsidR="00846728">
          <w:rPr>
            <w:noProof/>
            <w:webHidden/>
          </w:rPr>
          <w:instrText xml:space="preserve"> PAGEREF _Toc511381503 \h </w:instrText>
        </w:r>
        <w:r w:rsidR="00846728">
          <w:rPr>
            <w:noProof/>
            <w:webHidden/>
          </w:rPr>
        </w:r>
        <w:r w:rsidR="00846728">
          <w:rPr>
            <w:noProof/>
            <w:webHidden/>
          </w:rPr>
          <w:fldChar w:fldCharType="separate"/>
        </w:r>
        <w:r w:rsidR="00846728">
          <w:rPr>
            <w:noProof/>
            <w:webHidden/>
          </w:rPr>
          <w:t>9</w:t>
        </w:r>
        <w:r w:rsidR="00846728">
          <w:rPr>
            <w:noProof/>
            <w:webHidden/>
          </w:rPr>
          <w:fldChar w:fldCharType="end"/>
        </w:r>
      </w:hyperlink>
    </w:p>
    <w:p w:rsidR="00846728" w:rsidRDefault="00846728" w:rsidP="00846728">
      <w:pPr>
        <w:pStyle w:val="TOC1"/>
        <w:tabs>
          <w:tab w:val="left" w:pos="567"/>
        </w:tabs>
        <w:rPr>
          <w:rFonts w:eastAsiaTheme="minorEastAsia"/>
          <w:noProof/>
          <w:sz w:val="22"/>
          <w:lang w:eastAsia="en-AU"/>
        </w:rPr>
      </w:pPr>
      <w:r>
        <w:rPr>
          <w:rStyle w:val="Hyperlink"/>
          <w:noProof/>
        </w:rPr>
        <w:fldChar w:fldCharType="end"/>
      </w:r>
    </w:p>
    <w:p w:rsidR="00846F8E" w:rsidRDefault="00846F8E" w:rsidP="00846728">
      <w:pPr>
        <w:pStyle w:val="TOC4"/>
        <w:tabs>
          <w:tab w:val="left" w:pos="567"/>
        </w:tabs>
        <w:rPr>
          <w:rFonts w:eastAsiaTheme="minorEastAsia"/>
          <w:noProof/>
          <w:sz w:val="22"/>
          <w:lang w:eastAsia="en-AU"/>
        </w:rPr>
      </w:pPr>
    </w:p>
    <w:p w:rsidR="001B68B1" w:rsidRPr="00970E6D" w:rsidRDefault="00F77905" w:rsidP="001B68B1">
      <w:pPr>
        <w:tabs>
          <w:tab w:val="clear" w:pos="567"/>
        </w:tabs>
      </w:pPr>
      <w:r>
        <w:fldChar w:fldCharType="end"/>
      </w:r>
    </w:p>
    <w:p w:rsidR="001B68B1" w:rsidRPr="00970E6D" w:rsidRDefault="001B68B1" w:rsidP="001B68B1">
      <w:pPr>
        <w:tabs>
          <w:tab w:val="clear" w:pos="567"/>
        </w:tabs>
      </w:pPr>
    </w:p>
    <w:p w:rsidR="001B68B1" w:rsidRPr="00970E6D" w:rsidRDefault="001B68B1" w:rsidP="001B68B1">
      <w:pPr>
        <w:tabs>
          <w:tab w:val="clear" w:pos="567"/>
        </w:tabs>
        <w:sectPr w:rsidR="001B68B1" w:rsidRPr="00970E6D" w:rsidSect="00245744">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p>
    <w:p w:rsidR="003350EA" w:rsidRDefault="007B5733" w:rsidP="003350EA">
      <w:pPr>
        <w:pStyle w:val="Heading2"/>
      </w:pPr>
      <w:bookmarkStart w:id="15" w:name="_Toc508803626"/>
      <w:bookmarkStart w:id="16" w:name="_Toc511381423"/>
      <w:bookmarkStart w:id="17" w:name="_Toc511381490"/>
      <w:r>
        <w:lastRenderedPageBreak/>
        <w:t>Post-</w:t>
      </w:r>
      <w:r w:rsidR="003350EA">
        <w:t>Secondary education</w:t>
      </w:r>
      <w:bookmarkEnd w:id="15"/>
      <w:bookmarkEnd w:id="16"/>
      <w:bookmarkEnd w:id="17"/>
    </w:p>
    <w:p w:rsidR="00EA7D43" w:rsidRDefault="00EA7D43" w:rsidP="00EA7D43">
      <w:pPr>
        <w:pStyle w:val="CGCNumberedPara"/>
        <w:numPr>
          <w:ilvl w:val="1"/>
          <w:numId w:val="3"/>
        </w:numPr>
      </w:pPr>
      <w:r>
        <w:t>The paper provides the Commission staff proposals for the assessment of Post</w:t>
      </w:r>
      <w:r>
        <w:noBreakHyphen/>
        <w:t>secondary education expenses for the 2020 Review.</w:t>
      </w:r>
    </w:p>
    <w:p w:rsidR="00EA7D43" w:rsidRDefault="00EA7D43" w:rsidP="003350EA">
      <w:pPr>
        <w:pStyle w:val="Heading3"/>
        <w:spacing w:before="0"/>
      </w:pPr>
    </w:p>
    <w:p w:rsidR="003350EA" w:rsidRPr="007B146D" w:rsidRDefault="003350EA" w:rsidP="003350EA">
      <w:pPr>
        <w:pStyle w:val="Heading3"/>
        <w:spacing w:before="0"/>
      </w:pPr>
      <w:bookmarkStart w:id="18" w:name="_Toc511381424"/>
      <w:bookmarkStart w:id="19" w:name="_Toc511381491"/>
      <w:r w:rsidRPr="007B146D">
        <w:t xml:space="preserve">2015 </w:t>
      </w:r>
      <w:r w:rsidR="00FA43AF">
        <w:t>REVIEW APPROACH</w:t>
      </w:r>
      <w:bookmarkEnd w:id="18"/>
      <w:bookmarkEnd w:id="19"/>
    </w:p>
    <w:p w:rsidR="003350EA" w:rsidRDefault="003350EA" w:rsidP="003350EA">
      <w:pPr>
        <w:pStyle w:val="Heading4"/>
      </w:pPr>
      <w:bookmarkStart w:id="20" w:name="_Toc511381425"/>
      <w:bookmarkStart w:id="21" w:name="_Toc511381492"/>
      <w:r>
        <w:t>Services included in this category</w:t>
      </w:r>
      <w:bookmarkEnd w:id="20"/>
      <w:bookmarkEnd w:id="21"/>
    </w:p>
    <w:p w:rsidR="003350EA" w:rsidRPr="00682641" w:rsidRDefault="003350EA" w:rsidP="003350EA">
      <w:pPr>
        <w:pStyle w:val="CGCNumberedPara"/>
        <w:numPr>
          <w:ilvl w:val="1"/>
          <w:numId w:val="3"/>
        </w:numPr>
      </w:pPr>
      <w:r w:rsidRPr="00682641">
        <w:t xml:space="preserve">The Post-secondary education category covers State expenses on vocational education and training (VET) and </w:t>
      </w:r>
      <w:r>
        <w:t xml:space="preserve">other higher </w:t>
      </w:r>
      <w:r w:rsidRPr="00682641">
        <w:t>education.</w:t>
      </w:r>
      <w:r>
        <w:t xml:space="preserve"> </w:t>
      </w:r>
      <w:r w:rsidRPr="00282057">
        <w:t xml:space="preserve">Most State </w:t>
      </w:r>
      <w:r>
        <w:t xml:space="preserve">spending on </w:t>
      </w:r>
      <w:r w:rsidRPr="00282057">
        <w:t xml:space="preserve">post-secondary education is for VET, with less than 5% of funding for </w:t>
      </w:r>
      <w:r>
        <w:t>other higher education services</w:t>
      </w:r>
      <w:r w:rsidRPr="00282057">
        <w:t>.</w:t>
      </w:r>
      <w:r>
        <w:t xml:space="preserve"> State VET expenses </w:t>
      </w:r>
      <w:r w:rsidRPr="00682641">
        <w:t xml:space="preserve">include </w:t>
      </w:r>
      <w:r>
        <w:t xml:space="preserve">spending on </w:t>
      </w:r>
      <w:r w:rsidRPr="00682641">
        <w:t xml:space="preserve">subsidised courses provided in </w:t>
      </w:r>
      <w:r>
        <w:t xml:space="preserve">State </w:t>
      </w:r>
      <w:r w:rsidRPr="00682641">
        <w:t>government institutions</w:t>
      </w:r>
      <w:r>
        <w:t>,</w:t>
      </w:r>
      <w:r w:rsidRPr="00682641">
        <w:t xml:space="preserve"> as well as subsidies provided to private training providers.</w:t>
      </w:r>
    </w:p>
    <w:p w:rsidR="003350EA" w:rsidRPr="00682641" w:rsidRDefault="003350EA" w:rsidP="003350EA">
      <w:pPr>
        <w:pStyle w:val="CGCNumberedPara"/>
        <w:numPr>
          <w:ilvl w:val="1"/>
          <w:numId w:val="3"/>
        </w:numPr>
      </w:pPr>
      <w:r w:rsidRPr="00682641">
        <w:t xml:space="preserve">Public technical and further education (TAFE) institutes and </w:t>
      </w:r>
      <w:r>
        <w:t>private</w:t>
      </w:r>
      <w:r w:rsidRPr="00682641">
        <w:t xml:space="preserve"> registered training organisations (RTOs) are the main providers of VET services </w:t>
      </w:r>
      <w:r>
        <w:t>in Australia. Other higher education services are generally provided by universities.</w:t>
      </w:r>
    </w:p>
    <w:p w:rsidR="003350EA" w:rsidRPr="00C25E49" w:rsidRDefault="003350EA" w:rsidP="003350EA">
      <w:pPr>
        <w:pStyle w:val="Heading4"/>
      </w:pPr>
      <w:bookmarkStart w:id="22" w:name="_Toc511381426"/>
      <w:bookmarkStart w:id="23" w:name="_Toc511381493"/>
      <w:r>
        <w:t>Category expenses</w:t>
      </w:r>
      <w:bookmarkEnd w:id="22"/>
      <w:bookmarkEnd w:id="23"/>
    </w:p>
    <w:p w:rsidR="003350EA" w:rsidRDefault="003350EA" w:rsidP="003350EA">
      <w:pPr>
        <w:pStyle w:val="CGCNumberedPara"/>
        <w:numPr>
          <w:ilvl w:val="1"/>
          <w:numId w:val="3"/>
        </w:numPr>
      </w:pPr>
      <w:r w:rsidRPr="00E9258A">
        <w:t>Post-secondary education ex</w:t>
      </w:r>
      <w:r w:rsidR="007B5733">
        <w:t>penses were $5</w:t>
      </w:r>
      <w:r>
        <w:t> billion in 2016</w:t>
      </w:r>
      <w:r>
        <w:noBreakHyphen/>
        <w:t>17</w:t>
      </w:r>
      <w:r w:rsidRPr="00E9258A">
        <w:t xml:space="preserve"> or 2% of total State operating expenses.</w:t>
      </w:r>
      <w:r>
        <w:t xml:space="preserve"> The </w:t>
      </w:r>
      <w:r w:rsidR="007B5733">
        <w:t>P</w:t>
      </w:r>
      <w:r>
        <w:t xml:space="preserve">ost-secondary education category is not </w:t>
      </w:r>
      <w:r w:rsidR="00790D12">
        <w:t>disaggregated into</w:t>
      </w:r>
      <w:r>
        <w:t xml:space="preserve"> components.</w:t>
      </w:r>
    </w:p>
    <w:p w:rsidR="003350EA" w:rsidRDefault="003350EA" w:rsidP="003350EA">
      <w:pPr>
        <w:pStyle w:val="Heading4"/>
      </w:pPr>
      <w:bookmarkStart w:id="24" w:name="_Toc511381427"/>
      <w:bookmarkStart w:id="25" w:name="_Toc511381494"/>
      <w:r>
        <w:t>Data sources and assessment methods</w:t>
      </w:r>
      <w:bookmarkEnd w:id="24"/>
      <w:bookmarkEnd w:id="25"/>
    </w:p>
    <w:p w:rsidR="003350EA" w:rsidRDefault="003350EA" w:rsidP="003350EA">
      <w:pPr>
        <w:pStyle w:val="Heading5"/>
      </w:pPr>
      <w:r>
        <w:t>Overview of assessment methods</w:t>
      </w:r>
    </w:p>
    <w:p w:rsidR="003350EA" w:rsidRDefault="003350EA" w:rsidP="003350EA">
      <w:pPr>
        <w:pStyle w:val="CGCNumberedPara"/>
        <w:numPr>
          <w:ilvl w:val="1"/>
          <w:numId w:val="3"/>
        </w:numPr>
      </w:pPr>
      <w:r w:rsidRPr="00C2695C">
        <w:t xml:space="preserve">The assessment for </w:t>
      </w:r>
      <w:r w:rsidR="007B5733">
        <w:t>P</w:t>
      </w:r>
      <w:r w:rsidRPr="00C2695C">
        <w:t>ost-secondary education includes three main disabilities</w:t>
      </w:r>
      <w:r w:rsidR="007B5733">
        <w:t>:</w:t>
      </w:r>
    </w:p>
    <w:p w:rsidR="003350EA" w:rsidRDefault="007B5733" w:rsidP="003350EA">
      <w:pPr>
        <w:pStyle w:val="CGCBulletlist"/>
        <w:numPr>
          <w:ilvl w:val="0"/>
          <w:numId w:val="1"/>
        </w:numPr>
        <w:tabs>
          <w:tab w:val="clear" w:pos="927"/>
        </w:tabs>
        <w:ind w:left="1134" w:hanging="567"/>
      </w:pPr>
      <w:r>
        <w:t>a</w:t>
      </w:r>
      <w:r w:rsidR="003350EA">
        <w:t xml:space="preserve"> socio-demographic composition (SDC) disability which recognises there are differences in the use and cost of services for different population groups and locations</w:t>
      </w:r>
    </w:p>
    <w:p w:rsidR="003350EA" w:rsidRDefault="007B5733" w:rsidP="003350EA">
      <w:pPr>
        <w:pStyle w:val="CGCBulletlist"/>
        <w:numPr>
          <w:ilvl w:val="0"/>
          <w:numId w:val="1"/>
        </w:numPr>
        <w:tabs>
          <w:tab w:val="clear" w:pos="927"/>
        </w:tabs>
        <w:ind w:left="1134" w:hanging="567"/>
      </w:pPr>
      <w:r>
        <w:t>a</w:t>
      </w:r>
      <w:r w:rsidR="003350EA">
        <w:t xml:space="preserve"> cross-border disability which recognises the cost to the ACT of providing post</w:t>
      </w:r>
      <w:r w:rsidR="00790D12">
        <w:noBreakHyphen/>
      </w:r>
      <w:r w:rsidR="003350EA">
        <w:t>secondary education to New South Wales residents</w:t>
      </w:r>
    </w:p>
    <w:p w:rsidR="003350EA" w:rsidRDefault="007B5733" w:rsidP="003350EA">
      <w:pPr>
        <w:pStyle w:val="CGCBulletlist"/>
        <w:numPr>
          <w:ilvl w:val="0"/>
          <w:numId w:val="1"/>
        </w:numPr>
        <w:tabs>
          <w:tab w:val="clear" w:pos="927"/>
        </w:tabs>
        <w:ind w:left="1134" w:hanging="567"/>
      </w:pPr>
      <w:proofErr w:type="gramStart"/>
      <w:r>
        <w:t>a</w:t>
      </w:r>
      <w:proofErr w:type="gramEnd"/>
      <w:r w:rsidR="003350EA">
        <w:t xml:space="preserve"> wage costs disability which recognises that State expenses are affected by differences in wage costs between States.</w:t>
      </w:r>
    </w:p>
    <w:p w:rsidR="003350EA" w:rsidRDefault="003350EA" w:rsidP="003350EA">
      <w:pPr>
        <w:pStyle w:val="Heading5"/>
      </w:pPr>
      <w:r>
        <w:lastRenderedPageBreak/>
        <w:t>Data Sources</w:t>
      </w:r>
    </w:p>
    <w:p w:rsidR="003350EA" w:rsidRDefault="00805C0D" w:rsidP="003350EA">
      <w:pPr>
        <w:pStyle w:val="CGCNumberedPara"/>
        <w:numPr>
          <w:ilvl w:val="1"/>
          <w:numId w:val="3"/>
        </w:numPr>
      </w:pPr>
      <w:r>
        <w:t>D</w:t>
      </w:r>
      <w:r w:rsidR="003350EA" w:rsidRPr="00C2695C">
        <w:t>ata for the SDC and cross-border assessments are sourced from the National Centre for Vocational Education Research (NCVER). The NCVER provides annual data on government funded contact hours for persons between 15 and 64 years of age. State-provided data on the additional cost of Indigenous students are used to calculate an Indigenous cost loading. The remoteness cost loading is based on the general regional costs gradient.</w:t>
      </w:r>
    </w:p>
    <w:p w:rsidR="003350EA" w:rsidRDefault="003350EA" w:rsidP="003350EA">
      <w:pPr>
        <w:pStyle w:val="Heading5"/>
      </w:pPr>
      <w:r w:rsidRPr="00C2695C">
        <w:t>SDC assessment</w:t>
      </w:r>
    </w:p>
    <w:p w:rsidR="00B33A7F" w:rsidRDefault="003350EA" w:rsidP="00B33A7F">
      <w:pPr>
        <w:pStyle w:val="CGCNumberedPara"/>
        <w:numPr>
          <w:ilvl w:val="1"/>
          <w:numId w:val="3"/>
        </w:numPr>
        <w:rPr>
          <w:rStyle w:val="Heading6Char"/>
          <w:rFonts w:eastAsiaTheme="minorHAnsi" w:cstheme="minorBidi"/>
          <w:b w:val="0"/>
          <w:i w:val="0"/>
          <w:iCs w:val="0"/>
          <w:color w:val="auto"/>
          <w:sz w:val="24"/>
        </w:rPr>
      </w:pPr>
      <w:r>
        <w:t>The features of the SDC profile of the population that g</w:t>
      </w:r>
      <w:r w:rsidR="00FA43AF">
        <w:t>ive rise to differences in post</w:t>
      </w:r>
      <w:r w:rsidR="00FA43AF">
        <w:noBreakHyphen/>
      </w:r>
      <w:r>
        <w:t xml:space="preserve">secondary education costs are </w:t>
      </w:r>
      <w:r w:rsidR="00805C0D">
        <w:t xml:space="preserve">age, Indigenous status, remoteness and </w:t>
      </w:r>
      <w:r>
        <w:t xml:space="preserve"> socio</w:t>
      </w:r>
      <w:r w:rsidR="00805C0D">
        <w:noBreakHyphen/>
      </w:r>
      <w:r>
        <w:t xml:space="preserve">economic status (SES). </w:t>
      </w:r>
      <w:r w:rsidR="00790D12">
        <w:t xml:space="preserve">The disaggregation of these variables in the 2015 Review is </w:t>
      </w:r>
      <w:r>
        <w:t xml:space="preserve">shown in </w:t>
      </w:r>
      <w:r w:rsidR="00FA43AF">
        <w:fldChar w:fldCharType="begin"/>
      </w:r>
      <w:r w:rsidR="00FA43AF">
        <w:instrText xml:space="preserve"> REF _Ref510714397 \h </w:instrText>
      </w:r>
      <w:r w:rsidR="00FA43AF">
        <w:fldChar w:fldCharType="separate"/>
      </w:r>
      <w:r w:rsidR="00084BE6">
        <w:t xml:space="preserve">Table </w:t>
      </w:r>
      <w:r w:rsidR="00084BE6">
        <w:rPr>
          <w:noProof/>
        </w:rPr>
        <w:t>1</w:t>
      </w:r>
      <w:r w:rsidR="00FA43AF">
        <w:fldChar w:fldCharType="end"/>
      </w:r>
      <w:r w:rsidR="003D4158">
        <w:rPr>
          <w:rStyle w:val="Heading6Char"/>
          <w:rFonts w:eastAsiaTheme="minorHAnsi" w:cstheme="minorBidi"/>
          <w:b w:val="0"/>
          <w:i w:val="0"/>
          <w:iCs w:val="0"/>
          <w:color w:val="auto"/>
          <w:sz w:val="24"/>
        </w:rPr>
        <w:t>.</w:t>
      </w:r>
    </w:p>
    <w:p w:rsidR="00FA43AF" w:rsidRDefault="00FA43AF" w:rsidP="00FA43AF">
      <w:pPr>
        <w:pStyle w:val="Caption"/>
      </w:pPr>
      <w:bookmarkStart w:id="26" w:name="_Ref510714397"/>
      <w:r>
        <w:t xml:space="preserve">Table </w:t>
      </w:r>
      <w:r w:rsidR="00CD1BBF">
        <w:fldChar w:fldCharType="begin"/>
      </w:r>
      <w:r w:rsidR="00CD1BBF">
        <w:instrText xml:space="preserve"> SEQ Table \* ARABIC </w:instrText>
      </w:r>
      <w:r w:rsidR="00CD1BBF">
        <w:fldChar w:fldCharType="separate"/>
      </w:r>
      <w:r w:rsidR="00790D12">
        <w:rPr>
          <w:noProof/>
        </w:rPr>
        <w:t>1</w:t>
      </w:r>
      <w:r w:rsidR="00CD1BBF">
        <w:rPr>
          <w:noProof/>
        </w:rPr>
        <w:fldChar w:fldCharType="end"/>
      </w:r>
      <w:bookmarkEnd w:id="26"/>
      <w:r>
        <w:tab/>
        <w:t>Socio-demographic breakdown</w:t>
      </w:r>
      <w:r w:rsidR="00790D12">
        <w:t>, 2015 Review</w:t>
      </w:r>
    </w:p>
    <w:tbl>
      <w:tblPr>
        <w:tblW w:w="8960" w:type="dxa"/>
        <w:tblInd w:w="93" w:type="dxa"/>
        <w:tblLook w:val="04A0" w:firstRow="1" w:lastRow="0" w:firstColumn="1" w:lastColumn="0" w:noHBand="0" w:noVBand="1"/>
      </w:tblPr>
      <w:tblGrid>
        <w:gridCol w:w="2100"/>
        <w:gridCol w:w="2380"/>
        <w:gridCol w:w="1880"/>
        <w:gridCol w:w="2600"/>
      </w:tblGrid>
      <w:tr w:rsidR="00805C0D" w:rsidRPr="00805C0D" w:rsidTr="00805C0D">
        <w:trPr>
          <w:trHeight w:val="375"/>
        </w:trPr>
        <w:tc>
          <w:tcPr>
            <w:tcW w:w="2100" w:type="dxa"/>
            <w:tcBorders>
              <w:top w:val="single" w:sz="4" w:space="0" w:color="auto"/>
              <w:left w:val="nil"/>
              <w:bottom w:val="single" w:sz="4" w:space="0" w:color="auto"/>
              <w:right w:val="nil"/>
            </w:tcBorders>
            <w:shd w:val="clear" w:color="auto" w:fill="auto"/>
            <w:vAlign w:val="center"/>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bookmarkStart w:id="27" w:name="RANGE!A5:D8"/>
            <w:r w:rsidRPr="00805C0D">
              <w:rPr>
                <w:rFonts w:ascii="Calibri" w:eastAsia="Times New Roman" w:hAnsi="Calibri" w:cstheme="minorHAnsi"/>
                <w:color w:val="000000"/>
                <w:sz w:val="20"/>
                <w:szCs w:val="20"/>
                <w:lang w:eastAsia="en-AU"/>
              </w:rPr>
              <w:t>Age</w:t>
            </w:r>
            <w:bookmarkEnd w:id="27"/>
          </w:p>
        </w:tc>
        <w:tc>
          <w:tcPr>
            <w:tcW w:w="2380" w:type="dxa"/>
            <w:tcBorders>
              <w:top w:val="single" w:sz="4" w:space="0" w:color="auto"/>
              <w:left w:val="nil"/>
              <w:bottom w:val="single" w:sz="4" w:space="0" w:color="auto"/>
              <w:right w:val="nil"/>
            </w:tcBorders>
            <w:shd w:val="clear" w:color="auto" w:fill="auto"/>
            <w:vAlign w:val="center"/>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Indigenous status</w:t>
            </w:r>
          </w:p>
        </w:tc>
        <w:tc>
          <w:tcPr>
            <w:tcW w:w="1880" w:type="dxa"/>
            <w:tcBorders>
              <w:top w:val="single" w:sz="4" w:space="0" w:color="auto"/>
              <w:left w:val="nil"/>
              <w:bottom w:val="single" w:sz="4" w:space="0" w:color="auto"/>
              <w:right w:val="nil"/>
            </w:tcBorders>
            <w:shd w:val="clear" w:color="auto" w:fill="auto"/>
            <w:vAlign w:val="center"/>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Remoteness</w:t>
            </w:r>
          </w:p>
        </w:tc>
        <w:tc>
          <w:tcPr>
            <w:tcW w:w="2600" w:type="dxa"/>
            <w:tcBorders>
              <w:top w:val="single" w:sz="4" w:space="0" w:color="auto"/>
              <w:left w:val="nil"/>
              <w:bottom w:val="single" w:sz="4" w:space="0" w:color="auto"/>
              <w:right w:val="nil"/>
            </w:tcBorders>
            <w:shd w:val="clear" w:color="auto" w:fill="auto"/>
            <w:vAlign w:val="center"/>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IRSEO/NISEIFA</w:t>
            </w:r>
          </w:p>
        </w:tc>
      </w:tr>
      <w:tr w:rsidR="00805C0D" w:rsidRPr="00805C0D" w:rsidTr="00805C0D">
        <w:trPr>
          <w:trHeight w:val="315"/>
        </w:trPr>
        <w:tc>
          <w:tcPr>
            <w:tcW w:w="210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15 to 64 years</w:t>
            </w:r>
          </w:p>
        </w:tc>
        <w:tc>
          <w:tcPr>
            <w:tcW w:w="238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Indigenous</w:t>
            </w:r>
          </w:p>
        </w:tc>
        <w:tc>
          <w:tcPr>
            <w:tcW w:w="188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Remote</w:t>
            </w:r>
          </w:p>
        </w:tc>
        <w:tc>
          <w:tcPr>
            <w:tcW w:w="260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Bottom two quintiles</w:t>
            </w:r>
          </w:p>
        </w:tc>
      </w:tr>
      <w:tr w:rsidR="00805C0D" w:rsidRPr="00805C0D" w:rsidTr="00805C0D">
        <w:trPr>
          <w:trHeight w:val="315"/>
        </w:trPr>
        <w:tc>
          <w:tcPr>
            <w:tcW w:w="210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p>
        </w:tc>
        <w:tc>
          <w:tcPr>
            <w:tcW w:w="238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Non-Indigenous</w:t>
            </w:r>
          </w:p>
        </w:tc>
        <w:tc>
          <w:tcPr>
            <w:tcW w:w="188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Non-Remote</w:t>
            </w:r>
          </w:p>
        </w:tc>
        <w:tc>
          <w:tcPr>
            <w:tcW w:w="2600" w:type="dxa"/>
            <w:tcBorders>
              <w:top w:val="nil"/>
              <w:left w:val="nil"/>
              <w:bottom w:val="nil"/>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Middle quintile</w:t>
            </w:r>
          </w:p>
        </w:tc>
      </w:tr>
      <w:tr w:rsidR="00805C0D" w:rsidRPr="00805C0D" w:rsidTr="00805C0D">
        <w:trPr>
          <w:trHeight w:val="315"/>
        </w:trPr>
        <w:tc>
          <w:tcPr>
            <w:tcW w:w="2100" w:type="dxa"/>
            <w:tcBorders>
              <w:top w:val="nil"/>
              <w:left w:val="nil"/>
              <w:bottom w:val="single" w:sz="4" w:space="0" w:color="auto"/>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 </w:t>
            </w:r>
          </w:p>
        </w:tc>
        <w:tc>
          <w:tcPr>
            <w:tcW w:w="2380" w:type="dxa"/>
            <w:tcBorders>
              <w:top w:val="nil"/>
              <w:left w:val="nil"/>
              <w:bottom w:val="single" w:sz="4" w:space="0" w:color="auto"/>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 </w:t>
            </w:r>
          </w:p>
        </w:tc>
        <w:tc>
          <w:tcPr>
            <w:tcW w:w="1880" w:type="dxa"/>
            <w:tcBorders>
              <w:top w:val="nil"/>
              <w:left w:val="nil"/>
              <w:bottom w:val="single" w:sz="4" w:space="0" w:color="auto"/>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 </w:t>
            </w:r>
          </w:p>
        </w:tc>
        <w:tc>
          <w:tcPr>
            <w:tcW w:w="2600" w:type="dxa"/>
            <w:tcBorders>
              <w:top w:val="nil"/>
              <w:left w:val="nil"/>
              <w:bottom w:val="single" w:sz="4" w:space="0" w:color="auto"/>
              <w:right w:val="nil"/>
            </w:tcBorders>
            <w:shd w:val="clear" w:color="auto" w:fill="auto"/>
            <w:vAlign w:val="bottom"/>
            <w:hideMark/>
          </w:tcPr>
          <w:p w:rsidR="00805C0D" w:rsidRPr="00805C0D" w:rsidRDefault="00805C0D" w:rsidP="00805C0D">
            <w:pPr>
              <w:tabs>
                <w:tab w:val="clear" w:pos="567"/>
              </w:tabs>
              <w:spacing w:after="0" w:line="240" w:lineRule="auto"/>
              <w:rPr>
                <w:rFonts w:ascii="Calibri" w:eastAsia="Times New Roman" w:hAnsi="Calibri" w:cs="Times New Roman"/>
                <w:color w:val="000000"/>
                <w:sz w:val="20"/>
                <w:szCs w:val="20"/>
                <w:lang w:eastAsia="en-AU"/>
              </w:rPr>
            </w:pPr>
            <w:r w:rsidRPr="00805C0D">
              <w:rPr>
                <w:rFonts w:ascii="Calibri" w:eastAsia="Times New Roman" w:hAnsi="Calibri" w:cstheme="minorHAnsi"/>
                <w:color w:val="000000"/>
                <w:sz w:val="20"/>
                <w:szCs w:val="20"/>
                <w:lang w:eastAsia="en-AU"/>
              </w:rPr>
              <w:t>Top two quintiles</w:t>
            </w:r>
          </w:p>
        </w:tc>
      </w:tr>
    </w:tbl>
    <w:p w:rsidR="003D4158" w:rsidRDefault="00821DAD" w:rsidP="00FA43AF">
      <w:pPr>
        <w:pStyle w:val="CGCTableFootnote"/>
      </w:pPr>
      <w:r>
        <w:t>Note:</w:t>
      </w:r>
      <w:r>
        <w:tab/>
        <w:t>IRSEO (Indigenous Relative Socioeconomic Outcomes), NISEIFA (Non-Indigenous Socio-Economic Index for Areas).</w:t>
      </w:r>
    </w:p>
    <w:p w:rsidR="00FA43AF" w:rsidRDefault="00FA43AF" w:rsidP="00FA43AF">
      <w:pPr>
        <w:pStyle w:val="CGCTableFootnote"/>
      </w:pPr>
      <w:r>
        <w:t>Source:</w:t>
      </w:r>
      <w:r>
        <w:tab/>
        <w:t>2015 Review, Report on General Revenue Sharing Relativities, Volume 2, page 164.</w:t>
      </w:r>
      <w:r>
        <w:tab/>
      </w:r>
    </w:p>
    <w:p w:rsidR="003350EA" w:rsidRDefault="003350EA" w:rsidP="003350EA">
      <w:pPr>
        <w:pStyle w:val="Heading5"/>
      </w:pPr>
      <w:r>
        <w:t>Cross-border service use</w:t>
      </w:r>
    </w:p>
    <w:p w:rsidR="003350EA" w:rsidRDefault="003350EA" w:rsidP="003350EA">
      <w:pPr>
        <w:pStyle w:val="CGCNumberedPara"/>
        <w:numPr>
          <w:ilvl w:val="1"/>
          <w:numId w:val="3"/>
        </w:numPr>
      </w:pPr>
      <w:r w:rsidRPr="000C607A">
        <w:t>The NCVER data allow the Commission to determine the annual hours each State provides to residents of other States. For most States the cross-border provision is not material but it is material for the ACT. A cross-border factor is calculated to measure the effect of net cross-border use for New South Wales and the ACT.</w:t>
      </w:r>
    </w:p>
    <w:p w:rsidR="003350EA" w:rsidRDefault="003350EA" w:rsidP="003350EA">
      <w:pPr>
        <w:pStyle w:val="Heading5"/>
      </w:pPr>
      <w:r>
        <w:t>Wage costs</w:t>
      </w:r>
    </w:p>
    <w:p w:rsidR="003350EA" w:rsidRDefault="003350EA" w:rsidP="003350EA">
      <w:pPr>
        <w:pStyle w:val="CGCNumberedPara"/>
        <w:numPr>
          <w:ilvl w:val="1"/>
          <w:numId w:val="3"/>
        </w:numPr>
      </w:pPr>
      <w:r w:rsidRPr="000C607A">
        <w:t>The assessment recognises that differences between the States in wage costs have a differential effect on the cost of providing post-secondary education services. These influences are measured in a similar way for most expense categories.</w:t>
      </w:r>
    </w:p>
    <w:p w:rsidR="00805C0D" w:rsidRDefault="00805C0D" w:rsidP="00805C0D">
      <w:pPr>
        <w:pStyle w:val="Heading5"/>
      </w:pPr>
      <w:r>
        <w:t>Regional costs</w:t>
      </w:r>
    </w:p>
    <w:p w:rsidR="00805C0D" w:rsidRDefault="00805C0D" w:rsidP="003350EA">
      <w:pPr>
        <w:pStyle w:val="CGCNumberedPara"/>
        <w:numPr>
          <w:ilvl w:val="1"/>
          <w:numId w:val="3"/>
        </w:numPr>
      </w:pPr>
      <w:r>
        <w:t xml:space="preserve">The assessment recognises that </w:t>
      </w:r>
      <w:r w:rsidR="002E1FC7">
        <w:t xml:space="preserve">the </w:t>
      </w:r>
      <w:r>
        <w:t>cost of delivering services is high</w:t>
      </w:r>
      <w:r w:rsidR="002E1FC7">
        <w:t>er</w:t>
      </w:r>
      <w:r>
        <w:t xml:space="preserve"> in remote and very remote </w:t>
      </w:r>
      <w:r w:rsidR="002E1FC7">
        <w:t>region</w:t>
      </w:r>
      <w:r>
        <w:t xml:space="preserve">s.  </w:t>
      </w:r>
      <w:r w:rsidR="002E1FC7">
        <w:t xml:space="preserve">A remoteness cost loading, based on the general regional costs gradient, is applied to remote and very remote </w:t>
      </w:r>
      <w:r w:rsidR="00431E0C">
        <w:t xml:space="preserve">contact </w:t>
      </w:r>
      <w:r w:rsidR="002E1FC7">
        <w:t xml:space="preserve">hours. The gradient is discounted by 25% because of uncertainty about how well </w:t>
      </w:r>
      <w:r w:rsidR="00431E0C">
        <w:t>it</w:t>
      </w:r>
      <w:r w:rsidR="002E1FC7">
        <w:t xml:space="preserve"> reflects post-secondary education costs.</w:t>
      </w:r>
    </w:p>
    <w:p w:rsidR="003350EA" w:rsidRDefault="003350EA" w:rsidP="003350EA">
      <w:pPr>
        <w:pStyle w:val="Heading5"/>
      </w:pPr>
      <w:r>
        <w:lastRenderedPageBreak/>
        <w:t>User charges</w:t>
      </w:r>
    </w:p>
    <w:p w:rsidR="003350EA" w:rsidRDefault="003350EA" w:rsidP="003350EA">
      <w:pPr>
        <w:pStyle w:val="CGCNumberedPara"/>
        <w:numPr>
          <w:ilvl w:val="1"/>
          <w:numId w:val="3"/>
        </w:numPr>
      </w:pPr>
      <w:r>
        <w:t>All user charges are deducted from post-secondary education expense</w:t>
      </w:r>
      <w:r w:rsidR="00245744">
        <w:t>s before making the assessment.</w:t>
      </w:r>
    </w:p>
    <w:p w:rsidR="003350EA" w:rsidRDefault="003350EA" w:rsidP="003350EA">
      <w:pPr>
        <w:pStyle w:val="Heading5"/>
      </w:pPr>
      <w:r>
        <w:t>Investment and depreciation</w:t>
      </w:r>
    </w:p>
    <w:p w:rsidR="003C0CA6" w:rsidRDefault="007C7D36" w:rsidP="003D4158">
      <w:pPr>
        <w:pStyle w:val="CGCNumberedPara"/>
        <w:numPr>
          <w:ilvl w:val="1"/>
          <w:numId w:val="3"/>
        </w:numPr>
      </w:pPr>
      <w:r>
        <w:t>Post-secondary education accounted for 1.4% of total State assets in 2016</w:t>
      </w:r>
      <w:r>
        <w:noBreakHyphen/>
        <w:t>17.</w:t>
      </w:r>
      <w:r w:rsidR="003D4158">
        <w:t xml:space="preserve"> </w:t>
      </w:r>
      <w:r w:rsidR="009A1954">
        <w:t xml:space="preserve">The infrastructure assessments recognise that the </w:t>
      </w:r>
      <w:r w:rsidR="00FA43AF">
        <w:t>level of service use, including cross</w:t>
      </w:r>
      <w:r w:rsidR="00FA43AF">
        <w:noBreakHyphen/>
      </w:r>
      <w:r w:rsidR="009A1954">
        <w:t>border</w:t>
      </w:r>
      <w:r w:rsidR="00790D12">
        <w:t xml:space="preserve"> use</w:t>
      </w:r>
      <w:r w:rsidR="00FA43AF">
        <w:t>,</w:t>
      </w:r>
      <w:r w:rsidR="009A1954">
        <w:t xml:space="preserve"> affect</w:t>
      </w:r>
      <w:r w:rsidR="00FA43AF">
        <w:t>s</w:t>
      </w:r>
      <w:r w:rsidR="009A1954">
        <w:t xml:space="preserve"> the stock of assets States require to deliver the average level of services. Interstate differences in wage levels, the price of materials and other unavoidable factors affecting the cost of infrastructure are also taken into account. </w:t>
      </w:r>
    </w:p>
    <w:p w:rsidR="007C7D36" w:rsidRDefault="003C0CA6" w:rsidP="007C7D36">
      <w:pPr>
        <w:pStyle w:val="CGCNumberedPara"/>
        <w:numPr>
          <w:ilvl w:val="1"/>
          <w:numId w:val="3"/>
        </w:numPr>
      </w:pPr>
      <w:r>
        <w:t>In addition, the investment assessment recognises the impact of differences between States in population growth on the need for infrastructure.</w:t>
      </w:r>
    </w:p>
    <w:p w:rsidR="003350EA" w:rsidRDefault="003350EA" w:rsidP="003350EA">
      <w:pPr>
        <w:pStyle w:val="Heading5"/>
      </w:pPr>
      <w:r>
        <w:t xml:space="preserve">GST </w:t>
      </w:r>
      <w:r w:rsidR="00FA43AF">
        <w:t>re</w:t>
      </w:r>
      <w:r>
        <w:t>distribution</w:t>
      </w:r>
    </w:p>
    <w:p w:rsidR="003350EA" w:rsidRDefault="003350EA" w:rsidP="003350EA">
      <w:pPr>
        <w:pStyle w:val="CGCNumberedPara"/>
        <w:numPr>
          <w:ilvl w:val="1"/>
          <w:numId w:val="3"/>
        </w:numPr>
      </w:pPr>
      <w:r>
        <w:fldChar w:fldCharType="begin"/>
      </w:r>
      <w:r>
        <w:instrText xml:space="preserve"> REF _Ref499652669 \h </w:instrText>
      </w:r>
      <w:r>
        <w:fldChar w:fldCharType="separate"/>
      </w:r>
      <w:r w:rsidR="00084BE6">
        <w:t xml:space="preserve">Table </w:t>
      </w:r>
      <w:r w:rsidR="00084BE6">
        <w:rPr>
          <w:noProof/>
        </w:rPr>
        <w:t>2</w:t>
      </w:r>
      <w:r>
        <w:fldChar w:fldCharType="end"/>
      </w:r>
      <w:r w:rsidR="00790D12">
        <w:t xml:space="preserve"> shows the GST redistributed for </w:t>
      </w:r>
      <w:r>
        <w:t xml:space="preserve">the category in the </w:t>
      </w:r>
      <w:r w:rsidR="00790D12">
        <w:t>2018 Update</w:t>
      </w:r>
      <w:r>
        <w:t>.</w:t>
      </w:r>
    </w:p>
    <w:p w:rsidR="003350EA" w:rsidRDefault="00FA43AF" w:rsidP="003350EA">
      <w:pPr>
        <w:pStyle w:val="Caption"/>
      </w:pPr>
      <w:bookmarkStart w:id="28" w:name="_Ref499652669"/>
      <w:r>
        <w:t xml:space="preserve">Table </w:t>
      </w:r>
      <w:r w:rsidR="00CD1BBF">
        <w:fldChar w:fldCharType="begin"/>
      </w:r>
      <w:r w:rsidR="00CD1BBF">
        <w:instrText xml:space="preserve"> SEQ Table \* ARABIC </w:instrText>
      </w:r>
      <w:r w:rsidR="00CD1BBF">
        <w:fldChar w:fldCharType="separate"/>
      </w:r>
      <w:r w:rsidR="00790D12">
        <w:rPr>
          <w:noProof/>
        </w:rPr>
        <w:t>2</w:t>
      </w:r>
      <w:r w:rsidR="00CD1BBF">
        <w:rPr>
          <w:noProof/>
        </w:rPr>
        <w:fldChar w:fldCharType="end"/>
      </w:r>
      <w:bookmarkEnd w:id="28"/>
      <w:r w:rsidR="003350EA">
        <w:tab/>
        <w:t xml:space="preserve">GST </w:t>
      </w:r>
      <w:r>
        <w:t>re</w:t>
      </w:r>
      <w:r w:rsidR="003350EA">
        <w:t>distribution, Post-secondary education, 2018 Update</w:t>
      </w:r>
    </w:p>
    <w:tbl>
      <w:tblPr>
        <w:tblW w:w="8940" w:type="dxa"/>
        <w:tblLayout w:type="fixed"/>
        <w:tblCellMar>
          <w:left w:w="0" w:type="dxa"/>
          <w:right w:w="0" w:type="dxa"/>
        </w:tblCellMar>
        <w:tblLook w:val="04A0" w:firstRow="1" w:lastRow="0" w:firstColumn="1" w:lastColumn="0" w:noHBand="0" w:noVBand="1"/>
      </w:tblPr>
      <w:tblGrid>
        <w:gridCol w:w="1920"/>
        <w:gridCol w:w="780"/>
        <w:gridCol w:w="780"/>
        <w:gridCol w:w="780"/>
        <w:gridCol w:w="780"/>
        <w:gridCol w:w="780"/>
        <w:gridCol w:w="780"/>
        <w:gridCol w:w="780"/>
        <w:gridCol w:w="780"/>
        <w:gridCol w:w="780"/>
      </w:tblGrid>
      <w:tr w:rsidR="003350EA" w:rsidRPr="00FB268F" w:rsidTr="00245744">
        <w:trPr>
          <w:trHeight w:val="379"/>
        </w:trPr>
        <w:tc>
          <w:tcPr>
            <w:tcW w:w="192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29" w:name="RANGE!A4:J6"/>
            <w:r w:rsidRPr="00FB268F">
              <w:rPr>
                <w:rFonts w:ascii="Calibri" w:eastAsia="Times New Roman" w:hAnsi="Calibri" w:cs="Times New Roman"/>
                <w:sz w:val="20"/>
                <w:szCs w:val="20"/>
                <w:lang w:eastAsia="en-AU"/>
              </w:rPr>
              <w:t> </w:t>
            </w:r>
            <w:bookmarkEnd w:id="29"/>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Vic</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Qld</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Tas</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ACT</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NT</w:t>
            </w:r>
          </w:p>
        </w:tc>
        <w:tc>
          <w:tcPr>
            <w:tcW w:w="780" w:type="dxa"/>
            <w:tcBorders>
              <w:top w:val="single" w:sz="4" w:space="0" w:color="auto"/>
              <w:left w:val="nil"/>
              <w:bottom w:val="single" w:sz="4" w:space="0" w:color="auto"/>
              <w:right w:val="nil"/>
            </w:tcBorders>
            <w:shd w:val="clear" w:color="auto" w:fill="auto"/>
            <w:noWrap/>
            <w:vAlign w:val="center"/>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Redist</w:t>
            </w:r>
          </w:p>
        </w:tc>
      </w:tr>
      <w:tr w:rsidR="003350EA" w:rsidRPr="00FB268F" w:rsidTr="00245744">
        <w:trPr>
          <w:trHeight w:val="315"/>
        </w:trPr>
        <w:tc>
          <w:tcPr>
            <w:tcW w:w="192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Dollars million</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w:t>
            </w:r>
            <w:r>
              <w:rPr>
                <w:rFonts w:ascii="Calibri" w:eastAsia="Times New Roman" w:hAnsi="Calibri" w:cs="Times New Roman"/>
                <w:sz w:val="20"/>
                <w:szCs w:val="20"/>
                <w:lang w:eastAsia="en-AU"/>
              </w:rPr>
              <w:t>22</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w:t>
            </w:r>
            <w:r>
              <w:rPr>
                <w:rFonts w:ascii="Calibri" w:eastAsia="Times New Roman" w:hAnsi="Calibri" w:cs="Times New Roman"/>
                <w:sz w:val="20"/>
                <w:szCs w:val="20"/>
                <w:lang w:eastAsia="en-AU"/>
              </w:rPr>
              <w:t>51</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19</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25</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0</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6</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22</w:t>
            </w:r>
          </w:p>
        </w:tc>
        <w:tc>
          <w:tcPr>
            <w:tcW w:w="780" w:type="dxa"/>
            <w:tcBorders>
              <w:top w:val="nil"/>
              <w:left w:val="nil"/>
              <w:bottom w:val="nil"/>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7</w:t>
            </w:r>
            <w:r w:rsidRPr="00FB268F">
              <w:rPr>
                <w:rFonts w:ascii="Calibri" w:eastAsia="Times New Roman" w:hAnsi="Calibri" w:cs="Times New Roman"/>
                <w:sz w:val="20"/>
                <w:szCs w:val="20"/>
                <w:lang w:eastAsia="en-AU"/>
              </w:rPr>
              <w:t>3</w:t>
            </w:r>
          </w:p>
        </w:tc>
      </w:tr>
      <w:tr w:rsidR="003350EA" w:rsidRPr="00FB268F" w:rsidTr="00245744">
        <w:trPr>
          <w:trHeight w:val="315"/>
        </w:trPr>
        <w:tc>
          <w:tcPr>
            <w:tcW w:w="192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Dollars per capita</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w:t>
            </w:r>
            <w:r>
              <w:rPr>
                <w:rFonts w:ascii="Calibri" w:eastAsia="Times New Roman" w:hAnsi="Calibri" w:cs="Times New Roman"/>
                <w:sz w:val="20"/>
                <w:szCs w:val="20"/>
                <w:lang w:eastAsia="en-AU"/>
              </w:rPr>
              <w:t>3</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w:t>
            </w:r>
            <w:r>
              <w:rPr>
                <w:rFonts w:ascii="Calibri" w:eastAsia="Times New Roman" w:hAnsi="Calibri" w:cs="Times New Roman"/>
                <w:sz w:val="20"/>
                <w:szCs w:val="20"/>
                <w:lang w:eastAsia="en-AU"/>
              </w:rPr>
              <w:t>8</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4</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10</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0</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3</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sidRPr="00FB268F">
              <w:rPr>
                <w:rFonts w:ascii="Calibri" w:eastAsia="Times New Roman" w:hAnsi="Calibri" w:cs="Times New Roman"/>
                <w:sz w:val="20"/>
                <w:szCs w:val="20"/>
                <w:lang w:eastAsia="en-AU"/>
              </w:rPr>
              <w:t>1</w:t>
            </w:r>
            <w:r>
              <w:rPr>
                <w:rFonts w:ascii="Calibri" w:eastAsia="Times New Roman" w:hAnsi="Calibri" w:cs="Times New Roman"/>
                <w:sz w:val="20"/>
                <w:szCs w:val="20"/>
                <w:lang w:eastAsia="en-AU"/>
              </w:rPr>
              <w:t>5</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90</w:t>
            </w:r>
          </w:p>
        </w:tc>
        <w:tc>
          <w:tcPr>
            <w:tcW w:w="780" w:type="dxa"/>
            <w:tcBorders>
              <w:top w:val="nil"/>
              <w:left w:val="nil"/>
              <w:bottom w:val="single" w:sz="4" w:space="0" w:color="auto"/>
              <w:right w:val="nil"/>
            </w:tcBorders>
            <w:shd w:val="clear" w:color="auto" w:fill="auto"/>
            <w:noWrap/>
            <w:vAlign w:val="bottom"/>
            <w:hideMark/>
          </w:tcPr>
          <w:p w:rsidR="003350EA" w:rsidRPr="00FB268F" w:rsidRDefault="003350EA" w:rsidP="00245744">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3</w:t>
            </w:r>
          </w:p>
        </w:tc>
      </w:tr>
    </w:tbl>
    <w:p w:rsidR="003350EA" w:rsidRPr="00FB268F" w:rsidRDefault="003350EA" w:rsidP="003350EA">
      <w:pPr>
        <w:pStyle w:val="CGCTableFootnote"/>
      </w:pPr>
      <w:r>
        <w:t>Source:</w:t>
      </w:r>
      <w:r>
        <w:tab/>
        <w:t>Commission calculation for the 2018 Update.</w:t>
      </w:r>
    </w:p>
    <w:p w:rsidR="003350EA" w:rsidRDefault="003350EA" w:rsidP="003350EA">
      <w:pPr>
        <w:pStyle w:val="Heading3"/>
      </w:pPr>
      <w:bookmarkStart w:id="30" w:name="_Toc511381428"/>
      <w:bookmarkStart w:id="31" w:name="_Toc511381495"/>
      <w:r>
        <w:t>I</w:t>
      </w:r>
      <w:r w:rsidR="00FA43AF">
        <w:t>SSUES AND ANALYSIS</w:t>
      </w:r>
      <w:bookmarkEnd w:id="30"/>
      <w:bookmarkEnd w:id="31"/>
    </w:p>
    <w:p w:rsidR="003350EA" w:rsidRPr="0014298B" w:rsidRDefault="003350EA" w:rsidP="00F77905">
      <w:pPr>
        <w:pStyle w:val="Heading4"/>
        <w:tabs>
          <w:tab w:val="center" w:pos="4475"/>
        </w:tabs>
      </w:pPr>
      <w:bookmarkStart w:id="32" w:name="_Toc511381429"/>
      <w:bookmarkStart w:id="33" w:name="_Toc511381496"/>
      <w:r>
        <w:t>Indigenous cost loading</w:t>
      </w:r>
      <w:bookmarkEnd w:id="32"/>
      <w:bookmarkEnd w:id="33"/>
    </w:p>
    <w:p w:rsidR="003350EA" w:rsidRPr="00125664" w:rsidRDefault="003350EA" w:rsidP="003350EA">
      <w:pPr>
        <w:pStyle w:val="CGCNumberedPara"/>
        <w:numPr>
          <w:ilvl w:val="1"/>
          <w:numId w:val="3"/>
        </w:numPr>
      </w:pPr>
      <w:r>
        <w:t>In the 2015 Review</w:t>
      </w:r>
      <w:r w:rsidR="00790D12">
        <w:t>,</w:t>
      </w:r>
      <w:r>
        <w:t xml:space="preserve"> the Commission applied a 35% loading to Indigenous contact hours to recognise the higher cost of providing services to Indigenous students. The current I</w:t>
      </w:r>
      <w:r w:rsidRPr="00CB166A">
        <w:t xml:space="preserve">ndigenous cost loading </w:t>
      </w:r>
      <w:r>
        <w:t>is</w:t>
      </w:r>
      <w:r w:rsidRPr="00CB166A">
        <w:t xml:space="preserve"> based on data collected from States for the 2015</w:t>
      </w:r>
      <w:r>
        <w:t> Review.</w:t>
      </w:r>
    </w:p>
    <w:p w:rsidR="003350EA" w:rsidRDefault="003350EA" w:rsidP="003350EA">
      <w:pPr>
        <w:pStyle w:val="CGCNumberedPara"/>
        <w:numPr>
          <w:ilvl w:val="1"/>
          <w:numId w:val="3"/>
        </w:numPr>
      </w:pPr>
      <w:r>
        <w:t>We observe that all</w:t>
      </w:r>
      <w:r w:rsidRPr="001B4872">
        <w:t xml:space="preserve"> States provide </w:t>
      </w:r>
      <w:r>
        <w:t xml:space="preserve">additional assistance for </w:t>
      </w:r>
      <w:r w:rsidRPr="001B4872">
        <w:t xml:space="preserve">Indigenous students </w:t>
      </w:r>
      <w:r>
        <w:t xml:space="preserve">in one form or another including supplementary support </w:t>
      </w:r>
      <w:r w:rsidRPr="001B4872">
        <w:t>services</w:t>
      </w:r>
      <w:r>
        <w:t>, fee concessions or exemptions,</w:t>
      </w:r>
      <w:r w:rsidRPr="001B4872">
        <w:t xml:space="preserve"> </w:t>
      </w:r>
      <w:r>
        <w:t>and</w:t>
      </w:r>
      <w:r w:rsidRPr="001B4872">
        <w:t xml:space="preserve"> </w:t>
      </w:r>
      <w:r>
        <w:t>cost loadings applied to subsidies for Indigenous students</w:t>
      </w:r>
      <w:r w:rsidRPr="001B4872">
        <w:t xml:space="preserve">. </w:t>
      </w:r>
      <w:r w:rsidR="00E142A9">
        <w:t xml:space="preserve">The funding models of </w:t>
      </w:r>
      <w:r w:rsidRPr="001B4872">
        <w:t>New</w:t>
      </w:r>
      <w:r>
        <w:t> South </w:t>
      </w:r>
      <w:r w:rsidRPr="001B4872">
        <w:t xml:space="preserve">Wales, Victoria and Western Australia </w:t>
      </w:r>
      <w:r w:rsidR="00E142A9">
        <w:t>include</w:t>
      </w:r>
      <w:r w:rsidRPr="001B4872">
        <w:t xml:space="preserve"> Indigenous loading</w:t>
      </w:r>
      <w:r>
        <w:t>s</w:t>
      </w:r>
      <w:r w:rsidRPr="001B4872">
        <w:t xml:space="preserve"> (15%, 50% and 40% respectively).</w:t>
      </w:r>
      <w:r>
        <w:t xml:space="preserve"> The ACT also provides an Indigenous loading of $500 per student.</w:t>
      </w:r>
      <w:r w:rsidR="00E142A9">
        <w:t xml:space="preserve"> Most other States provide support for Indigenous students </w:t>
      </w:r>
      <w:r w:rsidRPr="001B4872">
        <w:t>by directly funding the services that the</w:t>
      </w:r>
      <w:r w:rsidR="00E142A9">
        <w:t xml:space="preserve"> </w:t>
      </w:r>
      <w:r w:rsidRPr="001B4872">
        <w:t xml:space="preserve">loadings </w:t>
      </w:r>
      <w:r w:rsidR="00E142A9">
        <w:t>facilitate</w:t>
      </w:r>
      <w:r>
        <w:t xml:space="preserve">. Support services broadly include career and course advice services, advice services </w:t>
      </w:r>
      <w:r>
        <w:lastRenderedPageBreak/>
        <w:t>for starting and running businesses, student mentoring, and assistance in finding apprenticeships and traineeships.</w:t>
      </w:r>
    </w:p>
    <w:p w:rsidR="00790D12" w:rsidRDefault="00790D12" w:rsidP="003350EA">
      <w:pPr>
        <w:pStyle w:val="CGCNumberedPara"/>
        <w:numPr>
          <w:ilvl w:val="1"/>
          <w:numId w:val="3"/>
        </w:numPr>
      </w:pPr>
      <w:r>
        <w:t xml:space="preserve">Based on these observations, </w:t>
      </w:r>
      <w:proofErr w:type="gramStart"/>
      <w:r>
        <w:t>staff propose</w:t>
      </w:r>
      <w:proofErr w:type="gramEnd"/>
      <w:r>
        <w:t xml:space="preserve"> to retain an Indigenous cost loading in the 2020 Review. We propose to collect new data from States to recalculate the loading for the 2020 Review.</w:t>
      </w:r>
    </w:p>
    <w:p w:rsidR="003350EA" w:rsidRDefault="003350EA" w:rsidP="001A169F">
      <w:pPr>
        <w:pStyle w:val="NoSpacing"/>
      </w:pPr>
    </w:p>
    <w:tbl>
      <w:tblPr>
        <w:tblW w:w="0" w:type="auto"/>
        <w:tblInd w:w="108" w:type="dxa"/>
        <w:shd w:val="clear" w:color="auto" w:fill="D9F3E6"/>
        <w:tblLook w:val="04A0" w:firstRow="1" w:lastRow="0" w:firstColumn="1" w:lastColumn="0" w:noHBand="0" w:noVBand="1"/>
      </w:tblPr>
      <w:tblGrid>
        <w:gridCol w:w="8931"/>
      </w:tblGrid>
      <w:tr w:rsidR="003350EA" w:rsidRPr="00E674AF" w:rsidTr="00245744">
        <w:tc>
          <w:tcPr>
            <w:tcW w:w="8931" w:type="dxa"/>
            <w:shd w:val="clear" w:color="auto" w:fill="D9F3E6"/>
          </w:tcPr>
          <w:p w:rsidR="003350EA" w:rsidRPr="00E674AF" w:rsidRDefault="003350EA" w:rsidP="00245744">
            <w:r w:rsidRPr="00B7517F">
              <w:t>Staff propose to recommend the Commission:</w:t>
            </w:r>
          </w:p>
          <w:p w:rsidR="003350EA" w:rsidRPr="00E674AF" w:rsidRDefault="00703151" w:rsidP="00790D12">
            <w:pPr>
              <w:pStyle w:val="CGCBulletlist"/>
              <w:numPr>
                <w:ilvl w:val="0"/>
                <w:numId w:val="1"/>
              </w:numPr>
              <w:tabs>
                <w:tab w:val="clear" w:pos="927"/>
                <w:tab w:val="clear" w:pos="1134"/>
              </w:tabs>
              <w:ind w:left="1134" w:hanging="567"/>
            </w:pPr>
            <w:proofErr w:type="gramStart"/>
            <w:r>
              <w:t>r</w:t>
            </w:r>
            <w:r w:rsidR="003350EA">
              <w:t>etain</w:t>
            </w:r>
            <w:proofErr w:type="gramEnd"/>
            <w:r w:rsidR="003350EA">
              <w:t xml:space="preserve"> the Indigenous cost loading </w:t>
            </w:r>
            <w:r>
              <w:t xml:space="preserve">but update the loading </w:t>
            </w:r>
            <w:r w:rsidR="003350EA">
              <w:t xml:space="preserve"> using </w:t>
            </w:r>
            <w:r>
              <w:t xml:space="preserve">State provided </w:t>
            </w:r>
            <w:r w:rsidR="003350EA">
              <w:t>data</w:t>
            </w:r>
            <w:r>
              <w:t xml:space="preserve"> reflecting current spending</w:t>
            </w:r>
            <w:r w:rsidR="00790D12">
              <w:t xml:space="preserve"> allocations</w:t>
            </w:r>
            <w:r>
              <w:t>.</w:t>
            </w:r>
          </w:p>
        </w:tc>
      </w:tr>
    </w:tbl>
    <w:p w:rsidR="003350EA" w:rsidRDefault="003350EA" w:rsidP="003350EA">
      <w:pPr>
        <w:pStyle w:val="Heading4"/>
      </w:pPr>
      <w:bookmarkStart w:id="34" w:name="_Toc511381430"/>
      <w:bookmarkStart w:id="35" w:name="_Toc511381497"/>
      <w:r>
        <w:t>Remoteness cost loadings</w:t>
      </w:r>
      <w:bookmarkEnd w:id="34"/>
      <w:bookmarkEnd w:id="35"/>
    </w:p>
    <w:p w:rsidR="003350EA" w:rsidRDefault="003350EA" w:rsidP="003350EA">
      <w:pPr>
        <w:pStyle w:val="CGCNumberedPara"/>
        <w:numPr>
          <w:ilvl w:val="1"/>
          <w:numId w:val="3"/>
        </w:numPr>
      </w:pPr>
      <w:r>
        <w:t>In the 2015 Review</w:t>
      </w:r>
      <w:r w:rsidR="0048355D">
        <w:t>,</w:t>
      </w:r>
      <w:r>
        <w:t xml:space="preserve"> the Commission recognised the higher costs of providing VET services in remote regions by applying a remoteness cost loading to remote and very remote contact hours. The cost loading was based on the general regional cost gradient derived from schools and police data because there were no post-secondary cost data available. A medium discount (25%) was applied to the general gradient before it was applied because the Commission was not sure how well it reflected what was happening in areas other than schools and police.</w:t>
      </w:r>
    </w:p>
    <w:p w:rsidR="003350EA" w:rsidRDefault="003350EA" w:rsidP="003350EA">
      <w:pPr>
        <w:pStyle w:val="CGCNumberedPara"/>
        <w:numPr>
          <w:ilvl w:val="1"/>
          <w:numId w:val="3"/>
        </w:numPr>
      </w:pPr>
      <w:r>
        <w:t xml:space="preserve">There remains a strong conceptual case for applying a regional cost loading in this category. We observe that all States except Tasmania and the ACT apply remoteness loadings for training delivered by RTOs located </w:t>
      </w:r>
      <w:r w:rsidR="00790D12">
        <w:t>outside major cities</w:t>
      </w:r>
      <w:r>
        <w:t>.</w:t>
      </w:r>
    </w:p>
    <w:p w:rsidR="00352005" w:rsidRDefault="003350EA" w:rsidP="00352005">
      <w:pPr>
        <w:pStyle w:val="CGCNumberedPara"/>
      </w:pPr>
      <w:proofErr w:type="gramStart"/>
      <w:r w:rsidRPr="00560893">
        <w:t>Staff have</w:t>
      </w:r>
      <w:proofErr w:type="gramEnd"/>
      <w:r w:rsidRPr="00560893">
        <w:t xml:space="preserve"> calculated category specific remoteness loading</w:t>
      </w:r>
      <w:r>
        <w:t xml:space="preserve">s for post-secondary education which we propose to use for the 2020 Review. </w:t>
      </w:r>
      <w:r w:rsidRPr="00560893">
        <w:t xml:space="preserve">The </w:t>
      </w:r>
      <w:r w:rsidR="007611E5">
        <w:t>new</w:t>
      </w:r>
      <w:r w:rsidRPr="00560893">
        <w:t xml:space="preserve"> loadings are based on NCVER </w:t>
      </w:r>
      <w:r>
        <w:t>contact hours</w:t>
      </w:r>
      <w:r w:rsidRPr="00560893">
        <w:t xml:space="preserve"> by delivery location and </w:t>
      </w:r>
      <w:r>
        <w:t xml:space="preserve">remoteness loadings sourced from </w:t>
      </w:r>
      <w:r w:rsidRPr="00560893">
        <w:t>State</w:t>
      </w:r>
      <w:r>
        <w:t xml:space="preserve"> funding models. Actual State remoteness loadings are shown in </w:t>
      </w:r>
      <w:r>
        <w:fldChar w:fldCharType="begin"/>
      </w:r>
      <w:r>
        <w:instrText xml:space="preserve"> REF _Ref497229496 \h </w:instrText>
      </w:r>
      <w:r>
        <w:fldChar w:fldCharType="separate"/>
      </w:r>
      <w:r w:rsidR="00084BE6">
        <w:t xml:space="preserve">Table </w:t>
      </w:r>
      <w:r w:rsidR="00084BE6">
        <w:rPr>
          <w:noProof/>
        </w:rPr>
        <w:t>3</w:t>
      </w:r>
      <w:r>
        <w:fldChar w:fldCharType="end"/>
      </w:r>
      <w:r w:rsidR="00352005">
        <w:t xml:space="preserve">. </w:t>
      </w:r>
    </w:p>
    <w:p w:rsidR="00352005" w:rsidRDefault="00352005" w:rsidP="00352005">
      <w:pPr>
        <w:pStyle w:val="CGCTableHeading"/>
      </w:pPr>
      <w:bookmarkStart w:id="36" w:name="_Ref497229496"/>
      <w:r>
        <w:t xml:space="preserve">Table </w:t>
      </w:r>
      <w:r w:rsidR="00CD1BBF">
        <w:fldChar w:fldCharType="begin"/>
      </w:r>
      <w:r w:rsidR="00CD1BBF">
        <w:instrText xml:space="preserve"> SEQ Table \* ARABIC </w:instrText>
      </w:r>
      <w:r w:rsidR="00CD1BBF">
        <w:fldChar w:fldCharType="separate"/>
      </w:r>
      <w:r>
        <w:rPr>
          <w:noProof/>
        </w:rPr>
        <w:t>3</w:t>
      </w:r>
      <w:r w:rsidR="00CD1BBF">
        <w:rPr>
          <w:noProof/>
        </w:rPr>
        <w:fldChar w:fldCharType="end"/>
      </w:r>
      <w:bookmarkEnd w:id="36"/>
      <w:r>
        <w:rPr>
          <w:noProof/>
        </w:rPr>
        <w:tab/>
        <w:t>Actual State loadings by remoteness area</w:t>
      </w:r>
    </w:p>
    <w:tbl>
      <w:tblPr>
        <w:tblW w:w="8940" w:type="dxa"/>
        <w:tblLayout w:type="fixed"/>
        <w:tblCellMar>
          <w:left w:w="0" w:type="dxa"/>
          <w:right w:w="0" w:type="dxa"/>
        </w:tblCellMar>
        <w:tblLook w:val="04A0" w:firstRow="1" w:lastRow="0" w:firstColumn="1" w:lastColumn="0" w:noHBand="0" w:noVBand="1"/>
      </w:tblPr>
      <w:tblGrid>
        <w:gridCol w:w="2700"/>
        <w:gridCol w:w="760"/>
        <w:gridCol w:w="800"/>
        <w:gridCol w:w="760"/>
        <w:gridCol w:w="760"/>
        <w:gridCol w:w="760"/>
        <w:gridCol w:w="800"/>
        <w:gridCol w:w="800"/>
        <w:gridCol w:w="800"/>
      </w:tblGrid>
      <w:tr w:rsidR="00352005" w:rsidRPr="00431E0C" w:rsidTr="00126C12">
        <w:trPr>
          <w:trHeight w:val="375"/>
        </w:trPr>
        <w:tc>
          <w:tcPr>
            <w:tcW w:w="270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 </w:t>
            </w:r>
          </w:p>
        </w:tc>
        <w:tc>
          <w:tcPr>
            <w:tcW w:w="76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NSW</w:t>
            </w:r>
          </w:p>
        </w:tc>
        <w:tc>
          <w:tcPr>
            <w:tcW w:w="80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Vic (a)</w:t>
            </w:r>
          </w:p>
        </w:tc>
        <w:tc>
          <w:tcPr>
            <w:tcW w:w="76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SA</w:t>
            </w:r>
          </w:p>
        </w:tc>
        <w:tc>
          <w:tcPr>
            <w:tcW w:w="80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Tas (b)</w:t>
            </w:r>
          </w:p>
        </w:tc>
        <w:tc>
          <w:tcPr>
            <w:tcW w:w="80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ACT</w:t>
            </w:r>
          </w:p>
        </w:tc>
        <w:tc>
          <w:tcPr>
            <w:tcW w:w="800" w:type="dxa"/>
            <w:tcBorders>
              <w:top w:val="single" w:sz="4" w:space="0" w:color="auto"/>
              <w:left w:val="nil"/>
              <w:bottom w:val="single" w:sz="4" w:space="0" w:color="auto"/>
              <w:right w:val="nil"/>
            </w:tcBorders>
            <w:shd w:val="clear" w:color="auto" w:fill="auto"/>
            <w:noWrap/>
            <w:vAlign w:val="center"/>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NT (c)</w:t>
            </w:r>
          </w:p>
        </w:tc>
      </w:tr>
      <w:tr w:rsidR="00352005" w:rsidRPr="00431E0C" w:rsidTr="00126C12">
        <w:trPr>
          <w:trHeight w:val="315"/>
        </w:trPr>
        <w:tc>
          <w:tcPr>
            <w:tcW w:w="27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37" w:name="RANGE!A13:I17"/>
            <w:r w:rsidRPr="00431E0C">
              <w:rPr>
                <w:rFonts w:ascii="Calibri" w:eastAsia="Times New Roman" w:hAnsi="Calibri" w:cs="Times New Roman"/>
                <w:color w:val="000000"/>
                <w:sz w:val="20"/>
                <w:szCs w:val="20"/>
                <w:lang w:eastAsia="en-AU"/>
              </w:rPr>
              <w:t>Major Cities of Australia</w:t>
            </w:r>
            <w:bookmarkEnd w:id="37"/>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1.01</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na</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na</w:t>
            </w:r>
          </w:p>
        </w:tc>
      </w:tr>
      <w:tr w:rsidR="00352005" w:rsidRPr="00431E0C" w:rsidTr="00126C12">
        <w:trPr>
          <w:trHeight w:val="315"/>
        </w:trPr>
        <w:tc>
          <w:tcPr>
            <w:tcW w:w="27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Inner Regional Australia</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1.14</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1.11</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na</w:t>
            </w:r>
          </w:p>
        </w:tc>
      </w:tr>
      <w:tr w:rsidR="00352005" w:rsidRPr="00431E0C" w:rsidTr="00126C12">
        <w:trPr>
          <w:trHeight w:val="315"/>
        </w:trPr>
        <w:tc>
          <w:tcPr>
            <w:tcW w:w="27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Outer Regional Australia</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1.17</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1.33</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1.12</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1.00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1.19</w:t>
            </w:r>
          </w:p>
        </w:tc>
      </w:tr>
      <w:tr w:rsidR="00352005" w:rsidRPr="00431E0C" w:rsidTr="00126C12">
        <w:trPr>
          <w:trHeight w:val="315"/>
        </w:trPr>
        <w:tc>
          <w:tcPr>
            <w:tcW w:w="27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Remote Australia</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1.20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1.52</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1.96</w:t>
            </w:r>
          </w:p>
        </w:tc>
        <w:tc>
          <w:tcPr>
            <w:tcW w:w="76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1.23</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na</w:t>
            </w:r>
          </w:p>
        </w:tc>
        <w:tc>
          <w:tcPr>
            <w:tcW w:w="800" w:type="dxa"/>
            <w:tcBorders>
              <w:top w:val="nil"/>
              <w:left w:val="nil"/>
              <w:bottom w:val="nil"/>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1.26</w:t>
            </w:r>
          </w:p>
        </w:tc>
      </w:tr>
      <w:tr w:rsidR="00352005" w:rsidRPr="00431E0C" w:rsidTr="00126C12">
        <w:trPr>
          <w:trHeight w:val="315"/>
        </w:trPr>
        <w:tc>
          <w:tcPr>
            <w:tcW w:w="270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Very Remote Australia</w:t>
            </w:r>
          </w:p>
        </w:tc>
        <w:tc>
          <w:tcPr>
            <w:tcW w:w="76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1.20</w:t>
            </w:r>
          </w:p>
        </w:tc>
        <w:tc>
          <w:tcPr>
            <w:tcW w:w="80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na</w:t>
            </w:r>
          </w:p>
        </w:tc>
        <w:tc>
          <w:tcPr>
            <w:tcW w:w="76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1.92</w:t>
            </w:r>
          </w:p>
        </w:tc>
        <w:tc>
          <w:tcPr>
            <w:tcW w:w="76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1.97</w:t>
            </w:r>
          </w:p>
        </w:tc>
        <w:tc>
          <w:tcPr>
            <w:tcW w:w="76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1.36</w:t>
            </w:r>
          </w:p>
        </w:tc>
        <w:tc>
          <w:tcPr>
            <w:tcW w:w="80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1.10</w:t>
            </w:r>
          </w:p>
        </w:tc>
        <w:tc>
          <w:tcPr>
            <w:tcW w:w="80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na</w:t>
            </w:r>
          </w:p>
        </w:tc>
        <w:tc>
          <w:tcPr>
            <w:tcW w:w="800" w:type="dxa"/>
            <w:tcBorders>
              <w:top w:val="nil"/>
              <w:left w:val="nil"/>
              <w:bottom w:val="single" w:sz="4" w:space="0" w:color="auto"/>
              <w:right w:val="nil"/>
            </w:tcBorders>
            <w:shd w:val="clear" w:color="auto" w:fill="auto"/>
            <w:vAlign w:val="bottom"/>
            <w:hideMark/>
          </w:tcPr>
          <w:p w:rsidR="00352005" w:rsidRPr="00431E0C" w:rsidRDefault="00352005" w:rsidP="00126C12">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431E0C">
              <w:rPr>
                <w:rFonts w:ascii="Calibri" w:eastAsia="Times New Roman" w:hAnsi="Calibri" w:cs="Times New Roman"/>
                <w:color w:val="000000"/>
                <w:sz w:val="20"/>
                <w:szCs w:val="20"/>
                <w:lang w:eastAsia="en-AU"/>
              </w:rPr>
              <w:t>1.76</w:t>
            </w:r>
          </w:p>
        </w:tc>
      </w:tr>
    </w:tbl>
    <w:p w:rsidR="00352005" w:rsidRPr="00352005" w:rsidRDefault="00352005" w:rsidP="00352005">
      <w:pPr>
        <w:pStyle w:val="CGCTableFootnote"/>
      </w:pPr>
      <w:r>
        <w:t>Note:</w:t>
      </w:r>
      <w:r>
        <w:tab/>
        <w:t xml:space="preserve">Some </w:t>
      </w:r>
      <w:r w:rsidRPr="00352005">
        <w:t>minor errors in the previously circulated calculations have been corrected.</w:t>
      </w:r>
    </w:p>
    <w:p w:rsidR="00352005" w:rsidRPr="00352005" w:rsidRDefault="00352005" w:rsidP="00352005">
      <w:pPr>
        <w:pStyle w:val="CGCTableFootnote"/>
      </w:pPr>
      <w:r w:rsidRPr="00352005">
        <w:t>(a)</w:t>
      </w:r>
      <w:r w:rsidRPr="00352005">
        <w:tab/>
        <w:t>Victoria major cities average is non-zero as Victoria applies loadings to some postcodes that are classified as major cities by the ABS.</w:t>
      </w:r>
    </w:p>
    <w:p w:rsidR="00352005" w:rsidRPr="00352005" w:rsidRDefault="00352005" w:rsidP="00352005">
      <w:pPr>
        <w:pStyle w:val="CGCTableFootnote"/>
      </w:pPr>
      <w:r w:rsidRPr="00352005">
        <w:t xml:space="preserve">(b) </w:t>
      </w:r>
      <w:r w:rsidRPr="00352005">
        <w:tab/>
        <w:t>Tasmania’s loadings have been generated to account for Hobart being classified as inner regional.</w:t>
      </w:r>
    </w:p>
    <w:p w:rsidR="00352005" w:rsidRPr="00352005" w:rsidRDefault="00352005" w:rsidP="00352005">
      <w:pPr>
        <w:pStyle w:val="CGCTableFootnote"/>
      </w:pPr>
      <w:r w:rsidRPr="00352005">
        <w:t xml:space="preserve">(c) </w:t>
      </w:r>
      <w:r w:rsidRPr="00352005">
        <w:tab/>
        <w:t>The Northern Territory’s loadings have been adjusted to account for Darwin being classified as outer regional.</w:t>
      </w:r>
    </w:p>
    <w:p w:rsidR="00352005" w:rsidRDefault="00352005" w:rsidP="00352005">
      <w:pPr>
        <w:pStyle w:val="CGCTableFootnote"/>
      </w:pPr>
      <w:r>
        <w:t>Source:</w:t>
      </w:r>
      <w:r>
        <w:tab/>
        <w:t>Regional loadings contained in State funding models sourced from State agency websites. Staff requested data from the Northern Territory.</w:t>
      </w:r>
    </w:p>
    <w:p w:rsidR="00352005" w:rsidRDefault="003350EA" w:rsidP="00352005">
      <w:pPr>
        <w:pStyle w:val="CGCNumberedPara"/>
      </w:pPr>
      <w:r>
        <w:lastRenderedPageBreak/>
        <w:t xml:space="preserve"> </w:t>
      </w:r>
      <w:r w:rsidR="00352005">
        <w:t>T</w:t>
      </w:r>
      <w:r>
        <w:t xml:space="preserve">he average loadings we have calculated for each remoteness area are shown in </w:t>
      </w:r>
      <w:r>
        <w:fldChar w:fldCharType="begin"/>
      </w:r>
      <w:r>
        <w:instrText xml:space="preserve"> REF _Ref497229463 \h </w:instrText>
      </w:r>
      <w:r>
        <w:fldChar w:fldCharType="separate"/>
      </w:r>
      <w:r w:rsidR="00084BE6">
        <w:t xml:space="preserve">Table </w:t>
      </w:r>
      <w:r w:rsidR="00084BE6">
        <w:rPr>
          <w:noProof/>
        </w:rPr>
        <w:t>4</w:t>
      </w:r>
      <w:r>
        <w:fldChar w:fldCharType="end"/>
      </w:r>
      <w:r>
        <w:t xml:space="preserve">. </w:t>
      </w:r>
      <w:r>
        <w:fldChar w:fldCharType="begin"/>
      </w:r>
      <w:r>
        <w:instrText xml:space="preserve"> REF _Ref497229463 \h </w:instrText>
      </w:r>
      <w:r>
        <w:fldChar w:fldCharType="separate"/>
      </w:r>
      <w:r w:rsidR="00084BE6">
        <w:t xml:space="preserve">Table </w:t>
      </w:r>
      <w:r w:rsidR="00084BE6">
        <w:rPr>
          <w:noProof/>
        </w:rPr>
        <w:t>4</w:t>
      </w:r>
      <w:r>
        <w:fldChar w:fldCharType="end"/>
      </w:r>
      <w:r>
        <w:t xml:space="preserve"> also compares the new loadings with the general regional costs gradient for the 2017 Update. States have been provided with the detailed calculations underlying the average loadings shown in </w:t>
      </w:r>
      <w:r>
        <w:fldChar w:fldCharType="begin"/>
      </w:r>
      <w:r>
        <w:instrText xml:space="preserve"> REF _Ref497229463 \h </w:instrText>
      </w:r>
      <w:r>
        <w:fldChar w:fldCharType="separate"/>
      </w:r>
      <w:r w:rsidR="00084BE6">
        <w:t xml:space="preserve">Table </w:t>
      </w:r>
      <w:r w:rsidR="00084BE6">
        <w:rPr>
          <w:noProof/>
        </w:rPr>
        <w:t>4</w:t>
      </w:r>
      <w:r>
        <w:fldChar w:fldCharType="end"/>
      </w:r>
      <w:r>
        <w:t>.</w:t>
      </w:r>
      <w:r w:rsidR="00352005">
        <w:t xml:space="preserve"> </w:t>
      </w:r>
      <w:r w:rsidR="00352005" w:rsidRPr="00352005">
        <w:t xml:space="preserve">The method we have used to calculate </w:t>
      </w:r>
      <w:r w:rsidR="000A0A93">
        <w:t xml:space="preserve">these </w:t>
      </w:r>
      <w:r w:rsidR="00352005" w:rsidRPr="00352005">
        <w:t>remoteness cost loadings should ensure we are not including any additional costs associated with a student’s Indigenous status.</w:t>
      </w:r>
    </w:p>
    <w:p w:rsidR="003350EA" w:rsidRDefault="003350EA" w:rsidP="003350EA">
      <w:pPr>
        <w:pStyle w:val="CGCTableHeading"/>
      </w:pPr>
      <w:bookmarkStart w:id="38" w:name="_Ref497229463"/>
      <w:r>
        <w:t xml:space="preserve">Table </w:t>
      </w:r>
      <w:r w:rsidR="00CD1BBF">
        <w:fldChar w:fldCharType="begin"/>
      </w:r>
      <w:r w:rsidR="00CD1BBF">
        <w:instrText xml:space="preserve"> SEQ Table \* ARABIC </w:instrText>
      </w:r>
      <w:r w:rsidR="00CD1BBF">
        <w:fldChar w:fldCharType="separate"/>
      </w:r>
      <w:r w:rsidR="00790D12">
        <w:rPr>
          <w:noProof/>
        </w:rPr>
        <w:t>4</w:t>
      </w:r>
      <w:r w:rsidR="00CD1BBF">
        <w:rPr>
          <w:noProof/>
        </w:rPr>
        <w:fldChar w:fldCharType="end"/>
      </w:r>
      <w:bookmarkEnd w:id="38"/>
      <w:r>
        <w:rPr>
          <w:noProof/>
        </w:rPr>
        <w:tab/>
        <w:t>National average remotess loadings and general gradient from the 20</w:t>
      </w:r>
      <w:r w:rsidR="007611E5">
        <w:rPr>
          <w:noProof/>
        </w:rPr>
        <w:t>18</w:t>
      </w:r>
      <w:r>
        <w:rPr>
          <w:noProof/>
        </w:rPr>
        <w:t> </w:t>
      </w:r>
      <w:r w:rsidR="007611E5">
        <w:rPr>
          <w:noProof/>
        </w:rPr>
        <w:t>Update</w:t>
      </w:r>
    </w:p>
    <w:tbl>
      <w:tblPr>
        <w:tblW w:w="8960" w:type="dxa"/>
        <w:tblInd w:w="93" w:type="dxa"/>
        <w:tblLook w:val="04A0" w:firstRow="1" w:lastRow="0" w:firstColumn="1" w:lastColumn="0" w:noHBand="0" w:noVBand="1"/>
      </w:tblPr>
      <w:tblGrid>
        <w:gridCol w:w="3500"/>
        <w:gridCol w:w="1700"/>
        <w:gridCol w:w="1880"/>
        <w:gridCol w:w="1880"/>
      </w:tblGrid>
      <w:tr w:rsidR="00352005" w:rsidRPr="00352005" w:rsidTr="00352005">
        <w:trPr>
          <w:trHeight w:val="555"/>
        </w:trPr>
        <w:tc>
          <w:tcPr>
            <w:tcW w:w="3500" w:type="dxa"/>
            <w:tcBorders>
              <w:top w:val="single" w:sz="4" w:space="0" w:color="auto"/>
              <w:left w:val="nil"/>
              <w:bottom w:val="single" w:sz="4" w:space="0" w:color="auto"/>
              <w:right w:val="nil"/>
            </w:tcBorders>
            <w:shd w:val="clear" w:color="auto" w:fill="auto"/>
            <w:noWrap/>
            <w:vAlign w:val="bottom"/>
            <w:hideMark/>
          </w:tcPr>
          <w:p w:rsidR="00352005" w:rsidRPr="00352005" w:rsidRDefault="00352005" w:rsidP="00352005">
            <w:pPr>
              <w:tabs>
                <w:tab w:val="clear" w:pos="567"/>
              </w:tabs>
              <w:spacing w:after="0" w:line="240" w:lineRule="auto"/>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 </w:t>
            </w:r>
          </w:p>
        </w:tc>
        <w:tc>
          <w:tcPr>
            <w:tcW w:w="1700" w:type="dxa"/>
            <w:tcBorders>
              <w:top w:val="single" w:sz="4" w:space="0" w:color="auto"/>
              <w:left w:val="nil"/>
              <w:bottom w:val="single" w:sz="4" w:space="0" w:color="auto"/>
              <w:right w:val="nil"/>
            </w:tcBorders>
            <w:shd w:val="clear" w:color="auto" w:fill="auto"/>
            <w:vAlign w:val="center"/>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National average loading</w:t>
            </w:r>
          </w:p>
        </w:tc>
        <w:tc>
          <w:tcPr>
            <w:tcW w:w="1880" w:type="dxa"/>
            <w:tcBorders>
              <w:top w:val="single" w:sz="4" w:space="0" w:color="auto"/>
              <w:left w:val="nil"/>
              <w:bottom w:val="single" w:sz="4" w:space="0" w:color="auto"/>
              <w:right w:val="nil"/>
            </w:tcBorders>
            <w:shd w:val="clear" w:color="auto" w:fill="auto"/>
            <w:vAlign w:val="center"/>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General gradient (undiscounted)</w:t>
            </w:r>
          </w:p>
        </w:tc>
        <w:tc>
          <w:tcPr>
            <w:tcW w:w="1880" w:type="dxa"/>
            <w:tcBorders>
              <w:top w:val="single" w:sz="4" w:space="0" w:color="auto"/>
              <w:left w:val="nil"/>
              <w:bottom w:val="single" w:sz="4" w:space="0" w:color="auto"/>
              <w:right w:val="nil"/>
            </w:tcBorders>
            <w:shd w:val="clear" w:color="auto" w:fill="auto"/>
            <w:vAlign w:val="center"/>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General gradient (discounted)</w:t>
            </w:r>
          </w:p>
        </w:tc>
      </w:tr>
      <w:tr w:rsidR="00352005" w:rsidRPr="00352005" w:rsidTr="00352005">
        <w:trPr>
          <w:trHeight w:val="315"/>
        </w:trPr>
        <w:tc>
          <w:tcPr>
            <w:tcW w:w="350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Major Cities of Australia</w:t>
            </w:r>
          </w:p>
        </w:tc>
        <w:tc>
          <w:tcPr>
            <w:tcW w:w="170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1.00</w:t>
            </w:r>
          </w:p>
        </w:tc>
        <w:tc>
          <w:tcPr>
            <w:tcW w:w="188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1.00</w:t>
            </w:r>
          </w:p>
        </w:tc>
        <w:tc>
          <w:tcPr>
            <w:tcW w:w="188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1.00</w:t>
            </w:r>
          </w:p>
        </w:tc>
      </w:tr>
      <w:tr w:rsidR="00352005" w:rsidRPr="00352005" w:rsidTr="00352005">
        <w:trPr>
          <w:trHeight w:val="315"/>
        </w:trPr>
        <w:tc>
          <w:tcPr>
            <w:tcW w:w="350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Inner Regional Australia</w:t>
            </w:r>
          </w:p>
        </w:tc>
        <w:tc>
          <w:tcPr>
            <w:tcW w:w="170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1.10</w:t>
            </w:r>
          </w:p>
        </w:tc>
        <w:tc>
          <w:tcPr>
            <w:tcW w:w="188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1.05</w:t>
            </w:r>
          </w:p>
        </w:tc>
        <w:tc>
          <w:tcPr>
            <w:tcW w:w="188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1.04</w:t>
            </w:r>
          </w:p>
        </w:tc>
      </w:tr>
      <w:tr w:rsidR="00352005" w:rsidRPr="00352005" w:rsidTr="00352005">
        <w:trPr>
          <w:trHeight w:val="315"/>
        </w:trPr>
        <w:tc>
          <w:tcPr>
            <w:tcW w:w="350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Outer Regional Australia</w:t>
            </w:r>
          </w:p>
        </w:tc>
        <w:tc>
          <w:tcPr>
            <w:tcW w:w="170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1.16</w:t>
            </w:r>
          </w:p>
        </w:tc>
        <w:tc>
          <w:tcPr>
            <w:tcW w:w="188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1.21</w:t>
            </w:r>
          </w:p>
        </w:tc>
        <w:tc>
          <w:tcPr>
            <w:tcW w:w="1880" w:type="dxa"/>
            <w:tcBorders>
              <w:top w:val="nil"/>
              <w:left w:val="nil"/>
              <w:bottom w:val="nil"/>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1.16</w:t>
            </w:r>
          </w:p>
        </w:tc>
      </w:tr>
      <w:tr w:rsidR="00352005" w:rsidRPr="00352005" w:rsidTr="00352005">
        <w:trPr>
          <w:trHeight w:val="315"/>
        </w:trPr>
        <w:tc>
          <w:tcPr>
            <w:tcW w:w="3500" w:type="dxa"/>
            <w:tcBorders>
              <w:top w:val="nil"/>
              <w:left w:val="nil"/>
              <w:bottom w:val="nil"/>
              <w:right w:val="nil"/>
            </w:tcBorders>
            <w:shd w:val="clear" w:color="auto" w:fill="auto"/>
            <w:noWrap/>
            <w:vAlign w:val="bottom"/>
            <w:hideMark/>
          </w:tcPr>
          <w:p w:rsidR="00352005" w:rsidRPr="00352005" w:rsidRDefault="00352005" w:rsidP="00352005">
            <w:pPr>
              <w:tabs>
                <w:tab w:val="clear" w:pos="567"/>
              </w:tabs>
              <w:spacing w:after="0" w:line="240" w:lineRule="auto"/>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Remote Australia</w:t>
            </w:r>
          </w:p>
        </w:tc>
        <w:tc>
          <w:tcPr>
            <w:tcW w:w="1700" w:type="dxa"/>
            <w:tcBorders>
              <w:top w:val="nil"/>
              <w:left w:val="nil"/>
              <w:bottom w:val="nil"/>
              <w:right w:val="nil"/>
            </w:tcBorders>
            <w:shd w:val="clear" w:color="auto" w:fill="auto"/>
            <w:noWrap/>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1.62</w:t>
            </w:r>
          </w:p>
        </w:tc>
        <w:tc>
          <w:tcPr>
            <w:tcW w:w="1880" w:type="dxa"/>
            <w:tcBorders>
              <w:top w:val="nil"/>
              <w:left w:val="nil"/>
              <w:bottom w:val="nil"/>
              <w:right w:val="nil"/>
            </w:tcBorders>
            <w:shd w:val="clear" w:color="auto" w:fill="auto"/>
            <w:noWrap/>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1.45</w:t>
            </w:r>
          </w:p>
        </w:tc>
        <w:tc>
          <w:tcPr>
            <w:tcW w:w="1880" w:type="dxa"/>
            <w:tcBorders>
              <w:top w:val="nil"/>
              <w:left w:val="nil"/>
              <w:bottom w:val="nil"/>
              <w:right w:val="nil"/>
            </w:tcBorders>
            <w:shd w:val="clear" w:color="auto" w:fill="auto"/>
            <w:noWrap/>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1.34</w:t>
            </w:r>
          </w:p>
        </w:tc>
      </w:tr>
      <w:tr w:rsidR="00352005" w:rsidRPr="00352005" w:rsidTr="00352005">
        <w:trPr>
          <w:trHeight w:val="315"/>
        </w:trPr>
        <w:tc>
          <w:tcPr>
            <w:tcW w:w="3500" w:type="dxa"/>
            <w:tcBorders>
              <w:top w:val="nil"/>
              <w:left w:val="nil"/>
              <w:bottom w:val="single" w:sz="4" w:space="0" w:color="auto"/>
              <w:right w:val="nil"/>
            </w:tcBorders>
            <w:shd w:val="clear" w:color="auto" w:fill="auto"/>
            <w:vAlign w:val="bottom"/>
            <w:hideMark/>
          </w:tcPr>
          <w:p w:rsidR="00352005" w:rsidRPr="00352005" w:rsidRDefault="00352005" w:rsidP="00352005">
            <w:pPr>
              <w:tabs>
                <w:tab w:val="clear" w:pos="567"/>
              </w:tabs>
              <w:spacing w:after="0" w:line="240" w:lineRule="auto"/>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Very Remote Australia</w:t>
            </w:r>
          </w:p>
        </w:tc>
        <w:tc>
          <w:tcPr>
            <w:tcW w:w="1700" w:type="dxa"/>
            <w:tcBorders>
              <w:top w:val="nil"/>
              <w:left w:val="nil"/>
              <w:bottom w:val="single" w:sz="4" w:space="0" w:color="auto"/>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1.87</w:t>
            </w:r>
          </w:p>
        </w:tc>
        <w:tc>
          <w:tcPr>
            <w:tcW w:w="1880" w:type="dxa"/>
            <w:tcBorders>
              <w:top w:val="nil"/>
              <w:left w:val="nil"/>
              <w:bottom w:val="single" w:sz="4" w:space="0" w:color="auto"/>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1.64</w:t>
            </w:r>
          </w:p>
        </w:tc>
        <w:tc>
          <w:tcPr>
            <w:tcW w:w="1880" w:type="dxa"/>
            <w:tcBorders>
              <w:top w:val="nil"/>
              <w:left w:val="nil"/>
              <w:bottom w:val="single" w:sz="4" w:space="0" w:color="auto"/>
              <w:right w:val="nil"/>
            </w:tcBorders>
            <w:shd w:val="clear" w:color="auto" w:fill="auto"/>
            <w:vAlign w:val="bottom"/>
            <w:hideMark/>
          </w:tcPr>
          <w:p w:rsidR="00352005" w:rsidRPr="00352005" w:rsidRDefault="00352005" w:rsidP="00352005">
            <w:pPr>
              <w:tabs>
                <w:tab w:val="clear" w:pos="567"/>
              </w:tabs>
              <w:spacing w:after="0" w:line="240" w:lineRule="auto"/>
              <w:jc w:val="right"/>
              <w:rPr>
                <w:rFonts w:ascii="Calibri" w:eastAsia="Times New Roman" w:hAnsi="Calibri" w:cs="Times New Roman"/>
                <w:color w:val="000000"/>
                <w:sz w:val="18"/>
                <w:szCs w:val="18"/>
                <w:lang w:eastAsia="en-AU"/>
              </w:rPr>
            </w:pPr>
            <w:r w:rsidRPr="00352005">
              <w:rPr>
                <w:rFonts w:ascii="Calibri" w:eastAsia="Times New Roman" w:hAnsi="Calibri" w:cs="Times New Roman"/>
                <w:color w:val="000000"/>
                <w:sz w:val="18"/>
                <w:szCs w:val="18"/>
                <w:lang w:eastAsia="en-AU"/>
              </w:rPr>
              <w:t>1.48</w:t>
            </w:r>
          </w:p>
        </w:tc>
      </w:tr>
    </w:tbl>
    <w:p w:rsidR="000A0A93" w:rsidRDefault="003D4158" w:rsidP="003350EA">
      <w:pPr>
        <w:pStyle w:val="CGCTableFootnote"/>
      </w:pPr>
      <w:r>
        <w:t>Note:</w:t>
      </w:r>
      <w:r>
        <w:tab/>
      </w:r>
      <w:r w:rsidRPr="000A0A93">
        <w:t xml:space="preserve">Some minor errors in the previously circulated calculations have been corrected. </w:t>
      </w:r>
    </w:p>
    <w:p w:rsidR="003350EA" w:rsidRPr="000A0A93" w:rsidRDefault="003350EA" w:rsidP="003350EA">
      <w:pPr>
        <w:pStyle w:val="CGCTableFootnote"/>
      </w:pPr>
      <w:r w:rsidRPr="000A0A93">
        <w:t>Source:</w:t>
      </w:r>
      <w:r w:rsidRPr="000A0A93">
        <w:tab/>
        <w:t>Staff calculation based on State remoteness loadings and NCVER hours data by remoteness area.</w:t>
      </w:r>
    </w:p>
    <w:p w:rsidR="007611E5" w:rsidRDefault="007611E5" w:rsidP="000A0A93">
      <w:pPr>
        <w:pStyle w:val="NoSpacing"/>
      </w:pPr>
    </w:p>
    <w:p w:rsidR="003350EA" w:rsidRDefault="003350EA" w:rsidP="003350EA">
      <w:pPr>
        <w:pStyle w:val="CGCNumberedPara"/>
        <w:numPr>
          <w:ilvl w:val="1"/>
          <w:numId w:val="3"/>
        </w:numPr>
      </w:pPr>
      <w:r>
        <w:t>In the current assessment</w:t>
      </w:r>
      <w:r w:rsidR="007611E5">
        <w:t>,</w:t>
      </w:r>
      <w:r>
        <w:t xml:space="preserve"> the remoteness cost loading is only applied to remote and very remote contact hours. </w:t>
      </w:r>
      <w:proofErr w:type="gramStart"/>
      <w:r>
        <w:t xml:space="preserve">Staff </w:t>
      </w:r>
      <w:r w:rsidR="003C3166">
        <w:t>have</w:t>
      </w:r>
      <w:proofErr w:type="gramEnd"/>
      <w:r w:rsidR="003C3166">
        <w:t xml:space="preserve"> tested the </w:t>
      </w:r>
      <w:r>
        <w:t>materiality of further disaggregating the SDC assessment to include additional remoteness areas.</w:t>
      </w:r>
      <w:r w:rsidR="003C3166">
        <w:t xml:space="preserve"> </w:t>
      </w:r>
      <w:r>
        <w:fldChar w:fldCharType="begin"/>
      </w:r>
      <w:r>
        <w:instrText xml:space="preserve"> REF _Ref507084810 \h </w:instrText>
      </w:r>
      <w:r>
        <w:fldChar w:fldCharType="separate"/>
      </w:r>
      <w:r w:rsidR="00084BE6">
        <w:t xml:space="preserve">Table </w:t>
      </w:r>
      <w:r w:rsidR="00084BE6">
        <w:rPr>
          <w:noProof/>
        </w:rPr>
        <w:t>5</w:t>
      </w:r>
      <w:r>
        <w:fldChar w:fldCharType="end"/>
      </w:r>
      <w:r>
        <w:t xml:space="preserve"> shows the </w:t>
      </w:r>
      <w:r w:rsidR="003C3166">
        <w:t xml:space="preserve">effect on the </w:t>
      </w:r>
      <w:r w:rsidR="000A0A93">
        <w:t xml:space="preserve">GST </w:t>
      </w:r>
      <w:r w:rsidR="000A0E1E">
        <w:t xml:space="preserve">redistribution of </w:t>
      </w:r>
      <w:r w:rsidR="00343D51">
        <w:t xml:space="preserve">using five remoteness areas instead of two, </w:t>
      </w:r>
      <w:r w:rsidR="00790D12">
        <w:t>based on</w:t>
      </w:r>
      <w:r w:rsidR="00343D51">
        <w:t xml:space="preserve"> the new remoteness loadings.</w:t>
      </w:r>
    </w:p>
    <w:p w:rsidR="003350EA" w:rsidRDefault="003350EA" w:rsidP="003350EA">
      <w:pPr>
        <w:pStyle w:val="Caption"/>
      </w:pPr>
      <w:bookmarkStart w:id="39" w:name="_Ref507084810"/>
      <w:r>
        <w:t xml:space="preserve">Table </w:t>
      </w:r>
      <w:r w:rsidR="00CD1BBF">
        <w:fldChar w:fldCharType="begin"/>
      </w:r>
      <w:r w:rsidR="00CD1BBF">
        <w:instrText xml:space="preserve"> SEQ Table \* ARABIC </w:instrText>
      </w:r>
      <w:r w:rsidR="00CD1BBF">
        <w:fldChar w:fldCharType="separate"/>
      </w:r>
      <w:r w:rsidR="00790D12">
        <w:rPr>
          <w:noProof/>
        </w:rPr>
        <w:t>5</w:t>
      </w:r>
      <w:r w:rsidR="00CD1BBF">
        <w:rPr>
          <w:noProof/>
        </w:rPr>
        <w:fldChar w:fldCharType="end"/>
      </w:r>
      <w:bookmarkEnd w:id="39"/>
      <w:r>
        <w:tab/>
        <w:t xml:space="preserve">Impact </w:t>
      </w:r>
      <w:r w:rsidR="000A0E1E">
        <w:t xml:space="preserve">on GST redistribution </w:t>
      </w:r>
      <w:r>
        <w:t>of new SDC breakdown and updated regional cost loadings</w:t>
      </w:r>
    </w:p>
    <w:tbl>
      <w:tblPr>
        <w:tblW w:w="8980" w:type="dxa"/>
        <w:tblInd w:w="93" w:type="dxa"/>
        <w:tblLayout w:type="fixed"/>
        <w:tblLook w:val="04A0" w:firstRow="1" w:lastRow="0" w:firstColumn="1" w:lastColumn="0" w:noHBand="0" w:noVBand="1"/>
      </w:tblPr>
      <w:tblGrid>
        <w:gridCol w:w="2283"/>
        <w:gridCol w:w="837"/>
        <w:gridCol w:w="837"/>
        <w:gridCol w:w="837"/>
        <w:gridCol w:w="837"/>
        <w:gridCol w:w="837"/>
        <w:gridCol w:w="837"/>
        <w:gridCol w:w="837"/>
        <w:gridCol w:w="838"/>
      </w:tblGrid>
      <w:tr w:rsidR="003350EA" w:rsidRPr="00821812" w:rsidTr="00FA43AF">
        <w:trPr>
          <w:trHeight w:val="379"/>
        </w:trPr>
        <w:tc>
          <w:tcPr>
            <w:tcW w:w="2283"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bookmarkStart w:id="40" w:name="RANGE!B2:J6"/>
            <w:bookmarkStart w:id="41" w:name="RANGE!F10:N12"/>
            <w:bookmarkEnd w:id="40"/>
            <w:r w:rsidRPr="00821812">
              <w:rPr>
                <w:rFonts w:ascii="Calibri" w:eastAsia="Times New Roman" w:hAnsi="Calibri" w:cs="Times New Roman"/>
                <w:color w:val="000000"/>
                <w:sz w:val="20"/>
                <w:szCs w:val="20"/>
                <w:lang w:eastAsia="en-AU"/>
              </w:rPr>
              <w:t> </w:t>
            </w:r>
            <w:bookmarkEnd w:id="41"/>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NSW</w:t>
            </w:r>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Vic</w:t>
            </w:r>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Qld</w:t>
            </w:r>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WA</w:t>
            </w:r>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SA</w:t>
            </w:r>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Tas</w:t>
            </w:r>
          </w:p>
        </w:tc>
        <w:tc>
          <w:tcPr>
            <w:tcW w:w="837"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ACT</w:t>
            </w:r>
          </w:p>
        </w:tc>
        <w:tc>
          <w:tcPr>
            <w:tcW w:w="838" w:type="dxa"/>
            <w:tcBorders>
              <w:top w:val="single" w:sz="4" w:space="0" w:color="auto"/>
              <w:left w:val="nil"/>
              <w:bottom w:val="single" w:sz="4" w:space="0" w:color="auto"/>
              <w:right w:val="nil"/>
            </w:tcBorders>
            <w:shd w:val="clear" w:color="auto" w:fill="auto"/>
            <w:noWrap/>
            <w:vAlign w:val="center"/>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NT</w:t>
            </w:r>
          </w:p>
        </w:tc>
      </w:tr>
      <w:tr w:rsidR="003350EA" w:rsidRPr="00821812" w:rsidTr="00FA43AF">
        <w:trPr>
          <w:trHeight w:val="315"/>
        </w:trPr>
        <w:tc>
          <w:tcPr>
            <w:tcW w:w="2283" w:type="dxa"/>
            <w:tcBorders>
              <w:top w:val="nil"/>
              <w:left w:val="nil"/>
              <w:bottom w:val="nil"/>
              <w:right w:val="nil"/>
            </w:tcBorders>
            <w:shd w:val="clear" w:color="auto" w:fill="auto"/>
            <w:vAlign w:val="bottom"/>
            <w:hideMark/>
          </w:tcPr>
          <w:p w:rsidR="003350EA" w:rsidRPr="00821812" w:rsidRDefault="007611E5" w:rsidP="00245744">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Dollars million</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-1</w:t>
            </w:r>
            <w:r>
              <w:rPr>
                <w:rFonts w:ascii="Calibri" w:eastAsia="Times New Roman" w:hAnsi="Calibri" w:cs="Times New Roman"/>
                <w:color w:val="000000"/>
                <w:sz w:val="20"/>
                <w:szCs w:val="20"/>
                <w:lang w:eastAsia="en-AU"/>
              </w:rPr>
              <w:t>4</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-1</w:t>
            </w:r>
            <w:r>
              <w:rPr>
                <w:rFonts w:ascii="Calibri" w:eastAsia="Times New Roman" w:hAnsi="Calibri" w:cs="Times New Roman"/>
                <w:color w:val="000000"/>
                <w:sz w:val="20"/>
                <w:szCs w:val="20"/>
                <w:lang w:eastAsia="en-AU"/>
              </w:rPr>
              <w:t>3</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17</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2</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-3</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6</w:t>
            </w:r>
          </w:p>
        </w:tc>
        <w:tc>
          <w:tcPr>
            <w:tcW w:w="837"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0</w:t>
            </w:r>
          </w:p>
        </w:tc>
        <w:tc>
          <w:tcPr>
            <w:tcW w:w="838" w:type="dxa"/>
            <w:tcBorders>
              <w:top w:val="nil"/>
              <w:left w:val="nil"/>
              <w:bottom w:val="nil"/>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4</w:t>
            </w:r>
          </w:p>
        </w:tc>
      </w:tr>
      <w:tr w:rsidR="003350EA" w:rsidRPr="00821812" w:rsidTr="00FA43AF">
        <w:trPr>
          <w:trHeight w:val="315"/>
        </w:trPr>
        <w:tc>
          <w:tcPr>
            <w:tcW w:w="2283"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Dollars per capita</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-2</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w:t>
            </w:r>
            <w:r>
              <w:rPr>
                <w:rFonts w:ascii="Calibri" w:eastAsia="Times New Roman" w:hAnsi="Calibri" w:cs="Times New Roman"/>
                <w:color w:val="000000"/>
                <w:sz w:val="20"/>
                <w:szCs w:val="20"/>
                <w:lang w:eastAsia="en-AU"/>
              </w:rPr>
              <w:t>2</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3</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1</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w:t>
            </w:r>
            <w:r>
              <w:rPr>
                <w:rFonts w:ascii="Calibri" w:eastAsia="Times New Roman" w:hAnsi="Calibri" w:cs="Times New Roman"/>
                <w:color w:val="000000"/>
                <w:sz w:val="20"/>
                <w:szCs w:val="20"/>
                <w:lang w:eastAsia="en-AU"/>
              </w:rPr>
              <w:t>2</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sidRPr="00821812">
              <w:rPr>
                <w:rFonts w:ascii="Calibri" w:eastAsia="Times New Roman" w:hAnsi="Calibri" w:cs="Times New Roman"/>
                <w:color w:val="000000"/>
                <w:sz w:val="20"/>
                <w:szCs w:val="20"/>
                <w:lang w:eastAsia="en-AU"/>
              </w:rPr>
              <w:t>1</w:t>
            </w:r>
            <w:r>
              <w:rPr>
                <w:rFonts w:ascii="Calibri" w:eastAsia="Times New Roman" w:hAnsi="Calibri" w:cs="Times New Roman"/>
                <w:color w:val="000000"/>
                <w:sz w:val="20"/>
                <w:szCs w:val="20"/>
                <w:lang w:eastAsia="en-AU"/>
              </w:rPr>
              <w:t>2</w:t>
            </w:r>
          </w:p>
        </w:tc>
        <w:tc>
          <w:tcPr>
            <w:tcW w:w="837"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0</w:t>
            </w:r>
          </w:p>
        </w:tc>
        <w:tc>
          <w:tcPr>
            <w:tcW w:w="838" w:type="dxa"/>
            <w:tcBorders>
              <w:top w:val="nil"/>
              <w:left w:val="nil"/>
              <w:bottom w:val="single" w:sz="4" w:space="0" w:color="auto"/>
              <w:right w:val="nil"/>
            </w:tcBorders>
            <w:shd w:val="clear" w:color="auto" w:fill="auto"/>
            <w:vAlign w:val="bottom"/>
            <w:hideMark/>
          </w:tcPr>
          <w:p w:rsidR="003350EA" w:rsidRPr="00821812" w:rsidRDefault="003350EA" w:rsidP="00245744">
            <w:pPr>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15</w:t>
            </w:r>
          </w:p>
        </w:tc>
      </w:tr>
    </w:tbl>
    <w:p w:rsidR="003350EA" w:rsidRPr="00C303A5" w:rsidRDefault="003350EA" w:rsidP="003350EA">
      <w:pPr>
        <w:pStyle w:val="CGCTableFootnote"/>
      </w:pPr>
      <w:r>
        <w:t>Source:</w:t>
      </w:r>
      <w:r>
        <w:tab/>
      </w:r>
      <w:r w:rsidR="00703151">
        <w:t>Staff c</w:t>
      </w:r>
      <w:r>
        <w:t>alculation</w:t>
      </w:r>
      <w:r w:rsidR="000A0E1E">
        <w:t xml:space="preserve"> U2018</w:t>
      </w:r>
      <w:r w:rsidR="00A70B5A">
        <w:t xml:space="preserve"> basis</w:t>
      </w:r>
      <w:r w:rsidR="00DC352E">
        <w:t>.</w:t>
      </w:r>
    </w:p>
    <w:p w:rsidR="003350EA" w:rsidRDefault="003350EA" w:rsidP="003350EA">
      <w:pPr>
        <w:pStyle w:val="CGCNumberedPara"/>
        <w:numPr>
          <w:ilvl w:val="1"/>
          <w:numId w:val="3"/>
        </w:numPr>
      </w:pPr>
      <w:r>
        <w:t>We consider that the new category specific remoteness loadings are reliable and should not require discounting.</w:t>
      </w:r>
    </w:p>
    <w:p w:rsidR="00DF432D" w:rsidRDefault="00703151" w:rsidP="003350EA">
      <w:pPr>
        <w:pStyle w:val="CGCNumberedPara"/>
        <w:numPr>
          <w:ilvl w:val="1"/>
          <w:numId w:val="3"/>
        </w:numPr>
      </w:pPr>
      <w:r>
        <w:t>Staff</w:t>
      </w:r>
      <w:r w:rsidR="00DF432D">
        <w:t xml:space="preserve"> will consider </w:t>
      </w:r>
      <w:r>
        <w:t xml:space="preserve">whether a multiplicative or additive </w:t>
      </w:r>
      <w:r w:rsidR="00DF432D">
        <w:t xml:space="preserve">method </w:t>
      </w:r>
      <w:r>
        <w:t>is needed for</w:t>
      </w:r>
      <w:r w:rsidR="00DF432D">
        <w:t xml:space="preserve"> </w:t>
      </w:r>
      <w:r>
        <w:t>combining the remoteness and I</w:t>
      </w:r>
      <w:r w:rsidR="00DF432D">
        <w:t xml:space="preserve">ndigenous </w:t>
      </w:r>
      <w:r>
        <w:t xml:space="preserve">cost loadings based </w:t>
      </w:r>
      <w:r w:rsidR="00DF432D">
        <w:t xml:space="preserve">on the degree to which the </w:t>
      </w:r>
      <w:r>
        <w:t>loadings</w:t>
      </w:r>
      <w:r w:rsidR="00DF432D">
        <w:t xml:space="preserve"> interact </w:t>
      </w:r>
      <w:r>
        <w:t>in</w:t>
      </w:r>
      <w:r w:rsidR="00DF432D">
        <w:t xml:space="preserve"> State </w:t>
      </w:r>
      <w:r w:rsidR="00790D12">
        <w:t>funding</w:t>
      </w:r>
      <w:r>
        <w:t xml:space="preserve"> models.</w:t>
      </w:r>
      <w:r w:rsidR="00DF432D">
        <w:t xml:space="preserve"> In the 2015 Review</w:t>
      </w:r>
      <w:r>
        <w:t>,</w:t>
      </w:r>
      <w:r w:rsidR="00DF432D">
        <w:t xml:space="preserve"> the </w:t>
      </w:r>
      <w:r>
        <w:t>loadings</w:t>
      </w:r>
      <w:r w:rsidR="00DF432D">
        <w:t xml:space="preserve"> were combined using an additive method.</w:t>
      </w:r>
    </w:p>
    <w:p w:rsidR="008E0128" w:rsidRDefault="008E0128" w:rsidP="008E0128">
      <w:pPr>
        <w:pStyle w:val="NoSpacing"/>
      </w:pPr>
    </w:p>
    <w:tbl>
      <w:tblPr>
        <w:tblW w:w="0" w:type="auto"/>
        <w:tblInd w:w="108" w:type="dxa"/>
        <w:shd w:val="clear" w:color="auto" w:fill="D9F3E6"/>
        <w:tblLook w:val="04A0" w:firstRow="1" w:lastRow="0" w:firstColumn="1" w:lastColumn="0" w:noHBand="0" w:noVBand="1"/>
      </w:tblPr>
      <w:tblGrid>
        <w:gridCol w:w="8931"/>
      </w:tblGrid>
      <w:tr w:rsidR="003350EA" w:rsidRPr="00E674AF" w:rsidTr="00245744">
        <w:tc>
          <w:tcPr>
            <w:tcW w:w="8931" w:type="dxa"/>
            <w:shd w:val="clear" w:color="auto" w:fill="D9F3E6"/>
          </w:tcPr>
          <w:p w:rsidR="003350EA" w:rsidRPr="00E674AF" w:rsidRDefault="003350EA" w:rsidP="00245744">
            <w:r w:rsidRPr="00B7517F">
              <w:t>Staff propose to recommend the Commission:</w:t>
            </w:r>
          </w:p>
          <w:p w:rsidR="007611E5" w:rsidRPr="00E674AF" w:rsidRDefault="007611E5" w:rsidP="00647AFC">
            <w:pPr>
              <w:pStyle w:val="CGCBulletlist"/>
              <w:numPr>
                <w:ilvl w:val="0"/>
                <w:numId w:val="1"/>
              </w:numPr>
              <w:tabs>
                <w:tab w:val="clear" w:pos="927"/>
                <w:tab w:val="clear" w:pos="1134"/>
              </w:tabs>
              <w:ind w:left="1134" w:hanging="567"/>
            </w:pPr>
            <w:proofErr w:type="gramStart"/>
            <w:r>
              <w:t>adopt</w:t>
            </w:r>
            <w:proofErr w:type="gramEnd"/>
            <w:r>
              <w:t xml:space="preserve"> the new category specific r</w:t>
            </w:r>
            <w:r w:rsidR="003350EA">
              <w:t>egional cost loading</w:t>
            </w:r>
            <w:r w:rsidR="00790D12">
              <w:t>s</w:t>
            </w:r>
            <w:r w:rsidR="003350EA">
              <w:t xml:space="preserve"> </w:t>
            </w:r>
            <w:r>
              <w:t>and use them in the assessment on an undiscounted basis</w:t>
            </w:r>
            <w:r w:rsidR="000A0E1E">
              <w:t>.</w:t>
            </w:r>
          </w:p>
        </w:tc>
      </w:tr>
    </w:tbl>
    <w:p w:rsidR="003350EA" w:rsidRDefault="003350EA" w:rsidP="003350EA">
      <w:pPr>
        <w:pStyle w:val="Heading4"/>
      </w:pPr>
      <w:bookmarkStart w:id="42" w:name="_Toc511381431"/>
      <w:bookmarkStart w:id="43" w:name="_Toc511381498"/>
      <w:r>
        <w:lastRenderedPageBreak/>
        <w:t>Qualification level loading</w:t>
      </w:r>
      <w:bookmarkEnd w:id="42"/>
      <w:bookmarkEnd w:id="43"/>
    </w:p>
    <w:p w:rsidR="003350EA" w:rsidRPr="00125664" w:rsidRDefault="003350EA" w:rsidP="003350EA">
      <w:pPr>
        <w:pStyle w:val="CGCNumberedPara"/>
        <w:numPr>
          <w:ilvl w:val="1"/>
          <w:numId w:val="3"/>
        </w:numPr>
      </w:pPr>
      <w:r>
        <w:t>We observe there is considerable variation in the subsidies provided for different qualification level courses (</w:t>
      </w:r>
      <w:r w:rsidR="00A70B5A">
        <w:t>for example, Certificate I, II</w:t>
      </w:r>
      <w:r>
        <w:t xml:space="preserve">) with lower level qualifications often attracting higher subsidies. In addition, we observe that certain SDC groups are more likely to enrol in lower level qualification courses. For example, about </w:t>
      </w:r>
      <w:r w:rsidRPr="00AC1E98">
        <w:t>45%</w:t>
      </w:r>
      <w:r>
        <w:t xml:space="preserve"> of Indigenous training hours are in foundational, Certificate I or Certificate II level courses compared to about </w:t>
      </w:r>
      <w:r w:rsidRPr="00AC1E98">
        <w:t>25%</w:t>
      </w:r>
      <w:r>
        <w:t xml:space="preserve"> for non-Indigenous hours. This suggests there may be a case for including a qualification cost loading in the </w:t>
      </w:r>
      <w:r w:rsidRPr="00125664">
        <w:t>assessment.</w:t>
      </w:r>
    </w:p>
    <w:p w:rsidR="001E05EF" w:rsidRDefault="003350EA" w:rsidP="00703151">
      <w:pPr>
        <w:pStyle w:val="CGCNumberedPara"/>
        <w:numPr>
          <w:ilvl w:val="1"/>
          <w:numId w:val="3"/>
        </w:numPr>
        <w:tabs>
          <w:tab w:val="clear" w:pos="567"/>
        </w:tabs>
        <w:spacing w:after="200" w:line="276" w:lineRule="auto"/>
      </w:pPr>
      <w:r w:rsidRPr="00125664">
        <w:t xml:space="preserve">The main obstacle to calculating </w:t>
      </w:r>
      <w:r>
        <w:t>a qualification cost loa</w:t>
      </w:r>
      <w:bookmarkStart w:id="44" w:name="_GoBack"/>
      <w:bookmarkEnd w:id="44"/>
      <w:r>
        <w:t xml:space="preserve">ding will be obtaining cost data from the States classified by </w:t>
      </w:r>
      <w:r w:rsidRPr="005C35B0">
        <w:t>qualification level.</w:t>
      </w:r>
      <w:r>
        <w:t xml:space="preserve"> To calculate the loading we </w:t>
      </w:r>
      <w:r w:rsidR="00C43E2B">
        <w:t>would</w:t>
      </w:r>
      <w:r>
        <w:t xml:space="preserve"> require basic subsidy data </w:t>
      </w:r>
      <w:r w:rsidR="00F83596">
        <w:t xml:space="preserve">by qualification level </w:t>
      </w:r>
      <w:r>
        <w:t xml:space="preserve">before any other loadings are applied. If States are able to provide this information, we </w:t>
      </w:r>
      <w:r w:rsidR="00F83596">
        <w:t>would</w:t>
      </w:r>
      <w:r>
        <w:t xml:space="preserve"> combine it with NCVER contact hour data to derive an average cost loading for different qualification levels. Staff will send a draft data request to States in </w:t>
      </w:r>
      <w:r w:rsidR="00F83596">
        <w:t xml:space="preserve">May </w:t>
      </w:r>
      <w:r>
        <w:t>2018 asking for VET cost data by qualification level. Including a qualification level cost loading will be contingent on States providing reliable data</w:t>
      </w:r>
      <w:r w:rsidR="00F83596">
        <w:t xml:space="preserve">, and it being </w:t>
      </w:r>
      <w:r w:rsidR="001E05EF">
        <w:t>material</w:t>
      </w:r>
      <w:r>
        <w:t>.</w:t>
      </w:r>
    </w:p>
    <w:tbl>
      <w:tblPr>
        <w:tblW w:w="0" w:type="auto"/>
        <w:tblInd w:w="108" w:type="dxa"/>
        <w:shd w:val="clear" w:color="auto" w:fill="D9F3E6"/>
        <w:tblLook w:val="04A0" w:firstRow="1" w:lastRow="0" w:firstColumn="1" w:lastColumn="0" w:noHBand="0" w:noVBand="1"/>
      </w:tblPr>
      <w:tblGrid>
        <w:gridCol w:w="8931"/>
      </w:tblGrid>
      <w:tr w:rsidR="003350EA" w:rsidRPr="00E674AF" w:rsidTr="00245744">
        <w:tc>
          <w:tcPr>
            <w:tcW w:w="8931" w:type="dxa"/>
            <w:shd w:val="clear" w:color="auto" w:fill="D9F3E6"/>
          </w:tcPr>
          <w:p w:rsidR="003350EA" w:rsidRPr="00E674AF" w:rsidRDefault="003350EA" w:rsidP="00245744">
            <w:r w:rsidRPr="00B7517F">
              <w:t>Staff propose to recommend the Commission:</w:t>
            </w:r>
          </w:p>
          <w:p w:rsidR="003350EA" w:rsidRPr="00E674AF" w:rsidRDefault="00F83596" w:rsidP="00F83596">
            <w:pPr>
              <w:pStyle w:val="CGCBulletlist"/>
              <w:numPr>
                <w:ilvl w:val="0"/>
                <w:numId w:val="1"/>
              </w:numPr>
              <w:tabs>
                <w:tab w:val="clear" w:pos="927"/>
                <w:tab w:val="clear" w:pos="1134"/>
              </w:tabs>
              <w:ind w:left="1134" w:hanging="567"/>
            </w:pPr>
            <w:proofErr w:type="gramStart"/>
            <w:r>
              <w:t>i</w:t>
            </w:r>
            <w:r w:rsidR="003350EA">
              <w:t>nvestigate</w:t>
            </w:r>
            <w:proofErr w:type="gramEnd"/>
            <w:r>
              <w:t xml:space="preserve"> if</w:t>
            </w:r>
            <w:r w:rsidR="003350EA">
              <w:t xml:space="preserve"> </w:t>
            </w:r>
            <w:r>
              <w:t xml:space="preserve">a </w:t>
            </w:r>
            <w:r w:rsidR="003350EA">
              <w:t xml:space="preserve">qualification level </w:t>
            </w:r>
            <w:r>
              <w:t xml:space="preserve">loading should be included in the assessment to recognise that different level courses attract different subsidies. </w:t>
            </w:r>
          </w:p>
        </w:tc>
      </w:tr>
    </w:tbl>
    <w:p w:rsidR="003350EA" w:rsidRDefault="003350EA" w:rsidP="003350EA">
      <w:pPr>
        <w:pStyle w:val="Heading4"/>
      </w:pPr>
      <w:bookmarkStart w:id="45" w:name="_Toc511381432"/>
      <w:bookmarkStart w:id="46" w:name="_Toc511381499"/>
      <w:r>
        <w:t>Industry mix</w:t>
      </w:r>
      <w:bookmarkEnd w:id="45"/>
      <w:bookmarkEnd w:id="46"/>
    </w:p>
    <w:p w:rsidR="003350EA" w:rsidRDefault="003350EA" w:rsidP="003350EA">
      <w:pPr>
        <w:pStyle w:val="CGCNumberedPara"/>
        <w:numPr>
          <w:ilvl w:val="1"/>
          <w:numId w:val="3"/>
        </w:numPr>
      </w:pPr>
      <w:r>
        <w:t xml:space="preserve">The subsidies States provide for courses are based on a range of factors including staffing costs, equipment and facility costs, qualification level and the level of public benefit. This gives rise to different subsidies based on field of study or industry mix. NCVER data shows that course mixes are not the same across States (see </w:t>
      </w:r>
      <w:r>
        <w:fldChar w:fldCharType="begin"/>
      </w:r>
      <w:r>
        <w:instrText xml:space="preserve"> REF _Ref497407818 \h </w:instrText>
      </w:r>
      <w:r>
        <w:fldChar w:fldCharType="separate"/>
      </w:r>
      <w:r w:rsidR="00084BE6">
        <w:t xml:space="preserve">Figure </w:t>
      </w:r>
      <w:r w:rsidR="00084BE6">
        <w:rPr>
          <w:noProof/>
        </w:rPr>
        <w:t>1</w:t>
      </w:r>
      <w:r>
        <w:fldChar w:fldCharType="end"/>
      </w:r>
      <w:r>
        <w:t>).</w:t>
      </w:r>
    </w:p>
    <w:p w:rsidR="003350EA" w:rsidRDefault="003350EA" w:rsidP="003350EA">
      <w:pPr>
        <w:pStyle w:val="CGCNumberedPara"/>
        <w:numPr>
          <w:ilvl w:val="1"/>
          <w:numId w:val="3"/>
        </w:numPr>
      </w:pPr>
      <w:r>
        <w:t>It is likely that the industry profile of State economies affects the types of courses students choose to complete and therefore State spending. To investigate the extent to which the economic profile of State</w:t>
      </w:r>
      <w:r w:rsidR="00F83596">
        <w:t xml:space="preserve">s </w:t>
      </w:r>
      <w:r>
        <w:t>affects spending, we would need data on State spending by field of study. Previous attempts to collect this data were not successful. Part of the problem has been that States have been unable to provide cost data by field of study on a consistent basis. In addition, Western Australia has raised concerns about the potential for State pricing policies to influence the demand for different types of courses.</w:t>
      </w:r>
    </w:p>
    <w:p w:rsidR="003350EA" w:rsidRDefault="003350EA" w:rsidP="003350EA">
      <w:pPr>
        <w:pStyle w:val="CGCNumberedPara"/>
        <w:numPr>
          <w:ilvl w:val="1"/>
          <w:numId w:val="3"/>
        </w:numPr>
      </w:pPr>
      <w:proofErr w:type="gramStart"/>
      <w:r>
        <w:t>Staff do</w:t>
      </w:r>
      <w:proofErr w:type="gramEnd"/>
      <w:r>
        <w:t xml:space="preserve"> not propose to progress this work given the data issues and potential for State subsidy policies to influence State course mixes.</w:t>
      </w:r>
    </w:p>
    <w:p w:rsidR="003350EA" w:rsidRDefault="003350EA" w:rsidP="003350EA">
      <w:pPr>
        <w:pStyle w:val="Caption"/>
      </w:pPr>
      <w:bookmarkStart w:id="47" w:name="_Ref497407818"/>
      <w:r>
        <w:lastRenderedPageBreak/>
        <w:t xml:space="preserve">Figure </w:t>
      </w:r>
      <w:r w:rsidR="00CD1BBF">
        <w:fldChar w:fldCharType="begin"/>
      </w:r>
      <w:r w:rsidR="00CD1BBF">
        <w:instrText xml:space="preserve"> SEQ Figure \* ARABIC </w:instrText>
      </w:r>
      <w:r w:rsidR="00CD1BBF">
        <w:fldChar w:fldCharType="separate"/>
      </w:r>
      <w:r w:rsidR="00084BE6">
        <w:rPr>
          <w:noProof/>
        </w:rPr>
        <w:t>1</w:t>
      </w:r>
      <w:r w:rsidR="00CD1BBF">
        <w:rPr>
          <w:noProof/>
        </w:rPr>
        <w:fldChar w:fldCharType="end"/>
      </w:r>
      <w:bookmarkEnd w:id="47"/>
      <w:r>
        <w:tab/>
        <w:t>VET contact hours by field of study, 2015</w:t>
      </w:r>
    </w:p>
    <w:p w:rsidR="003350EA" w:rsidRDefault="003522BA" w:rsidP="00C97FD7">
      <w:r w:rsidRPr="00F37260">
        <w:rPr>
          <w:noProof/>
          <w:lang w:eastAsia="en-AU"/>
        </w:rPr>
        <w:drawing>
          <wp:inline distT="0" distB="0" distL="0" distR="0" wp14:anchorId="03225DC8" wp14:editId="58746386">
            <wp:extent cx="5648325" cy="3562350"/>
            <wp:effectExtent l="0" t="0" r="9525" b="0"/>
            <wp:docPr id="4" name="Picture 4" descr="Figure 1 shows that industry course max varies between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8325" cy="3562350"/>
                    </a:xfrm>
                    <a:prstGeom prst="rect">
                      <a:avLst/>
                    </a:prstGeom>
                    <a:noFill/>
                    <a:ln>
                      <a:noFill/>
                    </a:ln>
                  </pic:spPr>
                </pic:pic>
              </a:graphicData>
            </a:graphic>
          </wp:inline>
        </w:drawing>
      </w:r>
    </w:p>
    <w:p w:rsidR="003350EA" w:rsidRDefault="003350EA" w:rsidP="003350EA">
      <w:pPr>
        <w:pStyle w:val="CGCTableFootnote"/>
      </w:pPr>
      <w:r>
        <w:t>Source:</w:t>
      </w:r>
      <w:r>
        <w:tab/>
        <w:t>NCVER</w:t>
      </w:r>
      <w:r w:rsidR="00A70B5A">
        <w:t xml:space="preserve"> data</w:t>
      </w:r>
      <w:r>
        <w:t>, 2015.</w:t>
      </w:r>
    </w:p>
    <w:p w:rsidR="00C97FD7" w:rsidRPr="0054511A" w:rsidRDefault="00C97FD7" w:rsidP="00C97FD7">
      <w:pPr>
        <w:pStyle w:val="NoSpacing"/>
      </w:pPr>
    </w:p>
    <w:tbl>
      <w:tblPr>
        <w:tblW w:w="0" w:type="auto"/>
        <w:tblInd w:w="108" w:type="dxa"/>
        <w:shd w:val="clear" w:color="auto" w:fill="D9F3E6"/>
        <w:tblLook w:val="04A0" w:firstRow="1" w:lastRow="0" w:firstColumn="1" w:lastColumn="0" w:noHBand="0" w:noVBand="1"/>
      </w:tblPr>
      <w:tblGrid>
        <w:gridCol w:w="8931"/>
      </w:tblGrid>
      <w:tr w:rsidR="00C97FD7" w:rsidRPr="00E674AF" w:rsidTr="00126C12">
        <w:tc>
          <w:tcPr>
            <w:tcW w:w="8931" w:type="dxa"/>
            <w:shd w:val="clear" w:color="auto" w:fill="D9F3E6"/>
          </w:tcPr>
          <w:p w:rsidR="00C97FD7" w:rsidRPr="00E674AF" w:rsidRDefault="00C97FD7" w:rsidP="00126C12">
            <w:r w:rsidRPr="00B7517F">
              <w:t>Staff propose to recommend the Commission:</w:t>
            </w:r>
          </w:p>
          <w:p w:rsidR="00C97FD7" w:rsidRPr="00E674AF" w:rsidRDefault="00C97FD7" w:rsidP="00C97FD7">
            <w:pPr>
              <w:pStyle w:val="CGCBulletlist"/>
              <w:numPr>
                <w:ilvl w:val="0"/>
                <w:numId w:val="1"/>
              </w:numPr>
              <w:tabs>
                <w:tab w:val="clear" w:pos="927"/>
                <w:tab w:val="clear" w:pos="1134"/>
              </w:tabs>
              <w:ind w:left="1134" w:hanging="567"/>
            </w:pPr>
            <w:proofErr w:type="gramStart"/>
            <w:r>
              <w:t>not</w:t>
            </w:r>
            <w:proofErr w:type="gramEnd"/>
            <w:r>
              <w:t xml:space="preserve"> include a State course mix disability because States are unlikely to be able to provide the necessary cost data and there is potential for State subsidy policies to influence the course mix. </w:t>
            </w:r>
          </w:p>
        </w:tc>
      </w:tr>
    </w:tbl>
    <w:p w:rsidR="003350EA" w:rsidRDefault="00790D12" w:rsidP="003350EA">
      <w:pPr>
        <w:pStyle w:val="Heading4"/>
        <w:rPr>
          <w:rStyle w:val="Heading6Char"/>
          <w:b/>
          <w:i w:val="0"/>
          <w:iCs/>
          <w:sz w:val="32"/>
        </w:rPr>
      </w:pPr>
      <w:bookmarkStart w:id="48" w:name="_Toc511381433"/>
      <w:bookmarkStart w:id="49" w:name="_Toc511381500"/>
      <w:r>
        <w:rPr>
          <w:rStyle w:val="Heading6Char"/>
          <w:b/>
          <w:i w:val="0"/>
          <w:iCs/>
          <w:sz w:val="32"/>
        </w:rPr>
        <w:t>P</w:t>
      </w:r>
      <w:r w:rsidR="003350EA">
        <w:rPr>
          <w:rStyle w:val="Heading6Char"/>
          <w:b/>
          <w:i w:val="0"/>
          <w:iCs/>
          <w:sz w:val="32"/>
        </w:rPr>
        <w:t xml:space="preserve">ublic </w:t>
      </w:r>
      <w:r>
        <w:rPr>
          <w:rStyle w:val="Heading6Char"/>
          <w:b/>
          <w:i w:val="0"/>
          <w:iCs/>
          <w:sz w:val="32"/>
        </w:rPr>
        <w:t xml:space="preserve">RTO </w:t>
      </w:r>
      <w:r w:rsidR="003350EA">
        <w:rPr>
          <w:rStyle w:val="Heading6Char"/>
          <w:b/>
          <w:i w:val="0"/>
          <w:iCs/>
          <w:sz w:val="32"/>
        </w:rPr>
        <w:t>loading</w:t>
      </w:r>
      <w:bookmarkEnd w:id="48"/>
      <w:bookmarkEnd w:id="49"/>
    </w:p>
    <w:p w:rsidR="003350EA" w:rsidRDefault="003350EA" w:rsidP="003350EA">
      <w:pPr>
        <w:pStyle w:val="CGCNumberedPara"/>
        <w:numPr>
          <w:ilvl w:val="1"/>
          <w:numId w:val="3"/>
        </w:numPr>
        <w:rPr>
          <w:rStyle w:val="Heading6Char"/>
          <w:rFonts w:eastAsiaTheme="minorHAnsi" w:cstheme="minorBidi"/>
          <w:b w:val="0"/>
          <w:i w:val="0"/>
          <w:iCs w:val="0"/>
          <w:color w:val="auto"/>
          <w:sz w:val="24"/>
        </w:rPr>
      </w:pPr>
      <w:r w:rsidRPr="006206B7">
        <w:rPr>
          <w:rStyle w:val="Heading6Char"/>
          <w:rFonts w:eastAsiaTheme="minorHAnsi" w:cstheme="minorBidi"/>
          <w:b w:val="0"/>
          <w:i w:val="0"/>
          <w:iCs w:val="0"/>
          <w:color w:val="auto"/>
          <w:sz w:val="24"/>
        </w:rPr>
        <w:t>Subsidised VET services are provided by public and private RTOs and we observe the relative importance of private RTOs differs across States.</w:t>
      </w:r>
      <w:r>
        <w:rPr>
          <w:rStyle w:val="Heading6Char"/>
          <w:rFonts w:eastAsiaTheme="minorHAnsi" w:cstheme="minorBidi"/>
          <w:b w:val="0"/>
          <w:i w:val="0"/>
          <w:iCs w:val="0"/>
          <w:color w:val="auto"/>
          <w:sz w:val="24"/>
        </w:rPr>
        <w:t xml:space="preserve"> The ACT </w:t>
      </w:r>
      <w:r w:rsidR="00F63DEF">
        <w:rPr>
          <w:rStyle w:val="Heading6Char"/>
          <w:rFonts w:eastAsiaTheme="minorHAnsi" w:cstheme="minorBidi"/>
          <w:b w:val="0"/>
          <w:i w:val="0"/>
          <w:iCs w:val="0"/>
          <w:color w:val="auto"/>
          <w:sz w:val="24"/>
        </w:rPr>
        <w:t>said that in a number of States,</w:t>
      </w:r>
      <w:r>
        <w:rPr>
          <w:rStyle w:val="Heading6Char"/>
          <w:rFonts w:eastAsiaTheme="minorHAnsi" w:cstheme="minorBidi"/>
          <w:b w:val="0"/>
          <w:i w:val="0"/>
          <w:iCs w:val="0"/>
          <w:color w:val="auto"/>
          <w:sz w:val="24"/>
        </w:rPr>
        <w:t xml:space="preserve"> </w:t>
      </w:r>
      <w:r w:rsidR="00F63DEF">
        <w:rPr>
          <w:rStyle w:val="Heading6Char"/>
          <w:rFonts w:eastAsiaTheme="minorHAnsi" w:cstheme="minorBidi"/>
          <w:b w:val="0"/>
          <w:i w:val="0"/>
          <w:iCs w:val="0"/>
          <w:color w:val="auto"/>
          <w:sz w:val="24"/>
        </w:rPr>
        <w:t xml:space="preserve">the </w:t>
      </w:r>
      <w:r>
        <w:rPr>
          <w:rStyle w:val="Heading6Char"/>
          <w:rFonts w:eastAsiaTheme="minorHAnsi" w:cstheme="minorBidi"/>
          <w:b w:val="0"/>
          <w:i w:val="0"/>
          <w:iCs w:val="0"/>
          <w:color w:val="auto"/>
          <w:sz w:val="24"/>
        </w:rPr>
        <w:t xml:space="preserve">subsidies </w:t>
      </w:r>
      <w:r w:rsidR="00F63DEF">
        <w:rPr>
          <w:rStyle w:val="Heading6Char"/>
          <w:rFonts w:eastAsiaTheme="minorHAnsi" w:cstheme="minorBidi"/>
          <w:b w:val="0"/>
          <w:i w:val="0"/>
          <w:iCs w:val="0"/>
          <w:color w:val="auto"/>
          <w:sz w:val="24"/>
        </w:rPr>
        <w:t xml:space="preserve">paid for </w:t>
      </w:r>
      <w:r>
        <w:rPr>
          <w:rStyle w:val="Heading6Char"/>
          <w:rFonts w:eastAsiaTheme="minorHAnsi" w:cstheme="minorBidi"/>
          <w:b w:val="0"/>
          <w:i w:val="0"/>
          <w:iCs w:val="0"/>
          <w:color w:val="auto"/>
          <w:sz w:val="24"/>
        </w:rPr>
        <w:t xml:space="preserve">public students </w:t>
      </w:r>
      <w:r w:rsidR="00F63DEF">
        <w:rPr>
          <w:rStyle w:val="Heading6Char"/>
          <w:rFonts w:eastAsiaTheme="minorHAnsi" w:cstheme="minorBidi"/>
          <w:b w:val="0"/>
          <w:i w:val="0"/>
          <w:iCs w:val="0"/>
          <w:color w:val="auto"/>
          <w:sz w:val="24"/>
        </w:rPr>
        <w:t xml:space="preserve">are higher </w:t>
      </w:r>
      <w:r>
        <w:rPr>
          <w:rStyle w:val="Heading6Char"/>
          <w:rFonts w:eastAsiaTheme="minorHAnsi" w:cstheme="minorBidi"/>
          <w:b w:val="0"/>
          <w:i w:val="0"/>
          <w:iCs w:val="0"/>
          <w:color w:val="auto"/>
          <w:sz w:val="24"/>
        </w:rPr>
        <w:t>than for private studen</w:t>
      </w:r>
      <w:r w:rsidR="00F63DEF">
        <w:rPr>
          <w:rStyle w:val="Heading6Char"/>
          <w:rFonts w:eastAsiaTheme="minorHAnsi" w:cstheme="minorBidi"/>
          <w:b w:val="0"/>
          <w:i w:val="0"/>
          <w:iCs w:val="0"/>
          <w:color w:val="auto"/>
          <w:sz w:val="24"/>
        </w:rPr>
        <w:t>ts. This would suggest that States with more students attending private RTOs face lower costs</w:t>
      </w:r>
      <w:r>
        <w:rPr>
          <w:rStyle w:val="Heading6Char"/>
          <w:rFonts w:eastAsiaTheme="minorHAnsi" w:cstheme="minorBidi"/>
          <w:b w:val="0"/>
          <w:i w:val="0"/>
          <w:iCs w:val="0"/>
          <w:color w:val="auto"/>
          <w:sz w:val="24"/>
        </w:rPr>
        <w:t>.</w:t>
      </w:r>
    </w:p>
    <w:p w:rsidR="00C97FD7" w:rsidRDefault="003350EA" w:rsidP="003350EA">
      <w:pPr>
        <w:pStyle w:val="CGCNumberedPara"/>
        <w:numPr>
          <w:ilvl w:val="1"/>
          <w:numId w:val="3"/>
        </w:numPr>
        <w:rPr>
          <w:rStyle w:val="Heading6Char"/>
          <w:rFonts w:eastAsiaTheme="minorHAnsi" w:cstheme="minorBidi"/>
          <w:b w:val="0"/>
          <w:i w:val="0"/>
          <w:iCs w:val="0"/>
          <w:color w:val="auto"/>
          <w:sz w:val="24"/>
        </w:rPr>
      </w:pPr>
      <w:r>
        <w:rPr>
          <w:rStyle w:val="Heading6Char"/>
          <w:rFonts w:eastAsiaTheme="minorHAnsi" w:cstheme="minorBidi"/>
          <w:b w:val="0"/>
          <w:i w:val="0"/>
          <w:iCs w:val="0"/>
          <w:color w:val="auto"/>
          <w:sz w:val="24"/>
        </w:rPr>
        <w:t xml:space="preserve">Staff research found that </w:t>
      </w:r>
      <w:r w:rsidR="00F63DEF">
        <w:rPr>
          <w:rStyle w:val="Heading6Char"/>
          <w:rFonts w:eastAsiaTheme="minorHAnsi" w:cstheme="minorBidi"/>
          <w:b w:val="0"/>
          <w:i w:val="0"/>
          <w:iCs w:val="0"/>
          <w:color w:val="auto"/>
          <w:sz w:val="24"/>
        </w:rPr>
        <w:t>al</w:t>
      </w:r>
      <w:r>
        <w:rPr>
          <w:rStyle w:val="Heading6Char"/>
          <w:rFonts w:eastAsiaTheme="minorHAnsi" w:cstheme="minorBidi"/>
          <w:b w:val="0"/>
          <w:i w:val="0"/>
          <w:iCs w:val="0"/>
          <w:color w:val="auto"/>
          <w:sz w:val="24"/>
        </w:rPr>
        <w:t>though some States provide a higher subsidy</w:t>
      </w:r>
      <w:r w:rsidR="00F63DEF">
        <w:rPr>
          <w:rStyle w:val="Heading6Char"/>
          <w:rFonts w:eastAsiaTheme="minorHAnsi" w:cstheme="minorBidi"/>
          <w:b w:val="0"/>
          <w:i w:val="0"/>
          <w:iCs w:val="0"/>
          <w:color w:val="auto"/>
          <w:sz w:val="24"/>
        </w:rPr>
        <w:t xml:space="preserve"> to public RTOs</w:t>
      </w:r>
      <w:r>
        <w:rPr>
          <w:rStyle w:val="Heading6Char"/>
          <w:rFonts w:eastAsiaTheme="minorHAnsi" w:cstheme="minorBidi"/>
          <w:b w:val="0"/>
          <w:i w:val="0"/>
          <w:iCs w:val="0"/>
          <w:color w:val="auto"/>
          <w:sz w:val="24"/>
        </w:rPr>
        <w:t xml:space="preserve">, </w:t>
      </w:r>
      <w:r w:rsidR="00790D12">
        <w:rPr>
          <w:rStyle w:val="Heading6Char"/>
          <w:rFonts w:eastAsiaTheme="minorHAnsi" w:cstheme="minorBidi"/>
          <w:b w:val="0"/>
          <w:i w:val="0"/>
          <w:iCs w:val="0"/>
          <w:color w:val="auto"/>
          <w:sz w:val="24"/>
        </w:rPr>
        <w:t xml:space="preserve">this </w:t>
      </w:r>
      <w:r>
        <w:rPr>
          <w:rStyle w:val="Heading6Char"/>
          <w:rFonts w:eastAsiaTheme="minorHAnsi" w:cstheme="minorBidi"/>
          <w:b w:val="0"/>
          <w:i w:val="0"/>
          <w:iCs w:val="0"/>
          <w:color w:val="auto"/>
          <w:sz w:val="24"/>
        </w:rPr>
        <w:t>is not average policy. Also</w:t>
      </w:r>
      <w:r w:rsidR="00F63DEF">
        <w:rPr>
          <w:rStyle w:val="Heading6Char"/>
          <w:rFonts w:eastAsiaTheme="minorHAnsi" w:cstheme="minorBidi"/>
          <w:b w:val="0"/>
          <w:i w:val="0"/>
          <w:iCs w:val="0"/>
          <w:color w:val="auto"/>
          <w:sz w:val="24"/>
        </w:rPr>
        <w:t xml:space="preserve">, the mix of public and private RTOs is highly policy influenced. Therefore, </w:t>
      </w:r>
      <w:proofErr w:type="gramStart"/>
      <w:r w:rsidR="00F63DEF">
        <w:rPr>
          <w:rStyle w:val="Heading6Char"/>
          <w:rFonts w:eastAsiaTheme="minorHAnsi" w:cstheme="minorBidi"/>
          <w:b w:val="0"/>
          <w:i w:val="0"/>
          <w:iCs w:val="0"/>
          <w:color w:val="auto"/>
          <w:sz w:val="24"/>
        </w:rPr>
        <w:t>staff do</w:t>
      </w:r>
      <w:proofErr w:type="gramEnd"/>
      <w:r w:rsidR="00F63DEF">
        <w:rPr>
          <w:rStyle w:val="Heading6Char"/>
          <w:rFonts w:eastAsiaTheme="minorHAnsi" w:cstheme="minorBidi"/>
          <w:b w:val="0"/>
          <w:i w:val="0"/>
          <w:iCs w:val="0"/>
          <w:color w:val="auto"/>
          <w:sz w:val="24"/>
        </w:rPr>
        <w:t xml:space="preserve"> not propose to include a disability based on the sector of the training provider. </w:t>
      </w:r>
      <w:r w:rsidR="00C97FD7">
        <w:rPr>
          <w:rStyle w:val="Heading6Char"/>
          <w:rFonts w:eastAsiaTheme="minorHAnsi" w:cstheme="minorBidi"/>
          <w:b w:val="0"/>
          <w:i w:val="0"/>
          <w:iCs w:val="0"/>
          <w:color w:val="auto"/>
          <w:sz w:val="24"/>
        </w:rPr>
        <w:br w:type="page"/>
      </w:r>
    </w:p>
    <w:tbl>
      <w:tblPr>
        <w:tblW w:w="0" w:type="auto"/>
        <w:tblInd w:w="108" w:type="dxa"/>
        <w:shd w:val="clear" w:color="auto" w:fill="D9F3E6"/>
        <w:tblLook w:val="04A0" w:firstRow="1" w:lastRow="0" w:firstColumn="1" w:lastColumn="0" w:noHBand="0" w:noVBand="1"/>
      </w:tblPr>
      <w:tblGrid>
        <w:gridCol w:w="8931"/>
      </w:tblGrid>
      <w:tr w:rsidR="003350EA" w:rsidRPr="00E674AF" w:rsidTr="00245744">
        <w:tc>
          <w:tcPr>
            <w:tcW w:w="8931" w:type="dxa"/>
            <w:shd w:val="clear" w:color="auto" w:fill="D9F3E6"/>
          </w:tcPr>
          <w:p w:rsidR="003350EA" w:rsidRPr="00E674AF" w:rsidRDefault="003350EA" w:rsidP="00245744">
            <w:r w:rsidRPr="00B7517F">
              <w:lastRenderedPageBreak/>
              <w:t>Staff propose to recommend the Commission:</w:t>
            </w:r>
          </w:p>
          <w:p w:rsidR="003350EA" w:rsidRPr="00E674AF" w:rsidRDefault="00F63DEF" w:rsidP="00245744">
            <w:pPr>
              <w:pStyle w:val="CGCBulletlist"/>
              <w:numPr>
                <w:ilvl w:val="0"/>
                <w:numId w:val="1"/>
              </w:numPr>
              <w:tabs>
                <w:tab w:val="clear" w:pos="927"/>
                <w:tab w:val="clear" w:pos="1134"/>
              </w:tabs>
              <w:ind w:left="1134" w:hanging="567"/>
            </w:pPr>
            <w:proofErr w:type="gramStart"/>
            <w:r>
              <w:t>not</w:t>
            </w:r>
            <w:proofErr w:type="gramEnd"/>
            <w:r>
              <w:t xml:space="preserve"> investigate a disability based on the sector of training providers because most States provide the same subsidy to all providers regardless of sector, and the mix of public and private providers is highly policy influenced.</w:t>
            </w:r>
          </w:p>
        </w:tc>
      </w:tr>
    </w:tbl>
    <w:p w:rsidR="003350EA" w:rsidRPr="00AD6758" w:rsidRDefault="003350EA" w:rsidP="003350EA">
      <w:pPr>
        <w:pStyle w:val="Heading4"/>
      </w:pPr>
      <w:bookmarkStart w:id="50" w:name="_Toc511381434"/>
      <w:bookmarkStart w:id="51" w:name="_Toc511381501"/>
      <w:r>
        <w:rPr>
          <w:rStyle w:val="Heading6Char"/>
          <w:b/>
          <w:i w:val="0"/>
          <w:iCs/>
          <w:sz w:val="32"/>
        </w:rPr>
        <w:t>User c</w:t>
      </w:r>
      <w:r w:rsidRPr="00C86621">
        <w:rPr>
          <w:rStyle w:val="Heading6Char"/>
          <w:b/>
          <w:i w:val="0"/>
          <w:iCs/>
          <w:sz w:val="32"/>
        </w:rPr>
        <w:t>harges</w:t>
      </w:r>
      <w:bookmarkEnd w:id="50"/>
      <w:bookmarkEnd w:id="51"/>
    </w:p>
    <w:p w:rsidR="003350EA" w:rsidRPr="00125664" w:rsidRDefault="003350EA" w:rsidP="003350EA">
      <w:pPr>
        <w:pStyle w:val="CGCNumberedPara"/>
        <w:numPr>
          <w:ilvl w:val="1"/>
          <w:numId w:val="3"/>
        </w:numPr>
      </w:pPr>
      <w:r>
        <w:t>User charges include fee</w:t>
      </w:r>
      <w:r>
        <w:noBreakHyphen/>
        <w:t>for</w:t>
      </w:r>
      <w:r>
        <w:noBreakHyphen/>
        <w:t>service income from full fee paying studen</w:t>
      </w:r>
      <w:r w:rsidR="00790D12">
        <w:t>ts, fees and charges from</w:t>
      </w:r>
      <w:r>
        <w:t xml:space="preserve"> government subsidised students</w:t>
      </w:r>
      <w:r w:rsidR="001622F3">
        <w:t>,</w:t>
      </w:r>
      <w:r>
        <w:t xml:space="preserve"> and ancillary income.</w:t>
      </w:r>
      <w:r w:rsidR="004C7065">
        <w:t xml:space="preserve"> In the current assessment all user charges are netted off expenses before making an assessment.</w:t>
      </w:r>
    </w:p>
    <w:p w:rsidR="00790D12" w:rsidRDefault="003350EA" w:rsidP="003350EA">
      <w:pPr>
        <w:pStyle w:val="CGCNumberedPara"/>
        <w:numPr>
          <w:ilvl w:val="1"/>
          <w:numId w:val="3"/>
        </w:numPr>
      </w:pPr>
      <w:r w:rsidRPr="004A3472">
        <w:t xml:space="preserve">It </w:t>
      </w:r>
      <w:r>
        <w:t xml:space="preserve">is </w:t>
      </w:r>
      <w:r w:rsidRPr="004A3472">
        <w:t xml:space="preserve">appropriate </w:t>
      </w:r>
      <w:r w:rsidRPr="00975AED">
        <w:t xml:space="preserve">to deduct fee-for-service revenue from State expenses before making an assessment because this revenue </w:t>
      </w:r>
      <w:r>
        <w:t>covers</w:t>
      </w:r>
      <w:r w:rsidRPr="00975AED">
        <w:t xml:space="preserve"> State spending on non-subsidised </w:t>
      </w:r>
      <w:r w:rsidRPr="005B29E8">
        <w:t>training</w:t>
      </w:r>
      <w:r>
        <w:t xml:space="preserve"> and has </w:t>
      </w:r>
      <w:r w:rsidR="00790D12">
        <w:t>little</w:t>
      </w:r>
      <w:r>
        <w:t xml:space="preserve"> </w:t>
      </w:r>
      <w:r w:rsidR="00C97FD7">
        <w:t xml:space="preserve">or no </w:t>
      </w:r>
      <w:r>
        <w:t>effect on State fiscal capacities</w:t>
      </w:r>
      <w:r w:rsidRPr="005B29E8">
        <w:t>.</w:t>
      </w:r>
      <w:r w:rsidRPr="0023525B">
        <w:t xml:space="preserve"> </w:t>
      </w:r>
      <w:r w:rsidR="004C7065">
        <w:t xml:space="preserve">Fee-for-service income accounts for about 70% of post-secondary education revenue (see </w:t>
      </w:r>
      <w:r w:rsidR="004C7065">
        <w:fldChar w:fldCharType="begin"/>
      </w:r>
      <w:r w:rsidR="004C7065">
        <w:instrText xml:space="preserve"> REF _Ref497469201 \h </w:instrText>
      </w:r>
      <w:r w:rsidR="004C7065">
        <w:fldChar w:fldCharType="separate"/>
      </w:r>
      <w:r w:rsidR="004C7065">
        <w:t xml:space="preserve">Table </w:t>
      </w:r>
      <w:r w:rsidR="004C7065">
        <w:rPr>
          <w:noProof/>
        </w:rPr>
        <w:t>6</w:t>
      </w:r>
      <w:r w:rsidR="004C7065">
        <w:fldChar w:fldCharType="end"/>
      </w:r>
      <w:r w:rsidR="004C7065">
        <w:t>).</w:t>
      </w:r>
    </w:p>
    <w:p w:rsidR="003350EA" w:rsidRPr="00125664" w:rsidRDefault="003350EA" w:rsidP="003350EA">
      <w:pPr>
        <w:pStyle w:val="CGCNumberedPara"/>
        <w:numPr>
          <w:ilvl w:val="1"/>
          <w:numId w:val="3"/>
        </w:numPr>
      </w:pPr>
      <w:r>
        <w:t>Conceptually, there is no case for netting off fees from students participating in government subsidised training courses</w:t>
      </w:r>
      <w:r w:rsidR="00790D12">
        <w:t xml:space="preserve">. </w:t>
      </w:r>
      <w:r w:rsidR="004C7065">
        <w:t xml:space="preserve">States with an above average need for spending on subsidised VET services are not necessarily those with the greatest capacity to cost recover because many of the high cost groups (Indigenous and low socio-economic status) are eligible for fee concessions or </w:t>
      </w:r>
      <w:r w:rsidR="004C7065" w:rsidRPr="00125664">
        <w:t>exemptions.</w:t>
      </w:r>
      <w:r w:rsidR="004C7065">
        <w:t xml:space="preserve"> I</w:t>
      </w:r>
      <w:r w:rsidR="00790D12">
        <w:t xml:space="preserve">ncome </w:t>
      </w:r>
      <w:r w:rsidR="004C7065">
        <w:t xml:space="preserve">from government subsidised students </w:t>
      </w:r>
      <w:r>
        <w:t>account</w:t>
      </w:r>
      <w:r w:rsidR="004C7065">
        <w:t>s</w:t>
      </w:r>
      <w:r w:rsidR="00790D12">
        <w:t xml:space="preserve"> </w:t>
      </w:r>
      <w:r>
        <w:t xml:space="preserve">for about 30% of </w:t>
      </w:r>
      <w:r w:rsidR="004C7065">
        <w:t xml:space="preserve">post-secondary education </w:t>
      </w:r>
      <w:r>
        <w:t>revenue</w:t>
      </w:r>
      <w:r w:rsidR="00A70B5A">
        <w:t xml:space="preserve"> (s</w:t>
      </w:r>
      <w:r>
        <w:t xml:space="preserve">ee </w:t>
      </w:r>
      <w:r>
        <w:fldChar w:fldCharType="begin"/>
      </w:r>
      <w:r>
        <w:instrText xml:space="preserve"> REF _Ref497469201 \h </w:instrText>
      </w:r>
      <w:r>
        <w:fldChar w:fldCharType="separate"/>
      </w:r>
      <w:r w:rsidR="00084BE6">
        <w:t xml:space="preserve">Table </w:t>
      </w:r>
      <w:r w:rsidR="00084BE6">
        <w:rPr>
          <w:noProof/>
        </w:rPr>
        <w:t>6</w:t>
      </w:r>
      <w:r>
        <w:fldChar w:fldCharType="end"/>
      </w:r>
      <w:r w:rsidR="00790D12">
        <w:t>)</w:t>
      </w:r>
      <w:r w:rsidR="00282DEE">
        <w:t>.</w:t>
      </w:r>
      <w:r>
        <w:t xml:space="preserve"> </w:t>
      </w:r>
    </w:p>
    <w:p w:rsidR="003350EA" w:rsidRDefault="003350EA" w:rsidP="003350EA">
      <w:pPr>
        <w:pStyle w:val="Caption"/>
      </w:pPr>
      <w:bookmarkStart w:id="52" w:name="_Ref497469201"/>
      <w:r>
        <w:t xml:space="preserve">Table </w:t>
      </w:r>
      <w:r w:rsidR="00CD1BBF">
        <w:fldChar w:fldCharType="begin"/>
      </w:r>
      <w:r w:rsidR="00CD1BBF">
        <w:instrText xml:space="preserve"> SEQ Table \* ARABIC</w:instrText>
      </w:r>
      <w:r w:rsidR="00CD1BBF">
        <w:instrText xml:space="preserve"> </w:instrText>
      </w:r>
      <w:r w:rsidR="00CD1BBF">
        <w:fldChar w:fldCharType="separate"/>
      </w:r>
      <w:r w:rsidR="00790D12">
        <w:rPr>
          <w:noProof/>
        </w:rPr>
        <w:t>6</w:t>
      </w:r>
      <w:r w:rsidR="00CD1BBF">
        <w:rPr>
          <w:noProof/>
        </w:rPr>
        <w:fldChar w:fldCharType="end"/>
      </w:r>
      <w:bookmarkEnd w:id="52"/>
      <w:r>
        <w:tab/>
        <w:t>User charges for Post-secondary education, 2015</w:t>
      </w:r>
    </w:p>
    <w:tbl>
      <w:tblPr>
        <w:tblW w:w="8960" w:type="dxa"/>
        <w:tblInd w:w="93" w:type="dxa"/>
        <w:tblLook w:val="04A0" w:firstRow="1" w:lastRow="0" w:firstColumn="1" w:lastColumn="0" w:noHBand="0" w:noVBand="1"/>
      </w:tblPr>
      <w:tblGrid>
        <w:gridCol w:w="2440"/>
        <w:gridCol w:w="720"/>
        <w:gridCol w:w="720"/>
        <w:gridCol w:w="720"/>
        <w:gridCol w:w="720"/>
        <w:gridCol w:w="720"/>
        <w:gridCol w:w="720"/>
        <w:gridCol w:w="720"/>
        <w:gridCol w:w="720"/>
        <w:gridCol w:w="760"/>
      </w:tblGrid>
      <w:tr w:rsidR="004C7065" w:rsidRPr="004C7065" w:rsidTr="004C7065">
        <w:trPr>
          <w:trHeight w:val="379"/>
        </w:trPr>
        <w:tc>
          <w:tcPr>
            <w:tcW w:w="244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bookmarkStart w:id="53" w:name="RANGE!B13:K21"/>
            <w:r w:rsidRPr="004C7065">
              <w:rPr>
                <w:rFonts w:ascii="Calibri" w:eastAsia="Times New Roman" w:hAnsi="Calibri" w:cs="Times New Roman"/>
                <w:color w:val="000000"/>
                <w:sz w:val="20"/>
                <w:szCs w:val="20"/>
                <w:lang w:eastAsia="en-AU"/>
              </w:rPr>
              <w:t> </w:t>
            </w:r>
            <w:bookmarkEnd w:id="53"/>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NSW</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Vic</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Qld</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WA</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SA</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Tas</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ACT</w:t>
            </w:r>
          </w:p>
        </w:tc>
        <w:tc>
          <w:tcPr>
            <w:tcW w:w="72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Total</w:t>
            </w:r>
          </w:p>
        </w:tc>
      </w:tr>
      <w:tr w:rsidR="004C7065" w:rsidRPr="004C7065" w:rsidTr="004C7065">
        <w:trPr>
          <w:trHeight w:val="259"/>
        </w:trPr>
        <w:tc>
          <w:tcPr>
            <w:tcW w:w="244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c>
          <w:tcPr>
            <w:tcW w:w="76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$m</w:t>
            </w:r>
          </w:p>
        </w:tc>
      </w:tr>
      <w:tr w:rsidR="004C7065" w:rsidRPr="004C7065" w:rsidTr="004C7065">
        <w:trPr>
          <w:trHeight w:val="315"/>
        </w:trPr>
        <w:tc>
          <w:tcPr>
            <w:tcW w:w="244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Fee for service income</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336</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441</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131</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85</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64</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16</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29</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20</w:t>
            </w:r>
          </w:p>
        </w:tc>
        <w:tc>
          <w:tcPr>
            <w:tcW w:w="76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 xml:space="preserve"> 1 123</w:t>
            </w:r>
          </w:p>
        </w:tc>
      </w:tr>
      <w:tr w:rsidR="004C7065" w:rsidRPr="004C7065" w:rsidTr="004C7065">
        <w:trPr>
          <w:trHeight w:val="555"/>
        </w:trPr>
        <w:tc>
          <w:tcPr>
            <w:tcW w:w="244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Student fees and other income</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118</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136</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132</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79</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26</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6</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11</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3</w:t>
            </w:r>
          </w:p>
        </w:tc>
        <w:tc>
          <w:tcPr>
            <w:tcW w:w="76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511</w:t>
            </w:r>
          </w:p>
        </w:tc>
      </w:tr>
      <w:tr w:rsidR="004C7065" w:rsidRPr="004C7065" w:rsidTr="004C7065">
        <w:trPr>
          <w:trHeight w:val="315"/>
        </w:trPr>
        <w:tc>
          <w:tcPr>
            <w:tcW w:w="244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Total</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454</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578</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262</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164</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90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22</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40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23</w:t>
            </w:r>
          </w:p>
        </w:tc>
        <w:tc>
          <w:tcPr>
            <w:tcW w:w="76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 xml:space="preserve"> 1 634</w:t>
            </w:r>
          </w:p>
        </w:tc>
      </w:tr>
      <w:tr w:rsidR="004C7065" w:rsidRPr="004C7065" w:rsidTr="004C7065">
        <w:trPr>
          <w:trHeight w:val="259"/>
        </w:trPr>
        <w:tc>
          <w:tcPr>
            <w:tcW w:w="244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c>
          <w:tcPr>
            <w:tcW w:w="76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w:t>
            </w:r>
          </w:p>
        </w:tc>
      </w:tr>
      <w:tr w:rsidR="004C7065" w:rsidRPr="004C7065" w:rsidTr="004C7065">
        <w:trPr>
          <w:trHeight w:val="315"/>
        </w:trPr>
        <w:tc>
          <w:tcPr>
            <w:tcW w:w="244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Fee for service income</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74.0</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76.4</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49.8</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51.9</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71.2</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73.4</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71.4</w:t>
            </w:r>
          </w:p>
        </w:tc>
        <w:tc>
          <w:tcPr>
            <w:tcW w:w="72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87.1</w:t>
            </w:r>
          </w:p>
        </w:tc>
        <w:tc>
          <w:tcPr>
            <w:tcW w:w="760" w:type="dxa"/>
            <w:tcBorders>
              <w:top w:val="nil"/>
              <w:left w:val="nil"/>
              <w:bottom w:val="nil"/>
              <w:right w:val="nil"/>
            </w:tcBorders>
            <w:shd w:val="clear" w:color="auto" w:fill="auto"/>
            <w:noWrap/>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68.7</w:t>
            </w:r>
          </w:p>
        </w:tc>
      </w:tr>
      <w:tr w:rsidR="004C7065" w:rsidRPr="004C7065" w:rsidTr="004C7065">
        <w:trPr>
          <w:trHeight w:val="555"/>
        </w:trPr>
        <w:tc>
          <w:tcPr>
            <w:tcW w:w="244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Student fees and other income</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26.0</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23.6</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50.2</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48.1</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28.8</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26.6</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28.6</w:t>
            </w:r>
          </w:p>
        </w:tc>
        <w:tc>
          <w:tcPr>
            <w:tcW w:w="72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12.9</w:t>
            </w:r>
          </w:p>
        </w:tc>
        <w:tc>
          <w:tcPr>
            <w:tcW w:w="760" w:type="dxa"/>
            <w:tcBorders>
              <w:top w:val="nil"/>
              <w:left w:val="nil"/>
              <w:bottom w:val="nil"/>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31.3</w:t>
            </w:r>
          </w:p>
        </w:tc>
      </w:tr>
      <w:tr w:rsidR="004C7065" w:rsidRPr="004C7065" w:rsidTr="004C7065">
        <w:trPr>
          <w:trHeight w:val="315"/>
        </w:trPr>
        <w:tc>
          <w:tcPr>
            <w:tcW w:w="2440" w:type="dxa"/>
            <w:tcBorders>
              <w:top w:val="nil"/>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Total</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2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c>
          <w:tcPr>
            <w:tcW w:w="760" w:type="dxa"/>
            <w:tcBorders>
              <w:top w:val="single" w:sz="4" w:space="0" w:color="auto"/>
              <w:left w:val="nil"/>
              <w:bottom w:val="single" w:sz="4" w:space="0" w:color="auto"/>
              <w:right w:val="nil"/>
            </w:tcBorders>
            <w:shd w:val="clear" w:color="auto" w:fill="auto"/>
            <w:vAlign w:val="bottom"/>
            <w:hideMark/>
          </w:tcPr>
          <w:p w:rsidR="004C7065" w:rsidRPr="004C7065" w:rsidRDefault="004C7065" w:rsidP="004C7065">
            <w:pPr>
              <w:tabs>
                <w:tab w:val="clear" w:pos="567"/>
              </w:tabs>
              <w:spacing w:after="0" w:line="240" w:lineRule="auto"/>
              <w:jc w:val="right"/>
              <w:rPr>
                <w:rFonts w:ascii="Calibri" w:eastAsia="Times New Roman" w:hAnsi="Calibri" w:cs="Times New Roman"/>
                <w:color w:val="000000"/>
                <w:sz w:val="20"/>
                <w:szCs w:val="20"/>
                <w:lang w:eastAsia="en-AU"/>
              </w:rPr>
            </w:pPr>
            <w:r w:rsidRPr="004C7065">
              <w:rPr>
                <w:rFonts w:ascii="Calibri" w:eastAsia="Times New Roman" w:hAnsi="Calibri" w:cs="Times New Roman"/>
                <w:color w:val="000000"/>
                <w:sz w:val="20"/>
                <w:szCs w:val="20"/>
                <w:lang w:eastAsia="en-AU"/>
              </w:rPr>
              <w:t>100.0</w:t>
            </w:r>
          </w:p>
        </w:tc>
      </w:tr>
    </w:tbl>
    <w:p w:rsidR="003350EA" w:rsidRPr="00125664" w:rsidRDefault="003350EA" w:rsidP="003350EA">
      <w:pPr>
        <w:pStyle w:val="CGCTableFootnote"/>
      </w:pPr>
      <w:r>
        <w:t>Source:</w:t>
      </w:r>
      <w:r>
        <w:tab/>
        <w:t xml:space="preserve">NCVER VET Finance </w:t>
      </w:r>
      <w:r w:rsidR="00790D12">
        <w:t xml:space="preserve">data for 2015, </w:t>
      </w:r>
      <w:r>
        <w:t xml:space="preserve">available from the NCVER </w:t>
      </w:r>
      <w:r w:rsidRPr="00125664">
        <w:t xml:space="preserve">website. </w:t>
      </w:r>
    </w:p>
    <w:p w:rsidR="003350EA" w:rsidRDefault="003350EA" w:rsidP="003350EA">
      <w:pPr>
        <w:pStyle w:val="CGCNumberedPara"/>
        <w:numPr>
          <w:ilvl w:val="1"/>
          <w:numId w:val="3"/>
        </w:numPr>
      </w:pPr>
      <w:r w:rsidRPr="00125664">
        <w:t>In the 2015 Review</w:t>
      </w:r>
      <w:r w:rsidR="001622F3">
        <w:t>,</w:t>
      </w:r>
      <w:r w:rsidRPr="00125664">
        <w:t xml:space="preserve"> the Commission decided to net off all post</w:t>
      </w:r>
      <w:r w:rsidRPr="00125664">
        <w:noBreakHyphen/>
        <w:t xml:space="preserve">secondary </w:t>
      </w:r>
      <w:r>
        <w:t>education revenue. This produced a GST distribution not materially different from the more conceptually sound alternative of only netting off revenue from fee-for-service students. For this review we intend to retest the materiality of making a data adjustment to ensure only fee-for-service revenue is d</w:t>
      </w:r>
      <w:r w:rsidR="001622F3">
        <w:t>educted. We consider NCVER VET f</w:t>
      </w:r>
      <w:r>
        <w:t xml:space="preserve">inance data provides a reliable basis for </w:t>
      </w:r>
      <w:r w:rsidR="001622F3">
        <w:t>identifying fee-for-service revenue</w:t>
      </w:r>
      <w:r>
        <w:t xml:space="preserve">. The </w:t>
      </w:r>
      <w:r>
        <w:lastRenderedPageBreak/>
        <w:t xml:space="preserve">materiality test for a data adjustment in the 2020 Review has tentatively been set at $10 per capita for any </w:t>
      </w:r>
      <w:r w:rsidRPr="00125664">
        <w:t>State.</w:t>
      </w:r>
    </w:p>
    <w:p w:rsidR="001622F3" w:rsidRDefault="001622F3" w:rsidP="001622F3">
      <w:pPr>
        <w:pStyle w:val="NoSpacing"/>
      </w:pPr>
    </w:p>
    <w:tbl>
      <w:tblPr>
        <w:tblW w:w="0" w:type="auto"/>
        <w:tblInd w:w="108" w:type="dxa"/>
        <w:shd w:val="clear" w:color="auto" w:fill="D9F3E6"/>
        <w:tblLook w:val="04A0" w:firstRow="1" w:lastRow="0" w:firstColumn="1" w:lastColumn="0" w:noHBand="0" w:noVBand="1"/>
      </w:tblPr>
      <w:tblGrid>
        <w:gridCol w:w="8931"/>
      </w:tblGrid>
      <w:tr w:rsidR="003350EA" w:rsidRPr="00E674AF" w:rsidTr="00245744">
        <w:tc>
          <w:tcPr>
            <w:tcW w:w="8931" w:type="dxa"/>
            <w:shd w:val="clear" w:color="auto" w:fill="D9F3E6"/>
          </w:tcPr>
          <w:p w:rsidR="003350EA" w:rsidRPr="00E674AF" w:rsidRDefault="003350EA" w:rsidP="00245744">
            <w:r w:rsidRPr="00B7517F">
              <w:t>Staff propose to recommend the Commission:</w:t>
            </w:r>
          </w:p>
          <w:p w:rsidR="003350EA" w:rsidRPr="00E674AF" w:rsidRDefault="00282DEE" w:rsidP="00245744">
            <w:pPr>
              <w:pStyle w:val="CGCBulletlist"/>
              <w:numPr>
                <w:ilvl w:val="0"/>
                <w:numId w:val="1"/>
              </w:numPr>
              <w:tabs>
                <w:tab w:val="clear" w:pos="927"/>
                <w:tab w:val="clear" w:pos="1134"/>
              </w:tabs>
              <w:ind w:left="1134" w:hanging="567"/>
            </w:pPr>
            <w:proofErr w:type="gramStart"/>
            <w:r>
              <w:t>m</w:t>
            </w:r>
            <w:r w:rsidR="001622F3">
              <w:t>ake</w:t>
            </w:r>
            <w:proofErr w:type="gramEnd"/>
            <w:r w:rsidR="001622F3">
              <w:t xml:space="preserve"> a data adjustment to ensure only fee-for-service revenue is netted of expenses</w:t>
            </w:r>
            <w:r w:rsidR="00790D12">
              <w:t>, if it is material.</w:t>
            </w:r>
          </w:p>
        </w:tc>
      </w:tr>
    </w:tbl>
    <w:p w:rsidR="003350EA" w:rsidRDefault="003350EA" w:rsidP="003350EA">
      <w:pPr>
        <w:pStyle w:val="Heading3"/>
      </w:pPr>
      <w:bookmarkStart w:id="54" w:name="_Toc511381435"/>
      <w:bookmarkStart w:id="55" w:name="_Toc511381502"/>
      <w:r>
        <w:t>C</w:t>
      </w:r>
      <w:r w:rsidR="00FA43AF">
        <w:t>ONCLUSION AND WAY FORWARD</w:t>
      </w:r>
      <w:bookmarkEnd w:id="54"/>
      <w:bookmarkEnd w:id="55"/>
    </w:p>
    <w:p w:rsidR="003350EA" w:rsidRDefault="003350EA" w:rsidP="003350EA">
      <w:pPr>
        <w:pStyle w:val="CGCNumberedPara"/>
        <w:numPr>
          <w:ilvl w:val="1"/>
          <w:numId w:val="3"/>
        </w:numPr>
      </w:pPr>
      <w:r>
        <w:t xml:space="preserve">There are unlikely to be any significant changes to the </w:t>
      </w:r>
      <w:r w:rsidR="00282DEE">
        <w:t>P</w:t>
      </w:r>
      <w:r>
        <w:t xml:space="preserve">ost-secondary education assessment in the 2020 Review, however, staff intend to: </w:t>
      </w:r>
    </w:p>
    <w:p w:rsidR="003350EA" w:rsidRDefault="003350EA" w:rsidP="003350EA">
      <w:pPr>
        <w:pStyle w:val="CGCBulletlist"/>
        <w:numPr>
          <w:ilvl w:val="0"/>
          <w:numId w:val="1"/>
        </w:numPr>
        <w:tabs>
          <w:tab w:val="clear" w:pos="927"/>
        </w:tabs>
        <w:ind w:left="1134" w:hanging="567"/>
      </w:pPr>
      <w:r>
        <w:t>update the remoteness and Indigenous cost loadings</w:t>
      </w:r>
    </w:p>
    <w:p w:rsidR="003350EA" w:rsidRDefault="003350EA" w:rsidP="003350EA">
      <w:pPr>
        <w:pStyle w:val="CGCBulletlist"/>
        <w:numPr>
          <w:ilvl w:val="0"/>
          <w:numId w:val="1"/>
        </w:numPr>
        <w:tabs>
          <w:tab w:val="clear" w:pos="927"/>
        </w:tabs>
        <w:ind w:left="1134" w:hanging="567"/>
      </w:pPr>
      <w:r>
        <w:t>investigate qualification level as a potential cost driver</w:t>
      </w:r>
    </w:p>
    <w:p w:rsidR="003350EA" w:rsidRDefault="00790D12" w:rsidP="003350EA">
      <w:pPr>
        <w:pStyle w:val="CGCBulletlist"/>
        <w:numPr>
          <w:ilvl w:val="0"/>
          <w:numId w:val="1"/>
        </w:numPr>
        <w:tabs>
          <w:tab w:val="clear" w:pos="927"/>
        </w:tabs>
        <w:ind w:left="1134" w:hanging="567"/>
      </w:pPr>
      <w:proofErr w:type="gramStart"/>
      <w:r>
        <w:t>only</w:t>
      </w:r>
      <w:proofErr w:type="gramEnd"/>
      <w:r>
        <w:t xml:space="preserve"> </w:t>
      </w:r>
      <w:r w:rsidR="003350EA">
        <w:t>deduct fee-for-service revenue fro</w:t>
      </w:r>
      <w:r>
        <w:t>m expenses, instead of all post</w:t>
      </w:r>
      <w:r>
        <w:noBreakHyphen/>
      </w:r>
      <w:r w:rsidR="003350EA">
        <w:t>secondary revenue, but only if making the data adjustment is material.</w:t>
      </w:r>
    </w:p>
    <w:p w:rsidR="003350EA" w:rsidRDefault="003350EA" w:rsidP="003350EA">
      <w:pPr>
        <w:pStyle w:val="Heading4"/>
      </w:pPr>
      <w:bookmarkStart w:id="56" w:name="_Toc511381436"/>
      <w:bookmarkStart w:id="57" w:name="_Toc511381503"/>
      <w:r>
        <w:t>Proposed assessment structure</w:t>
      </w:r>
      <w:bookmarkEnd w:id="56"/>
      <w:bookmarkEnd w:id="57"/>
    </w:p>
    <w:p w:rsidR="003350EA" w:rsidRPr="00D27A8D" w:rsidRDefault="003350EA" w:rsidP="003350EA">
      <w:pPr>
        <w:pStyle w:val="CGCNumberedPara"/>
        <w:numPr>
          <w:ilvl w:val="1"/>
          <w:numId w:val="3"/>
        </w:numPr>
      </w:pPr>
      <w:proofErr w:type="gramStart"/>
      <w:r>
        <w:t>Staff propose</w:t>
      </w:r>
      <w:proofErr w:type="gramEnd"/>
      <w:r>
        <w:t xml:space="preserve"> the following assessment structure for this category in the 2020 Review.</w:t>
      </w:r>
    </w:p>
    <w:p w:rsidR="003350EA" w:rsidRDefault="003350EA" w:rsidP="003350EA">
      <w:pPr>
        <w:pStyle w:val="CGCTableHeading"/>
      </w:pPr>
      <w:bookmarkStart w:id="58" w:name="_Ref510770107"/>
      <w:r>
        <w:t xml:space="preserve">Table </w:t>
      </w:r>
      <w:r w:rsidR="00CD1BBF">
        <w:fldChar w:fldCharType="begin"/>
      </w:r>
      <w:r w:rsidR="00CD1BBF">
        <w:instrText xml:space="preserve"> SEQ Table \* ARABIC </w:instrText>
      </w:r>
      <w:r w:rsidR="00CD1BBF">
        <w:fldChar w:fldCharType="separate"/>
      </w:r>
      <w:r w:rsidR="00790D12">
        <w:rPr>
          <w:noProof/>
        </w:rPr>
        <w:t>7</w:t>
      </w:r>
      <w:r w:rsidR="00CD1BBF">
        <w:rPr>
          <w:noProof/>
        </w:rPr>
        <w:fldChar w:fldCharType="end"/>
      </w:r>
      <w:r>
        <w:rPr>
          <w:noProof/>
        </w:rPr>
        <w:tab/>
      </w:r>
      <w:r>
        <w:t>Proposed Post-secondary education</w:t>
      </w:r>
      <w:r w:rsidRPr="00B7517F">
        <w:t xml:space="preserve"> category structure</w:t>
      </w:r>
      <w:bookmarkEnd w:id="58"/>
    </w:p>
    <w:tbl>
      <w:tblPr>
        <w:tblW w:w="9060" w:type="dxa"/>
        <w:tblLayout w:type="fixed"/>
        <w:tblCellMar>
          <w:left w:w="0" w:type="dxa"/>
          <w:right w:w="0" w:type="dxa"/>
        </w:tblCellMar>
        <w:tblLook w:val="04A0" w:firstRow="1" w:lastRow="0" w:firstColumn="1" w:lastColumn="0" w:noHBand="0" w:noVBand="1"/>
      </w:tblPr>
      <w:tblGrid>
        <w:gridCol w:w="1720"/>
        <w:gridCol w:w="1176"/>
        <w:gridCol w:w="262"/>
        <w:gridCol w:w="1800"/>
        <w:gridCol w:w="262"/>
        <w:gridCol w:w="3840"/>
      </w:tblGrid>
      <w:tr w:rsidR="003350EA" w:rsidRPr="00D27A8D" w:rsidTr="00245744">
        <w:trPr>
          <w:trHeight w:val="615"/>
        </w:trPr>
        <w:tc>
          <w:tcPr>
            <w:tcW w:w="1720" w:type="dxa"/>
            <w:tcBorders>
              <w:top w:val="single" w:sz="4" w:space="0" w:color="auto"/>
              <w:left w:val="nil"/>
              <w:bottom w:val="single" w:sz="4" w:space="0" w:color="auto"/>
              <w:right w:val="nil"/>
            </w:tcBorders>
            <w:shd w:val="clear" w:color="auto" w:fill="auto"/>
            <w:noWrap/>
            <w:vAlign w:val="center"/>
            <w:hideMark/>
          </w:tcPr>
          <w:p w:rsidR="003350EA" w:rsidRPr="00D27A8D" w:rsidRDefault="003350EA" w:rsidP="00245744">
            <w:pPr>
              <w:keepNext/>
              <w:keepLines/>
              <w:tabs>
                <w:tab w:val="clear" w:pos="567"/>
              </w:tabs>
              <w:spacing w:after="0" w:line="240" w:lineRule="auto"/>
              <w:ind w:left="193" w:hanging="142"/>
              <w:rPr>
                <w:rFonts w:ascii="Calibri" w:eastAsia="Times New Roman" w:hAnsi="Calibri" w:cs="Arial"/>
                <w:sz w:val="20"/>
                <w:szCs w:val="20"/>
                <w:lang w:eastAsia="en-AU"/>
              </w:rPr>
            </w:pPr>
            <w:r w:rsidRPr="00D27A8D">
              <w:rPr>
                <w:rFonts w:ascii="Calibri" w:eastAsia="Times New Roman" w:hAnsi="Calibri" w:cs="Arial"/>
                <w:sz w:val="20"/>
                <w:szCs w:val="20"/>
                <w:lang w:eastAsia="en-AU"/>
              </w:rPr>
              <w:t>Component</w:t>
            </w:r>
          </w:p>
        </w:tc>
        <w:tc>
          <w:tcPr>
            <w:tcW w:w="1176" w:type="dxa"/>
            <w:tcBorders>
              <w:top w:val="single" w:sz="4" w:space="0" w:color="auto"/>
              <w:left w:val="nil"/>
              <w:bottom w:val="single" w:sz="4" w:space="0" w:color="auto"/>
              <w:right w:val="nil"/>
            </w:tcBorders>
            <w:shd w:val="clear" w:color="auto" w:fill="auto"/>
            <w:vAlign w:val="center"/>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r w:rsidRPr="00D27A8D">
              <w:rPr>
                <w:rFonts w:ascii="Calibri" w:eastAsia="Times New Roman" w:hAnsi="Calibri" w:cs="Arial"/>
                <w:sz w:val="20"/>
                <w:szCs w:val="20"/>
                <w:lang w:eastAsia="en-AU"/>
              </w:rPr>
              <w:t>Component expense</w:t>
            </w:r>
          </w:p>
        </w:tc>
        <w:tc>
          <w:tcPr>
            <w:tcW w:w="262" w:type="dxa"/>
            <w:tcBorders>
              <w:top w:val="single" w:sz="4" w:space="0" w:color="auto"/>
              <w:left w:val="nil"/>
              <w:bottom w:val="single" w:sz="4" w:space="0" w:color="auto"/>
              <w:right w:val="nil"/>
            </w:tcBorders>
            <w:shd w:val="clear" w:color="auto" w:fill="auto"/>
            <w:vAlign w:val="center"/>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r w:rsidRPr="00D27A8D">
              <w:rPr>
                <w:rFonts w:ascii="Calibri" w:eastAsia="Times New Roman" w:hAnsi="Calibri" w:cs="Arial"/>
                <w:sz w:val="20"/>
                <w:szCs w:val="20"/>
                <w:lang w:eastAsia="en-AU"/>
              </w:rPr>
              <w:t> </w:t>
            </w:r>
          </w:p>
        </w:tc>
        <w:tc>
          <w:tcPr>
            <w:tcW w:w="1800" w:type="dxa"/>
            <w:tcBorders>
              <w:top w:val="single" w:sz="4" w:space="0" w:color="auto"/>
              <w:left w:val="nil"/>
              <w:bottom w:val="single" w:sz="4" w:space="0" w:color="auto"/>
              <w:right w:val="nil"/>
            </w:tcBorders>
            <w:shd w:val="clear" w:color="auto" w:fill="auto"/>
            <w:noWrap/>
            <w:vAlign w:val="center"/>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Disability</w:t>
            </w:r>
          </w:p>
        </w:tc>
        <w:tc>
          <w:tcPr>
            <w:tcW w:w="262" w:type="dxa"/>
            <w:tcBorders>
              <w:top w:val="single" w:sz="4" w:space="0" w:color="auto"/>
              <w:left w:val="nil"/>
              <w:bottom w:val="single" w:sz="4" w:space="0" w:color="auto"/>
              <w:right w:val="nil"/>
            </w:tcBorders>
            <w:shd w:val="clear" w:color="auto" w:fill="auto"/>
            <w:noWrap/>
            <w:vAlign w:val="center"/>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 </w:t>
            </w:r>
          </w:p>
        </w:tc>
        <w:tc>
          <w:tcPr>
            <w:tcW w:w="3840" w:type="dxa"/>
            <w:tcBorders>
              <w:top w:val="single" w:sz="4" w:space="0" w:color="auto"/>
              <w:left w:val="nil"/>
              <w:bottom w:val="single" w:sz="4" w:space="0" w:color="auto"/>
              <w:right w:val="nil"/>
            </w:tcBorders>
            <w:shd w:val="clear" w:color="auto" w:fill="auto"/>
            <w:noWrap/>
            <w:vAlign w:val="center"/>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Influence</w:t>
            </w:r>
            <w:r w:rsidRPr="00D27A8D">
              <w:rPr>
                <w:rFonts w:ascii="Calibri" w:eastAsia="Times New Roman" w:hAnsi="Calibri" w:cs="Arial"/>
                <w:sz w:val="20"/>
                <w:szCs w:val="20"/>
                <w:lang w:eastAsia="en-AU"/>
              </w:rPr>
              <w:t xml:space="preserve"> measured by disability</w:t>
            </w:r>
          </w:p>
        </w:tc>
      </w:tr>
      <w:tr w:rsidR="003350EA" w:rsidRPr="00D27A8D" w:rsidTr="00245744">
        <w:trPr>
          <w:trHeight w:val="255"/>
        </w:trPr>
        <w:tc>
          <w:tcPr>
            <w:tcW w:w="1720" w:type="dxa"/>
            <w:tcBorders>
              <w:top w:val="nil"/>
              <w:left w:val="nil"/>
              <w:bottom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ind w:left="193" w:hanging="142"/>
              <w:jc w:val="right"/>
              <w:rPr>
                <w:rFonts w:ascii="Calibri" w:eastAsia="Times New Roman" w:hAnsi="Calibri" w:cs="Arial"/>
                <w:sz w:val="20"/>
                <w:szCs w:val="20"/>
                <w:lang w:eastAsia="en-AU"/>
              </w:rPr>
            </w:pPr>
          </w:p>
        </w:tc>
        <w:tc>
          <w:tcPr>
            <w:tcW w:w="1176" w:type="dxa"/>
            <w:tcBorders>
              <w:top w:val="nil"/>
              <w:left w:val="nil"/>
              <w:bottom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r w:rsidRPr="00D27A8D">
              <w:rPr>
                <w:rFonts w:ascii="Calibri" w:eastAsia="Times New Roman" w:hAnsi="Calibri" w:cs="Arial"/>
                <w:sz w:val="20"/>
                <w:szCs w:val="20"/>
                <w:lang w:eastAsia="en-AU"/>
              </w:rPr>
              <w:t>$m</w:t>
            </w:r>
          </w:p>
        </w:tc>
        <w:tc>
          <w:tcPr>
            <w:tcW w:w="262" w:type="dxa"/>
            <w:tcBorders>
              <w:top w:val="nil"/>
              <w:left w:val="nil"/>
              <w:bottom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p>
        </w:tc>
        <w:tc>
          <w:tcPr>
            <w:tcW w:w="1800" w:type="dxa"/>
            <w:tcBorders>
              <w:top w:val="nil"/>
              <w:left w:val="nil"/>
              <w:bottom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p>
        </w:tc>
        <w:tc>
          <w:tcPr>
            <w:tcW w:w="262" w:type="dxa"/>
            <w:tcBorders>
              <w:top w:val="nil"/>
              <w:left w:val="nil"/>
              <w:bottom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p>
        </w:tc>
        <w:tc>
          <w:tcPr>
            <w:tcW w:w="3840" w:type="dxa"/>
            <w:tcBorders>
              <w:top w:val="nil"/>
              <w:left w:val="nil"/>
              <w:bottom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p>
        </w:tc>
      </w:tr>
      <w:tr w:rsidR="003350EA" w:rsidRPr="00D27A8D" w:rsidTr="00245744">
        <w:trPr>
          <w:trHeight w:val="1275"/>
        </w:trPr>
        <w:tc>
          <w:tcPr>
            <w:tcW w:w="1720" w:type="dxa"/>
            <w:tcBorders>
              <w:top w:val="nil"/>
              <w:left w:val="nil"/>
              <w:bottom w:val="nil"/>
              <w:right w:val="nil"/>
            </w:tcBorders>
            <w:shd w:val="clear" w:color="auto" w:fill="auto"/>
            <w:hideMark/>
          </w:tcPr>
          <w:p w:rsidR="003350EA" w:rsidRPr="00D27A8D" w:rsidRDefault="003350EA" w:rsidP="00245744">
            <w:pPr>
              <w:keepNext/>
              <w:keepLines/>
              <w:tabs>
                <w:tab w:val="clear" w:pos="567"/>
              </w:tabs>
              <w:spacing w:after="0" w:line="240" w:lineRule="auto"/>
              <w:ind w:left="193" w:hanging="142"/>
              <w:rPr>
                <w:rFonts w:ascii="Calibri" w:eastAsia="Times New Roman" w:hAnsi="Calibri" w:cs="Arial"/>
                <w:sz w:val="20"/>
                <w:szCs w:val="20"/>
                <w:lang w:eastAsia="en-AU"/>
              </w:rPr>
            </w:pPr>
            <w:r w:rsidRPr="00D27A8D">
              <w:rPr>
                <w:rFonts w:ascii="Calibri" w:eastAsia="Times New Roman" w:hAnsi="Calibri" w:cs="Arial"/>
                <w:sz w:val="20"/>
                <w:szCs w:val="20"/>
                <w:lang w:eastAsia="en-AU"/>
              </w:rPr>
              <w:t>Post</w:t>
            </w:r>
            <w:r w:rsidRPr="00D27A8D">
              <w:rPr>
                <w:rFonts w:ascii="Calibri" w:eastAsia="Times New Roman" w:hAnsi="Calibri" w:cs="Arial"/>
                <w:sz w:val="20"/>
                <w:szCs w:val="20"/>
                <w:lang w:eastAsia="en-AU"/>
              </w:rPr>
              <w:noBreakHyphen/>
              <w:t>secondary education</w:t>
            </w:r>
          </w:p>
        </w:tc>
        <w:tc>
          <w:tcPr>
            <w:tcW w:w="1176" w:type="dxa"/>
            <w:tcBorders>
              <w:top w:val="nil"/>
              <w:left w:val="nil"/>
              <w:bottom w:val="nil"/>
              <w:right w:val="nil"/>
            </w:tcBorders>
            <w:shd w:val="clear" w:color="auto" w:fill="auto"/>
            <w:noWrap/>
            <w:hideMark/>
          </w:tcPr>
          <w:p w:rsidR="003350EA" w:rsidRPr="00D27A8D" w:rsidRDefault="003350EA" w:rsidP="00245744">
            <w:pPr>
              <w:keepNext/>
              <w:keepLines/>
              <w:tabs>
                <w:tab w:val="clear" w:pos="567"/>
              </w:tabs>
              <w:spacing w:after="0" w:line="240" w:lineRule="auto"/>
              <w:jc w:val="right"/>
              <w:rPr>
                <w:rFonts w:ascii="Calibri" w:eastAsia="Times New Roman" w:hAnsi="Calibri" w:cs="Arial"/>
                <w:sz w:val="20"/>
                <w:szCs w:val="20"/>
                <w:lang w:eastAsia="en-AU"/>
              </w:rPr>
            </w:pPr>
            <w:r>
              <w:rPr>
                <w:rFonts w:ascii="Calibri" w:eastAsia="Times New Roman" w:hAnsi="Calibri" w:cs="Arial"/>
                <w:sz w:val="20"/>
                <w:szCs w:val="20"/>
                <w:lang w:eastAsia="en-AU"/>
              </w:rPr>
              <w:t>4 960</w:t>
            </w:r>
          </w:p>
        </w:tc>
        <w:tc>
          <w:tcPr>
            <w:tcW w:w="262" w:type="dxa"/>
            <w:tcBorders>
              <w:top w:val="nil"/>
              <w:left w:val="nil"/>
              <w:bottom w:val="nil"/>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p>
        </w:tc>
        <w:tc>
          <w:tcPr>
            <w:tcW w:w="1800" w:type="dxa"/>
            <w:tcBorders>
              <w:top w:val="nil"/>
              <w:left w:val="nil"/>
              <w:bottom w:val="nil"/>
              <w:right w:val="nil"/>
            </w:tcBorders>
            <w:shd w:val="clear" w:color="auto" w:fill="auto"/>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Socio-demographic composition</w:t>
            </w:r>
          </w:p>
        </w:tc>
        <w:tc>
          <w:tcPr>
            <w:tcW w:w="262" w:type="dxa"/>
            <w:tcBorders>
              <w:top w:val="nil"/>
              <w:left w:val="nil"/>
              <w:bottom w:val="nil"/>
              <w:right w:val="nil"/>
            </w:tcBorders>
            <w:shd w:val="clear" w:color="auto" w:fill="auto"/>
            <w:vAlign w:val="bottom"/>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p>
        </w:tc>
        <w:tc>
          <w:tcPr>
            <w:tcW w:w="3840" w:type="dxa"/>
            <w:tcBorders>
              <w:top w:val="nil"/>
              <w:left w:val="nil"/>
              <w:bottom w:val="nil"/>
              <w:right w:val="nil"/>
            </w:tcBorders>
            <w:shd w:val="clear" w:color="auto" w:fill="auto"/>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Recognises that for the working age population certain characteristics affect the use and cost of providing post-secondary education services, for example, Indigenous status, remoteness</w:t>
            </w:r>
            <w:r>
              <w:rPr>
                <w:rFonts w:ascii="Calibri" w:eastAsia="Times New Roman" w:hAnsi="Calibri" w:cs="Arial"/>
                <w:sz w:val="20"/>
                <w:szCs w:val="20"/>
                <w:lang w:eastAsia="en-AU"/>
              </w:rPr>
              <w:t>, qualification level</w:t>
            </w:r>
            <w:r w:rsidRPr="00D27A8D">
              <w:rPr>
                <w:rFonts w:ascii="Calibri" w:eastAsia="Times New Roman" w:hAnsi="Calibri" w:cs="Arial"/>
                <w:sz w:val="20"/>
                <w:szCs w:val="20"/>
                <w:lang w:eastAsia="en-AU"/>
              </w:rPr>
              <w:t xml:space="preserve"> and SES. </w:t>
            </w:r>
          </w:p>
        </w:tc>
      </w:tr>
      <w:tr w:rsidR="003350EA" w:rsidRPr="00D27A8D" w:rsidTr="00245744">
        <w:trPr>
          <w:trHeight w:val="795"/>
        </w:trPr>
        <w:tc>
          <w:tcPr>
            <w:tcW w:w="1720" w:type="dxa"/>
            <w:tcBorders>
              <w:top w:val="nil"/>
              <w:left w:val="nil"/>
              <w:right w:val="nil"/>
            </w:tcBorders>
            <w:shd w:val="clear" w:color="auto" w:fill="auto"/>
            <w:noWrap/>
            <w:hideMark/>
          </w:tcPr>
          <w:p w:rsidR="003350EA" w:rsidRPr="00D27A8D" w:rsidRDefault="003350EA" w:rsidP="00245744">
            <w:pPr>
              <w:keepNext/>
              <w:keepLines/>
              <w:tabs>
                <w:tab w:val="clear" w:pos="567"/>
              </w:tabs>
              <w:spacing w:after="0" w:line="240" w:lineRule="auto"/>
              <w:ind w:left="193" w:hanging="142"/>
              <w:rPr>
                <w:rFonts w:ascii="Calibri" w:eastAsia="Times New Roman" w:hAnsi="Calibri" w:cs="Arial"/>
                <w:sz w:val="20"/>
                <w:szCs w:val="20"/>
                <w:lang w:eastAsia="en-AU"/>
              </w:rPr>
            </w:pPr>
          </w:p>
        </w:tc>
        <w:tc>
          <w:tcPr>
            <w:tcW w:w="1176" w:type="dxa"/>
            <w:tcBorders>
              <w:top w:val="nil"/>
              <w:left w:val="nil"/>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p>
        </w:tc>
        <w:tc>
          <w:tcPr>
            <w:tcW w:w="262" w:type="dxa"/>
            <w:tcBorders>
              <w:top w:val="nil"/>
              <w:left w:val="nil"/>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p>
        </w:tc>
        <w:tc>
          <w:tcPr>
            <w:tcW w:w="1800" w:type="dxa"/>
            <w:tcBorders>
              <w:top w:val="nil"/>
              <w:left w:val="nil"/>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Cross-border</w:t>
            </w:r>
          </w:p>
        </w:tc>
        <w:tc>
          <w:tcPr>
            <w:tcW w:w="262" w:type="dxa"/>
            <w:tcBorders>
              <w:top w:val="nil"/>
              <w:left w:val="nil"/>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p>
        </w:tc>
        <w:tc>
          <w:tcPr>
            <w:tcW w:w="3840" w:type="dxa"/>
            <w:tcBorders>
              <w:top w:val="nil"/>
              <w:left w:val="nil"/>
              <w:right w:val="nil"/>
            </w:tcBorders>
            <w:shd w:val="clear" w:color="auto" w:fill="auto"/>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Recognises the cost to the ACT of providing post</w:t>
            </w:r>
            <w:r w:rsidRPr="00D27A8D">
              <w:rPr>
                <w:rFonts w:ascii="Calibri" w:eastAsia="Times New Roman" w:hAnsi="Calibri" w:cs="Arial"/>
                <w:sz w:val="20"/>
                <w:szCs w:val="20"/>
                <w:lang w:eastAsia="en-AU"/>
              </w:rPr>
              <w:noBreakHyphen/>
              <w:t>secondary education to New South Wales residents.</w:t>
            </w:r>
          </w:p>
        </w:tc>
      </w:tr>
      <w:tr w:rsidR="003350EA" w:rsidRPr="00D27A8D" w:rsidTr="00245744">
        <w:trPr>
          <w:trHeight w:val="555"/>
        </w:trPr>
        <w:tc>
          <w:tcPr>
            <w:tcW w:w="1720" w:type="dxa"/>
            <w:tcBorders>
              <w:top w:val="nil"/>
              <w:left w:val="nil"/>
              <w:bottom w:val="single" w:sz="4" w:space="0" w:color="auto"/>
              <w:right w:val="nil"/>
            </w:tcBorders>
            <w:shd w:val="clear" w:color="auto" w:fill="auto"/>
            <w:noWrap/>
            <w:hideMark/>
          </w:tcPr>
          <w:p w:rsidR="003350EA" w:rsidRPr="00D27A8D" w:rsidRDefault="003350EA" w:rsidP="00245744">
            <w:pPr>
              <w:keepNext/>
              <w:keepLines/>
              <w:tabs>
                <w:tab w:val="clear" w:pos="567"/>
              </w:tabs>
              <w:spacing w:after="0" w:line="240" w:lineRule="auto"/>
              <w:ind w:left="193" w:hanging="142"/>
              <w:rPr>
                <w:rFonts w:ascii="Calibri" w:eastAsia="Times New Roman" w:hAnsi="Calibri" w:cs="Arial"/>
                <w:sz w:val="20"/>
                <w:szCs w:val="20"/>
                <w:lang w:eastAsia="en-AU"/>
              </w:rPr>
            </w:pPr>
            <w:r w:rsidRPr="00D27A8D">
              <w:rPr>
                <w:rFonts w:ascii="Calibri" w:eastAsia="Times New Roman" w:hAnsi="Calibri" w:cs="Arial"/>
                <w:sz w:val="20"/>
                <w:szCs w:val="20"/>
                <w:lang w:eastAsia="en-AU"/>
              </w:rPr>
              <w:t> </w:t>
            </w:r>
          </w:p>
        </w:tc>
        <w:tc>
          <w:tcPr>
            <w:tcW w:w="1176" w:type="dxa"/>
            <w:tcBorders>
              <w:top w:val="nil"/>
              <w:left w:val="nil"/>
              <w:bottom w:val="single" w:sz="4" w:space="0" w:color="auto"/>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 </w:t>
            </w:r>
          </w:p>
        </w:tc>
        <w:tc>
          <w:tcPr>
            <w:tcW w:w="262" w:type="dxa"/>
            <w:tcBorders>
              <w:top w:val="nil"/>
              <w:left w:val="nil"/>
              <w:bottom w:val="single" w:sz="4" w:space="0" w:color="auto"/>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 </w:t>
            </w:r>
          </w:p>
        </w:tc>
        <w:tc>
          <w:tcPr>
            <w:tcW w:w="1800" w:type="dxa"/>
            <w:tcBorders>
              <w:top w:val="nil"/>
              <w:left w:val="nil"/>
              <w:bottom w:val="single" w:sz="4" w:space="0" w:color="auto"/>
              <w:right w:val="nil"/>
            </w:tcBorders>
            <w:shd w:val="clear" w:color="auto" w:fill="auto"/>
            <w:noWrap/>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Pr>
                <w:rFonts w:ascii="Calibri" w:eastAsia="Times New Roman" w:hAnsi="Calibri" w:cs="Arial"/>
                <w:sz w:val="20"/>
                <w:szCs w:val="20"/>
                <w:lang w:eastAsia="en-AU"/>
              </w:rPr>
              <w:t>Wage costs</w:t>
            </w:r>
          </w:p>
        </w:tc>
        <w:tc>
          <w:tcPr>
            <w:tcW w:w="262" w:type="dxa"/>
            <w:tcBorders>
              <w:top w:val="nil"/>
              <w:left w:val="nil"/>
              <w:bottom w:val="single" w:sz="4" w:space="0" w:color="auto"/>
              <w:right w:val="nil"/>
            </w:tcBorders>
            <w:shd w:val="clear" w:color="auto" w:fill="auto"/>
            <w:noWrap/>
            <w:vAlign w:val="bottom"/>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 </w:t>
            </w:r>
          </w:p>
        </w:tc>
        <w:tc>
          <w:tcPr>
            <w:tcW w:w="3840" w:type="dxa"/>
            <w:tcBorders>
              <w:top w:val="nil"/>
              <w:left w:val="nil"/>
              <w:bottom w:val="single" w:sz="4" w:space="0" w:color="auto"/>
              <w:right w:val="nil"/>
            </w:tcBorders>
            <w:shd w:val="clear" w:color="auto" w:fill="auto"/>
            <w:hideMark/>
          </w:tcPr>
          <w:p w:rsidR="003350EA" w:rsidRPr="00D27A8D" w:rsidRDefault="003350EA" w:rsidP="00245744">
            <w:pPr>
              <w:keepNext/>
              <w:keepLines/>
              <w:tabs>
                <w:tab w:val="clear" w:pos="567"/>
              </w:tabs>
              <w:spacing w:after="0" w:line="240" w:lineRule="auto"/>
              <w:rPr>
                <w:rFonts w:ascii="Calibri" w:eastAsia="Times New Roman" w:hAnsi="Calibri" w:cs="Arial"/>
                <w:sz w:val="20"/>
                <w:szCs w:val="20"/>
                <w:lang w:eastAsia="en-AU"/>
              </w:rPr>
            </w:pPr>
            <w:r w:rsidRPr="00D27A8D">
              <w:rPr>
                <w:rFonts w:ascii="Calibri" w:eastAsia="Times New Roman" w:hAnsi="Calibri" w:cs="Arial"/>
                <w:sz w:val="20"/>
                <w:szCs w:val="20"/>
                <w:lang w:eastAsia="en-AU"/>
              </w:rPr>
              <w:t>Recognises differences in wage costs between States.</w:t>
            </w:r>
          </w:p>
        </w:tc>
      </w:tr>
    </w:tbl>
    <w:p w:rsidR="003350EA" w:rsidRPr="00C21EF9" w:rsidRDefault="003350EA" w:rsidP="003350EA">
      <w:pPr>
        <w:pStyle w:val="CGCTableFootnote"/>
      </w:pPr>
      <w:r w:rsidRPr="00DC6FEE">
        <w:t>Source</w:t>
      </w:r>
      <w:r>
        <w:t>:</w:t>
      </w:r>
      <w:r>
        <w:tab/>
        <w:t>Staff proposal.</w:t>
      </w:r>
    </w:p>
    <w:bookmarkEnd w:id="7"/>
    <w:bookmarkEnd w:id="8"/>
    <w:bookmarkEnd w:id="9"/>
    <w:bookmarkEnd w:id="10"/>
    <w:bookmarkEnd w:id="11"/>
    <w:bookmarkEnd w:id="12"/>
    <w:bookmarkEnd w:id="13"/>
    <w:bookmarkEnd w:id="14"/>
    <w:p w:rsidR="00E07621" w:rsidRDefault="00424151" w:rsidP="00424151">
      <w:pPr>
        <w:pStyle w:val="Heading5"/>
      </w:pPr>
      <w:r>
        <w:t>Data and information sought from States</w:t>
      </w:r>
    </w:p>
    <w:p w:rsidR="00424151" w:rsidRDefault="00790D12" w:rsidP="00790D12">
      <w:pPr>
        <w:pStyle w:val="CGCNumberedPara"/>
      </w:pPr>
      <w:r>
        <w:fldChar w:fldCharType="begin"/>
      </w:r>
      <w:r>
        <w:instrText xml:space="preserve"> REF _Ref510770170 \h </w:instrText>
      </w:r>
      <w:r>
        <w:fldChar w:fldCharType="separate"/>
      </w:r>
      <w:r>
        <w:t xml:space="preserve">Table </w:t>
      </w:r>
      <w:r>
        <w:rPr>
          <w:noProof/>
        </w:rPr>
        <w:t>8</w:t>
      </w:r>
      <w:r>
        <w:fldChar w:fldCharType="end"/>
      </w:r>
      <w:r>
        <w:t xml:space="preserve"> </w:t>
      </w:r>
      <w:r w:rsidRPr="00790D12">
        <w:t>s</w:t>
      </w:r>
      <w:r w:rsidR="00424151" w:rsidRPr="00424151">
        <w:t>hows the data and other information being sought from States to assist with the development of this assessment</w:t>
      </w:r>
      <w:r w:rsidR="00424151">
        <w:t>.</w:t>
      </w:r>
    </w:p>
    <w:p w:rsidR="00424151" w:rsidRDefault="00790D12" w:rsidP="00790D12">
      <w:pPr>
        <w:pStyle w:val="Caption"/>
      </w:pPr>
      <w:bookmarkStart w:id="59" w:name="_Ref510770170"/>
      <w:r>
        <w:lastRenderedPageBreak/>
        <w:t xml:space="preserve">Table </w:t>
      </w:r>
      <w:r w:rsidR="00CD1BBF">
        <w:fldChar w:fldCharType="begin"/>
      </w:r>
      <w:r w:rsidR="00CD1BBF">
        <w:instrText xml:space="preserve"> SEQ Table \* ARABIC </w:instrText>
      </w:r>
      <w:r w:rsidR="00CD1BBF">
        <w:fldChar w:fldCharType="separate"/>
      </w:r>
      <w:r>
        <w:rPr>
          <w:noProof/>
        </w:rPr>
        <w:t>8</w:t>
      </w:r>
      <w:r w:rsidR="00CD1BBF">
        <w:rPr>
          <w:noProof/>
        </w:rPr>
        <w:fldChar w:fldCharType="end"/>
      </w:r>
      <w:bookmarkEnd w:id="59"/>
      <w:r w:rsidR="00424151">
        <w:tab/>
        <w:t>Data and information sought from States</w:t>
      </w:r>
    </w:p>
    <w:tbl>
      <w:tblPr>
        <w:tblW w:w="8980" w:type="dxa"/>
        <w:tblLayout w:type="fixed"/>
        <w:tblCellMar>
          <w:left w:w="0" w:type="dxa"/>
          <w:right w:w="0" w:type="dxa"/>
        </w:tblCellMar>
        <w:tblLook w:val="04A0" w:firstRow="1" w:lastRow="0" w:firstColumn="1" w:lastColumn="0" w:noHBand="0" w:noVBand="1"/>
      </w:tblPr>
      <w:tblGrid>
        <w:gridCol w:w="2222"/>
        <w:gridCol w:w="3185"/>
        <w:gridCol w:w="1786"/>
        <w:gridCol w:w="1787"/>
      </w:tblGrid>
      <w:tr w:rsidR="003F5EC1" w:rsidRPr="00502956" w:rsidTr="0048355D">
        <w:trPr>
          <w:trHeight w:val="375"/>
        </w:trPr>
        <w:tc>
          <w:tcPr>
            <w:tcW w:w="2222" w:type="dxa"/>
            <w:tcBorders>
              <w:top w:val="single" w:sz="4" w:space="0" w:color="auto"/>
              <w:left w:val="nil"/>
              <w:bottom w:val="single" w:sz="4" w:space="0" w:color="auto"/>
              <w:right w:val="nil"/>
            </w:tcBorders>
            <w:shd w:val="clear" w:color="auto" w:fill="auto"/>
            <w:vAlign w:val="center"/>
            <w:hideMark/>
          </w:tcPr>
          <w:p w:rsidR="003F5EC1" w:rsidRPr="00502956" w:rsidRDefault="003F5EC1" w:rsidP="0048355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60" w:name="RANGE!A1:C5"/>
            <w:r w:rsidRPr="00502956">
              <w:rPr>
                <w:rFonts w:ascii="Calibri" w:eastAsia="Times New Roman" w:hAnsi="Calibri" w:cs="Times New Roman"/>
                <w:color w:val="000000"/>
                <w:sz w:val="20"/>
                <w:szCs w:val="20"/>
                <w:lang w:eastAsia="en-AU"/>
              </w:rPr>
              <w:t>Component</w:t>
            </w:r>
            <w:bookmarkEnd w:id="60"/>
          </w:p>
        </w:tc>
        <w:tc>
          <w:tcPr>
            <w:tcW w:w="3185" w:type="dxa"/>
            <w:tcBorders>
              <w:top w:val="single" w:sz="4" w:space="0" w:color="auto"/>
              <w:left w:val="nil"/>
              <w:bottom w:val="single" w:sz="4" w:space="0" w:color="auto"/>
              <w:right w:val="nil"/>
            </w:tcBorders>
            <w:shd w:val="clear" w:color="auto" w:fill="auto"/>
            <w:vAlign w:val="center"/>
            <w:hideMark/>
          </w:tcPr>
          <w:p w:rsidR="003F5EC1" w:rsidRPr="00502956" w:rsidRDefault="003F5EC1" w:rsidP="0048355D">
            <w:pPr>
              <w:keepNext/>
              <w:keepLines/>
              <w:tabs>
                <w:tab w:val="clear" w:pos="567"/>
              </w:tabs>
              <w:spacing w:after="0" w:line="240" w:lineRule="auto"/>
              <w:rPr>
                <w:rFonts w:ascii="Calibri" w:eastAsia="Times New Roman" w:hAnsi="Calibri" w:cs="Times New Roman"/>
                <w:color w:val="000000"/>
                <w:sz w:val="20"/>
                <w:szCs w:val="20"/>
                <w:lang w:eastAsia="en-AU"/>
              </w:rPr>
            </w:pPr>
            <w:r w:rsidRPr="00502956">
              <w:rPr>
                <w:rFonts w:ascii="Calibri" w:eastAsia="Times New Roman" w:hAnsi="Calibri" w:cs="Times New Roman"/>
                <w:color w:val="000000"/>
                <w:sz w:val="20"/>
                <w:szCs w:val="20"/>
                <w:lang w:eastAsia="en-AU"/>
              </w:rPr>
              <w:t>Data requested</w:t>
            </w:r>
          </w:p>
        </w:tc>
        <w:tc>
          <w:tcPr>
            <w:tcW w:w="1786" w:type="dxa"/>
            <w:tcBorders>
              <w:top w:val="single" w:sz="4" w:space="0" w:color="auto"/>
              <w:left w:val="nil"/>
              <w:bottom w:val="single" w:sz="4" w:space="0" w:color="auto"/>
              <w:right w:val="nil"/>
            </w:tcBorders>
            <w:shd w:val="clear" w:color="auto" w:fill="auto"/>
            <w:vAlign w:val="center"/>
            <w:hideMark/>
          </w:tcPr>
          <w:p w:rsidR="003F5EC1" w:rsidRPr="00502956" w:rsidRDefault="003F5EC1" w:rsidP="0048355D">
            <w:pPr>
              <w:keepNext/>
              <w:keepLines/>
              <w:tabs>
                <w:tab w:val="clear" w:pos="567"/>
              </w:tabs>
              <w:spacing w:after="0" w:line="240" w:lineRule="auto"/>
              <w:rPr>
                <w:rFonts w:ascii="Calibri" w:eastAsia="Times New Roman" w:hAnsi="Calibri" w:cs="Times New Roman"/>
                <w:color w:val="000000"/>
                <w:sz w:val="20"/>
                <w:szCs w:val="20"/>
                <w:lang w:eastAsia="en-AU"/>
              </w:rPr>
            </w:pPr>
            <w:r w:rsidRPr="00502956">
              <w:rPr>
                <w:rFonts w:ascii="Calibri" w:eastAsia="Times New Roman" w:hAnsi="Calibri" w:cs="Times New Roman"/>
                <w:color w:val="000000"/>
                <w:sz w:val="20"/>
                <w:szCs w:val="20"/>
                <w:lang w:eastAsia="en-AU"/>
              </w:rPr>
              <w:t>Status</w:t>
            </w:r>
          </w:p>
        </w:tc>
        <w:tc>
          <w:tcPr>
            <w:tcW w:w="1787" w:type="dxa"/>
            <w:tcBorders>
              <w:top w:val="single" w:sz="4" w:space="0" w:color="auto"/>
              <w:left w:val="nil"/>
              <w:bottom w:val="single" w:sz="4" w:space="0" w:color="auto"/>
              <w:right w:val="nil"/>
            </w:tcBorders>
            <w:shd w:val="clear" w:color="auto" w:fill="auto"/>
            <w:vAlign w:val="center"/>
          </w:tcPr>
          <w:p w:rsidR="003F5EC1" w:rsidRPr="00502956" w:rsidRDefault="003F5EC1" w:rsidP="0048355D">
            <w:pPr>
              <w:keepNext/>
              <w:keepLines/>
              <w:tabs>
                <w:tab w:val="clear" w:pos="567"/>
              </w:tabs>
              <w:spacing w:after="0" w:line="240" w:lineRule="auto"/>
              <w:rPr>
                <w:rFonts w:ascii="Calibri" w:eastAsia="Times New Roman" w:hAnsi="Calibri" w:cs="Times New Roman"/>
                <w:color w:val="000000"/>
                <w:sz w:val="20"/>
                <w:szCs w:val="20"/>
                <w:lang w:eastAsia="en-AU"/>
              </w:rPr>
            </w:pPr>
            <w:r w:rsidRPr="00502956">
              <w:rPr>
                <w:rFonts w:ascii="Calibri" w:eastAsia="Times New Roman" w:hAnsi="Calibri" w:cs="Times New Roman"/>
                <w:color w:val="000000"/>
                <w:sz w:val="20"/>
                <w:szCs w:val="20"/>
                <w:lang w:eastAsia="en-AU"/>
              </w:rPr>
              <w:t>Timing</w:t>
            </w:r>
          </w:p>
        </w:tc>
      </w:tr>
      <w:tr w:rsidR="003F5EC1" w:rsidRPr="00502956" w:rsidTr="0048355D">
        <w:trPr>
          <w:trHeight w:val="315"/>
        </w:trPr>
        <w:tc>
          <w:tcPr>
            <w:tcW w:w="2222" w:type="dxa"/>
            <w:tcBorders>
              <w:top w:val="nil"/>
              <w:left w:val="nil"/>
              <w:bottom w:val="nil"/>
              <w:right w:val="nil"/>
            </w:tcBorders>
            <w:shd w:val="clear" w:color="auto" w:fill="auto"/>
            <w:hideMark/>
          </w:tcPr>
          <w:p w:rsidR="003F5EC1" w:rsidRPr="00502956" w:rsidRDefault="00502956" w:rsidP="0048355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Indigenous cost loading</w:t>
            </w:r>
          </w:p>
        </w:tc>
        <w:tc>
          <w:tcPr>
            <w:tcW w:w="3185" w:type="dxa"/>
            <w:tcBorders>
              <w:top w:val="nil"/>
              <w:left w:val="nil"/>
              <w:bottom w:val="nil"/>
              <w:right w:val="nil"/>
            </w:tcBorders>
            <w:shd w:val="clear" w:color="auto" w:fill="auto"/>
            <w:hideMark/>
          </w:tcPr>
          <w:p w:rsidR="003F5EC1" w:rsidRPr="00502956" w:rsidRDefault="00502956" w:rsidP="00790D12">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State spending on </w:t>
            </w:r>
            <w:r w:rsidR="00790D12">
              <w:rPr>
                <w:rFonts w:ascii="Calibri" w:eastAsia="Times New Roman" w:hAnsi="Calibri" w:cs="Times New Roman"/>
                <w:color w:val="000000"/>
                <w:sz w:val="20"/>
                <w:szCs w:val="20"/>
                <w:lang w:eastAsia="en-AU"/>
              </w:rPr>
              <w:t>I</w:t>
            </w:r>
            <w:r>
              <w:rPr>
                <w:rFonts w:ascii="Calibri" w:eastAsia="Times New Roman" w:hAnsi="Calibri" w:cs="Times New Roman"/>
                <w:color w:val="000000"/>
                <w:sz w:val="20"/>
                <w:szCs w:val="20"/>
                <w:lang w:eastAsia="en-AU"/>
              </w:rPr>
              <w:t>ndigenous students</w:t>
            </w:r>
          </w:p>
        </w:tc>
        <w:tc>
          <w:tcPr>
            <w:tcW w:w="1786" w:type="dxa"/>
            <w:tcBorders>
              <w:top w:val="nil"/>
              <w:left w:val="nil"/>
              <w:bottom w:val="nil"/>
              <w:right w:val="nil"/>
            </w:tcBorders>
            <w:shd w:val="clear" w:color="auto" w:fill="auto"/>
            <w:hideMark/>
          </w:tcPr>
          <w:p w:rsidR="003F5EC1" w:rsidRPr="00502956" w:rsidRDefault="00502956" w:rsidP="00502956">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Request yet to be sent</w:t>
            </w:r>
          </w:p>
        </w:tc>
        <w:tc>
          <w:tcPr>
            <w:tcW w:w="1787" w:type="dxa"/>
            <w:tcBorders>
              <w:top w:val="nil"/>
              <w:left w:val="nil"/>
              <w:bottom w:val="nil"/>
              <w:right w:val="nil"/>
            </w:tcBorders>
            <w:shd w:val="clear" w:color="auto" w:fill="auto"/>
          </w:tcPr>
          <w:p w:rsidR="003F5EC1" w:rsidRDefault="00E142A9"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Draft – May 2018</w:t>
            </w:r>
          </w:p>
          <w:p w:rsidR="00E142A9" w:rsidRPr="00502956" w:rsidRDefault="00E142A9"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Final – August 2018</w:t>
            </w:r>
          </w:p>
        </w:tc>
      </w:tr>
      <w:tr w:rsidR="00502956" w:rsidRPr="00502956" w:rsidTr="00790D12">
        <w:trPr>
          <w:trHeight w:val="555"/>
        </w:trPr>
        <w:tc>
          <w:tcPr>
            <w:tcW w:w="2222" w:type="dxa"/>
            <w:tcBorders>
              <w:top w:val="nil"/>
              <w:left w:val="nil"/>
              <w:right w:val="nil"/>
            </w:tcBorders>
            <w:shd w:val="clear" w:color="auto" w:fill="auto"/>
          </w:tcPr>
          <w:p w:rsidR="00502956" w:rsidRDefault="00502956" w:rsidP="0048355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Regional cost loading</w:t>
            </w:r>
          </w:p>
        </w:tc>
        <w:tc>
          <w:tcPr>
            <w:tcW w:w="3185" w:type="dxa"/>
            <w:tcBorders>
              <w:top w:val="nil"/>
              <w:left w:val="nil"/>
              <w:right w:val="nil"/>
            </w:tcBorders>
            <w:shd w:val="clear" w:color="auto" w:fill="auto"/>
          </w:tcPr>
          <w:p w:rsidR="00502956" w:rsidRPr="00502956" w:rsidRDefault="00502956"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Feedback on regional cost analysis</w:t>
            </w:r>
          </w:p>
        </w:tc>
        <w:tc>
          <w:tcPr>
            <w:tcW w:w="1786" w:type="dxa"/>
            <w:tcBorders>
              <w:top w:val="nil"/>
              <w:left w:val="nil"/>
              <w:right w:val="nil"/>
            </w:tcBorders>
            <w:shd w:val="clear" w:color="auto" w:fill="auto"/>
          </w:tcPr>
          <w:p w:rsidR="00502956" w:rsidRPr="00502956" w:rsidRDefault="00502956"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Feedback received from some States</w:t>
            </w:r>
          </w:p>
        </w:tc>
        <w:tc>
          <w:tcPr>
            <w:tcW w:w="1787" w:type="dxa"/>
            <w:tcBorders>
              <w:top w:val="nil"/>
              <w:left w:val="nil"/>
              <w:right w:val="nil"/>
            </w:tcBorders>
            <w:shd w:val="clear" w:color="auto" w:fill="auto"/>
          </w:tcPr>
          <w:p w:rsidR="00502956" w:rsidRPr="00502956" w:rsidRDefault="00E142A9"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Further feedback should be included in State submissions</w:t>
            </w:r>
          </w:p>
        </w:tc>
      </w:tr>
      <w:tr w:rsidR="003F5EC1" w:rsidRPr="00502956" w:rsidTr="00790D12">
        <w:trPr>
          <w:trHeight w:val="555"/>
        </w:trPr>
        <w:tc>
          <w:tcPr>
            <w:tcW w:w="2222" w:type="dxa"/>
            <w:tcBorders>
              <w:top w:val="nil"/>
              <w:left w:val="nil"/>
              <w:bottom w:val="single" w:sz="4" w:space="0" w:color="auto"/>
              <w:right w:val="nil"/>
            </w:tcBorders>
            <w:shd w:val="clear" w:color="auto" w:fill="auto"/>
            <w:hideMark/>
          </w:tcPr>
          <w:p w:rsidR="003F5EC1" w:rsidRPr="00502956" w:rsidRDefault="00502956" w:rsidP="0048355D">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Qualification level cost loading</w:t>
            </w:r>
          </w:p>
        </w:tc>
        <w:tc>
          <w:tcPr>
            <w:tcW w:w="3185" w:type="dxa"/>
            <w:tcBorders>
              <w:top w:val="nil"/>
              <w:left w:val="nil"/>
              <w:bottom w:val="single" w:sz="4" w:space="0" w:color="auto"/>
              <w:right w:val="nil"/>
            </w:tcBorders>
            <w:shd w:val="clear" w:color="auto" w:fill="auto"/>
            <w:hideMark/>
          </w:tcPr>
          <w:p w:rsidR="003F5EC1" w:rsidRPr="00502956" w:rsidRDefault="00790D12" w:rsidP="00790D12">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State spending by</w:t>
            </w:r>
            <w:r w:rsidR="00502956">
              <w:rPr>
                <w:rFonts w:ascii="Calibri" w:eastAsia="Times New Roman" w:hAnsi="Calibri" w:cs="Times New Roman"/>
                <w:color w:val="000000"/>
                <w:sz w:val="20"/>
                <w:szCs w:val="20"/>
                <w:lang w:eastAsia="en-AU"/>
              </w:rPr>
              <w:t xml:space="preserve"> qualification level </w:t>
            </w:r>
          </w:p>
        </w:tc>
        <w:tc>
          <w:tcPr>
            <w:tcW w:w="1786" w:type="dxa"/>
            <w:tcBorders>
              <w:top w:val="nil"/>
              <w:left w:val="nil"/>
              <w:bottom w:val="single" w:sz="4" w:space="0" w:color="auto"/>
              <w:right w:val="nil"/>
            </w:tcBorders>
            <w:shd w:val="clear" w:color="auto" w:fill="auto"/>
            <w:hideMark/>
          </w:tcPr>
          <w:p w:rsidR="003F5EC1" w:rsidRPr="00502956" w:rsidRDefault="00502956"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Request yet to be sent</w:t>
            </w:r>
          </w:p>
        </w:tc>
        <w:tc>
          <w:tcPr>
            <w:tcW w:w="1787" w:type="dxa"/>
            <w:tcBorders>
              <w:top w:val="nil"/>
              <w:left w:val="nil"/>
              <w:bottom w:val="single" w:sz="4" w:space="0" w:color="auto"/>
              <w:right w:val="nil"/>
            </w:tcBorders>
            <w:shd w:val="clear" w:color="auto" w:fill="auto"/>
          </w:tcPr>
          <w:p w:rsidR="003F5EC1" w:rsidRPr="00502956" w:rsidRDefault="00E142A9" w:rsidP="0048355D">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Draft – May 2018</w:t>
            </w:r>
          </w:p>
        </w:tc>
      </w:tr>
    </w:tbl>
    <w:p w:rsidR="00424151" w:rsidRPr="00424151" w:rsidRDefault="00424151" w:rsidP="00424151"/>
    <w:sectPr w:rsidR="00424151" w:rsidRPr="00424151" w:rsidSect="00245744">
      <w:footerReference w:type="default" r:id="rId19"/>
      <w:footerReference w:type="first" r:id="rId20"/>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C0D" w:rsidRDefault="00805C0D">
      <w:r>
        <w:separator/>
      </w:r>
    </w:p>
  </w:endnote>
  <w:endnote w:type="continuationSeparator" w:id="0">
    <w:p w:rsidR="00805C0D" w:rsidRDefault="00805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D" w:rsidRPr="00875C0F" w:rsidRDefault="00805C0D" w:rsidP="0024574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805C0D" w:rsidRDefault="00805C0D" w:rsidP="00AA6815">
        <w:pPr>
          <w:pStyle w:val="Footer"/>
        </w:pPr>
      </w:p>
      <w:p w:rsidR="00805C0D" w:rsidRPr="00875C0F" w:rsidRDefault="00CD1BBF" w:rsidP="00245744">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rsidR="00805C0D" w:rsidRPr="00875C0F" w:rsidRDefault="00CD1BBF" w:rsidP="00245744">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7315423"/>
      <w:docPartObj>
        <w:docPartGallery w:val="Page Numbers (Bottom of Page)"/>
        <w:docPartUnique/>
      </w:docPartObj>
    </w:sdtPr>
    <w:sdtEndPr/>
    <w:sdtContent>
      <w:p w:rsidR="00805C0D" w:rsidRPr="00875C0F" w:rsidRDefault="00CD1BBF" w:rsidP="00245744">
        <w:pPr>
          <w:pStyle w:val="Footer"/>
          <w:jc w:val="right"/>
        </w:pP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D" w:rsidRPr="0011178C" w:rsidRDefault="00805C0D" w:rsidP="003929D2">
    <w:pPr>
      <w:pStyle w:val="Footer"/>
      <w:jc w:val="right"/>
    </w:pPr>
    <w:r>
      <w:fldChar w:fldCharType="begin"/>
    </w:r>
    <w:r>
      <w:instrText xml:space="preserve"> PAGE  \* Arabic  \* MERGEFORMAT </w:instrText>
    </w:r>
    <w:r>
      <w:fldChar w:fldCharType="separate"/>
    </w:r>
    <w:r w:rsidR="00CD1BBF">
      <w:rPr>
        <w:noProof/>
      </w:rPr>
      <w:t>7</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D" w:rsidRPr="007E487F" w:rsidRDefault="00805C0D"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CD1BB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C0D" w:rsidRDefault="00805C0D">
      <w:r>
        <w:separator/>
      </w:r>
    </w:p>
  </w:footnote>
  <w:footnote w:type="continuationSeparator" w:id="0">
    <w:p w:rsidR="00805C0D" w:rsidRDefault="00805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D" w:rsidRDefault="00805C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C0D" w:rsidRDefault="00805C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11E39"/>
    <w:rsid w:val="00016FE0"/>
    <w:rsid w:val="00022EA9"/>
    <w:rsid w:val="00024745"/>
    <w:rsid w:val="00032F41"/>
    <w:rsid w:val="00040765"/>
    <w:rsid w:val="0004123E"/>
    <w:rsid w:val="00041748"/>
    <w:rsid w:val="00041E84"/>
    <w:rsid w:val="000424EA"/>
    <w:rsid w:val="00056373"/>
    <w:rsid w:val="00061111"/>
    <w:rsid w:val="000624BB"/>
    <w:rsid w:val="000648E8"/>
    <w:rsid w:val="00084BE6"/>
    <w:rsid w:val="00093796"/>
    <w:rsid w:val="000A0A93"/>
    <w:rsid w:val="000A0E1E"/>
    <w:rsid w:val="000A3898"/>
    <w:rsid w:val="000A52A1"/>
    <w:rsid w:val="000B2942"/>
    <w:rsid w:val="000B3557"/>
    <w:rsid w:val="000B64E3"/>
    <w:rsid w:val="000D1354"/>
    <w:rsid w:val="000D7C54"/>
    <w:rsid w:val="000E0210"/>
    <w:rsid w:val="000E6AA5"/>
    <w:rsid w:val="000E7F56"/>
    <w:rsid w:val="000F1CDA"/>
    <w:rsid w:val="001039C2"/>
    <w:rsid w:val="001040AD"/>
    <w:rsid w:val="0011178C"/>
    <w:rsid w:val="00112CF0"/>
    <w:rsid w:val="001211AB"/>
    <w:rsid w:val="001218B8"/>
    <w:rsid w:val="00124ED1"/>
    <w:rsid w:val="001304DC"/>
    <w:rsid w:val="00131E07"/>
    <w:rsid w:val="00134594"/>
    <w:rsid w:val="00136497"/>
    <w:rsid w:val="00137DFE"/>
    <w:rsid w:val="00141BD1"/>
    <w:rsid w:val="001441DA"/>
    <w:rsid w:val="00147115"/>
    <w:rsid w:val="001477CE"/>
    <w:rsid w:val="001622F3"/>
    <w:rsid w:val="00162BA7"/>
    <w:rsid w:val="001639A0"/>
    <w:rsid w:val="0016723A"/>
    <w:rsid w:val="00170DC9"/>
    <w:rsid w:val="00171A05"/>
    <w:rsid w:val="00172F3A"/>
    <w:rsid w:val="001730FD"/>
    <w:rsid w:val="00173798"/>
    <w:rsid w:val="00173BE6"/>
    <w:rsid w:val="00173E72"/>
    <w:rsid w:val="001807C0"/>
    <w:rsid w:val="001811DE"/>
    <w:rsid w:val="00187145"/>
    <w:rsid w:val="001A0C0E"/>
    <w:rsid w:val="001A169F"/>
    <w:rsid w:val="001A4336"/>
    <w:rsid w:val="001B0110"/>
    <w:rsid w:val="001B3048"/>
    <w:rsid w:val="001B68B1"/>
    <w:rsid w:val="001B696E"/>
    <w:rsid w:val="001B6A56"/>
    <w:rsid w:val="001C469B"/>
    <w:rsid w:val="001C6A71"/>
    <w:rsid w:val="001C78A6"/>
    <w:rsid w:val="001D638B"/>
    <w:rsid w:val="001D6DFA"/>
    <w:rsid w:val="001E05EF"/>
    <w:rsid w:val="001E6180"/>
    <w:rsid w:val="001E674B"/>
    <w:rsid w:val="001E68FC"/>
    <w:rsid w:val="001E72B6"/>
    <w:rsid w:val="001F4F5A"/>
    <w:rsid w:val="00204026"/>
    <w:rsid w:val="00212948"/>
    <w:rsid w:val="00217839"/>
    <w:rsid w:val="00223995"/>
    <w:rsid w:val="00225A3B"/>
    <w:rsid w:val="0023081D"/>
    <w:rsid w:val="0023329C"/>
    <w:rsid w:val="00236DC0"/>
    <w:rsid w:val="002373A2"/>
    <w:rsid w:val="00242517"/>
    <w:rsid w:val="0024260B"/>
    <w:rsid w:val="0024401F"/>
    <w:rsid w:val="0024569B"/>
    <w:rsid w:val="00245744"/>
    <w:rsid w:val="00252BF4"/>
    <w:rsid w:val="00253105"/>
    <w:rsid w:val="00255B5A"/>
    <w:rsid w:val="002671A2"/>
    <w:rsid w:val="00267496"/>
    <w:rsid w:val="00275B68"/>
    <w:rsid w:val="00282DEE"/>
    <w:rsid w:val="0028305F"/>
    <w:rsid w:val="002845EA"/>
    <w:rsid w:val="00286EBE"/>
    <w:rsid w:val="00287274"/>
    <w:rsid w:val="00295B70"/>
    <w:rsid w:val="002A2A08"/>
    <w:rsid w:val="002A2D93"/>
    <w:rsid w:val="002A4E42"/>
    <w:rsid w:val="002A5E12"/>
    <w:rsid w:val="002A77C3"/>
    <w:rsid w:val="002B0EE0"/>
    <w:rsid w:val="002B10B0"/>
    <w:rsid w:val="002B169C"/>
    <w:rsid w:val="002B6EFD"/>
    <w:rsid w:val="002B6F33"/>
    <w:rsid w:val="002B79F0"/>
    <w:rsid w:val="002B7F3E"/>
    <w:rsid w:val="002C1D9C"/>
    <w:rsid w:val="002C366F"/>
    <w:rsid w:val="002C4CA9"/>
    <w:rsid w:val="002D2270"/>
    <w:rsid w:val="002E1FC7"/>
    <w:rsid w:val="002E25A8"/>
    <w:rsid w:val="002F04DE"/>
    <w:rsid w:val="002F1CD3"/>
    <w:rsid w:val="002F6E28"/>
    <w:rsid w:val="002F7E68"/>
    <w:rsid w:val="00302E5E"/>
    <w:rsid w:val="00305111"/>
    <w:rsid w:val="00307DEF"/>
    <w:rsid w:val="00311D33"/>
    <w:rsid w:val="00313664"/>
    <w:rsid w:val="00314F90"/>
    <w:rsid w:val="00320F34"/>
    <w:rsid w:val="0033102E"/>
    <w:rsid w:val="00331401"/>
    <w:rsid w:val="00333234"/>
    <w:rsid w:val="003350EA"/>
    <w:rsid w:val="00335ED1"/>
    <w:rsid w:val="00337EF8"/>
    <w:rsid w:val="00342A60"/>
    <w:rsid w:val="0034379D"/>
    <w:rsid w:val="00343D51"/>
    <w:rsid w:val="0034646D"/>
    <w:rsid w:val="00347BE5"/>
    <w:rsid w:val="00352005"/>
    <w:rsid w:val="003522BA"/>
    <w:rsid w:val="003522E0"/>
    <w:rsid w:val="0035267F"/>
    <w:rsid w:val="0035580D"/>
    <w:rsid w:val="003639FB"/>
    <w:rsid w:val="00363BF7"/>
    <w:rsid w:val="00382AE5"/>
    <w:rsid w:val="003929D2"/>
    <w:rsid w:val="00393E3E"/>
    <w:rsid w:val="00393FA5"/>
    <w:rsid w:val="003A19E6"/>
    <w:rsid w:val="003A27BB"/>
    <w:rsid w:val="003B673D"/>
    <w:rsid w:val="003C0CA6"/>
    <w:rsid w:val="003C2577"/>
    <w:rsid w:val="003C3166"/>
    <w:rsid w:val="003C4448"/>
    <w:rsid w:val="003D22D2"/>
    <w:rsid w:val="003D3D91"/>
    <w:rsid w:val="003D4158"/>
    <w:rsid w:val="003D4708"/>
    <w:rsid w:val="003D477A"/>
    <w:rsid w:val="003E6615"/>
    <w:rsid w:val="003E79F9"/>
    <w:rsid w:val="003F12E9"/>
    <w:rsid w:val="003F59F4"/>
    <w:rsid w:val="003F5EC1"/>
    <w:rsid w:val="00404DCD"/>
    <w:rsid w:val="004077D6"/>
    <w:rsid w:val="004121E7"/>
    <w:rsid w:val="00414E51"/>
    <w:rsid w:val="00420F04"/>
    <w:rsid w:val="00422CE1"/>
    <w:rsid w:val="00423099"/>
    <w:rsid w:val="00424151"/>
    <w:rsid w:val="00424E79"/>
    <w:rsid w:val="00425414"/>
    <w:rsid w:val="0042661C"/>
    <w:rsid w:val="004274B3"/>
    <w:rsid w:val="00431E0C"/>
    <w:rsid w:val="00443EC1"/>
    <w:rsid w:val="004530AC"/>
    <w:rsid w:val="00453264"/>
    <w:rsid w:val="00462B54"/>
    <w:rsid w:val="00463064"/>
    <w:rsid w:val="00472461"/>
    <w:rsid w:val="004809B8"/>
    <w:rsid w:val="004821B9"/>
    <w:rsid w:val="0048355D"/>
    <w:rsid w:val="00491D88"/>
    <w:rsid w:val="0049605C"/>
    <w:rsid w:val="004965F7"/>
    <w:rsid w:val="004A61B0"/>
    <w:rsid w:val="004A7048"/>
    <w:rsid w:val="004B0A0A"/>
    <w:rsid w:val="004B1C4B"/>
    <w:rsid w:val="004B60CB"/>
    <w:rsid w:val="004C1CB5"/>
    <w:rsid w:val="004C7065"/>
    <w:rsid w:val="004E769A"/>
    <w:rsid w:val="004F276D"/>
    <w:rsid w:val="00500ACD"/>
    <w:rsid w:val="00502956"/>
    <w:rsid w:val="00504061"/>
    <w:rsid w:val="00505BAE"/>
    <w:rsid w:val="00506956"/>
    <w:rsid w:val="00515380"/>
    <w:rsid w:val="005176CA"/>
    <w:rsid w:val="00532D10"/>
    <w:rsid w:val="00537A77"/>
    <w:rsid w:val="00541A14"/>
    <w:rsid w:val="00543F9C"/>
    <w:rsid w:val="00546D39"/>
    <w:rsid w:val="00550E84"/>
    <w:rsid w:val="00551368"/>
    <w:rsid w:val="005577B0"/>
    <w:rsid w:val="00562084"/>
    <w:rsid w:val="00570EED"/>
    <w:rsid w:val="005716FC"/>
    <w:rsid w:val="00575DEF"/>
    <w:rsid w:val="00583A33"/>
    <w:rsid w:val="005867D2"/>
    <w:rsid w:val="00592B45"/>
    <w:rsid w:val="005963CC"/>
    <w:rsid w:val="00596E19"/>
    <w:rsid w:val="005A241E"/>
    <w:rsid w:val="005A6FED"/>
    <w:rsid w:val="005B0211"/>
    <w:rsid w:val="005B1BC4"/>
    <w:rsid w:val="005B6894"/>
    <w:rsid w:val="005B7121"/>
    <w:rsid w:val="005C13B2"/>
    <w:rsid w:val="005C27E3"/>
    <w:rsid w:val="005C37CB"/>
    <w:rsid w:val="005C459C"/>
    <w:rsid w:val="005C7414"/>
    <w:rsid w:val="005D1A9F"/>
    <w:rsid w:val="005D52FA"/>
    <w:rsid w:val="005D782A"/>
    <w:rsid w:val="005E266F"/>
    <w:rsid w:val="005E5734"/>
    <w:rsid w:val="005E73CE"/>
    <w:rsid w:val="005F07DC"/>
    <w:rsid w:val="005F64FB"/>
    <w:rsid w:val="0060251E"/>
    <w:rsid w:val="00602DDE"/>
    <w:rsid w:val="00611737"/>
    <w:rsid w:val="00614DE8"/>
    <w:rsid w:val="00622388"/>
    <w:rsid w:val="00622669"/>
    <w:rsid w:val="00622FE1"/>
    <w:rsid w:val="00625CE5"/>
    <w:rsid w:val="00635027"/>
    <w:rsid w:val="00644A7B"/>
    <w:rsid w:val="006479F9"/>
    <w:rsid w:val="00647AFC"/>
    <w:rsid w:val="006556D9"/>
    <w:rsid w:val="00661C46"/>
    <w:rsid w:val="006652D3"/>
    <w:rsid w:val="00667CF3"/>
    <w:rsid w:val="00671B78"/>
    <w:rsid w:val="006769C4"/>
    <w:rsid w:val="00677627"/>
    <w:rsid w:val="00677BD5"/>
    <w:rsid w:val="0068025E"/>
    <w:rsid w:val="00693C87"/>
    <w:rsid w:val="006A05C7"/>
    <w:rsid w:val="006A607B"/>
    <w:rsid w:val="006A6E27"/>
    <w:rsid w:val="006A72B0"/>
    <w:rsid w:val="006B3E4D"/>
    <w:rsid w:val="006C52B9"/>
    <w:rsid w:val="006D1DFE"/>
    <w:rsid w:val="006E6BC2"/>
    <w:rsid w:val="006E77BB"/>
    <w:rsid w:val="0070150E"/>
    <w:rsid w:val="00703151"/>
    <w:rsid w:val="00705DB8"/>
    <w:rsid w:val="00713225"/>
    <w:rsid w:val="0072512A"/>
    <w:rsid w:val="00731EE6"/>
    <w:rsid w:val="007355A6"/>
    <w:rsid w:val="00740A71"/>
    <w:rsid w:val="007477C5"/>
    <w:rsid w:val="00747938"/>
    <w:rsid w:val="00756850"/>
    <w:rsid w:val="007611E5"/>
    <w:rsid w:val="00762803"/>
    <w:rsid w:val="00762AFB"/>
    <w:rsid w:val="00765BA8"/>
    <w:rsid w:val="00766007"/>
    <w:rsid w:val="00770A26"/>
    <w:rsid w:val="00790D12"/>
    <w:rsid w:val="007A1364"/>
    <w:rsid w:val="007A24A0"/>
    <w:rsid w:val="007A4AB2"/>
    <w:rsid w:val="007A5E68"/>
    <w:rsid w:val="007B1BF7"/>
    <w:rsid w:val="007B5733"/>
    <w:rsid w:val="007B6B37"/>
    <w:rsid w:val="007C404B"/>
    <w:rsid w:val="007C4BAE"/>
    <w:rsid w:val="007C6F2E"/>
    <w:rsid w:val="007C7D36"/>
    <w:rsid w:val="007D1D3B"/>
    <w:rsid w:val="007D5960"/>
    <w:rsid w:val="007E114E"/>
    <w:rsid w:val="007E487F"/>
    <w:rsid w:val="007E4B2D"/>
    <w:rsid w:val="007E587D"/>
    <w:rsid w:val="007E6757"/>
    <w:rsid w:val="007E71E9"/>
    <w:rsid w:val="007F0489"/>
    <w:rsid w:val="007F1873"/>
    <w:rsid w:val="007F1D06"/>
    <w:rsid w:val="008010D7"/>
    <w:rsid w:val="00803443"/>
    <w:rsid w:val="00805C0D"/>
    <w:rsid w:val="0080680D"/>
    <w:rsid w:val="00812C05"/>
    <w:rsid w:val="0081322A"/>
    <w:rsid w:val="008162AB"/>
    <w:rsid w:val="00821DAD"/>
    <w:rsid w:val="00843E6F"/>
    <w:rsid w:val="00846728"/>
    <w:rsid w:val="00846E4A"/>
    <w:rsid w:val="00846F8E"/>
    <w:rsid w:val="00851AF5"/>
    <w:rsid w:val="00851FB5"/>
    <w:rsid w:val="00854DAA"/>
    <w:rsid w:val="008647DE"/>
    <w:rsid w:val="00864B95"/>
    <w:rsid w:val="008800D3"/>
    <w:rsid w:val="0088608C"/>
    <w:rsid w:val="00886CDD"/>
    <w:rsid w:val="0089214D"/>
    <w:rsid w:val="00893C0D"/>
    <w:rsid w:val="008A20DA"/>
    <w:rsid w:val="008B5C8F"/>
    <w:rsid w:val="008B5F16"/>
    <w:rsid w:val="008B7722"/>
    <w:rsid w:val="008C0E5C"/>
    <w:rsid w:val="008D348B"/>
    <w:rsid w:val="008E0128"/>
    <w:rsid w:val="008E2BE4"/>
    <w:rsid w:val="008E6B4E"/>
    <w:rsid w:val="008E7970"/>
    <w:rsid w:val="008E7C34"/>
    <w:rsid w:val="008F0C36"/>
    <w:rsid w:val="008F377B"/>
    <w:rsid w:val="00913D9D"/>
    <w:rsid w:val="00915512"/>
    <w:rsid w:val="009233CC"/>
    <w:rsid w:val="009240D8"/>
    <w:rsid w:val="0092523D"/>
    <w:rsid w:val="009360D7"/>
    <w:rsid w:val="009362C9"/>
    <w:rsid w:val="00942387"/>
    <w:rsid w:val="0094626F"/>
    <w:rsid w:val="009462D2"/>
    <w:rsid w:val="00962896"/>
    <w:rsid w:val="009652D5"/>
    <w:rsid w:val="009677F8"/>
    <w:rsid w:val="00971146"/>
    <w:rsid w:val="00972A9A"/>
    <w:rsid w:val="00991675"/>
    <w:rsid w:val="00992008"/>
    <w:rsid w:val="00996409"/>
    <w:rsid w:val="00996D00"/>
    <w:rsid w:val="009A03DC"/>
    <w:rsid w:val="009A1954"/>
    <w:rsid w:val="009A6CF3"/>
    <w:rsid w:val="009B43BF"/>
    <w:rsid w:val="009B4A2D"/>
    <w:rsid w:val="009B5A07"/>
    <w:rsid w:val="009C1E0B"/>
    <w:rsid w:val="009D545A"/>
    <w:rsid w:val="009D6D44"/>
    <w:rsid w:val="009E22FA"/>
    <w:rsid w:val="009E4744"/>
    <w:rsid w:val="009E4EC9"/>
    <w:rsid w:val="009E5D5A"/>
    <w:rsid w:val="009F2262"/>
    <w:rsid w:val="009F4ADA"/>
    <w:rsid w:val="009F6A0D"/>
    <w:rsid w:val="00A07991"/>
    <w:rsid w:val="00A10CDE"/>
    <w:rsid w:val="00A1680D"/>
    <w:rsid w:val="00A23AB0"/>
    <w:rsid w:val="00A266C5"/>
    <w:rsid w:val="00A309C6"/>
    <w:rsid w:val="00A319A4"/>
    <w:rsid w:val="00A32E4E"/>
    <w:rsid w:val="00A505DE"/>
    <w:rsid w:val="00A5327C"/>
    <w:rsid w:val="00A5721C"/>
    <w:rsid w:val="00A67913"/>
    <w:rsid w:val="00A70B5A"/>
    <w:rsid w:val="00A81A94"/>
    <w:rsid w:val="00A85D0F"/>
    <w:rsid w:val="00A9681E"/>
    <w:rsid w:val="00AA007A"/>
    <w:rsid w:val="00AA35B4"/>
    <w:rsid w:val="00AA6815"/>
    <w:rsid w:val="00AB073E"/>
    <w:rsid w:val="00AB1A13"/>
    <w:rsid w:val="00AB4E9F"/>
    <w:rsid w:val="00AC210F"/>
    <w:rsid w:val="00AC319E"/>
    <w:rsid w:val="00AC383D"/>
    <w:rsid w:val="00AE3A1E"/>
    <w:rsid w:val="00AE734F"/>
    <w:rsid w:val="00AF2656"/>
    <w:rsid w:val="00AF6110"/>
    <w:rsid w:val="00AF6AC6"/>
    <w:rsid w:val="00B00611"/>
    <w:rsid w:val="00B04354"/>
    <w:rsid w:val="00B249FC"/>
    <w:rsid w:val="00B317E7"/>
    <w:rsid w:val="00B33A57"/>
    <w:rsid w:val="00B33A7F"/>
    <w:rsid w:val="00B34083"/>
    <w:rsid w:val="00B37728"/>
    <w:rsid w:val="00B45C64"/>
    <w:rsid w:val="00B46A32"/>
    <w:rsid w:val="00B46B29"/>
    <w:rsid w:val="00B53547"/>
    <w:rsid w:val="00B53597"/>
    <w:rsid w:val="00B55D3E"/>
    <w:rsid w:val="00B62590"/>
    <w:rsid w:val="00B6729F"/>
    <w:rsid w:val="00B706E2"/>
    <w:rsid w:val="00B7517F"/>
    <w:rsid w:val="00B8201D"/>
    <w:rsid w:val="00B82627"/>
    <w:rsid w:val="00B90AA7"/>
    <w:rsid w:val="00B94335"/>
    <w:rsid w:val="00BA38F6"/>
    <w:rsid w:val="00BA65E5"/>
    <w:rsid w:val="00BB09DF"/>
    <w:rsid w:val="00BB3FC5"/>
    <w:rsid w:val="00BC2B3B"/>
    <w:rsid w:val="00BC4579"/>
    <w:rsid w:val="00BD1FF2"/>
    <w:rsid w:val="00BD3D24"/>
    <w:rsid w:val="00BE418D"/>
    <w:rsid w:val="00C0018A"/>
    <w:rsid w:val="00C00905"/>
    <w:rsid w:val="00C035B5"/>
    <w:rsid w:val="00C06B69"/>
    <w:rsid w:val="00C11ABD"/>
    <w:rsid w:val="00C14FB2"/>
    <w:rsid w:val="00C176AC"/>
    <w:rsid w:val="00C21EF9"/>
    <w:rsid w:val="00C222F7"/>
    <w:rsid w:val="00C24839"/>
    <w:rsid w:val="00C27C23"/>
    <w:rsid w:val="00C36875"/>
    <w:rsid w:val="00C41C84"/>
    <w:rsid w:val="00C43E2B"/>
    <w:rsid w:val="00C554D4"/>
    <w:rsid w:val="00C555B8"/>
    <w:rsid w:val="00C61B02"/>
    <w:rsid w:val="00C61F1C"/>
    <w:rsid w:val="00C70498"/>
    <w:rsid w:val="00C719A2"/>
    <w:rsid w:val="00C72165"/>
    <w:rsid w:val="00C81103"/>
    <w:rsid w:val="00C83041"/>
    <w:rsid w:val="00C90B42"/>
    <w:rsid w:val="00C9475D"/>
    <w:rsid w:val="00C95056"/>
    <w:rsid w:val="00C951FD"/>
    <w:rsid w:val="00C97FD7"/>
    <w:rsid w:val="00CA7F28"/>
    <w:rsid w:val="00CB0768"/>
    <w:rsid w:val="00CB131F"/>
    <w:rsid w:val="00CB4DCD"/>
    <w:rsid w:val="00CB4F2D"/>
    <w:rsid w:val="00CC1690"/>
    <w:rsid w:val="00CC665A"/>
    <w:rsid w:val="00CD1BBF"/>
    <w:rsid w:val="00CE04A0"/>
    <w:rsid w:val="00CE34DC"/>
    <w:rsid w:val="00D07FB4"/>
    <w:rsid w:val="00D21FA8"/>
    <w:rsid w:val="00D236B7"/>
    <w:rsid w:val="00D23E48"/>
    <w:rsid w:val="00D244BE"/>
    <w:rsid w:val="00D354D2"/>
    <w:rsid w:val="00D43096"/>
    <w:rsid w:val="00D43578"/>
    <w:rsid w:val="00D46AB2"/>
    <w:rsid w:val="00D47815"/>
    <w:rsid w:val="00D6060E"/>
    <w:rsid w:val="00D640CA"/>
    <w:rsid w:val="00D656EB"/>
    <w:rsid w:val="00D771FD"/>
    <w:rsid w:val="00D7796D"/>
    <w:rsid w:val="00D81B18"/>
    <w:rsid w:val="00D83541"/>
    <w:rsid w:val="00D93A16"/>
    <w:rsid w:val="00D9496D"/>
    <w:rsid w:val="00DA0768"/>
    <w:rsid w:val="00DA161A"/>
    <w:rsid w:val="00DA5A94"/>
    <w:rsid w:val="00DB2355"/>
    <w:rsid w:val="00DB3BB4"/>
    <w:rsid w:val="00DC0F02"/>
    <w:rsid w:val="00DC0F8D"/>
    <w:rsid w:val="00DC2284"/>
    <w:rsid w:val="00DC352E"/>
    <w:rsid w:val="00DC3CA4"/>
    <w:rsid w:val="00DE1C0E"/>
    <w:rsid w:val="00DE4578"/>
    <w:rsid w:val="00DF04EE"/>
    <w:rsid w:val="00DF3E35"/>
    <w:rsid w:val="00DF432D"/>
    <w:rsid w:val="00E03ED5"/>
    <w:rsid w:val="00E06243"/>
    <w:rsid w:val="00E07169"/>
    <w:rsid w:val="00E07621"/>
    <w:rsid w:val="00E142A9"/>
    <w:rsid w:val="00E162A4"/>
    <w:rsid w:val="00E1688C"/>
    <w:rsid w:val="00E22665"/>
    <w:rsid w:val="00E30499"/>
    <w:rsid w:val="00E30B51"/>
    <w:rsid w:val="00E324BB"/>
    <w:rsid w:val="00E377E8"/>
    <w:rsid w:val="00E42394"/>
    <w:rsid w:val="00E43464"/>
    <w:rsid w:val="00E47A69"/>
    <w:rsid w:val="00E571BB"/>
    <w:rsid w:val="00E74435"/>
    <w:rsid w:val="00E74EEF"/>
    <w:rsid w:val="00E758AD"/>
    <w:rsid w:val="00E77D4E"/>
    <w:rsid w:val="00E91860"/>
    <w:rsid w:val="00E954B7"/>
    <w:rsid w:val="00E95FA3"/>
    <w:rsid w:val="00E96FDB"/>
    <w:rsid w:val="00EA107B"/>
    <w:rsid w:val="00EA7D43"/>
    <w:rsid w:val="00EB4A21"/>
    <w:rsid w:val="00EB6D31"/>
    <w:rsid w:val="00EC06CC"/>
    <w:rsid w:val="00EC16F1"/>
    <w:rsid w:val="00EC7237"/>
    <w:rsid w:val="00ED012F"/>
    <w:rsid w:val="00ED05D6"/>
    <w:rsid w:val="00ED0C6F"/>
    <w:rsid w:val="00ED2FCC"/>
    <w:rsid w:val="00EE2386"/>
    <w:rsid w:val="00EE5F75"/>
    <w:rsid w:val="00EF2722"/>
    <w:rsid w:val="00EF6805"/>
    <w:rsid w:val="00F00508"/>
    <w:rsid w:val="00F01E52"/>
    <w:rsid w:val="00F042DC"/>
    <w:rsid w:val="00F04309"/>
    <w:rsid w:val="00F07099"/>
    <w:rsid w:val="00F105EA"/>
    <w:rsid w:val="00F11117"/>
    <w:rsid w:val="00F12541"/>
    <w:rsid w:val="00F22035"/>
    <w:rsid w:val="00F22D18"/>
    <w:rsid w:val="00F36C87"/>
    <w:rsid w:val="00F46927"/>
    <w:rsid w:val="00F533CE"/>
    <w:rsid w:val="00F55854"/>
    <w:rsid w:val="00F56572"/>
    <w:rsid w:val="00F56813"/>
    <w:rsid w:val="00F63DEF"/>
    <w:rsid w:val="00F70110"/>
    <w:rsid w:val="00F711DA"/>
    <w:rsid w:val="00F72C93"/>
    <w:rsid w:val="00F77905"/>
    <w:rsid w:val="00F80A88"/>
    <w:rsid w:val="00F823F5"/>
    <w:rsid w:val="00F83306"/>
    <w:rsid w:val="00F83596"/>
    <w:rsid w:val="00F9170D"/>
    <w:rsid w:val="00F94368"/>
    <w:rsid w:val="00F9494C"/>
    <w:rsid w:val="00FA15C8"/>
    <w:rsid w:val="00FA2D86"/>
    <w:rsid w:val="00FA348C"/>
    <w:rsid w:val="00FA43AF"/>
    <w:rsid w:val="00FA6814"/>
    <w:rsid w:val="00FB0AD8"/>
    <w:rsid w:val="00FB4DBB"/>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BulletlistChar">
    <w:name w:val="CGC Bullet list Char"/>
    <w:aliases w:val="CGC List 1 Char,CGC Bullet list Char1"/>
    <w:basedOn w:val="DefaultParagraphFont"/>
    <w:locked/>
    <w:rsid w:val="003350EA"/>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toc 4" w:uiPriority="39"/>
    <w:lsdException w:name="footer" w:uiPriority="99"/>
    <w:lsdException w:name="Default Paragraph Font" w:uiPriority="1"/>
    <w:lsdException w:name="Hyperlink"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uiPriority w:val="39"/>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BulletlistChar">
    <w:name w:val="CGC Bullet list Char"/>
    <w:aliases w:val="CGC List 1 Char,CGC Bullet list Char1"/>
    <w:basedOn w:val="DefaultParagraphFont"/>
    <w:locked/>
    <w:rsid w:val="003350E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22788">
      <w:bodyDiv w:val="1"/>
      <w:marLeft w:val="0"/>
      <w:marRight w:val="0"/>
      <w:marTop w:val="0"/>
      <w:marBottom w:val="0"/>
      <w:divBdr>
        <w:top w:val="none" w:sz="0" w:space="0" w:color="auto"/>
        <w:left w:val="none" w:sz="0" w:space="0" w:color="auto"/>
        <w:bottom w:val="none" w:sz="0" w:space="0" w:color="auto"/>
        <w:right w:val="none" w:sz="0" w:space="0" w:color="auto"/>
      </w:divBdr>
    </w:div>
    <w:div w:id="43262892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83036985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99314004">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14226947">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ecretary@cgc.gov.a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3069</Words>
  <Characters>18471</Characters>
  <Application>Microsoft Office Word</Application>
  <DocSecurity>0</DocSecurity>
  <Lines>153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2018-04-18T02:33:00Z</dcterms:created>
  <dcterms:modified xsi:type="dcterms:W3CDTF">2018-04-18T02:51:00Z</dcterms:modified>
</cp:coreProperties>
</file>