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56E3A" w14:textId="77777777" w:rsidR="00F15230" w:rsidRPr="00970E6D" w:rsidRDefault="00F15230" w:rsidP="00F15230">
      <w:pPr>
        <w:tabs>
          <w:tab w:val="clear" w:pos="567"/>
        </w:tabs>
        <w:jc w:val="center"/>
        <w:rPr>
          <w:b/>
          <w:bCs/>
        </w:rPr>
      </w:pPr>
      <w:bookmarkStart w:id="0" w:name="_GoBack"/>
      <w:bookmarkEnd w:id="0"/>
      <w:r w:rsidRPr="00970E6D">
        <w:rPr>
          <w:noProof/>
          <w:lang w:eastAsia="zh-CN"/>
        </w:rPr>
        <w:drawing>
          <wp:inline distT="0" distB="0" distL="0" distR="0" wp14:anchorId="3D0CA3DB" wp14:editId="28F6D5A9">
            <wp:extent cx="2933700" cy="1524600"/>
            <wp:effectExtent l="19050" t="0" r="0" b="0"/>
            <wp:docPr id="2" name="Picture 2"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42627020" w14:textId="77777777" w:rsidR="00F15230" w:rsidRPr="00970E6D" w:rsidRDefault="00F15230" w:rsidP="00F15230">
      <w:pPr>
        <w:tabs>
          <w:tab w:val="clear" w:pos="567"/>
        </w:tabs>
        <w:jc w:val="center"/>
        <w:rPr>
          <w:b/>
          <w:sz w:val="40"/>
          <w:szCs w:val="40"/>
        </w:rPr>
      </w:pPr>
    </w:p>
    <w:p w14:paraId="55745949" w14:textId="77777777" w:rsidR="00F15230" w:rsidRPr="00970E6D" w:rsidRDefault="00F15230" w:rsidP="00F15230">
      <w:pPr>
        <w:tabs>
          <w:tab w:val="clear" w:pos="567"/>
        </w:tabs>
        <w:jc w:val="center"/>
        <w:rPr>
          <w:b/>
          <w:sz w:val="40"/>
          <w:szCs w:val="40"/>
        </w:rPr>
      </w:pPr>
    </w:p>
    <w:p w14:paraId="6B92214E" w14:textId="77777777" w:rsidR="00F15230" w:rsidRPr="00970E6D" w:rsidRDefault="00F15230" w:rsidP="00F15230">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60149ABB" w14:textId="77777777" w:rsidR="00F15230" w:rsidRPr="00970E6D" w:rsidRDefault="00F15230" w:rsidP="00F15230">
      <w:pPr>
        <w:tabs>
          <w:tab w:val="clear" w:pos="567"/>
        </w:tabs>
        <w:jc w:val="center"/>
        <w:rPr>
          <w:b/>
          <w:sz w:val="40"/>
          <w:szCs w:val="40"/>
        </w:rPr>
      </w:pPr>
    </w:p>
    <w:p w14:paraId="1180D945" w14:textId="77777777" w:rsidR="00F15230" w:rsidRPr="00970E6D" w:rsidRDefault="00F15230" w:rsidP="00F15230">
      <w:pPr>
        <w:tabs>
          <w:tab w:val="clear" w:pos="567"/>
        </w:tabs>
        <w:jc w:val="center"/>
        <w:rPr>
          <w:b/>
          <w:sz w:val="40"/>
          <w:szCs w:val="40"/>
        </w:rPr>
      </w:pPr>
    </w:p>
    <w:p w14:paraId="171BDDAC" w14:textId="77777777" w:rsidR="00F15230" w:rsidRPr="00970E6D" w:rsidRDefault="00F15230" w:rsidP="00F15230">
      <w:pPr>
        <w:tabs>
          <w:tab w:val="clear" w:pos="567"/>
        </w:tabs>
        <w:jc w:val="center"/>
        <w:rPr>
          <w:b/>
          <w:sz w:val="40"/>
          <w:szCs w:val="40"/>
        </w:rPr>
      </w:pPr>
    </w:p>
    <w:p w14:paraId="2313CC67" w14:textId="77777777" w:rsidR="00F15230" w:rsidRPr="00970E6D" w:rsidRDefault="00F15230" w:rsidP="00F15230">
      <w:pPr>
        <w:tabs>
          <w:tab w:val="clear" w:pos="567"/>
        </w:tabs>
        <w:jc w:val="center"/>
        <w:rPr>
          <w:b/>
          <w:sz w:val="40"/>
          <w:szCs w:val="40"/>
        </w:rPr>
      </w:pPr>
    </w:p>
    <w:p w14:paraId="499558BE" w14:textId="5127DD9D" w:rsidR="00F15230" w:rsidRPr="00970E6D" w:rsidRDefault="007D0DC7" w:rsidP="00F15230">
      <w:pPr>
        <w:tabs>
          <w:tab w:val="clear" w:pos="567"/>
        </w:tabs>
        <w:jc w:val="center"/>
        <w:rPr>
          <w:bCs/>
          <w:sz w:val="40"/>
          <w:szCs w:val="40"/>
        </w:rPr>
      </w:pPr>
      <w:r>
        <w:rPr>
          <w:b/>
          <w:sz w:val="40"/>
          <w:szCs w:val="40"/>
        </w:rPr>
        <w:t>HEALTH</w:t>
      </w:r>
    </w:p>
    <w:p w14:paraId="017A5C40" w14:textId="77777777" w:rsidR="00F15230" w:rsidRPr="00970E6D" w:rsidRDefault="00F15230" w:rsidP="00F15230">
      <w:pPr>
        <w:tabs>
          <w:tab w:val="clear" w:pos="567"/>
        </w:tabs>
        <w:jc w:val="center"/>
        <w:rPr>
          <w:b/>
          <w:sz w:val="40"/>
          <w:szCs w:val="40"/>
        </w:rPr>
      </w:pPr>
    </w:p>
    <w:p w14:paraId="4E31B3F4" w14:textId="77777777" w:rsidR="00F15230" w:rsidRPr="00970E6D" w:rsidRDefault="00F15230" w:rsidP="00F15230">
      <w:pPr>
        <w:tabs>
          <w:tab w:val="clear" w:pos="567"/>
        </w:tabs>
        <w:jc w:val="center"/>
        <w:rPr>
          <w:b/>
          <w:sz w:val="40"/>
          <w:szCs w:val="40"/>
        </w:rPr>
      </w:pPr>
    </w:p>
    <w:p w14:paraId="63D17407" w14:textId="77777777" w:rsidR="00F15230" w:rsidRPr="00970E6D" w:rsidRDefault="00F15230" w:rsidP="00F15230">
      <w:pPr>
        <w:tabs>
          <w:tab w:val="clear" w:pos="567"/>
        </w:tabs>
        <w:jc w:val="center"/>
        <w:rPr>
          <w:b/>
          <w:sz w:val="40"/>
          <w:szCs w:val="40"/>
        </w:rPr>
      </w:pPr>
    </w:p>
    <w:p w14:paraId="755D146B" w14:textId="77777777" w:rsidR="00F15230" w:rsidRPr="00970E6D" w:rsidRDefault="00F15230" w:rsidP="00F15230">
      <w:pPr>
        <w:tabs>
          <w:tab w:val="clear" w:pos="567"/>
        </w:tabs>
        <w:jc w:val="center"/>
        <w:rPr>
          <w:b/>
          <w:sz w:val="40"/>
          <w:szCs w:val="40"/>
        </w:rPr>
      </w:pPr>
    </w:p>
    <w:p w14:paraId="0EE551F2" w14:textId="4A918447" w:rsidR="00F15230" w:rsidRPr="00970E6D" w:rsidRDefault="002F0CC2" w:rsidP="00F15230">
      <w:pPr>
        <w:tabs>
          <w:tab w:val="clear" w:pos="567"/>
        </w:tabs>
        <w:jc w:val="center"/>
        <w:rPr>
          <w:b/>
          <w:sz w:val="40"/>
          <w:szCs w:val="40"/>
        </w:rPr>
      </w:pPr>
      <w:r>
        <w:rPr>
          <w:b/>
          <w:sz w:val="40"/>
          <w:szCs w:val="40"/>
        </w:rPr>
        <w:t>STAFF DRAFT ASSESSMENT PAPER</w:t>
      </w:r>
      <w:r w:rsidR="00F15230">
        <w:rPr>
          <w:b/>
          <w:sz w:val="40"/>
          <w:szCs w:val="40"/>
        </w:rPr>
        <w:br/>
        <w:t xml:space="preserve">CGC </w:t>
      </w:r>
      <w:r w:rsidR="00F15230" w:rsidRPr="00780386">
        <w:rPr>
          <w:b/>
          <w:sz w:val="40"/>
          <w:szCs w:val="40"/>
        </w:rPr>
        <w:t>2018-01/</w:t>
      </w:r>
      <w:r w:rsidR="007D0DC7">
        <w:rPr>
          <w:b/>
          <w:sz w:val="40"/>
          <w:szCs w:val="40"/>
        </w:rPr>
        <w:t>12</w:t>
      </w:r>
      <w:r w:rsidR="00F15230" w:rsidRPr="00780386">
        <w:rPr>
          <w:b/>
          <w:sz w:val="40"/>
          <w:szCs w:val="40"/>
        </w:rPr>
        <w:t>-S</w:t>
      </w:r>
    </w:p>
    <w:p w14:paraId="0E857B2C" w14:textId="77777777" w:rsidR="00F15230" w:rsidRPr="00970E6D" w:rsidRDefault="00F15230" w:rsidP="00F15230">
      <w:pPr>
        <w:tabs>
          <w:tab w:val="clear" w:pos="567"/>
        </w:tabs>
        <w:jc w:val="center"/>
        <w:rPr>
          <w:b/>
          <w:sz w:val="40"/>
          <w:szCs w:val="40"/>
        </w:rPr>
      </w:pPr>
    </w:p>
    <w:p w14:paraId="31D2FAB0" w14:textId="77777777" w:rsidR="00F15230" w:rsidRPr="00970E6D" w:rsidRDefault="00F15230" w:rsidP="00F15230">
      <w:pPr>
        <w:tabs>
          <w:tab w:val="clear" w:pos="567"/>
        </w:tabs>
        <w:jc w:val="center"/>
        <w:rPr>
          <w:b/>
          <w:sz w:val="40"/>
          <w:szCs w:val="40"/>
        </w:rPr>
      </w:pPr>
    </w:p>
    <w:p w14:paraId="05E7F228" w14:textId="77777777" w:rsidR="00F15230" w:rsidRPr="00970E6D" w:rsidRDefault="00F15230" w:rsidP="00F15230">
      <w:pPr>
        <w:tabs>
          <w:tab w:val="clear" w:pos="567"/>
        </w:tabs>
        <w:jc w:val="center"/>
        <w:rPr>
          <w:sz w:val="40"/>
          <w:szCs w:val="40"/>
        </w:rPr>
      </w:pPr>
    </w:p>
    <w:p w14:paraId="2E418F32" w14:textId="77777777" w:rsidR="00F15230" w:rsidRPr="00970E6D" w:rsidRDefault="00F15230" w:rsidP="00F15230">
      <w:pPr>
        <w:tabs>
          <w:tab w:val="clear" w:pos="567"/>
        </w:tabs>
        <w:jc w:val="right"/>
        <w:rPr>
          <w:b/>
          <w:sz w:val="28"/>
          <w:szCs w:val="28"/>
        </w:rPr>
      </w:pPr>
      <w:r>
        <w:rPr>
          <w:b/>
          <w:sz w:val="28"/>
          <w:szCs w:val="28"/>
        </w:rPr>
        <w:t>APRIL 2018</w:t>
      </w:r>
    </w:p>
    <w:p w14:paraId="241F4084" w14:textId="77777777" w:rsidR="00F15230" w:rsidRPr="00970E6D" w:rsidRDefault="00F15230" w:rsidP="00F15230">
      <w:pPr>
        <w:tabs>
          <w:tab w:val="clear" w:pos="567"/>
        </w:tabs>
      </w:pPr>
    </w:p>
    <w:p w14:paraId="5DFAC924" w14:textId="77777777" w:rsidR="00F15230" w:rsidRPr="00970E6D" w:rsidRDefault="00F15230" w:rsidP="00F15230">
      <w:pPr>
        <w:tabs>
          <w:tab w:val="clear" w:pos="567"/>
        </w:tabs>
        <w:sectPr w:rsidR="00F15230" w:rsidRPr="00970E6D" w:rsidSect="00F15230">
          <w:footerReference w:type="default" r:id="rId9"/>
          <w:pgSz w:w="11899" w:h="16838" w:code="9"/>
          <w:pgMar w:top="1701" w:right="1474" w:bottom="1701" w:left="1474" w:header="709" w:footer="709" w:gutter="0"/>
          <w:cols w:space="708"/>
          <w:titlePg/>
          <w:docGrid w:linePitch="299"/>
        </w:sectPr>
      </w:pPr>
    </w:p>
    <w:p w14:paraId="790344F7" w14:textId="77777777" w:rsidR="00F15230" w:rsidRDefault="00F15230" w:rsidP="00F15230">
      <w:pPr>
        <w:pStyle w:val="NoSpacing"/>
      </w:pPr>
    </w:p>
    <w:tbl>
      <w:tblPr>
        <w:tblStyle w:val="TableGrid2"/>
        <w:tblW w:w="5000" w:type="pct"/>
        <w:tblLook w:val="01E0" w:firstRow="1" w:lastRow="1" w:firstColumn="1" w:lastColumn="1" w:noHBand="0" w:noVBand="0"/>
      </w:tblPr>
      <w:tblGrid>
        <w:gridCol w:w="2943"/>
        <w:gridCol w:w="6224"/>
      </w:tblGrid>
      <w:tr w:rsidR="00F15230" w:rsidRPr="00B8572F" w14:paraId="6D2A8A07" w14:textId="77777777" w:rsidTr="00F15230">
        <w:tc>
          <w:tcPr>
            <w:tcW w:w="1605" w:type="pct"/>
            <w:tcBorders>
              <w:top w:val="single" w:sz="4" w:space="0" w:color="auto"/>
              <w:left w:val="single" w:sz="4" w:space="0" w:color="auto"/>
              <w:bottom w:val="single" w:sz="4" w:space="0" w:color="auto"/>
              <w:right w:val="single" w:sz="4" w:space="0" w:color="auto"/>
            </w:tcBorders>
          </w:tcPr>
          <w:p w14:paraId="0D799E3C" w14:textId="77777777" w:rsidR="00F15230" w:rsidRPr="00B8572F" w:rsidRDefault="00F15230" w:rsidP="00F15230">
            <w:pPr>
              <w:tabs>
                <w:tab w:val="clear" w:pos="567"/>
              </w:tabs>
            </w:pPr>
            <w:r w:rsidRPr="00B8572F">
              <w:t>Paper issued</w:t>
            </w:r>
          </w:p>
        </w:tc>
        <w:tc>
          <w:tcPr>
            <w:tcW w:w="3395" w:type="pct"/>
            <w:tcBorders>
              <w:top w:val="single" w:sz="4" w:space="0" w:color="auto"/>
              <w:left w:val="single" w:sz="4" w:space="0" w:color="auto"/>
              <w:bottom w:val="single" w:sz="4" w:space="0" w:color="auto"/>
              <w:right w:val="single" w:sz="4" w:space="0" w:color="auto"/>
            </w:tcBorders>
          </w:tcPr>
          <w:p w14:paraId="0DB829DC" w14:textId="77777777" w:rsidR="00F15230" w:rsidRPr="00B8572F" w:rsidRDefault="00F15230" w:rsidP="00F15230">
            <w:pPr>
              <w:tabs>
                <w:tab w:val="clear" w:pos="567"/>
              </w:tabs>
            </w:pPr>
            <w:r>
              <w:t>20</w:t>
            </w:r>
            <w:r w:rsidRPr="00B8572F">
              <w:t xml:space="preserve"> </w:t>
            </w:r>
            <w:r>
              <w:t xml:space="preserve">April </w:t>
            </w:r>
            <w:r w:rsidRPr="00B8572F">
              <w:t>20</w:t>
            </w:r>
            <w:r>
              <w:t>18</w:t>
            </w:r>
          </w:p>
        </w:tc>
      </w:tr>
      <w:tr w:rsidR="00F15230" w:rsidRPr="00B8572F" w14:paraId="6C8FFC3A" w14:textId="77777777" w:rsidTr="00F15230">
        <w:tc>
          <w:tcPr>
            <w:tcW w:w="1605" w:type="pct"/>
            <w:tcBorders>
              <w:top w:val="single" w:sz="4" w:space="0" w:color="auto"/>
              <w:left w:val="single" w:sz="4" w:space="0" w:color="auto"/>
              <w:bottom w:val="single" w:sz="4" w:space="0" w:color="auto"/>
              <w:right w:val="single" w:sz="4" w:space="0" w:color="auto"/>
            </w:tcBorders>
          </w:tcPr>
          <w:p w14:paraId="13FE15B9" w14:textId="77777777" w:rsidR="00F15230" w:rsidRPr="00B8572F" w:rsidRDefault="00F15230" w:rsidP="00F15230">
            <w:pPr>
              <w:tabs>
                <w:tab w:val="clear" w:pos="567"/>
              </w:tabs>
            </w:pPr>
            <w:r w:rsidRPr="00B8572F">
              <w:t>Commission contact officer</w:t>
            </w:r>
          </w:p>
        </w:tc>
        <w:tc>
          <w:tcPr>
            <w:tcW w:w="3395" w:type="pct"/>
            <w:tcBorders>
              <w:top w:val="single" w:sz="4" w:space="0" w:color="auto"/>
              <w:left w:val="single" w:sz="4" w:space="0" w:color="auto"/>
              <w:bottom w:val="single" w:sz="4" w:space="0" w:color="auto"/>
              <w:right w:val="single" w:sz="4" w:space="0" w:color="auto"/>
            </w:tcBorders>
          </w:tcPr>
          <w:p w14:paraId="15941255" w14:textId="45F7A0A5" w:rsidR="00F15230" w:rsidRPr="00B8572F" w:rsidRDefault="007D0DC7" w:rsidP="007D0DC7">
            <w:pPr>
              <w:tabs>
                <w:tab w:val="clear" w:pos="567"/>
              </w:tabs>
            </w:pPr>
            <w:r>
              <w:t>Fan Xiang, 02 6229 8817</w:t>
            </w:r>
            <w:r w:rsidR="00F15230">
              <w:t xml:space="preserve">, </w:t>
            </w:r>
            <w:hyperlink r:id="rId10" w:history="1">
              <w:r w:rsidRPr="005438D0">
                <w:rPr>
                  <w:rStyle w:val="Hyperlink"/>
                </w:rPr>
                <w:t>fan.xiang@cgc.gov.au</w:t>
              </w:r>
            </w:hyperlink>
            <w:r w:rsidR="00F15230">
              <w:t xml:space="preserve"> </w:t>
            </w:r>
          </w:p>
        </w:tc>
      </w:tr>
      <w:tr w:rsidR="00F15230" w:rsidRPr="00B8572F" w14:paraId="62EAD201" w14:textId="77777777" w:rsidTr="00F15230">
        <w:tc>
          <w:tcPr>
            <w:tcW w:w="1605" w:type="pct"/>
            <w:tcBorders>
              <w:top w:val="single" w:sz="4" w:space="0" w:color="auto"/>
              <w:left w:val="single" w:sz="4" w:space="0" w:color="auto"/>
              <w:bottom w:val="single" w:sz="4" w:space="0" w:color="auto"/>
              <w:right w:val="single" w:sz="4" w:space="0" w:color="auto"/>
            </w:tcBorders>
          </w:tcPr>
          <w:p w14:paraId="6ACC237F" w14:textId="77777777" w:rsidR="00F15230" w:rsidRPr="00B8572F" w:rsidRDefault="00F15230" w:rsidP="00F15230">
            <w:pPr>
              <w:tabs>
                <w:tab w:val="clear" w:pos="567"/>
              </w:tabs>
            </w:pPr>
            <w:r w:rsidRPr="00B8572F">
              <w:t>Submissions sought by</w:t>
            </w:r>
          </w:p>
        </w:tc>
        <w:tc>
          <w:tcPr>
            <w:tcW w:w="3395" w:type="pct"/>
            <w:tcBorders>
              <w:top w:val="single" w:sz="4" w:space="0" w:color="auto"/>
              <w:left w:val="single" w:sz="4" w:space="0" w:color="auto"/>
              <w:bottom w:val="single" w:sz="4" w:space="0" w:color="auto"/>
              <w:right w:val="single" w:sz="4" w:space="0" w:color="auto"/>
            </w:tcBorders>
          </w:tcPr>
          <w:p w14:paraId="347AA4AA" w14:textId="77777777" w:rsidR="00F15230" w:rsidRDefault="00F15230" w:rsidP="00F15230">
            <w:pPr>
              <w:tabs>
                <w:tab w:val="clear" w:pos="567"/>
              </w:tabs>
            </w:pPr>
            <w:r>
              <w:t>31 August 2018</w:t>
            </w:r>
            <w:r w:rsidRPr="00B8572F">
              <w:t xml:space="preserve"> </w:t>
            </w:r>
          </w:p>
          <w:p w14:paraId="600BEC64" w14:textId="77777777" w:rsidR="00F15230" w:rsidRPr="00B8572F" w:rsidRDefault="00F15230" w:rsidP="00F15230">
            <w:pPr>
              <w:tabs>
                <w:tab w:val="clear" w:pos="567"/>
              </w:tabs>
            </w:pPr>
            <w:r w:rsidRPr="00B8572F">
              <w:t xml:space="preserve">Submissions should be emailed in Word format to </w:t>
            </w:r>
            <w:hyperlink r:id="rId11" w:history="1">
              <w:r w:rsidRPr="00B8572F">
                <w:rPr>
                  <w:color w:val="0000FF"/>
                  <w:u w:val="single"/>
                </w:rPr>
                <w:t>secretary@cgc.gov.au</w:t>
              </w:r>
            </w:hyperlink>
            <w:r w:rsidRPr="00B8572F">
              <w:t xml:space="preserve"> .</w:t>
            </w:r>
          </w:p>
          <w:p w14:paraId="4478A1FA" w14:textId="77777777" w:rsidR="00F15230" w:rsidRPr="00B8572F" w:rsidRDefault="00F15230" w:rsidP="00F15230">
            <w:pPr>
              <w:tabs>
                <w:tab w:val="clear" w:pos="567"/>
              </w:tabs>
            </w:pPr>
            <w:r w:rsidRPr="00B8572F">
              <w:t>Submissions of more than 10 pages in length should include a summary section.</w:t>
            </w:r>
          </w:p>
        </w:tc>
      </w:tr>
      <w:tr w:rsidR="00F15230" w:rsidRPr="00B8572F" w14:paraId="035AF6B6" w14:textId="77777777" w:rsidTr="00F15230">
        <w:tc>
          <w:tcPr>
            <w:tcW w:w="1605" w:type="pct"/>
            <w:tcBorders>
              <w:top w:val="single" w:sz="4" w:space="0" w:color="auto"/>
              <w:left w:val="single" w:sz="4" w:space="0" w:color="auto"/>
              <w:bottom w:val="single" w:sz="4" w:space="0" w:color="auto"/>
              <w:right w:val="single" w:sz="4" w:space="0" w:color="auto"/>
            </w:tcBorders>
          </w:tcPr>
          <w:p w14:paraId="65875690" w14:textId="77777777" w:rsidR="00F15230" w:rsidRPr="00B8572F" w:rsidRDefault="00F15230" w:rsidP="00F15230">
            <w:pPr>
              <w:tabs>
                <w:tab w:val="clear" w:pos="567"/>
              </w:tabs>
            </w:pPr>
            <w:r w:rsidRPr="00B8572F">
              <w:t>Confidential material</w:t>
            </w:r>
          </w:p>
        </w:tc>
        <w:tc>
          <w:tcPr>
            <w:tcW w:w="3395" w:type="pct"/>
            <w:tcBorders>
              <w:top w:val="single" w:sz="4" w:space="0" w:color="auto"/>
              <w:left w:val="single" w:sz="4" w:space="0" w:color="auto"/>
              <w:bottom w:val="single" w:sz="4" w:space="0" w:color="auto"/>
              <w:right w:val="single" w:sz="4" w:space="0" w:color="auto"/>
            </w:tcBorders>
          </w:tcPr>
          <w:p w14:paraId="1410C93A" w14:textId="77777777" w:rsidR="00F15230" w:rsidRPr="00B8572F" w:rsidRDefault="00F15230" w:rsidP="00F15230">
            <w:pPr>
              <w:tabs>
                <w:tab w:val="clear" w:pos="567"/>
              </w:tabs>
            </w:pPr>
            <w:r>
              <w:t>It is the C</w:t>
            </w:r>
            <w:r w:rsidRPr="00B8572F">
              <w:t xml:space="preserve">ommission’s normal practice to make State submissions available on its website under the CC BY licence, allowing free use of content by third parties. </w:t>
            </w:r>
          </w:p>
          <w:p w14:paraId="630473A9" w14:textId="77777777" w:rsidR="00F15230" w:rsidRPr="00B8572F" w:rsidRDefault="00F15230" w:rsidP="00F15230">
            <w:pPr>
              <w:tabs>
                <w:tab w:val="clear" w:pos="567"/>
              </w:tabs>
            </w:pPr>
            <w:r w:rsidRPr="00B8572F">
              <w:rPr>
                <w:noProof/>
                <w:lang w:eastAsia="zh-CN"/>
              </w:rPr>
              <w:drawing>
                <wp:inline distT="0" distB="0" distL="0" distR="0" wp14:anchorId="206F8AB7" wp14:editId="72294B8B">
                  <wp:extent cx="828675" cy="295275"/>
                  <wp:effectExtent l="19050" t="0" r="9525" b="0"/>
                  <wp:docPr id="9"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3CD60013" w14:textId="77777777" w:rsidR="00F15230" w:rsidRPr="00B8572F" w:rsidRDefault="00F15230" w:rsidP="00F15230">
            <w:pPr>
              <w:tabs>
                <w:tab w:val="clear" w:pos="567"/>
              </w:tabs>
            </w:pPr>
            <w:r w:rsidRPr="00B8572F">
              <w:t xml:space="preserve">Further information on the CC BY licence can be found on the </w:t>
            </w:r>
            <w:hyperlink r:id="rId13" w:history="1">
              <w:r w:rsidRPr="00B8572F">
                <w:rPr>
                  <w:color w:val="0000FF"/>
                  <w:u w:val="single"/>
                </w:rPr>
                <w:t>Creative Commons website</w:t>
              </w:r>
            </w:hyperlink>
            <w:r w:rsidRPr="00B8572F">
              <w:t xml:space="preserve"> (http://creativecommons.org). </w:t>
            </w:r>
          </w:p>
          <w:p w14:paraId="78CD9F08" w14:textId="77777777" w:rsidR="00F15230" w:rsidRPr="00B8572F" w:rsidRDefault="00F15230" w:rsidP="00F15230">
            <w:pPr>
              <w:tabs>
                <w:tab w:val="clear" w:pos="567"/>
              </w:tabs>
            </w:pPr>
            <w:r w:rsidRPr="00B8572F">
              <w:t>Confidential material contained in submissions must be clearly identified or included in separate attachment/s, and details provided in the covering email. Identified confidential materia</w:t>
            </w:r>
            <w:r>
              <w:t>l will not be published on the C</w:t>
            </w:r>
            <w:r w:rsidRPr="00B8572F">
              <w:t>ommission’s website.</w:t>
            </w:r>
          </w:p>
        </w:tc>
      </w:tr>
    </w:tbl>
    <w:p w14:paraId="53B760E2" w14:textId="77777777" w:rsidR="00F15230" w:rsidRDefault="00F15230" w:rsidP="00F15230">
      <w:pPr>
        <w:sectPr w:rsidR="00F15230" w:rsidSect="00F15230">
          <w:headerReference w:type="default" r:id="rId14"/>
          <w:footerReference w:type="default" r:id="rId15"/>
          <w:footerReference w:type="first" r:id="rId16"/>
          <w:pgSz w:w="11899" w:h="16838" w:code="9"/>
          <w:pgMar w:top="-8222" w:right="1474" w:bottom="1701" w:left="1474" w:header="709" w:footer="709" w:gutter="0"/>
          <w:cols w:space="708"/>
          <w:titlePg/>
          <w:docGrid w:linePitch="299"/>
        </w:sectPr>
      </w:pPr>
    </w:p>
    <w:p w14:paraId="21C5A7C8" w14:textId="77777777" w:rsidR="00532D10" w:rsidRPr="00F15230" w:rsidRDefault="00532D10" w:rsidP="00532D10">
      <w:pPr>
        <w:pStyle w:val="Heading1"/>
      </w:pPr>
      <w:bookmarkStart w:id="1" w:name="_Toc106707122"/>
      <w:bookmarkStart w:id="2" w:name="_Toc155675722"/>
      <w:bookmarkStart w:id="3" w:name="_Toc155675934"/>
      <w:bookmarkStart w:id="4" w:name="_Toc155675975"/>
      <w:bookmarkStart w:id="5" w:name="_Toc155676245"/>
      <w:bookmarkStart w:id="6" w:name="_Toc174415768"/>
      <w:r w:rsidRPr="00F15230">
        <w:lastRenderedPageBreak/>
        <w:t>C</w:t>
      </w:r>
      <w:bookmarkEnd w:id="1"/>
      <w:bookmarkEnd w:id="2"/>
      <w:bookmarkEnd w:id="3"/>
      <w:bookmarkEnd w:id="4"/>
      <w:bookmarkEnd w:id="5"/>
      <w:bookmarkEnd w:id="6"/>
      <w:r w:rsidR="00612904" w:rsidRPr="00F15230">
        <w:t>ontents</w:t>
      </w:r>
    </w:p>
    <w:p w14:paraId="718C8070" w14:textId="0FB0AA75" w:rsidR="009F1A0C" w:rsidRDefault="005A4541" w:rsidP="009F1A0C">
      <w:pPr>
        <w:pStyle w:val="TOC1"/>
        <w:rPr>
          <w:rFonts w:eastAsiaTheme="minorEastAsia"/>
          <w:iCs/>
          <w:noProof/>
          <w:sz w:val="22"/>
          <w:lang w:eastAsia="zh-CN"/>
        </w:rPr>
      </w:pPr>
      <w:r>
        <w:fldChar w:fldCharType="begin"/>
      </w:r>
      <w:r>
        <w:instrText xml:space="preserve"> TOC \f \h \z \u \t "Heading 2,1,Heading 3,1,Heading 4,3" </w:instrText>
      </w:r>
      <w:r>
        <w:fldChar w:fldCharType="separate"/>
      </w:r>
    </w:p>
    <w:p w14:paraId="362841FF" w14:textId="77777777" w:rsidR="009F1A0C" w:rsidRDefault="00CD3D12">
      <w:pPr>
        <w:pStyle w:val="TOC1"/>
        <w:rPr>
          <w:rFonts w:eastAsiaTheme="minorEastAsia"/>
          <w:b w:val="0"/>
          <w:bCs w:val="0"/>
          <w:caps w:val="0"/>
          <w:noProof/>
          <w:sz w:val="22"/>
          <w:szCs w:val="22"/>
          <w:lang w:eastAsia="zh-CN"/>
        </w:rPr>
      </w:pPr>
      <w:hyperlink w:anchor="_Toc511977527" w:history="1">
        <w:r w:rsidR="009F1A0C" w:rsidRPr="00FC566F">
          <w:rPr>
            <w:rStyle w:val="Hyperlink"/>
            <w:noProof/>
          </w:rPr>
          <w:t>Health</w:t>
        </w:r>
        <w:r w:rsidR="009F1A0C">
          <w:rPr>
            <w:noProof/>
            <w:webHidden/>
          </w:rPr>
          <w:tab/>
        </w:r>
        <w:r w:rsidR="009F1A0C">
          <w:rPr>
            <w:noProof/>
            <w:webHidden/>
          </w:rPr>
          <w:fldChar w:fldCharType="begin"/>
        </w:r>
        <w:r w:rsidR="009F1A0C">
          <w:rPr>
            <w:noProof/>
            <w:webHidden/>
          </w:rPr>
          <w:instrText xml:space="preserve"> PAGEREF _Toc511977527 \h </w:instrText>
        </w:r>
        <w:r w:rsidR="009F1A0C">
          <w:rPr>
            <w:noProof/>
            <w:webHidden/>
          </w:rPr>
        </w:r>
        <w:r w:rsidR="009F1A0C">
          <w:rPr>
            <w:noProof/>
            <w:webHidden/>
          </w:rPr>
          <w:fldChar w:fldCharType="separate"/>
        </w:r>
        <w:r w:rsidR="002F04CA">
          <w:rPr>
            <w:noProof/>
            <w:webHidden/>
          </w:rPr>
          <w:t>1</w:t>
        </w:r>
        <w:r w:rsidR="009F1A0C">
          <w:rPr>
            <w:noProof/>
            <w:webHidden/>
          </w:rPr>
          <w:fldChar w:fldCharType="end"/>
        </w:r>
      </w:hyperlink>
    </w:p>
    <w:p w14:paraId="4178B079" w14:textId="77777777" w:rsidR="009F1A0C" w:rsidRDefault="00CD3D12">
      <w:pPr>
        <w:pStyle w:val="TOC1"/>
        <w:rPr>
          <w:rFonts w:eastAsiaTheme="minorEastAsia"/>
          <w:b w:val="0"/>
          <w:bCs w:val="0"/>
          <w:caps w:val="0"/>
          <w:noProof/>
          <w:sz w:val="22"/>
          <w:szCs w:val="22"/>
          <w:lang w:eastAsia="zh-CN"/>
        </w:rPr>
      </w:pPr>
      <w:hyperlink w:anchor="_Toc511977528" w:history="1">
        <w:r w:rsidR="009F1A0C" w:rsidRPr="00FC566F">
          <w:rPr>
            <w:rStyle w:val="Hyperlink"/>
            <w:noProof/>
          </w:rPr>
          <w:t>2015 Review Assessment</w:t>
        </w:r>
        <w:r w:rsidR="009F1A0C">
          <w:rPr>
            <w:noProof/>
            <w:webHidden/>
          </w:rPr>
          <w:tab/>
        </w:r>
        <w:r w:rsidR="009F1A0C">
          <w:rPr>
            <w:noProof/>
            <w:webHidden/>
          </w:rPr>
          <w:fldChar w:fldCharType="begin"/>
        </w:r>
        <w:r w:rsidR="009F1A0C">
          <w:rPr>
            <w:noProof/>
            <w:webHidden/>
          </w:rPr>
          <w:instrText xml:space="preserve"> PAGEREF _Toc511977528 \h </w:instrText>
        </w:r>
        <w:r w:rsidR="009F1A0C">
          <w:rPr>
            <w:noProof/>
            <w:webHidden/>
          </w:rPr>
        </w:r>
        <w:r w:rsidR="009F1A0C">
          <w:rPr>
            <w:noProof/>
            <w:webHidden/>
          </w:rPr>
          <w:fldChar w:fldCharType="separate"/>
        </w:r>
        <w:r w:rsidR="002F04CA">
          <w:rPr>
            <w:noProof/>
            <w:webHidden/>
          </w:rPr>
          <w:t>1</w:t>
        </w:r>
        <w:r w:rsidR="009F1A0C">
          <w:rPr>
            <w:noProof/>
            <w:webHidden/>
          </w:rPr>
          <w:fldChar w:fldCharType="end"/>
        </w:r>
      </w:hyperlink>
    </w:p>
    <w:p w14:paraId="4E16EDD2" w14:textId="77777777" w:rsidR="009F1A0C" w:rsidRDefault="00CD3D12">
      <w:pPr>
        <w:pStyle w:val="TOC3"/>
        <w:rPr>
          <w:rFonts w:eastAsiaTheme="minorEastAsia"/>
          <w:iCs w:val="0"/>
          <w:noProof/>
          <w:sz w:val="22"/>
          <w:lang w:eastAsia="zh-CN"/>
        </w:rPr>
      </w:pPr>
      <w:hyperlink w:anchor="_Toc511977529" w:history="1">
        <w:r w:rsidR="009F1A0C" w:rsidRPr="00FC566F">
          <w:rPr>
            <w:rStyle w:val="Hyperlink"/>
            <w:noProof/>
          </w:rPr>
          <w:t>Category and component expenses</w:t>
        </w:r>
        <w:r w:rsidR="009F1A0C">
          <w:rPr>
            <w:noProof/>
            <w:webHidden/>
          </w:rPr>
          <w:tab/>
        </w:r>
        <w:r w:rsidR="009F1A0C">
          <w:rPr>
            <w:noProof/>
            <w:webHidden/>
          </w:rPr>
          <w:fldChar w:fldCharType="begin"/>
        </w:r>
        <w:r w:rsidR="009F1A0C">
          <w:rPr>
            <w:noProof/>
            <w:webHidden/>
          </w:rPr>
          <w:instrText xml:space="preserve"> PAGEREF _Toc511977529 \h </w:instrText>
        </w:r>
        <w:r w:rsidR="009F1A0C">
          <w:rPr>
            <w:noProof/>
            <w:webHidden/>
          </w:rPr>
        </w:r>
        <w:r w:rsidR="009F1A0C">
          <w:rPr>
            <w:noProof/>
            <w:webHidden/>
          </w:rPr>
          <w:fldChar w:fldCharType="separate"/>
        </w:r>
        <w:r w:rsidR="002F04CA">
          <w:rPr>
            <w:noProof/>
            <w:webHidden/>
          </w:rPr>
          <w:t>2</w:t>
        </w:r>
        <w:r w:rsidR="009F1A0C">
          <w:rPr>
            <w:noProof/>
            <w:webHidden/>
          </w:rPr>
          <w:fldChar w:fldCharType="end"/>
        </w:r>
      </w:hyperlink>
    </w:p>
    <w:p w14:paraId="60AE5F4A" w14:textId="77777777" w:rsidR="009F1A0C" w:rsidRDefault="00CD3D12">
      <w:pPr>
        <w:pStyle w:val="TOC3"/>
        <w:rPr>
          <w:rFonts w:eastAsiaTheme="minorEastAsia"/>
          <w:iCs w:val="0"/>
          <w:noProof/>
          <w:sz w:val="22"/>
          <w:lang w:eastAsia="zh-CN"/>
        </w:rPr>
      </w:pPr>
      <w:hyperlink w:anchor="_Toc511977530" w:history="1">
        <w:r w:rsidR="009F1A0C" w:rsidRPr="00FC566F">
          <w:rPr>
            <w:rStyle w:val="Hyperlink"/>
            <w:noProof/>
          </w:rPr>
          <w:t>Overview of assessment methods</w:t>
        </w:r>
        <w:r w:rsidR="009F1A0C">
          <w:rPr>
            <w:noProof/>
            <w:webHidden/>
          </w:rPr>
          <w:tab/>
        </w:r>
        <w:r w:rsidR="009F1A0C">
          <w:rPr>
            <w:noProof/>
            <w:webHidden/>
          </w:rPr>
          <w:fldChar w:fldCharType="begin"/>
        </w:r>
        <w:r w:rsidR="009F1A0C">
          <w:rPr>
            <w:noProof/>
            <w:webHidden/>
          </w:rPr>
          <w:instrText xml:space="preserve"> PAGEREF _Toc511977530 \h </w:instrText>
        </w:r>
        <w:r w:rsidR="009F1A0C">
          <w:rPr>
            <w:noProof/>
            <w:webHidden/>
          </w:rPr>
        </w:r>
        <w:r w:rsidR="009F1A0C">
          <w:rPr>
            <w:noProof/>
            <w:webHidden/>
          </w:rPr>
          <w:fldChar w:fldCharType="separate"/>
        </w:r>
        <w:r w:rsidR="002F04CA">
          <w:rPr>
            <w:noProof/>
            <w:webHidden/>
          </w:rPr>
          <w:t>3</w:t>
        </w:r>
        <w:r w:rsidR="009F1A0C">
          <w:rPr>
            <w:noProof/>
            <w:webHidden/>
          </w:rPr>
          <w:fldChar w:fldCharType="end"/>
        </w:r>
      </w:hyperlink>
    </w:p>
    <w:p w14:paraId="4C609B35" w14:textId="77777777" w:rsidR="009F1A0C" w:rsidRDefault="00CD3D12">
      <w:pPr>
        <w:pStyle w:val="TOC3"/>
        <w:rPr>
          <w:rFonts w:eastAsiaTheme="minorEastAsia"/>
          <w:iCs w:val="0"/>
          <w:noProof/>
          <w:sz w:val="22"/>
          <w:lang w:eastAsia="zh-CN"/>
        </w:rPr>
      </w:pPr>
      <w:hyperlink w:anchor="_Toc511977533" w:history="1">
        <w:r w:rsidR="009F1A0C" w:rsidRPr="00FC566F">
          <w:rPr>
            <w:rStyle w:val="Hyperlink"/>
            <w:noProof/>
          </w:rPr>
          <w:t>Investment and depreciation</w:t>
        </w:r>
        <w:r w:rsidR="009F1A0C">
          <w:rPr>
            <w:noProof/>
            <w:webHidden/>
          </w:rPr>
          <w:tab/>
        </w:r>
        <w:r w:rsidR="009F1A0C">
          <w:rPr>
            <w:noProof/>
            <w:webHidden/>
          </w:rPr>
          <w:fldChar w:fldCharType="begin"/>
        </w:r>
        <w:r w:rsidR="009F1A0C">
          <w:rPr>
            <w:noProof/>
            <w:webHidden/>
          </w:rPr>
          <w:instrText xml:space="preserve"> PAGEREF _Toc511977533 \h </w:instrText>
        </w:r>
        <w:r w:rsidR="009F1A0C">
          <w:rPr>
            <w:noProof/>
            <w:webHidden/>
          </w:rPr>
        </w:r>
        <w:r w:rsidR="009F1A0C">
          <w:rPr>
            <w:noProof/>
            <w:webHidden/>
          </w:rPr>
          <w:fldChar w:fldCharType="separate"/>
        </w:r>
        <w:r w:rsidR="002F04CA">
          <w:rPr>
            <w:noProof/>
            <w:webHidden/>
          </w:rPr>
          <w:t>5</w:t>
        </w:r>
        <w:r w:rsidR="009F1A0C">
          <w:rPr>
            <w:noProof/>
            <w:webHidden/>
          </w:rPr>
          <w:fldChar w:fldCharType="end"/>
        </w:r>
      </w:hyperlink>
    </w:p>
    <w:p w14:paraId="312F1F57" w14:textId="77777777" w:rsidR="009F1A0C" w:rsidRDefault="00CD3D12">
      <w:pPr>
        <w:pStyle w:val="TOC3"/>
        <w:rPr>
          <w:rFonts w:eastAsiaTheme="minorEastAsia"/>
          <w:iCs w:val="0"/>
          <w:noProof/>
          <w:sz w:val="22"/>
          <w:lang w:eastAsia="zh-CN"/>
        </w:rPr>
      </w:pPr>
      <w:hyperlink w:anchor="_Toc511977534" w:history="1">
        <w:r w:rsidR="009F1A0C" w:rsidRPr="00FC566F">
          <w:rPr>
            <w:rStyle w:val="Hyperlink"/>
            <w:noProof/>
          </w:rPr>
          <w:t>GST redistribution</w:t>
        </w:r>
        <w:r w:rsidR="009F1A0C">
          <w:rPr>
            <w:noProof/>
            <w:webHidden/>
          </w:rPr>
          <w:tab/>
        </w:r>
        <w:r w:rsidR="009F1A0C">
          <w:rPr>
            <w:noProof/>
            <w:webHidden/>
          </w:rPr>
          <w:fldChar w:fldCharType="begin"/>
        </w:r>
        <w:r w:rsidR="009F1A0C">
          <w:rPr>
            <w:noProof/>
            <w:webHidden/>
          </w:rPr>
          <w:instrText xml:space="preserve"> PAGEREF _Toc511977534 \h </w:instrText>
        </w:r>
        <w:r w:rsidR="009F1A0C">
          <w:rPr>
            <w:noProof/>
            <w:webHidden/>
          </w:rPr>
        </w:r>
        <w:r w:rsidR="009F1A0C">
          <w:rPr>
            <w:noProof/>
            <w:webHidden/>
          </w:rPr>
          <w:fldChar w:fldCharType="separate"/>
        </w:r>
        <w:r w:rsidR="002F04CA">
          <w:rPr>
            <w:noProof/>
            <w:webHidden/>
          </w:rPr>
          <w:t>5</w:t>
        </w:r>
        <w:r w:rsidR="009F1A0C">
          <w:rPr>
            <w:noProof/>
            <w:webHidden/>
          </w:rPr>
          <w:fldChar w:fldCharType="end"/>
        </w:r>
      </w:hyperlink>
    </w:p>
    <w:p w14:paraId="77D21356" w14:textId="599592AB" w:rsidR="009F1A0C" w:rsidRDefault="00CD3D12">
      <w:pPr>
        <w:pStyle w:val="TOC1"/>
        <w:rPr>
          <w:rFonts w:eastAsiaTheme="minorEastAsia"/>
          <w:b w:val="0"/>
          <w:bCs w:val="0"/>
          <w:caps w:val="0"/>
          <w:noProof/>
          <w:sz w:val="22"/>
          <w:szCs w:val="22"/>
          <w:lang w:eastAsia="zh-CN"/>
        </w:rPr>
      </w:pPr>
      <w:hyperlink w:anchor="_Toc511977535" w:history="1">
        <w:r w:rsidR="009F1A0C" w:rsidRPr="00FC566F">
          <w:rPr>
            <w:rStyle w:val="Hyperlink"/>
            <w:noProof/>
          </w:rPr>
          <w:t>Issues and analysis</w:t>
        </w:r>
        <w:r w:rsidR="009F1A0C">
          <w:rPr>
            <w:noProof/>
            <w:webHidden/>
          </w:rPr>
          <w:tab/>
        </w:r>
        <w:r w:rsidR="009F1A0C">
          <w:rPr>
            <w:noProof/>
            <w:webHidden/>
          </w:rPr>
          <w:fldChar w:fldCharType="begin"/>
        </w:r>
        <w:r w:rsidR="009F1A0C">
          <w:rPr>
            <w:noProof/>
            <w:webHidden/>
          </w:rPr>
          <w:instrText xml:space="preserve"> PAGEREF _Toc511977535 \h </w:instrText>
        </w:r>
        <w:r w:rsidR="009F1A0C">
          <w:rPr>
            <w:noProof/>
            <w:webHidden/>
          </w:rPr>
        </w:r>
        <w:r w:rsidR="009F1A0C">
          <w:rPr>
            <w:noProof/>
            <w:webHidden/>
          </w:rPr>
          <w:fldChar w:fldCharType="separate"/>
        </w:r>
        <w:r w:rsidR="002F04CA">
          <w:rPr>
            <w:noProof/>
            <w:webHidden/>
          </w:rPr>
          <w:t>5</w:t>
        </w:r>
        <w:r w:rsidR="009F1A0C">
          <w:rPr>
            <w:noProof/>
            <w:webHidden/>
          </w:rPr>
          <w:fldChar w:fldCharType="end"/>
        </w:r>
      </w:hyperlink>
    </w:p>
    <w:p w14:paraId="513CB610" w14:textId="77777777" w:rsidR="009F1A0C" w:rsidRDefault="00CD3D12">
      <w:pPr>
        <w:pStyle w:val="TOC3"/>
        <w:rPr>
          <w:rFonts w:eastAsiaTheme="minorEastAsia"/>
          <w:iCs w:val="0"/>
          <w:noProof/>
          <w:sz w:val="22"/>
          <w:lang w:eastAsia="zh-CN"/>
        </w:rPr>
      </w:pPr>
      <w:hyperlink w:anchor="_Toc511977536" w:history="1">
        <w:r w:rsidR="009F1A0C" w:rsidRPr="00FC566F">
          <w:rPr>
            <w:rStyle w:val="Hyperlink"/>
            <w:noProof/>
          </w:rPr>
          <w:t>Assessment approach</w:t>
        </w:r>
        <w:r w:rsidR="009F1A0C">
          <w:rPr>
            <w:noProof/>
            <w:webHidden/>
          </w:rPr>
          <w:tab/>
        </w:r>
        <w:r w:rsidR="009F1A0C">
          <w:rPr>
            <w:noProof/>
            <w:webHidden/>
          </w:rPr>
          <w:fldChar w:fldCharType="begin"/>
        </w:r>
        <w:r w:rsidR="009F1A0C">
          <w:rPr>
            <w:noProof/>
            <w:webHidden/>
          </w:rPr>
          <w:instrText xml:space="preserve"> PAGEREF _Toc511977536 \h </w:instrText>
        </w:r>
        <w:r w:rsidR="009F1A0C">
          <w:rPr>
            <w:noProof/>
            <w:webHidden/>
          </w:rPr>
        </w:r>
        <w:r w:rsidR="009F1A0C">
          <w:rPr>
            <w:noProof/>
            <w:webHidden/>
          </w:rPr>
          <w:fldChar w:fldCharType="separate"/>
        </w:r>
        <w:r w:rsidR="002F04CA">
          <w:rPr>
            <w:noProof/>
            <w:webHidden/>
          </w:rPr>
          <w:t>6</w:t>
        </w:r>
        <w:r w:rsidR="009F1A0C">
          <w:rPr>
            <w:noProof/>
            <w:webHidden/>
          </w:rPr>
          <w:fldChar w:fldCharType="end"/>
        </w:r>
      </w:hyperlink>
    </w:p>
    <w:p w14:paraId="21216C57" w14:textId="4956C379" w:rsidR="009F1A0C" w:rsidRDefault="00CD3D12">
      <w:pPr>
        <w:pStyle w:val="TOC3"/>
        <w:rPr>
          <w:rFonts w:eastAsiaTheme="minorEastAsia"/>
          <w:iCs w:val="0"/>
          <w:noProof/>
          <w:sz w:val="22"/>
          <w:lang w:eastAsia="zh-CN"/>
        </w:rPr>
      </w:pPr>
      <w:hyperlink w:anchor="_Toc511977537" w:history="1">
        <w:r w:rsidR="009F1A0C" w:rsidRPr="00FC566F">
          <w:rPr>
            <w:rStyle w:val="Hyperlink"/>
            <w:noProof/>
          </w:rPr>
          <w:t>SDC assessments</w:t>
        </w:r>
        <w:r w:rsidR="009F1A0C">
          <w:rPr>
            <w:noProof/>
            <w:webHidden/>
          </w:rPr>
          <w:tab/>
        </w:r>
        <w:r w:rsidR="009F1A0C">
          <w:rPr>
            <w:noProof/>
            <w:webHidden/>
          </w:rPr>
          <w:fldChar w:fldCharType="begin"/>
        </w:r>
        <w:r w:rsidR="009F1A0C">
          <w:rPr>
            <w:noProof/>
            <w:webHidden/>
          </w:rPr>
          <w:instrText xml:space="preserve"> PAGEREF _Toc511977537 \h </w:instrText>
        </w:r>
        <w:r w:rsidR="009F1A0C">
          <w:rPr>
            <w:noProof/>
            <w:webHidden/>
          </w:rPr>
        </w:r>
        <w:r w:rsidR="009F1A0C">
          <w:rPr>
            <w:noProof/>
            <w:webHidden/>
          </w:rPr>
          <w:fldChar w:fldCharType="separate"/>
        </w:r>
        <w:r w:rsidR="002F04CA">
          <w:rPr>
            <w:noProof/>
            <w:webHidden/>
          </w:rPr>
          <w:t>9</w:t>
        </w:r>
        <w:r w:rsidR="009F1A0C">
          <w:rPr>
            <w:noProof/>
            <w:webHidden/>
          </w:rPr>
          <w:fldChar w:fldCharType="end"/>
        </w:r>
      </w:hyperlink>
    </w:p>
    <w:p w14:paraId="1A4607FF" w14:textId="1002AF33" w:rsidR="009F1A0C" w:rsidRDefault="00CD3D12">
      <w:pPr>
        <w:pStyle w:val="TOC3"/>
        <w:rPr>
          <w:rFonts w:eastAsiaTheme="minorEastAsia"/>
          <w:iCs w:val="0"/>
          <w:noProof/>
          <w:sz w:val="22"/>
          <w:lang w:eastAsia="zh-CN"/>
        </w:rPr>
      </w:pPr>
      <w:hyperlink w:anchor="_Toc511977538" w:history="1">
        <w:r w:rsidR="009F1A0C" w:rsidRPr="00FC566F">
          <w:rPr>
            <w:rStyle w:val="Hyperlink"/>
            <w:noProof/>
          </w:rPr>
          <w:t>Remoteness and s</w:t>
        </w:r>
        <w:r w:rsidR="0019242A">
          <w:rPr>
            <w:rStyle w:val="Hyperlink"/>
            <w:noProof/>
          </w:rPr>
          <w:t>ervice delivery scale (SDS)</w:t>
        </w:r>
        <w:r w:rsidR="009F1A0C">
          <w:rPr>
            <w:noProof/>
            <w:webHidden/>
          </w:rPr>
          <w:tab/>
        </w:r>
        <w:r w:rsidR="009F1A0C">
          <w:rPr>
            <w:noProof/>
            <w:webHidden/>
          </w:rPr>
          <w:fldChar w:fldCharType="begin"/>
        </w:r>
        <w:r w:rsidR="009F1A0C">
          <w:rPr>
            <w:noProof/>
            <w:webHidden/>
          </w:rPr>
          <w:instrText xml:space="preserve"> PAGEREF _Toc511977538 \h </w:instrText>
        </w:r>
        <w:r w:rsidR="009F1A0C">
          <w:rPr>
            <w:noProof/>
            <w:webHidden/>
          </w:rPr>
        </w:r>
        <w:r w:rsidR="009F1A0C">
          <w:rPr>
            <w:noProof/>
            <w:webHidden/>
          </w:rPr>
          <w:fldChar w:fldCharType="separate"/>
        </w:r>
        <w:r w:rsidR="002F04CA">
          <w:rPr>
            <w:noProof/>
            <w:webHidden/>
          </w:rPr>
          <w:t>13</w:t>
        </w:r>
        <w:r w:rsidR="009F1A0C">
          <w:rPr>
            <w:noProof/>
            <w:webHidden/>
          </w:rPr>
          <w:fldChar w:fldCharType="end"/>
        </w:r>
      </w:hyperlink>
    </w:p>
    <w:p w14:paraId="0BAD7292" w14:textId="77777777" w:rsidR="009F1A0C" w:rsidRDefault="00CD3D12">
      <w:pPr>
        <w:pStyle w:val="TOC3"/>
        <w:rPr>
          <w:rFonts w:eastAsiaTheme="minorEastAsia"/>
          <w:iCs w:val="0"/>
          <w:noProof/>
          <w:sz w:val="22"/>
          <w:lang w:eastAsia="zh-CN"/>
        </w:rPr>
      </w:pPr>
      <w:hyperlink w:anchor="_Toc511977539" w:history="1">
        <w:r w:rsidR="009F1A0C" w:rsidRPr="00FC566F">
          <w:rPr>
            <w:rStyle w:val="Hyperlink"/>
            <w:noProof/>
          </w:rPr>
          <w:t>Substitutability</w:t>
        </w:r>
        <w:r w:rsidR="009F1A0C">
          <w:rPr>
            <w:noProof/>
            <w:webHidden/>
          </w:rPr>
          <w:tab/>
        </w:r>
        <w:r w:rsidR="009F1A0C">
          <w:rPr>
            <w:noProof/>
            <w:webHidden/>
          </w:rPr>
          <w:fldChar w:fldCharType="begin"/>
        </w:r>
        <w:r w:rsidR="009F1A0C">
          <w:rPr>
            <w:noProof/>
            <w:webHidden/>
          </w:rPr>
          <w:instrText xml:space="preserve"> PAGEREF _Toc511977539 \h </w:instrText>
        </w:r>
        <w:r w:rsidR="009F1A0C">
          <w:rPr>
            <w:noProof/>
            <w:webHidden/>
          </w:rPr>
        </w:r>
        <w:r w:rsidR="009F1A0C">
          <w:rPr>
            <w:noProof/>
            <w:webHidden/>
          </w:rPr>
          <w:fldChar w:fldCharType="separate"/>
        </w:r>
        <w:r w:rsidR="002F04CA">
          <w:rPr>
            <w:noProof/>
            <w:webHidden/>
          </w:rPr>
          <w:t>18</w:t>
        </w:r>
        <w:r w:rsidR="009F1A0C">
          <w:rPr>
            <w:noProof/>
            <w:webHidden/>
          </w:rPr>
          <w:fldChar w:fldCharType="end"/>
        </w:r>
      </w:hyperlink>
    </w:p>
    <w:p w14:paraId="1810EF9B" w14:textId="77777777" w:rsidR="009F1A0C" w:rsidRDefault="00CD3D12">
      <w:pPr>
        <w:pStyle w:val="TOC3"/>
        <w:rPr>
          <w:rFonts w:eastAsiaTheme="minorEastAsia"/>
          <w:iCs w:val="0"/>
          <w:noProof/>
          <w:sz w:val="22"/>
          <w:lang w:eastAsia="zh-CN"/>
        </w:rPr>
      </w:pPr>
      <w:hyperlink w:anchor="_Toc511977540" w:history="1">
        <w:r w:rsidR="009F1A0C" w:rsidRPr="00FC566F">
          <w:rPr>
            <w:rStyle w:val="Hyperlink"/>
            <w:noProof/>
          </w:rPr>
          <w:t>Cross</w:t>
        </w:r>
        <w:r w:rsidR="009F1A0C" w:rsidRPr="00FC566F">
          <w:rPr>
            <w:rStyle w:val="Hyperlink"/>
            <w:noProof/>
          </w:rPr>
          <w:noBreakHyphen/>
          <w:t>border service use</w:t>
        </w:r>
        <w:r w:rsidR="009F1A0C">
          <w:rPr>
            <w:noProof/>
            <w:webHidden/>
          </w:rPr>
          <w:tab/>
        </w:r>
        <w:r w:rsidR="009F1A0C">
          <w:rPr>
            <w:noProof/>
            <w:webHidden/>
          </w:rPr>
          <w:fldChar w:fldCharType="begin"/>
        </w:r>
        <w:r w:rsidR="009F1A0C">
          <w:rPr>
            <w:noProof/>
            <w:webHidden/>
          </w:rPr>
          <w:instrText xml:space="preserve"> PAGEREF _Toc511977540 \h </w:instrText>
        </w:r>
        <w:r w:rsidR="009F1A0C">
          <w:rPr>
            <w:noProof/>
            <w:webHidden/>
          </w:rPr>
        </w:r>
        <w:r w:rsidR="009F1A0C">
          <w:rPr>
            <w:noProof/>
            <w:webHidden/>
          </w:rPr>
          <w:fldChar w:fldCharType="separate"/>
        </w:r>
        <w:r w:rsidR="002F04CA">
          <w:rPr>
            <w:noProof/>
            <w:webHidden/>
          </w:rPr>
          <w:t>26</w:t>
        </w:r>
        <w:r w:rsidR="009F1A0C">
          <w:rPr>
            <w:noProof/>
            <w:webHidden/>
          </w:rPr>
          <w:fldChar w:fldCharType="end"/>
        </w:r>
      </w:hyperlink>
    </w:p>
    <w:p w14:paraId="5CC4D95C" w14:textId="77777777" w:rsidR="009F1A0C" w:rsidRDefault="00CD3D12">
      <w:pPr>
        <w:pStyle w:val="TOC3"/>
        <w:rPr>
          <w:rFonts w:eastAsiaTheme="minorEastAsia"/>
          <w:iCs w:val="0"/>
          <w:noProof/>
          <w:sz w:val="22"/>
          <w:lang w:eastAsia="zh-CN"/>
        </w:rPr>
      </w:pPr>
      <w:hyperlink w:anchor="_Toc511977541" w:history="1">
        <w:r w:rsidR="009F1A0C" w:rsidRPr="00FC566F">
          <w:rPr>
            <w:rStyle w:val="Hyperlink"/>
            <w:noProof/>
          </w:rPr>
          <w:t>Non-hospital patient transport</w:t>
        </w:r>
        <w:r w:rsidR="009F1A0C">
          <w:rPr>
            <w:noProof/>
            <w:webHidden/>
          </w:rPr>
          <w:tab/>
        </w:r>
        <w:r w:rsidR="009F1A0C">
          <w:rPr>
            <w:noProof/>
            <w:webHidden/>
          </w:rPr>
          <w:fldChar w:fldCharType="begin"/>
        </w:r>
        <w:r w:rsidR="009F1A0C">
          <w:rPr>
            <w:noProof/>
            <w:webHidden/>
          </w:rPr>
          <w:instrText xml:space="preserve"> PAGEREF _Toc511977541 \h </w:instrText>
        </w:r>
        <w:r w:rsidR="009F1A0C">
          <w:rPr>
            <w:noProof/>
            <w:webHidden/>
          </w:rPr>
        </w:r>
        <w:r w:rsidR="009F1A0C">
          <w:rPr>
            <w:noProof/>
            <w:webHidden/>
          </w:rPr>
          <w:fldChar w:fldCharType="separate"/>
        </w:r>
        <w:r w:rsidR="002F04CA">
          <w:rPr>
            <w:noProof/>
            <w:webHidden/>
          </w:rPr>
          <w:t>27</w:t>
        </w:r>
        <w:r w:rsidR="009F1A0C">
          <w:rPr>
            <w:noProof/>
            <w:webHidden/>
          </w:rPr>
          <w:fldChar w:fldCharType="end"/>
        </w:r>
      </w:hyperlink>
    </w:p>
    <w:p w14:paraId="06D38647" w14:textId="77777777" w:rsidR="009F1A0C" w:rsidRDefault="00CD3D12">
      <w:pPr>
        <w:pStyle w:val="TOC3"/>
        <w:rPr>
          <w:rFonts w:eastAsiaTheme="minorEastAsia"/>
          <w:iCs w:val="0"/>
          <w:noProof/>
          <w:sz w:val="22"/>
          <w:lang w:eastAsia="zh-CN"/>
        </w:rPr>
      </w:pPr>
      <w:hyperlink w:anchor="_Toc511977542" w:history="1">
        <w:r w:rsidR="009F1A0C" w:rsidRPr="00FC566F">
          <w:rPr>
            <w:rStyle w:val="Hyperlink"/>
            <w:noProof/>
          </w:rPr>
          <w:t>Other health expenses</w:t>
        </w:r>
        <w:r w:rsidR="009F1A0C">
          <w:rPr>
            <w:noProof/>
            <w:webHidden/>
          </w:rPr>
          <w:tab/>
        </w:r>
        <w:r w:rsidR="009F1A0C">
          <w:rPr>
            <w:noProof/>
            <w:webHidden/>
          </w:rPr>
          <w:fldChar w:fldCharType="begin"/>
        </w:r>
        <w:r w:rsidR="009F1A0C">
          <w:rPr>
            <w:noProof/>
            <w:webHidden/>
          </w:rPr>
          <w:instrText xml:space="preserve"> PAGEREF _Toc511977542 \h </w:instrText>
        </w:r>
        <w:r w:rsidR="009F1A0C">
          <w:rPr>
            <w:noProof/>
            <w:webHidden/>
          </w:rPr>
        </w:r>
        <w:r w:rsidR="009F1A0C">
          <w:rPr>
            <w:noProof/>
            <w:webHidden/>
          </w:rPr>
          <w:fldChar w:fldCharType="separate"/>
        </w:r>
        <w:r w:rsidR="002F04CA">
          <w:rPr>
            <w:noProof/>
            <w:webHidden/>
          </w:rPr>
          <w:t>27</w:t>
        </w:r>
        <w:r w:rsidR="009F1A0C">
          <w:rPr>
            <w:noProof/>
            <w:webHidden/>
          </w:rPr>
          <w:fldChar w:fldCharType="end"/>
        </w:r>
      </w:hyperlink>
    </w:p>
    <w:p w14:paraId="7BD2FBD3" w14:textId="77777777" w:rsidR="009F1A0C" w:rsidRDefault="00CD3D12">
      <w:pPr>
        <w:pStyle w:val="TOC3"/>
        <w:rPr>
          <w:rFonts w:eastAsiaTheme="minorEastAsia"/>
          <w:iCs w:val="0"/>
          <w:noProof/>
          <w:sz w:val="22"/>
          <w:lang w:eastAsia="zh-CN"/>
        </w:rPr>
      </w:pPr>
      <w:hyperlink w:anchor="_Toc511977543" w:history="1">
        <w:r w:rsidR="009F1A0C" w:rsidRPr="00FC566F">
          <w:rPr>
            <w:rStyle w:val="Hyperlink"/>
            <w:noProof/>
          </w:rPr>
          <w:t>Component expenses</w:t>
        </w:r>
        <w:r w:rsidR="009F1A0C">
          <w:rPr>
            <w:noProof/>
            <w:webHidden/>
          </w:rPr>
          <w:tab/>
        </w:r>
        <w:r w:rsidR="009F1A0C">
          <w:rPr>
            <w:noProof/>
            <w:webHidden/>
          </w:rPr>
          <w:fldChar w:fldCharType="begin"/>
        </w:r>
        <w:r w:rsidR="009F1A0C">
          <w:rPr>
            <w:noProof/>
            <w:webHidden/>
          </w:rPr>
          <w:instrText xml:space="preserve"> PAGEREF _Toc511977543 \h </w:instrText>
        </w:r>
        <w:r w:rsidR="009F1A0C">
          <w:rPr>
            <w:noProof/>
            <w:webHidden/>
          </w:rPr>
        </w:r>
        <w:r w:rsidR="009F1A0C">
          <w:rPr>
            <w:noProof/>
            <w:webHidden/>
          </w:rPr>
          <w:fldChar w:fldCharType="separate"/>
        </w:r>
        <w:r w:rsidR="002F04CA">
          <w:rPr>
            <w:noProof/>
            <w:webHidden/>
          </w:rPr>
          <w:t>28</w:t>
        </w:r>
        <w:r w:rsidR="009F1A0C">
          <w:rPr>
            <w:noProof/>
            <w:webHidden/>
          </w:rPr>
          <w:fldChar w:fldCharType="end"/>
        </w:r>
      </w:hyperlink>
    </w:p>
    <w:p w14:paraId="6813CA08" w14:textId="77777777" w:rsidR="009F1A0C" w:rsidRDefault="00CD3D12">
      <w:pPr>
        <w:pStyle w:val="TOC3"/>
        <w:rPr>
          <w:rFonts w:eastAsiaTheme="minorEastAsia"/>
          <w:iCs w:val="0"/>
          <w:noProof/>
          <w:sz w:val="22"/>
          <w:lang w:eastAsia="zh-CN"/>
        </w:rPr>
      </w:pPr>
      <w:hyperlink w:anchor="_Toc511977544" w:history="1">
        <w:r w:rsidR="009F1A0C" w:rsidRPr="00FC566F">
          <w:rPr>
            <w:rStyle w:val="Hyperlink"/>
            <w:noProof/>
          </w:rPr>
          <w:t>User charges</w:t>
        </w:r>
        <w:r w:rsidR="009F1A0C">
          <w:rPr>
            <w:noProof/>
            <w:webHidden/>
          </w:rPr>
          <w:tab/>
        </w:r>
        <w:r w:rsidR="009F1A0C">
          <w:rPr>
            <w:noProof/>
            <w:webHidden/>
          </w:rPr>
          <w:fldChar w:fldCharType="begin"/>
        </w:r>
        <w:r w:rsidR="009F1A0C">
          <w:rPr>
            <w:noProof/>
            <w:webHidden/>
          </w:rPr>
          <w:instrText xml:space="preserve"> PAGEREF _Toc511977544 \h </w:instrText>
        </w:r>
        <w:r w:rsidR="009F1A0C">
          <w:rPr>
            <w:noProof/>
            <w:webHidden/>
          </w:rPr>
        </w:r>
        <w:r w:rsidR="009F1A0C">
          <w:rPr>
            <w:noProof/>
            <w:webHidden/>
          </w:rPr>
          <w:fldChar w:fldCharType="separate"/>
        </w:r>
        <w:r w:rsidR="002F04CA">
          <w:rPr>
            <w:noProof/>
            <w:webHidden/>
          </w:rPr>
          <w:t>29</w:t>
        </w:r>
        <w:r w:rsidR="009F1A0C">
          <w:rPr>
            <w:noProof/>
            <w:webHidden/>
          </w:rPr>
          <w:fldChar w:fldCharType="end"/>
        </w:r>
      </w:hyperlink>
    </w:p>
    <w:p w14:paraId="5A3A82D3" w14:textId="77777777" w:rsidR="009F1A0C" w:rsidRDefault="00CD3D12">
      <w:pPr>
        <w:pStyle w:val="TOC3"/>
        <w:rPr>
          <w:rFonts w:eastAsiaTheme="minorEastAsia"/>
          <w:iCs w:val="0"/>
          <w:noProof/>
          <w:sz w:val="22"/>
          <w:lang w:eastAsia="zh-CN"/>
        </w:rPr>
      </w:pPr>
      <w:hyperlink w:anchor="_Toc511977545" w:history="1">
        <w:r w:rsidR="009F1A0C" w:rsidRPr="00FC566F">
          <w:rPr>
            <w:rStyle w:val="Hyperlink"/>
            <w:noProof/>
          </w:rPr>
          <w:t>Category structure</w:t>
        </w:r>
        <w:r w:rsidR="009F1A0C">
          <w:rPr>
            <w:noProof/>
            <w:webHidden/>
          </w:rPr>
          <w:tab/>
        </w:r>
        <w:r w:rsidR="009F1A0C">
          <w:rPr>
            <w:noProof/>
            <w:webHidden/>
          </w:rPr>
          <w:fldChar w:fldCharType="begin"/>
        </w:r>
        <w:r w:rsidR="009F1A0C">
          <w:rPr>
            <w:noProof/>
            <w:webHidden/>
          </w:rPr>
          <w:instrText xml:space="preserve"> PAGEREF _Toc511977545 \h </w:instrText>
        </w:r>
        <w:r w:rsidR="009F1A0C">
          <w:rPr>
            <w:noProof/>
            <w:webHidden/>
          </w:rPr>
        </w:r>
        <w:r w:rsidR="009F1A0C">
          <w:rPr>
            <w:noProof/>
            <w:webHidden/>
          </w:rPr>
          <w:fldChar w:fldCharType="separate"/>
        </w:r>
        <w:r w:rsidR="002F04CA">
          <w:rPr>
            <w:noProof/>
            <w:webHidden/>
          </w:rPr>
          <w:t>30</w:t>
        </w:r>
        <w:r w:rsidR="009F1A0C">
          <w:rPr>
            <w:noProof/>
            <w:webHidden/>
          </w:rPr>
          <w:fldChar w:fldCharType="end"/>
        </w:r>
      </w:hyperlink>
    </w:p>
    <w:p w14:paraId="11B9C467" w14:textId="77777777" w:rsidR="009F1A0C" w:rsidRDefault="00CD3D12">
      <w:pPr>
        <w:pStyle w:val="TOC3"/>
        <w:rPr>
          <w:rFonts w:eastAsiaTheme="minorEastAsia"/>
          <w:iCs w:val="0"/>
          <w:noProof/>
          <w:sz w:val="22"/>
          <w:lang w:eastAsia="zh-CN"/>
        </w:rPr>
      </w:pPr>
      <w:hyperlink w:anchor="_Toc511977546" w:history="1">
        <w:r w:rsidR="009F1A0C" w:rsidRPr="00FC566F">
          <w:rPr>
            <w:rStyle w:val="Hyperlink"/>
            <w:noProof/>
          </w:rPr>
          <w:t>Other issues considered</w:t>
        </w:r>
        <w:r w:rsidR="009F1A0C">
          <w:rPr>
            <w:noProof/>
            <w:webHidden/>
          </w:rPr>
          <w:tab/>
        </w:r>
        <w:r w:rsidR="009F1A0C">
          <w:rPr>
            <w:noProof/>
            <w:webHidden/>
          </w:rPr>
          <w:fldChar w:fldCharType="begin"/>
        </w:r>
        <w:r w:rsidR="009F1A0C">
          <w:rPr>
            <w:noProof/>
            <w:webHidden/>
          </w:rPr>
          <w:instrText xml:space="preserve"> PAGEREF _Toc511977546 \h </w:instrText>
        </w:r>
        <w:r w:rsidR="009F1A0C">
          <w:rPr>
            <w:noProof/>
            <w:webHidden/>
          </w:rPr>
        </w:r>
        <w:r w:rsidR="009F1A0C">
          <w:rPr>
            <w:noProof/>
            <w:webHidden/>
          </w:rPr>
          <w:fldChar w:fldCharType="separate"/>
        </w:r>
        <w:r w:rsidR="002F04CA">
          <w:rPr>
            <w:noProof/>
            <w:webHidden/>
          </w:rPr>
          <w:t>31</w:t>
        </w:r>
        <w:r w:rsidR="009F1A0C">
          <w:rPr>
            <w:noProof/>
            <w:webHidden/>
          </w:rPr>
          <w:fldChar w:fldCharType="end"/>
        </w:r>
      </w:hyperlink>
    </w:p>
    <w:p w14:paraId="1EB05E8A" w14:textId="77777777" w:rsidR="009F1A0C" w:rsidRDefault="00CD3D12">
      <w:pPr>
        <w:pStyle w:val="TOC1"/>
        <w:rPr>
          <w:rFonts w:eastAsiaTheme="minorEastAsia"/>
          <w:b w:val="0"/>
          <w:bCs w:val="0"/>
          <w:caps w:val="0"/>
          <w:noProof/>
          <w:sz w:val="22"/>
          <w:szCs w:val="22"/>
          <w:lang w:eastAsia="zh-CN"/>
        </w:rPr>
      </w:pPr>
      <w:hyperlink w:anchor="_Toc511977547" w:history="1">
        <w:r w:rsidR="009F1A0C" w:rsidRPr="00FC566F">
          <w:rPr>
            <w:rStyle w:val="Hyperlink"/>
            <w:noProof/>
            <w:lang w:eastAsia="zh-CN"/>
          </w:rPr>
          <w:t>Conclusion and way forward</w:t>
        </w:r>
        <w:r w:rsidR="009F1A0C">
          <w:rPr>
            <w:noProof/>
            <w:webHidden/>
          </w:rPr>
          <w:tab/>
        </w:r>
        <w:r w:rsidR="009F1A0C">
          <w:rPr>
            <w:noProof/>
            <w:webHidden/>
          </w:rPr>
          <w:fldChar w:fldCharType="begin"/>
        </w:r>
        <w:r w:rsidR="009F1A0C">
          <w:rPr>
            <w:noProof/>
            <w:webHidden/>
          </w:rPr>
          <w:instrText xml:space="preserve"> PAGEREF _Toc511977547 \h </w:instrText>
        </w:r>
        <w:r w:rsidR="009F1A0C">
          <w:rPr>
            <w:noProof/>
            <w:webHidden/>
          </w:rPr>
        </w:r>
        <w:r w:rsidR="009F1A0C">
          <w:rPr>
            <w:noProof/>
            <w:webHidden/>
          </w:rPr>
          <w:fldChar w:fldCharType="separate"/>
        </w:r>
        <w:r w:rsidR="002F04CA">
          <w:rPr>
            <w:noProof/>
            <w:webHidden/>
          </w:rPr>
          <w:t>32</w:t>
        </w:r>
        <w:r w:rsidR="009F1A0C">
          <w:rPr>
            <w:noProof/>
            <w:webHidden/>
          </w:rPr>
          <w:fldChar w:fldCharType="end"/>
        </w:r>
      </w:hyperlink>
    </w:p>
    <w:p w14:paraId="6F2793AB" w14:textId="77777777" w:rsidR="009F1A0C" w:rsidRDefault="00CD3D12">
      <w:pPr>
        <w:pStyle w:val="TOC3"/>
        <w:rPr>
          <w:rFonts w:eastAsiaTheme="minorEastAsia"/>
          <w:iCs w:val="0"/>
          <w:noProof/>
          <w:sz w:val="22"/>
          <w:lang w:eastAsia="zh-CN"/>
        </w:rPr>
      </w:pPr>
      <w:hyperlink w:anchor="_Toc511977548" w:history="1">
        <w:r w:rsidR="009F1A0C" w:rsidRPr="00FC566F">
          <w:rPr>
            <w:rStyle w:val="Hyperlink"/>
            <w:noProof/>
            <w:lang w:eastAsia="zh-CN"/>
          </w:rPr>
          <w:t>Proposed assessment structure</w:t>
        </w:r>
        <w:r w:rsidR="009F1A0C">
          <w:rPr>
            <w:noProof/>
            <w:webHidden/>
          </w:rPr>
          <w:tab/>
        </w:r>
        <w:r w:rsidR="009F1A0C">
          <w:rPr>
            <w:noProof/>
            <w:webHidden/>
          </w:rPr>
          <w:fldChar w:fldCharType="begin"/>
        </w:r>
        <w:r w:rsidR="009F1A0C">
          <w:rPr>
            <w:noProof/>
            <w:webHidden/>
          </w:rPr>
          <w:instrText xml:space="preserve"> PAGEREF _Toc511977548 \h </w:instrText>
        </w:r>
        <w:r w:rsidR="009F1A0C">
          <w:rPr>
            <w:noProof/>
            <w:webHidden/>
          </w:rPr>
        </w:r>
        <w:r w:rsidR="009F1A0C">
          <w:rPr>
            <w:noProof/>
            <w:webHidden/>
          </w:rPr>
          <w:fldChar w:fldCharType="separate"/>
        </w:r>
        <w:r w:rsidR="002F04CA">
          <w:rPr>
            <w:noProof/>
            <w:webHidden/>
          </w:rPr>
          <w:t>32</w:t>
        </w:r>
        <w:r w:rsidR="009F1A0C">
          <w:rPr>
            <w:noProof/>
            <w:webHidden/>
          </w:rPr>
          <w:fldChar w:fldCharType="end"/>
        </w:r>
      </w:hyperlink>
    </w:p>
    <w:p w14:paraId="5C590885" w14:textId="072F8338" w:rsidR="009F1A0C" w:rsidRDefault="00CD3D12">
      <w:pPr>
        <w:pStyle w:val="TOC3"/>
        <w:rPr>
          <w:rFonts w:eastAsiaTheme="minorEastAsia"/>
          <w:iCs w:val="0"/>
          <w:noProof/>
          <w:sz w:val="22"/>
          <w:lang w:eastAsia="zh-CN"/>
        </w:rPr>
      </w:pPr>
      <w:hyperlink w:anchor="_Toc511977549" w:history="1">
        <w:r w:rsidR="0019242A">
          <w:rPr>
            <w:rStyle w:val="Hyperlink"/>
            <w:noProof/>
          </w:rPr>
          <w:t xml:space="preserve">Data and </w:t>
        </w:r>
        <w:r w:rsidR="009F1A0C" w:rsidRPr="00FC566F">
          <w:rPr>
            <w:rStyle w:val="Hyperlink"/>
            <w:noProof/>
          </w:rPr>
          <w:t>information sought from States</w:t>
        </w:r>
        <w:r w:rsidR="009F1A0C">
          <w:rPr>
            <w:noProof/>
            <w:webHidden/>
          </w:rPr>
          <w:tab/>
        </w:r>
        <w:r w:rsidR="009F1A0C">
          <w:rPr>
            <w:noProof/>
            <w:webHidden/>
          </w:rPr>
          <w:fldChar w:fldCharType="begin"/>
        </w:r>
        <w:r w:rsidR="009F1A0C">
          <w:rPr>
            <w:noProof/>
            <w:webHidden/>
          </w:rPr>
          <w:instrText xml:space="preserve"> PAGEREF _Toc511977549 \h </w:instrText>
        </w:r>
        <w:r w:rsidR="009F1A0C">
          <w:rPr>
            <w:noProof/>
            <w:webHidden/>
          </w:rPr>
        </w:r>
        <w:r w:rsidR="009F1A0C">
          <w:rPr>
            <w:noProof/>
            <w:webHidden/>
          </w:rPr>
          <w:fldChar w:fldCharType="separate"/>
        </w:r>
        <w:r w:rsidR="002F04CA">
          <w:rPr>
            <w:noProof/>
            <w:webHidden/>
          </w:rPr>
          <w:t>32</w:t>
        </w:r>
        <w:r w:rsidR="009F1A0C">
          <w:rPr>
            <w:noProof/>
            <w:webHidden/>
          </w:rPr>
          <w:fldChar w:fldCharType="end"/>
        </w:r>
      </w:hyperlink>
    </w:p>
    <w:p w14:paraId="0C7A122B" w14:textId="4031B0F5" w:rsidR="009F1A0C" w:rsidRPr="009F1A0C" w:rsidRDefault="00CD3D12" w:rsidP="009F1A0C">
      <w:pPr>
        <w:pStyle w:val="TOC1"/>
        <w:rPr>
          <w:rFonts w:eastAsiaTheme="minorEastAsia"/>
          <w:b w:val="0"/>
          <w:bCs w:val="0"/>
          <w:caps w:val="0"/>
          <w:noProof/>
          <w:sz w:val="22"/>
          <w:szCs w:val="22"/>
          <w:lang w:eastAsia="zh-CN"/>
        </w:rPr>
      </w:pPr>
      <w:hyperlink w:anchor="_Toc511977550" w:history="1">
        <w:r w:rsidR="009F1A0C" w:rsidRPr="00FC566F">
          <w:rPr>
            <w:rStyle w:val="Hyperlink"/>
            <w:noProof/>
          </w:rPr>
          <w:t>Attachment A — Subtraction approach</w:t>
        </w:r>
        <w:r w:rsidR="009F1A0C">
          <w:rPr>
            <w:noProof/>
            <w:webHidden/>
          </w:rPr>
          <w:tab/>
        </w:r>
        <w:r w:rsidR="009F1A0C">
          <w:rPr>
            <w:noProof/>
            <w:webHidden/>
          </w:rPr>
          <w:fldChar w:fldCharType="begin"/>
        </w:r>
        <w:r w:rsidR="009F1A0C">
          <w:rPr>
            <w:noProof/>
            <w:webHidden/>
          </w:rPr>
          <w:instrText xml:space="preserve"> PAGEREF _Toc511977550 \h </w:instrText>
        </w:r>
        <w:r w:rsidR="009F1A0C">
          <w:rPr>
            <w:noProof/>
            <w:webHidden/>
          </w:rPr>
        </w:r>
        <w:r w:rsidR="009F1A0C">
          <w:rPr>
            <w:noProof/>
            <w:webHidden/>
          </w:rPr>
          <w:fldChar w:fldCharType="separate"/>
        </w:r>
        <w:r w:rsidR="002F04CA">
          <w:rPr>
            <w:noProof/>
            <w:webHidden/>
          </w:rPr>
          <w:t>33</w:t>
        </w:r>
        <w:r w:rsidR="009F1A0C">
          <w:rPr>
            <w:noProof/>
            <w:webHidden/>
          </w:rPr>
          <w:fldChar w:fldCharType="end"/>
        </w:r>
      </w:hyperlink>
    </w:p>
    <w:p w14:paraId="4217A55B" w14:textId="77777777" w:rsidR="009F1A0C" w:rsidRDefault="00CD3D12">
      <w:pPr>
        <w:pStyle w:val="TOC1"/>
        <w:rPr>
          <w:rFonts w:eastAsiaTheme="minorEastAsia"/>
          <w:b w:val="0"/>
          <w:bCs w:val="0"/>
          <w:caps w:val="0"/>
          <w:noProof/>
          <w:sz w:val="22"/>
          <w:szCs w:val="22"/>
          <w:lang w:eastAsia="zh-CN"/>
        </w:rPr>
      </w:pPr>
      <w:hyperlink w:anchor="_Toc511977552" w:history="1">
        <w:r w:rsidR="009F1A0C" w:rsidRPr="00FC566F">
          <w:rPr>
            <w:rStyle w:val="Hyperlink"/>
            <w:noProof/>
          </w:rPr>
          <w:t>Attachment B — 2015 Review method</w:t>
        </w:r>
        <w:r w:rsidR="009F1A0C">
          <w:rPr>
            <w:noProof/>
            <w:webHidden/>
          </w:rPr>
          <w:tab/>
        </w:r>
        <w:r w:rsidR="009F1A0C">
          <w:rPr>
            <w:noProof/>
            <w:webHidden/>
          </w:rPr>
          <w:fldChar w:fldCharType="begin"/>
        </w:r>
        <w:r w:rsidR="009F1A0C">
          <w:rPr>
            <w:noProof/>
            <w:webHidden/>
          </w:rPr>
          <w:instrText xml:space="preserve"> PAGEREF _Toc511977552 \h </w:instrText>
        </w:r>
        <w:r w:rsidR="009F1A0C">
          <w:rPr>
            <w:noProof/>
            <w:webHidden/>
          </w:rPr>
        </w:r>
        <w:r w:rsidR="009F1A0C">
          <w:rPr>
            <w:noProof/>
            <w:webHidden/>
          </w:rPr>
          <w:fldChar w:fldCharType="separate"/>
        </w:r>
        <w:r w:rsidR="002F04CA">
          <w:rPr>
            <w:noProof/>
            <w:webHidden/>
          </w:rPr>
          <w:t>36</w:t>
        </w:r>
        <w:r w:rsidR="009F1A0C">
          <w:rPr>
            <w:noProof/>
            <w:webHidden/>
          </w:rPr>
          <w:fldChar w:fldCharType="end"/>
        </w:r>
      </w:hyperlink>
    </w:p>
    <w:p w14:paraId="786C92F5" w14:textId="5B646F42" w:rsidR="00532D10" w:rsidRPr="00F15230" w:rsidRDefault="005A4541" w:rsidP="00532D10">
      <w:pPr>
        <w:tabs>
          <w:tab w:val="clear" w:pos="567"/>
        </w:tabs>
        <w:sectPr w:rsidR="00532D10" w:rsidRPr="00F15230" w:rsidSect="005065EF">
          <w:footerReference w:type="first" r:id="rId17"/>
          <w:pgSz w:w="11899" w:h="16838" w:code="9"/>
          <w:pgMar w:top="1701" w:right="1474" w:bottom="1701" w:left="1474" w:header="709" w:footer="709" w:gutter="0"/>
          <w:pgNumType w:fmt="lowerRoman" w:start="1"/>
          <w:cols w:space="708"/>
          <w:titlePg/>
          <w:docGrid w:linePitch="299"/>
        </w:sectPr>
      </w:pPr>
      <w:r>
        <w:fldChar w:fldCharType="end"/>
      </w:r>
    </w:p>
    <w:p w14:paraId="784EAC73" w14:textId="77777777" w:rsidR="00532D10" w:rsidRPr="00F15230" w:rsidRDefault="00CC59BE" w:rsidP="00CC59BE">
      <w:pPr>
        <w:pStyle w:val="Heading2"/>
      </w:pPr>
      <w:bookmarkStart w:id="7" w:name="Content"/>
      <w:bookmarkStart w:id="8" w:name="_Toc499818738"/>
      <w:bookmarkStart w:id="9" w:name="_Toc499818827"/>
      <w:bookmarkStart w:id="10" w:name="_Toc500228912"/>
      <w:bookmarkStart w:id="11" w:name="_Toc508800341"/>
      <w:bookmarkStart w:id="12" w:name="_Toc508800476"/>
      <w:bookmarkStart w:id="13" w:name="_Toc509231085"/>
      <w:bookmarkStart w:id="14" w:name="_Toc511054110"/>
      <w:bookmarkStart w:id="15" w:name="_Toc511127551"/>
      <w:bookmarkStart w:id="16" w:name="_Toc511977527"/>
      <w:bookmarkStart w:id="17" w:name="_Toc106707725"/>
      <w:bookmarkStart w:id="18" w:name="_Toc155675935"/>
      <w:bookmarkStart w:id="19" w:name="_Toc174415770"/>
      <w:bookmarkStart w:id="20" w:name="_Toc174415844"/>
      <w:bookmarkStart w:id="21" w:name="_Toc174415935"/>
      <w:bookmarkStart w:id="22" w:name="_Toc174416620"/>
      <w:bookmarkStart w:id="23" w:name="_Toc174416662"/>
      <w:bookmarkStart w:id="24" w:name="_Toc174416675"/>
      <w:bookmarkEnd w:id="7"/>
      <w:r w:rsidRPr="00F15230">
        <w:lastRenderedPageBreak/>
        <w:t>Health</w:t>
      </w:r>
      <w:bookmarkEnd w:id="8"/>
      <w:bookmarkEnd w:id="9"/>
      <w:bookmarkEnd w:id="10"/>
      <w:bookmarkEnd w:id="11"/>
      <w:bookmarkEnd w:id="12"/>
      <w:bookmarkEnd w:id="13"/>
      <w:bookmarkEnd w:id="14"/>
      <w:bookmarkEnd w:id="15"/>
      <w:bookmarkEnd w:id="16"/>
    </w:p>
    <w:p w14:paraId="47DAB594" w14:textId="56DC07FE" w:rsidR="007D0DC7" w:rsidRDefault="007D0DC7" w:rsidP="007D0DC7">
      <w:pPr>
        <w:pStyle w:val="CGCNumberedPara"/>
      </w:pPr>
      <w:bookmarkStart w:id="25" w:name="_Toc499818828"/>
      <w:bookmarkStart w:id="26" w:name="_Toc508800477"/>
      <w:bookmarkStart w:id="27" w:name="_Toc509231086"/>
      <w:r>
        <w:t>Th</w:t>
      </w:r>
      <w:r w:rsidR="00B53B5A">
        <w:t>is</w:t>
      </w:r>
      <w:r>
        <w:t xml:space="preserve"> paper provides </w:t>
      </w:r>
      <w:r w:rsidR="00B53B5A">
        <w:t xml:space="preserve">the </w:t>
      </w:r>
      <w:r>
        <w:t>Commission staff p</w:t>
      </w:r>
      <w:r w:rsidR="00AF64DC">
        <w:t>roposals for the assessment of h</w:t>
      </w:r>
      <w:r>
        <w:t>ealth expenses for the 2020 Review.</w:t>
      </w:r>
    </w:p>
    <w:p w14:paraId="083D0ADD" w14:textId="2BED3F90" w:rsidR="00483142" w:rsidRDefault="00483142" w:rsidP="007D0DC7">
      <w:pPr>
        <w:pStyle w:val="CGCNumberedPara"/>
      </w:pPr>
      <w:proofErr w:type="gramStart"/>
      <w:r>
        <w:t>Staff are</w:t>
      </w:r>
      <w:proofErr w:type="gramEnd"/>
      <w:r>
        <w:t xml:space="preserve"> inclined to recommend the Commission retain the direct assessment approach for all healt</w:t>
      </w:r>
      <w:r w:rsidR="00193614">
        <w:t>h components, so the discussion</w:t>
      </w:r>
      <w:r>
        <w:t xml:space="preserve"> </w:t>
      </w:r>
      <w:r w:rsidR="00193614">
        <w:t>in the</w:t>
      </w:r>
      <w:r>
        <w:t xml:space="preserve"> </w:t>
      </w:r>
      <w:r>
        <w:fldChar w:fldCharType="begin"/>
      </w:r>
      <w:r>
        <w:instrText xml:space="preserve"> REF _Ref511137449 \h </w:instrText>
      </w:r>
      <w:r>
        <w:fldChar w:fldCharType="separate"/>
      </w:r>
      <w:r w:rsidR="005A6E12" w:rsidRPr="00F15230">
        <w:t>I</w:t>
      </w:r>
      <w:r w:rsidR="005A6E12">
        <w:t>ssues and analysis</w:t>
      </w:r>
      <w:r>
        <w:fldChar w:fldCharType="end"/>
      </w:r>
      <w:r>
        <w:t xml:space="preserve"> </w:t>
      </w:r>
      <w:r w:rsidR="00193614">
        <w:t>section is</w:t>
      </w:r>
      <w:r>
        <w:t xml:space="preserve"> based on </w:t>
      </w:r>
      <w:r w:rsidR="00300E10">
        <w:t xml:space="preserve">the assumption that </w:t>
      </w:r>
      <w:r>
        <w:t>the direct approach</w:t>
      </w:r>
      <w:r w:rsidR="00300E10">
        <w:t xml:space="preserve"> is </w:t>
      </w:r>
      <w:r w:rsidR="00193614">
        <w:t>retained</w:t>
      </w:r>
      <w:r>
        <w:t xml:space="preserve">. However, many of the issues discussed in </w:t>
      </w:r>
      <w:r w:rsidR="00B53B5A">
        <w:t>the paper</w:t>
      </w:r>
      <w:r>
        <w:t xml:space="preserve"> are also relevant to the subtraction approach</w:t>
      </w:r>
      <w:r w:rsidR="00CD703F">
        <w:t xml:space="preserve"> </w:t>
      </w:r>
      <w:r w:rsidR="00DF7F47">
        <w:t xml:space="preserve">proposed by Western Australia </w:t>
      </w:r>
      <w:r w:rsidR="00CD703F">
        <w:t>(</w:t>
      </w:r>
      <w:r w:rsidR="00DF7F47">
        <w:t xml:space="preserve">detailed in </w:t>
      </w:r>
      <w:r w:rsidR="00AF1603">
        <w:t>Attachment A</w:t>
      </w:r>
      <w:r w:rsidR="00DF7F47">
        <w:t>)</w:t>
      </w:r>
      <w:r w:rsidR="00193614">
        <w:t>,</w:t>
      </w:r>
      <w:r>
        <w:t xml:space="preserve"> should it be adopted.</w:t>
      </w:r>
    </w:p>
    <w:p w14:paraId="7D3AA3E5" w14:textId="77777777" w:rsidR="009313F3" w:rsidRPr="00F15230" w:rsidRDefault="009313F3" w:rsidP="009313F3">
      <w:pPr>
        <w:pStyle w:val="Heading3"/>
      </w:pPr>
      <w:bookmarkStart w:id="28" w:name="_Toc511054111"/>
      <w:bookmarkStart w:id="29" w:name="_Toc511127552"/>
      <w:bookmarkStart w:id="30" w:name="_Toc511977528"/>
      <w:r w:rsidRPr="00F15230">
        <w:t>2015 Review Assessment</w:t>
      </w:r>
      <w:bookmarkEnd w:id="25"/>
      <w:bookmarkEnd w:id="26"/>
      <w:bookmarkEnd w:id="27"/>
      <w:bookmarkEnd w:id="28"/>
      <w:bookmarkEnd w:id="29"/>
      <w:bookmarkEnd w:id="30"/>
    </w:p>
    <w:p w14:paraId="4DAE8C97" w14:textId="4D77DCAA" w:rsidR="00CC59BE" w:rsidRPr="00F15230" w:rsidRDefault="00CC59BE" w:rsidP="00CC59BE">
      <w:pPr>
        <w:pStyle w:val="CGCNumberedPara"/>
        <w:numPr>
          <w:ilvl w:val="1"/>
          <w:numId w:val="3"/>
        </w:numPr>
      </w:pPr>
      <w:bookmarkStart w:id="31" w:name="_Toc155675723"/>
      <w:bookmarkStart w:id="32" w:name="_Ref500141474"/>
      <w:bookmarkEnd w:id="17"/>
      <w:bookmarkEnd w:id="18"/>
      <w:bookmarkEnd w:id="19"/>
      <w:bookmarkEnd w:id="20"/>
      <w:bookmarkEnd w:id="21"/>
      <w:bookmarkEnd w:id="22"/>
      <w:bookmarkEnd w:id="23"/>
      <w:bookmarkEnd w:id="24"/>
      <w:bookmarkEnd w:id="31"/>
      <w:r w:rsidRPr="00F15230">
        <w:t>The Health category covers State spending on public hospitals and community, public and other health services. The scope of State health expenses is summarised below.</w:t>
      </w:r>
      <w:bookmarkEnd w:id="32"/>
    </w:p>
    <w:p w14:paraId="3C545532" w14:textId="77777777" w:rsidR="00CC59BE" w:rsidRPr="00F15230" w:rsidRDefault="00CC59BE" w:rsidP="00CC59BE">
      <w:pPr>
        <w:pStyle w:val="CGCBulletlist"/>
        <w:numPr>
          <w:ilvl w:val="0"/>
          <w:numId w:val="1"/>
        </w:numPr>
        <w:tabs>
          <w:tab w:val="clear" w:pos="927"/>
        </w:tabs>
        <w:ind w:left="1134" w:hanging="567"/>
      </w:pPr>
      <w:r w:rsidRPr="00F15230">
        <w:t>Hospital services</w:t>
      </w:r>
    </w:p>
    <w:p w14:paraId="0A553EED" w14:textId="39DAF56B" w:rsidR="00CC59BE" w:rsidRPr="00F15230" w:rsidRDefault="00CC59BE" w:rsidP="00CC59BE">
      <w:pPr>
        <w:pStyle w:val="CGCSubbulletlist"/>
        <w:numPr>
          <w:ilvl w:val="0"/>
          <w:numId w:val="4"/>
        </w:numPr>
        <w:tabs>
          <w:tab w:val="clear" w:pos="927"/>
        </w:tabs>
        <w:ind w:left="1701" w:hanging="567"/>
      </w:pPr>
      <w:r w:rsidRPr="00F15230">
        <w:t>Admitted patient services — acute</w:t>
      </w:r>
      <w:r w:rsidR="002359E2" w:rsidRPr="00F15230">
        <w:t>, sub</w:t>
      </w:r>
      <w:r w:rsidR="002359E2" w:rsidRPr="00F15230">
        <w:noBreakHyphen/>
        <w:t>acute</w:t>
      </w:r>
      <w:r w:rsidRPr="00F15230">
        <w:t xml:space="preserve"> and non-acute medical care and treatment for public and private patients admitted in public hospitals and public patients treated in private hospitals.</w:t>
      </w:r>
    </w:p>
    <w:p w14:paraId="035BC2D3" w14:textId="77777777" w:rsidR="00CC59BE" w:rsidRPr="00F15230" w:rsidRDefault="00CC59BE" w:rsidP="00CC59BE">
      <w:pPr>
        <w:pStyle w:val="CGCSubbulletlist"/>
        <w:numPr>
          <w:ilvl w:val="0"/>
          <w:numId w:val="4"/>
        </w:numPr>
        <w:tabs>
          <w:tab w:val="clear" w:pos="927"/>
        </w:tabs>
        <w:ind w:left="1701" w:hanging="567"/>
      </w:pPr>
      <w:r w:rsidRPr="00F15230">
        <w:t>Emergency departments (ED) — all emergency care delivered to patients at public hospitals.</w:t>
      </w:r>
    </w:p>
    <w:p w14:paraId="724DB905" w14:textId="77777777" w:rsidR="00CC59BE" w:rsidRPr="00F15230" w:rsidRDefault="00CC59BE" w:rsidP="00CC59BE">
      <w:pPr>
        <w:pStyle w:val="CGCSubbulletlist"/>
        <w:numPr>
          <w:ilvl w:val="0"/>
          <w:numId w:val="4"/>
        </w:numPr>
        <w:tabs>
          <w:tab w:val="clear" w:pos="927"/>
        </w:tabs>
        <w:ind w:left="1701" w:hanging="567"/>
      </w:pPr>
      <w:r w:rsidRPr="00F15230">
        <w:t>Non-admitted outpatient services (NAP) — all outpatient services provided at public hospitals such as obstetrics, gynaecology, cardiology, pathology, oncology, radiology, imaging services and allied health care.</w:t>
      </w:r>
    </w:p>
    <w:p w14:paraId="2ABFE0A4" w14:textId="77777777" w:rsidR="00CC59BE" w:rsidRPr="00F15230" w:rsidRDefault="00CC59BE" w:rsidP="00CC59BE">
      <w:pPr>
        <w:pStyle w:val="CGCBulletlist"/>
        <w:numPr>
          <w:ilvl w:val="0"/>
          <w:numId w:val="1"/>
        </w:numPr>
        <w:tabs>
          <w:tab w:val="clear" w:pos="927"/>
        </w:tabs>
        <w:ind w:left="1134" w:hanging="567"/>
      </w:pPr>
      <w:r w:rsidRPr="00F15230">
        <w:t>Other health services</w:t>
      </w:r>
    </w:p>
    <w:p w14:paraId="1E19B5BE" w14:textId="77777777" w:rsidR="00CC59BE" w:rsidRPr="00F15230" w:rsidRDefault="00CC59BE" w:rsidP="00CC59BE">
      <w:pPr>
        <w:pStyle w:val="CGCSubbulletlist"/>
        <w:numPr>
          <w:ilvl w:val="0"/>
          <w:numId w:val="4"/>
        </w:numPr>
        <w:tabs>
          <w:tab w:val="clear" w:pos="927"/>
        </w:tabs>
        <w:ind w:left="1701" w:hanging="567"/>
      </w:pPr>
      <w:r w:rsidRPr="00F15230">
        <w:t>Community health services — a wide range of medical and allied health services provided in a community setting, and often through State community health centres, such as dental clinics, well baby clinics, mental health services, home nursing services, family planning, and alcohol and other drug services.</w:t>
      </w:r>
    </w:p>
    <w:p w14:paraId="5B5DFC69" w14:textId="77777777" w:rsidR="00CC59BE" w:rsidRPr="00F15230" w:rsidRDefault="00CC59BE" w:rsidP="00CC59BE">
      <w:pPr>
        <w:pStyle w:val="CGCSubbulletlist"/>
        <w:numPr>
          <w:ilvl w:val="0"/>
          <w:numId w:val="4"/>
        </w:numPr>
        <w:tabs>
          <w:tab w:val="clear" w:pos="927"/>
        </w:tabs>
        <w:ind w:left="1701" w:hanging="567"/>
      </w:pPr>
      <w:r w:rsidRPr="00F15230">
        <w:t>Public health services — activities for the protection and promotion of health and the prevention of disease, illness or injury. These include organised immunisation, health promotion, screening programs, communicable disease control, and prevention of hazardous and harmful drug use.</w:t>
      </w:r>
    </w:p>
    <w:p w14:paraId="3FA91F70" w14:textId="10B86BDA" w:rsidR="00CC59BE" w:rsidRPr="00F15230" w:rsidRDefault="00CC59BE" w:rsidP="00CC59BE">
      <w:pPr>
        <w:pStyle w:val="CGCSubbulletlist"/>
        <w:numPr>
          <w:ilvl w:val="0"/>
          <w:numId w:val="4"/>
        </w:numPr>
        <w:tabs>
          <w:tab w:val="clear" w:pos="927"/>
        </w:tabs>
        <w:ind w:left="1701" w:hanging="567"/>
      </w:pPr>
      <w:r w:rsidRPr="00F15230">
        <w:t xml:space="preserve">Patient transport — land ambulance, </w:t>
      </w:r>
      <w:r w:rsidR="002359E2" w:rsidRPr="00F15230">
        <w:t>aero</w:t>
      </w:r>
      <w:r w:rsidR="002359E2" w:rsidRPr="00F15230">
        <w:noBreakHyphen/>
      </w:r>
      <w:r w:rsidRPr="00F15230">
        <w:t xml:space="preserve">medical ambulance services and the reimbursement of costs through Patient Assisted Travel Schemes (PATS). </w:t>
      </w:r>
    </w:p>
    <w:p w14:paraId="5627D69D" w14:textId="34EFA16E" w:rsidR="00CC59BE" w:rsidRPr="00F15230" w:rsidRDefault="00CC59BE" w:rsidP="00CC59BE">
      <w:pPr>
        <w:pStyle w:val="CGCSubbulletlist"/>
        <w:numPr>
          <w:ilvl w:val="0"/>
          <w:numId w:val="4"/>
        </w:numPr>
        <w:tabs>
          <w:tab w:val="clear" w:pos="927"/>
        </w:tabs>
        <w:ind w:left="1701" w:hanging="567"/>
      </w:pPr>
      <w:r w:rsidRPr="00F15230">
        <w:lastRenderedPageBreak/>
        <w:t>Miscellaneous health services — State provided health services not elsewhere specified including pharmaceuticals, medical aids and appliances</w:t>
      </w:r>
      <w:r w:rsidR="00766BAA" w:rsidRPr="00F15230">
        <w:t xml:space="preserve">, </w:t>
      </w:r>
      <w:r w:rsidRPr="00F15230">
        <w:t>health</w:t>
      </w:r>
      <w:r w:rsidR="00766BAA" w:rsidRPr="00F15230">
        <w:t xml:space="preserve"> administration and</w:t>
      </w:r>
      <w:r w:rsidRPr="00F15230">
        <w:t xml:space="preserve"> research. </w:t>
      </w:r>
    </w:p>
    <w:p w14:paraId="51613773" w14:textId="77777777" w:rsidR="00CC59BE" w:rsidRPr="00F15230" w:rsidRDefault="00CC59BE" w:rsidP="00CC59BE">
      <w:pPr>
        <w:pStyle w:val="Heading4"/>
      </w:pPr>
      <w:bookmarkStart w:id="33" w:name="_Toc499818739"/>
      <w:bookmarkStart w:id="34" w:name="_Toc499818829"/>
      <w:bookmarkStart w:id="35" w:name="_Toc508800478"/>
      <w:bookmarkStart w:id="36" w:name="_Toc509231087"/>
      <w:bookmarkStart w:id="37" w:name="_Toc511054112"/>
      <w:bookmarkStart w:id="38" w:name="_Toc511127553"/>
      <w:bookmarkStart w:id="39" w:name="_Toc511977529"/>
      <w:r w:rsidRPr="00F15230">
        <w:t>Category and component expenses</w:t>
      </w:r>
      <w:bookmarkEnd w:id="33"/>
      <w:bookmarkEnd w:id="34"/>
      <w:bookmarkEnd w:id="35"/>
      <w:bookmarkEnd w:id="36"/>
      <w:bookmarkEnd w:id="37"/>
      <w:bookmarkEnd w:id="38"/>
      <w:bookmarkEnd w:id="39"/>
    </w:p>
    <w:p w14:paraId="19991EA1" w14:textId="27519E4C" w:rsidR="00CC59BE" w:rsidRPr="00F15230" w:rsidRDefault="00CC59BE" w:rsidP="00CC59BE">
      <w:pPr>
        <w:pStyle w:val="CGCNumberedPara"/>
        <w:numPr>
          <w:ilvl w:val="1"/>
          <w:numId w:val="3"/>
        </w:numPr>
      </w:pPr>
      <w:r w:rsidRPr="00F15230">
        <w:fldChar w:fldCharType="begin"/>
      </w:r>
      <w:r w:rsidRPr="00F15230">
        <w:instrText xml:space="preserve"> REF _Ref499556391 \h </w:instrText>
      </w:r>
      <w:r w:rsidR="00F15230">
        <w:instrText xml:space="preserve"> \* MERGEFORMAT </w:instrText>
      </w:r>
      <w:r w:rsidRPr="00F15230">
        <w:fldChar w:fldCharType="separate"/>
      </w:r>
      <w:r w:rsidR="005A6E12" w:rsidRPr="00F15230">
        <w:t xml:space="preserve">Table </w:t>
      </w:r>
      <w:r w:rsidR="005A6E12">
        <w:t>1</w:t>
      </w:r>
      <w:r w:rsidRPr="00F15230">
        <w:fldChar w:fldCharType="end"/>
      </w:r>
      <w:r w:rsidRPr="00F15230">
        <w:t xml:space="preserve"> shows health ex</w:t>
      </w:r>
      <w:r w:rsidR="00F32371" w:rsidRPr="00F15230">
        <w:t xml:space="preserve">penses by component in </w:t>
      </w:r>
      <w:r w:rsidR="00277090" w:rsidRPr="00F15230">
        <w:t>2016</w:t>
      </w:r>
      <w:r w:rsidR="00277090" w:rsidRPr="00F15230">
        <w:noBreakHyphen/>
        <w:t>17</w:t>
      </w:r>
      <w:r w:rsidR="00F32371" w:rsidRPr="00F15230">
        <w:t xml:space="preserve">. </w:t>
      </w:r>
      <w:r w:rsidRPr="00F15230">
        <w:t>The first three components cover services which are predominantly provided in a hospital setting — admitted patient, ED and other non</w:t>
      </w:r>
      <w:r w:rsidRPr="00F15230">
        <w:noBreakHyphen/>
        <w:t>admitted patient services</w:t>
      </w:r>
      <w:r w:rsidR="008348D4" w:rsidRPr="00F15230">
        <w:t>.</w:t>
      </w:r>
      <w:r w:rsidRPr="00F15230">
        <w:rPr>
          <w:rStyle w:val="FootnoteReference"/>
        </w:rPr>
        <w:footnoteReference w:id="1"/>
      </w:r>
      <w:r w:rsidR="00A35EAA" w:rsidRPr="00F15230">
        <w:t xml:space="preserve"> </w:t>
      </w:r>
      <w:r w:rsidR="00F32371" w:rsidRPr="00F15230">
        <w:t xml:space="preserve">The two remaining components </w:t>
      </w:r>
      <w:r w:rsidR="00757CA1" w:rsidRPr="00F15230">
        <w:t>are non</w:t>
      </w:r>
      <w:r w:rsidR="00757CA1" w:rsidRPr="00F15230">
        <w:noBreakHyphen/>
      </w:r>
      <w:r w:rsidR="00F802F2" w:rsidRPr="00F15230">
        <w:t>hospital patient transport and</w:t>
      </w:r>
      <w:r w:rsidR="00F32371" w:rsidRPr="00F15230">
        <w:t xml:space="preserve"> </w:t>
      </w:r>
      <w:r w:rsidRPr="00F15230">
        <w:t xml:space="preserve">community and </w:t>
      </w:r>
      <w:r w:rsidR="00F32371" w:rsidRPr="00F15230">
        <w:t xml:space="preserve">other </w:t>
      </w:r>
      <w:r w:rsidR="00F802F2" w:rsidRPr="00F15230">
        <w:t>health services</w:t>
      </w:r>
      <w:r w:rsidRPr="00F15230">
        <w:t>.</w:t>
      </w:r>
      <w:r w:rsidR="00F32371" w:rsidRPr="00F15230">
        <w:rPr>
          <w:rStyle w:val="FootnoteReference"/>
        </w:rPr>
        <w:footnoteReference w:id="2"/>
      </w:r>
    </w:p>
    <w:p w14:paraId="2238D6E3" w14:textId="2195323B" w:rsidR="00CC59BE" w:rsidRPr="00F15230" w:rsidRDefault="00CC59BE" w:rsidP="00CC59BE">
      <w:pPr>
        <w:pStyle w:val="CGCNumberedPara"/>
        <w:numPr>
          <w:ilvl w:val="1"/>
          <w:numId w:val="3"/>
        </w:numPr>
      </w:pPr>
      <w:r w:rsidRPr="00F15230">
        <w:t>All revenues generated from user charges ($7 billion in 201</w:t>
      </w:r>
      <w:r w:rsidR="00A40AF9" w:rsidRPr="00F15230">
        <w:t>6</w:t>
      </w:r>
      <w:r w:rsidR="00A40AF9" w:rsidRPr="00F15230">
        <w:noBreakHyphen/>
        <w:t>17</w:t>
      </w:r>
      <w:r w:rsidRPr="00F15230">
        <w:t xml:space="preserve">), </w:t>
      </w:r>
      <w:r w:rsidR="00BD749F" w:rsidRPr="00F15230">
        <w:t xml:space="preserve">which </w:t>
      </w:r>
      <w:r w:rsidRPr="00F15230">
        <w:t xml:space="preserve">mainly </w:t>
      </w:r>
      <w:r w:rsidR="00BD749F" w:rsidRPr="00F15230">
        <w:t xml:space="preserve">comprise </w:t>
      </w:r>
      <w:r w:rsidRPr="00F15230">
        <w:t xml:space="preserve">private patient </w:t>
      </w:r>
      <w:r w:rsidR="00BD749F" w:rsidRPr="00F15230">
        <w:t xml:space="preserve">hospital </w:t>
      </w:r>
      <w:r w:rsidRPr="00F15230">
        <w:t>fee</w:t>
      </w:r>
      <w:r w:rsidR="00BD749F" w:rsidRPr="00F15230">
        <w:t>s, are offset against expenses.</w:t>
      </w:r>
    </w:p>
    <w:p w14:paraId="7998987B" w14:textId="2FA2A85A" w:rsidR="00CC59BE" w:rsidRPr="00F15230" w:rsidRDefault="00CC59BE" w:rsidP="00CC59BE">
      <w:pPr>
        <w:pStyle w:val="CGCNumberedPara"/>
        <w:numPr>
          <w:ilvl w:val="1"/>
          <w:numId w:val="3"/>
        </w:numPr>
      </w:pPr>
      <w:r w:rsidRPr="00F15230">
        <w:t xml:space="preserve">Health net expenses were </w:t>
      </w:r>
      <w:r w:rsidR="00A40AF9" w:rsidRPr="00F15230">
        <w:t>$61</w:t>
      </w:r>
      <w:r w:rsidRPr="00F15230">
        <w:t> billion in 201</w:t>
      </w:r>
      <w:r w:rsidR="00A40AF9" w:rsidRPr="00F15230">
        <w:t>6</w:t>
      </w:r>
      <w:r w:rsidR="00A40AF9" w:rsidRPr="00F15230">
        <w:noBreakHyphen/>
        <w:t>17</w:t>
      </w:r>
      <w:r w:rsidRPr="00F15230">
        <w:t xml:space="preserve"> or 2</w:t>
      </w:r>
      <w:r w:rsidR="00A40AF9" w:rsidRPr="00F15230">
        <w:t>6</w:t>
      </w:r>
      <w:r w:rsidRPr="00F15230">
        <w:t>% of total State operating expenses. Hospital services, for which admitted patient services is the largest component, were almost 7</w:t>
      </w:r>
      <w:r w:rsidR="00A40AF9" w:rsidRPr="00F15230">
        <w:t>9</w:t>
      </w:r>
      <w:r w:rsidRPr="00F15230">
        <w:t xml:space="preserve">% of the total. Community and other </w:t>
      </w:r>
      <w:r w:rsidR="00A40AF9" w:rsidRPr="00F15230">
        <w:t>health expenses accounted for 20</w:t>
      </w:r>
      <w:r w:rsidRPr="00F15230">
        <w:t xml:space="preserve">%. </w:t>
      </w:r>
      <w:bookmarkStart w:id="40" w:name="_Ref493762493"/>
    </w:p>
    <w:p w14:paraId="6E1E949A" w14:textId="4CC252A0" w:rsidR="00CC59BE" w:rsidRPr="00F15230" w:rsidRDefault="00CC59BE" w:rsidP="00CC59BE">
      <w:pPr>
        <w:pStyle w:val="CGCTableHeading"/>
      </w:pPr>
      <w:bookmarkStart w:id="41" w:name="_Ref499556391"/>
      <w:r w:rsidRPr="00F15230">
        <w:t xml:space="preserve">Table </w:t>
      </w:r>
      <w:r w:rsidR="00CD3D12">
        <w:fldChar w:fldCharType="begin"/>
      </w:r>
      <w:r w:rsidR="00CD3D12">
        <w:instrText xml:space="preserve"> SEQ Table \* ARABIC </w:instrText>
      </w:r>
      <w:r w:rsidR="00CD3D12">
        <w:fldChar w:fldCharType="separate"/>
      </w:r>
      <w:r w:rsidR="005A6E12">
        <w:rPr>
          <w:noProof/>
        </w:rPr>
        <w:t>1</w:t>
      </w:r>
      <w:r w:rsidR="00CD3D12">
        <w:rPr>
          <w:noProof/>
        </w:rPr>
        <w:fldChar w:fldCharType="end"/>
      </w:r>
      <w:bookmarkEnd w:id="40"/>
      <w:bookmarkEnd w:id="41"/>
      <w:r w:rsidRPr="00F15230">
        <w:tab/>
        <w:t>Health expenses by component, 201</w:t>
      </w:r>
      <w:r w:rsidR="00A40AF9" w:rsidRPr="00F15230">
        <w:t>6</w:t>
      </w:r>
      <w:r w:rsidR="00A40AF9" w:rsidRPr="00F15230">
        <w:noBreakHyphen/>
        <w:t>17</w:t>
      </w:r>
    </w:p>
    <w:tbl>
      <w:tblPr>
        <w:tblW w:w="8920" w:type="dxa"/>
        <w:tblInd w:w="93" w:type="dxa"/>
        <w:tblLook w:val="04A0" w:firstRow="1" w:lastRow="0" w:firstColumn="1" w:lastColumn="0" w:noHBand="0" w:noVBand="1"/>
      </w:tblPr>
      <w:tblGrid>
        <w:gridCol w:w="4060"/>
        <w:gridCol w:w="1400"/>
        <w:gridCol w:w="3460"/>
      </w:tblGrid>
      <w:tr w:rsidR="00CC59BE" w:rsidRPr="00F15230" w14:paraId="12A55715" w14:textId="77777777" w:rsidTr="005065EF">
        <w:trPr>
          <w:trHeight w:val="375"/>
        </w:trPr>
        <w:tc>
          <w:tcPr>
            <w:tcW w:w="4060" w:type="dxa"/>
            <w:tcBorders>
              <w:top w:val="single" w:sz="4" w:space="0" w:color="auto"/>
              <w:left w:val="nil"/>
              <w:bottom w:val="single" w:sz="4" w:space="0" w:color="auto"/>
              <w:right w:val="nil"/>
            </w:tcBorders>
            <w:shd w:val="clear" w:color="auto" w:fill="auto"/>
            <w:vAlign w:val="center"/>
            <w:hideMark/>
          </w:tcPr>
          <w:p w14:paraId="2637C3C5" w14:textId="77777777" w:rsidR="00CC59BE" w:rsidRPr="00F15230" w:rsidRDefault="00CC59BE" w:rsidP="005065EF">
            <w:pPr>
              <w:tabs>
                <w:tab w:val="clear" w:pos="567"/>
              </w:tabs>
              <w:spacing w:after="0" w:line="240" w:lineRule="auto"/>
              <w:rPr>
                <w:rFonts w:ascii="Calibri" w:eastAsia="Times New Roman" w:hAnsi="Calibri" w:cs="Times New Roman"/>
                <w:color w:val="000000"/>
                <w:sz w:val="20"/>
                <w:szCs w:val="20"/>
                <w:lang w:eastAsia="en-AU"/>
              </w:rPr>
            </w:pPr>
            <w:bookmarkStart w:id="42" w:name="RANGE!A7:C18"/>
            <w:r w:rsidRPr="00F15230">
              <w:rPr>
                <w:rFonts w:ascii="Calibri" w:eastAsia="Times New Roman" w:hAnsi="Calibri" w:cs="Times New Roman"/>
                <w:color w:val="000000"/>
                <w:sz w:val="20"/>
                <w:szCs w:val="20"/>
                <w:lang w:eastAsia="en-AU"/>
              </w:rPr>
              <w:t>Component</w:t>
            </w:r>
            <w:bookmarkEnd w:id="42"/>
          </w:p>
        </w:tc>
        <w:tc>
          <w:tcPr>
            <w:tcW w:w="1400" w:type="dxa"/>
            <w:tcBorders>
              <w:top w:val="single" w:sz="4" w:space="0" w:color="auto"/>
              <w:left w:val="nil"/>
              <w:bottom w:val="single" w:sz="4" w:space="0" w:color="auto"/>
              <w:right w:val="nil"/>
            </w:tcBorders>
            <w:shd w:val="clear" w:color="auto" w:fill="auto"/>
            <w:vAlign w:val="center"/>
            <w:hideMark/>
          </w:tcPr>
          <w:p w14:paraId="445E1EBA" w14:textId="45AE54B6" w:rsidR="00CC59BE" w:rsidRPr="00F15230" w:rsidRDefault="00CC59BE"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Amount</w:t>
            </w:r>
            <w:r w:rsidR="00B53B5A">
              <w:rPr>
                <w:rFonts w:ascii="Calibri" w:eastAsia="Times New Roman" w:hAnsi="Calibri" w:cs="Times New Roman"/>
                <w:color w:val="000000"/>
                <w:sz w:val="20"/>
                <w:szCs w:val="20"/>
                <w:lang w:eastAsia="en-AU"/>
              </w:rPr>
              <w:t xml:space="preserve"> (a)</w:t>
            </w:r>
          </w:p>
        </w:tc>
        <w:tc>
          <w:tcPr>
            <w:tcW w:w="3460" w:type="dxa"/>
            <w:tcBorders>
              <w:top w:val="single" w:sz="4" w:space="0" w:color="auto"/>
              <w:left w:val="nil"/>
              <w:bottom w:val="single" w:sz="4" w:space="0" w:color="auto"/>
              <w:right w:val="nil"/>
            </w:tcBorders>
            <w:shd w:val="clear" w:color="auto" w:fill="auto"/>
            <w:vAlign w:val="center"/>
            <w:hideMark/>
          </w:tcPr>
          <w:p w14:paraId="69CDAE51" w14:textId="77777777" w:rsidR="00CC59BE" w:rsidRPr="00F15230" w:rsidRDefault="00CC59BE"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Proportion of category expenses</w:t>
            </w:r>
          </w:p>
        </w:tc>
      </w:tr>
      <w:tr w:rsidR="00CC59BE" w:rsidRPr="00F15230" w14:paraId="1BA8878B" w14:textId="77777777" w:rsidTr="005065EF">
        <w:trPr>
          <w:trHeight w:val="259"/>
        </w:trPr>
        <w:tc>
          <w:tcPr>
            <w:tcW w:w="4060" w:type="dxa"/>
            <w:tcBorders>
              <w:top w:val="nil"/>
              <w:left w:val="nil"/>
              <w:bottom w:val="nil"/>
              <w:right w:val="nil"/>
            </w:tcBorders>
            <w:shd w:val="clear" w:color="auto" w:fill="auto"/>
            <w:noWrap/>
            <w:vAlign w:val="bottom"/>
            <w:hideMark/>
          </w:tcPr>
          <w:p w14:paraId="6C0A8B8E" w14:textId="77777777" w:rsidR="00CC59BE" w:rsidRPr="00F15230" w:rsidRDefault="00CC59BE" w:rsidP="005065EF">
            <w:pPr>
              <w:tabs>
                <w:tab w:val="clear" w:pos="567"/>
              </w:tabs>
              <w:spacing w:after="0" w:line="240" w:lineRule="auto"/>
              <w:jc w:val="right"/>
              <w:rPr>
                <w:rFonts w:ascii="Calibri" w:eastAsia="Times New Roman" w:hAnsi="Calibri" w:cs="Times New Roman"/>
                <w:color w:val="000000"/>
                <w:sz w:val="20"/>
                <w:szCs w:val="20"/>
                <w:lang w:eastAsia="en-AU"/>
              </w:rPr>
            </w:pPr>
          </w:p>
        </w:tc>
        <w:tc>
          <w:tcPr>
            <w:tcW w:w="1400" w:type="dxa"/>
            <w:tcBorders>
              <w:top w:val="nil"/>
              <w:left w:val="nil"/>
              <w:bottom w:val="nil"/>
              <w:right w:val="nil"/>
            </w:tcBorders>
            <w:shd w:val="clear" w:color="auto" w:fill="auto"/>
            <w:noWrap/>
            <w:vAlign w:val="bottom"/>
            <w:hideMark/>
          </w:tcPr>
          <w:p w14:paraId="6B98B900" w14:textId="77777777" w:rsidR="00CC59BE" w:rsidRPr="00F15230" w:rsidRDefault="00CC59BE"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c>
          <w:tcPr>
            <w:tcW w:w="3460" w:type="dxa"/>
            <w:tcBorders>
              <w:top w:val="nil"/>
              <w:left w:val="nil"/>
              <w:bottom w:val="nil"/>
              <w:right w:val="nil"/>
            </w:tcBorders>
            <w:shd w:val="clear" w:color="auto" w:fill="auto"/>
            <w:noWrap/>
            <w:vAlign w:val="bottom"/>
            <w:hideMark/>
          </w:tcPr>
          <w:p w14:paraId="5CFE1CED" w14:textId="77777777" w:rsidR="00CC59BE" w:rsidRPr="00F15230" w:rsidRDefault="00CC59BE"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w:t>
            </w:r>
          </w:p>
        </w:tc>
      </w:tr>
      <w:tr w:rsidR="00CC59BE" w:rsidRPr="00F15230" w14:paraId="66518FD3" w14:textId="77777777" w:rsidTr="005065EF">
        <w:trPr>
          <w:trHeight w:val="315"/>
        </w:trPr>
        <w:tc>
          <w:tcPr>
            <w:tcW w:w="4060" w:type="dxa"/>
            <w:tcBorders>
              <w:top w:val="nil"/>
              <w:left w:val="nil"/>
              <w:bottom w:val="nil"/>
              <w:right w:val="nil"/>
            </w:tcBorders>
            <w:shd w:val="clear" w:color="auto" w:fill="auto"/>
            <w:noWrap/>
            <w:vAlign w:val="bottom"/>
            <w:hideMark/>
          </w:tcPr>
          <w:p w14:paraId="2B649200" w14:textId="77777777" w:rsidR="00CC59BE" w:rsidRPr="00F15230" w:rsidRDefault="00CC59BE" w:rsidP="005065EF">
            <w:pPr>
              <w:tabs>
                <w:tab w:val="clear" w:pos="567"/>
              </w:tabs>
              <w:spacing w:after="0" w:line="240" w:lineRule="auto"/>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Hospital services</w:t>
            </w:r>
          </w:p>
        </w:tc>
        <w:tc>
          <w:tcPr>
            <w:tcW w:w="1400" w:type="dxa"/>
            <w:tcBorders>
              <w:top w:val="nil"/>
              <w:left w:val="nil"/>
              <w:bottom w:val="nil"/>
              <w:right w:val="nil"/>
            </w:tcBorders>
            <w:shd w:val="clear" w:color="auto" w:fill="auto"/>
            <w:noWrap/>
            <w:vAlign w:val="bottom"/>
            <w:hideMark/>
          </w:tcPr>
          <w:p w14:paraId="4C41CDCF" w14:textId="77777777" w:rsidR="00CC59BE" w:rsidRPr="00F15230" w:rsidRDefault="00CC59BE" w:rsidP="005065EF">
            <w:pPr>
              <w:tabs>
                <w:tab w:val="clear" w:pos="567"/>
              </w:tabs>
              <w:spacing w:after="0" w:line="240" w:lineRule="auto"/>
              <w:jc w:val="right"/>
              <w:rPr>
                <w:rFonts w:ascii="Calibri" w:eastAsia="Times New Roman" w:hAnsi="Calibri" w:cs="Times New Roman"/>
                <w:color w:val="000000"/>
                <w:sz w:val="20"/>
                <w:szCs w:val="20"/>
                <w:lang w:eastAsia="en-AU"/>
              </w:rPr>
            </w:pPr>
          </w:p>
        </w:tc>
        <w:tc>
          <w:tcPr>
            <w:tcW w:w="3460" w:type="dxa"/>
            <w:tcBorders>
              <w:top w:val="nil"/>
              <w:left w:val="nil"/>
              <w:bottom w:val="nil"/>
              <w:right w:val="nil"/>
            </w:tcBorders>
            <w:shd w:val="clear" w:color="auto" w:fill="auto"/>
            <w:noWrap/>
            <w:vAlign w:val="bottom"/>
            <w:hideMark/>
          </w:tcPr>
          <w:p w14:paraId="138166CD" w14:textId="77777777" w:rsidR="00CC59BE" w:rsidRPr="00F15230" w:rsidRDefault="00CC59BE" w:rsidP="005065EF">
            <w:pPr>
              <w:tabs>
                <w:tab w:val="clear" w:pos="567"/>
              </w:tabs>
              <w:spacing w:after="0" w:line="240" w:lineRule="auto"/>
              <w:jc w:val="right"/>
              <w:rPr>
                <w:rFonts w:ascii="Calibri" w:eastAsia="Times New Roman" w:hAnsi="Calibri" w:cs="Times New Roman"/>
                <w:color w:val="000000"/>
                <w:sz w:val="20"/>
                <w:szCs w:val="20"/>
                <w:lang w:eastAsia="en-AU"/>
              </w:rPr>
            </w:pPr>
          </w:p>
        </w:tc>
      </w:tr>
      <w:tr w:rsidR="00A40AF9" w:rsidRPr="00F15230" w14:paraId="003F4AD6" w14:textId="77777777" w:rsidTr="005065EF">
        <w:trPr>
          <w:trHeight w:val="315"/>
        </w:trPr>
        <w:tc>
          <w:tcPr>
            <w:tcW w:w="4060" w:type="dxa"/>
            <w:tcBorders>
              <w:top w:val="nil"/>
              <w:left w:val="nil"/>
              <w:bottom w:val="nil"/>
              <w:right w:val="nil"/>
            </w:tcBorders>
            <w:shd w:val="clear" w:color="auto" w:fill="auto"/>
            <w:vAlign w:val="bottom"/>
            <w:hideMark/>
          </w:tcPr>
          <w:p w14:paraId="62078B2F" w14:textId="77777777" w:rsidR="00A40AF9" w:rsidRPr="00F15230" w:rsidRDefault="00A40AF9" w:rsidP="005065EF">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Admitted patients</w:t>
            </w:r>
          </w:p>
        </w:tc>
        <w:tc>
          <w:tcPr>
            <w:tcW w:w="1400" w:type="dxa"/>
            <w:tcBorders>
              <w:top w:val="nil"/>
              <w:left w:val="nil"/>
              <w:bottom w:val="nil"/>
              <w:right w:val="nil"/>
            </w:tcBorders>
            <w:shd w:val="clear" w:color="auto" w:fill="auto"/>
            <w:vAlign w:val="bottom"/>
            <w:hideMark/>
          </w:tcPr>
          <w:p w14:paraId="56737BBD" w14:textId="55A7690A" w:rsidR="00A40AF9" w:rsidRPr="00F15230" w:rsidRDefault="00A40AF9"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zh-CN"/>
              </w:rPr>
              <w:t xml:space="preserve"> 38 163</w:t>
            </w:r>
          </w:p>
        </w:tc>
        <w:tc>
          <w:tcPr>
            <w:tcW w:w="3460" w:type="dxa"/>
            <w:tcBorders>
              <w:top w:val="nil"/>
              <w:left w:val="nil"/>
              <w:bottom w:val="nil"/>
              <w:right w:val="nil"/>
            </w:tcBorders>
            <w:shd w:val="clear" w:color="auto" w:fill="auto"/>
            <w:vAlign w:val="bottom"/>
            <w:hideMark/>
          </w:tcPr>
          <w:p w14:paraId="275EF08E" w14:textId="436D1801" w:rsidR="00A40AF9" w:rsidRPr="00F15230" w:rsidRDefault="00A40AF9"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zh-CN"/>
              </w:rPr>
              <w:t>62.5</w:t>
            </w:r>
          </w:p>
        </w:tc>
      </w:tr>
      <w:tr w:rsidR="00A40AF9" w:rsidRPr="00F15230" w14:paraId="24C5CA70" w14:textId="77777777" w:rsidTr="005065EF">
        <w:trPr>
          <w:trHeight w:val="315"/>
        </w:trPr>
        <w:tc>
          <w:tcPr>
            <w:tcW w:w="4060" w:type="dxa"/>
            <w:tcBorders>
              <w:top w:val="nil"/>
              <w:left w:val="nil"/>
              <w:bottom w:val="nil"/>
              <w:right w:val="nil"/>
            </w:tcBorders>
            <w:shd w:val="clear" w:color="auto" w:fill="auto"/>
            <w:vAlign w:val="bottom"/>
            <w:hideMark/>
          </w:tcPr>
          <w:p w14:paraId="17269FA7" w14:textId="77777777" w:rsidR="00A40AF9" w:rsidRPr="00F15230" w:rsidRDefault="00A40AF9" w:rsidP="005065EF">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Emergency departments (ED)</w:t>
            </w:r>
          </w:p>
        </w:tc>
        <w:tc>
          <w:tcPr>
            <w:tcW w:w="1400" w:type="dxa"/>
            <w:tcBorders>
              <w:top w:val="nil"/>
              <w:left w:val="nil"/>
              <w:bottom w:val="nil"/>
              <w:right w:val="nil"/>
            </w:tcBorders>
            <w:shd w:val="clear" w:color="auto" w:fill="auto"/>
            <w:vAlign w:val="bottom"/>
            <w:hideMark/>
          </w:tcPr>
          <w:p w14:paraId="3FC78E14" w14:textId="4083B0AF" w:rsidR="00A40AF9" w:rsidRPr="00F15230" w:rsidRDefault="00A40AF9"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zh-CN"/>
              </w:rPr>
              <w:t xml:space="preserve"> 4 931</w:t>
            </w:r>
          </w:p>
        </w:tc>
        <w:tc>
          <w:tcPr>
            <w:tcW w:w="3460" w:type="dxa"/>
            <w:tcBorders>
              <w:top w:val="nil"/>
              <w:left w:val="nil"/>
              <w:bottom w:val="nil"/>
              <w:right w:val="nil"/>
            </w:tcBorders>
            <w:shd w:val="clear" w:color="auto" w:fill="auto"/>
            <w:vAlign w:val="bottom"/>
            <w:hideMark/>
          </w:tcPr>
          <w:p w14:paraId="65A27740" w14:textId="741CDAB2" w:rsidR="00A40AF9" w:rsidRPr="00F15230" w:rsidRDefault="00A40AF9"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zh-CN"/>
              </w:rPr>
              <w:t>8.1</w:t>
            </w:r>
          </w:p>
        </w:tc>
      </w:tr>
      <w:tr w:rsidR="00A40AF9" w:rsidRPr="00F15230" w14:paraId="60C7C6FE" w14:textId="77777777" w:rsidTr="005065EF">
        <w:trPr>
          <w:trHeight w:val="315"/>
        </w:trPr>
        <w:tc>
          <w:tcPr>
            <w:tcW w:w="4060" w:type="dxa"/>
            <w:tcBorders>
              <w:top w:val="nil"/>
              <w:left w:val="nil"/>
              <w:bottom w:val="nil"/>
              <w:right w:val="nil"/>
            </w:tcBorders>
            <w:shd w:val="clear" w:color="auto" w:fill="auto"/>
            <w:vAlign w:val="bottom"/>
            <w:hideMark/>
          </w:tcPr>
          <w:p w14:paraId="52F3EBA6" w14:textId="77777777" w:rsidR="00A40AF9" w:rsidRPr="00F15230" w:rsidRDefault="00A40AF9" w:rsidP="00A35EAA">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Non-admitted patients (NAP)</w:t>
            </w:r>
          </w:p>
        </w:tc>
        <w:tc>
          <w:tcPr>
            <w:tcW w:w="1400" w:type="dxa"/>
            <w:tcBorders>
              <w:top w:val="nil"/>
              <w:left w:val="nil"/>
              <w:bottom w:val="nil"/>
              <w:right w:val="nil"/>
            </w:tcBorders>
            <w:shd w:val="clear" w:color="auto" w:fill="auto"/>
            <w:vAlign w:val="bottom"/>
            <w:hideMark/>
          </w:tcPr>
          <w:p w14:paraId="72A42BA6" w14:textId="79068469" w:rsidR="00A40AF9" w:rsidRPr="00F15230" w:rsidRDefault="00A40AF9"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zh-CN"/>
              </w:rPr>
              <w:t xml:space="preserve"> 4 931</w:t>
            </w:r>
          </w:p>
        </w:tc>
        <w:tc>
          <w:tcPr>
            <w:tcW w:w="3460" w:type="dxa"/>
            <w:tcBorders>
              <w:top w:val="nil"/>
              <w:left w:val="nil"/>
              <w:bottom w:val="nil"/>
              <w:right w:val="nil"/>
            </w:tcBorders>
            <w:shd w:val="clear" w:color="auto" w:fill="auto"/>
            <w:vAlign w:val="bottom"/>
            <w:hideMark/>
          </w:tcPr>
          <w:p w14:paraId="1F2B722C" w14:textId="090A0342" w:rsidR="00A40AF9" w:rsidRPr="00F15230" w:rsidRDefault="00A40AF9"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zh-CN"/>
              </w:rPr>
              <w:t>8.1</w:t>
            </w:r>
          </w:p>
        </w:tc>
      </w:tr>
      <w:tr w:rsidR="00A40AF9" w:rsidRPr="00F15230" w14:paraId="0629AA41" w14:textId="77777777" w:rsidTr="00532577">
        <w:trPr>
          <w:trHeight w:val="315"/>
        </w:trPr>
        <w:tc>
          <w:tcPr>
            <w:tcW w:w="4060" w:type="dxa"/>
            <w:tcBorders>
              <w:top w:val="nil"/>
              <w:left w:val="nil"/>
              <w:bottom w:val="nil"/>
              <w:right w:val="nil"/>
            </w:tcBorders>
            <w:shd w:val="clear" w:color="auto" w:fill="auto"/>
            <w:vAlign w:val="bottom"/>
            <w:hideMark/>
          </w:tcPr>
          <w:p w14:paraId="6B29E346" w14:textId="77777777" w:rsidR="00A40AF9" w:rsidRPr="00F15230" w:rsidRDefault="00A40AF9" w:rsidP="005065EF">
            <w:pPr>
              <w:tabs>
                <w:tab w:val="clear" w:pos="567"/>
              </w:tabs>
              <w:spacing w:after="0" w:line="240" w:lineRule="auto"/>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Other health services</w:t>
            </w:r>
          </w:p>
        </w:tc>
        <w:tc>
          <w:tcPr>
            <w:tcW w:w="1400" w:type="dxa"/>
            <w:tcBorders>
              <w:top w:val="nil"/>
              <w:left w:val="nil"/>
              <w:bottom w:val="nil"/>
              <w:right w:val="nil"/>
            </w:tcBorders>
            <w:shd w:val="clear" w:color="auto" w:fill="auto"/>
            <w:vAlign w:val="bottom"/>
          </w:tcPr>
          <w:p w14:paraId="4100EEF0" w14:textId="7B1DB5EB" w:rsidR="00A40AF9" w:rsidRPr="00F15230" w:rsidRDefault="00A40AF9" w:rsidP="005065EF">
            <w:pPr>
              <w:tabs>
                <w:tab w:val="clear" w:pos="567"/>
              </w:tabs>
              <w:spacing w:after="0" w:line="240" w:lineRule="auto"/>
              <w:jc w:val="right"/>
              <w:rPr>
                <w:rFonts w:ascii="Calibri" w:eastAsia="Times New Roman" w:hAnsi="Calibri" w:cs="Times New Roman"/>
                <w:color w:val="000000"/>
                <w:sz w:val="20"/>
                <w:szCs w:val="20"/>
                <w:lang w:eastAsia="en-AU"/>
              </w:rPr>
            </w:pPr>
          </w:p>
        </w:tc>
        <w:tc>
          <w:tcPr>
            <w:tcW w:w="3460" w:type="dxa"/>
            <w:tcBorders>
              <w:top w:val="nil"/>
              <w:left w:val="nil"/>
              <w:bottom w:val="nil"/>
              <w:right w:val="nil"/>
            </w:tcBorders>
            <w:shd w:val="clear" w:color="auto" w:fill="auto"/>
            <w:vAlign w:val="bottom"/>
          </w:tcPr>
          <w:p w14:paraId="5BDB466D" w14:textId="01A391D1" w:rsidR="00A40AF9" w:rsidRPr="00F15230" w:rsidRDefault="00A40AF9" w:rsidP="005065EF">
            <w:pPr>
              <w:tabs>
                <w:tab w:val="clear" w:pos="567"/>
              </w:tabs>
              <w:spacing w:after="0" w:line="240" w:lineRule="auto"/>
              <w:jc w:val="right"/>
              <w:rPr>
                <w:rFonts w:ascii="Calibri" w:eastAsia="Times New Roman" w:hAnsi="Calibri" w:cs="Times New Roman"/>
                <w:color w:val="000000"/>
                <w:sz w:val="20"/>
                <w:szCs w:val="20"/>
                <w:lang w:eastAsia="en-AU"/>
              </w:rPr>
            </w:pPr>
          </w:p>
        </w:tc>
      </w:tr>
      <w:tr w:rsidR="00532577" w:rsidRPr="00F15230" w14:paraId="3A15C33C" w14:textId="77777777" w:rsidTr="00A35EAA">
        <w:trPr>
          <w:trHeight w:val="315"/>
        </w:trPr>
        <w:tc>
          <w:tcPr>
            <w:tcW w:w="4060" w:type="dxa"/>
            <w:tcBorders>
              <w:top w:val="nil"/>
              <w:left w:val="nil"/>
              <w:bottom w:val="nil"/>
              <w:right w:val="nil"/>
            </w:tcBorders>
            <w:shd w:val="clear" w:color="auto" w:fill="auto"/>
            <w:vAlign w:val="bottom"/>
            <w:hideMark/>
          </w:tcPr>
          <w:p w14:paraId="07752D40" w14:textId="0E13E981" w:rsidR="00532577" w:rsidRPr="00F15230" w:rsidRDefault="00532577" w:rsidP="00CC59BE">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Non-hospital patient transport</w:t>
            </w:r>
            <w:r w:rsidR="00B53B5A">
              <w:rPr>
                <w:rFonts w:ascii="Calibri" w:eastAsia="Times New Roman" w:hAnsi="Calibri" w:cs="Times New Roman"/>
                <w:color w:val="000000"/>
                <w:sz w:val="20"/>
                <w:szCs w:val="20"/>
                <w:lang w:eastAsia="en-AU"/>
              </w:rPr>
              <w:t xml:space="preserve"> (b)</w:t>
            </w:r>
          </w:p>
        </w:tc>
        <w:tc>
          <w:tcPr>
            <w:tcW w:w="1400" w:type="dxa"/>
            <w:tcBorders>
              <w:top w:val="nil"/>
              <w:left w:val="nil"/>
              <w:right w:val="nil"/>
            </w:tcBorders>
            <w:shd w:val="clear" w:color="auto" w:fill="auto"/>
            <w:vAlign w:val="bottom"/>
            <w:hideMark/>
          </w:tcPr>
          <w:p w14:paraId="3555951E" w14:textId="499E5A43" w:rsidR="00532577" w:rsidRPr="00F15230" w:rsidRDefault="00532577"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sz w:val="20"/>
                <w:szCs w:val="20"/>
              </w:rPr>
              <w:t xml:space="preserve">  589</w:t>
            </w:r>
          </w:p>
        </w:tc>
        <w:tc>
          <w:tcPr>
            <w:tcW w:w="3460" w:type="dxa"/>
            <w:tcBorders>
              <w:top w:val="nil"/>
              <w:left w:val="nil"/>
              <w:right w:val="nil"/>
            </w:tcBorders>
            <w:shd w:val="clear" w:color="auto" w:fill="auto"/>
            <w:vAlign w:val="bottom"/>
            <w:hideMark/>
          </w:tcPr>
          <w:p w14:paraId="2F466176" w14:textId="5AF993B5" w:rsidR="00532577" w:rsidRPr="00F15230" w:rsidRDefault="00532577"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sz w:val="20"/>
                <w:szCs w:val="20"/>
              </w:rPr>
              <w:t>1.0</w:t>
            </w:r>
          </w:p>
        </w:tc>
      </w:tr>
      <w:tr w:rsidR="00532577" w:rsidRPr="00F15230" w14:paraId="7D0AC749" w14:textId="77777777" w:rsidTr="00A35EAA">
        <w:trPr>
          <w:trHeight w:val="315"/>
        </w:trPr>
        <w:tc>
          <w:tcPr>
            <w:tcW w:w="4060" w:type="dxa"/>
            <w:tcBorders>
              <w:top w:val="nil"/>
              <w:left w:val="nil"/>
              <w:bottom w:val="nil"/>
              <w:right w:val="nil"/>
            </w:tcBorders>
            <w:shd w:val="clear" w:color="auto" w:fill="auto"/>
            <w:vAlign w:val="bottom"/>
            <w:hideMark/>
          </w:tcPr>
          <w:p w14:paraId="6FEFA6B1" w14:textId="77777777" w:rsidR="00532577" w:rsidRPr="00F15230" w:rsidRDefault="00532577" w:rsidP="005065EF">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Community and other health services</w:t>
            </w:r>
          </w:p>
        </w:tc>
        <w:tc>
          <w:tcPr>
            <w:tcW w:w="1400" w:type="dxa"/>
            <w:tcBorders>
              <w:top w:val="nil"/>
              <w:left w:val="nil"/>
              <w:bottom w:val="single" w:sz="4" w:space="0" w:color="auto"/>
              <w:right w:val="nil"/>
            </w:tcBorders>
            <w:shd w:val="clear" w:color="auto" w:fill="auto"/>
            <w:vAlign w:val="bottom"/>
            <w:hideMark/>
          </w:tcPr>
          <w:p w14:paraId="57DAC298" w14:textId="44A192D0" w:rsidR="00532577" w:rsidRPr="00F15230" w:rsidRDefault="00532577"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sz w:val="20"/>
                <w:szCs w:val="20"/>
              </w:rPr>
              <w:t xml:space="preserve"> 12 416</w:t>
            </w:r>
          </w:p>
        </w:tc>
        <w:tc>
          <w:tcPr>
            <w:tcW w:w="3460" w:type="dxa"/>
            <w:tcBorders>
              <w:top w:val="nil"/>
              <w:left w:val="nil"/>
              <w:bottom w:val="single" w:sz="4" w:space="0" w:color="auto"/>
              <w:right w:val="nil"/>
            </w:tcBorders>
            <w:shd w:val="clear" w:color="auto" w:fill="auto"/>
            <w:vAlign w:val="bottom"/>
            <w:hideMark/>
          </w:tcPr>
          <w:p w14:paraId="7E682971" w14:textId="1C24981A" w:rsidR="00532577" w:rsidRPr="00F15230" w:rsidRDefault="00532577"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sz w:val="20"/>
                <w:szCs w:val="20"/>
              </w:rPr>
              <w:t>20.3</w:t>
            </w:r>
          </w:p>
        </w:tc>
      </w:tr>
      <w:tr w:rsidR="00532577" w:rsidRPr="00F15230" w14:paraId="4C5F3E39" w14:textId="77777777" w:rsidTr="00A35EAA">
        <w:trPr>
          <w:trHeight w:val="315"/>
        </w:trPr>
        <w:tc>
          <w:tcPr>
            <w:tcW w:w="4060" w:type="dxa"/>
            <w:tcBorders>
              <w:top w:val="nil"/>
              <w:left w:val="nil"/>
              <w:bottom w:val="single" w:sz="4" w:space="0" w:color="auto"/>
              <w:right w:val="nil"/>
            </w:tcBorders>
            <w:shd w:val="clear" w:color="auto" w:fill="auto"/>
            <w:vAlign w:val="bottom"/>
            <w:hideMark/>
          </w:tcPr>
          <w:p w14:paraId="218C49CF" w14:textId="77777777" w:rsidR="00532577" w:rsidRPr="00F15230" w:rsidRDefault="00532577" w:rsidP="005065EF">
            <w:pPr>
              <w:tabs>
                <w:tab w:val="clear" w:pos="567"/>
              </w:tabs>
              <w:spacing w:after="0" w:line="240" w:lineRule="auto"/>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Total</w:t>
            </w:r>
          </w:p>
        </w:tc>
        <w:tc>
          <w:tcPr>
            <w:tcW w:w="1400" w:type="dxa"/>
            <w:tcBorders>
              <w:top w:val="single" w:sz="4" w:space="0" w:color="auto"/>
              <w:left w:val="nil"/>
              <w:bottom w:val="single" w:sz="4" w:space="0" w:color="auto"/>
              <w:right w:val="nil"/>
            </w:tcBorders>
            <w:shd w:val="clear" w:color="auto" w:fill="auto"/>
            <w:vAlign w:val="bottom"/>
            <w:hideMark/>
          </w:tcPr>
          <w:p w14:paraId="1DF861A5" w14:textId="19BC3BCC" w:rsidR="00532577" w:rsidRPr="00F15230" w:rsidRDefault="00532577"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sz w:val="20"/>
                <w:szCs w:val="20"/>
              </w:rPr>
              <w:t xml:space="preserve"> 61 028</w:t>
            </w:r>
          </w:p>
        </w:tc>
        <w:tc>
          <w:tcPr>
            <w:tcW w:w="3460" w:type="dxa"/>
            <w:tcBorders>
              <w:top w:val="single" w:sz="4" w:space="0" w:color="auto"/>
              <w:left w:val="nil"/>
              <w:bottom w:val="single" w:sz="4" w:space="0" w:color="auto"/>
              <w:right w:val="nil"/>
            </w:tcBorders>
            <w:shd w:val="clear" w:color="auto" w:fill="auto"/>
            <w:vAlign w:val="bottom"/>
            <w:hideMark/>
          </w:tcPr>
          <w:p w14:paraId="5CC6A971" w14:textId="16927A41" w:rsidR="00532577" w:rsidRPr="00F15230" w:rsidRDefault="00532577" w:rsidP="005065EF">
            <w:pPr>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sz w:val="20"/>
                <w:szCs w:val="20"/>
              </w:rPr>
              <w:t>100.0</w:t>
            </w:r>
          </w:p>
        </w:tc>
      </w:tr>
    </w:tbl>
    <w:p w14:paraId="4E1B50C6" w14:textId="03E29E21" w:rsidR="00B53B5A" w:rsidRDefault="00B53B5A" w:rsidP="00CC59BE">
      <w:pPr>
        <w:pStyle w:val="CGCTableFootnote"/>
      </w:pPr>
      <w:r>
        <w:t>(a)</w:t>
      </w:r>
      <w:r w:rsidR="00CC59BE" w:rsidRPr="00F15230">
        <w:tab/>
        <w:t xml:space="preserve">Expenses are shown net of user charges. </w:t>
      </w:r>
    </w:p>
    <w:p w14:paraId="7CE2F94E" w14:textId="38153CBD" w:rsidR="00CC59BE" w:rsidRPr="00F15230" w:rsidRDefault="00B53B5A" w:rsidP="00CC59BE">
      <w:pPr>
        <w:pStyle w:val="CGCTableFootnote"/>
      </w:pPr>
      <w:r>
        <w:t>(b)</w:t>
      </w:r>
      <w:r>
        <w:tab/>
      </w:r>
      <w:r w:rsidR="00F802F2" w:rsidRPr="00F15230">
        <w:t>Non-hospital p</w:t>
      </w:r>
      <w:r w:rsidR="00CC59BE" w:rsidRPr="00F15230">
        <w:t>atient transport includes aero-medical ambulance services and the reimbursement of costs through State PATS. Land ambulance expenses are included in admitted patients.</w:t>
      </w:r>
    </w:p>
    <w:p w14:paraId="2A83150E" w14:textId="77777777" w:rsidR="00CC59BE" w:rsidRPr="00F15230" w:rsidRDefault="00CC59BE" w:rsidP="00CC59BE">
      <w:pPr>
        <w:pStyle w:val="CGCTableFootnote"/>
      </w:pPr>
      <w:r w:rsidRPr="00F15230">
        <w:t>Source:</w:t>
      </w:r>
      <w:r w:rsidRPr="00F15230">
        <w:tab/>
        <w:t>Australian Bureau of Statistics (ABS) Government Finance Statistics (GFS) and State provided data for the 2018 Update.</w:t>
      </w:r>
    </w:p>
    <w:p w14:paraId="01CB8D56" w14:textId="77777777" w:rsidR="003E3C67" w:rsidRPr="00F15230" w:rsidRDefault="003E3C67" w:rsidP="003E3C67">
      <w:pPr>
        <w:pStyle w:val="Heading4"/>
      </w:pPr>
      <w:bookmarkStart w:id="43" w:name="_Toc499818740"/>
      <w:bookmarkStart w:id="44" w:name="_Toc499818830"/>
      <w:bookmarkStart w:id="45" w:name="_Toc508800479"/>
      <w:bookmarkStart w:id="46" w:name="_Toc509231088"/>
      <w:bookmarkStart w:id="47" w:name="_Toc511054113"/>
      <w:bookmarkStart w:id="48" w:name="_Toc511127554"/>
      <w:bookmarkStart w:id="49" w:name="_Toc511977530"/>
      <w:r w:rsidRPr="00F15230">
        <w:lastRenderedPageBreak/>
        <w:t>Overview of assessment methods</w:t>
      </w:r>
      <w:bookmarkEnd w:id="43"/>
      <w:bookmarkEnd w:id="44"/>
      <w:bookmarkEnd w:id="45"/>
      <w:bookmarkEnd w:id="46"/>
      <w:bookmarkEnd w:id="47"/>
      <w:bookmarkEnd w:id="48"/>
      <w:bookmarkEnd w:id="49"/>
    </w:p>
    <w:p w14:paraId="78F9C826" w14:textId="77777777" w:rsidR="003E3C67" w:rsidRPr="00F15230" w:rsidRDefault="003E3C67" w:rsidP="003E3C67">
      <w:pPr>
        <w:pStyle w:val="CGCNumberedPara"/>
        <w:numPr>
          <w:ilvl w:val="1"/>
          <w:numId w:val="3"/>
        </w:numPr>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The assessments for hospital services and community and other health services include three main disabilities.</w:t>
      </w:r>
    </w:p>
    <w:p w14:paraId="21804495" w14:textId="0DF78CFD" w:rsidR="003E3C67" w:rsidRPr="00F15230" w:rsidRDefault="002B14CC" w:rsidP="003E3C67">
      <w:pPr>
        <w:pStyle w:val="CGCBulletlist"/>
        <w:numPr>
          <w:ilvl w:val="0"/>
          <w:numId w:val="1"/>
        </w:numPr>
        <w:tabs>
          <w:tab w:val="clear" w:pos="927"/>
        </w:tabs>
        <w:ind w:left="1134" w:hanging="567"/>
      </w:pPr>
      <w:r w:rsidRPr="00F15230">
        <w:t>A socio</w:t>
      </w:r>
      <w:r w:rsidRPr="00F15230">
        <w:noBreakHyphen/>
      </w:r>
      <w:r w:rsidR="003E3C67" w:rsidRPr="00F15230">
        <w:t>demographic composition (SDC) disability which recognises there are differences in the use and cost of services for different population groups and locations.</w:t>
      </w:r>
      <w:r w:rsidR="00113D15" w:rsidRPr="00F15230">
        <w:t xml:space="preserve"> For example, it is well documented that older people, Indigenou</w:t>
      </w:r>
      <w:r w:rsidR="00D76557" w:rsidRPr="00F15230">
        <w:t>s people, people from low socio</w:t>
      </w:r>
      <w:r w:rsidR="00D76557" w:rsidRPr="00F15230">
        <w:noBreakHyphen/>
      </w:r>
      <w:r w:rsidR="00113D15" w:rsidRPr="00F15230">
        <w:t>economic backgrounds and those living in regional areas use State health services more intensively. In addition, Indigenous people and people living in regional areas are more costly when they access health services.</w:t>
      </w:r>
      <w:r w:rsidR="00820785" w:rsidRPr="00F15230">
        <w:t xml:space="preserve"> The full SDC breakdown for the </w:t>
      </w:r>
      <w:r w:rsidR="00820785" w:rsidRPr="00F15230">
        <w:rPr>
          <w:rStyle w:val="Heading6Char"/>
          <w:rFonts w:eastAsiaTheme="minorHAnsi" w:cstheme="minorBidi"/>
          <w:b w:val="0"/>
          <w:i w:val="0"/>
          <w:iCs w:val="0"/>
          <w:color w:val="auto"/>
          <w:sz w:val="24"/>
        </w:rPr>
        <w:t xml:space="preserve">hospital and community health assessments is shown in </w:t>
      </w:r>
      <w:r w:rsidR="00820785" w:rsidRPr="00F15230">
        <w:rPr>
          <w:rStyle w:val="Heading6Char"/>
          <w:rFonts w:eastAsiaTheme="minorHAnsi" w:cstheme="minorBidi"/>
          <w:b w:val="0"/>
          <w:i w:val="0"/>
          <w:iCs w:val="0"/>
          <w:color w:val="auto"/>
          <w:sz w:val="24"/>
        </w:rPr>
        <w:fldChar w:fldCharType="begin"/>
      </w:r>
      <w:r w:rsidR="00820785" w:rsidRPr="00F15230">
        <w:rPr>
          <w:rStyle w:val="Heading6Char"/>
          <w:rFonts w:eastAsiaTheme="minorHAnsi" w:cstheme="minorBidi"/>
          <w:b w:val="0"/>
          <w:i w:val="0"/>
          <w:iCs w:val="0"/>
          <w:color w:val="auto"/>
          <w:sz w:val="24"/>
        </w:rPr>
        <w:instrText xml:space="preserve"> REF _Ref493768594 \h </w:instrText>
      </w:r>
      <w:r w:rsidR="00F15230">
        <w:rPr>
          <w:rStyle w:val="Heading6Char"/>
          <w:rFonts w:eastAsiaTheme="minorHAnsi" w:cstheme="minorBidi"/>
          <w:b w:val="0"/>
          <w:i w:val="0"/>
          <w:iCs w:val="0"/>
          <w:color w:val="auto"/>
          <w:sz w:val="24"/>
        </w:rPr>
        <w:instrText xml:space="preserve"> \* MERGEFORMAT </w:instrText>
      </w:r>
      <w:r w:rsidR="00820785" w:rsidRPr="00F15230">
        <w:rPr>
          <w:rStyle w:val="Heading6Char"/>
          <w:rFonts w:eastAsiaTheme="minorHAnsi" w:cstheme="minorBidi"/>
          <w:b w:val="0"/>
          <w:i w:val="0"/>
          <w:iCs w:val="0"/>
          <w:color w:val="auto"/>
          <w:sz w:val="24"/>
        </w:rPr>
      </w:r>
      <w:r w:rsidR="00820785" w:rsidRPr="00F15230">
        <w:rPr>
          <w:rStyle w:val="Heading6Char"/>
          <w:rFonts w:eastAsiaTheme="minorHAnsi" w:cstheme="minorBidi"/>
          <w:b w:val="0"/>
          <w:i w:val="0"/>
          <w:iCs w:val="0"/>
          <w:color w:val="auto"/>
          <w:sz w:val="24"/>
        </w:rPr>
        <w:fldChar w:fldCharType="separate"/>
      </w:r>
      <w:r w:rsidR="005A6E12" w:rsidRPr="00F15230">
        <w:t xml:space="preserve">Table </w:t>
      </w:r>
      <w:r w:rsidR="005A6E12">
        <w:t>2</w:t>
      </w:r>
      <w:r w:rsidR="00820785" w:rsidRPr="00F15230">
        <w:rPr>
          <w:rStyle w:val="Heading6Char"/>
          <w:rFonts w:eastAsiaTheme="minorHAnsi" w:cstheme="minorBidi"/>
          <w:b w:val="0"/>
          <w:i w:val="0"/>
          <w:iCs w:val="0"/>
          <w:color w:val="auto"/>
          <w:sz w:val="24"/>
        </w:rPr>
        <w:fldChar w:fldCharType="end"/>
      </w:r>
      <w:r w:rsidR="00820785" w:rsidRPr="00F15230">
        <w:rPr>
          <w:rStyle w:val="Heading6Char"/>
          <w:rFonts w:eastAsiaTheme="minorHAnsi" w:cstheme="minorBidi"/>
          <w:b w:val="0"/>
          <w:i w:val="0"/>
          <w:iCs w:val="0"/>
          <w:color w:val="auto"/>
          <w:sz w:val="24"/>
        </w:rPr>
        <w:t>.</w:t>
      </w:r>
    </w:p>
    <w:p w14:paraId="50D3CC63" w14:textId="2DF8A2F7" w:rsidR="003E3C67" w:rsidRPr="00F15230" w:rsidRDefault="003E3C67" w:rsidP="003E3C67">
      <w:pPr>
        <w:pStyle w:val="CGCBulletlist"/>
        <w:numPr>
          <w:ilvl w:val="0"/>
          <w:numId w:val="1"/>
        </w:numPr>
        <w:tabs>
          <w:tab w:val="clear" w:pos="927"/>
        </w:tabs>
        <w:ind w:left="1134" w:hanging="567"/>
      </w:pPr>
      <w:r w:rsidRPr="00F15230">
        <w:t>A no</w:t>
      </w:r>
      <w:r w:rsidR="009C2D6E" w:rsidRPr="00F15230">
        <w:t>n</w:t>
      </w:r>
      <w:r w:rsidR="009C2D6E" w:rsidRPr="00F15230">
        <w:noBreakHyphen/>
      </w:r>
      <w:r w:rsidRPr="00F15230">
        <w:t xml:space="preserve">State sector disability which recognises that the availability of </w:t>
      </w:r>
      <w:r w:rsidR="00C22AA1" w:rsidRPr="00F15230">
        <w:t>State</w:t>
      </w:r>
      <w:r w:rsidR="00C22AA1" w:rsidRPr="00F15230">
        <w:noBreakHyphen/>
        <w:t xml:space="preserve">like services </w:t>
      </w:r>
      <w:r w:rsidR="00501222" w:rsidRPr="00F15230">
        <w:t>from</w:t>
      </w:r>
      <w:r w:rsidR="00C22AA1" w:rsidRPr="00F15230">
        <w:t xml:space="preserve"> </w:t>
      </w:r>
      <w:r w:rsidRPr="00F15230">
        <w:t xml:space="preserve">non-State health </w:t>
      </w:r>
      <w:r w:rsidR="00C22AA1" w:rsidRPr="00F15230">
        <w:t>providers</w:t>
      </w:r>
      <w:r w:rsidR="003521C6">
        <w:rPr>
          <w:rStyle w:val="FootnoteReference"/>
        </w:rPr>
        <w:footnoteReference w:id="3"/>
      </w:r>
      <w:r w:rsidR="007048B1">
        <w:t xml:space="preserve"> </w:t>
      </w:r>
      <w:r w:rsidRPr="00F15230">
        <w:t>in each State</w:t>
      </w:r>
      <w:r w:rsidR="00501222" w:rsidRPr="00F15230">
        <w:t xml:space="preserve"> </w:t>
      </w:r>
      <w:r w:rsidR="00421445" w:rsidRPr="00F15230">
        <w:t>influence</w:t>
      </w:r>
      <w:r w:rsidR="00C22AA1" w:rsidRPr="00F15230">
        <w:t>s</w:t>
      </w:r>
      <w:r w:rsidRPr="00F15230">
        <w:t xml:space="preserve"> the level of State spendin</w:t>
      </w:r>
      <w:r w:rsidR="00BD749F" w:rsidRPr="00F15230">
        <w:t>g.</w:t>
      </w:r>
      <w:r w:rsidR="007F686A" w:rsidRPr="00F15230">
        <w:t xml:space="preserve"> The proportion of State </w:t>
      </w:r>
      <w:r w:rsidR="00501222" w:rsidRPr="00F15230">
        <w:t xml:space="preserve">spending </w:t>
      </w:r>
      <w:r w:rsidR="000F5712">
        <w:t xml:space="preserve">which the Commission considers is </w:t>
      </w:r>
      <w:r w:rsidR="007F686A" w:rsidRPr="00F15230">
        <w:t>affected by the availability of S</w:t>
      </w:r>
      <w:r w:rsidR="00850BE1" w:rsidRPr="00F15230">
        <w:t>tate-like services</w:t>
      </w:r>
      <w:r w:rsidR="007F686A" w:rsidRPr="00F15230">
        <w:t xml:space="preserve"> is shown in </w:t>
      </w:r>
      <w:r w:rsidR="007F686A" w:rsidRPr="00F15230">
        <w:fldChar w:fldCharType="begin"/>
      </w:r>
      <w:r w:rsidR="007F686A" w:rsidRPr="00F15230">
        <w:instrText xml:space="preserve"> REF _Ref505688161 \h </w:instrText>
      </w:r>
      <w:r w:rsidR="00F15230">
        <w:instrText xml:space="preserve"> \* MERGEFORMAT </w:instrText>
      </w:r>
      <w:r w:rsidR="007F686A" w:rsidRPr="00F15230">
        <w:fldChar w:fldCharType="separate"/>
      </w:r>
      <w:r w:rsidR="005A6E12" w:rsidRPr="00F15230">
        <w:t xml:space="preserve">Table </w:t>
      </w:r>
      <w:r w:rsidR="005A6E12">
        <w:t>3</w:t>
      </w:r>
      <w:r w:rsidR="007F686A" w:rsidRPr="00F15230">
        <w:fldChar w:fldCharType="end"/>
      </w:r>
      <w:r w:rsidR="007F686A" w:rsidRPr="00F15230">
        <w:t>.</w:t>
      </w:r>
    </w:p>
    <w:p w14:paraId="6854DE02" w14:textId="77777777" w:rsidR="003E3C67" w:rsidRPr="00F15230" w:rsidRDefault="003E3C67" w:rsidP="003E3C67">
      <w:pPr>
        <w:pStyle w:val="CGCBulletlist"/>
        <w:numPr>
          <w:ilvl w:val="0"/>
          <w:numId w:val="1"/>
        </w:numPr>
        <w:tabs>
          <w:tab w:val="clear" w:pos="927"/>
        </w:tabs>
        <w:ind w:left="1134" w:hanging="567"/>
      </w:pPr>
      <w:r w:rsidRPr="00F15230">
        <w:t>A wage costs disability which recognises that State costs are affected by differences in wage costs between States.</w:t>
      </w:r>
      <w:r w:rsidR="00F802F2" w:rsidRPr="00F15230">
        <w:rPr>
          <w:rStyle w:val="FootnoteReference"/>
        </w:rPr>
        <w:footnoteReference w:id="4"/>
      </w:r>
    </w:p>
    <w:p w14:paraId="1AD5F016" w14:textId="55E8B2F1" w:rsidR="00820785" w:rsidRPr="00F15230" w:rsidRDefault="00820785" w:rsidP="00820785">
      <w:pPr>
        <w:pStyle w:val="CGCTableHeading"/>
      </w:pPr>
      <w:bookmarkStart w:id="50" w:name="_Ref493768594"/>
      <w:r w:rsidRPr="00F15230">
        <w:t xml:space="preserve">Table </w:t>
      </w:r>
      <w:r w:rsidR="00CD3D12">
        <w:fldChar w:fldCharType="begin"/>
      </w:r>
      <w:r w:rsidR="00CD3D12">
        <w:instrText xml:space="preserve"> SEQ Table \* ARABIC </w:instrText>
      </w:r>
      <w:r w:rsidR="00CD3D12">
        <w:fldChar w:fldCharType="separate"/>
      </w:r>
      <w:r w:rsidR="005A6E12">
        <w:rPr>
          <w:noProof/>
        </w:rPr>
        <w:t>2</w:t>
      </w:r>
      <w:r w:rsidR="00CD3D12">
        <w:rPr>
          <w:noProof/>
        </w:rPr>
        <w:fldChar w:fldCharType="end"/>
      </w:r>
      <w:bookmarkEnd w:id="50"/>
      <w:r w:rsidRPr="00F15230">
        <w:tab/>
        <w:t>Socio-demographic breakdown for the health assessments, 2015 Review</w:t>
      </w:r>
    </w:p>
    <w:tbl>
      <w:tblPr>
        <w:tblW w:w="8940" w:type="dxa"/>
        <w:tblInd w:w="93" w:type="dxa"/>
        <w:tblLook w:val="04A0" w:firstRow="1" w:lastRow="0" w:firstColumn="1" w:lastColumn="0" w:noHBand="0" w:noVBand="1"/>
      </w:tblPr>
      <w:tblGrid>
        <w:gridCol w:w="2320"/>
        <w:gridCol w:w="2360"/>
        <w:gridCol w:w="2840"/>
        <w:gridCol w:w="1420"/>
      </w:tblGrid>
      <w:tr w:rsidR="00820785" w:rsidRPr="00F15230" w14:paraId="206AB4E6" w14:textId="77777777" w:rsidTr="00820785">
        <w:trPr>
          <w:trHeight w:val="375"/>
        </w:trPr>
        <w:tc>
          <w:tcPr>
            <w:tcW w:w="2320" w:type="dxa"/>
            <w:tcBorders>
              <w:top w:val="single" w:sz="4" w:space="0" w:color="auto"/>
              <w:left w:val="nil"/>
              <w:bottom w:val="single" w:sz="4" w:space="0" w:color="auto"/>
              <w:right w:val="nil"/>
            </w:tcBorders>
            <w:shd w:val="clear" w:color="auto" w:fill="auto"/>
            <w:noWrap/>
            <w:vAlign w:val="center"/>
            <w:hideMark/>
          </w:tcPr>
          <w:p w14:paraId="1C682B0D" w14:textId="77777777" w:rsidR="00820785" w:rsidRPr="00F15230" w:rsidRDefault="00820785" w:rsidP="00820785">
            <w:pPr>
              <w:keepNext/>
              <w:tabs>
                <w:tab w:val="clear" w:pos="567"/>
              </w:tabs>
              <w:spacing w:after="0" w:line="240" w:lineRule="auto"/>
              <w:rPr>
                <w:rFonts w:ascii="Calibri" w:eastAsia="Times New Roman" w:hAnsi="Calibri" w:cs="Times New Roman"/>
                <w:sz w:val="20"/>
                <w:szCs w:val="20"/>
                <w:lang w:eastAsia="en-AU"/>
              </w:rPr>
            </w:pPr>
            <w:bookmarkStart w:id="51" w:name="RANGE!A4:D9"/>
            <w:r w:rsidRPr="00F15230">
              <w:rPr>
                <w:rFonts w:ascii="Calibri" w:eastAsia="Times New Roman" w:hAnsi="Calibri" w:cs="Times New Roman"/>
                <w:sz w:val="20"/>
                <w:szCs w:val="20"/>
                <w:lang w:eastAsia="en-AU"/>
              </w:rPr>
              <w:t>Indigenous status</w:t>
            </w:r>
            <w:bookmarkEnd w:id="51"/>
          </w:p>
        </w:tc>
        <w:tc>
          <w:tcPr>
            <w:tcW w:w="2360" w:type="dxa"/>
            <w:tcBorders>
              <w:top w:val="single" w:sz="4" w:space="0" w:color="auto"/>
              <w:left w:val="nil"/>
              <w:bottom w:val="single" w:sz="4" w:space="0" w:color="auto"/>
              <w:right w:val="nil"/>
            </w:tcBorders>
            <w:shd w:val="clear" w:color="auto" w:fill="auto"/>
            <w:noWrap/>
            <w:vAlign w:val="center"/>
            <w:hideMark/>
          </w:tcPr>
          <w:p w14:paraId="634847E5"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IRSEO/NISEIFA</w:t>
            </w:r>
          </w:p>
        </w:tc>
        <w:tc>
          <w:tcPr>
            <w:tcW w:w="2840" w:type="dxa"/>
            <w:tcBorders>
              <w:top w:val="single" w:sz="4" w:space="0" w:color="auto"/>
              <w:left w:val="nil"/>
              <w:bottom w:val="single" w:sz="4" w:space="0" w:color="auto"/>
              <w:right w:val="nil"/>
            </w:tcBorders>
            <w:shd w:val="clear" w:color="auto" w:fill="auto"/>
            <w:noWrap/>
            <w:vAlign w:val="center"/>
            <w:hideMark/>
          </w:tcPr>
          <w:p w14:paraId="66FB028B"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Remoteness</w:t>
            </w:r>
          </w:p>
        </w:tc>
        <w:tc>
          <w:tcPr>
            <w:tcW w:w="1420" w:type="dxa"/>
            <w:tcBorders>
              <w:top w:val="single" w:sz="4" w:space="0" w:color="auto"/>
              <w:left w:val="nil"/>
              <w:bottom w:val="single" w:sz="4" w:space="0" w:color="auto"/>
              <w:right w:val="nil"/>
            </w:tcBorders>
            <w:shd w:val="clear" w:color="auto" w:fill="auto"/>
            <w:noWrap/>
            <w:vAlign w:val="center"/>
            <w:hideMark/>
          </w:tcPr>
          <w:p w14:paraId="469D6CFB"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Age</w:t>
            </w:r>
          </w:p>
        </w:tc>
      </w:tr>
      <w:tr w:rsidR="00820785" w:rsidRPr="00F15230" w14:paraId="01ACA239" w14:textId="77777777" w:rsidTr="00820785">
        <w:trPr>
          <w:trHeight w:val="315"/>
        </w:trPr>
        <w:tc>
          <w:tcPr>
            <w:tcW w:w="2320" w:type="dxa"/>
            <w:tcBorders>
              <w:top w:val="nil"/>
              <w:left w:val="nil"/>
              <w:bottom w:val="nil"/>
              <w:right w:val="nil"/>
            </w:tcBorders>
            <w:shd w:val="clear" w:color="auto" w:fill="auto"/>
            <w:noWrap/>
            <w:vAlign w:val="center"/>
            <w:hideMark/>
          </w:tcPr>
          <w:p w14:paraId="38AA9B9F" w14:textId="77777777" w:rsidR="00820785" w:rsidRPr="00F15230" w:rsidRDefault="00820785" w:rsidP="00820785">
            <w:pPr>
              <w:keepNext/>
              <w:tabs>
                <w:tab w:val="clear" w:pos="567"/>
              </w:tabs>
              <w:spacing w:after="0" w:line="240" w:lineRule="auto"/>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Indigenous</w:t>
            </w:r>
          </w:p>
        </w:tc>
        <w:tc>
          <w:tcPr>
            <w:tcW w:w="2360" w:type="dxa"/>
            <w:tcBorders>
              <w:top w:val="nil"/>
              <w:left w:val="nil"/>
              <w:bottom w:val="nil"/>
              <w:right w:val="nil"/>
            </w:tcBorders>
            <w:shd w:val="clear" w:color="auto" w:fill="auto"/>
            <w:noWrap/>
            <w:vAlign w:val="center"/>
            <w:hideMark/>
          </w:tcPr>
          <w:p w14:paraId="0420E1DB"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Bottom quintile</w:t>
            </w:r>
          </w:p>
        </w:tc>
        <w:tc>
          <w:tcPr>
            <w:tcW w:w="2840" w:type="dxa"/>
            <w:tcBorders>
              <w:top w:val="nil"/>
              <w:left w:val="nil"/>
              <w:bottom w:val="nil"/>
              <w:right w:val="nil"/>
            </w:tcBorders>
            <w:shd w:val="clear" w:color="auto" w:fill="auto"/>
            <w:noWrap/>
            <w:vAlign w:val="center"/>
            <w:hideMark/>
          </w:tcPr>
          <w:p w14:paraId="7C853FC8" w14:textId="77777777" w:rsidR="00820785" w:rsidRPr="00F15230" w:rsidRDefault="00820785" w:rsidP="00820785">
            <w:pPr>
              <w:keepNext/>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Major cities</w:t>
            </w:r>
          </w:p>
        </w:tc>
        <w:tc>
          <w:tcPr>
            <w:tcW w:w="1420" w:type="dxa"/>
            <w:tcBorders>
              <w:top w:val="nil"/>
              <w:left w:val="nil"/>
              <w:bottom w:val="nil"/>
              <w:right w:val="nil"/>
            </w:tcBorders>
            <w:shd w:val="clear" w:color="auto" w:fill="auto"/>
            <w:noWrap/>
            <w:vAlign w:val="center"/>
            <w:hideMark/>
          </w:tcPr>
          <w:p w14:paraId="1EECE8D3"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0 to 14</w:t>
            </w:r>
          </w:p>
        </w:tc>
      </w:tr>
      <w:tr w:rsidR="00820785" w:rsidRPr="00F15230" w14:paraId="185A17E3" w14:textId="77777777" w:rsidTr="00820785">
        <w:trPr>
          <w:trHeight w:val="315"/>
        </w:trPr>
        <w:tc>
          <w:tcPr>
            <w:tcW w:w="2320" w:type="dxa"/>
            <w:tcBorders>
              <w:top w:val="nil"/>
              <w:left w:val="nil"/>
              <w:bottom w:val="nil"/>
              <w:right w:val="nil"/>
            </w:tcBorders>
            <w:shd w:val="clear" w:color="auto" w:fill="auto"/>
            <w:noWrap/>
            <w:vAlign w:val="center"/>
            <w:hideMark/>
          </w:tcPr>
          <w:p w14:paraId="56D827B1" w14:textId="77777777" w:rsidR="00820785" w:rsidRPr="00F15230" w:rsidRDefault="00820785" w:rsidP="00820785">
            <w:pPr>
              <w:keepNext/>
              <w:tabs>
                <w:tab w:val="clear" w:pos="567"/>
              </w:tabs>
              <w:spacing w:after="0" w:line="240" w:lineRule="auto"/>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Non-Indigenous</w:t>
            </w:r>
          </w:p>
        </w:tc>
        <w:tc>
          <w:tcPr>
            <w:tcW w:w="2360" w:type="dxa"/>
            <w:tcBorders>
              <w:top w:val="nil"/>
              <w:left w:val="nil"/>
              <w:bottom w:val="nil"/>
              <w:right w:val="nil"/>
            </w:tcBorders>
            <w:shd w:val="clear" w:color="auto" w:fill="auto"/>
            <w:noWrap/>
            <w:vAlign w:val="center"/>
            <w:hideMark/>
          </w:tcPr>
          <w:p w14:paraId="3D7799FA"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Middle 3 quintiles</w:t>
            </w:r>
          </w:p>
        </w:tc>
        <w:tc>
          <w:tcPr>
            <w:tcW w:w="2840" w:type="dxa"/>
            <w:tcBorders>
              <w:top w:val="nil"/>
              <w:left w:val="nil"/>
              <w:bottom w:val="nil"/>
              <w:right w:val="nil"/>
            </w:tcBorders>
            <w:shd w:val="clear" w:color="auto" w:fill="auto"/>
            <w:noWrap/>
            <w:vAlign w:val="center"/>
            <w:hideMark/>
          </w:tcPr>
          <w:p w14:paraId="305AF326" w14:textId="77777777" w:rsidR="00820785" w:rsidRPr="00F15230" w:rsidRDefault="00820785" w:rsidP="00820785">
            <w:pPr>
              <w:keepNext/>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Inner regional</w:t>
            </w:r>
          </w:p>
        </w:tc>
        <w:tc>
          <w:tcPr>
            <w:tcW w:w="1420" w:type="dxa"/>
            <w:tcBorders>
              <w:top w:val="nil"/>
              <w:left w:val="nil"/>
              <w:bottom w:val="nil"/>
              <w:right w:val="nil"/>
            </w:tcBorders>
            <w:shd w:val="clear" w:color="auto" w:fill="auto"/>
            <w:noWrap/>
            <w:vAlign w:val="center"/>
            <w:hideMark/>
          </w:tcPr>
          <w:p w14:paraId="2C2EBECA"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15 to 44</w:t>
            </w:r>
          </w:p>
        </w:tc>
      </w:tr>
      <w:tr w:rsidR="00820785" w:rsidRPr="00F15230" w14:paraId="0AC9C16E" w14:textId="77777777" w:rsidTr="00820785">
        <w:trPr>
          <w:trHeight w:val="315"/>
        </w:trPr>
        <w:tc>
          <w:tcPr>
            <w:tcW w:w="2320" w:type="dxa"/>
            <w:tcBorders>
              <w:top w:val="nil"/>
              <w:left w:val="nil"/>
              <w:bottom w:val="nil"/>
              <w:right w:val="nil"/>
            </w:tcBorders>
            <w:shd w:val="clear" w:color="auto" w:fill="auto"/>
            <w:noWrap/>
            <w:vAlign w:val="center"/>
            <w:hideMark/>
          </w:tcPr>
          <w:p w14:paraId="53532466" w14:textId="77777777" w:rsidR="00820785" w:rsidRPr="00F15230" w:rsidRDefault="00820785" w:rsidP="00820785">
            <w:pPr>
              <w:keepNext/>
              <w:tabs>
                <w:tab w:val="clear" w:pos="567"/>
              </w:tabs>
              <w:spacing w:after="0" w:line="240" w:lineRule="auto"/>
              <w:rPr>
                <w:rFonts w:ascii="Calibri" w:eastAsia="Times New Roman" w:hAnsi="Calibri" w:cs="Times New Roman"/>
                <w:sz w:val="20"/>
                <w:szCs w:val="20"/>
                <w:lang w:eastAsia="en-AU"/>
              </w:rPr>
            </w:pPr>
          </w:p>
        </w:tc>
        <w:tc>
          <w:tcPr>
            <w:tcW w:w="2360" w:type="dxa"/>
            <w:tcBorders>
              <w:top w:val="nil"/>
              <w:left w:val="nil"/>
              <w:bottom w:val="nil"/>
              <w:right w:val="nil"/>
            </w:tcBorders>
            <w:shd w:val="clear" w:color="auto" w:fill="auto"/>
            <w:noWrap/>
            <w:vAlign w:val="center"/>
            <w:hideMark/>
          </w:tcPr>
          <w:p w14:paraId="37A83B17"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Top quintile</w:t>
            </w:r>
          </w:p>
        </w:tc>
        <w:tc>
          <w:tcPr>
            <w:tcW w:w="2840" w:type="dxa"/>
            <w:tcBorders>
              <w:top w:val="nil"/>
              <w:left w:val="nil"/>
              <w:bottom w:val="nil"/>
              <w:right w:val="nil"/>
            </w:tcBorders>
            <w:shd w:val="clear" w:color="auto" w:fill="auto"/>
            <w:noWrap/>
            <w:vAlign w:val="center"/>
            <w:hideMark/>
          </w:tcPr>
          <w:p w14:paraId="4BEFB99F" w14:textId="77777777" w:rsidR="00820785" w:rsidRPr="00F15230" w:rsidRDefault="00820785" w:rsidP="00820785">
            <w:pPr>
              <w:keepNext/>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Outer regional</w:t>
            </w:r>
          </w:p>
        </w:tc>
        <w:tc>
          <w:tcPr>
            <w:tcW w:w="1420" w:type="dxa"/>
            <w:tcBorders>
              <w:top w:val="nil"/>
              <w:left w:val="nil"/>
              <w:bottom w:val="nil"/>
              <w:right w:val="nil"/>
            </w:tcBorders>
            <w:shd w:val="clear" w:color="auto" w:fill="auto"/>
            <w:noWrap/>
            <w:vAlign w:val="center"/>
            <w:hideMark/>
          </w:tcPr>
          <w:p w14:paraId="46B0E18D"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45 to 64</w:t>
            </w:r>
          </w:p>
        </w:tc>
      </w:tr>
      <w:tr w:rsidR="00820785" w:rsidRPr="00F15230" w14:paraId="5EA29AE7" w14:textId="77777777" w:rsidTr="00820785">
        <w:trPr>
          <w:trHeight w:val="315"/>
        </w:trPr>
        <w:tc>
          <w:tcPr>
            <w:tcW w:w="2320" w:type="dxa"/>
            <w:tcBorders>
              <w:top w:val="nil"/>
              <w:left w:val="nil"/>
              <w:bottom w:val="nil"/>
              <w:right w:val="nil"/>
            </w:tcBorders>
            <w:shd w:val="clear" w:color="auto" w:fill="auto"/>
            <w:noWrap/>
            <w:vAlign w:val="center"/>
            <w:hideMark/>
          </w:tcPr>
          <w:p w14:paraId="790E5F51" w14:textId="77777777" w:rsidR="00820785" w:rsidRPr="00F15230" w:rsidRDefault="00820785" w:rsidP="00820785">
            <w:pPr>
              <w:keepNext/>
              <w:tabs>
                <w:tab w:val="clear" w:pos="567"/>
              </w:tabs>
              <w:spacing w:after="0" w:line="240" w:lineRule="auto"/>
              <w:rPr>
                <w:rFonts w:ascii="Calibri" w:eastAsia="Times New Roman" w:hAnsi="Calibri" w:cs="Times New Roman"/>
                <w:sz w:val="20"/>
                <w:szCs w:val="20"/>
                <w:lang w:eastAsia="en-AU"/>
              </w:rPr>
            </w:pPr>
          </w:p>
        </w:tc>
        <w:tc>
          <w:tcPr>
            <w:tcW w:w="2360" w:type="dxa"/>
            <w:tcBorders>
              <w:top w:val="nil"/>
              <w:left w:val="nil"/>
              <w:bottom w:val="nil"/>
              <w:right w:val="nil"/>
            </w:tcBorders>
            <w:shd w:val="clear" w:color="auto" w:fill="auto"/>
            <w:noWrap/>
            <w:vAlign w:val="center"/>
            <w:hideMark/>
          </w:tcPr>
          <w:p w14:paraId="376B95C5" w14:textId="77777777" w:rsidR="00820785" w:rsidRPr="00F15230" w:rsidRDefault="00820785" w:rsidP="00820785">
            <w:pPr>
              <w:keepNext/>
              <w:tabs>
                <w:tab w:val="clear" w:pos="567"/>
              </w:tabs>
              <w:spacing w:after="0" w:line="240" w:lineRule="auto"/>
              <w:jc w:val="right"/>
              <w:rPr>
                <w:rFonts w:ascii="Calibri" w:eastAsia="Times New Roman" w:hAnsi="Calibri" w:cs="Times New Roman"/>
                <w:sz w:val="20"/>
                <w:szCs w:val="20"/>
                <w:lang w:eastAsia="en-AU"/>
              </w:rPr>
            </w:pPr>
          </w:p>
        </w:tc>
        <w:tc>
          <w:tcPr>
            <w:tcW w:w="2840" w:type="dxa"/>
            <w:tcBorders>
              <w:top w:val="nil"/>
              <w:left w:val="nil"/>
              <w:bottom w:val="nil"/>
              <w:right w:val="nil"/>
            </w:tcBorders>
            <w:shd w:val="clear" w:color="auto" w:fill="auto"/>
            <w:noWrap/>
            <w:vAlign w:val="center"/>
            <w:hideMark/>
          </w:tcPr>
          <w:p w14:paraId="355D7D69" w14:textId="77777777" w:rsidR="00820785" w:rsidRPr="00F15230" w:rsidRDefault="00820785" w:rsidP="00820785">
            <w:pPr>
              <w:keepNext/>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Remote and very remote</w:t>
            </w:r>
          </w:p>
        </w:tc>
        <w:tc>
          <w:tcPr>
            <w:tcW w:w="1420" w:type="dxa"/>
            <w:tcBorders>
              <w:top w:val="nil"/>
              <w:left w:val="nil"/>
              <w:bottom w:val="nil"/>
              <w:right w:val="nil"/>
            </w:tcBorders>
            <w:shd w:val="clear" w:color="auto" w:fill="auto"/>
            <w:noWrap/>
            <w:vAlign w:val="center"/>
            <w:hideMark/>
          </w:tcPr>
          <w:p w14:paraId="5EA0ECA0"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65 to 74</w:t>
            </w:r>
          </w:p>
        </w:tc>
      </w:tr>
      <w:tr w:rsidR="00820785" w:rsidRPr="00F15230" w14:paraId="36C8C904" w14:textId="77777777" w:rsidTr="00820785">
        <w:trPr>
          <w:trHeight w:val="315"/>
        </w:trPr>
        <w:tc>
          <w:tcPr>
            <w:tcW w:w="2320" w:type="dxa"/>
            <w:tcBorders>
              <w:top w:val="nil"/>
              <w:left w:val="nil"/>
              <w:bottom w:val="single" w:sz="4" w:space="0" w:color="auto"/>
              <w:right w:val="nil"/>
            </w:tcBorders>
            <w:shd w:val="clear" w:color="auto" w:fill="auto"/>
            <w:noWrap/>
            <w:vAlign w:val="center"/>
            <w:hideMark/>
          </w:tcPr>
          <w:p w14:paraId="1F1D7586" w14:textId="77777777" w:rsidR="00820785" w:rsidRPr="00F15230" w:rsidRDefault="00820785" w:rsidP="00820785">
            <w:pPr>
              <w:keepNext/>
              <w:tabs>
                <w:tab w:val="clear" w:pos="567"/>
              </w:tabs>
              <w:spacing w:after="0" w:line="240" w:lineRule="auto"/>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 </w:t>
            </w:r>
          </w:p>
        </w:tc>
        <w:tc>
          <w:tcPr>
            <w:tcW w:w="2360" w:type="dxa"/>
            <w:tcBorders>
              <w:top w:val="nil"/>
              <w:left w:val="nil"/>
              <w:bottom w:val="single" w:sz="4" w:space="0" w:color="auto"/>
              <w:right w:val="nil"/>
            </w:tcBorders>
            <w:shd w:val="clear" w:color="auto" w:fill="auto"/>
            <w:noWrap/>
            <w:vAlign w:val="center"/>
            <w:hideMark/>
          </w:tcPr>
          <w:p w14:paraId="483254D8" w14:textId="77777777" w:rsidR="00820785" w:rsidRPr="00F15230" w:rsidRDefault="00820785" w:rsidP="00820785">
            <w:pPr>
              <w:keepNext/>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 </w:t>
            </w:r>
          </w:p>
        </w:tc>
        <w:tc>
          <w:tcPr>
            <w:tcW w:w="2840" w:type="dxa"/>
            <w:tcBorders>
              <w:top w:val="nil"/>
              <w:left w:val="nil"/>
              <w:bottom w:val="single" w:sz="4" w:space="0" w:color="auto"/>
              <w:right w:val="nil"/>
            </w:tcBorders>
            <w:shd w:val="clear" w:color="auto" w:fill="auto"/>
            <w:noWrap/>
            <w:vAlign w:val="center"/>
            <w:hideMark/>
          </w:tcPr>
          <w:p w14:paraId="4DEDC107" w14:textId="77777777" w:rsidR="00820785" w:rsidRPr="00F15230" w:rsidRDefault="00820785" w:rsidP="00820785">
            <w:pPr>
              <w:keepNext/>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 </w:t>
            </w:r>
          </w:p>
        </w:tc>
        <w:tc>
          <w:tcPr>
            <w:tcW w:w="1420" w:type="dxa"/>
            <w:tcBorders>
              <w:top w:val="nil"/>
              <w:left w:val="nil"/>
              <w:bottom w:val="single" w:sz="4" w:space="0" w:color="auto"/>
              <w:right w:val="nil"/>
            </w:tcBorders>
            <w:shd w:val="clear" w:color="auto" w:fill="auto"/>
            <w:noWrap/>
            <w:vAlign w:val="center"/>
            <w:hideMark/>
          </w:tcPr>
          <w:p w14:paraId="35130C39" w14:textId="77777777" w:rsidR="00820785" w:rsidRPr="00F15230" w:rsidRDefault="00820785" w:rsidP="00820785">
            <w:pPr>
              <w:keepNext/>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75+</w:t>
            </w:r>
          </w:p>
        </w:tc>
      </w:tr>
    </w:tbl>
    <w:p w14:paraId="4FD45DEB" w14:textId="47D378FC" w:rsidR="00820785" w:rsidRPr="00F15230" w:rsidRDefault="00820785" w:rsidP="00820785">
      <w:pPr>
        <w:pStyle w:val="CGCTableFootnote"/>
      </w:pPr>
      <w:r w:rsidRPr="00F15230">
        <w:t xml:space="preserve">Note: </w:t>
      </w:r>
      <w:r w:rsidRPr="00F15230">
        <w:tab/>
        <w:t xml:space="preserve">There are 100 </w:t>
      </w:r>
      <w:r w:rsidR="00B7557E">
        <w:t xml:space="preserve">cross-classified </w:t>
      </w:r>
      <w:r w:rsidRPr="00F15230">
        <w:t>population groups. Due to data unreliability, remote areas are not disaggregated by IR</w:t>
      </w:r>
      <w:r w:rsidR="00B7557E">
        <w:t>S</w:t>
      </w:r>
      <w:r w:rsidRPr="00F15230">
        <w:t>EO/NISEIFA.</w:t>
      </w:r>
    </w:p>
    <w:p w14:paraId="2123D471" w14:textId="77777777" w:rsidR="00820785" w:rsidRPr="00F15230" w:rsidRDefault="00820785" w:rsidP="00820785">
      <w:pPr>
        <w:pStyle w:val="CGCTableFootnote"/>
      </w:pPr>
      <w:r w:rsidRPr="00F15230">
        <w:t>Source:</w:t>
      </w:r>
      <w:r w:rsidRPr="00F15230">
        <w:tab/>
      </w:r>
      <w:r w:rsidRPr="008E43ED">
        <w:rPr>
          <w:i/>
        </w:rPr>
        <w:t>Report on GST Revenue Sharing Relativities, 2015 Review</w:t>
      </w:r>
      <w:r w:rsidRPr="00F15230">
        <w:t>, Volume 2, page 183.</w:t>
      </w:r>
    </w:p>
    <w:p w14:paraId="327C8B92" w14:textId="49E7AD81" w:rsidR="00DD3F07" w:rsidRPr="00F15230" w:rsidRDefault="00DD3F07" w:rsidP="00DD3F07">
      <w:pPr>
        <w:pStyle w:val="CGCTableHeading"/>
      </w:pPr>
      <w:bookmarkStart w:id="52" w:name="_Ref505688161"/>
      <w:r w:rsidRPr="00F15230">
        <w:t xml:space="preserve">Table </w:t>
      </w:r>
      <w:r w:rsidR="00CD3D12">
        <w:fldChar w:fldCharType="begin"/>
      </w:r>
      <w:r w:rsidR="00CD3D12">
        <w:instrText xml:space="preserve"> SEQ Table \* ARABIC </w:instrText>
      </w:r>
      <w:r w:rsidR="00CD3D12">
        <w:fldChar w:fldCharType="separate"/>
      </w:r>
      <w:r w:rsidR="005A6E12">
        <w:rPr>
          <w:noProof/>
        </w:rPr>
        <w:t>3</w:t>
      </w:r>
      <w:r w:rsidR="00CD3D12">
        <w:rPr>
          <w:noProof/>
        </w:rPr>
        <w:fldChar w:fldCharType="end"/>
      </w:r>
      <w:bookmarkEnd w:id="52"/>
      <w:r w:rsidRPr="00F15230">
        <w:tab/>
        <w:t xml:space="preserve">Substitutable expense, </w:t>
      </w:r>
      <w:r w:rsidR="00DE1C7D">
        <w:t>2016</w:t>
      </w:r>
      <w:r w:rsidR="00DE1C7D">
        <w:noBreakHyphen/>
        <w:t>17</w:t>
      </w:r>
    </w:p>
    <w:tbl>
      <w:tblPr>
        <w:tblW w:w="8920" w:type="dxa"/>
        <w:tblInd w:w="93" w:type="dxa"/>
        <w:tblLook w:val="04A0" w:firstRow="1" w:lastRow="0" w:firstColumn="1" w:lastColumn="0" w:noHBand="0" w:noVBand="1"/>
      </w:tblPr>
      <w:tblGrid>
        <w:gridCol w:w="2680"/>
        <w:gridCol w:w="2080"/>
        <w:gridCol w:w="2080"/>
        <w:gridCol w:w="2080"/>
      </w:tblGrid>
      <w:tr w:rsidR="00DD3F07" w:rsidRPr="00F15230" w14:paraId="49BE6FA1" w14:textId="77777777" w:rsidTr="00850BE1">
        <w:trPr>
          <w:trHeight w:val="555"/>
        </w:trPr>
        <w:tc>
          <w:tcPr>
            <w:tcW w:w="2680" w:type="dxa"/>
            <w:tcBorders>
              <w:top w:val="single" w:sz="4" w:space="0" w:color="auto"/>
              <w:left w:val="nil"/>
              <w:bottom w:val="single" w:sz="4" w:space="0" w:color="auto"/>
              <w:right w:val="nil"/>
            </w:tcBorders>
            <w:shd w:val="clear" w:color="auto" w:fill="auto"/>
            <w:vAlign w:val="center"/>
            <w:hideMark/>
          </w:tcPr>
          <w:p w14:paraId="6F0336E1" w14:textId="77777777" w:rsidR="00DD3F07" w:rsidRPr="00F15230" w:rsidRDefault="00DD3F07" w:rsidP="00850BE1">
            <w:pPr>
              <w:keepNext/>
              <w:tabs>
                <w:tab w:val="clear" w:pos="567"/>
              </w:tabs>
              <w:spacing w:after="0" w:line="240" w:lineRule="auto"/>
              <w:rPr>
                <w:rFonts w:ascii="Calibri" w:eastAsia="Times New Roman" w:hAnsi="Calibri" w:cs="Times New Roman"/>
                <w:color w:val="000000"/>
                <w:sz w:val="20"/>
                <w:szCs w:val="20"/>
              </w:rPr>
            </w:pPr>
            <w:bookmarkStart w:id="53" w:name="RANGE!A3:D8"/>
            <w:r w:rsidRPr="00F15230">
              <w:rPr>
                <w:rFonts w:ascii="Calibri" w:eastAsia="Times New Roman" w:hAnsi="Calibri" w:cs="Times New Roman"/>
                <w:color w:val="000000"/>
                <w:sz w:val="20"/>
                <w:szCs w:val="20"/>
              </w:rPr>
              <w:t>Component</w:t>
            </w:r>
            <w:bookmarkEnd w:id="53"/>
          </w:p>
        </w:tc>
        <w:tc>
          <w:tcPr>
            <w:tcW w:w="2080" w:type="dxa"/>
            <w:tcBorders>
              <w:top w:val="single" w:sz="4" w:space="0" w:color="auto"/>
              <w:left w:val="nil"/>
              <w:bottom w:val="single" w:sz="4" w:space="0" w:color="auto"/>
              <w:right w:val="nil"/>
            </w:tcBorders>
            <w:shd w:val="clear" w:color="auto" w:fill="auto"/>
            <w:vAlign w:val="center"/>
            <w:hideMark/>
          </w:tcPr>
          <w:p w14:paraId="695D4395"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Component expense 2016-17</w:t>
            </w:r>
          </w:p>
        </w:tc>
        <w:tc>
          <w:tcPr>
            <w:tcW w:w="2080" w:type="dxa"/>
            <w:tcBorders>
              <w:top w:val="single" w:sz="4" w:space="0" w:color="auto"/>
              <w:left w:val="nil"/>
              <w:bottom w:val="single" w:sz="4" w:space="0" w:color="auto"/>
              <w:right w:val="nil"/>
            </w:tcBorders>
            <w:shd w:val="clear" w:color="auto" w:fill="auto"/>
            <w:vAlign w:val="center"/>
            <w:hideMark/>
          </w:tcPr>
          <w:p w14:paraId="39F68FE8"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Proportion of substitutable services</w:t>
            </w:r>
          </w:p>
        </w:tc>
        <w:tc>
          <w:tcPr>
            <w:tcW w:w="2080" w:type="dxa"/>
            <w:tcBorders>
              <w:top w:val="single" w:sz="4" w:space="0" w:color="auto"/>
              <w:left w:val="nil"/>
              <w:bottom w:val="single" w:sz="4" w:space="0" w:color="auto"/>
              <w:right w:val="nil"/>
            </w:tcBorders>
            <w:shd w:val="clear" w:color="auto" w:fill="auto"/>
            <w:vAlign w:val="center"/>
            <w:hideMark/>
          </w:tcPr>
          <w:p w14:paraId="42FB9CE2"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Substitutable expense 2016-17</w:t>
            </w:r>
          </w:p>
        </w:tc>
      </w:tr>
      <w:tr w:rsidR="00DD3F07" w:rsidRPr="00F15230" w14:paraId="31223C86" w14:textId="77777777" w:rsidTr="00850BE1">
        <w:trPr>
          <w:trHeight w:val="259"/>
        </w:trPr>
        <w:tc>
          <w:tcPr>
            <w:tcW w:w="2680" w:type="dxa"/>
            <w:tcBorders>
              <w:top w:val="nil"/>
              <w:left w:val="nil"/>
              <w:bottom w:val="nil"/>
              <w:right w:val="nil"/>
            </w:tcBorders>
            <w:shd w:val="clear" w:color="auto" w:fill="auto"/>
            <w:noWrap/>
            <w:vAlign w:val="bottom"/>
            <w:hideMark/>
          </w:tcPr>
          <w:p w14:paraId="29CD520D"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p>
        </w:tc>
        <w:tc>
          <w:tcPr>
            <w:tcW w:w="2080" w:type="dxa"/>
            <w:tcBorders>
              <w:top w:val="nil"/>
              <w:left w:val="nil"/>
              <w:bottom w:val="nil"/>
              <w:right w:val="nil"/>
            </w:tcBorders>
            <w:shd w:val="clear" w:color="auto" w:fill="auto"/>
            <w:noWrap/>
            <w:vAlign w:val="bottom"/>
            <w:hideMark/>
          </w:tcPr>
          <w:p w14:paraId="44D1790A"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$m</w:t>
            </w:r>
          </w:p>
        </w:tc>
        <w:tc>
          <w:tcPr>
            <w:tcW w:w="2080" w:type="dxa"/>
            <w:tcBorders>
              <w:top w:val="nil"/>
              <w:left w:val="nil"/>
              <w:bottom w:val="nil"/>
              <w:right w:val="nil"/>
            </w:tcBorders>
            <w:shd w:val="clear" w:color="auto" w:fill="auto"/>
            <w:noWrap/>
            <w:vAlign w:val="bottom"/>
            <w:hideMark/>
          </w:tcPr>
          <w:p w14:paraId="331D56F1"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w:t>
            </w:r>
          </w:p>
        </w:tc>
        <w:tc>
          <w:tcPr>
            <w:tcW w:w="2080" w:type="dxa"/>
            <w:tcBorders>
              <w:top w:val="nil"/>
              <w:left w:val="nil"/>
              <w:bottom w:val="nil"/>
              <w:right w:val="nil"/>
            </w:tcBorders>
            <w:shd w:val="clear" w:color="auto" w:fill="auto"/>
            <w:noWrap/>
            <w:vAlign w:val="bottom"/>
            <w:hideMark/>
          </w:tcPr>
          <w:p w14:paraId="079D1B05"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$m</w:t>
            </w:r>
          </w:p>
        </w:tc>
      </w:tr>
      <w:tr w:rsidR="00DD3F07" w:rsidRPr="00F15230" w14:paraId="55FD2883" w14:textId="77777777" w:rsidTr="00850BE1">
        <w:trPr>
          <w:trHeight w:val="315"/>
        </w:trPr>
        <w:tc>
          <w:tcPr>
            <w:tcW w:w="2680" w:type="dxa"/>
            <w:tcBorders>
              <w:top w:val="nil"/>
              <w:left w:val="nil"/>
              <w:bottom w:val="nil"/>
              <w:right w:val="nil"/>
            </w:tcBorders>
            <w:shd w:val="clear" w:color="auto" w:fill="auto"/>
            <w:vAlign w:val="bottom"/>
            <w:hideMark/>
          </w:tcPr>
          <w:p w14:paraId="0978B2E1" w14:textId="77777777" w:rsidR="00DD3F07" w:rsidRPr="00F15230" w:rsidRDefault="00DD3F07" w:rsidP="00850BE1">
            <w:pPr>
              <w:keepNext/>
              <w:tabs>
                <w:tab w:val="clear" w:pos="567"/>
              </w:tabs>
              <w:spacing w:after="0" w:line="240" w:lineRule="auto"/>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Admitted patients</w:t>
            </w:r>
          </w:p>
        </w:tc>
        <w:tc>
          <w:tcPr>
            <w:tcW w:w="2080" w:type="dxa"/>
            <w:tcBorders>
              <w:top w:val="nil"/>
              <w:left w:val="nil"/>
              <w:bottom w:val="nil"/>
              <w:right w:val="nil"/>
            </w:tcBorders>
            <w:shd w:val="clear" w:color="auto" w:fill="auto"/>
            <w:vAlign w:val="bottom"/>
            <w:hideMark/>
          </w:tcPr>
          <w:p w14:paraId="76731F2D"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38 163</w:t>
            </w:r>
          </w:p>
        </w:tc>
        <w:tc>
          <w:tcPr>
            <w:tcW w:w="2080" w:type="dxa"/>
            <w:tcBorders>
              <w:top w:val="nil"/>
              <w:left w:val="nil"/>
              <w:bottom w:val="nil"/>
              <w:right w:val="nil"/>
            </w:tcBorders>
            <w:shd w:val="clear" w:color="auto" w:fill="auto"/>
            <w:vAlign w:val="bottom"/>
            <w:hideMark/>
          </w:tcPr>
          <w:p w14:paraId="397FFF74"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15</w:t>
            </w:r>
          </w:p>
        </w:tc>
        <w:tc>
          <w:tcPr>
            <w:tcW w:w="2080" w:type="dxa"/>
            <w:tcBorders>
              <w:top w:val="nil"/>
              <w:left w:val="nil"/>
              <w:bottom w:val="nil"/>
              <w:right w:val="nil"/>
            </w:tcBorders>
            <w:shd w:val="clear" w:color="auto" w:fill="auto"/>
            <w:noWrap/>
            <w:vAlign w:val="bottom"/>
            <w:hideMark/>
          </w:tcPr>
          <w:p w14:paraId="7E77D396" w14:textId="77777777" w:rsidR="00DD3F07" w:rsidRPr="00F15230" w:rsidRDefault="00DD3F07" w:rsidP="00850BE1">
            <w:pPr>
              <w:keepNext/>
              <w:tabs>
                <w:tab w:val="clear" w:pos="567"/>
              </w:tabs>
              <w:spacing w:after="0" w:line="240" w:lineRule="auto"/>
              <w:jc w:val="right"/>
              <w:rPr>
                <w:rFonts w:ascii="Calibri" w:eastAsia="Times New Roman" w:hAnsi="Calibri" w:cs="Times New Roman"/>
                <w:sz w:val="20"/>
                <w:szCs w:val="20"/>
              </w:rPr>
            </w:pPr>
            <w:r w:rsidRPr="00F15230">
              <w:rPr>
                <w:rFonts w:ascii="Calibri" w:eastAsia="Times New Roman" w:hAnsi="Calibri" w:cs="Times New Roman"/>
                <w:sz w:val="20"/>
                <w:szCs w:val="20"/>
              </w:rPr>
              <w:t>5 724</w:t>
            </w:r>
          </w:p>
        </w:tc>
      </w:tr>
      <w:tr w:rsidR="00DD3F07" w:rsidRPr="00F15230" w14:paraId="32C8A748" w14:textId="77777777" w:rsidTr="00850BE1">
        <w:trPr>
          <w:trHeight w:val="315"/>
        </w:trPr>
        <w:tc>
          <w:tcPr>
            <w:tcW w:w="2680" w:type="dxa"/>
            <w:tcBorders>
              <w:top w:val="nil"/>
              <w:left w:val="nil"/>
              <w:bottom w:val="nil"/>
              <w:right w:val="nil"/>
            </w:tcBorders>
            <w:shd w:val="clear" w:color="auto" w:fill="auto"/>
            <w:vAlign w:val="bottom"/>
            <w:hideMark/>
          </w:tcPr>
          <w:p w14:paraId="6C080F91" w14:textId="77777777" w:rsidR="00DD3F07" w:rsidRPr="00F15230" w:rsidRDefault="00DD3F07" w:rsidP="00850BE1">
            <w:pPr>
              <w:keepNext/>
              <w:tabs>
                <w:tab w:val="clear" w:pos="567"/>
              </w:tabs>
              <w:spacing w:after="0" w:line="240" w:lineRule="auto"/>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Emergency departments</w:t>
            </w:r>
          </w:p>
        </w:tc>
        <w:tc>
          <w:tcPr>
            <w:tcW w:w="2080" w:type="dxa"/>
            <w:tcBorders>
              <w:top w:val="nil"/>
              <w:left w:val="nil"/>
              <w:bottom w:val="nil"/>
              <w:right w:val="nil"/>
            </w:tcBorders>
            <w:shd w:val="clear" w:color="auto" w:fill="auto"/>
            <w:vAlign w:val="bottom"/>
            <w:hideMark/>
          </w:tcPr>
          <w:p w14:paraId="0C4A0FAF"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4 931</w:t>
            </w:r>
          </w:p>
        </w:tc>
        <w:tc>
          <w:tcPr>
            <w:tcW w:w="2080" w:type="dxa"/>
            <w:tcBorders>
              <w:top w:val="nil"/>
              <w:left w:val="nil"/>
              <w:bottom w:val="nil"/>
              <w:right w:val="nil"/>
            </w:tcBorders>
            <w:shd w:val="clear" w:color="auto" w:fill="auto"/>
            <w:vAlign w:val="bottom"/>
            <w:hideMark/>
          </w:tcPr>
          <w:p w14:paraId="10487688"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15</w:t>
            </w:r>
          </w:p>
        </w:tc>
        <w:tc>
          <w:tcPr>
            <w:tcW w:w="2080" w:type="dxa"/>
            <w:tcBorders>
              <w:top w:val="nil"/>
              <w:left w:val="nil"/>
              <w:bottom w:val="nil"/>
              <w:right w:val="nil"/>
            </w:tcBorders>
            <w:shd w:val="clear" w:color="auto" w:fill="auto"/>
            <w:noWrap/>
            <w:vAlign w:val="bottom"/>
            <w:hideMark/>
          </w:tcPr>
          <w:p w14:paraId="46F7FD99" w14:textId="77777777" w:rsidR="00DD3F07" w:rsidRPr="00F15230" w:rsidRDefault="00DD3F07" w:rsidP="00850BE1">
            <w:pPr>
              <w:keepNext/>
              <w:tabs>
                <w:tab w:val="clear" w:pos="567"/>
              </w:tabs>
              <w:spacing w:after="0" w:line="240" w:lineRule="auto"/>
              <w:jc w:val="right"/>
              <w:rPr>
                <w:rFonts w:ascii="Calibri" w:eastAsia="Times New Roman" w:hAnsi="Calibri" w:cs="Times New Roman"/>
                <w:sz w:val="20"/>
                <w:szCs w:val="20"/>
              </w:rPr>
            </w:pPr>
            <w:r w:rsidRPr="00F15230">
              <w:rPr>
                <w:rFonts w:ascii="Calibri" w:eastAsia="Times New Roman" w:hAnsi="Calibri" w:cs="Times New Roman"/>
                <w:sz w:val="20"/>
                <w:szCs w:val="20"/>
              </w:rPr>
              <w:t>740</w:t>
            </w:r>
          </w:p>
        </w:tc>
      </w:tr>
      <w:tr w:rsidR="00DD3F07" w:rsidRPr="00F15230" w14:paraId="1762B668" w14:textId="77777777" w:rsidTr="00850BE1">
        <w:trPr>
          <w:trHeight w:val="315"/>
        </w:trPr>
        <w:tc>
          <w:tcPr>
            <w:tcW w:w="2680" w:type="dxa"/>
            <w:tcBorders>
              <w:top w:val="nil"/>
              <w:left w:val="nil"/>
              <w:bottom w:val="nil"/>
              <w:right w:val="nil"/>
            </w:tcBorders>
            <w:shd w:val="clear" w:color="auto" w:fill="auto"/>
            <w:vAlign w:val="bottom"/>
            <w:hideMark/>
          </w:tcPr>
          <w:p w14:paraId="56C640AF" w14:textId="77777777" w:rsidR="00DD3F07" w:rsidRPr="00F15230" w:rsidRDefault="00DD3F07" w:rsidP="00850BE1">
            <w:pPr>
              <w:keepNext/>
              <w:tabs>
                <w:tab w:val="clear" w:pos="567"/>
              </w:tabs>
              <w:spacing w:after="0" w:line="240" w:lineRule="auto"/>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Non-admitted patients</w:t>
            </w:r>
          </w:p>
        </w:tc>
        <w:tc>
          <w:tcPr>
            <w:tcW w:w="2080" w:type="dxa"/>
            <w:tcBorders>
              <w:top w:val="nil"/>
              <w:left w:val="nil"/>
              <w:bottom w:val="nil"/>
              <w:right w:val="nil"/>
            </w:tcBorders>
            <w:shd w:val="clear" w:color="auto" w:fill="auto"/>
            <w:vAlign w:val="bottom"/>
            <w:hideMark/>
          </w:tcPr>
          <w:p w14:paraId="0EAC5703"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4 931</w:t>
            </w:r>
          </w:p>
        </w:tc>
        <w:tc>
          <w:tcPr>
            <w:tcW w:w="2080" w:type="dxa"/>
            <w:tcBorders>
              <w:top w:val="nil"/>
              <w:left w:val="nil"/>
              <w:bottom w:val="nil"/>
              <w:right w:val="nil"/>
            </w:tcBorders>
            <w:shd w:val="clear" w:color="auto" w:fill="auto"/>
            <w:vAlign w:val="bottom"/>
            <w:hideMark/>
          </w:tcPr>
          <w:p w14:paraId="0492D4FA"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40</w:t>
            </w:r>
          </w:p>
        </w:tc>
        <w:tc>
          <w:tcPr>
            <w:tcW w:w="2080" w:type="dxa"/>
            <w:tcBorders>
              <w:top w:val="nil"/>
              <w:left w:val="nil"/>
              <w:bottom w:val="nil"/>
              <w:right w:val="nil"/>
            </w:tcBorders>
            <w:shd w:val="clear" w:color="auto" w:fill="auto"/>
            <w:noWrap/>
            <w:vAlign w:val="bottom"/>
            <w:hideMark/>
          </w:tcPr>
          <w:p w14:paraId="100127DB" w14:textId="77777777" w:rsidR="00DD3F07" w:rsidRPr="00F15230" w:rsidRDefault="00DD3F07" w:rsidP="00850BE1">
            <w:pPr>
              <w:keepNext/>
              <w:tabs>
                <w:tab w:val="clear" w:pos="567"/>
              </w:tabs>
              <w:spacing w:after="0" w:line="240" w:lineRule="auto"/>
              <w:jc w:val="right"/>
              <w:rPr>
                <w:rFonts w:ascii="Calibri" w:eastAsia="Times New Roman" w:hAnsi="Calibri" w:cs="Times New Roman"/>
                <w:sz w:val="20"/>
                <w:szCs w:val="20"/>
              </w:rPr>
            </w:pPr>
            <w:r w:rsidRPr="00F15230">
              <w:rPr>
                <w:rFonts w:ascii="Calibri" w:eastAsia="Times New Roman" w:hAnsi="Calibri" w:cs="Times New Roman"/>
                <w:sz w:val="20"/>
                <w:szCs w:val="20"/>
              </w:rPr>
              <w:t>1 972</w:t>
            </w:r>
          </w:p>
        </w:tc>
      </w:tr>
      <w:tr w:rsidR="00DD3F07" w:rsidRPr="00F15230" w14:paraId="7611C062" w14:textId="77777777" w:rsidTr="00850BE1">
        <w:trPr>
          <w:trHeight w:val="315"/>
        </w:trPr>
        <w:tc>
          <w:tcPr>
            <w:tcW w:w="2680" w:type="dxa"/>
            <w:tcBorders>
              <w:top w:val="nil"/>
              <w:left w:val="nil"/>
              <w:bottom w:val="single" w:sz="4" w:space="0" w:color="auto"/>
              <w:right w:val="nil"/>
            </w:tcBorders>
            <w:shd w:val="clear" w:color="auto" w:fill="auto"/>
            <w:vAlign w:val="bottom"/>
            <w:hideMark/>
          </w:tcPr>
          <w:p w14:paraId="40FC6FF3" w14:textId="77777777" w:rsidR="00DD3F07" w:rsidRPr="00F15230" w:rsidRDefault="00DD3F07" w:rsidP="00850BE1">
            <w:pPr>
              <w:keepNext/>
              <w:tabs>
                <w:tab w:val="clear" w:pos="567"/>
              </w:tabs>
              <w:spacing w:after="0" w:line="240" w:lineRule="auto"/>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Community and other health</w:t>
            </w:r>
          </w:p>
        </w:tc>
        <w:tc>
          <w:tcPr>
            <w:tcW w:w="2080" w:type="dxa"/>
            <w:tcBorders>
              <w:top w:val="nil"/>
              <w:left w:val="nil"/>
              <w:bottom w:val="single" w:sz="4" w:space="0" w:color="auto"/>
              <w:right w:val="nil"/>
            </w:tcBorders>
            <w:shd w:val="clear" w:color="auto" w:fill="auto"/>
            <w:vAlign w:val="bottom"/>
            <w:hideMark/>
          </w:tcPr>
          <w:p w14:paraId="2F5F91A6"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12 416</w:t>
            </w:r>
          </w:p>
        </w:tc>
        <w:tc>
          <w:tcPr>
            <w:tcW w:w="2080" w:type="dxa"/>
            <w:tcBorders>
              <w:top w:val="nil"/>
              <w:left w:val="nil"/>
              <w:bottom w:val="single" w:sz="4" w:space="0" w:color="auto"/>
              <w:right w:val="nil"/>
            </w:tcBorders>
            <w:shd w:val="clear" w:color="auto" w:fill="auto"/>
            <w:vAlign w:val="bottom"/>
            <w:hideMark/>
          </w:tcPr>
          <w:p w14:paraId="00635504" w14:textId="77777777" w:rsidR="00DD3F07" w:rsidRPr="00F15230" w:rsidRDefault="00DD3F07" w:rsidP="00850BE1">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70</w:t>
            </w:r>
          </w:p>
        </w:tc>
        <w:tc>
          <w:tcPr>
            <w:tcW w:w="2080" w:type="dxa"/>
            <w:tcBorders>
              <w:top w:val="nil"/>
              <w:left w:val="nil"/>
              <w:bottom w:val="single" w:sz="4" w:space="0" w:color="auto"/>
              <w:right w:val="nil"/>
            </w:tcBorders>
            <w:shd w:val="clear" w:color="auto" w:fill="auto"/>
            <w:noWrap/>
            <w:vAlign w:val="bottom"/>
            <w:hideMark/>
          </w:tcPr>
          <w:p w14:paraId="7DC12768" w14:textId="77777777" w:rsidR="00DD3F07" w:rsidRPr="00F15230" w:rsidRDefault="00DD3F07" w:rsidP="00850BE1">
            <w:pPr>
              <w:keepNext/>
              <w:tabs>
                <w:tab w:val="clear" w:pos="567"/>
              </w:tabs>
              <w:spacing w:after="0" w:line="240" w:lineRule="auto"/>
              <w:jc w:val="right"/>
              <w:rPr>
                <w:rFonts w:ascii="Calibri" w:eastAsia="Times New Roman" w:hAnsi="Calibri" w:cs="Times New Roman"/>
                <w:sz w:val="20"/>
                <w:szCs w:val="20"/>
              </w:rPr>
            </w:pPr>
            <w:r w:rsidRPr="00F15230">
              <w:rPr>
                <w:rFonts w:ascii="Calibri" w:eastAsia="Times New Roman" w:hAnsi="Calibri" w:cs="Times New Roman"/>
                <w:sz w:val="20"/>
                <w:szCs w:val="20"/>
              </w:rPr>
              <w:t>8 691</w:t>
            </w:r>
          </w:p>
        </w:tc>
      </w:tr>
    </w:tbl>
    <w:p w14:paraId="220E6491" w14:textId="62494AAE" w:rsidR="00DD3F07" w:rsidRPr="00F15230" w:rsidRDefault="00DD3F07" w:rsidP="00DD3F07">
      <w:pPr>
        <w:pStyle w:val="CGCTableFootnote"/>
      </w:pPr>
      <w:r w:rsidRPr="00F15230">
        <w:t>Source:</w:t>
      </w:r>
      <w:r w:rsidRPr="00F15230">
        <w:tab/>
      </w:r>
      <w:r w:rsidR="00BD3128">
        <w:t xml:space="preserve">Based on </w:t>
      </w:r>
      <w:r w:rsidRPr="00F15230">
        <w:t xml:space="preserve">Commission </w:t>
      </w:r>
      <w:r w:rsidR="00B7557E">
        <w:t xml:space="preserve">judgements from the 2015 Review and </w:t>
      </w:r>
      <w:r w:rsidR="00BD3128">
        <w:t>2016-17 health expenses.</w:t>
      </w:r>
    </w:p>
    <w:p w14:paraId="7699C53E" w14:textId="77777777" w:rsidR="003E3C67" w:rsidRPr="00F15230" w:rsidRDefault="003E3C67" w:rsidP="003E3C67">
      <w:pPr>
        <w:pStyle w:val="CGCNumberedPara"/>
        <w:numPr>
          <w:ilvl w:val="1"/>
          <w:numId w:val="3"/>
        </w:numPr>
      </w:pPr>
      <w:r w:rsidRPr="00F15230">
        <w:lastRenderedPageBreak/>
        <w:t>In addition, the community and other health services component includes a cross</w:t>
      </w:r>
      <w:r w:rsidRPr="00F15230">
        <w:noBreakHyphen/>
        <w:t>border disability which recognises that the ACT faces higher costs because it provides a range of community and public health services to New South Wales residents.</w:t>
      </w:r>
      <w:r w:rsidRPr="00F15230">
        <w:rPr>
          <w:rStyle w:val="FootnoteReference"/>
        </w:rPr>
        <w:footnoteReference w:id="5"/>
      </w:r>
      <w:r w:rsidRPr="00F15230">
        <w:t xml:space="preserve"> </w:t>
      </w:r>
    </w:p>
    <w:p w14:paraId="0430E5B2" w14:textId="407C2649" w:rsidR="003E3C67" w:rsidRPr="00F15230" w:rsidRDefault="003E3C67" w:rsidP="003E3C67">
      <w:pPr>
        <w:pStyle w:val="CGCNumberedPara"/>
        <w:numPr>
          <w:ilvl w:val="1"/>
          <w:numId w:val="3"/>
        </w:numPr>
      </w:pPr>
      <w:r w:rsidRPr="00F15230">
        <w:t xml:space="preserve">The non-hospital patient transport </w:t>
      </w:r>
      <w:r w:rsidR="005A72C0" w:rsidRPr="00F15230">
        <w:t>assessment recognises that aero</w:t>
      </w:r>
      <w:r w:rsidR="005A72C0" w:rsidRPr="00F15230">
        <w:noBreakHyphen/>
      </w:r>
      <w:r w:rsidRPr="00F15230">
        <w:t xml:space="preserve">medical and PATS services are used disproportionately by people in remote and very remote regions. Since the disabilities which affect these services differ </w:t>
      </w:r>
      <w:r w:rsidR="00421445" w:rsidRPr="00F15230">
        <w:t>from</w:t>
      </w:r>
      <w:r w:rsidRPr="00F15230">
        <w:t xml:space="preserve"> those for other health services, the expenses are assessed in a separate component.</w:t>
      </w:r>
    </w:p>
    <w:p w14:paraId="62E88F0A" w14:textId="77777777" w:rsidR="003E3C67" w:rsidRPr="00F15230" w:rsidRDefault="003E3C67" w:rsidP="003E3C67">
      <w:pPr>
        <w:pStyle w:val="Heading5"/>
      </w:pPr>
      <w:r w:rsidRPr="00F15230">
        <w:t>Data sources</w:t>
      </w:r>
    </w:p>
    <w:p w14:paraId="0EC46760" w14:textId="1914C929" w:rsidR="003E3C67" w:rsidRPr="00F15230" w:rsidRDefault="003E3C67" w:rsidP="003E3C67">
      <w:pPr>
        <w:pStyle w:val="CGCNumberedPara"/>
        <w:numPr>
          <w:ilvl w:val="1"/>
          <w:numId w:val="3"/>
        </w:numPr>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 xml:space="preserve">The main data sources for each component are summarised in </w:t>
      </w:r>
      <w:r w:rsidRPr="00F15230">
        <w:rPr>
          <w:rStyle w:val="Heading6Char"/>
          <w:rFonts w:eastAsiaTheme="minorHAnsi" w:cstheme="minorBidi"/>
          <w:b w:val="0"/>
          <w:i w:val="0"/>
          <w:iCs w:val="0"/>
          <w:color w:val="auto"/>
          <w:sz w:val="24"/>
        </w:rPr>
        <w:fldChar w:fldCharType="begin"/>
      </w:r>
      <w:r w:rsidRPr="00F15230">
        <w:rPr>
          <w:rStyle w:val="Heading6Char"/>
          <w:rFonts w:eastAsiaTheme="minorHAnsi" w:cstheme="minorBidi"/>
          <w:b w:val="0"/>
          <w:i w:val="0"/>
          <w:iCs w:val="0"/>
          <w:color w:val="auto"/>
          <w:sz w:val="24"/>
        </w:rPr>
        <w:instrText xml:space="preserve"> REF _Ref493770163 \h </w:instrText>
      </w:r>
      <w:r w:rsidR="00F15230">
        <w:rPr>
          <w:rStyle w:val="Heading6Char"/>
          <w:rFonts w:eastAsiaTheme="minorHAnsi" w:cstheme="minorBidi"/>
          <w:b w:val="0"/>
          <w:i w:val="0"/>
          <w:iCs w:val="0"/>
          <w:color w:val="auto"/>
          <w:sz w:val="24"/>
        </w:rPr>
        <w:instrText xml:space="preserve"> \* MERGEFORMAT </w:instrText>
      </w:r>
      <w:r w:rsidRPr="00F15230">
        <w:rPr>
          <w:rStyle w:val="Heading6Char"/>
          <w:rFonts w:eastAsiaTheme="minorHAnsi" w:cstheme="minorBidi"/>
          <w:b w:val="0"/>
          <w:i w:val="0"/>
          <w:iCs w:val="0"/>
          <w:color w:val="auto"/>
          <w:sz w:val="24"/>
        </w:rPr>
      </w:r>
      <w:r w:rsidRPr="00F15230">
        <w:rPr>
          <w:rStyle w:val="Heading6Char"/>
          <w:rFonts w:eastAsiaTheme="minorHAnsi" w:cstheme="minorBidi"/>
          <w:b w:val="0"/>
          <w:i w:val="0"/>
          <w:iCs w:val="0"/>
          <w:color w:val="auto"/>
          <w:sz w:val="24"/>
        </w:rPr>
        <w:fldChar w:fldCharType="separate"/>
      </w:r>
      <w:r w:rsidR="005A6E12" w:rsidRPr="00F15230">
        <w:t xml:space="preserve">Table </w:t>
      </w:r>
      <w:r w:rsidR="005A6E12">
        <w:t>4</w:t>
      </w:r>
      <w:r w:rsidRPr="00F15230">
        <w:rPr>
          <w:rStyle w:val="Heading6Char"/>
          <w:rFonts w:eastAsiaTheme="minorHAnsi" w:cstheme="minorBidi"/>
          <w:b w:val="0"/>
          <w:i w:val="0"/>
          <w:iCs w:val="0"/>
          <w:color w:val="auto"/>
          <w:sz w:val="24"/>
        </w:rPr>
        <w:fldChar w:fldCharType="end"/>
      </w:r>
      <w:r w:rsidRPr="00F15230">
        <w:rPr>
          <w:rStyle w:val="Heading6Char"/>
          <w:rFonts w:eastAsiaTheme="minorHAnsi" w:cstheme="minorBidi"/>
          <w:b w:val="0"/>
          <w:i w:val="0"/>
          <w:iCs w:val="0"/>
          <w:color w:val="auto"/>
          <w:sz w:val="24"/>
        </w:rPr>
        <w:t>. Data for the SDC assessments are sourced from the Independent Hospital Pricing Authority (IHPA). At the time of the 2015 Review</w:t>
      </w:r>
      <w:r w:rsidR="00F802F2" w:rsidRPr="00F15230">
        <w:rPr>
          <w:rStyle w:val="Heading6Char"/>
          <w:rFonts w:eastAsiaTheme="minorHAnsi" w:cstheme="minorBidi"/>
          <w:b w:val="0"/>
          <w:i w:val="0"/>
          <w:iCs w:val="0"/>
          <w:color w:val="auto"/>
          <w:sz w:val="24"/>
        </w:rPr>
        <w:t>,</w:t>
      </w:r>
      <w:r w:rsidRPr="00F15230">
        <w:rPr>
          <w:rStyle w:val="Heading6Char"/>
          <w:rFonts w:eastAsiaTheme="minorHAnsi" w:cstheme="minorBidi"/>
          <w:b w:val="0"/>
          <w:i w:val="0"/>
          <w:iCs w:val="0"/>
          <w:color w:val="auto"/>
          <w:sz w:val="24"/>
        </w:rPr>
        <w:t xml:space="preserve"> there were no reliable data for estimating the national cost weighted use of NAP or community and other health services. Consequently the SDC assessments for these components are based on proxy indicators which are listed in </w:t>
      </w:r>
      <w:r w:rsidRPr="00F15230">
        <w:rPr>
          <w:rStyle w:val="Heading6Char"/>
          <w:rFonts w:eastAsiaTheme="minorHAnsi" w:cstheme="minorBidi"/>
          <w:b w:val="0"/>
          <w:i w:val="0"/>
          <w:iCs w:val="0"/>
          <w:color w:val="auto"/>
          <w:sz w:val="24"/>
        </w:rPr>
        <w:fldChar w:fldCharType="begin"/>
      </w:r>
      <w:r w:rsidRPr="00F15230">
        <w:rPr>
          <w:rStyle w:val="Heading6Char"/>
          <w:rFonts w:eastAsiaTheme="minorHAnsi" w:cstheme="minorBidi"/>
          <w:b w:val="0"/>
          <w:i w:val="0"/>
          <w:iCs w:val="0"/>
          <w:color w:val="auto"/>
          <w:sz w:val="24"/>
        </w:rPr>
        <w:instrText xml:space="preserve"> REF _Ref493770163 \h </w:instrText>
      </w:r>
      <w:r w:rsidR="00F15230">
        <w:rPr>
          <w:rStyle w:val="Heading6Char"/>
          <w:rFonts w:eastAsiaTheme="minorHAnsi" w:cstheme="minorBidi"/>
          <w:b w:val="0"/>
          <w:i w:val="0"/>
          <w:iCs w:val="0"/>
          <w:color w:val="auto"/>
          <w:sz w:val="24"/>
        </w:rPr>
        <w:instrText xml:space="preserve"> \* MERGEFORMAT </w:instrText>
      </w:r>
      <w:r w:rsidRPr="00F15230">
        <w:rPr>
          <w:rStyle w:val="Heading6Char"/>
          <w:rFonts w:eastAsiaTheme="minorHAnsi" w:cstheme="minorBidi"/>
          <w:b w:val="0"/>
          <w:i w:val="0"/>
          <w:iCs w:val="0"/>
          <w:color w:val="auto"/>
          <w:sz w:val="24"/>
        </w:rPr>
      </w:r>
      <w:r w:rsidRPr="00F15230">
        <w:rPr>
          <w:rStyle w:val="Heading6Char"/>
          <w:rFonts w:eastAsiaTheme="minorHAnsi" w:cstheme="minorBidi"/>
          <w:b w:val="0"/>
          <w:i w:val="0"/>
          <w:iCs w:val="0"/>
          <w:color w:val="auto"/>
          <w:sz w:val="24"/>
        </w:rPr>
        <w:fldChar w:fldCharType="separate"/>
      </w:r>
      <w:r w:rsidR="005A6E12" w:rsidRPr="00F15230">
        <w:t xml:space="preserve">Table </w:t>
      </w:r>
      <w:r w:rsidR="005A6E12">
        <w:t>4</w:t>
      </w:r>
      <w:r w:rsidRPr="00F15230">
        <w:rPr>
          <w:rStyle w:val="Heading6Char"/>
          <w:rFonts w:eastAsiaTheme="minorHAnsi" w:cstheme="minorBidi"/>
          <w:b w:val="0"/>
          <w:i w:val="0"/>
          <w:iCs w:val="0"/>
          <w:color w:val="auto"/>
          <w:sz w:val="24"/>
        </w:rPr>
        <w:fldChar w:fldCharType="end"/>
      </w:r>
      <w:r w:rsidRPr="00F15230">
        <w:rPr>
          <w:rStyle w:val="Heading6Char"/>
          <w:rFonts w:eastAsiaTheme="minorHAnsi" w:cstheme="minorBidi"/>
          <w:b w:val="0"/>
          <w:i w:val="0"/>
          <w:iCs w:val="0"/>
          <w:color w:val="auto"/>
          <w:sz w:val="24"/>
        </w:rPr>
        <w:t xml:space="preserve">. </w:t>
      </w:r>
    </w:p>
    <w:p w14:paraId="1FBE8134" w14:textId="5164C031" w:rsidR="003E3C67" w:rsidRPr="00F15230" w:rsidRDefault="003E3C67" w:rsidP="003E3C67">
      <w:pPr>
        <w:pStyle w:val="CGCTableHeading"/>
        <w:ind w:left="0" w:firstLine="0"/>
      </w:pPr>
      <w:bookmarkStart w:id="54" w:name="_Ref493770163"/>
      <w:r w:rsidRPr="00F15230">
        <w:t xml:space="preserve">Table </w:t>
      </w:r>
      <w:r w:rsidR="00CD3D12">
        <w:fldChar w:fldCharType="begin"/>
      </w:r>
      <w:r w:rsidR="00CD3D12">
        <w:instrText xml:space="preserve"> SEQ Table \* ARABIC </w:instrText>
      </w:r>
      <w:r w:rsidR="00CD3D12">
        <w:fldChar w:fldCharType="separate"/>
      </w:r>
      <w:r w:rsidR="005A6E12">
        <w:rPr>
          <w:noProof/>
        </w:rPr>
        <w:t>4</w:t>
      </w:r>
      <w:r w:rsidR="00CD3D12">
        <w:rPr>
          <w:noProof/>
        </w:rPr>
        <w:fldChar w:fldCharType="end"/>
      </w:r>
      <w:bookmarkEnd w:id="54"/>
      <w:r w:rsidRPr="00F15230">
        <w:tab/>
        <w:t>Main data sources for the health assessment, 2015 Review</w:t>
      </w:r>
    </w:p>
    <w:tbl>
      <w:tblPr>
        <w:tblW w:w="8960" w:type="dxa"/>
        <w:tblLayout w:type="fixed"/>
        <w:tblCellMar>
          <w:left w:w="0" w:type="dxa"/>
          <w:right w:w="0" w:type="dxa"/>
        </w:tblCellMar>
        <w:tblLook w:val="0420" w:firstRow="1" w:lastRow="0" w:firstColumn="0" w:lastColumn="0" w:noHBand="0" w:noVBand="1"/>
      </w:tblPr>
      <w:tblGrid>
        <w:gridCol w:w="2127"/>
        <w:gridCol w:w="3260"/>
        <w:gridCol w:w="3573"/>
      </w:tblGrid>
      <w:tr w:rsidR="003E3C67" w:rsidRPr="00F15230" w14:paraId="6BE5706F" w14:textId="77777777" w:rsidTr="003E3C67">
        <w:trPr>
          <w:trHeight w:val="375"/>
        </w:trPr>
        <w:tc>
          <w:tcPr>
            <w:tcW w:w="2127" w:type="dxa"/>
            <w:tcBorders>
              <w:top w:val="single" w:sz="4" w:space="0" w:color="auto"/>
              <w:left w:val="nil"/>
              <w:bottom w:val="single" w:sz="4" w:space="0" w:color="auto"/>
              <w:right w:val="nil"/>
            </w:tcBorders>
            <w:shd w:val="clear" w:color="auto" w:fill="auto"/>
            <w:vAlign w:val="center"/>
            <w:hideMark/>
          </w:tcPr>
          <w:p w14:paraId="6A6F6BA0" w14:textId="77777777" w:rsidR="003E3C67" w:rsidRPr="00F15230" w:rsidRDefault="003E3C67" w:rsidP="003E3C67">
            <w:pPr>
              <w:keepNext/>
              <w:keepLines/>
              <w:tabs>
                <w:tab w:val="clear" w:pos="567"/>
              </w:tabs>
              <w:spacing w:after="0" w:line="240" w:lineRule="auto"/>
              <w:ind w:left="193" w:hanging="142"/>
              <w:rPr>
                <w:rFonts w:ascii="Calibri" w:eastAsia="Times New Roman" w:hAnsi="Calibri" w:cs="Times New Roman"/>
                <w:sz w:val="20"/>
                <w:szCs w:val="20"/>
                <w:lang w:eastAsia="en-AU"/>
              </w:rPr>
            </w:pPr>
            <w:bookmarkStart w:id="55" w:name="RANGE!A4:C8"/>
            <w:r w:rsidRPr="00F15230">
              <w:rPr>
                <w:rFonts w:ascii="Calibri" w:eastAsia="Times New Roman" w:hAnsi="Calibri" w:cs="Times New Roman"/>
                <w:sz w:val="20"/>
                <w:szCs w:val="20"/>
                <w:lang w:eastAsia="en-AU"/>
              </w:rPr>
              <w:t>Component</w:t>
            </w:r>
            <w:bookmarkEnd w:id="55"/>
          </w:p>
        </w:tc>
        <w:tc>
          <w:tcPr>
            <w:tcW w:w="3260" w:type="dxa"/>
            <w:tcBorders>
              <w:top w:val="single" w:sz="4" w:space="0" w:color="auto"/>
              <w:left w:val="nil"/>
              <w:bottom w:val="single" w:sz="4" w:space="0" w:color="auto"/>
              <w:right w:val="nil"/>
            </w:tcBorders>
            <w:shd w:val="clear" w:color="auto" w:fill="auto"/>
            <w:vAlign w:val="center"/>
            <w:hideMark/>
          </w:tcPr>
          <w:p w14:paraId="4F80BAC2" w14:textId="77777777" w:rsidR="003E3C67" w:rsidRPr="00F15230" w:rsidRDefault="003E3C67" w:rsidP="003E3C67">
            <w:pPr>
              <w:keepNext/>
              <w:keepLines/>
              <w:tabs>
                <w:tab w:val="clear" w:pos="567"/>
              </w:tabs>
              <w:spacing w:after="0" w:line="240" w:lineRule="auto"/>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SDC assessment</w:t>
            </w:r>
          </w:p>
        </w:tc>
        <w:tc>
          <w:tcPr>
            <w:tcW w:w="3573" w:type="dxa"/>
            <w:tcBorders>
              <w:top w:val="single" w:sz="4" w:space="0" w:color="auto"/>
              <w:left w:val="nil"/>
              <w:bottom w:val="single" w:sz="4" w:space="0" w:color="auto"/>
              <w:right w:val="nil"/>
            </w:tcBorders>
            <w:shd w:val="clear" w:color="auto" w:fill="auto"/>
            <w:vAlign w:val="center"/>
            <w:hideMark/>
          </w:tcPr>
          <w:p w14:paraId="188971F5" w14:textId="0D1DE83C" w:rsidR="003E3C67" w:rsidRPr="00F15230" w:rsidRDefault="003E3C67" w:rsidP="00501222">
            <w:pPr>
              <w:keepNext/>
              <w:keepLines/>
              <w:tabs>
                <w:tab w:val="clear" w:pos="567"/>
              </w:tabs>
              <w:spacing w:after="0" w:line="240" w:lineRule="auto"/>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 xml:space="preserve">Non-State sector </w:t>
            </w:r>
            <w:r w:rsidR="00501222" w:rsidRPr="00F15230">
              <w:rPr>
                <w:rFonts w:ascii="Calibri" w:eastAsia="Times New Roman" w:hAnsi="Calibri" w:cs="Times New Roman"/>
                <w:sz w:val="20"/>
                <w:szCs w:val="20"/>
                <w:lang w:eastAsia="en-AU"/>
              </w:rPr>
              <w:t>indicator</w:t>
            </w:r>
          </w:p>
        </w:tc>
      </w:tr>
      <w:tr w:rsidR="003E3C67" w:rsidRPr="00F15230" w14:paraId="4F8E426E" w14:textId="77777777" w:rsidTr="008348D4">
        <w:trPr>
          <w:trHeight w:val="555"/>
        </w:trPr>
        <w:tc>
          <w:tcPr>
            <w:tcW w:w="2127" w:type="dxa"/>
            <w:tcBorders>
              <w:top w:val="nil"/>
              <w:left w:val="nil"/>
              <w:bottom w:val="nil"/>
              <w:right w:val="nil"/>
            </w:tcBorders>
            <w:shd w:val="clear" w:color="auto" w:fill="auto"/>
            <w:hideMark/>
          </w:tcPr>
          <w:p w14:paraId="5C174783" w14:textId="77777777"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Admitted patients</w:t>
            </w:r>
          </w:p>
        </w:tc>
        <w:tc>
          <w:tcPr>
            <w:tcW w:w="3260" w:type="dxa"/>
            <w:tcBorders>
              <w:top w:val="nil"/>
              <w:left w:val="nil"/>
              <w:bottom w:val="nil"/>
              <w:right w:val="nil"/>
            </w:tcBorders>
            <w:shd w:val="clear" w:color="auto" w:fill="auto"/>
            <w:hideMark/>
          </w:tcPr>
          <w:p w14:paraId="041F49BB" w14:textId="77777777" w:rsidR="003E3C67" w:rsidRPr="00F15230" w:rsidRDefault="003E3C67" w:rsidP="008348D4">
            <w:pPr>
              <w:keepNext/>
              <w:keepLines/>
              <w:tabs>
                <w:tab w:val="clear" w:pos="567"/>
              </w:tabs>
              <w:spacing w:after="0" w:line="240" w:lineRule="auto"/>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Admitted patient NWAU data (IHPA)</w:t>
            </w:r>
          </w:p>
        </w:tc>
        <w:tc>
          <w:tcPr>
            <w:tcW w:w="3573" w:type="dxa"/>
            <w:tcBorders>
              <w:top w:val="nil"/>
              <w:left w:val="nil"/>
              <w:bottom w:val="nil"/>
              <w:right w:val="nil"/>
            </w:tcBorders>
            <w:shd w:val="clear" w:color="auto" w:fill="auto"/>
            <w:hideMark/>
          </w:tcPr>
          <w:p w14:paraId="3F5C35F1" w14:textId="77777777"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Private admitted patient separations (AIHW and APRA)</w:t>
            </w:r>
          </w:p>
        </w:tc>
      </w:tr>
      <w:tr w:rsidR="003E3C67" w:rsidRPr="00F15230" w14:paraId="62D14FC8" w14:textId="77777777" w:rsidTr="008348D4">
        <w:trPr>
          <w:trHeight w:val="315"/>
        </w:trPr>
        <w:tc>
          <w:tcPr>
            <w:tcW w:w="2127" w:type="dxa"/>
            <w:tcBorders>
              <w:top w:val="nil"/>
              <w:left w:val="nil"/>
              <w:bottom w:val="nil"/>
              <w:right w:val="nil"/>
            </w:tcBorders>
            <w:shd w:val="clear" w:color="auto" w:fill="auto"/>
            <w:hideMark/>
          </w:tcPr>
          <w:p w14:paraId="1F9754AC" w14:textId="77777777"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Emergency departments</w:t>
            </w:r>
          </w:p>
        </w:tc>
        <w:tc>
          <w:tcPr>
            <w:tcW w:w="3260" w:type="dxa"/>
            <w:tcBorders>
              <w:top w:val="nil"/>
              <w:left w:val="nil"/>
              <w:bottom w:val="nil"/>
              <w:right w:val="nil"/>
            </w:tcBorders>
            <w:shd w:val="clear" w:color="auto" w:fill="auto"/>
            <w:hideMark/>
          </w:tcPr>
          <w:p w14:paraId="0B9814BE" w14:textId="77777777" w:rsidR="003E3C67" w:rsidRPr="00F15230" w:rsidRDefault="003E3C67" w:rsidP="008348D4">
            <w:pPr>
              <w:keepNext/>
              <w:keepLines/>
              <w:tabs>
                <w:tab w:val="clear" w:pos="567"/>
              </w:tabs>
              <w:spacing w:after="0" w:line="240" w:lineRule="auto"/>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ED NWAU data (IHPA)</w:t>
            </w:r>
          </w:p>
        </w:tc>
        <w:tc>
          <w:tcPr>
            <w:tcW w:w="3573" w:type="dxa"/>
            <w:tcBorders>
              <w:top w:val="nil"/>
              <w:left w:val="nil"/>
              <w:bottom w:val="nil"/>
              <w:right w:val="nil"/>
            </w:tcBorders>
            <w:shd w:val="clear" w:color="auto" w:fill="auto"/>
            <w:hideMark/>
          </w:tcPr>
          <w:p w14:paraId="646070B9" w14:textId="25660A42"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Bulk</w:t>
            </w:r>
            <w:r w:rsidR="00B53B5A">
              <w:rPr>
                <w:rFonts w:ascii="Calibri" w:eastAsia="Times New Roman" w:hAnsi="Calibri" w:cs="Times New Roman"/>
                <w:sz w:val="20"/>
                <w:szCs w:val="20"/>
                <w:lang w:eastAsia="en-AU"/>
              </w:rPr>
              <w:t>-</w:t>
            </w:r>
            <w:r w:rsidRPr="00F15230">
              <w:rPr>
                <w:rFonts w:ascii="Calibri" w:eastAsia="Times New Roman" w:hAnsi="Calibri" w:cs="Times New Roman"/>
                <w:sz w:val="20"/>
                <w:szCs w:val="20"/>
                <w:lang w:eastAsia="en-AU"/>
              </w:rPr>
              <w:t>billed GP benefits</w:t>
            </w:r>
            <w:r w:rsidR="00F802F2" w:rsidRPr="00F15230">
              <w:rPr>
                <w:rFonts w:ascii="Calibri" w:eastAsia="Times New Roman" w:hAnsi="Calibri" w:cs="Times New Roman"/>
                <w:sz w:val="20"/>
                <w:szCs w:val="20"/>
                <w:lang w:eastAsia="en-AU"/>
              </w:rPr>
              <w:t xml:space="preserve"> </w:t>
            </w:r>
            <w:r w:rsidRPr="00F15230">
              <w:rPr>
                <w:rFonts w:ascii="Calibri" w:eastAsia="Times New Roman" w:hAnsi="Calibri" w:cs="Times New Roman"/>
                <w:sz w:val="20"/>
                <w:szCs w:val="20"/>
                <w:lang w:eastAsia="en-AU"/>
              </w:rPr>
              <w:t>(MBS)</w:t>
            </w:r>
          </w:p>
        </w:tc>
      </w:tr>
      <w:tr w:rsidR="003E3C67" w:rsidRPr="00F15230" w14:paraId="6D74E439" w14:textId="77777777" w:rsidTr="008348D4">
        <w:trPr>
          <w:trHeight w:val="555"/>
        </w:trPr>
        <w:tc>
          <w:tcPr>
            <w:tcW w:w="2127" w:type="dxa"/>
            <w:tcBorders>
              <w:top w:val="nil"/>
              <w:left w:val="nil"/>
              <w:bottom w:val="nil"/>
              <w:right w:val="nil"/>
            </w:tcBorders>
            <w:shd w:val="clear" w:color="auto" w:fill="auto"/>
            <w:hideMark/>
          </w:tcPr>
          <w:p w14:paraId="12EE9F0D" w14:textId="77777777"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Non-admitted patients</w:t>
            </w:r>
          </w:p>
        </w:tc>
        <w:tc>
          <w:tcPr>
            <w:tcW w:w="3260" w:type="dxa"/>
            <w:tcBorders>
              <w:top w:val="nil"/>
              <w:left w:val="nil"/>
              <w:bottom w:val="nil"/>
              <w:right w:val="nil"/>
            </w:tcBorders>
            <w:shd w:val="clear" w:color="auto" w:fill="auto"/>
            <w:hideMark/>
          </w:tcPr>
          <w:p w14:paraId="67585EB5" w14:textId="77777777"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Admitted patient separations data (IHPA)</w:t>
            </w:r>
          </w:p>
        </w:tc>
        <w:tc>
          <w:tcPr>
            <w:tcW w:w="3573" w:type="dxa"/>
            <w:tcBorders>
              <w:top w:val="nil"/>
              <w:left w:val="nil"/>
              <w:bottom w:val="nil"/>
              <w:right w:val="nil"/>
            </w:tcBorders>
            <w:shd w:val="clear" w:color="auto" w:fill="auto"/>
            <w:hideMark/>
          </w:tcPr>
          <w:p w14:paraId="44362D4E" w14:textId="56A4418B"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Bulk</w:t>
            </w:r>
            <w:r w:rsidR="00B53B5A">
              <w:rPr>
                <w:rFonts w:ascii="Calibri" w:eastAsia="Times New Roman" w:hAnsi="Calibri" w:cs="Times New Roman"/>
                <w:sz w:val="20"/>
                <w:szCs w:val="20"/>
                <w:lang w:eastAsia="en-AU"/>
              </w:rPr>
              <w:t>-</w:t>
            </w:r>
            <w:r w:rsidRPr="00F15230">
              <w:rPr>
                <w:rFonts w:ascii="Calibri" w:eastAsia="Times New Roman" w:hAnsi="Calibri" w:cs="Times New Roman"/>
                <w:sz w:val="20"/>
                <w:szCs w:val="20"/>
                <w:lang w:eastAsia="en-AU"/>
              </w:rPr>
              <w:t>billed specialist, pathology and imaging benefits (MBS)</w:t>
            </w:r>
          </w:p>
        </w:tc>
      </w:tr>
      <w:tr w:rsidR="003E3C67" w:rsidRPr="00F15230" w14:paraId="549ABA18" w14:textId="77777777" w:rsidTr="008348D4">
        <w:trPr>
          <w:trHeight w:val="315"/>
        </w:trPr>
        <w:tc>
          <w:tcPr>
            <w:tcW w:w="2127" w:type="dxa"/>
            <w:tcBorders>
              <w:top w:val="nil"/>
              <w:left w:val="nil"/>
              <w:bottom w:val="nil"/>
              <w:right w:val="nil"/>
            </w:tcBorders>
            <w:shd w:val="clear" w:color="auto" w:fill="auto"/>
            <w:hideMark/>
          </w:tcPr>
          <w:p w14:paraId="38644536" w14:textId="77777777"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 xml:space="preserve">Community </w:t>
            </w:r>
            <w:r w:rsidR="00820785" w:rsidRPr="00F15230">
              <w:rPr>
                <w:rFonts w:ascii="Calibri" w:eastAsia="Times New Roman" w:hAnsi="Calibri" w:cs="Times New Roman"/>
                <w:sz w:val="20"/>
                <w:szCs w:val="20"/>
                <w:lang w:eastAsia="en-AU"/>
              </w:rPr>
              <w:t xml:space="preserve">and other </w:t>
            </w:r>
            <w:r w:rsidRPr="00F15230">
              <w:rPr>
                <w:rFonts w:ascii="Calibri" w:eastAsia="Times New Roman" w:hAnsi="Calibri" w:cs="Times New Roman"/>
                <w:sz w:val="20"/>
                <w:szCs w:val="20"/>
                <w:lang w:eastAsia="en-AU"/>
              </w:rPr>
              <w:t>health</w:t>
            </w:r>
          </w:p>
        </w:tc>
        <w:tc>
          <w:tcPr>
            <w:tcW w:w="3260" w:type="dxa"/>
            <w:tcBorders>
              <w:top w:val="nil"/>
              <w:left w:val="nil"/>
              <w:bottom w:val="nil"/>
              <w:right w:val="nil"/>
            </w:tcBorders>
            <w:shd w:val="clear" w:color="auto" w:fill="auto"/>
            <w:hideMark/>
          </w:tcPr>
          <w:p w14:paraId="79BFEEAC" w14:textId="77777777" w:rsidR="003E3C67" w:rsidRPr="00F15230" w:rsidRDefault="003E3C67" w:rsidP="008348D4">
            <w:pPr>
              <w:keepNext/>
              <w:keepLines/>
              <w:tabs>
                <w:tab w:val="clear" w:pos="567"/>
              </w:tabs>
              <w:spacing w:after="0" w:line="240" w:lineRule="auto"/>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ED triage 4</w:t>
            </w:r>
            <w:r w:rsidR="00F802F2" w:rsidRPr="00F15230">
              <w:rPr>
                <w:rFonts w:ascii="Calibri" w:eastAsia="Times New Roman" w:hAnsi="Calibri" w:cs="Times New Roman"/>
                <w:sz w:val="20"/>
                <w:szCs w:val="20"/>
                <w:lang w:eastAsia="en-AU"/>
              </w:rPr>
              <w:t xml:space="preserve"> </w:t>
            </w:r>
            <w:r w:rsidRPr="00F15230">
              <w:rPr>
                <w:rFonts w:ascii="Calibri" w:eastAsia="Times New Roman" w:hAnsi="Calibri" w:cs="Times New Roman"/>
                <w:sz w:val="20"/>
                <w:szCs w:val="20"/>
                <w:lang w:eastAsia="en-AU"/>
              </w:rPr>
              <w:t>&amp;</w:t>
            </w:r>
            <w:r w:rsidR="00F802F2" w:rsidRPr="00F15230">
              <w:rPr>
                <w:rFonts w:ascii="Calibri" w:eastAsia="Times New Roman" w:hAnsi="Calibri" w:cs="Times New Roman"/>
                <w:sz w:val="20"/>
                <w:szCs w:val="20"/>
                <w:lang w:eastAsia="en-AU"/>
              </w:rPr>
              <w:t xml:space="preserve"> </w:t>
            </w:r>
            <w:r w:rsidRPr="00F15230">
              <w:rPr>
                <w:rFonts w:ascii="Calibri" w:eastAsia="Times New Roman" w:hAnsi="Calibri" w:cs="Times New Roman"/>
                <w:sz w:val="20"/>
                <w:szCs w:val="20"/>
                <w:lang w:eastAsia="en-AU"/>
              </w:rPr>
              <w:t>5 NWAU data (IHPA)</w:t>
            </w:r>
          </w:p>
        </w:tc>
        <w:tc>
          <w:tcPr>
            <w:tcW w:w="3573" w:type="dxa"/>
            <w:tcBorders>
              <w:top w:val="nil"/>
              <w:left w:val="nil"/>
              <w:bottom w:val="nil"/>
              <w:right w:val="nil"/>
            </w:tcBorders>
            <w:shd w:val="clear" w:color="auto" w:fill="auto"/>
            <w:hideMark/>
          </w:tcPr>
          <w:p w14:paraId="53343651" w14:textId="76735AD8"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Bulk</w:t>
            </w:r>
            <w:r w:rsidR="00B53B5A">
              <w:rPr>
                <w:rFonts w:ascii="Calibri" w:eastAsia="Times New Roman" w:hAnsi="Calibri" w:cs="Times New Roman"/>
                <w:sz w:val="20"/>
                <w:szCs w:val="20"/>
                <w:lang w:eastAsia="en-AU"/>
              </w:rPr>
              <w:t>-</w:t>
            </w:r>
            <w:r w:rsidRPr="00F15230">
              <w:rPr>
                <w:rFonts w:ascii="Calibri" w:eastAsia="Times New Roman" w:hAnsi="Calibri" w:cs="Times New Roman"/>
                <w:sz w:val="20"/>
                <w:szCs w:val="20"/>
                <w:lang w:eastAsia="en-AU"/>
              </w:rPr>
              <w:t>bulled GP benefits (MBS)</w:t>
            </w:r>
          </w:p>
          <w:p w14:paraId="1514A8C1" w14:textId="77777777" w:rsidR="003E3C67" w:rsidRPr="00F15230" w:rsidRDefault="003E3C67"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 xml:space="preserve">Indigenous Australians’ Health Program </w:t>
            </w:r>
            <w:r w:rsidR="008348D4" w:rsidRPr="00F15230">
              <w:rPr>
                <w:rFonts w:ascii="Calibri" w:eastAsia="Times New Roman" w:hAnsi="Calibri" w:cs="Times New Roman"/>
                <w:sz w:val="20"/>
                <w:szCs w:val="20"/>
                <w:lang w:eastAsia="en-AU"/>
              </w:rPr>
              <w:t xml:space="preserve">(IAHP) </w:t>
            </w:r>
            <w:r w:rsidRPr="00F15230">
              <w:rPr>
                <w:rFonts w:ascii="Calibri" w:eastAsia="Times New Roman" w:hAnsi="Calibri" w:cs="Times New Roman"/>
                <w:sz w:val="20"/>
                <w:szCs w:val="20"/>
                <w:lang w:eastAsia="en-AU"/>
              </w:rPr>
              <w:t xml:space="preserve">Grants </w:t>
            </w:r>
          </w:p>
        </w:tc>
      </w:tr>
      <w:tr w:rsidR="00820785" w:rsidRPr="00F15230" w14:paraId="3794AE1E" w14:textId="77777777" w:rsidTr="008348D4">
        <w:trPr>
          <w:trHeight w:val="315"/>
        </w:trPr>
        <w:tc>
          <w:tcPr>
            <w:tcW w:w="2127" w:type="dxa"/>
            <w:tcBorders>
              <w:top w:val="nil"/>
              <w:left w:val="nil"/>
              <w:bottom w:val="single" w:sz="4" w:space="0" w:color="auto"/>
              <w:right w:val="nil"/>
            </w:tcBorders>
            <w:shd w:val="clear" w:color="auto" w:fill="auto"/>
          </w:tcPr>
          <w:p w14:paraId="4EE21D95" w14:textId="77777777" w:rsidR="00820785" w:rsidRPr="00F15230" w:rsidRDefault="00820785"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Non-hospital patient transport</w:t>
            </w:r>
          </w:p>
        </w:tc>
        <w:tc>
          <w:tcPr>
            <w:tcW w:w="3260" w:type="dxa"/>
            <w:tcBorders>
              <w:top w:val="nil"/>
              <w:left w:val="nil"/>
              <w:bottom w:val="single" w:sz="4" w:space="0" w:color="auto"/>
              <w:right w:val="nil"/>
            </w:tcBorders>
            <w:shd w:val="clear" w:color="auto" w:fill="auto"/>
          </w:tcPr>
          <w:p w14:paraId="5395C86D" w14:textId="77777777" w:rsidR="00820785" w:rsidRPr="00F15230" w:rsidRDefault="00820785" w:rsidP="008348D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State data on expenses by remoteness area</w:t>
            </w:r>
          </w:p>
        </w:tc>
        <w:tc>
          <w:tcPr>
            <w:tcW w:w="3573" w:type="dxa"/>
            <w:tcBorders>
              <w:top w:val="nil"/>
              <w:left w:val="nil"/>
              <w:bottom w:val="single" w:sz="4" w:space="0" w:color="auto"/>
              <w:right w:val="nil"/>
            </w:tcBorders>
            <w:shd w:val="clear" w:color="auto" w:fill="auto"/>
            <w:vAlign w:val="bottom"/>
          </w:tcPr>
          <w:p w14:paraId="3436DBA2" w14:textId="77777777" w:rsidR="00820785" w:rsidRPr="00F15230" w:rsidRDefault="00820785" w:rsidP="003E3C67">
            <w:pPr>
              <w:keepNext/>
              <w:keepLines/>
              <w:tabs>
                <w:tab w:val="clear" w:pos="567"/>
              </w:tabs>
              <w:spacing w:after="0" w:line="240" w:lineRule="auto"/>
              <w:rPr>
                <w:rFonts w:ascii="Calibri" w:eastAsia="Times New Roman" w:hAnsi="Calibri" w:cs="Times New Roman"/>
                <w:sz w:val="20"/>
                <w:szCs w:val="20"/>
                <w:lang w:eastAsia="en-AU"/>
              </w:rPr>
            </w:pPr>
          </w:p>
        </w:tc>
      </w:tr>
    </w:tbl>
    <w:p w14:paraId="5DE88DB0" w14:textId="08265EDF" w:rsidR="003E3C67" w:rsidRPr="00F15230" w:rsidRDefault="00F802F2" w:rsidP="003E3C67">
      <w:pPr>
        <w:pStyle w:val="CGCTableFootnote"/>
      </w:pPr>
      <w:r w:rsidRPr="00F15230">
        <w:t>Note:</w:t>
      </w:r>
      <w:r w:rsidRPr="00F15230">
        <w:tab/>
        <w:t>An</w:t>
      </w:r>
      <w:r w:rsidR="003E3C67" w:rsidRPr="00F15230">
        <w:t xml:space="preserve"> NWAU or national weighted activity unit is a measure of hospital service activity expressed as a common unit. I</w:t>
      </w:r>
      <w:r w:rsidR="002B14CC" w:rsidRPr="00F15230">
        <w:t>n 2017-18, one NWAU was $4 910.</w:t>
      </w:r>
      <w:r w:rsidR="003E3C67" w:rsidRPr="00F15230">
        <w:t xml:space="preserve"> The NWAU value for each episode of service is based on the patient’s characteristics and services provided. An episode may be costed as </w:t>
      </w:r>
      <w:r w:rsidR="009744D4" w:rsidRPr="00F15230">
        <w:t xml:space="preserve">a </w:t>
      </w:r>
      <w:r w:rsidRPr="00F15230">
        <w:t>fraction of an</w:t>
      </w:r>
      <w:r w:rsidR="003E3C67" w:rsidRPr="00F15230">
        <w:t xml:space="preserve"> NWAU or a multiple o</w:t>
      </w:r>
      <w:r w:rsidRPr="00F15230">
        <w:t>f</w:t>
      </w:r>
      <w:r w:rsidR="003E3C67" w:rsidRPr="00F15230">
        <w:t xml:space="preserve"> an NWAU.</w:t>
      </w:r>
    </w:p>
    <w:p w14:paraId="3D907C25" w14:textId="0103A016" w:rsidR="00820785" w:rsidRPr="00F15230" w:rsidRDefault="00820785" w:rsidP="00820785">
      <w:pPr>
        <w:pStyle w:val="CGCNumberedPara"/>
        <w:numPr>
          <w:ilvl w:val="1"/>
          <w:numId w:val="3"/>
        </w:numPr>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 xml:space="preserve">Most of the data for calculating the non-State sector adjustments are from Department of Human Services Medicare Benefits Schedule (MBS) data. For the admitted </w:t>
      </w:r>
      <w:proofErr w:type="gramStart"/>
      <w:r w:rsidRPr="00F15230">
        <w:rPr>
          <w:rStyle w:val="Heading6Char"/>
          <w:rFonts w:eastAsiaTheme="minorHAnsi" w:cstheme="minorBidi"/>
          <w:b w:val="0"/>
          <w:i w:val="0"/>
          <w:iCs w:val="0"/>
          <w:color w:val="auto"/>
          <w:sz w:val="24"/>
        </w:rPr>
        <w:t>patients</w:t>
      </w:r>
      <w:proofErr w:type="gramEnd"/>
      <w:r w:rsidRPr="00F15230">
        <w:rPr>
          <w:rStyle w:val="Heading6Char"/>
          <w:rFonts w:eastAsiaTheme="minorHAnsi" w:cstheme="minorBidi"/>
          <w:b w:val="0"/>
          <w:i w:val="0"/>
          <w:iCs w:val="0"/>
          <w:color w:val="auto"/>
          <w:sz w:val="24"/>
        </w:rPr>
        <w:t xml:space="preserve"> component, data for the non-State sector adjustment are sourced from the Australian Institute of Health and Welfare (AIHW) and the Australian Prudential Regulation Authority (APRA). </w:t>
      </w:r>
    </w:p>
    <w:p w14:paraId="6AF75DCC" w14:textId="7C5333C4" w:rsidR="003E3C67" w:rsidRPr="00F15230" w:rsidRDefault="00820785" w:rsidP="00112D6D">
      <w:pPr>
        <w:pStyle w:val="CGCNumberedPara"/>
      </w:pPr>
      <w:bookmarkStart w:id="56" w:name="_Toc511977531"/>
      <w:r w:rsidRPr="00F15230">
        <w:lastRenderedPageBreak/>
        <w:t xml:space="preserve">Further information about the SDC and non-State sector assessments are provided in </w:t>
      </w:r>
      <w:r w:rsidR="00AF1603">
        <w:t>Attachment B</w:t>
      </w:r>
      <w:bookmarkEnd w:id="56"/>
      <w:r w:rsidR="00112D6D">
        <w:t>.</w:t>
      </w:r>
      <w:r w:rsidRPr="00F15230">
        <w:t xml:space="preserve"> Full d</w:t>
      </w:r>
      <w:r w:rsidR="003E3C67" w:rsidRPr="00F15230">
        <w:t xml:space="preserve">etails about the methods for the Health category are in the </w:t>
      </w:r>
      <w:r w:rsidR="003E3C67" w:rsidRPr="00112D6D">
        <w:rPr>
          <w:i/>
        </w:rPr>
        <w:t>Report on GST Revenue Sharing Relativities, 2015 Review, Volume 2</w:t>
      </w:r>
      <w:r w:rsidR="003E3C67" w:rsidRPr="00F15230">
        <w:t>, Chapter 12.</w:t>
      </w:r>
    </w:p>
    <w:p w14:paraId="2ED64A74" w14:textId="77777777" w:rsidR="003E3C67" w:rsidRPr="00F15230" w:rsidRDefault="003E3C67" w:rsidP="00113D15">
      <w:pPr>
        <w:pStyle w:val="Heading4"/>
      </w:pPr>
      <w:bookmarkStart w:id="57" w:name="_Toc499818741"/>
      <w:bookmarkStart w:id="58" w:name="_Toc499818831"/>
      <w:bookmarkStart w:id="59" w:name="_Toc508800480"/>
      <w:bookmarkStart w:id="60" w:name="_Toc509231089"/>
      <w:bookmarkStart w:id="61" w:name="_Toc511054114"/>
      <w:bookmarkStart w:id="62" w:name="_Toc511127555"/>
      <w:bookmarkStart w:id="63" w:name="_Toc511977533"/>
      <w:r w:rsidRPr="00F15230">
        <w:t>Investment and depreciation</w:t>
      </w:r>
      <w:bookmarkEnd w:id="57"/>
      <w:bookmarkEnd w:id="58"/>
      <w:bookmarkEnd w:id="59"/>
      <w:bookmarkEnd w:id="60"/>
      <w:bookmarkEnd w:id="61"/>
      <w:bookmarkEnd w:id="62"/>
      <w:bookmarkEnd w:id="63"/>
    </w:p>
    <w:p w14:paraId="248DD392" w14:textId="77777777" w:rsidR="007F686A" w:rsidRPr="00F15230" w:rsidRDefault="003E3C67" w:rsidP="003E3C67">
      <w:pPr>
        <w:pStyle w:val="CGCNumberedPara"/>
        <w:numPr>
          <w:ilvl w:val="1"/>
          <w:numId w:val="3"/>
        </w:numPr>
      </w:pPr>
      <w:r w:rsidRPr="00F15230">
        <w:t>Public hospitals and other health infrastructure account for about 10% of total State assets. Investment and depreciation expenses are assessed using the factors affecting recurrent health expenses. The quantity of infrastructure a State needs to hold is assessed using the weighted users of State health services. Interstate differences in wage levels, differences in the cost of providing infrastructure in different remoteness areas and the price of materials and other unavoidable costs are also taken into account.</w:t>
      </w:r>
    </w:p>
    <w:p w14:paraId="6DF31AFB" w14:textId="0ADE5A9E" w:rsidR="003E3C67" w:rsidRPr="00F15230" w:rsidRDefault="003E3C67" w:rsidP="003E3C67">
      <w:pPr>
        <w:pStyle w:val="CGCNumberedPara"/>
        <w:numPr>
          <w:ilvl w:val="1"/>
          <w:numId w:val="3"/>
        </w:numPr>
      </w:pPr>
      <w:r w:rsidRPr="00F15230">
        <w:t xml:space="preserve">In addition, the </w:t>
      </w:r>
      <w:r w:rsidR="00B7557E">
        <w:t>I</w:t>
      </w:r>
      <w:r w:rsidRPr="00F15230">
        <w:t>nvestment assessment recognises the impact of differences between States in population growth on the need for infrastructure.</w:t>
      </w:r>
    </w:p>
    <w:p w14:paraId="225EFD08" w14:textId="18763413" w:rsidR="003E3C67" w:rsidRPr="00F15230" w:rsidRDefault="003E3C67" w:rsidP="00113D15">
      <w:pPr>
        <w:pStyle w:val="Heading4"/>
      </w:pPr>
      <w:bookmarkStart w:id="64" w:name="_Toc499818742"/>
      <w:bookmarkStart w:id="65" w:name="_Toc499818832"/>
      <w:bookmarkStart w:id="66" w:name="_Toc508800481"/>
      <w:bookmarkStart w:id="67" w:name="_Toc509231090"/>
      <w:bookmarkStart w:id="68" w:name="_Toc511054115"/>
      <w:bookmarkStart w:id="69" w:name="_Toc511127556"/>
      <w:bookmarkStart w:id="70" w:name="_Toc511977534"/>
      <w:r w:rsidRPr="00F15230">
        <w:t xml:space="preserve">GST </w:t>
      </w:r>
      <w:r w:rsidR="00DE1C7D">
        <w:t>re</w:t>
      </w:r>
      <w:r w:rsidRPr="00F15230">
        <w:t>distribution</w:t>
      </w:r>
      <w:bookmarkEnd w:id="64"/>
      <w:bookmarkEnd w:id="65"/>
      <w:bookmarkEnd w:id="66"/>
      <w:bookmarkEnd w:id="67"/>
      <w:bookmarkEnd w:id="68"/>
      <w:bookmarkEnd w:id="69"/>
      <w:bookmarkEnd w:id="70"/>
    </w:p>
    <w:p w14:paraId="311DDA79" w14:textId="777D838F" w:rsidR="003E3C67" w:rsidRPr="00F15230" w:rsidRDefault="003E3C67" w:rsidP="003E3C67">
      <w:pPr>
        <w:pStyle w:val="CGCNumberedPara"/>
        <w:numPr>
          <w:ilvl w:val="1"/>
          <w:numId w:val="3"/>
        </w:numPr>
      </w:pPr>
      <w:r w:rsidRPr="00F15230">
        <w:fldChar w:fldCharType="begin"/>
      </w:r>
      <w:r w:rsidRPr="00F15230">
        <w:instrText xml:space="preserve"> REF _Ref499048199 \h </w:instrText>
      </w:r>
      <w:r w:rsidR="00F15230">
        <w:instrText xml:space="preserve"> \* MERGEFORMAT </w:instrText>
      </w:r>
      <w:r w:rsidRPr="00F15230">
        <w:fldChar w:fldCharType="separate"/>
      </w:r>
      <w:r w:rsidR="005A6E12" w:rsidRPr="00F15230">
        <w:t xml:space="preserve">Table </w:t>
      </w:r>
      <w:r w:rsidR="005A6E12">
        <w:t>5</w:t>
      </w:r>
      <w:r w:rsidRPr="00F15230">
        <w:fldChar w:fldCharType="end"/>
      </w:r>
      <w:r w:rsidRPr="00F15230">
        <w:t xml:space="preserve"> shows the GST redistribution for each component of the Health category in the 201</w:t>
      </w:r>
      <w:r w:rsidR="00FB15D1" w:rsidRPr="00F15230">
        <w:t>8</w:t>
      </w:r>
      <w:r w:rsidRPr="00F15230">
        <w:t xml:space="preserve"> Update.</w:t>
      </w:r>
    </w:p>
    <w:p w14:paraId="61532122" w14:textId="212E0233" w:rsidR="003E3C67" w:rsidRPr="00F15230" w:rsidRDefault="003E3C67" w:rsidP="00FB15D1">
      <w:pPr>
        <w:pStyle w:val="Caption"/>
      </w:pPr>
      <w:bookmarkStart w:id="71" w:name="_Ref499048199"/>
      <w:r w:rsidRPr="00F15230">
        <w:t xml:space="preserve">Table </w:t>
      </w:r>
      <w:r w:rsidR="00CD3D12">
        <w:fldChar w:fldCharType="begin"/>
      </w:r>
      <w:r w:rsidR="00CD3D12">
        <w:instrText xml:space="preserve"> SEQ Table \* ARABIC </w:instrText>
      </w:r>
      <w:r w:rsidR="00CD3D12">
        <w:fldChar w:fldCharType="separate"/>
      </w:r>
      <w:r w:rsidR="005A6E12">
        <w:rPr>
          <w:noProof/>
        </w:rPr>
        <w:t>5</w:t>
      </w:r>
      <w:r w:rsidR="00CD3D12">
        <w:rPr>
          <w:noProof/>
        </w:rPr>
        <w:fldChar w:fldCharType="end"/>
      </w:r>
      <w:bookmarkEnd w:id="71"/>
      <w:r w:rsidRPr="00F15230">
        <w:tab/>
        <w:t xml:space="preserve">GST redistribution, Health category, </w:t>
      </w:r>
      <w:r w:rsidR="00FB15D1" w:rsidRPr="00F15230">
        <w:t>2018 Update</w:t>
      </w:r>
    </w:p>
    <w:tbl>
      <w:tblPr>
        <w:tblW w:w="8940" w:type="dxa"/>
        <w:tblInd w:w="93" w:type="dxa"/>
        <w:tblLook w:val="04A0" w:firstRow="1" w:lastRow="0" w:firstColumn="1" w:lastColumn="0" w:noHBand="0" w:noVBand="1"/>
      </w:tblPr>
      <w:tblGrid>
        <w:gridCol w:w="2740"/>
        <w:gridCol w:w="700"/>
        <w:gridCol w:w="760"/>
        <w:gridCol w:w="640"/>
        <w:gridCol w:w="640"/>
        <w:gridCol w:w="640"/>
        <w:gridCol w:w="640"/>
        <w:gridCol w:w="700"/>
        <w:gridCol w:w="700"/>
        <w:gridCol w:w="780"/>
      </w:tblGrid>
      <w:tr w:rsidR="00FB15D1" w:rsidRPr="00F15230" w14:paraId="6706AE8D" w14:textId="77777777" w:rsidTr="00752C7F">
        <w:trPr>
          <w:trHeight w:val="379"/>
        </w:trPr>
        <w:tc>
          <w:tcPr>
            <w:tcW w:w="2740" w:type="dxa"/>
            <w:tcBorders>
              <w:top w:val="single" w:sz="4" w:space="0" w:color="auto"/>
              <w:left w:val="nil"/>
              <w:bottom w:val="single" w:sz="4" w:space="0" w:color="auto"/>
              <w:right w:val="nil"/>
            </w:tcBorders>
            <w:shd w:val="clear" w:color="auto" w:fill="auto"/>
            <w:noWrap/>
            <w:vAlign w:val="center"/>
            <w:hideMark/>
          </w:tcPr>
          <w:p w14:paraId="3B564CBE"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bookmarkStart w:id="72" w:name="RANGE!A3:J11"/>
            <w:r w:rsidRPr="00F15230">
              <w:rPr>
                <w:rFonts w:ascii="Calibri" w:eastAsia="Times New Roman" w:hAnsi="Calibri" w:cs="Times New Roman"/>
                <w:sz w:val="20"/>
                <w:szCs w:val="20"/>
                <w:lang w:eastAsia="zh-CN"/>
              </w:rPr>
              <w:t> </w:t>
            </w:r>
            <w:bookmarkEnd w:id="72"/>
          </w:p>
        </w:tc>
        <w:tc>
          <w:tcPr>
            <w:tcW w:w="700" w:type="dxa"/>
            <w:tcBorders>
              <w:top w:val="single" w:sz="4" w:space="0" w:color="auto"/>
              <w:left w:val="nil"/>
              <w:bottom w:val="single" w:sz="4" w:space="0" w:color="auto"/>
              <w:right w:val="nil"/>
            </w:tcBorders>
            <w:shd w:val="clear" w:color="auto" w:fill="auto"/>
            <w:noWrap/>
            <w:vAlign w:val="center"/>
            <w:hideMark/>
          </w:tcPr>
          <w:p w14:paraId="78CAED70"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NSW</w:t>
            </w:r>
          </w:p>
        </w:tc>
        <w:tc>
          <w:tcPr>
            <w:tcW w:w="760" w:type="dxa"/>
            <w:tcBorders>
              <w:top w:val="single" w:sz="4" w:space="0" w:color="auto"/>
              <w:left w:val="nil"/>
              <w:bottom w:val="single" w:sz="4" w:space="0" w:color="auto"/>
              <w:right w:val="nil"/>
            </w:tcBorders>
            <w:shd w:val="clear" w:color="auto" w:fill="auto"/>
            <w:noWrap/>
            <w:vAlign w:val="center"/>
            <w:hideMark/>
          </w:tcPr>
          <w:p w14:paraId="1C03C86B"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Vic</w:t>
            </w:r>
          </w:p>
        </w:tc>
        <w:tc>
          <w:tcPr>
            <w:tcW w:w="640" w:type="dxa"/>
            <w:tcBorders>
              <w:top w:val="single" w:sz="4" w:space="0" w:color="auto"/>
              <w:left w:val="nil"/>
              <w:bottom w:val="single" w:sz="4" w:space="0" w:color="auto"/>
              <w:right w:val="nil"/>
            </w:tcBorders>
            <w:shd w:val="clear" w:color="auto" w:fill="auto"/>
            <w:noWrap/>
            <w:vAlign w:val="center"/>
            <w:hideMark/>
          </w:tcPr>
          <w:p w14:paraId="582C658B"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Qld</w:t>
            </w:r>
          </w:p>
        </w:tc>
        <w:tc>
          <w:tcPr>
            <w:tcW w:w="640" w:type="dxa"/>
            <w:tcBorders>
              <w:top w:val="single" w:sz="4" w:space="0" w:color="auto"/>
              <w:left w:val="nil"/>
              <w:bottom w:val="single" w:sz="4" w:space="0" w:color="auto"/>
              <w:right w:val="nil"/>
            </w:tcBorders>
            <w:shd w:val="clear" w:color="auto" w:fill="auto"/>
            <w:noWrap/>
            <w:vAlign w:val="center"/>
            <w:hideMark/>
          </w:tcPr>
          <w:p w14:paraId="3A4079EF"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WA</w:t>
            </w:r>
          </w:p>
        </w:tc>
        <w:tc>
          <w:tcPr>
            <w:tcW w:w="640" w:type="dxa"/>
            <w:tcBorders>
              <w:top w:val="single" w:sz="4" w:space="0" w:color="auto"/>
              <w:left w:val="nil"/>
              <w:bottom w:val="single" w:sz="4" w:space="0" w:color="auto"/>
              <w:right w:val="nil"/>
            </w:tcBorders>
            <w:shd w:val="clear" w:color="auto" w:fill="auto"/>
            <w:noWrap/>
            <w:vAlign w:val="center"/>
            <w:hideMark/>
          </w:tcPr>
          <w:p w14:paraId="5692AA01"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SA</w:t>
            </w:r>
          </w:p>
        </w:tc>
        <w:tc>
          <w:tcPr>
            <w:tcW w:w="640" w:type="dxa"/>
            <w:tcBorders>
              <w:top w:val="single" w:sz="4" w:space="0" w:color="auto"/>
              <w:left w:val="nil"/>
              <w:bottom w:val="single" w:sz="4" w:space="0" w:color="auto"/>
              <w:right w:val="nil"/>
            </w:tcBorders>
            <w:shd w:val="clear" w:color="auto" w:fill="auto"/>
            <w:noWrap/>
            <w:vAlign w:val="center"/>
            <w:hideMark/>
          </w:tcPr>
          <w:p w14:paraId="5390BC95"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Tas</w:t>
            </w:r>
          </w:p>
        </w:tc>
        <w:tc>
          <w:tcPr>
            <w:tcW w:w="700" w:type="dxa"/>
            <w:tcBorders>
              <w:top w:val="single" w:sz="4" w:space="0" w:color="auto"/>
              <w:left w:val="nil"/>
              <w:bottom w:val="single" w:sz="4" w:space="0" w:color="auto"/>
              <w:right w:val="nil"/>
            </w:tcBorders>
            <w:shd w:val="clear" w:color="auto" w:fill="auto"/>
            <w:noWrap/>
            <w:vAlign w:val="center"/>
            <w:hideMark/>
          </w:tcPr>
          <w:p w14:paraId="729F8042"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ACT</w:t>
            </w:r>
          </w:p>
        </w:tc>
        <w:tc>
          <w:tcPr>
            <w:tcW w:w="700" w:type="dxa"/>
            <w:tcBorders>
              <w:top w:val="single" w:sz="4" w:space="0" w:color="auto"/>
              <w:left w:val="nil"/>
              <w:bottom w:val="single" w:sz="4" w:space="0" w:color="auto"/>
              <w:right w:val="nil"/>
            </w:tcBorders>
            <w:shd w:val="clear" w:color="auto" w:fill="auto"/>
            <w:noWrap/>
            <w:vAlign w:val="center"/>
            <w:hideMark/>
          </w:tcPr>
          <w:p w14:paraId="6C0865E6"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NT</w:t>
            </w:r>
          </w:p>
        </w:tc>
        <w:tc>
          <w:tcPr>
            <w:tcW w:w="780" w:type="dxa"/>
            <w:tcBorders>
              <w:top w:val="single" w:sz="4" w:space="0" w:color="auto"/>
              <w:left w:val="nil"/>
              <w:bottom w:val="single" w:sz="4" w:space="0" w:color="auto"/>
              <w:right w:val="nil"/>
            </w:tcBorders>
            <w:shd w:val="clear" w:color="auto" w:fill="auto"/>
            <w:noWrap/>
            <w:vAlign w:val="center"/>
            <w:hideMark/>
          </w:tcPr>
          <w:p w14:paraId="193A2769"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Redist.</w:t>
            </w:r>
          </w:p>
        </w:tc>
      </w:tr>
      <w:tr w:rsidR="00FB15D1" w:rsidRPr="00F15230" w14:paraId="520607B9" w14:textId="77777777" w:rsidTr="00752C7F">
        <w:trPr>
          <w:trHeight w:val="259"/>
        </w:trPr>
        <w:tc>
          <w:tcPr>
            <w:tcW w:w="2740" w:type="dxa"/>
            <w:tcBorders>
              <w:top w:val="nil"/>
              <w:left w:val="nil"/>
              <w:bottom w:val="nil"/>
              <w:right w:val="nil"/>
            </w:tcBorders>
            <w:shd w:val="clear" w:color="auto" w:fill="auto"/>
            <w:noWrap/>
            <w:vAlign w:val="bottom"/>
            <w:hideMark/>
          </w:tcPr>
          <w:p w14:paraId="06633509"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p>
        </w:tc>
        <w:tc>
          <w:tcPr>
            <w:tcW w:w="700" w:type="dxa"/>
            <w:tcBorders>
              <w:top w:val="nil"/>
              <w:left w:val="nil"/>
              <w:bottom w:val="nil"/>
              <w:right w:val="nil"/>
            </w:tcBorders>
            <w:shd w:val="clear" w:color="auto" w:fill="auto"/>
            <w:noWrap/>
            <w:vAlign w:val="bottom"/>
            <w:hideMark/>
          </w:tcPr>
          <w:p w14:paraId="26F65DA2"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$m</w:t>
            </w:r>
          </w:p>
        </w:tc>
        <w:tc>
          <w:tcPr>
            <w:tcW w:w="760" w:type="dxa"/>
            <w:tcBorders>
              <w:top w:val="nil"/>
              <w:left w:val="nil"/>
              <w:bottom w:val="nil"/>
              <w:right w:val="nil"/>
            </w:tcBorders>
            <w:shd w:val="clear" w:color="auto" w:fill="auto"/>
            <w:noWrap/>
            <w:vAlign w:val="bottom"/>
            <w:hideMark/>
          </w:tcPr>
          <w:p w14:paraId="5472CEA4"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$m</w:t>
            </w:r>
          </w:p>
        </w:tc>
        <w:tc>
          <w:tcPr>
            <w:tcW w:w="640" w:type="dxa"/>
            <w:tcBorders>
              <w:top w:val="nil"/>
              <w:left w:val="nil"/>
              <w:bottom w:val="nil"/>
              <w:right w:val="nil"/>
            </w:tcBorders>
            <w:shd w:val="clear" w:color="auto" w:fill="auto"/>
            <w:noWrap/>
            <w:vAlign w:val="bottom"/>
            <w:hideMark/>
          </w:tcPr>
          <w:p w14:paraId="536E4BA9"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$m</w:t>
            </w:r>
          </w:p>
        </w:tc>
        <w:tc>
          <w:tcPr>
            <w:tcW w:w="640" w:type="dxa"/>
            <w:tcBorders>
              <w:top w:val="nil"/>
              <w:left w:val="nil"/>
              <w:bottom w:val="nil"/>
              <w:right w:val="nil"/>
            </w:tcBorders>
            <w:shd w:val="clear" w:color="auto" w:fill="auto"/>
            <w:noWrap/>
            <w:vAlign w:val="bottom"/>
            <w:hideMark/>
          </w:tcPr>
          <w:p w14:paraId="49596351"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$m</w:t>
            </w:r>
          </w:p>
        </w:tc>
        <w:tc>
          <w:tcPr>
            <w:tcW w:w="640" w:type="dxa"/>
            <w:tcBorders>
              <w:top w:val="nil"/>
              <w:left w:val="nil"/>
              <w:bottom w:val="nil"/>
              <w:right w:val="nil"/>
            </w:tcBorders>
            <w:shd w:val="clear" w:color="auto" w:fill="auto"/>
            <w:noWrap/>
            <w:vAlign w:val="bottom"/>
            <w:hideMark/>
          </w:tcPr>
          <w:p w14:paraId="0543FADD"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$m</w:t>
            </w:r>
          </w:p>
        </w:tc>
        <w:tc>
          <w:tcPr>
            <w:tcW w:w="640" w:type="dxa"/>
            <w:tcBorders>
              <w:top w:val="nil"/>
              <w:left w:val="nil"/>
              <w:bottom w:val="nil"/>
              <w:right w:val="nil"/>
            </w:tcBorders>
            <w:shd w:val="clear" w:color="auto" w:fill="auto"/>
            <w:noWrap/>
            <w:vAlign w:val="bottom"/>
            <w:hideMark/>
          </w:tcPr>
          <w:p w14:paraId="1BFB9AFF"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$m</w:t>
            </w:r>
          </w:p>
        </w:tc>
        <w:tc>
          <w:tcPr>
            <w:tcW w:w="700" w:type="dxa"/>
            <w:tcBorders>
              <w:top w:val="nil"/>
              <w:left w:val="nil"/>
              <w:bottom w:val="nil"/>
              <w:right w:val="nil"/>
            </w:tcBorders>
            <w:shd w:val="clear" w:color="auto" w:fill="auto"/>
            <w:noWrap/>
            <w:vAlign w:val="bottom"/>
            <w:hideMark/>
          </w:tcPr>
          <w:p w14:paraId="1E75F0A5"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$m</w:t>
            </w:r>
          </w:p>
        </w:tc>
        <w:tc>
          <w:tcPr>
            <w:tcW w:w="700" w:type="dxa"/>
            <w:tcBorders>
              <w:top w:val="nil"/>
              <w:left w:val="nil"/>
              <w:bottom w:val="nil"/>
              <w:right w:val="nil"/>
            </w:tcBorders>
            <w:shd w:val="clear" w:color="auto" w:fill="auto"/>
            <w:noWrap/>
            <w:vAlign w:val="bottom"/>
            <w:hideMark/>
          </w:tcPr>
          <w:p w14:paraId="2D9DB2C6"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$m</w:t>
            </w:r>
          </w:p>
        </w:tc>
        <w:tc>
          <w:tcPr>
            <w:tcW w:w="780" w:type="dxa"/>
            <w:tcBorders>
              <w:top w:val="nil"/>
              <w:left w:val="nil"/>
              <w:bottom w:val="nil"/>
              <w:right w:val="nil"/>
            </w:tcBorders>
            <w:shd w:val="clear" w:color="auto" w:fill="auto"/>
            <w:noWrap/>
            <w:vAlign w:val="bottom"/>
            <w:hideMark/>
          </w:tcPr>
          <w:p w14:paraId="15E01EB0"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$m</w:t>
            </w:r>
          </w:p>
        </w:tc>
      </w:tr>
      <w:tr w:rsidR="00FB15D1" w:rsidRPr="00F15230" w14:paraId="5D478945" w14:textId="77777777" w:rsidTr="00752C7F">
        <w:trPr>
          <w:trHeight w:val="315"/>
        </w:trPr>
        <w:tc>
          <w:tcPr>
            <w:tcW w:w="2740" w:type="dxa"/>
            <w:tcBorders>
              <w:top w:val="nil"/>
              <w:left w:val="nil"/>
              <w:bottom w:val="nil"/>
              <w:right w:val="nil"/>
            </w:tcBorders>
            <w:shd w:val="clear" w:color="auto" w:fill="auto"/>
            <w:noWrap/>
            <w:vAlign w:val="bottom"/>
            <w:hideMark/>
          </w:tcPr>
          <w:p w14:paraId="4C63307A" w14:textId="77777777" w:rsidR="00FB15D1" w:rsidRPr="00F15230" w:rsidRDefault="00FB15D1" w:rsidP="00FB15D1">
            <w:pPr>
              <w:keepNext/>
              <w:tabs>
                <w:tab w:val="clear" w:pos="567"/>
              </w:tabs>
              <w:spacing w:after="0" w:line="240" w:lineRule="auto"/>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Admitted patients</w:t>
            </w:r>
          </w:p>
        </w:tc>
        <w:tc>
          <w:tcPr>
            <w:tcW w:w="700" w:type="dxa"/>
            <w:tcBorders>
              <w:top w:val="nil"/>
              <w:left w:val="nil"/>
              <w:bottom w:val="nil"/>
              <w:right w:val="nil"/>
            </w:tcBorders>
            <w:shd w:val="clear" w:color="auto" w:fill="auto"/>
            <w:vAlign w:val="bottom"/>
            <w:hideMark/>
          </w:tcPr>
          <w:p w14:paraId="1447A438"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29</w:t>
            </w:r>
          </w:p>
        </w:tc>
        <w:tc>
          <w:tcPr>
            <w:tcW w:w="760" w:type="dxa"/>
            <w:tcBorders>
              <w:top w:val="nil"/>
              <w:left w:val="nil"/>
              <w:bottom w:val="nil"/>
              <w:right w:val="nil"/>
            </w:tcBorders>
            <w:shd w:val="clear" w:color="auto" w:fill="auto"/>
            <w:vAlign w:val="bottom"/>
            <w:hideMark/>
          </w:tcPr>
          <w:p w14:paraId="1B73C167"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-442</w:t>
            </w:r>
          </w:p>
        </w:tc>
        <w:tc>
          <w:tcPr>
            <w:tcW w:w="640" w:type="dxa"/>
            <w:tcBorders>
              <w:top w:val="nil"/>
              <w:left w:val="nil"/>
              <w:bottom w:val="nil"/>
              <w:right w:val="nil"/>
            </w:tcBorders>
            <w:shd w:val="clear" w:color="auto" w:fill="auto"/>
            <w:vAlign w:val="bottom"/>
            <w:hideMark/>
          </w:tcPr>
          <w:p w14:paraId="42CF43B7"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-23</w:t>
            </w:r>
          </w:p>
        </w:tc>
        <w:tc>
          <w:tcPr>
            <w:tcW w:w="640" w:type="dxa"/>
            <w:tcBorders>
              <w:top w:val="nil"/>
              <w:left w:val="nil"/>
              <w:bottom w:val="nil"/>
              <w:right w:val="nil"/>
            </w:tcBorders>
            <w:shd w:val="clear" w:color="auto" w:fill="auto"/>
            <w:vAlign w:val="bottom"/>
            <w:hideMark/>
          </w:tcPr>
          <w:p w14:paraId="24659F45"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47</w:t>
            </w:r>
          </w:p>
        </w:tc>
        <w:tc>
          <w:tcPr>
            <w:tcW w:w="640" w:type="dxa"/>
            <w:tcBorders>
              <w:top w:val="nil"/>
              <w:left w:val="nil"/>
              <w:bottom w:val="nil"/>
              <w:right w:val="nil"/>
            </w:tcBorders>
            <w:shd w:val="clear" w:color="auto" w:fill="auto"/>
            <w:vAlign w:val="bottom"/>
            <w:hideMark/>
          </w:tcPr>
          <w:p w14:paraId="699BE119"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162</w:t>
            </w:r>
          </w:p>
        </w:tc>
        <w:tc>
          <w:tcPr>
            <w:tcW w:w="640" w:type="dxa"/>
            <w:tcBorders>
              <w:top w:val="nil"/>
              <w:left w:val="nil"/>
              <w:bottom w:val="nil"/>
              <w:right w:val="nil"/>
            </w:tcBorders>
            <w:shd w:val="clear" w:color="auto" w:fill="auto"/>
            <w:vAlign w:val="bottom"/>
            <w:hideMark/>
          </w:tcPr>
          <w:p w14:paraId="1C175D6B"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124</w:t>
            </w:r>
          </w:p>
        </w:tc>
        <w:tc>
          <w:tcPr>
            <w:tcW w:w="700" w:type="dxa"/>
            <w:tcBorders>
              <w:top w:val="nil"/>
              <w:left w:val="nil"/>
              <w:bottom w:val="nil"/>
              <w:right w:val="nil"/>
            </w:tcBorders>
            <w:shd w:val="clear" w:color="auto" w:fill="auto"/>
            <w:vAlign w:val="bottom"/>
            <w:hideMark/>
          </w:tcPr>
          <w:p w14:paraId="47678379"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-92</w:t>
            </w:r>
          </w:p>
        </w:tc>
        <w:tc>
          <w:tcPr>
            <w:tcW w:w="700" w:type="dxa"/>
            <w:tcBorders>
              <w:top w:val="nil"/>
              <w:left w:val="nil"/>
              <w:bottom w:val="nil"/>
              <w:right w:val="nil"/>
            </w:tcBorders>
            <w:shd w:val="clear" w:color="auto" w:fill="auto"/>
            <w:vAlign w:val="bottom"/>
            <w:hideMark/>
          </w:tcPr>
          <w:p w14:paraId="692B9C3C"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194</w:t>
            </w:r>
          </w:p>
        </w:tc>
        <w:tc>
          <w:tcPr>
            <w:tcW w:w="780" w:type="dxa"/>
            <w:tcBorders>
              <w:top w:val="nil"/>
              <w:left w:val="nil"/>
              <w:bottom w:val="nil"/>
              <w:right w:val="nil"/>
            </w:tcBorders>
            <w:shd w:val="clear" w:color="auto" w:fill="auto"/>
            <w:vAlign w:val="bottom"/>
            <w:hideMark/>
          </w:tcPr>
          <w:p w14:paraId="49159D7C"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557</w:t>
            </w:r>
          </w:p>
        </w:tc>
      </w:tr>
      <w:tr w:rsidR="00FB15D1" w:rsidRPr="00F15230" w14:paraId="42ED41EC" w14:textId="77777777" w:rsidTr="00752C7F">
        <w:trPr>
          <w:trHeight w:val="315"/>
        </w:trPr>
        <w:tc>
          <w:tcPr>
            <w:tcW w:w="2740" w:type="dxa"/>
            <w:tcBorders>
              <w:top w:val="nil"/>
              <w:left w:val="nil"/>
              <w:bottom w:val="nil"/>
              <w:right w:val="nil"/>
            </w:tcBorders>
            <w:shd w:val="clear" w:color="auto" w:fill="auto"/>
            <w:noWrap/>
            <w:vAlign w:val="bottom"/>
            <w:hideMark/>
          </w:tcPr>
          <w:p w14:paraId="1C69F323" w14:textId="77777777" w:rsidR="00FB15D1" w:rsidRPr="00F15230" w:rsidRDefault="00FB15D1" w:rsidP="00FB15D1">
            <w:pPr>
              <w:keepNext/>
              <w:tabs>
                <w:tab w:val="clear" w:pos="567"/>
              </w:tabs>
              <w:spacing w:after="0" w:line="240" w:lineRule="auto"/>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Emergency Department</w:t>
            </w:r>
          </w:p>
        </w:tc>
        <w:tc>
          <w:tcPr>
            <w:tcW w:w="700" w:type="dxa"/>
            <w:tcBorders>
              <w:top w:val="nil"/>
              <w:left w:val="nil"/>
              <w:bottom w:val="nil"/>
              <w:right w:val="nil"/>
            </w:tcBorders>
            <w:shd w:val="clear" w:color="auto" w:fill="auto"/>
            <w:noWrap/>
            <w:vAlign w:val="bottom"/>
            <w:hideMark/>
          </w:tcPr>
          <w:p w14:paraId="27A13BBD"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-58</w:t>
            </w:r>
          </w:p>
        </w:tc>
        <w:tc>
          <w:tcPr>
            <w:tcW w:w="760" w:type="dxa"/>
            <w:tcBorders>
              <w:top w:val="nil"/>
              <w:left w:val="nil"/>
              <w:bottom w:val="nil"/>
              <w:right w:val="nil"/>
            </w:tcBorders>
            <w:shd w:val="clear" w:color="auto" w:fill="auto"/>
            <w:noWrap/>
            <w:vAlign w:val="bottom"/>
            <w:hideMark/>
          </w:tcPr>
          <w:p w14:paraId="6F7D9A13"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-102</w:t>
            </w:r>
          </w:p>
        </w:tc>
        <w:tc>
          <w:tcPr>
            <w:tcW w:w="640" w:type="dxa"/>
            <w:tcBorders>
              <w:top w:val="nil"/>
              <w:left w:val="nil"/>
              <w:bottom w:val="nil"/>
              <w:right w:val="nil"/>
            </w:tcBorders>
            <w:shd w:val="clear" w:color="auto" w:fill="auto"/>
            <w:noWrap/>
            <w:vAlign w:val="bottom"/>
            <w:hideMark/>
          </w:tcPr>
          <w:p w14:paraId="408CB1A1"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42</w:t>
            </w:r>
          </w:p>
        </w:tc>
        <w:tc>
          <w:tcPr>
            <w:tcW w:w="640" w:type="dxa"/>
            <w:tcBorders>
              <w:top w:val="nil"/>
              <w:left w:val="nil"/>
              <w:bottom w:val="nil"/>
              <w:right w:val="nil"/>
            </w:tcBorders>
            <w:shd w:val="clear" w:color="auto" w:fill="auto"/>
            <w:noWrap/>
            <w:vAlign w:val="bottom"/>
            <w:hideMark/>
          </w:tcPr>
          <w:p w14:paraId="70874886"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34</w:t>
            </w:r>
          </w:p>
        </w:tc>
        <w:tc>
          <w:tcPr>
            <w:tcW w:w="640" w:type="dxa"/>
            <w:tcBorders>
              <w:top w:val="nil"/>
              <w:left w:val="nil"/>
              <w:bottom w:val="nil"/>
              <w:right w:val="nil"/>
            </w:tcBorders>
            <w:shd w:val="clear" w:color="auto" w:fill="auto"/>
            <w:noWrap/>
            <w:vAlign w:val="bottom"/>
            <w:hideMark/>
          </w:tcPr>
          <w:p w14:paraId="10F6311F"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14</w:t>
            </w:r>
          </w:p>
        </w:tc>
        <w:tc>
          <w:tcPr>
            <w:tcW w:w="640" w:type="dxa"/>
            <w:tcBorders>
              <w:top w:val="nil"/>
              <w:left w:val="nil"/>
              <w:bottom w:val="nil"/>
              <w:right w:val="nil"/>
            </w:tcBorders>
            <w:shd w:val="clear" w:color="auto" w:fill="auto"/>
            <w:noWrap/>
            <w:vAlign w:val="bottom"/>
            <w:hideMark/>
          </w:tcPr>
          <w:p w14:paraId="4FC73014"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32</w:t>
            </w:r>
          </w:p>
        </w:tc>
        <w:tc>
          <w:tcPr>
            <w:tcW w:w="700" w:type="dxa"/>
            <w:tcBorders>
              <w:top w:val="nil"/>
              <w:left w:val="nil"/>
              <w:bottom w:val="nil"/>
              <w:right w:val="nil"/>
            </w:tcBorders>
            <w:shd w:val="clear" w:color="auto" w:fill="auto"/>
            <w:noWrap/>
            <w:vAlign w:val="bottom"/>
            <w:hideMark/>
          </w:tcPr>
          <w:p w14:paraId="278C437D"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-15</w:t>
            </w:r>
          </w:p>
        </w:tc>
        <w:tc>
          <w:tcPr>
            <w:tcW w:w="700" w:type="dxa"/>
            <w:tcBorders>
              <w:top w:val="nil"/>
              <w:left w:val="nil"/>
              <w:bottom w:val="nil"/>
              <w:right w:val="nil"/>
            </w:tcBorders>
            <w:shd w:val="clear" w:color="auto" w:fill="auto"/>
            <w:noWrap/>
            <w:vAlign w:val="bottom"/>
            <w:hideMark/>
          </w:tcPr>
          <w:p w14:paraId="4B05CC2E"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52</w:t>
            </w:r>
          </w:p>
        </w:tc>
        <w:tc>
          <w:tcPr>
            <w:tcW w:w="780" w:type="dxa"/>
            <w:tcBorders>
              <w:top w:val="nil"/>
              <w:left w:val="nil"/>
              <w:bottom w:val="nil"/>
              <w:right w:val="nil"/>
            </w:tcBorders>
            <w:shd w:val="clear" w:color="auto" w:fill="auto"/>
            <w:noWrap/>
            <w:vAlign w:val="bottom"/>
            <w:hideMark/>
          </w:tcPr>
          <w:p w14:paraId="3876DC46"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174</w:t>
            </w:r>
          </w:p>
        </w:tc>
      </w:tr>
      <w:tr w:rsidR="00FB15D1" w:rsidRPr="00F15230" w14:paraId="2B09E3C5" w14:textId="77777777" w:rsidTr="00752C7F">
        <w:trPr>
          <w:trHeight w:val="315"/>
        </w:trPr>
        <w:tc>
          <w:tcPr>
            <w:tcW w:w="2740" w:type="dxa"/>
            <w:tcBorders>
              <w:top w:val="nil"/>
              <w:left w:val="nil"/>
              <w:bottom w:val="nil"/>
              <w:right w:val="nil"/>
            </w:tcBorders>
            <w:shd w:val="clear" w:color="auto" w:fill="auto"/>
            <w:noWrap/>
            <w:vAlign w:val="bottom"/>
            <w:hideMark/>
          </w:tcPr>
          <w:p w14:paraId="2306C211" w14:textId="77777777" w:rsidR="00FB15D1" w:rsidRPr="00F15230" w:rsidRDefault="00FB15D1" w:rsidP="00FB15D1">
            <w:pPr>
              <w:keepNext/>
              <w:tabs>
                <w:tab w:val="clear" w:pos="567"/>
              </w:tabs>
              <w:spacing w:after="0" w:line="240" w:lineRule="auto"/>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Non-admitted patients</w:t>
            </w:r>
          </w:p>
        </w:tc>
        <w:tc>
          <w:tcPr>
            <w:tcW w:w="700" w:type="dxa"/>
            <w:tcBorders>
              <w:top w:val="nil"/>
              <w:left w:val="nil"/>
              <w:bottom w:val="nil"/>
              <w:right w:val="nil"/>
            </w:tcBorders>
            <w:shd w:val="clear" w:color="auto" w:fill="auto"/>
            <w:noWrap/>
            <w:vAlign w:val="bottom"/>
            <w:hideMark/>
          </w:tcPr>
          <w:p w14:paraId="554FDD04"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-108</w:t>
            </w:r>
          </w:p>
        </w:tc>
        <w:tc>
          <w:tcPr>
            <w:tcW w:w="760" w:type="dxa"/>
            <w:tcBorders>
              <w:top w:val="nil"/>
              <w:left w:val="nil"/>
              <w:bottom w:val="nil"/>
              <w:right w:val="nil"/>
            </w:tcBorders>
            <w:shd w:val="clear" w:color="auto" w:fill="auto"/>
            <w:noWrap/>
            <w:vAlign w:val="bottom"/>
            <w:hideMark/>
          </w:tcPr>
          <w:p w14:paraId="73DED04C"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-81</w:t>
            </w:r>
          </w:p>
        </w:tc>
        <w:tc>
          <w:tcPr>
            <w:tcW w:w="640" w:type="dxa"/>
            <w:tcBorders>
              <w:top w:val="nil"/>
              <w:left w:val="nil"/>
              <w:bottom w:val="nil"/>
              <w:right w:val="nil"/>
            </w:tcBorders>
            <w:shd w:val="clear" w:color="auto" w:fill="auto"/>
            <w:noWrap/>
            <w:vAlign w:val="bottom"/>
            <w:hideMark/>
          </w:tcPr>
          <w:p w14:paraId="45E9D863"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8</w:t>
            </w:r>
          </w:p>
        </w:tc>
        <w:tc>
          <w:tcPr>
            <w:tcW w:w="640" w:type="dxa"/>
            <w:tcBorders>
              <w:top w:val="nil"/>
              <w:left w:val="nil"/>
              <w:bottom w:val="nil"/>
              <w:right w:val="nil"/>
            </w:tcBorders>
            <w:shd w:val="clear" w:color="auto" w:fill="auto"/>
            <w:noWrap/>
            <w:vAlign w:val="bottom"/>
            <w:hideMark/>
          </w:tcPr>
          <w:p w14:paraId="371F33A5"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67</w:t>
            </w:r>
          </w:p>
        </w:tc>
        <w:tc>
          <w:tcPr>
            <w:tcW w:w="640" w:type="dxa"/>
            <w:tcBorders>
              <w:top w:val="nil"/>
              <w:left w:val="nil"/>
              <w:bottom w:val="nil"/>
              <w:right w:val="nil"/>
            </w:tcBorders>
            <w:shd w:val="clear" w:color="auto" w:fill="auto"/>
            <w:noWrap/>
            <w:vAlign w:val="bottom"/>
            <w:hideMark/>
          </w:tcPr>
          <w:p w14:paraId="430D0713"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37</w:t>
            </w:r>
          </w:p>
        </w:tc>
        <w:tc>
          <w:tcPr>
            <w:tcW w:w="640" w:type="dxa"/>
            <w:tcBorders>
              <w:top w:val="nil"/>
              <w:left w:val="nil"/>
              <w:bottom w:val="nil"/>
              <w:right w:val="nil"/>
            </w:tcBorders>
            <w:shd w:val="clear" w:color="auto" w:fill="auto"/>
            <w:noWrap/>
            <w:vAlign w:val="bottom"/>
            <w:hideMark/>
          </w:tcPr>
          <w:p w14:paraId="65D53E57"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30</w:t>
            </w:r>
          </w:p>
        </w:tc>
        <w:tc>
          <w:tcPr>
            <w:tcW w:w="700" w:type="dxa"/>
            <w:tcBorders>
              <w:top w:val="nil"/>
              <w:left w:val="nil"/>
              <w:bottom w:val="nil"/>
              <w:right w:val="nil"/>
            </w:tcBorders>
            <w:shd w:val="clear" w:color="auto" w:fill="auto"/>
            <w:noWrap/>
            <w:vAlign w:val="bottom"/>
            <w:hideMark/>
          </w:tcPr>
          <w:p w14:paraId="40C572A9"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-13</w:t>
            </w:r>
          </w:p>
        </w:tc>
        <w:tc>
          <w:tcPr>
            <w:tcW w:w="700" w:type="dxa"/>
            <w:tcBorders>
              <w:top w:val="nil"/>
              <w:left w:val="nil"/>
              <w:bottom w:val="nil"/>
              <w:right w:val="nil"/>
            </w:tcBorders>
            <w:shd w:val="clear" w:color="auto" w:fill="auto"/>
            <w:noWrap/>
            <w:vAlign w:val="bottom"/>
            <w:hideMark/>
          </w:tcPr>
          <w:p w14:paraId="71CC9C2D"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60</w:t>
            </w:r>
          </w:p>
        </w:tc>
        <w:tc>
          <w:tcPr>
            <w:tcW w:w="780" w:type="dxa"/>
            <w:tcBorders>
              <w:top w:val="nil"/>
              <w:left w:val="nil"/>
              <w:bottom w:val="nil"/>
              <w:right w:val="nil"/>
            </w:tcBorders>
            <w:shd w:val="clear" w:color="auto" w:fill="auto"/>
            <w:noWrap/>
            <w:vAlign w:val="bottom"/>
            <w:hideMark/>
          </w:tcPr>
          <w:p w14:paraId="519061EF"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203</w:t>
            </w:r>
          </w:p>
        </w:tc>
      </w:tr>
      <w:tr w:rsidR="00FB15D1" w:rsidRPr="00F15230" w14:paraId="48D2C86C" w14:textId="77777777" w:rsidTr="00752C7F">
        <w:trPr>
          <w:trHeight w:val="315"/>
        </w:trPr>
        <w:tc>
          <w:tcPr>
            <w:tcW w:w="2740" w:type="dxa"/>
            <w:tcBorders>
              <w:top w:val="nil"/>
              <w:left w:val="nil"/>
              <w:bottom w:val="nil"/>
              <w:right w:val="nil"/>
            </w:tcBorders>
            <w:shd w:val="clear" w:color="auto" w:fill="auto"/>
            <w:vAlign w:val="bottom"/>
            <w:hideMark/>
          </w:tcPr>
          <w:p w14:paraId="3573BD28" w14:textId="77777777" w:rsidR="00FB15D1" w:rsidRPr="00F15230" w:rsidRDefault="00FB15D1" w:rsidP="00FB15D1">
            <w:pPr>
              <w:keepNext/>
              <w:tabs>
                <w:tab w:val="clear" w:pos="567"/>
              </w:tabs>
              <w:spacing w:after="0" w:line="240" w:lineRule="auto"/>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Community and other health</w:t>
            </w:r>
          </w:p>
        </w:tc>
        <w:tc>
          <w:tcPr>
            <w:tcW w:w="700" w:type="dxa"/>
            <w:tcBorders>
              <w:top w:val="nil"/>
              <w:left w:val="nil"/>
              <w:bottom w:val="nil"/>
              <w:right w:val="nil"/>
            </w:tcBorders>
            <w:shd w:val="clear" w:color="auto" w:fill="auto"/>
            <w:noWrap/>
            <w:vAlign w:val="bottom"/>
            <w:hideMark/>
          </w:tcPr>
          <w:p w14:paraId="342C7109"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-295</w:t>
            </w:r>
          </w:p>
        </w:tc>
        <w:tc>
          <w:tcPr>
            <w:tcW w:w="760" w:type="dxa"/>
            <w:tcBorders>
              <w:top w:val="nil"/>
              <w:left w:val="nil"/>
              <w:bottom w:val="nil"/>
              <w:right w:val="nil"/>
            </w:tcBorders>
            <w:shd w:val="clear" w:color="auto" w:fill="auto"/>
            <w:noWrap/>
            <w:vAlign w:val="bottom"/>
            <w:hideMark/>
          </w:tcPr>
          <w:p w14:paraId="27F94761"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-296</w:t>
            </w:r>
          </w:p>
        </w:tc>
        <w:tc>
          <w:tcPr>
            <w:tcW w:w="640" w:type="dxa"/>
            <w:tcBorders>
              <w:top w:val="nil"/>
              <w:left w:val="nil"/>
              <w:bottom w:val="nil"/>
              <w:right w:val="nil"/>
            </w:tcBorders>
            <w:shd w:val="clear" w:color="auto" w:fill="auto"/>
            <w:noWrap/>
            <w:vAlign w:val="bottom"/>
            <w:hideMark/>
          </w:tcPr>
          <w:p w14:paraId="2134174D"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126</w:t>
            </w:r>
          </w:p>
        </w:tc>
        <w:tc>
          <w:tcPr>
            <w:tcW w:w="640" w:type="dxa"/>
            <w:tcBorders>
              <w:top w:val="nil"/>
              <w:left w:val="nil"/>
              <w:bottom w:val="nil"/>
              <w:right w:val="nil"/>
            </w:tcBorders>
            <w:shd w:val="clear" w:color="auto" w:fill="auto"/>
            <w:noWrap/>
            <w:vAlign w:val="bottom"/>
            <w:hideMark/>
          </w:tcPr>
          <w:p w14:paraId="666EAE40"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204</w:t>
            </w:r>
          </w:p>
        </w:tc>
        <w:tc>
          <w:tcPr>
            <w:tcW w:w="640" w:type="dxa"/>
            <w:tcBorders>
              <w:top w:val="nil"/>
              <w:left w:val="nil"/>
              <w:bottom w:val="nil"/>
              <w:right w:val="nil"/>
            </w:tcBorders>
            <w:shd w:val="clear" w:color="auto" w:fill="auto"/>
            <w:noWrap/>
            <w:vAlign w:val="bottom"/>
            <w:hideMark/>
          </w:tcPr>
          <w:p w14:paraId="3F1FBFD1"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28</w:t>
            </w:r>
          </w:p>
        </w:tc>
        <w:tc>
          <w:tcPr>
            <w:tcW w:w="640" w:type="dxa"/>
            <w:tcBorders>
              <w:top w:val="nil"/>
              <w:left w:val="nil"/>
              <w:bottom w:val="nil"/>
              <w:right w:val="nil"/>
            </w:tcBorders>
            <w:shd w:val="clear" w:color="auto" w:fill="auto"/>
            <w:noWrap/>
            <w:vAlign w:val="bottom"/>
            <w:hideMark/>
          </w:tcPr>
          <w:p w14:paraId="400E845A"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114</w:t>
            </w:r>
          </w:p>
        </w:tc>
        <w:tc>
          <w:tcPr>
            <w:tcW w:w="700" w:type="dxa"/>
            <w:tcBorders>
              <w:top w:val="nil"/>
              <w:left w:val="nil"/>
              <w:bottom w:val="nil"/>
              <w:right w:val="nil"/>
            </w:tcBorders>
            <w:shd w:val="clear" w:color="auto" w:fill="auto"/>
            <w:noWrap/>
            <w:vAlign w:val="bottom"/>
            <w:hideMark/>
          </w:tcPr>
          <w:p w14:paraId="07F838DB"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10</w:t>
            </w:r>
          </w:p>
        </w:tc>
        <w:tc>
          <w:tcPr>
            <w:tcW w:w="700" w:type="dxa"/>
            <w:tcBorders>
              <w:top w:val="nil"/>
              <w:left w:val="nil"/>
              <w:bottom w:val="nil"/>
              <w:right w:val="nil"/>
            </w:tcBorders>
            <w:shd w:val="clear" w:color="auto" w:fill="auto"/>
            <w:noWrap/>
            <w:vAlign w:val="bottom"/>
            <w:hideMark/>
          </w:tcPr>
          <w:p w14:paraId="58A9D9F6"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109</w:t>
            </w:r>
          </w:p>
        </w:tc>
        <w:tc>
          <w:tcPr>
            <w:tcW w:w="780" w:type="dxa"/>
            <w:tcBorders>
              <w:top w:val="nil"/>
              <w:left w:val="nil"/>
              <w:bottom w:val="nil"/>
              <w:right w:val="nil"/>
            </w:tcBorders>
            <w:shd w:val="clear" w:color="auto" w:fill="auto"/>
            <w:noWrap/>
            <w:vAlign w:val="bottom"/>
            <w:hideMark/>
          </w:tcPr>
          <w:p w14:paraId="071B993F"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591</w:t>
            </w:r>
          </w:p>
        </w:tc>
      </w:tr>
      <w:tr w:rsidR="00FB15D1" w:rsidRPr="00F15230" w14:paraId="58BCCD90" w14:textId="77777777" w:rsidTr="00752C7F">
        <w:trPr>
          <w:trHeight w:val="315"/>
        </w:trPr>
        <w:tc>
          <w:tcPr>
            <w:tcW w:w="2740" w:type="dxa"/>
            <w:tcBorders>
              <w:top w:val="nil"/>
              <w:left w:val="nil"/>
              <w:bottom w:val="nil"/>
              <w:right w:val="nil"/>
            </w:tcBorders>
            <w:shd w:val="clear" w:color="auto" w:fill="auto"/>
            <w:vAlign w:val="bottom"/>
            <w:hideMark/>
          </w:tcPr>
          <w:p w14:paraId="595FBC76" w14:textId="77777777" w:rsidR="00FB15D1" w:rsidRPr="00F15230" w:rsidRDefault="00FB15D1" w:rsidP="00FB15D1">
            <w:pPr>
              <w:keepNext/>
              <w:tabs>
                <w:tab w:val="clear" w:pos="567"/>
              </w:tabs>
              <w:spacing w:after="0" w:line="240" w:lineRule="auto"/>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Non-hospital patient transport</w:t>
            </w:r>
          </w:p>
        </w:tc>
        <w:tc>
          <w:tcPr>
            <w:tcW w:w="700" w:type="dxa"/>
            <w:tcBorders>
              <w:top w:val="nil"/>
              <w:left w:val="nil"/>
              <w:bottom w:val="single" w:sz="4" w:space="0" w:color="auto"/>
              <w:right w:val="nil"/>
            </w:tcBorders>
            <w:shd w:val="clear" w:color="auto" w:fill="auto"/>
            <w:noWrap/>
            <w:vAlign w:val="bottom"/>
            <w:hideMark/>
          </w:tcPr>
          <w:p w14:paraId="48CDE3EB"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-57</w:t>
            </w:r>
          </w:p>
        </w:tc>
        <w:tc>
          <w:tcPr>
            <w:tcW w:w="760" w:type="dxa"/>
            <w:tcBorders>
              <w:top w:val="nil"/>
              <w:left w:val="nil"/>
              <w:bottom w:val="single" w:sz="4" w:space="0" w:color="auto"/>
              <w:right w:val="nil"/>
            </w:tcBorders>
            <w:shd w:val="clear" w:color="auto" w:fill="auto"/>
            <w:noWrap/>
            <w:vAlign w:val="bottom"/>
            <w:hideMark/>
          </w:tcPr>
          <w:p w14:paraId="1DAD7B2D"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-59</w:t>
            </w:r>
          </w:p>
        </w:tc>
        <w:tc>
          <w:tcPr>
            <w:tcW w:w="640" w:type="dxa"/>
            <w:tcBorders>
              <w:top w:val="nil"/>
              <w:left w:val="nil"/>
              <w:bottom w:val="single" w:sz="4" w:space="0" w:color="auto"/>
              <w:right w:val="nil"/>
            </w:tcBorders>
            <w:shd w:val="clear" w:color="auto" w:fill="auto"/>
            <w:noWrap/>
            <w:vAlign w:val="bottom"/>
            <w:hideMark/>
          </w:tcPr>
          <w:p w14:paraId="235B27CB"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14</w:t>
            </w:r>
          </w:p>
        </w:tc>
        <w:tc>
          <w:tcPr>
            <w:tcW w:w="640" w:type="dxa"/>
            <w:tcBorders>
              <w:top w:val="nil"/>
              <w:left w:val="nil"/>
              <w:bottom w:val="single" w:sz="4" w:space="0" w:color="auto"/>
              <w:right w:val="nil"/>
            </w:tcBorders>
            <w:shd w:val="clear" w:color="auto" w:fill="auto"/>
            <w:noWrap/>
            <w:vAlign w:val="bottom"/>
            <w:hideMark/>
          </w:tcPr>
          <w:p w14:paraId="7B12644B"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53</w:t>
            </w:r>
          </w:p>
        </w:tc>
        <w:tc>
          <w:tcPr>
            <w:tcW w:w="640" w:type="dxa"/>
            <w:tcBorders>
              <w:top w:val="nil"/>
              <w:left w:val="nil"/>
              <w:bottom w:val="single" w:sz="4" w:space="0" w:color="auto"/>
              <w:right w:val="nil"/>
            </w:tcBorders>
            <w:shd w:val="clear" w:color="auto" w:fill="auto"/>
            <w:noWrap/>
            <w:vAlign w:val="bottom"/>
            <w:hideMark/>
          </w:tcPr>
          <w:p w14:paraId="0B9E9161"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10</w:t>
            </w:r>
          </w:p>
        </w:tc>
        <w:tc>
          <w:tcPr>
            <w:tcW w:w="640" w:type="dxa"/>
            <w:tcBorders>
              <w:top w:val="nil"/>
              <w:left w:val="nil"/>
              <w:bottom w:val="single" w:sz="4" w:space="0" w:color="auto"/>
              <w:right w:val="nil"/>
            </w:tcBorders>
            <w:shd w:val="clear" w:color="auto" w:fill="auto"/>
            <w:noWrap/>
            <w:vAlign w:val="bottom"/>
            <w:hideMark/>
          </w:tcPr>
          <w:p w14:paraId="5D3BDA94"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w:t>
            </w:r>
          </w:p>
        </w:tc>
        <w:tc>
          <w:tcPr>
            <w:tcW w:w="700" w:type="dxa"/>
            <w:tcBorders>
              <w:top w:val="nil"/>
              <w:left w:val="nil"/>
              <w:bottom w:val="single" w:sz="4" w:space="0" w:color="auto"/>
              <w:right w:val="nil"/>
            </w:tcBorders>
            <w:shd w:val="clear" w:color="auto" w:fill="auto"/>
            <w:noWrap/>
            <w:vAlign w:val="bottom"/>
            <w:hideMark/>
          </w:tcPr>
          <w:p w14:paraId="5C3D3D46"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-4</w:t>
            </w:r>
          </w:p>
        </w:tc>
        <w:tc>
          <w:tcPr>
            <w:tcW w:w="700" w:type="dxa"/>
            <w:tcBorders>
              <w:top w:val="nil"/>
              <w:left w:val="nil"/>
              <w:bottom w:val="single" w:sz="4" w:space="0" w:color="auto"/>
              <w:right w:val="nil"/>
            </w:tcBorders>
            <w:shd w:val="clear" w:color="auto" w:fill="auto"/>
            <w:noWrap/>
            <w:vAlign w:val="bottom"/>
            <w:hideMark/>
          </w:tcPr>
          <w:p w14:paraId="34649AA5"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45</w:t>
            </w:r>
          </w:p>
        </w:tc>
        <w:tc>
          <w:tcPr>
            <w:tcW w:w="780" w:type="dxa"/>
            <w:tcBorders>
              <w:top w:val="nil"/>
              <w:left w:val="nil"/>
              <w:bottom w:val="single" w:sz="4" w:space="0" w:color="auto"/>
              <w:right w:val="nil"/>
            </w:tcBorders>
            <w:shd w:val="clear" w:color="auto" w:fill="auto"/>
            <w:noWrap/>
            <w:vAlign w:val="bottom"/>
            <w:hideMark/>
          </w:tcPr>
          <w:p w14:paraId="128D7B38"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121</w:t>
            </w:r>
          </w:p>
        </w:tc>
      </w:tr>
      <w:tr w:rsidR="00FB15D1" w:rsidRPr="00F15230" w14:paraId="1415DC6A" w14:textId="77777777" w:rsidTr="00752C7F">
        <w:trPr>
          <w:trHeight w:val="315"/>
        </w:trPr>
        <w:tc>
          <w:tcPr>
            <w:tcW w:w="2740" w:type="dxa"/>
            <w:tcBorders>
              <w:top w:val="nil"/>
              <w:left w:val="nil"/>
              <w:bottom w:val="nil"/>
              <w:right w:val="nil"/>
            </w:tcBorders>
            <w:shd w:val="clear" w:color="auto" w:fill="auto"/>
            <w:noWrap/>
            <w:vAlign w:val="bottom"/>
            <w:hideMark/>
          </w:tcPr>
          <w:p w14:paraId="5E26EC52" w14:textId="77777777" w:rsidR="00FB15D1" w:rsidRPr="00F15230" w:rsidRDefault="00FB15D1" w:rsidP="00FB15D1">
            <w:pPr>
              <w:keepNext/>
              <w:tabs>
                <w:tab w:val="clear" w:pos="567"/>
              </w:tabs>
              <w:spacing w:after="0" w:line="240" w:lineRule="auto"/>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Total ($m)</w:t>
            </w:r>
          </w:p>
        </w:tc>
        <w:tc>
          <w:tcPr>
            <w:tcW w:w="700" w:type="dxa"/>
            <w:tcBorders>
              <w:top w:val="nil"/>
              <w:left w:val="nil"/>
              <w:bottom w:val="nil"/>
              <w:right w:val="nil"/>
            </w:tcBorders>
            <w:shd w:val="clear" w:color="auto" w:fill="auto"/>
            <w:noWrap/>
            <w:vAlign w:val="bottom"/>
            <w:hideMark/>
          </w:tcPr>
          <w:p w14:paraId="1644EBEB"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-489</w:t>
            </w:r>
          </w:p>
        </w:tc>
        <w:tc>
          <w:tcPr>
            <w:tcW w:w="760" w:type="dxa"/>
            <w:tcBorders>
              <w:top w:val="nil"/>
              <w:left w:val="nil"/>
              <w:bottom w:val="nil"/>
              <w:right w:val="nil"/>
            </w:tcBorders>
            <w:shd w:val="clear" w:color="auto" w:fill="auto"/>
            <w:noWrap/>
            <w:vAlign w:val="bottom"/>
            <w:hideMark/>
          </w:tcPr>
          <w:p w14:paraId="6D1B5FF3"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-980</w:t>
            </w:r>
          </w:p>
        </w:tc>
        <w:tc>
          <w:tcPr>
            <w:tcW w:w="640" w:type="dxa"/>
            <w:tcBorders>
              <w:top w:val="nil"/>
              <w:left w:val="nil"/>
              <w:bottom w:val="nil"/>
              <w:right w:val="nil"/>
            </w:tcBorders>
            <w:shd w:val="clear" w:color="auto" w:fill="auto"/>
            <w:noWrap/>
            <w:vAlign w:val="bottom"/>
            <w:hideMark/>
          </w:tcPr>
          <w:p w14:paraId="4E3CD55A"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167</w:t>
            </w:r>
          </w:p>
        </w:tc>
        <w:tc>
          <w:tcPr>
            <w:tcW w:w="640" w:type="dxa"/>
            <w:tcBorders>
              <w:top w:val="nil"/>
              <w:left w:val="nil"/>
              <w:bottom w:val="nil"/>
              <w:right w:val="nil"/>
            </w:tcBorders>
            <w:shd w:val="clear" w:color="auto" w:fill="auto"/>
            <w:noWrap/>
            <w:vAlign w:val="bottom"/>
            <w:hideMark/>
          </w:tcPr>
          <w:p w14:paraId="0ED1C314"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405</w:t>
            </w:r>
          </w:p>
        </w:tc>
        <w:tc>
          <w:tcPr>
            <w:tcW w:w="640" w:type="dxa"/>
            <w:tcBorders>
              <w:top w:val="nil"/>
              <w:left w:val="nil"/>
              <w:bottom w:val="nil"/>
              <w:right w:val="nil"/>
            </w:tcBorders>
            <w:shd w:val="clear" w:color="auto" w:fill="auto"/>
            <w:noWrap/>
            <w:vAlign w:val="bottom"/>
            <w:hideMark/>
          </w:tcPr>
          <w:p w14:paraId="20358087"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251</w:t>
            </w:r>
          </w:p>
        </w:tc>
        <w:tc>
          <w:tcPr>
            <w:tcW w:w="640" w:type="dxa"/>
            <w:tcBorders>
              <w:top w:val="nil"/>
              <w:left w:val="nil"/>
              <w:bottom w:val="nil"/>
              <w:right w:val="nil"/>
            </w:tcBorders>
            <w:shd w:val="clear" w:color="auto" w:fill="auto"/>
            <w:noWrap/>
            <w:vAlign w:val="bottom"/>
            <w:hideMark/>
          </w:tcPr>
          <w:p w14:paraId="3F907F9A"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299</w:t>
            </w:r>
          </w:p>
        </w:tc>
        <w:tc>
          <w:tcPr>
            <w:tcW w:w="700" w:type="dxa"/>
            <w:tcBorders>
              <w:top w:val="nil"/>
              <w:left w:val="nil"/>
              <w:bottom w:val="nil"/>
              <w:right w:val="nil"/>
            </w:tcBorders>
            <w:shd w:val="clear" w:color="auto" w:fill="auto"/>
            <w:noWrap/>
            <w:vAlign w:val="bottom"/>
            <w:hideMark/>
          </w:tcPr>
          <w:p w14:paraId="257C1881"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-113</w:t>
            </w:r>
          </w:p>
        </w:tc>
        <w:tc>
          <w:tcPr>
            <w:tcW w:w="700" w:type="dxa"/>
            <w:tcBorders>
              <w:top w:val="nil"/>
              <w:left w:val="nil"/>
              <w:bottom w:val="nil"/>
              <w:right w:val="nil"/>
            </w:tcBorders>
            <w:shd w:val="clear" w:color="auto" w:fill="auto"/>
            <w:noWrap/>
            <w:vAlign w:val="bottom"/>
            <w:hideMark/>
          </w:tcPr>
          <w:p w14:paraId="24C4D35F"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460</w:t>
            </w:r>
          </w:p>
        </w:tc>
        <w:tc>
          <w:tcPr>
            <w:tcW w:w="780" w:type="dxa"/>
            <w:tcBorders>
              <w:top w:val="nil"/>
              <w:left w:val="nil"/>
              <w:bottom w:val="nil"/>
              <w:right w:val="nil"/>
            </w:tcBorders>
            <w:shd w:val="clear" w:color="auto" w:fill="auto"/>
            <w:noWrap/>
            <w:vAlign w:val="bottom"/>
            <w:hideMark/>
          </w:tcPr>
          <w:p w14:paraId="2DEDBA6E"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1 583</w:t>
            </w:r>
          </w:p>
        </w:tc>
      </w:tr>
      <w:tr w:rsidR="00FB15D1" w:rsidRPr="00F15230" w14:paraId="4DA1BC84" w14:textId="77777777" w:rsidTr="00752C7F">
        <w:trPr>
          <w:trHeight w:val="315"/>
        </w:trPr>
        <w:tc>
          <w:tcPr>
            <w:tcW w:w="2740" w:type="dxa"/>
            <w:tcBorders>
              <w:top w:val="nil"/>
              <w:left w:val="nil"/>
              <w:bottom w:val="single" w:sz="4" w:space="0" w:color="auto"/>
              <w:right w:val="nil"/>
            </w:tcBorders>
            <w:shd w:val="clear" w:color="auto" w:fill="auto"/>
            <w:noWrap/>
            <w:vAlign w:val="bottom"/>
            <w:hideMark/>
          </w:tcPr>
          <w:p w14:paraId="25B588CE" w14:textId="77777777" w:rsidR="00FB15D1" w:rsidRPr="00F15230" w:rsidRDefault="00FB15D1" w:rsidP="00FB15D1">
            <w:pPr>
              <w:keepNext/>
              <w:tabs>
                <w:tab w:val="clear" w:pos="567"/>
              </w:tabs>
              <w:spacing w:after="0" w:line="240" w:lineRule="auto"/>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Total ($pc)</w:t>
            </w:r>
          </w:p>
        </w:tc>
        <w:tc>
          <w:tcPr>
            <w:tcW w:w="700" w:type="dxa"/>
            <w:tcBorders>
              <w:top w:val="nil"/>
              <w:left w:val="nil"/>
              <w:bottom w:val="single" w:sz="4" w:space="0" w:color="auto"/>
              <w:right w:val="nil"/>
            </w:tcBorders>
            <w:shd w:val="clear" w:color="auto" w:fill="auto"/>
            <w:noWrap/>
            <w:vAlign w:val="bottom"/>
            <w:hideMark/>
          </w:tcPr>
          <w:p w14:paraId="404E0673"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-61</w:t>
            </w:r>
          </w:p>
        </w:tc>
        <w:tc>
          <w:tcPr>
            <w:tcW w:w="760" w:type="dxa"/>
            <w:tcBorders>
              <w:top w:val="nil"/>
              <w:left w:val="nil"/>
              <w:bottom w:val="single" w:sz="4" w:space="0" w:color="auto"/>
              <w:right w:val="nil"/>
            </w:tcBorders>
            <w:shd w:val="clear" w:color="auto" w:fill="auto"/>
            <w:noWrap/>
            <w:vAlign w:val="bottom"/>
            <w:hideMark/>
          </w:tcPr>
          <w:p w14:paraId="0C5A4BC9"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-151</w:t>
            </w:r>
          </w:p>
        </w:tc>
        <w:tc>
          <w:tcPr>
            <w:tcW w:w="640" w:type="dxa"/>
            <w:tcBorders>
              <w:top w:val="nil"/>
              <w:left w:val="nil"/>
              <w:bottom w:val="single" w:sz="4" w:space="0" w:color="auto"/>
              <w:right w:val="nil"/>
            </w:tcBorders>
            <w:shd w:val="clear" w:color="auto" w:fill="auto"/>
            <w:noWrap/>
            <w:vAlign w:val="bottom"/>
            <w:hideMark/>
          </w:tcPr>
          <w:p w14:paraId="7F1A27F8"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33</w:t>
            </w:r>
          </w:p>
        </w:tc>
        <w:tc>
          <w:tcPr>
            <w:tcW w:w="640" w:type="dxa"/>
            <w:tcBorders>
              <w:top w:val="nil"/>
              <w:left w:val="nil"/>
              <w:bottom w:val="single" w:sz="4" w:space="0" w:color="auto"/>
              <w:right w:val="nil"/>
            </w:tcBorders>
            <w:shd w:val="clear" w:color="auto" w:fill="auto"/>
            <w:noWrap/>
            <w:vAlign w:val="bottom"/>
            <w:hideMark/>
          </w:tcPr>
          <w:p w14:paraId="297C6003"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155</w:t>
            </w:r>
          </w:p>
        </w:tc>
        <w:tc>
          <w:tcPr>
            <w:tcW w:w="640" w:type="dxa"/>
            <w:tcBorders>
              <w:top w:val="nil"/>
              <w:left w:val="nil"/>
              <w:bottom w:val="single" w:sz="4" w:space="0" w:color="auto"/>
              <w:right w:val="nil"/>
            </w:tcBorders>
            <w:shd w:val="clear" w:color="auto" w:fill="auto"/>
            <w:noWrap/>
            <w:vAlign w:val="bottom"/>
            <w:hideMark/>
          </w:tcPr>
          <w:p w14:paraId="237C23CA"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145</w:t>
            </w:r>
          </w:p>
        </w:tc>
        <w:tc>
          <w:tcPr>
            <w:tcW w:w="640" w:type="dxa"/>
            <w:tcBorders>
              <w:top w:val="nil"/>
              <w:left w:val="nil"/>
              <w:bottom w:val="single" w:sz="4" w:space="0" w:color="auto"/>
              <w:right w:val="nil"/>
            </w:tcBorders>
            <w:shd w:val="clear" w:color="auto" w:fill="auto"/>
            <w:noWrap/>
            <w:vAlign w:val="bottom"/>
            <w:hideMark/>
          </w:tcPr>
          <w:p w14:paraId="6C75C7E8"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570</w:t>
            </w:r>
          </w:p>
        </w:tc>
        <w:tc>
          <w:tcPr>
            <w:tcW w:w="700" w:type="dxa"/>
            <w:tcBorders>
              <w:top w:val="nil"/>
              <w:left w:val="nil"/>
              <w:bottom w:val="single" w:sz="4" w:space="0" w:color="auto"/>
              <w:right w:val="nil"/>
            </w:tcBorders>
            <w:shd w:val="clear" w:color="auto" w:fill="auto"/>
            <w:noWrap/>
            <w:vAlign w:val="bottom"/>
            <w:hideMark/>
          </w:tcPr>
          <w:p w14:paraId="7D831314"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-271</w:t>
            </w:r>
          </w:p>
        </w:tc>
        <w:tc>
          <w:tcPr>
            <w:tcW w:w="700" w:type="dxa"/>
            <w:tcBorders>
              <w:top w:val="nil"/>
              <w:left w:val="nil"/>
              <w:bottom w:val="single" w:sz="4" w:space="0" w:color="auto"/>
              <w:right w:val="nil"/>
            </w:tcBorders>
            <w:shd w:val="clear" w:color="auto" w:fill="auto"/>
            <w:noWrap/>
            <w:vAlign w:val="bottom"/>
            <w:hideMark/>
          </w:tcPr>
          <w:p w14:paraId="287FD396"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1 869</w:t>
            </w:r>
          </w:p>
        </w:tc>
        <w:tc>
          <w:tcPr>
            <w:tcW w:w="780" w:type="dxa"/>
            <w:tcBorders>
              <w:top w:val="nil"/>
              <w:left w:val="nil"/>
              <w:bottom w:val="single" w:sz="4" w:space="0" w:color="auto"/>
              <w:right w:val="nil"/>
            </w:tcBorders>
            <w:shd w:val="clear" w:color="auto" w:fill="auto"/>
            <w:noWrap/>
            <w:vAlign w:val="bottom"/>
            <w:hideMark/>
          </w:tcPr>
          <w:p w14:paraId="4AE4FBEE" w14:textId="77777777" w:rsidR="00FB15D1" w:rsidRPr="00F15230" w:rsidRDefault="00FB15D1" w:rsidP="00FB15D1">
            <w:pPr>
              <w:keepNext/>
              <w:tabs>
                <w:tab w:val="clear" w:pos="567"/>
              </w:tabs>
              <w:spacing w:after="0" w:line="240" w:lineRule="auto"/>
              <w:jc w:val="right"/>
              <w:rPr>
                <w:rFonts w:ascii="Calibri" w:eastAsia="Times New Roman" w:hAnsi="Calibri" w:cs="Times New Roman"/>
                <w:sz w:val="20"/>
                <w:szCs w:val="20"/>
                <w:lang w:eastAsia="zh-CN"/>
              </w:rPr>
            </w:pPr>
            <w:r w:rsidRPr="00F15230">
              <w:rPr>
                <w:rFonts w:ascii="Calibri" w:eastAsia="Times New Roman" w:hAnsi="Calibri" w:cs="Times New Roman"/>
                <w:sz w:val="20"/>
                <w:szCs w:val="20"/>
                <w:lang w:eastAsia="zh-CN"/>
              </w:rPr>
              <w:t>63</w:t>
            </w:r>
          </w:p>
        </w:tc>
      </w:tr>
    </w:tbl>
    <w:p w14:paraId="47C216C1" w14:textId="288B6D0C" w:rsidR="003E3C67" w:rsidRPr="00F15230" w:rsidRDefault="003E3C67" w:rsidP="00FB15D1">
      <w:pPr>
        <w:pStyle w:val="CGCTableFootnote"/>
        <w:keepNext/>
      </w:pPr>
      <w:r w:rsidRPr="00F15230">
        <w:t>Sour</w:t>
      </w:r>
      <w:r w:rsidR="00FB15D1" w:rsidRPr="00F15230">
        <w:t>ce:</w:t>
      </w:r>
      <w:r w:rsidR="00FB15D1" w:rsidRPr="00F15230">
        <w:tab/>
        <w:t>Commission calculation, 2018</w:t>
      </w:r>
      <w:r w:rsidR="002B432A" w:rsidRPr="00F15230">
        <w:t xml:space="preserve"> </w:t>
      </w:r>
      <w:proofErr w:type="gramStart"/>
      <w:r w:rsidR="002B432A" w:rsidRPr="00F15230">
        <w:t>Update</w:t>
      </w:r>
      <w:proofErr w:type="gramEnd"/>
      <w:r w:rsidRPr="00F15230">
        <w:t>.</w:t>
      </w:r>
    </w:p>
    <w:p w14:paraId="5B0331CB" w14:textId="4A3B5CD6" w:rsidR="002B4195" w:rsidRPr="00F15230" w:rsidRDefault="002B4195" w:rsidP="002B4195">
      <w:pPr>
        <w:pStyle w:val="CGCNumberedPara"/>
      </w:pPr>
      <w:r w:rsidRPr="00F15230">
        <w:t xml:space="preserve">The Health category redistributed $1.6 billion away from an equal per capita (EPC) distribution in the 2018 Update, mainly to Western Australia, </w:t>
      </w:r>
      <w:r w:rsidR="00501222" w:rsidRPr="00F15230">
        <w:t xml:space="preserve">South Australia, </w:t>
      </w:r>
      <w:r w:rsidRPr="00F15230">
        <w:t xml:space="preserve">Tasmania and the Northern Territory. </w:t>
      </w:r>
    </w:p>
    <w:p w14:paraId="7BEFBA22" w14:textId="0BCB40DA" w:rsidR="00092749" w:rsidRPr="00F15230" w:rsidRDefault="00092749" w:rsidP="00092749">
      <w:pPr>
        <w:pStyle w:val="Heading3"/>
      </w:pPr>
      <w:bookmarkStart w:id="73" w:name="_Toc499818743"/>
      <w:bookmarkStart w:id="74" w:name="_Toc499818833"/>
      <w:bookmarkStart w:id="75" w:name="_Toc508800482"/>
      <w:bookmarkStart w:id="76" w:name="_Toc509231091"/>
      <w:bookmarkStart w:id="77" w:name="_Toc511054116"/>
      <w:bookmarkStart w:id="78" w:name="_Toc511127557"/>
      <w:bookmarkStart w:id="79" w:name="_Ref511137449"/>
      <w:bookmarkStart w:id="80" w:name="_Toc511977535"/>
      <w:r w:rsidRPr="00F15230">
        <w:t>I</w:t>
      </w:r>
      <w:bookmarkEnd w:id="73"/>
      <w:bookmarkEnd w:id="74"/>
      <w:bookmarkEnd w:id="75"/>
      <w:bookmarkEnd w:id="76"/>
      <w:bookmarkEnd w:id="77"/>
      <w:r w:rsidR="00A84544">
        <w:t>ssues and analysis</w:t>
      </w:r>
      <w:bookmarkEnd w:id="78"/>
      <w:bookmarkEnd w:id="79"/>
      <w:bookmarkEnd w:id="80"/>
    </w:p>
    <w:p w14:paraId="36C4AA41" w14:textId="77777777" w:rsidR="00092749" w:rsidRPr="00F15230" w:rsidRDefault="00092749" w:rsidP="00092749">
      <w:pPr>
        <w:pStyle w:val="CGCNumberedPara"/>
        <w:numPr>
          <w:ilvl w:val="1"/>
          <w:numId w:val="3"/>
        </w:numPr>
      </w:pPr>
      <w:proofErr w:type="gramStart"/>
      <w:r w:rsidRPr="00F15230">
        <w:t>Staff have</w:t>
      </w:r>
      <w:proofErr w:type="gramEnd"/>
      <w:r w:rsidRPr="00F15230">
        <w:t xml:space="preserve"> identified a number of issues for the Health assessment in this review. </w:t>
      </w:r>
    </w:p>
    <w:p w14:paraId="31C45BDA" w14:textId="77777777" w:rsidR="00092749" w:rsidRPr="00F15230" w:rsidRDefault="00092749" w:rsidP="00092749">
      <w:pPr>
        <w:pStyle w:val="Heading4"/>
      </w:pPr>
      <w:bookmarkStart w:id="81" w:name="_Toc499818744"/>
      <w:bookmarkStart w:id="82" w:name="_Toc499818834"/>
      <w:bookmarkStart w:id="83" w:name="_Toc508800483"/>
      <w:bookmarkStart w:id="84" w:name="_Toc509231092"/>
      <w:bookmarkStart w:id="85" w:name="_Toc511054117"/>
      <w:bookmarkStart w:id="86" w:name="_Toc511127558"/>
      <w:bookmarkStart w:id="87" w:name="_Toc511977536"/>
      <w:r w:rsidRPr="00F15230">
        <w:lastRenderedPageBreak/>
        <w:t>Assessment approach</w:t>
      </w:r>
      <w:bookmarkEnd w:id="81"/>
      <w:bookmarkEnd w:id="82"/>
      <w:bookmarkEnd w:id="83"/>
      <w:bookmarkEnd w:id="84"/>
      <w:bookmarkEnd w:id="85"/>
      <w:bookmarkEnd w:id="86"/>
      <w:bookmarkEnd w:id="87"/>
    </w:p>
    <w:p w14:paraId="317A59F7" w14:textId="0CA0405A" w:rsidR="004535BB" w:rsidRPr="00F15230" w:rsidRDefault="004535BB" w:rsidP="004535BB">
      <w:pPr>
        <w:pStyle w:val="Heading5"/>
      </w:pPr>
      <w:r w:rsidRPr="00F15230">
        <w:t>Direct assessm</w:t>
      </w:r>
      <w:r w:rsidR="002B4195" w:rsidRPr="00F15230">
        <w:t>ent or s</w:t>
      </w:r>
      <w:r w:rsidRPr="00F15230">
        <w:t>ubtraction approach</w:t>
      </w:r>
    </w:p>
    <w:p w14:paraId="3DDA1DBD" w14:textId="3DA44C42" w:rsidR="004535BB" w:rsidRPr="00F15230" w:rsidRDefault="004535BB" w:rsidP="004535BB">
      <w:pPr>
        <w:pStyle w:val="CGCNumberedPara"/>
        <w:numPr>
          <w:ilvl w:val="1"/>
          <w:numId w:val="3"/>
        </w:numPr>
      </w:pPr>
      <w:r w:rsidRPr="00F15230">
        <w:t>In the 2015 Review, the Commission adopted a direct assessment approach for all health expenses. This approach was already being used for admitted patient services, so the change affected ED, NAP and community health services.</w:t>
      </w:r>
      <w:r w:rsidRPr="00F15230">
        <w:rPr>
          <w:rStyle w:val="FootnoteReference"/>
        </w:rPr>
        <w:t xml:space="preserve"> </w:t>
      </w:r>
      <w:r w:rsidRPr="00F15230">
        <w:t>The direct assessment approach replaced a subtraction approach</w:t>
      </w:r>
      <w:r w:rsidR="00200750">
        <w:t>,</w:t>
      </w:r>
      <w:r w:rsidRPr="00F15230">
        <w:t xml:space="preserve"> which had been developed for the 2010 Review in response to two major issues:</w:t>
      </w:r>
    </w:p>
    <w:p w14:paraId="73B3C0A9" w14:textId="30ED1D3C" w:rsidR="004535BB" w:rsidRPr="00F15230" w:rsidRDefault="004535BB" w:rsidP="004535BB">
      <w:pPr>
        <w:pStyle w:val="CGCBulletlist"/>
        <w:numPr>
          <w:ilvl w:val="0"/>
          <w:numId w:val="1"/>
        </w:numPr>
        <w:tabs>
          <w:tab w:val="clear" w:pos="927"/>
        </w:tabs>
        <w:ind w:left="1134" w:hanging="567"/>
      </w:pPr>
      <w:r w:rsidRPr="00F15230">
        <w:t xml:space="preserve">a lack of administrative data on the use and cost of </w:t>
      </w:r>
      <w:r w:rsidR="000057EB">
        <w:t>State provided ED, NAP and community health services</w:t>
      </w:r>
    </w:p>
    <w:p w14:paraId="51F30DE7" w14:textId="637ED255" w:rsidR="004535BB" w:rsidRPr="00F15230" w:rsidRDefault="00501222" w:rsidP="004535BB">
      <w:pPr>
        <w:pStyle w:val="CGCBulletlist"/>
        <w:numPr>
          <w:ilvl w:val="0"/>
          <w:numId w:val="1"/>
        </w:numPr>
        <w:tabs>
          <w:tab w:val="clear" w:pos="927"/>
        </w:tabs>
        <w:ind w:left="1134" w:hanging="567"/>
      </w:pPr>
      <w:proofErr w:type="gramStart"/>
      <w:r w:rsidRPr="00F15230">
        <w:t>a</w:t>
      </w:r>
      <w:proofErr w:type="gramEnd"/>
      <w:r w:rsidRPr="00F15230">
        <w:t xml:space="preserve"> large and well developed non</w:t>
      </w:r>
      <w:r w:rsidRPr="00F15230">
        <w:noBreakHyphen/>
      </w:r>
      <w:r w:rsidR="004535BB" w:rsidRPr="00F15230">
        <w:t>State sector provid</w:t>
      </w:r>
      <w:r w:rsidRPr="00F15230">
        <w:t>ing State</w:t>
      </w:r>
      <w:r w:rsidRPr="00F15230">
        <w:noBreakHyphen/>
      </w:r>
      <w:r w:rsidR="004535BB" w:rsidRPr="00F15230">
        <w:t xml:space="preserve">like services in </w:t>
      </w:r>
      <w:r w:rsidR="000057EB">
        <w:t>these areas</w:t>
      </w:r>
      <w:r w:rsidR="004535BB" w:rsidRPr="00F15230">
        <w:t>.</w:t>
      </w:r>
    </w:p>
    <w:p w14:paraId="74693028" w14:textId="24765D57" w:rsidR="004535BB" w:rsidRPr="00F15230" w:rsidRDefault="004535BB" w:rsidP="004535BB">
      <w:pPr>
        <w:pStyle w:val="CGCNumberedPara"/>
        <w:numPr>
          <w:ilvl w:val="1"/>
          <w:numId w:val="3"/>
        </w:numPr>
      </w:pPr>
      <w:r w:rsidRPr="00F15230">
        <w:t xml:space="preserve">The decision in the 2015 Review to move to a direct assessment was based on the Commission’s experience with the subtraction approach and changes to the availability of data on State provided </w:t>
      </w:r>
      <w:r w:rsidR="008D7320">
        <w:t xml:space="preserve">hospital </w:t>
      </w:r>
      <w:r w:rsidRPr="00F15230">
        <w:t>services. The interactions between ED, NAP and community health services made it more difficult to develop a community health assessment using the subtraction approach</w:t>
      </w:r>
      <w:r w:rsidR="00B53B5A">
        <w:t>.</w:t>
      </w:r>
      <w:r w:rsidRPr="00F15230">
        <w:t xml:space="preserve"> </w:t>
      </w:r>
      <w:r w:rsidR="00B53B5A">
        <w:t>However,</w:t>
      </w:r>
      <w:r w:rsidR="000701AE">
        <w:t xml:space="preserve"> </w:t>
      </w:r>
      <w:r w:rsidRPr="00F15230">
        <w:t>the main consideration</w:t>
      </w:r>
      <w:r w:rsidR="00A85954">
        <w:t>s</w:t>
      </w:r>
      <w:r w:rsidRPr="00F15230">
        <w:t xml:space="preserve"> in moving to a direct assessment </w:t>
      </w:r>
      <w:r w:rsidR="00A85954">
        <w:t>were</w:t>
      </w:r>
      <w:r w:rsidRPr="00F15230">
        <w:t xml:space="preserve"> changes to the availability of data </w:t>
      </w:r>
      <w:r w:rsidR="00B7557E">
        <w:t xml:space="preserve">arising from national health reform and a lack of reliable data for assessing </w:t>
      </w:r>
      <w:r w:rsidR="00A85954">
        <w:t xml:space="preserve">total expenditure on State and </w:t>
      </w:r>
      <w:r w:rsidR="00B7557E">
        <w:t>State</w:t>
      </w:r>
      <w:r w:rsidR="00B7557E">
        <w:noBreakHyphen/>
        <w:t>like services</w:t>
      </w:r>
      <w:r w:rsidRPr="00F15230">
        <w:t xml:space="preserve">. </w:t>
      </w:r>
    </w:p>
    <w:p w14:paraId="02695530" w14:textId="6E23158F" w:rsidR="004535BB" w:rsidRPr="00F15230" w:rsidRDefault="004535BB" w:rsidP="004535BB">
      <w:pPr>
        <w:pStyle w:val="CGCNumberedPara"/>
        <w:numPr>
          <w:ilvl w:val="1"/>
          <w:numId w:val="3"/>
        </w:numPr>
      </w:pPr>
      <w:r w:rsidRPr="00F15230">
        <w:t>Under a direct assessment approach</w:t>
      </w:r>
      <w:r w:rsidR="00DF7F47">
        <w:t>,</w:t>
      </w:r>
      <w:r w:rsidRPr="00F15230">
        <w:t xml:space="preserve"> the influence of the non</w:t>
      </w:r>
      <w:r w:rsidRPr="00F15230">
        <w:noBreakHyphen/>
        <w:t>State sector is recognised in two ways.</w:t>
      </w:r>
    </w:p>
    <w:p w14:paraId="1DF5C012" w14:textId="78A83928" w:rsidR="004535BB" w:rsidRPr="00F15230" w:rsidRDefault="004535BB" w:rsidP="004535BB">
      <w:pPr>
        <w:pStyle w:val="CGCBulletlist"/>
        <w:numPr>
          <w:ilvl w:val="0"/>
          <w:numId w:val="1"/>
        </w:numPr>
        <w:tabs>
          <w:tab w:val="clear" w:pos="927"/>
        </w:tabs>
        <w:ind w:left="1134" w:hanging="567"/>
      </w:pPr>
      <w:r w:rsidRPr="00F15230">
        <w:t>The SDC assessment recognises that there are</w:t>
      </w:r>
      <w:r w:rsidR="009970AD">
        <w:t xml:space="preserve"> lower levels of </w:t>
      </w:r>
      <w:r w:rsidRPr="00F15230">
        <w:t>State</w:t>
      </w:r>
      <w:r w:rsidR="00B7557E">
        <w:noBreakHyphen/>
      </w:r>
      <w:r w:rsidRPr="00F15230">
        <w:t xml:space="preserve">like service </w:t>
      </w:r>
      <w:r w:rsidR="00A51B36">
        <w:t xml:space="preserve">provision </w:t>
      </w:r>
      <w:r w:rsidR="004469E5">
        <w:t>with increasing remoteness</w:t>
      </w:r>
      <w:r w:rsidRPr="00F15230">
        <w:t>, which l</w:t>
      </w:r>
      <w:r w:rsidR="00A51B36">
        <w:t>ead</w:t>
      </w:r>
      <w:r w:rsidR="000701AE">
        <w:t>s</w:t>
      </w:r>
      <w:r w:rsidRPr="00F15230">
        <w:t xml:space="preserve"> to an increase in use of similar State services. This higher use can be observed in the national cost data for State provided services.</w:t>
      </w:r>
    </w:p>
    <w:p w14:paraId="77D63DC4" w14:textId="50F098FA" w:rsidR="004535BB" w:rsidRPr="00F15230" w:rsidRDefault="004535BB" w:rsidP="004535BB">
      <w:pPr>
        <w:pStyle w:val="CGCBulletlist"/>
        <w:numPr>
          <w:ilvl w:val="0"/>
          <w:numId w:val="1"/>
        </w:numPr>
        <w:tabs>
          <w:tab w:val="clear" w:pos="927"/>
        </w:tabs>
        <w:ind w:left="1134" w:hanging="567"/>
      </w:pPr>
      <w:r w:rsidRPr="00F15230">
        <w:t>The calculation of a non-State sector adjustment reflecting different levels of State</w:t>
      </w:r>
      <w:r w:rsidRPr="00F15230">
        <w:noBreakHyphen/>
        <w:t>like service</w:t>
      </w:r>
      <w:r w:rsidR="00A51B36">
        <w:t xml:space="preserve"> provision</w:t>
      </w:r>
      <w:r w:rsidRPr="00F15230">
        <w:t xml:space="preserve"> in similar regions between States. The scale of these adjustments is based on the proportion of State spending </w:t>
      </w:r>
      <w:r w:rsidR="00A51B36">
        <w:t xml:space="preserve">affected by </w:t>
      </w:r>
      <w:r w:rsidRPr="00F15230">
        <w:t>State</w:t>
      </w:r>
      <w:r w:rsidR="00A51B36">
        <w:noBreakHyphen/>
      </w:r>
      <w:r w:rsidRPr="00F15230">
        <w:t>like service</w:t>
      </w:r>
      <w:r w:rsidR="00A51B36">
        <w:t xml:space="preserve"> provision</w:t>
      </w:r>
      <w:r w:rsidRPr="00F15230">
        <w:t>.</w:t>
      </w:r>
      <w:r w:rsidR="00A51B36">
        <w:rPr>
          <w:rStyle w:val="FootnoteReference"/>
        </w:rPr>
        <w:footnoteReference w:id="6"/>
      </w:r>
      <w:r w:rsidR="00B53B5A">
        <w:t xml:space="preserve"> </w:t>
      </w:r>
    </w:p>
    <w:p w14:paraId="710C8721" w14:textId="551EAF47" w:rsidR="004535BB" w:rsidRPr="00F15230" w:rsidRDefault="00BF4CEC" w:rsidP="00CE66A2">
      <w:pPr>
        <w:pStyle w:val="CGCNumberedPara"/>
        <w:numPr>
          <w:ilvl w:val="1"/>
          <w:numId w:val="3"/>
        </w:numPr>
      </w:pPr>
      <w:r>
        <w:t>In contrast, t</w:t>
      </w:r>
      <w:r w:rsidR="00B043A8" w:rsidRPr="00F15230">
        <w:t xml:space="preserve">he </w:t>
      </w:r>
      <w:r w:rsidR="00A85954">
        <w:t xml:space="preserve">2010 Review </w:t>
      </w:r>
      <w:r w:rsidR="00B043A8" w:rsidRPr="00F15230">
        <w:t xml:space="preserve">subtraction approach </w:t>
      </w:r>
      <w:r>
        <w:t>looked</w:t>
      </w:r>
      <w:r w:rsidR="00B7557E">
        <w:t xml:space="preserve"> </w:t>
      </w:r>
      <w:r w:rsidR="00A85954">
        <w:t>at</w:t>
      </w:r>
      <w:r w:rsidR="00B7557E">
        <w:t xml:space="preserve"> </w:t>
      </w:r>
      <w:r>
        <w:t xml:space="preserve">total </w:t>
      </w:r>
      <w:r w:rsidR="00A85954">
        <w:t>expenditure</w:t>
      </w:r>
      <w:r>
        <w:t xml:space="preserve"> on State and State</w:t>
      </w:r>
      <w:r>
        <w:noBreakHyphen/>
        <w:t>like services</w:t>
      </w:r>
      <w:r w:rsidR="003E479C">
        <w:t>, which</w:t>
      </w:r>
      <w:r w:rsidR="00B043A8" w:rsidRPr="00F15230">
        <w:t xml:space="preserve"> was assessed based on </w:t>
      </w:r>
      <w:r w:rsidR="00A85954">
        <w:t xml:space="preserve">estimated </w:t>
      </w:r>
      <w:r w:rsidR="003C4CB7">
        <w:t xml:space="preserve">national </w:t>
      </w:r>
      <w:r w:rsidR="00A85954">
        <w:t>usage</w:t>
      </w:r>
      <w:r w:rsidR="00B043A8" w:rsidRPr="00F15230">
        <w:t xml:space="preserve"> patterns</w:t>
      </w:r>
      <w:r w:rsidR="003C4CB7">
        <w:t xml:space="preserve"> </w:t>
      </w:r>
      <w:r w:rsidR="00261327">
        <w:t xml:space="preserve">and reflecting the </w:t>
      </w:r>
      <w:proofErr w:type="spellStart"/>
      <w:r w:rsidR="003E479C">
        <w:t>SDC</w:t>
      </w:r>
      <w:proofErr w:type="spellEnd"/>
      <w:r w:rsidR="003E479C">
        <w:t xml:space="preserve"> of State population</w:t>
      </w:r>
      <w:r w:rsidR="00CE66A2">
        <w:t>s</w:t>
      </w:r>
      <w:r w:rsidR="00B043A8" w:rsidRPr="00F15230">
        <w:t xml:space="preserve">. </w:t>
      </w:r>
      <w:r w:rsidR="00DE1C7D">
        <w:t>S</w:t>
      </w:r>
      <w:r w:rsidR="00B043A8" w:rsidRPr="00F15230">
        <w:t>pending by the private and Commonwealth sectors on State</w:t>
      </w:r>
      <w:r w:rsidR="00B043A8" w:rsidRPr="00F15230">
        <w:noBreakHyphen/>
        <w:t xml:space="preserve">like services in each State </w:t>
      </w:r>
      <w:r w:rsidR="00A85954">
        <w:t xml:space="preserve">was then deducted </w:t>
      </w:r>
      <w:r w:rsidR="00B043A8" w:rsidRPr="00F15230">
        <w:t>to derive a r</w:t>
      </w:r>
      <w:r w:rsidR="00A85954">
        <w:t xml:space="preserve">esidual amount representing the </w:t>
      </w:r>
      <w:r w:rsidR="00B043A8" w:rsidRPr="00F15230">
        <w:t>spending requirement</w:t>
      </w:r>
      <w:r w:rsidR="00A85954">
        <w:t xml:space="preserve"> for each State</w:t>
      </w:r>
      <w:r w:rsidR="00B043A8" w:rsidRPr="00F15230">
        <w:t>.</w:t>
      </w:r>
      <w:r w:rsidR="00CE66A2">
        <w:t xml:space="preserve"> </w:t>
      </w:r>
      <w:r>
        <w:t>The</w:t>
      </w:r>
      <w:r w:rsidRPr="00F15230">
        <w:t xml:space="preserve"> </w:t>
      </w:r>
      <w:r w:rsidR="004535BB" w:rsidRPr="00F15230">
        <w:t xml:space="preserve">subtraction approach </w:t>
      </w:r>
      <w:r w:rsidR="00CE66A2" w:rsidRPr="00F15230">
        <w:t>assume</w:t>
      </w:r>
      <w:r w:rsidR="00CE66A2">
        <w:t xml:space="preserve">d </w:t>
      </w:r>
      <w:r w:rsidR="00A85954">
        <w:t xml:space="preserve">that </w:t>
      </w:r>
      <w:r w:rsidR="004535BB" w:rsidRPr="00F15230">
        <w:t xml:space="preserve">State and </w:t>
      </w:r>
      <w:r w:rsidR="00A85954">
        <w:t>State</w:t>
      </w:r>
      <w:r w:rsidR="00A85954">
        <w:noBreakHyphen/>
        <w:t xml:space="preserve">like </w:t>
      </w:r>
      <w:r w:rsidR="004535BB" w:rsidRPr="00F15230">
        <w:t>se</w:t>
      </w:r>
      <w:r w:rsidR="00F07879">
        <w:t>rvices are fully substitutable.</w:t>
      </w:r>
    </w:p>
    <w:p w14:paraId="544B6676" w14:textId="4EB6DB37" w:rsidR="004535BB" w:rsidRPr="00F15230" w:rsidRDefault="004535BB" w:rsidP="004535BB">
      <w:pPr>
        <w:pStyle w:val="CGCNumberedPara"/>
        <w:numPr>
          <w:ilvl w:val="1"/>
          <w:numId w:val="3"/>
        </w:numPr>
      </w:pPr>
      <w:r w:rsidRPr="00F15230">
        <w:lastRenderedPageBreak/>
        <w:t xml:space="preserve">Although a subtraction approach </w:t>
      </w:r>
      <w:r w:rsidR="00BF4CEC">
        <w:t>was considered</w:t>
      </w:r>
      <w:r w:rsidR="00BF4CEC" w:rsidRPr="00F15230">
        <w:t xml:space="preserve"> </w:t>
      </w:r>
      <w:r w:rsidRPr="00F15230">
        <w:t>conceptually sound and simple to understand, in practice it required judgements about the scope of State</w:t>
      </w:r>
      <w:r w:rsidRPr="00F15230">
        <w:noBreakHyphen/>
        <w:t>like services</w:t>
      </w:r>
      <w:r w:rsidR="001A5124">
        <w:t>, that is, non-State services considered substitutable for State provided services</w:t>
      </w:r>
      <w:r w:rsidRPr="00F15230">
        <w:t xml:space="preserve">. In addition, finding reliable and comparable data to build the </w:t>
      </w:r>
      <w:r w:rsidR="001A5124">
        <w:t xml:space="preserve">SDC </w:t>
      </w:r>
      <w:r w:rsidRPr="00F15230">
        <w:t>calculation proved difficult</w:t>
      </w:r>
      <w:r w:rsidR="00DF7F47">
        <w:t>, thereby necessitating</w:t>
      </w:r>
      <w:r w:rsidRPr="00F15230">
        <w:t xml:space="preserve"> additional judgements in developing the assessment for total health expenditure. </w:t>
      </w:r>
      <w:r w:rsidR="00BF4CEC">
        <w:t>D</w:t>
      </w:r>
      <w:r w:rsidRPr="00F15230">
        <w:t>ata problems were exposed over time as the assessment was updated. The Commission’s main concerns with the 2010 Review subtraction approach are summarised in</w:t>
      </w:r>
      <w:r w:rsidR="00AF1603">
        <w:t xml:space="preserve"> Attachment A</w:t>
      </w:r>
      <w:r w:rsidRPr="00F15230">
        <w:t>.</w:t>
      </w:r>
    </w:p>
    <w:p w14:paraId="6BA6B20D" w14:textId="079B2208" w:rsidR="004535BB" w:rsidRPr="00F15230" w:rsidRDefault="004535BB" w:rsidP="004535BB">
      <w:pPr>
        <w:pStyle w:val="CGCNumberedPara"/>
        <w:numPr>
          <w:ilvl w:val="1"/>
          <w:numId w:val="3"/>
        </w:numPr>
      </w:pPr>
      <w:r w:rsidRPr="00F15230">
        <w:t xml:space="preserve">Therefore, in the 2015 Review, the Commission adopted a direct assessment approach for all Health components. </w:t>
      </w:r>
      <w:r w:rsidR="00B043A8" w:rsidRPr="00F15230">
        <w:t xml:space="preserve">The Commission concluded that the direct approach was not perfect but it represented an improvement over the subtraction approach. </w:t>
      </w:r>
    </w:p>
    <w:p w14:paraId="35B65FD6" w14:textId="5E78BE2B" w:rsidR="002B4195" w:rsidRPr="00F15230" w:rsidRDefault="002B4195" w:rsidP="002B4195">
      <w:pPr>
        <w:pStyle w:val="Heading5"/>
      </w:pPr>
      <w:r w:rsidRPr="00F15230">
        <w:t>State views on the subtraction approach and staff analysis</w:t>
      </w:r>
    </w:p>
    <w:p w14:paraId="30877061" w14:textId="3FEF94EA" w:rsidR="002B4195" w:rsidRPr="00F15230" w:rsidRDefault="002B4195" w:rsidP="002B4195">
      <w:pPr>
        <w:pStyle w:val="CGCNumberedPara"/>
        <w:numPr>
          <w:ilvl w:val="1"/>
          <w:numId w:val="3"/>
        </w:numPr>
      </w:pPr>
      <w:r w:rsidRPr="00F15230">
        <w:t>In the 2015 Review, most States agreed with the direct assessment approach, although there were different views about the proportion of State services affected by the non</w:t>
      </w:r>
      <w:r w:rsidRPr="00F15230">
        <w:noBreakHyphen/>
        <w:t xml:space="preserve">State sector. However, Western Australia remained </w:t>
      </w:r>
      <w:r w:rsidR="005B0116">
        <w:t>of the view that</w:t>
      </w:r>
      <w:r w:rsidR="005B0116" w:rsidRPr="00F15230">
        <w:t xml:space="preserve"> </w:t>
      </w:r>
      <w:r w:rsidRPr="00F15230">
        <w:t xml:space="preserve">a subtraction approach would better reflect the higher demands on it due to </w:t>
      </w:r>
      <w:r w:rsidR="00850BE1" w:rsidRPr="00F15230">
        <w:t>its</w:t>
      </w:r>
      <w:r w:rsidR="00EE7DB6" w:rsidRPr="00F15230">
        <w:t xml:space="preserve"> </w:t>
      </w:r>
      <w:r w:rsidR="00850BE1" w:rsidRPr="00F15230">
        <w:t>relatively</w:t>
      </w:r>
      <w:r w:rsidRPr="00F15230">
        <w:t xml:space="preserve"> low level of non</w:t>
      </w:r>
      <w:r w:rsidRPr="00F15230">
        <w:noBreakHyphen/>
        <w:t>State services.</w:t>
      </w:r>
    </w:p>
    <w:p w14:paraId="56EF18B2" w14:textId="0863314F" w:rsidR="002B4195" w:rsidRPr="00F15230" w:rsidRDefault="002B4195" w:rsidP="002B4195">
      <w:pPr>
        <w:pStyle w:val="CGCNumberedPara"/>
        <w:numPr>
          <w:ilvl w:val="1"/>
          <w:numId w:val="3"/>
        </w:numPr>
      </w:pPr>
      <w:r w:rsidRPr="00F15230">
        <w:t xml:space="preserve">At </w:t>
      </w:r>
      <w:r w:rsidR="00BF4CEC">
        <w:t>an</w:t>
      </w:r>
      <w:r w:rsidR="00BF4CEC" w:rsidRPr="00F15230">
        <w:t xml:space="preserve"> </w:t>
      </w:r>
      <w:r w:rsidRPr="00F15230">
        <w:t xml:space="preserve">Officer Working Party </w:t>
      </w:r>
      <w:r w:rsidR="00BF4CEC">
        <w:t>(OWP) meeting</w:t>
      </w:r>
      <w:r w:rsidR="00BF4CEC" w:rsidRPr="00F15230">
        <w:t xml:space="preserve"> </w:t>
      </w:r>
      <w:r w:rsidRPr="00F15230">
        <w:t>in April 2017, Western</w:t>
      </w:r>
      <w:r w:rsidR="00BF4CEC">
        <w:t> </w:t>
      </w:r>
      <w:r w:rsidRPr="00F15230">
        <w:t xml:space="preserve">Australia agreed to develop a subtraction approach to measure assessed ED, NAP, community and other health expenses, to allow the Commission to evaluate the two options for assessing health services. Western Australia circulated a draft paper titled </w:t>
      </w:r>
      <w:r w:rsidR="008C7A2A" w:rsidRPr="00F15230">
        <w:rPr>
          <w:i/>
        </w:rPr>
        <w:t>Non</w:t>
      </w:r>
      <w:r w:rsidR="008C7A2A" w:rsidRPr="00F15230">
        <w:rPr>
          <w:i/>
        </w:rPr>
        <w:noBreakHyphen/>
      </w:r>
      <w:r w:rsidRPr="00F15230">
        <w:rPr>
          <w:i/>
        </w:rPr>
        <w:t>State Services in the Health Category</w:t>
      </w:r>
      <w:r w:rsidRPr="00F15230">
        <w:t xml:space="preserve"> to the </w:t>
      </w:r>
      <w:r w:rsidR="00BF4CEC">
        <w:t>OWP</w:t>
      </w:r>
      <w:r w:rsidRPr="00F15230">
        <w:t xml:space="preserve"> in February 2018 and invited comments from Commission staff and the States. </w:t>
      </w:r>
    </w:p>
    <w:p w14:paraId="2D934E3D" w14:textId="1965BC42" w:rsidR="002B4195" w:rsidRPr="00F15230" w:rsidRDefault="002B4195" w:rsidP="002B4195">
      <w:pPr>
        <w:pStyle w:val="CGCNumberedPara"/>
        <w:numPr>
          <w:ilvl w:val="1"/>
          <w:numId w:val="3"/>
        </w:numPr>
      </w:pPr>
      <w:r w:rsidRPr="00F15230">
        <w:t>In the paper, Western Australia argues the influence of the non</w:t>
      </w:r>
      <w:r w:rsidRPr="00F15230">
        <w:noBreakHyphen/>
        <w:t xml:space="preserve">State sector on State spending is not correctly measured in the direct approach. It </w:t>
      </w:r>
      <w:r w:rsidR="00EF6706">
        <w:t>States that</w:t>
      </w:r>
      <w:r w:rsidRPr="00F15230">
        <w:t>:</w:t>
      </w:r>
    </w:p>
    <w:p w14:paraId="072D5161" w14:textId="5738B470" w:rsidR="002B4195" w:rsidRPr="00F15230" w:rsidRDefault="002B4195" w:rsidP="002B4195">
      <w:pPr>
        <w:pStyle w:val="CGCBulletlist"/>
        <w:numPr>
          <w:ilvl w:val="0"/>
          <w:numId w:val="1"/>
        </w:numPr>
        <w:tabs>
          <w:tab w:val="clear" w:pos="927"/>
        </w:tabs>
        <w:ind w:left="1134" w:hanging="567"/>
      </w:pPr>
      <w:r w:rsidRPr="00F15230">
        <w:t>the only realistic way to recognise non-</w:t>
      </w:r>
      <w:r w:rsidR="005E06EE" w:rsidRPr="00F15230">
        <w:t>State influences is from a long</w:t>
      </w:r>
      <w:r w:rsidR="005E06EE" w:rsidRPr="00F15230">
        <w:noBreakHyphen/>
      </w:r>
      <w:r w:rsidRPr="00F15230">
        <w:t>run perspective</w:t>
      </w:r>
    </w:p>
    <w:p w14:paraId="7097BA32" w14:textId="096F4856" w:rsidR="002B4195" w:rsidRPr="00F15230" w:rsidRDefault="002B4195" w:rsidP="002B4195">
      <w:pPr>
        <w:pStyle w:val="CGCBulletlist"/>
        <w:numPr>
          <w:ilvl w:val="0"/>
          <w:numId w:val="1"/>
        </w:numPr>
        <w:tabs>
          <w:tab w:val="clear" w:pos="927"/>
        </w:tabs>
        <w:ind w:left="1134" w:hanging="567"/>
      </w:pPr>
      <w:r w:rsidRPr="00F15230">
        <w:t>the long</w:t>
      </w:r>
      <w:r w:rsidRPr="00F15230">
        <w:noBreakHyphen/>
        <w:t>run substitutability between non</w:t>
      </w:r>
      <w:r w:rsidRPr="00F15230">
        <w:noBreakHyphen/>
        <w:t>State and State services can be presumed to be 100%, at least at the level of outcomes</w:t>
      </w:r>
    </w:p>
    <w:p w14:paraId="07CF06B4" w14:textId="77777777" w:rsidR="002B4195" w:rsidRPr="00F15230" w:rsidRDefault="002B4195" w:rsidP="002B4195">
      <w:pPr>
        <w:pStyle w:val="CGCBulletlist"/>
        <w:numPr>
          <w:ilvl w:val="0"/>
          <w:numId w:val="1"/>
        </w:numPr>
        <w:tabs>
          <w:tab w:val="clear" w:pos="927"/>
        </w:tabs>
        <w:ind w:left="1134" w:hanging="567"/>
      </w:pPr>
      <w:r w:rsidRPr="00F15230">
        <w:t>the scope of substitutable activity is broad and should include all medically necessary non-State services</w:t>
      </w:r>
    </w:p>
    <w:p w14:paraId="2C40E881" w14:textId="77777777" w:rsidR="002B4195" w:rsidRPr="00F15230" w:rsidRDefault="002B4195" w:rsidP="002B4195">
      <w:pPr>
        <w:pStyle w:val="CGCBulletlist"/>
        <w:numPr>
          <w:ilvl w:val="0"/>
          <w:numId w:val="1"/>
        </w:numPr>
        <w:tabs>
          <w:tab w:val="clear" w:pos="927"/>
        </w:tabs>
        <w:ind w:left="1134" w:hanging="567"/>
      </w:pPr>
      <w:r w:rsidRPr="00F15230">
        <w:t>HFE should equalise States’ capacities to achieve health outcomes for people in like circumstances, regardless of who is providing the service</w:t>
      </w:r>
    </w:p>
    <w:p w14:paraId="512470C8" w14:textId="77777777" w:rsidR="002B4195" w:rsidRPr="00F15230" w:rsidRDefault="002B4195" w:rsidP="002B4195">
      <w:pPr>
        <w:pStyle w:val="CGCBulletlist"/>
        <w:numPr>
          <w:ilvl w:val="0"/>
          <w:numId w:val="1"/>
        </w:numPr>
        <w:tabs>
          <w:tab w:val="clear" w:pos="927"/>
        </w:tabs>
        <w:ind w:left="1134" w:hanging="567"/>
      </w:pPr>
      <w:r w:rsidRPr="00F15230">
        <w:t>HFE should take into account non</w:t>
      </w:r>
      <w:r w:rsidRPr="00F15230">
        <w:noBreakHyphen/>
        <w:t xml:space="preserve">State sector activities that States have a policy interest in seeing provided, where these activities may differentially impact on States’ capacity to achieve desired health outcomes. </w:t>
      </w:r>
    </w:p>
    <w:p w14:paraId="6FD0BC29" w14:textId="45A94DD5" w:rsidR="003E0AF8" w:rsidRDefault="008D7320" w:rsidP="002B4195">
      <w:pPr>
        <w:pStyle w:val="CGCNumberedPara"/>
        <w:numPr>
          <w:ilvl w:val="1"/>
          <w:numId w:val="3"/>
        </w:numPr>
        <w:tabs>
          <w:tab w:val="left" w:pos="2694"/>
        </w:tabs>
      </w:pPr>
      <w:r>
        <w:lastRenderedPageBreak/>
        <w:t>While</w:t>
      </w:r>
      <w:r w:rsidR="005B0116">
        <w:t xml:space="preserve"> conceding </w:t>
      </w:r>
      <w:r w:rsidR="00BF4CEC">
        <w:t>a number</w:t>
      </w:r>
      <w:r w:rsidR="00BF4CEC" w:rsidRPr="00F15230">
        <w:t xml:space="preserve"> </w:t>
      </w:r>
      <w:r w:rsidR="002B4195" w:rsidRPr="00F15230">
        <w:t>of Western Australia’s arguments</w:t>
      </w:r>
      <w:r w:rsidR="005B0116">
        <w:t xml:space="preserve">, </w:t>
      </w:r>
      <w:r w:rsidR="002B4195" w:rsidRPr="00F15230">
        <w:t xml:space="preserve">there are </w:t>
      </w:r>
      <w:r w:rsidR="00BF4CEC" w:rsidRPr="00F15230">
        <w:t>t</w:t>
      </w:r>
      <w:r w:rsidR="00BF4CEC">
        <w:t>hree</w:t>
      </w:r>
      <w:r w:rsidR="00BF4CEC" w:rsidRPr="00F15230">
        <w:t xml:space="preserve"> </w:t>
      </w:r>
      <w:r w:rsidR="002B4195" w:rsidRPr="00F15230">
        <w:t xml:space="preserve">main points on which </w:t>
      </w:r>
      <w:r w:rsidR="005B0116">
        <w:t>staff</w:t>
      </w:r>
      <w:r w:rsidR="005B0116" w:rsidRPr="00F15230">
        <w:t xml:space="preserve"> </w:t>
      </w:r>
      <w:r w:rsidR="001A5124">
        <w:t>have different views</w:t>
      </w:r>
      <w:r w:rsidR="002B4195" w:rsidRPr="00F15230">
        <w:t xml:space="preserve">. </w:t>
      </w:r>
    </w:p>
    <w:p w14:paraId="7E079347" w14:textId="466CC037" w:rsidR="002B4195" w:rsidRPr="00F15230" w:rsidRDefault="002B4195" w:rsidP="002B4195">
      <w:pPr>
        <w:pStyle w:val="CGCNumberedPara"/>
        <w:numPr>
          <w:ilvl w:val="1"/>
          <w:numId w:val="3"/>
        </w:numPr>
      </w:pPr>
      <w:r w:rsidRPr="00F15230">
        <w:t xml:space="preserve">First, the Commission equalises </w:t>
      </w:r>
      <w:r w:rsidR="003E0AF8">
        <w:t>State budgets</w:t>
      </w:r>
      <w:r w:rsidR="005B0116">
        <w:t>;</w:t>
      </w:r>
      <w:r w:rsidRPr="00F15230">
        <w:t xml:space="preserve"> equalising community outcomes </w:t>
      </w:r>
      <w:r w:rsidR="005B0116">
        <w:t xml:space="preserve">as proposed by Western Australia </w:t>
      </w:r>
      <w:r w:rsidRPr="00F15230">
        <w:t xml:space="preserve">is beyond the scope of </w:t>
      </w:r>
      <w:r w:rsidR="003E0AF8">
        <w:t>HFE</w:t>
      </w:r>
      <w:r w:rsidRPr="00F15230">
        <w:t xml:space="preserve">. </w:t>
      </w:r>
      <w:proofErr w:type="gramStart"/>
      <w:r w:rsidR="003E0AF8">
        <w:t>Staff consider</w:t>
      </w:r>
      <w:proofErr w:type="gramEnd"/>
      <w:r w:rsidR="003E0AF8">
        <w:t xml:space="preserve"> the scale of the non</w:t>
      </w:r>
      <w:r w:rsidR="003E0AF8">
        <w:noBreakHyphen/>
        <w:t xml:space="preserve">State sector assessment should be directly linked </w:t>
      </w:r>
      <w:r w:rsidR="005B0116">
        <w:t xml:space="preserve">to </w:t>
      </w:r>
      <w:r w:rsidR="003E0AF8">
        <w:t xml:space="preserve">what States spend on health services. </w:t>
      </w:r>
      <w:r w:rsidR="001A5124">
        <w:t>In other assessments,</w:t>
      </w:r>
      <w:r w:rsidR="003E0AF8">
        <w:t xml:space="preserve"> disabilities are scaled or weighted </w:t>
      </w:r>
      <w:r w:rsidR="001A5124">
        <w:t xml:space="preserve">according to </w:t>
      </w:r>
      <w:r w:rsidR="003E0AF8">
        <w:t>what States spend. Therefore, t</w:t>
      </w:r>
      <w:r w:rsidR="00823327" w:rsidRPr="00F15230">
        <w:t xml:space="preserve">o be consistent with the Commission’s </w:t>
      </w:r>
      <w:r w:rsidR="003E0AF8">
        <w:t xml:space="preserve">objective and </w:t>
      </w:r>
      <w:r w:rsidR="00823327" w:rsidRPr="00F15230">
        <w:t xml:space="preserve">supporting principles, </w:t>
      </w:r>
      <w:r w:rsidR="00B043A8" w:rsidRPr="00F15230">
        <w:t>t</w:t>
      </w:r>
      <w:r w:rsidRPr="00F15230">
        <w:t xml:space="preserve">he scale of needs must relate to </w:t>
      </w:r>
      <w:r w:rsidR="00BF4CEC">
        <w:t>the</w:t>
      </w:r>
      <w:r w:rsidR="00BF4CEC" w:rsidRPr="00F15230">
        <w:t xml:space="preserve"> </w:t>
      </w:r>
      <w:r w:rsidRPr="00F15230">
        <w:t>level of State spending</w:t>
      </w:r>
      <w:r w:rsidR="003E0AF8">
        <w:t>,</w:t>
      </w:r>
      <w:r w:rsidRPr="00F15230">
        <w:t xml:space="preserve"> and not to total community spending on all medically necessary services regardless of the sector providing the services. </w:t>
      </w:r>
    </w:p>
    <w:p w14:paraId="03A9F6D8" w14:textId="165D522B" w:rsidR="002B4195" w:rsidRPr="00F15230" w:rsidRDefault="002B4195" w:rsidP="002B4195">
      <w:pPr>
        <w:pStyle w:val="CGCNumberedPara"/>
        <w:numPr>
          <w:ilvl w:val="1"/>
          <w:numId w:val="3"/>
        </w:numPr>
      </w:pPr>
      <w:r w:rsidRPr="00F15230">
        <w:t xml:space="preserve">Second, Western Australia </w:t>
      </w:r>
      <w:r w:rsidR="0084630F">
        <w:t>considers that</w:t>
      </w:r>
      <w:r w:rsidR="0084630F" w:rsidRPr="00F15230">
        <w:t xml:space="preserve"> </w:t>
      </w:r>
      <w:r w:rsidRPr="00F15230">
        <w:t xml:space="preserve">substitutability </w:t>
      </w:r>
      <w:r w:rsidR="00BF4CEC">
        <w:t>should be viewed very broadly</w:t>
      </w:r>
      <w:r w:rsidR="0084630F">
        <w:t>, by including</w:t>
      </w:r>
      <w:r w:rsidRPr="00F15230">
        <w:t xml:space="preserve"> </w:t>
      </w:r>
      <w:r w:rsidR="0084630F" w:rsidRPr="00F15230">
        <w:t xml:space="preserve">all </w:t>
      </w:r>
      <w:r w:rsidR="005B0116" w:rsidRPr="00F15230">
        <w:t>medically</w:t>
      </w:r>
      <w:r w:rsidR="006454B4">
        <w:t xml:space="preserve"> </w:t>
      </w:r>
      <w:r w:rsidR="0084630F" w:rsidRPr="00F15230">
        <w:t>necessary services regardless of the sector providing the services</w:t>
      </w:r>
      <w:r w:rsidR="0084630F">
        <w:t xml:space="preserve">. </w:t>
      </w:r>
      <w:proofErr w:type="gramStart"/>
      <w:r w:rsidR="003C5470">
        <w:t>Staff consider</w:t>
      </w:r>
      <w:proofErr w:type="gramEnd"/>
      <w:r w:rsidR="003C5470">
        <w:t xml:space="preserve"> the range of services which are substitutable is much narrower</w:t>
      </w:r>
      <w:r w:rsidR="003C4CB7">
        <w:t xml:space="preserve"> than suggested by Western Australia</w:t>
      </w:r>
      <w:r w:rsidR="003C5470">
        <w:t>.</w:t>
      </w:r>
    </w:p>
    <w:p w14:paraId="0C71C66F" w14:textId="1C434B0E" w:rsidR="00105485" w:rsidRPr="00F15230" w:rsidRDefault="002B4195" w:rsidP="00105485">
      <w:pPr>
        <w:pStyle w:val="CGCNumberedPara"/>
        <w:numPr>
          <w:ilvl w:val="1"/>
          <w:numId w:val="3"/>
        </w:numPr>
      </w:pPr>
      <w:r w:rsidRPr="00F15230">
        <w:t xml:space="preserve">To understand </w:t>
      </w:r>
      <w:r w:rsidR="003E0AF8">
        <w:t xml:space="preserve">how </w:t>
      </w:r>
      <w:r w:rsidR="00382663">
        <w:t xml:space="preserve">the </w:t>
      </w:r>
      <w:r w:rsidR="003E0AF8">
        <w:t>substitutability</w:t>
      </w:r>
      <w:r w:rsidRPr="00F15230">
        <w:t xml:space="preserve"> </w:t>
      </w:r>
      <w:r w:rsidR="00382663">
        <w:t>of services is considered</w:t>
      </w:r>
      <w:r w:rsidR="005B0116">
        <w:t>,</w:t>
      </w:r>
      <w:r w:rsidRPr="00F15230">
        <w:t xml:space="preserve"> it is helpful to consider dental services</w:t>
      </w:r>
      <w:r w:rsidR="00382663">
        <w:t xml:space="preserve"> as an example</w:t>
      </w:r>
      <w:r w:rsidRPr="00F15230">
        <w:t xml:space="preserve">. </w:t>
      </w:r>
      <w:r w:rsidR="003C5470">
        <w:t>Although it is understood that poor dental health is a contributor to serious health problems,</w:t>
      </w:r>
      <w:r w:rsidR="005B0116">
        <w:t xml:space="preserve"> </w:t>
      </w:r>
      <w:r w:rsidR="003C5470">
        <w:t xml:space="preserve">it is not State policy (or Commonwealth policy) to provide universal dental care. Instead what States do is provide public dental services to about one third of </w:t>
      </w:r>
      <w:r w:rsidR="003D5600">
        <w:t xml:space="preserve">the </w:t>
      </w:r>
      <w:r w:rsidR="003C5470">
        <w:t>population comprising children and disadvantaged adults. For most adults accessing public dental services there is no non</w:t>
      </w:r>
      <w:r w:rsidR="003C5470">
        <w:noBreakHyphen/>
        <w:t xml:space="preserve">State alternative other than </w:t>
      </w:r>
      <w:r w:rsidR="003C5470" w:rsidRPr="006F0945">
        <w:t xml:space="preserve">dental work that is funded by the </w:t>
      </w:r>
      <w:r w:rsidR="003C5470">
        <w:t xml:space="preserve">MBS. </w:t>
      </w:r>
      <w:proofErr w:type="gramStart"/>
      <w:r w:rsidR="003C5470">
        <w:t>Staff consider</w:t>
      </w:r>
      <w:proofErr w:type="gramEnd"/>
      <w:r w:rsidR="003C5470">
        <w:t xml:space="preserve"> that the main factors affecting State dental expenditure </w:t>
      </w:r>
      <w:r w:rsidR="00EC6EF7">
        <w:t xml:space="preserve">are State spending decisions and </w:t>
      </w:r>
      <w:r w:rsidR="003C5470">
        <w:t xml:space="preserve">the </w:t>
      </w:r>
      <w:r w:rsidR="00EC6EF7">
        <w:t xml:space="preserve">SDC </w:t>
      </w:r>
      <w:r w:rsidR="003C5470">
        <w:t>of the population who use public dental services. The size of the non-State sector is not considered a significant driver of State spending. This is because the availability of private dental services, largely targeting middle to high socio</w:t>
      </w:r>
      <w:r w:rsidR="003C5470">
        <w:noBreakHyphen/>
        <w:t xml:space="preserve">economic status (SES) groups, is not likely to have much, if any, impact on the demand for State dental services. Under these circumstances, </w:t>
      </w:r>
      <w:r w:rsidR="005B0116">
        <w:t>most</w:t>
      </w:r>
      <w:r w:rsidR="003C5470">
        <w:t xml:space="preserve"> private dental services would not be considered substitutable. </w:t>
      </w:r>
      <w:proofErr w:type="gramStart"/>
      <w:r w:rsidR="003C5470">
        <w:t>Staff do</w:t>
      </w:r>
      <w:proofErr w:type="gramEnd"/>
      <w:r w:rsidR="003C5470">
        <w:t xml:space="preserve"> not consider that expanding the Health assessment to recognise differences across States in expenditure on private dental services would lead to a better equalisation outcome. </w:t>
      </w:r>
      <w:r w:rsidR="00105485" w:rsidRPr="00F15230">
        <w:t xml:space="preserve">The difference in the scale of needs for dental services derived </w:t>
      </w:r>
      <w:r w:rsidR="00105485">
        <w:t>under each approach</w:t>
      </w:r>
      <w:r w:rsidR="00105485" w:rsidRPr="00F15230">
        <w:t xml:space="preserve"> </w:t>
      </w:r>
      <w:r w:rsidR="00105485">
        <w:t xml:space="preserve">is directly related to the definition of </w:t>
      </w:r>
      <w:r w:rsidR="00105485" w:rsidRPr="00F15230">
        <w:t>what constitutes a State</w:t>
      </w:r>
      <w:r w:rsidR="00105485" w:rsidRPr="00F15230">
        <w:noBreakHyphen/>
        <w:t xml:space="preserve">like service. </w:t>
      </w:r>
    </w:p>
    <w:p w14:paraId="63B7F902" w14:textId="7D6AACA4" w:rsidR="003E0AF8" w:rsidRDefault="003C5470" w:rsidP="003C5470">
      <w:pPr>
        <w:pStyle w:val="CGCNumberedPara"/>
        <w:numPr>
          <w:ilvl w:val="1"/>
          <w:numId w:val="3"/>
        </w:numPr>
      </w:pPr>
      <w:r>
        <w:t xml:space="preserve">Dental services are </w:t>
      </w:r>
      <w:r w:rsidR="005B0116">
        <w:t>an</w:t>
      </w:r>
      <w:r>
        <w:t xml:space="preserve"> example where adopting a broad view of what constitutes a State</w:t>
      </w:r>
      <w:r>
        <w:noBreakHyphen/>
        <w:t xml:space="preserve">like service could lead to an error in the subtraction approach. It also illustrates the need to carefully consider, on a case-by-case basis, </w:t>
      </w:r>
      <w:r w:rsidR="003E0AF8">
        <w:t>what are</w:t>
      </w:r>
      <w:r>
        <w:t xml:space="preserve"> State</w:t>
      </w:r>
      <w:r>
        <w:noBreakHyphen/>
        <w:t xml:space="preserve">like services. This includes considering any income constraints which prevent people from accessing non-State services, and any restrictions on access to State services. </w:t>
      </w:r>
      <w:proofErr w:type="gramStart"/>
      <w:r>
        <w:t>Staff consider</w:t>
      </w:r>
      <w:proofErr w:type="gramEnd"/>
      <w:r>
        <w:t xml:space="preserve"> that these matters are highly relevant to HFE and for identifying substitutable services.</w:t>
      </w:r>
    </w:p>
    <w:p w14:paraId="0FB92D81" w14:textId="4C2CC89A" w:rsidR="002B4195" w:rsidRPr="00F15230" w:rsidRDefault="00105485" w:rsidP="002B4195">
      <w:pPr>
        <w:pStyle w:val="CGCNumberedPara"/>
        <w:numPr>
          <w:ilvl w:val="1"/>
          <w:numId w:val="3"/>
        </w:numPr>
      </w:pPr>
      <w:r>
        <w:lastRenderedPageBreak/>
        <w:t>Finally, a</w:t>
      </w:r>
      <w:r w:rsidR="002B4195" w:rsidRPr="00F15230">
        <w:t>part from the</w:t>
      </w:r>
      <w:r w:rsidR="0084630F">
        <w:t>se</w:t>
      </w:r>
      <w:r w:rsidR="002B4195" w:rsidRPr="00F15230">
        <w:t xml:space="preserve"> </w:t>
      </w:r>
      <w:r>
        <w:t xml:space="preserve">conceptual </w:t>
      </w:r>
      <w:r w:rsidR="002B4195" w:rsidRPr="00F15230">
        <w:t>differences</w:t>
      </w:r>
      <w:r w:rsidR="00B043A8" w:rsidRPr="00F15230">
        <w:t xml:space="preserve">, </w:t>
      </w:r>
      <w:r w:rsidR="002B4195" w:rsidRPr="00F15230">
        <w:t xml:space="preserve">Western Australia has not yet demonstrated the </w:t>
      </w:r>
      <w:r w:rsidR="00B043A8" w:rsidRPr="00F15230">
        <w:t>practicality</w:t>
      </w:r>
      <w:r w:rsidR="002B4195" w:rsidRPr="00F15230">
        <w:t xml:space="preserve"> of implementing a subtraction approach using available data. Only after this </w:t>
      </w:r>
      <w:r>
        <w:t>is</w:t>
      </w:r>
      <w:r w:rsidR="002B4195" w:rsidRPr="00F15230">
        <w:t xml:space="preserve"> done would </w:t>
      </w:r>
      <w:r w:rsidR="00B043A8" w:rsidRPr="00F15230">
        <w:t>staff</w:t>
      </w:r>
      <w:r w:rsidR="002B4195" w:rsidRPr="00F15230">
        <w:t xml:space="preserve"> be able to evaluate the range of judgements required to implement a reliable </w:t>
      </w:r>
      <w:r w:rsidR="00430349" w:rsidRPr="00F15230">
        <w:t xml:space="preserve">subtraction </w:t>
      </w:r>
      <w:r w:rsidR="00EE7DB6" w:rsidRPr="00F15230">
        <w:t>model</w:t>
      </w:r>
      <w:r w:rsidR="00430349" w:rsidRPr="00F15230">
        <w:t xml:space="preserve">. Experience </w:t>
      </w:r>
      <w:r w:rsidR="00EE7DB6" w:rsidRPr="00F15230">
        <w:t>from the</w:t>
      </w:r>
      <w:r w:rsidR="00430349" w:rsidRPr="00F15230">
        <w:t xml:space="preserve"> 2010 Review shows that many judgements are required to </w:t>
      </w:r>
      <w:r w:rsidR="00FB4E20" w:rsidRPr="00F15230">
        <w:t xml:space="preserve">build an </w:t>
      </w:r>
      <w:r w:rsidR="00430349" w:rsidRPr="00F15230">
        <w:t>assess</w:t>
      </w:r>
      <w:r w:rsidR="00FB4E20" w:rsidRPr="00F15230">
        <w:t>ment of</w:t>
      </w:r>
      <w:r w:rsidR="00430349" w:rsidRPr="00F15230">
        <w:t xml:space="preserve"> total expenditure on </w:t>
      </w:r>
      <w:r w:rsidR="00FB4E20" w:rsidRPr="00F15230">
        <w:t xml:space="preserve">State and </w:t>
      </w:r>
      <w:r w:rsidR="00430349" w:rsidRPr="00F15230">
        <w:t xml:space="preserve">State-like services. </w:t>
      </w:r>
    </w:p>
    <w:p w14:paraId="4E136409" w14:textId="29D9E591" w:rsidR="002B4195" w:rsidRDefault="002B4195" w:rsidP="002B4195">
      <w:pPr>
        <w:pStyle w:val="CGCNumberedPara"/>
        <w:numPr>
          <w:ilvl w:val="1"/>
          <w:numId w:val="3"/>
        </w:numPr>
      </w:pPr>
      <w:r w:rsidRPr="00F15230">
        <w:t xml:space="preserve">In conclusion, </w:t>
      </w:r>
      <w:proofErr w:type="gramStart"/>
      <w:r w:rsidRPr="00F15230">
        <w:t>staff have</w:t>
      </w:r>
      <w:proofErr w:type="gramEnd"/>
      <w:r w:rsidRPr="00F15230">
        <w:t xml:space="preserve"> not been persuaded that a better equalisation outcome would be achieved by </w:t>
      </w:r>
      <w:r w:rsidR="00224CCA">
        <w:t xml:space="preserve">using </w:t>
      </w:r>
      <w:r w:rsidRPr="00F15230">
        <w:t>a subtraction approach</w:t>
      </w:r>
      <w:r w:rsidR="003E479C">
        <w:t xml:space="preserve"> with the scope of State</w:t>
      </w:r>
      <w:r w:rsidR="003E479C">
        <w:noBreakHyphen/>
        <w:t>like services and substitutability being viewed broadly</w:t>
      </w:r>
      <w:r w:rsidRPr="00F15230">
        <w:t>, or that scaling should be applied to the outcomes of the direct assessment</w:t>
      </w:r>
      <w:r w:rsidR="005B0116">
        <w:t xml:space="preserve">. </w:t>
      </w:r>
      <w:r w:rsidR="00B47DD9">
        <w:t>T</w:t>
      </w:r>
      <w:r w:rsidR="008346E7">
        <w:t>he key area of difference</w:t>
      </w:r>
      <w:r w:rsidR="00B47DD9">
        <w:t xml:space="preserve"> between the two approaches</w:t>
      </w:r>
      <w:r w:rsidR="008346E7">
        <w:t xml:space="preserve"> is the extent to which State and non</w:t>
      </w:r>
      <w:r w:rsidR="008346E7">
        <w:noBreakHyphen/>
        <w:t xml:space="preserve">State services are considered substitutable. </w:t>
      </w:r>
      <w:r w:rsidR="00AB2D99">
        <w:t xml:space="preserve">Since </w:t>
      </w:r>
      <w:r w:rsidR="003E479C">
        <w:t xml:space="preserve">reliable data </w:t>
      </w:r>
      <w:r w:rsidR="00AB2D99">
        <w:t xml:space="preserve">for </w:t>
      </w:r>
      <w:r w:rsidR="003E479C">
        <w:t xml:space="preserve">directly </w:t>
      </w:r>
      <w:r w:rsidR="00AB2D99">
        <w:t>assess</w:t>
      </w:r>
      <w:r w:rsidR="003E479C">
        <w:t>ing State spending on health services</w:t>
      </w:r>
      <w:r w:rsidR="00510C1E">
        <w:t xml:space="preserve"> are available</w:t>
      </w:r>
      <w:r w:rsidR="003E479C">
        <w:t xml:space="preserve">, </w:t>
      </w:r>
      <w:r w:rsidR="00510C1E">
        <w:t xml:space="preserve">staff </w:t>
      </w:r>
      <w:r w:rsidR="00224CCA">
        <w:t xml:space="preserve">are not inclined to recommend </w:t>
      </w:r>
      <w:r w:rsidR="005B0116">
        <w:t xml:space="preserve">that </w:t>
      </w:r>
      <w:r w:rsidR="00224CCA">
        <w:t>the Commission revert to a subtraction approach.</w:t>
      </w:r>
    </w:p>
    <w:p w14:paraId="4E05F7DC" w14:textId="7EC71F57" w:rsidR="00105485" w:rsidRPr="00F15230" w:rsidRDefault="00105485" w:rsidP="00F251B7">
      <w:pPr>
        <w:pStyle w:val="CGCNumberedPara"/>
        <w:numPr>
          <w:ilvl w:val="1"/>
          <w:numId w:val="3"/>
        </w:numPr>
      </w:pPr>
      <w:proofErr w:type="gramStart"/>
      <w:r>
        <w:t>Staff note</w:t>
      </w:r>
      <w:proofErr w:type="gramEnd"/>
      <w:r>
        <w:t xml:space="preserve"> that Tasmania and the ACT have responded to Western Australia’s paper. Both support retaining a direct approach on conceptual </w:t>
      </w:r>
      <w:r w:rsidR="00F251B7">
        <w:t xml:space="preserve">and </w:t>
      </w:r>
      <w:r>
        <w:t>data grounds.</w:t>
      </w:r>
      <w:r w:rsidR="00224CCA">
        <w:t xml:space="preserve"> </w:t>
      </w:r>
      <w:proofErr w:type="gramStart"/>
      <w:r w:rsidR="005B0116">
        <w:t xml:space="preserve">Staff </w:t>
      </w:r>
      <w:r w:rsidR="00F251B7">
        <w:t>intend</w:t>
      </w:r>
      <w:proofErr w:type="gramEnd"/>
      <w:r w:rsidR="006D20E2">
        <w:t xml:space="preserve"> to discuss this issue with all the States at </w:t>
      </w:r>
      <w:r w:rsidR="00F251B7">
        <w:t>an</w:t>
      </w:r>
      <w:r w:rsidR="006D20E2">
        <w:t xml:space="preserve"> OWP </w:t>
      </w:r>
      <w:r w:rsidR="00F251B7">
        <w:t xml:space="preserve">meeting </w:t>
      </w:r>
      <w:r w:rsidR="006D20E2">
        <w:t>in May 2018</w:t>
      </w:r>
      <w:r w:rsidR="005B0116">
        <w:t xml:space="preserve"> and </w:t>
      </w:r>
      <w:r w:rsidR="00F251B7">
        <w:t>will provide Western Australia with more detailed comments on its paper prior to that meeting.</w:t>
      </w:r>
      <w:r w:rsidR="005B0116">
        <w:t xml:space="preserve"> It remains open to Wester</w:t>
      </w:r>
      <w:r w:rsidR="00CD06DD">
        <w:t>n Australia and other States putting</w:t>
      </w:r>
      <w:r w:rsidR="005B0116">
        <w:t xml:space="preserve"> forward further </w:t>
      </w:r>
      <w:r w:rsidR="00F35B7C">
        <w:t>arguments</w:t>
      </w:r>
      <w:r w:rsidR="005B0116">
        <w:t xml:space="preserve"> </w:t>
      </w:r>
      <w:r w:rsidR="00F35B7C">
        <w:t>on</w:t>
      </w:r>
      <w:r w:rsidR="005B0116">
        <w:t xml:space="preserve"> the merits of the Commission adopting a subtraction method as an alternative to the direct method for the </w:t>
      </w:r>
      <w:r w:rsidR="00DE1C7D">
        <w:t>H</w:t>
      </w:r>
      <w:r w:rsidR="005B0116">
        <w:t xml:space="preserve">ealth </w:t>
      </w:r>
      <w:r w:rsidR="00F35B7C">
        <w:t>assessment</w:t>
      </w:r>
      <w:r w:rsidR="005B0116">
        <w:t>.</w:t>
      </w:r>
    </w:p>
    <w:p w14:paraId="58F1939F" w14:textId="77777777" w:rsidR="002B4195" w:rsidRPr="00F15230" w:rsidRDefault="002B4195" w:rsidP="002B4195"/>
    <w:tbl>
      <w:tblPr>
        <w:tblStyle w:val="TableGrid"/>
        <w:tblW w:w="0" w:type="auto"/>
        <w:tblLook w:val="04A0" w:firstRow="1" w:lastRow="0" w:firstColumn="1" w:lastColumn="0" w:noHBand="0" w:noVBand="1"/>
      </w:tblPr>
      <w:tblGrid>
        <w:gridCol w:w="9167"/>
      </w:tblGrid>
      <w:tr w:rsidR="002B4195" w:rsidRPr="00F15230" w14:paraId="4F4C5F2E" w14:textId="77777777" w:rsidTr="00850BE1">
        <w:tc>
          <w:tcPr>
            <w:tcW w:w="9167" w:type="dxa"/>
            <w:tcBorders>
              <w:top w:val="nil"/>
              <w:left w:val="nil"/>
              <w:bottom w:val="nil"/>
              <w:right w:val="nil"/>
            </w:tcBorders>
            <w:shd w:val="clear" w:color="auto" w:fill="D9F3E6"/>
          </w:tcPr>
          <w:p w14:paraId="46B9193F" w14:textId="77777777" w:rsidR="002B4195" w:rsidRPr="00F15230" w:rsidRDefault="002B4195" w:rsidP="00850BE1">
            <w:pPr>
              <w:pStyle w:val="ListParagraph"/>
              <w:ind w:left="0"/>
            </w:pPr>
            <w:r w:rsidRPr="00F15230">
              <w:t>Staff propose to recommend that the Commission:</w:t>
            </w:r>
          </w:p>
          <w:p w14:paraId="00760866" w14:textId="045AFBA0" w:rsidR="00224CCA" w:rsidRDefault="006D20E2" w:rsidP="00224CCA">
            <w:pPr>
              <w:pStyle w:val="CGCBulletlist"/>
              <w:numPr>
                <w:ilvl w:val="0"/>
                <w:numId w:val="1"/>
              </w:numPr>
              <w:tabs>
                <w:tab w:val="clear" w:pos="927"/>
              </w:tabs>
              <w:ind w:left="1134" w:hanging="567"/>
            </w:pPr>
            <w:r>
              <w:t>c</w:t>
            </w:r>
            <w:r w:rsidR="00224CCA">
              <w:t xml:space="preserve">onsider </w:t>
            </w:r>
            <w:r w:rsidR="002B4195" w:rsidRPr="00F15230">
              <w:t>retain</w:t>
            </w:r>
            <w:r>
              <w:t>ing</w:t>
            </w:r>
            <w:r w:rsidR="002B4195" w:rsidRPr="00F15230">
              <w:t xml:space="preserve"> the direct approach to assess all components of health expenses in the 2020 Review rather than revert</w:t>
            </w:r>
            <w:r>
              <w:t>ing</w:t>
            </w:r>
            <w:r w:rsidR="002B4195" w:rsidRPr="00F15230">
              <w:t xml:space="preserve"> to a subtraction approach because </w:t>
            </w:r>
            <w:r w:rsidR="00AB2D99">
              <w:t>the direct approach utilises reliable data to directly assess State health spending and focuses on what States do while appropriately recognising the influence of the non-State sector</w:t>
            </w:r>
          </w:p>
          <w:p w14:paraId="174F1103" w14:textId="4EE542B1" w:rsidR="002B4195" w:rsidRPr="00F15230" w:rsidRDefault="002B4195" w:rsidP="00306C3A">
            <w:pPr>
              <w:pStyle w:val="CGCBulletlist"/>
              <w:numPr>
                <w:ilvl w:val="0"/>
                <w:numId w:val="1"/>
              </w:numPr>
              <w:tabs>
                <w:tab w:val="clear" w:pos="927"/>
              </w:tabs>
              <w:ind w:left="1134" w:hanging="567"/>
            </w:pPr>
            <w:proofErr w:type="gramStart"/>
            <w:r w:rsidRPr="00F15230">
              <w:t>not</w:t>
            </w:r>
            <w:proofErr w:type="gramEnd"/>
            <w:r w:rsidRPr="00F15230">
              <w:t xml:space="preserve"> scale the outcomes of the direct assessment method based on a very broad interpretation of </w:t>
            </w:r>
            <w:r w:rsidR="00FB4E20" w:rsidRPr="00F15230">
              <w:t>what constitutes State-like services</w:t>
            </w:r>
            <w:r w:rsidR="00F251B7">
              <w:t>.</w:t>
            </w:r>
          </w:p>
        </w:tc>
      </w:tr>
    </w:tbl>
    <w:p w14:paraId="19AC87D1" w14:textId="77777777" w:rsidR="00AD2350" w:rsidRPr="00F15230" w:rsidRDefault="00AD2350" w:rsidP="00AD2350">
      <w:pPr>
        <w:pStyle w:val="Heading4"/>
      </w:pPr>
      <w:bookmarkStart w:id="88" w:name="_Toc499818745"/>
      <w:bookmarkStart w:id="89" w:name="_Toc499818835"/>
      <w:bookmarkStart w:id="90" w:name="_Toc508800484"/>
      <w:bookmarkStart w:id="91" w:name="_Toc509231093"/>
      <w:bookmarkStart w:id="92" w:name="_Toc511054118"/>
      <w:bookmarkStart w:id="93" w:name="_Toc511127559"/>
      <w:bookmarkStart w:id="94" w:name="_Toc511977537"/>
      <w:r w:rsidRPr="00F15230">
        <w:t>SDC assessments</w:t>
      </w:r>
      <w:bookmarkEnd w:id="88"/>
      <w:bookmarkEnd w:id="89"/>
      <w:bookmarkEnd w:id="90"/>
      <w:bookmarkEnd w:id="91"/>
      <w:bookmarkEnd w:id="92"/>
      <w:bookmarkEnd w:id="93"/>
      <w:bookmarkEnd w:id="94"/>
    </w:p>
    <w:p w14:paraId="0AE31EA4" w14:textId="3994769B" w:rsidR="00AD2350" w:rsidRPr="00F15230" w:rsidRDefault="00AD2350" w:rsidP="00AD2350">
      <w:pPr>
        <w:pStyle w:val="CGCNumberedPara"/>
        <w:numPr>
          <w:ilvl w:val="1"/>
          <w:numId w:val="3"/>
        </w:numPr>
      </w:pPr>
      <w:proofErr w:type="gramStart"/>
      <w:r w:rsidRPr="00F15230">
        <w:t>Staff are</w:t>
      </w:r>
      <w:proofErr w:type="gramEnd"/>
      <w:r w:rsidRPr="00F15230">
        <w:t xml:space="preserve"> considering whether the main data sources for assessing State spending on NAP and community </w:t>
      </w:r>
      <w:r w:rsidR="00B53B5A">
        <w:t xml:space="preserve">health </w:t>
      </w:r>
      <w:r w:rsidRPr="00F15230">
        <w:t>services should be changed. The SDC assessments for these components currently use proxy indicators to assess spending on different population groups.</w:t>
      </w:r>
    </w:p>
    <w:p w14:paraId="461B3885" w14:textId="77777777" w:rsidR="00AD2350" w:rsidRPr="00F15230" w:rsidRDefault="00AD2350" w:rsidP="00AD2350">
      <w:pPr>
        <w:pStyle w:val="Heading5"/>
      </w:pPr>
      <w:r w:rsidRPr="00F15230">
        <w:lastRenderedPageBreak/>
        <w:t>Non-admitted patient services</w:t>
      </w:r>
    </w:p>
    <w:p w14:paraId="3A857096" w14:textId="7B7971B6" w:rsidR="00AD2350" w:rsidRPr="00F15230" w:rsidRDefault="00AD2350" w:rsidP="002B4195">
      <w:pPr>
        <w:pStyle w:val="CGCNumberedPara"/>
        <w:numPr>
          <w:ilvl w:val="1"/>
          <w:numId w:val="3"/>
        </w:numPr>
        <w:rPr>
          <w:sz w:val="22"/>
          <w:szCs w:val="22"/>
        </w:rPr>
      </w:pPr>
      <w:r w:rsidRPr="00F15230">
        <w:t>In the 2015 Review</w:t>
      </w:r>
      <w:r w:rsidR="00F47B9A" w:rsidRPr="00F15230">
        <w:t>,</w:t>
      </w:r>
      <w:r w:rsidRPr="00F15230">
        <w:t xml:space="preserve"> the Commission decided not to use IHPA’s NAP data for the SDC assessment of NAP expenses because the data were not considered sufficientl</w:t>
      </w:r>
      <w:r w:rsidR="009A2FE4" w:rsidRPr="00F15230">
        <w:t xml:space="preserve">y reliable. Admitted patient </w:t>
      </w:r>
      <w:r w:rsidRPr="00F15230">
        <w:t>separations data were used as a proxy indicator</w:t>
      </w:r>
      <w:r w:rsidR="002B4195" w:rsidRPr="00F15230">
        <w:t>.</w:t>
      </w:r>
      <w:r w:rsidRPr="00F15230">
        <w:t xml:space="preserve"> </w:t>
      </w:r>
    </w:p>
    <w:p w14:paraId="38C2A63F" w14:textId="5A3831A2" w:rsidR="00AD2350" w:rsidRPr="00F15230" w:rsidRDefault="00BB2BD3" w:rsidP="00AD2350">
      <w:pPr>
        <w:pStyle w:val="CGCNumberedPara"/>
        <w:numPr>
          <w:ilvl w:val="1"/>
          <w:numId w:val="3"/>
        </w:numPr>
      </w:pPr>
      <w:r w:rsidRPr="00F15230">
        <w:t>I</w:t>
      </w:r>
      <w:r w:rsidR="00AD2350" w:rsidRPr="00F15230">
        <w:t xml:space="preserve">mprovements in the coverage </w:t>
      </w:r>
      <w:r w:rsidR="00265D7F" w:rsidRPr="00F15230">
        <w:t xml:space="preserve">and quality </w:t>
      </w:r>
      <w:r w:rsidR="00AD2350" w:rsidRPr="00F15230">
        <w:t xml:space="preserve">of </w:t>
      </w:r>
      <w:r w:rsidR="0084630F">
        <w:t xml:space="preserve">IHPA’s </w:t>
      </w:r>
      <w:r w:rsidR="00AD2350" w:rsidRPr="00F15230">
        <w:t xml:space="preserve">NAP </w:t>
      </w:r>
      <w:r w:rsidR="00265D7F" w:rsidRPr="00F15230">
        <w:t>data</w:t>
      </w:r>
      <w:r w:rsidR="00AD2350" w:rsidRPr="00F15230">
        <w:t xml:space="preserve"> are ongoing</w:t>
      </w:r>
      <w:r w:rsidR="00265D7F" w:rsidRPr="00F15230">
        <w:t xml:space="preserve"> but</w:t>
      </w:r>
      <w:r w:rsidR="00AD2350" w:rsidRPr="00F15230">
        <w:t xml:space="preserve"> </w:t>
      </w:r>
      <w:proofErr w:type="gramStart"/>
      <w:r w:rsidRPr="00F15230">
        <w:t>staff</w:t>
      </w:r>
      <w:r w:rsidR="00AD2350" w:rsidRPr="00F15230">
        <w:t xml:space="preserve"> anticipate</w:t>
      </w:r>
      <w:proofErr w:type="gramEnd"/>
      <w:r w:rsidR="00AD2350" w:rsidRPr="00F15230">
        <w:t xml:space="preserve"> the data </w:t>
      </w:r>
      <w:r w:rsidRPr="00F15230">
        <w:t xml:space="preserve">will </w:t>
      </w:r>
      <w:r w:rsidR="00AD2350" w:rsidRPr="00F15230">
        <w:t xml:space="preserve">be reliable enough to use in the 2020 Review. </w:t>
      </w:r>
      <w:proofErr w:type="gramStart"/>
      <w:r w:rsidR="00421445" w:rsidRPr="00F15230">
        <w:t>Staff</w:t>
      </w:r>
      <w:r w:rsidR="00AD2350" w:rsidRPr="00F15230">
        <w:t xml:space="preserve"> </w:t>
      </w:r>
      <w:r w:rsidRPr="00F15230">
        <w:t>consider</w:t>
      </w:r>
      <w:proofErr w:type="gramEnd"/>
      <w:r w:rsidR="00AD2350" w:rsidRPr="00F15230">
        <w:t xml:space="preserve"> it is preferable to use NAP </w:t>
      </w:r>
      <w:r w:rsidR="00B53B5A">
        <w:t xml:space="preserve">NWAU </w:t>
      </w:r>
      <w:r w:rsidR="00AD2350" w:rsidRPr="00F15230">
        <w:t xml:space="preserve">data instead of admitted patient separations because it </w:t>
      </w:r>
      <w:r w:rsidR="00E0786D" w:rsidRPr="00F15230">
        <w:t xml:space="preserve">will </w:t>
      </w:r>
      <w:r w:rsidR="00AD2350" w:rsidRPr="00F15230">
        <w:t xml:space="preserve">better reflect the material factors which influence State spending on these services. </w:t>
      </w:r>
      <w:proofErr w:type="gramStart"/>
      <w:r w:rsidR="00421445" w:rsidRPr="00F15230">
        <w:t>Staff</w:t>
      </w:r>
      <w:r w:rsidR="00AD2350" w:rsidRPr="00F15230">
        <w:t xml:space="preserve"> </w:t>
      </w:r>
      <w:r w:rsidR="009E0E83" w:rsidRPr="00F15230">
        <w:t>invite</w:t>
      </w:r>
      <w:proofErr w:type="gramEnd"/>
      <w:r w:rsidR="00AD2350" w:rsidRPr="00F15230">
        <w:t xml:space="preserve"> </w:t>
      </w:r>
      <w:r w:rsidR="00B53B5A">
        <w:t xml:space="preserve">State </w:t>
      </w:r>
      <w:r w:rsidR="00AD2350" w:rsidRPr="00F15230">
        <w:t xml:space="preserve">comments on the coverage and reliability of NAP data provided to IHPA </w:t>
      </w:r>
      <w:r w:rsidR="00882EA8">
        <w:t>through</w:t>
      </w:r>
      <w:r w:rsidR="00AD2350" w:rsidRPr="00F15230">
        <w:t xml:space="preserve"> the National Hospita</w:t>
      </w:r>
      <w:r w:rsidR="00C9656E" w:rsidRPr="00F15230">
        <w:t>l Cost Data Collection (NHCDC) and NAP activity collections.</w:t>
      </w:r>
    </w:p>
    <w:p w14:paraId="1E708ACB" w14:textId="037C9CD9" w:rsidR="00265D7F" w:rsidRPr="00F15230" w:rsidRDefault="00265D7F" w:rsidP="00AD2350">
      <w:pPr>
        <w:pStyle w:val="CGCNumberedPara"/>
        <w:numPr>
          <w:ilvl w:val="1"/>
          <w:numId w:val="3"/>
        </w:numPr>
      </w:pPr>
      <w:r w:rsidRPr="00F15230">
        <w:t>If the Commission decides to use NAP NWAU data in the 2020 Review</w:t>
      </w:r>
      <w:r w:rsidR="00F35B7C">
        <w:t>,</w:t>
      </w:r>
      <w:r w:rsidRPr="00F15230">
        <w:t xml:space="preserve"> it could consider assessing hospital</w:t>
      </w:r>
      <w:r w:rsidR="00956B70" w:rsidRPr="00F15230">
        <w:t xml:space="preserve"> services in one component using aggregate NWAU data for all hospital services</w:t>
      </w:r>
      <w:r w:rsidR="00C9656E" w:rsidRPr="00F15230">
        <w:t xml:space="preserve"> </w:t>
      </w:r>
      <w:r w:rsidR="00603B2D" w:rsidRPr="00F15230">
        <w:t>(</w:t>
      </w:r>
      <w:r w:rsidR="002067AF">
        <w:t>s</w:t>
      </w:r>
      <w:r w:rsidR="00603B2D" w:rsidRPr="00F15230">
        <w:t>ee paragraph</w:t>
      </w:r>
      <w:r w:rsidR="00DE1C7D">
        <w:fldChar w:fldCharType="begin"/>
      </w:r>
      <w:r w:rsidR="00DE1C7D">
        <w:instrText xml:space="preserve"> REF _Ref511908886 \r \h </w:instrText>
      </w:r>
      <w:r w:rsidR="00DE1C7D">
        <w:fldChar w:fldCharType="separate"/>
      </w:r>
      <w:r w:rsidR="005A6E12">
        <w:t>112</w:t>
      </w:r>
      <w:r w:rsidR="00DE1C7D">
        <w:fldChar w:fldCharType="end"/>
      </w:r>
      <w:r w:rsidR="00AB67C3" w:rsidRPr="00F15230">
        <w:t>)</w:t>
      </w:r>
      <w:r w:rsidR="00B53B5A">
        <w:t>.</w:t>
      </w:r>
    </w:p>
    <w:p w14:paraId="1295775A" w14:textId="77777777" w:rsidR="003808D4" w:rsidRPr="00F15230" w:rsidRDefault="003808D4" w:rsidP="00F03D90"/>
    <w:tbl>
      <w:tblPr>
        <w:tblStyle w:val="TableGrid"/>
        <w:tblW w:w="0" w:type="auto"/>
        <w:tblLook w:val="04A0" w:firstRow="1" w:lastRow="0" w:firstColumn="1" w:lastColumn="0" w:noHBand="0" w:noVBand="1"/>
      </w:tblPr>
      <w:tblGrid>
        <w:gridCol w:w="9167"/>
      </w:tblGrid>
      <w:tr w:rsidR="00EE2FB6" w:rsidRPr="00F15230" w14:paraId="29E1549B" w14:textId="77777777" w:rsidTr="00EE2FB6">
        <w:tc>
          <w:tcPr>
            <w:tcW w:w="9167" w:type="dxa"/>
            <w:tcBorders>
              <w:top w:val="nil"/>
              <w:left w:val="nil"/>
              <w:bottom w:val="nil"/>
              <w:right w:val="nil"/>
            </w:tcBorders>
            <w:shd w:val="clear" w:color="auto" w:fill="D9F3E6"/>
          </w:tcPr>
          <w:p w14:paraId="529AD940" w14:textId="77777777" w:rsidR="00EE2FB6" w:rsidRPr="00F15230" w:rsidRDefault="00EE2FB6" w:rsidP="00EE2FB6">
            <w:r w:rsidRPr="00F15230">
              <w:t>Staff propose to recommend the Commission:</w:t>
            </w:r>
          </w:p>
          <w:p w14:paraId="198D4185" w14:textId="04D4EF11" w:rsidR="00EA56E3" w:rsidRPr="00F15230" w:rsidRDefault="009D2C71" w:rsidP="00EE2FB6">
            <w:pPr>
              <w:pStyle w:val="CGCBulletlist"/>
            </w:pPr>
            <w:r w:rsidRPr="00F15230">
              <w:t>continue to use IHPA’s NWAU data for the SDC assessments of admitted and ED services because the data provide a reliable basis for measuring the material factors which influence State spending on these services</w:t>
            </w:r>
          </w:p>
          <w:p w14:paraId="5B1759EA" w14:textId="7D3D88A2" w:rsidR="00EE2FB6" w:rsidRPr="00F15230" w:rsidRDefault="00E765A4" w:rsidP="00AB67C3">
            <w:pPr>
              <w:pStyle w:val="CGCBulletlist"/>
            </w:pPr>
            <w:proofErr w:type="gramStart"/>
            <w:r w:rsidRPr="00F15230">
              <w:t>use</w:t>
            </w:r>
            <w:proofErr w:type="gramEnd"/>
            <w:r w:rsidRPr="00F15230">
              <w:t xml:space="preserve"> IHPA’s NAP NWAU data for the SDC assessment of NAP expenses instead of admitted patient separations because the data should be sufficiently reliable </w:t>
            </w:r>
            <w:r w:rsidR="00AB67C3" w:rsidRPr="00F15230">
              <w:t>by</w:t>
            </w:r>
            <w:r w:rsidRPr="00F15230">
              <w:t xml:space="preserve"> the 2020 Review and it </w:t>
            </w:r>
            <w:r w:rsidR="00265D7F" w:rsidRPr="00F15230">
              <w:t>will provide</w:t>
            </w:r>
            <w:r w:rsidRPr="00F15230">
              <w:t xml:space="preserve"> a better measure of the material factors which influence State spending on NAP services.</w:t>
            </w:r>
          </w:p>
        </w:tc>
      </w:tr>
    </w:tbl>
    <w:p w14:paraId="1128B09E" w14:textId="77777777" w:rsidR="00C84C9D" w:rsidRPr="00F15230" w:rsidRDefault="00C84C9D" w:rsidP="00C84C9D">
      <w:pPr>
        <w:pStyle w:val="Heading5"/>
      </w:pPr>
      <w:r w:rsidRPr="00F15230">
        <w:rPr>
          <w:rStyle w:val="Heading6Char"/>
          <w:b/>
          <w:i/>
          <w:iCs w:val="0"/>
        </w:rPr>
        <w:t>Community and other health services</w:t>
      </w:r>
      <w:r w:rsidRPr="00F15230">
        <w:rPr>
          <w:rStyle w:val="FootnoteReference"/>
        </w:rPr>
        <w:footnoteReference w:id="7"/>
      </w:r>
    </w:p>
    <w:p w14:paraId="610C5059" w14:textId="77777777" w:rsidR="00C84C9D" w:rsidRPr="00F15230" w:rsidRDefault="00C84C9D" w:rsidP="00C84C9D">
      <w:pPr>
        <w:pStyle w:val="CGCNumberedPara"/>
        <w:numPr>
          <w:ilvl w:val="1"/>
          <w:numId w:val="3"/>
        </w:numPr>
      </w:pPr>
      <w:r w:rsidRPr="00F15230">
        <w:t>In the 2015 Review, the Commission tried to identify a national dataset on the cost weighted use of State</w:t>
      </w:r>
      <w:r w:rsidRPr="00F15230">
        <w:noBreakHyphen/>
        <w:t>provided community health services but found that data were only available for selected services (for example, cancer screening) which would not reflect the use of all State</w:t>
      </w:r>
      <w:r w:rsidRPr="00F15230">
        <w:noBreakHyphen/>
        <w:t>provided services. After considering the options the Commission decided to base the SDC assessment for community health services on IHPA’s ED triage 4 and 5 NWAU data.</w:t>
      </w:r>
    </w:p>
    <w:p w14:paraId="307353F4" w14:textId="37AF9023" w:rsidR="00C84C9D" w:rsidRPr="00F15230" w:rsidRDefault="00C84C9D" w:rsidP="00C84C9D">
      <w:pPr>
        <w:pStyle w:val="CGCNumberedPara"/>
        <w:numPr>
          <w:ilvl w:val="1"/>
          <w:numId w:val="3"/>
        </w:numPr>
      </w:pPr>
      <w:r w:rsidRPr="00F15230">
        <w:t xml:space="preserve">There are still no national datasets for measuring the cost weighted use of community health services. However, we are aware that some States (for example, New South Wales, Victoria and the Northern Territory) have activity data for their community health centres. Victoria has supplied data for Community Health Program (CHP) services provided through its community health centres. </w:t>
      </w:r>
    </w:p>
    <w:p w14:paraId="53688783" w14:textId="134D8B13" w:rsidR="00C84C9D" w:rsidRPr="00F15230" w:rsidRDefault="00C84C9D" w:rsidP="00C84C9D">
      <w:pPr>
        <w:pStyle w:val="CGCNumberedPara"/>
        <w:numPr>
          <w:ilvl w:val="1"/>
          <w:numId w:val="3"/>
        </w:numPr>
      </w:pPr>
      <w:r w:rsidRPr="00F15230">
        <w:lastRenderedPageBreak/>
        <w:t xml:space="preserve">Preliminary analysis of Victorian CHP cost data indicates that the population groups which are high cost for hospital services are also high cost for CHP services. </w:t>
      </w:r>
      <w:r w:rsidRPr="00F15230">
        <w:fldChar w:fldCharType="begin"/>
      </w:r>
      <w:r w:rsidRPr="00F15230">
        <w:instrText xml:space="preserve"> REF _Ref498093769 \h </w:instrText>
      </w:r>
      <w:r>
        <w:instrText xml:space="preserve"> \* MERGEFORMAT </w:instrText>
      </w:r>
      <w:r w:rsidRPr="00F15230">
        <w:fldChar w:fldCharType="separate"/>
      </w:r>
      <w:r w:rsidR="005A6E12" w:rsidRPr="00F15230">
        <w:t xml:space="preserve">Figure </w:t>
      </w:r>
      <w:r w:rsidR="005A6E12">
        <w:t>1</w:t>
      </w:r>
      <w:r w:rsidRPr="00F15230">
        <w:fldChar w:fldCharType="end"/>
      </w:r>
      <w:r w:rsidRPr="00F15230">
        <w:t xml:space="preserve">, </w:t>
      </w:r>
      <w:r w:rsidRPr="00F15230">
        <w:fldChar w:fldCharType="begin"/>
      </w:r>
      <w:r w:rsidRPr="00F15230">
        <w:instrText xml:space="preserve"> REF _Ref498342057 \h </w:instrText>
      </w:r>
      <w:r>
        <w:instrText xml:space="preserve"> \* MERGEFORMAT </w:instrText>
      </w:r>
      <w:r w:rsidRPr="00F15230">
        <w:fldChar w:fldCharType="separate"/>
      </w:r>
      <w:r w:rsidR="005A6E12" w:rsidRPr="00F15230">
        <w:t xml:space="preserve">Figure </w:t>
      </w:r>
      <w:r w:rsidR="005A6E12">
        <w:t>2</w:t>
      </w:r>
      <w:r w:rsidRPr="00F15230">
        <w:fldChar w:fldCharType="end"/>
      </w:r>
      <w:r w:rsidRPr="00F15230">
        <w:t xml:space="preserve"> and </w:t>
      </w:r>
      <w:r w:rsidRPr="00F15230">
        <w:fldChar w:fldCharType="begin"/>
      </w:r>
      <w:r w:rsidRPr="00F15230">
        <w:instrText xml:space="preserve"> REF _Ref499640496 \h </w:instrText>
      </w:r>
      <w:r>
        <w:instrText xml:space="preserve"> \* MERGEFORMAT </w:instrText>
      </w:r>
      <w:r w:rsidRPr="00F15230">
        <w:fldChar w:fldCharType="separate"/>
      </w:r>
      <w:r w:rsidR="005A6E12" w:rsidRPr="00F15230">
        <w:t xml:space="preserve">Figure </w:t>
      </w:r>
      <w:r w:rsidR="005A6E12">
        <w:t>3</w:t>
      </w:r>
      <w:r w:rsidRPr="00F15230">
        <w:fldChar w:fldCharType="end"/>
      </w:r>
      <w:r w:rsidRPr="00F15230">
        <w:t xml:space="preserve"> show use </w:t>
      </w:r>
      <w:r w:rsidR="003A42F7">
        <w:t xml:space="preserve">rates </w:t>
      </w:r>
      <w:r w:rsidRPr="00F15230">
        <w:t>for CHP services compared to national ED and admitted patient services.</w:t>
      </w:r>
      <w:r w:rsidRPr="00F15230">
        <w:rPr>
          <w:rStyle w:val="FootnoteReference"/>
        </w:rPr>
        <w:footnoteReference w:id="8"/>
      </w:r>
    </w:p>
    <w:p w14:paraId="6C239E8E" w14:textId="422D8C21" w:rsidR="00C84C9D" w:rsidRPr="00F15230" w:rsidRDefault="00C84C9D" w:rsidP="00C84C9D">
      <w:pPr>
        <w:pStyle w:val="CGCNumberedPara"/>
        <w:numPr>
          <w:ilvl w:val="1"/>
          <w:numId w:val="3"/>
        </w:numPr>
      </w:pPr>
      <w:r w:rsidRPr="00F15230">
        <w:t xml:space="preserve">The figures indicate that, similar to hospital services, </w:t>
      </w:r>
      <w:r w:rsidR="003A33A2">
        <w:t xml:space="preserve">Victoria spends twice as much per capita on CHP services for Indigenous people </w:t>
      </w:r>
      <w:r w:rsidR="007B6610">
        <w:t xml:space="preserve">compared to </w:t>
      </w:r>
      <w:r w:rsidR="003A33A2">
        <w:t>non</w:t>
      </w:r>
      <w:r w:rsidR="003A33A2">
        <w:noBreakHyphen/>
        <w:t>Indigenous</w:t>
      </w:r>
      <w:r w:rsidR="007B6610">
        <w:t xml:space="preserve"> people</w:t>
      </w:r>
      <w:r w:rsidRPr="00F15230">
        <w:t xml:space="preserve">, but </w:t>
      </w:r>
      <w:r w:rsidR="003A33A2">
        <w:t xml:space="preserve">the relative per capita </w:t>
      </w:r>
      <w:r w:rsidR="007B6610">
        <w:t xml:space="preserve">spending </w:t>
      </w:r>
      <w:r w:rsidR="003A33A2">
        <w:t xml:space="preserve">on CHP services for </w:t>
      </w:r>
      <w:r w:rsidRPr="00F15230">
        <w:t xml:space="preserve">people from low SES and more remote </w:t>
      </w:r>
      <w:r w:rsidR="008A1FDA" w:rsidRPr="00F15230">
        <w:t>areas are</w:t>
      </w:r>
      <w:r w:rsidR="003A33A2">
        <w:t xml:space="preserve"> higher</w:t>
      </w:r>
      <w:r w:rsidRPr="00F15230">
        <w:t xml:space="preserve"> than hospital services. This is </w:t>
      </w:r>
      <w:r>
        <w:t>probably because</w:t>
      </w:r>
      <w:r w:rsidRPr="00F15230">
        <w:t xml:space="preserve"> CHP services tend to target vulnerable population groups including Indigenous people, people with an intellectual disability, refugees and people seeking asylum, people experiencing homelessness, people with serious mental illness and children in out</w:t>
      </w:r>
      <w:r w:rsidR="00920CB7">
        <w:noBreakHyphen/>
      </w:r>
      <w:r w:rsidRPr="00F15230">
        <w:t>of</w:t>
      </w:r>
      <w:r w:rsidR="00920CB7">
        <w:noBreakHyphen/>
      </w:r>
      <w:r w:rsidRPr="00F15230">
        <w:t xml:space="preserve">home care. The higher </w:t>
      </w:r>
      <w:r w:rsidR="008A1FDA">
        <w:t>relative</w:t>
      </w:r>
      <w:r w:rsidR="007B6610">
        <w:t xml:space="preserve"> per capita</w:t>
      </w:r>
      <w:r w:rsidR="008A1FDA">
        <w:t xml:space="preserve"> spending</w:t>
      </w:r>
      <w:r w:rsidRPr="00F15230">
        <w:t xml:space="preserve"> </w:t>
      </w:r>
      <w:r w:rsidR="007B6610">
        <w:t>on</w:t>
      </w:r>
      <w:r w:rsidR="007B6610" w:rsidRPr="00F15230">
        <w:t xml:space="preserve"> </w:t>
      </w:r>
      <w:r w:rsidRPr="00F15230">
        <w:t xml:space="preserve">CHP services </w:t>
      </w:r>
      <w:r w:rsidR="007B6610">
        <w:t xml:space="preserve">for people </w:t>
      </w:r>
      <w:r w:rsidRPr="00F15230">
        <w:t>in regional areas is probably the result of fewer non-State alternatives such as GPs or public hospitals in these locations.</w:t>
      </w:r>
    </w:p>
    <w:p w14:paraId="2D8691FE" w14:textId="6CE34CF5" w:rsidR="00C84C9D" w:rsidRPr="00F15230" w:rsidRDefault="00C84C9D" w:rsidP="00C84C9D">
      <w:pPr>
        <w:pStyle w:val="CGCNumberedPara"/>
        <w:numPr>
          <w:ilvl w:val="1"/>
          <w:numId w:val="3"/>
        </w:numPr>
      </w:pPr>
      <w:r w:rsidRPr="00F15230">
        <w:t>Some caution is needed in drawing conclusions from the analysis of Victorian CHP data. As noted, the services covered by the Victorian dataset are a subset of the services provided by Victorian community health centres. It is also much narrower in scope than the community health component. For example, the Victorian dataset does not include dental services, drug programs or public health services such as breast screening</w:t>
      </w:r>
      <w:r>
        <w:t xml:space="preserve"> and immunisation programs</w:t>
      </w:r>
      <w:r w:rsidRPr="00F15230">
        <w:t xml:space="preserve">. It could be expected that if data were available for the full range of services, the differences between the </w:t>
      </w:r>
      <w:r w:rsidR="0069316E">
        <w:t>community health service data</w:t>
      </w:r>
      <w:r w:rsidRPr="00F15230">
        <w:t xml:space="preserve"> and national hospital data would not be as significant.</w:t>
      </w:r>
    </w:p>
    <w:p w14:paraId="1E9B8009" w14:textId="77777777" w:rsidR="00C84C9D" w:rsidRPr="00F15230" w:rsidRDefault="00C84C9D" w:rsidP="00C84C9D">
      <w:pPr>
        <w:pStyle w:val="CGCNumberedPara"/>
        <w:numPr>
          <w:ilvl w:val="1"/>
          <w:numId w:val="3"/>
        </w:numPr>
      </w:pPr>
      <w:r w:rsidRPr="00F15230">
        <w:t xml:space="preserve">Staff would like to know if other States are able to provide similar data to Victoria. We know that New South Wales Health and the Northern Territory have similar data which we have already requested. It might be possible to use data from representative States to build a national usage profile for community health services. If this is not possible, the Commission will have to continue to use a proxy indicator for the community health SDC assessment. Hospital data, including subsets of ED and non-admitted patient </w:t>
      </w:r>
      <w:proofErr w:type="gramStart"/>
      <w:r w:rsidRPr="00F15230">
        <w:t>data,</w:t>
      </w:r>
      <w:proofErr w:type="gramEnd"/>
      <w:r w:rsidRPr="00F15230">
        <w:t xml:space="preserve"> are likely to remain the best way forward. </w:t>
      </w:r>
    </w:p>
    <w:p w14:paraId="4E8BAD0A" w14:textId="58EDC855" w:rsidR="00C84C9D" w:rsidRDefault="00C84C9D" w:rsidP="00C84C9D">
      <w:pPr>
        <w:pStyle w:val="CGCTableHeading"/>
      </w:pPr>
      <w:bookmarkStart w:id="95" w:name="_Ref498093769"/>
      <w:r w:rsidRPr="00F15230">
        <w:lastRenderedPageBreak/>
        <w:t xml:space="preserve">Figure </w:t>
      </w:r>
      <w:r w:rsidR="00CD3D12">
        <w:fldChar w:fldCharType="begin"/>
      </w:r>
      <w:r w:rsidR="00CD3D12">
        <w:instrText xml:space="preserve"> SEQ Figure \* ARABIC </w:instrText>
      </w:r>
      <w:r w:rsidR="00CD3D12">
        <w:fldChar w:fldCharType="separate"/>
      </w:r>
      <w:r w:rsidR="005A6E12">
        <w:rPr>
          <w:noProof/>
        </w:rPr>
        <w:t>1</w:t>
      </w:r>
      <w:r w:rsidR="00CD3D12">
        <w:rPr>
          <w:noProof/>
        </w:rPr>
        <w:fldChar w:fldCharType="end"/>
      </w:r>
      <w:bookmarkEnd w:id="95"/>
      <w:r w:rsidRPr="00F15230">
        <w:tab/>
        <w:t xml:space="preserve">Victorian Community Health Program, </w:t>
      </w:r>
      <w:r w:rsidR="008A1FDA">
        <w:t>relative per capita</w:t>
      </w:r>
      <w:r w:rsidR="007B6610">
        <w:t xml:space="preserve"> spending</w:t>
      </w:r>
      <w:r w:rsidRPr="00F15230">
        <w:t xml:space="preserve"> by Indigenous status, 2014</w:t>
      </w:r>
      <w:r w:rsidRPr="00F15230">
        <w:noBreakHyphen/>
        <w:t>15</w:t>
      </w:r>
    </w:p>
    <w:p w14:paraId="45544C22" w14:textId="191AD3A4" w:rsidR="0010529C" w:rsidRPr="0010529C" w:rsidRDefault="0010529C" w:rsidP="0010529C">
      <w:r w:rsidRPr="0010529C">
        <w:rPr>
          <w:noProof/>
          <w:lang w:eastAsia="zh-CN"/>
        </w:rPr>
        <w:drawing>
          <wp:inline distT="0" distB="0" distL="0" distR="0" wp14:anchorId="6F383E37" wp14:editId="18455E0F">
            <wp:extent cx="5647334" cy="3211373"/>
            <wp:effectExtent l="0" t="0" r="0" b="8255"/>
            <wp:docPr id="1" name="Picture 1" descr="This figures shows the relative per capita spending by Indigenous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7298" cy="3217039"/>
                    </a:xfrm>
                    <a:prstGeom prst="rect">
                      <a:avLst/>
                    </a:prstGeom>
                    <a:noFill/>
                    <a:ln>
                      <a:noFill/>
                    </a:ln>
                  </pic:spPr>
                </pic:pic>
              </a:graphicData>
            </a:graphic>
          </wp:inline>
        </w:drawing>
      </w:r>
    </w:p>
    <w:p w14:paraId="06C1999F" w14:textId="0AF4CD28" w:rsidR="003A42F7" w:rsidRDefault="003A42F7" w:rsidP="00C84C9D">
      <w:pPr>
        <w:pStyle w:val="CGCTableFootnote"/>
      </w:pPr>
      <w:r>
        <w:t>Note:</w:t>
      </w:r>
      <w:r>
        <w:tab/>
        <w:t xml:space="preserve">The </w:t>
      </w:r>
      <w:r w:rsidR="008A1FDA">
        <w:t>relative per capita</w:t>
      </w:r>
      <w:r w:rsidR="007B6610">
        <w:t xml:space="preserve"> spending</w:t>
      </w:r>
      <w:r w:rsidR="008A1FDA">
        <w:t xml:space="preserve"> is</w:t>
      </w:r>
      <w:r>
        <w:t xml:space="preserve"> based on staffing costs by population group. They are calculated by dividing the share </w:t>
      </w:r>
      <w:r w:rsidR="008161E2">
        <w:t xml:space="preserve">of </w:t>
      </w:r>
      <w:r>
        <w:t xml:space="preserve">costs attributed to each group by their share of the total population. </w:t>
      </w:r>
    </w:p>
    <w:p w14:paraId="6E5C58B6" w14:textId="77777777" w:rsidR="00C84C9D" w:rsidRPr="00F15230" w:rsidRDefault="00C84C9D" w:rsidP="00C84C9D">
      <w:pPr>
        <w:pStyle w:val="CGCTableFootnote"/>
      </w:pPr>
      <w:r w:rsidRPr="00F15230">
        <w:t>Source:</w:t>
      </w:r>
      <w:r w:rsidRPr="00F15230">
        <w:tab/>
        <w:t>Staff calculation using Victorian Health Centre staff cost data and IHPA NWAU data for ED and admitted patient services. Data are for 2014</w:t>
      </w:r>
      <w:r w:rsidRPr="00F15230">
        <w:noBreakHyphen/>
        <w:t>15.</w:t>
      </w:r>
    </w:p>
    <w:p w14:paraId="67C43AB9" w14:textId="43F1784B" w:rsidR="00C84C9D" w:rsidRDefault="00C84C9D" w:rsidP="00C84C9D">
      <w:pPr>
        <w:pStyle w:val="CGCTableHeading"/>
      </w:pPr>
      <w:bookmarkStart w:id="96" w:name="_Ref498342057"/>
      <w:r w:rsidRPr="00F15230">
        <w:t xml:space="preserve">Figure </w:t>
      </w:r>
      <w:r w:rsidR="00CD3D12">
        <w:fldChar w:fldCharType="begin"/>
      </w:r>
      <w:r w:rsidR="00CD3D12">
        <w:instrText xml:space="preserve"> SEQ Figure \* ARABIC </w:instrText>
      </w:r>
      <w:r w:rsidR="00CD3D12">
        <w:fldChar w:fldCharType="separate"/>
      </w:r>
      <w:r w:rsidR="005A6E12">
        <w:rPr>
          <w:noProof/>
        </w:rPr>
        <w:t>2</w:t>
      </w:r>
      <w:r w:rsidR="00CD3D12">
        <w:rPr>
          <w:noProof/>
        </w:rPr>
        <w:fldChar w:fldCharType="end"/>
      </w:r>
      <w:bookmarkEnd w:id="96"/>
      <w:r w:rsidRPr="00F15230">
        <w:tab/>
        <w:t xml:space="preserve">Victorian Community Health Program, </w:t>
      </w:r>
      <w:r w:rsidR="008A1FDA">
        <w:t>relative per capita</w:t>
      </w:r>
      <w:r w:rsidR="008A1FDA" w:rsidDel="008A1FDA">
        <w:t xml:space="preserve"> </w:t>
      </w:r>
      <w:r w:rsidR="007B6610">
        <w:t xml:space="preserve">spending </w:t>
      </w:r>
      <w:r w:rsidRPr="00F15230">
        <w:t>by remoteness area, 2014</w:t>
      </w:r>
      <w:r w:rsidRPr="00F15230">
        <w:noBreakHyphen/>
        <w:t>15</w:t>
      </w:r>
    </w:p>
    <w:p w14:paraId="70D20F62" w14:textId="2ABD167A" w:rsidR="0010529C" w:rsidRPr="0010529C" w:rsidRDefault="0010529C" w:rsidP="0010529C">
      <w:r w:rsidRPr="0010529C">
        <w:rPr>
          <w:noProof/>
          <w:lang w:eastAsia="zh-CN"/>
        </w:rPr>
        <w:drawing>
          <wp:inline distT="0" distB="0" distL="0" distR="0" wp14:anchorId="105061FA" wp14:editId="5202A7BB">
            <wp:extent cx="5654675" cy="3204210"/>
            <wp:effectExtent l="0" t="0" r="3175" b="0"/>
            <wp:docPr id="6" name="Picture 6" descr="This figures shows the relative per capita spending by remoteness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4675" cy="3204210"/>
                    </a:xfrm>
                    <a:prstGeom prst="rect">
                      <a:avLst/>
                    </a:prstGeom>
                    <a:noFill/>
                    <a:ln>
                      <a:noFill/>
                    </a:ln>
                  </pic:spPr>
                </pic:pic>
              </a:graphicData>
            </a:graphic>
          </wp:inline>
        </w:drawing>
      </w:r>
    </w:p>
    <w:p w14:paraId="1CE90A61" w14:textId="77777777" w:rsidR="00C84C9D" w:rsidRPr="00F15230" w:rsidRDefault="00C84C9D" w:rsidP="00C84C9D">
      <w:pPr>
        <w:pStyle w:val="CGCTableFootnote"/>
      </w:pPr>
      <w:r w:rsidRPr="00F15230">
        <w:t>Note:</w:t>
      </w:r>
      <w:r w:rsidRPr="00F15230">
        <w:tab/>
        <w:t>There were very few remote occasions for Victoria and they have been excluded.</w:t>
      </w:r>
    </w:p>
    <w:p w14:paraId="333FE35C" w14:textId="5C1E4D7E" w:rsidR="00C84C9D" w:rsidRPr="00F15230" w:rsidRDefault="00C84C9D" w:rsidP="00C84C9D">
      <w:pPr>
        <w:pStyle w:val="CGCTableFootnote"/>
      </w:pPr>
      <w:r w:rsidRPr="00F15230">
        <w:t>Source:</w:t>
      </w:r>
      <w:r w:rsidRPr="00F15230">
        <w:tab/>
        <w:t xml:space="preserve">See </w:t>
      </w:r>
      <w:r w:rsidRPr="00F15230">
        <w:fldChar w:fldCharType="begin"/>
      </w:r>
      <w:r w:rsidRPr="00F15230">
        <w:instrText xml:space="preserve"> REF _Ref498093769 \h </w:instrText>
      </w:r>
      <w:r>
        <w:instrText xml:space="preserve"> \* MERGEFORMAT </w:instrText>
      </w:r>
      <w:r w:rsidRPr="00F15230">
        <w:fldChar w:fldCharType="separate"/>
      </w:r>
      <w:r w:rsidR="005A6E12" w:rsidRPr="00F15230">
        <w:t xml:space="preserve">Figure </w:t>
      </w:r>
      <w:r w:rsidR="005A6E12">
        <w:t>1</w:t>
      </w:r>
      <w:r w:rsidRPr="00F15230">
        <w:fldChar w:fldCharType="end"/>
      </w:r>
      <w:r w:rsidRPr="00F15230">
        <w:t>.</w:t>
      </w:r>
    </w:p>
    <w:p w14:paraId="35021C23" w14:textId="0EBB16E1" w:rsidR="00C84C9D" w:rsidRDefault="00C84C9D" w:rsidP="00C84C9D">
      <w:pPr>
        <w:pStyle w:val="CGCTableHeading"/>
      </w:pPr>
      <w:bookmarkStart w:id="97" w:name="_Ref499640496"/>
      <w:r w:rsidRPr="00F15230">
        <w:lastRenderedPageBreak/>
        <w:t xml:space="preserve">Figure </w:t>
      </w:r>
      <w:r w:rsidR="00CD3D12">
        <w:fldChar w:fldCharType="begin"/>
      </w:r>
      <w:r w:rsidR="00CD3D12">
        <w:instrText xml:space="preserve"> SEQ Figure \* ARABIC </w:instrText>
      </w:r>
      <w:r w:rsidR="00CD3D12">
        <w:fldChar w:fldCharType="separate"/>
      </w:r>
      <w:r w:rsidR="005A6E12">
        <w:rPr>
          <w:noProof/>
        </w:rPr>
        <w:t>3</w:t>
      </w:r>
      <w:r w:rsidR="00CD3D12">
        <w:rPr>
          <w:noProof/>
        </w:rPr>
        <w:fldChar w:fldCharType="end"/>
      </w:r>
      <w:bookmarkEnd w:id="97"/>
      <w:r w:rsidRPr="00F15230">
        <w:tab/>
        <w:t xml:space="preserve">Victorian Community Health Program, </w:t>
      </w:r>
      <w:r w:rsidR="008A1FDA">
        <w:t>relative per capita</w:t>
      </w:r>
      <w:r w:rsidR="008A1FDA" w:rsidDel="008A1FDA">
        <w:t xml:space="preserve"> </w:t>
      </w:r>
      <w:r w:rsidR="007B6610">
        <w:t xml:space="preserve">spending </w:t>
      </w:r>
      <w:r w:rsidRPr="00F15230">
        <w:t>by non</w:t>
      </w:r>
      <w:r>
        <w:noBreakHyphen/>
      </w:r>
      <w:r w:rsidRPr="00F15230">
        <w:t>Indigenous SES, 2014</w:t>
      </w:r>
      <w:r w:rsidRPr="00F15230">
        <w:noBreakHyphen/>
        <w:t>15</w:t>
      </w:r>
    </w:p>
    <w:p w14:paraId="1CBD42E9" w14:textId="03AE9141" w:rsidR="009B56CF" w:rsidRPr="009B56CF" w:rsidRDefault="009B56CF" w:rsidP="009B56CF">
      <w:r w:rsidRPr="009B56CF">
        <w:rPr>
          <w:noProof/>
          <w:lang w:eastAsia="zh-CN"/>
        </w:rPr>
        <w:drawing>
          <wp:inline distT="0" distB="0" distL="0" distR="0" wp14:anchorId="1B3BED46" wp14:editId="4AF08EEF">
            <wp:extent cx="5654675" cy="3204210"/>
            <wp:effectExtent l="0" t="0" r="3175" b="0"/>
            <wp:docPr id="7" name="Picture 7" descr="This figures shows the relative per capita spending by non-Indigenous 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4675" cy="3204210"/>
                    </a:xfrm>
                    <a:prstGeom prst="rect">
                      <a:avLst/>
                    </a:prstGeom>
                    <a:noFill/>
                    <a:ln>
                      <a:noFill/>
                    </a:ln>
                  </pic:spPr>
                </pic:pic>
              </a:graphicData>
            </a:graphic>
          </wp:inline>
        </w:drawing>
      </w:r>
    </w:p>
    <w:p w14:paraId="2DBBF9BF" w14:textId="77777777" w:rsidR="00C84C9D" w:rsidRPr="00F15230" w:rsidRDefault="00C84C9D" w:rsidP="00C84C9D">
      <w:pPr>
        <w:pStyle w:val="CGCTableFootnote"/>
      </w:pPr>
      <w:r w:rsidRPr="00F15230">
        <w:t>Note:</w:t>
      </w:r>
      <w:r w:rsidRPr="00F15230">
        <w:tab/>
        <w:t>Only includes non-Indigenous cost by socio-economic status. Remote patients are excluded from the analysis due to the low number of occasions. SES classification is based on non-Indigenous socio-economic index of areas (NISEIFA).</w:t>
      </w:r>
    </w:p>
    <w:p w14:paraId="1F68EBFB" w14:textId="54F34FF6" w:rsidR="00C84C9D" w:rsidRPr="00F15230" w:rsidRDefault="00C84C9D" w:rsidP="00C84C9D">
      <w:pPr>
        <w:pStyle w:val="CGCTableFootnote"/>
      </w:pPr>
      <w:r w:rsidRPr="00F15230">
        <w:t>Source:</w:t>
      </w:r>
      <w:r w:rsidRPr="00F15230">
        <w:tab/>
        <w:t xml:space="preserve">See </w:t>
      </w:r>
      <w:r w:rsidRPr="00F15230">
        <w:fldChar w:fldCharType="begin"/>
      </w:r>
      <w:r w:rsidRPr="00F15230">
        <w:instrText xml:space="preserve"> REF _Ref498093769 \h  \* MERGEFORMAT </w:instrText>
      </w:r>
      <w:r w:rsidRPr="00F15230">
        <w:fldChar w:fldCharType="separate"/>
      </w:r>
      <w:r w:rsidR="005A6E12" w:rsidRPr="00F15230">
        <w:t xml:space="preserve">Figure </w:t>
      </w:r>
      <w:r w:rsidR="005A6E12">
        <w:t>1</w:t>
      </w:r>
      <w:r w:rsidRPr="00F15230">
        <w:fldChar w:fldCharType="end"/>
      </w:r>
      <w:r w:rsidRPr="00F15230">
        <w:t>.</w:t>
      </w:r>
    </w:p>
    <w:p w14:paraId="1731BCA0" w14:textId="77777777" w:rsidR="00C84C9D" w:rsidRPr="00F15230" w:rsidRDefault="00C84C9D" w:rsidP="00C84C9D">
      <w:pPr>
        <w:pStyle w:val="NoSpacing"/>
      </w:pPr>
    </w:p>
    <w:tbl>
      <w:tblPr>
        <w:tblStyle w:val="TableGrid"/>
        <w:tblW w:w="0" w:type="auto"/>
        <w:tblLook w:val="04A0" w:firstRow="1" w:lastRow="0" w:firstColumn="1" w:lastColumn="0" w:noHBand="0" w:noVBand="1"/>
      </w:tblPr>
      <w:tblGrid>
        <w:gridCol w:w="9167"/>
      </w:tblGrid>
      <w:tr w:rsidR="00C84C9D" w:rsidRPr="00F15230" w14:paraId="29E34182" w14:textId="77777777" w:rsidTr="00DE0D49">
        <w:tc>
          <w:tcPr>
            <w:tcW w:w="9167" w:type="dxa"/>
            <w:tcBorders>
              <w:top w:val="nil"/>
              <w:left w:val="nil"/>
              <w:bottom w:val="nil"/>
              <w:right w:val="nil"/>
            </w:tcBorders>
            <w:shd w:val="clear" w:color="auto" w:fill="D9F3E6"/>
          </w:tcPr>
          <w:p w14:paraId="6A1E01B1" w14:textId="77777777" w:rsidR="00C84C9D" w:rsidRPr="00F15230" w:rsidRDefault="00C84C9D" w:rsidP="00DE0D49">
            <w:r w:rsidRPr="00F15230">
              <w:t>Staff propose to recommend the Commission:</w:t>
            </w:r>
          </w:p>
          <w:p w14:paraId="1C33CCA7" w14:textId="77777777" w:rsidR="00C84C9D" w:rsidRPr="00F15230" w:rsidRDefault="00C84C9D" w:rsidP="00DE0D49">
            <w:pPr>
              <w:pStyle w:val="CGCBulletlist"/>
            </w:pPr>
            <w:r w:rsidRPr="00F15230">
              <w:t>investigate whether sufficiently comparable and reliable administrative data on community health services are available from States to build a national SDC profile for community health services</w:t>
            </w:r>
          </w:p>
          <w:p w14:paraId="0A3EE4FC" w14:textId="3B741AD2" w:rsidR="00C84C9D" w:rsidRPr="00F15230" w:rsidRDefault="00C84C9D" w:rsidP="00F35B7C">
            <w:pPr>
              <w:pStyle w:val="CGCBulletlist"/>
            </w:pPr>
            <w:proofErr w:type="gramStart"/>
            <w:r w:rsidRPr="00F15230">
              <w:t>in</w:t>
            </w:r>
            <w:proofErr w:type="gramEnd"/>
            <w:r w:rsidRPr="00F15230">
              <w:t xml:space="preserve"> the absence of suitable data</w:t>
            </w:r>
            <w:r w:rsidR="00F35B7C">
              <w:t>,</w:t>
            </w:r>
            <w:r w:rsidRPr="00F15230">
              <w:t xml:space="preserve"> staff will consider whether ED triage category 4 and 5 remain the best proxy for measuring the SDC disability for community health</w:t>
            </w:r>
            <w:r w:rsidR="00DE1C7D">
              <w:t xml:space="preserve"> services</w:t>
            </w:r>
            <w:r w:rsidRPr="00F15230">
              <w:t>.</w:t>
            </w:r>
          </w:p>
        </w:tc>
      </w:tr>
    </w:tbl>
    <w:p w14:paraId="244A8A95" w14:textId="38A81920" w:rsidR="00882EA8" w:rsidRPr="00F15230" w:rsidRDefault="00882EA8" w:rsidP="00C84C9D">
      <w:pPr>
        <w:pStyle w:val="Heading4"/>
      </w:pPr>
      <w:bookmarkStart w:id="98" w:name="_Toc511127560"/>
      <w:bookmarkStart w:id="99" w:name="_Toc511977538"/>
      <w:r w:rsidRPr="00F15230">
        <w:rPr>
          <w:rStyle w:val="Heading6Char"/>
          <w:b/>
          <w:i w:val="0"/>
          <w:iCs/>
        </w:rPr>
        <w:t>Remoteness and service delivery scale (</w:t>
      </w:r>
      <w:proofErr w:type="spellStart"/>
      <w:r w:rsidRPr="00F15230">
        <w:rPr>
          <w:rStyle w:val="Heading6Char"/>
          <w:b/>
          <w:i w:val="0"/>
          <w:iCs/>
        </w:rPr>
        <w:t>SDS</w:t>
      </w:r>
      <w:proofErr w:type="spellEnd"/>
      <w:r w:rsidRPr="00F15230">
        <w:rPr>
          <w:rStyle w:val="Heading6Char"/>
          <w:b/>
          <w:i w:val="0"/>
          <w:iCs/>
        </w:rPr>
        <w:t>)</w:t>
      </w:r>
      <w:bookmarkEnd w:id="98"/>
      <w:bookmarkEnd w:id="99"/>
    </w:p>
    <w:p w14:paraId="5AB346E6" w14:textId="46631232" w:rsidR="00882EA8" w:rsidRPr="00F15230" w:rsidRDefault="00882EA8" w:rsidP="00882EA8">
      <w:pPr>
        <w:pStyle w:val="CGCNumberedPara"/>
        <w:numPr>
          <w:ilvl w:val="1"/>
          <w:numId w:val="3"/>
        </w:numPr>
      </w:pPr>
      <w:bookmarkStart w:id="100" w:name="_Ref500141241"/>
      <w:r w:rsidRPr="00F15230">
        <w:t xml:space="preserve">Hospital and patient remoteness, and hospital size affect State spending on </w:t>
      </w:r>
      <w:r>
        <w:t>health</w:t>
      </w:r>
      <w:r w:rsidRPr="00F15230">
        <w:t xml:space="preserve"> services. The Commission relies on IHPA to measure how these factors influence </w:t>
      </w:r>
      <w:r>
        <w:t>State</w:t>
      </w:r>
      <w:r w:rsidRPr="00F15230">
        <w:t xml:space="preserve"> costs.</w:t>
      </w:r>
      <w:bookmarkEnd w:id="100"/>
      <w:r w:rsidR="000D77F6">
        <w:t xml:space="preserve"> An issue staff have identified for the review is whether</w:t>
      </w:r>
      <w:r w:rsidR="00B53B5A">
        <w:t xml:space="preserve"> the way in which we are using</w:t>
      </w:r>
      <w:r w:rsidR="000D77F6">
        <w:t xml:space="preserve"> IHPA data </w:t>
      </w:r>
      <w:r w:rsidR="007B6610">
        <w:t xml:space="preserve">is </w:t>
      </w:r>
      <w:r w:rsidR="000D77F6">
        <w:t>capturing all remoteness and SDS costs.</w:t>
      </w:r>
    </w:p>
    <w:p w14:paraId="2AB3DE6A" w14:textId="02AEC3EF" w:rsidR="00882EA8" w:rsidRPr="00F15230" w:rsidRDefault="00882EA8" w:rsidP="00882EA8">
      <w:pPr>
        <w:pStyle w:val="CGCNumberedPara"/>
        <w:numPr>
          <w:ilvl w:val="1"/>
          <w:numId w:val="3"/>
        </w:numPr>
      </w:pPr>
      <w:r w:rsidRPr="00F15230">
        <w:t xml:space="preserve">The </w:t>
      </w:r>
      <w:r w:rsidRPr="00F15230">
        <w:rPr>
          <w:i/>
        </w:rPr>
        <w:t>National Health Reform Agreement (NHRA)</w:t>
      </w:r>
      <w:r w:rsidRPr="00F15230">
        <w:t xml:space="preserve"> gives IHPA the role of determining adjustments to the national efficient price (NEP) and national efficient cost (NEC) for </w:t>
      </w:r>
      <w:r w:rsidRPr="00F15230">
        <w:lastRenderedPageBreak/>
        <w:t>activity based funding (ABF) and block funded hospitals respectively.</w:t>
      </w:r>
      <w:r w:rsidR="00B53B5A" w:rsidRPr="00B53B5A">
        <w:rPr>
          <w:rStyle w:val="FootnoteReference"/>
        </w:rPr>
        <w:t xml:space="preserve"> </w:t>
      </w:r>
      <w:r w:rsidR="00B53B5A" w:rsidRPr="00F15230">
        <w:rPr>
          <w:rStyle w:val="FootnoteReference"/>
        </w:rPr>
        <w:footnoteReference w:id="9"/>
      </w:r>
      <w:r w:rsidRPr="00F15230">
        <w:t xml:space="preserve"> The NHRA states that the NEP and NEC should reflect legitimate and unavoidable variations in the costs of delivering health care services. These include:</w:t>
      </w:r>
    </w:p>
    <w:p w14:paraId="516861D2" w14:textId="77777777" w:rsidR="00882EA8" w:rsidRPr="00F15230" w:rsidRDefault="00882EA8" w:rsidP="00882EA8">
      <w:pPr>
        <w:pStyle w:val="CGCBulletlist"/>
        <w:numPr>
          <w:ilvl w:val="0"/>
          <w:numId w:val="1"/>
        </w:numPr>
        <w:tabs>
          <w:tab w:val="clear" w:pos="927"/>
        </w:tabs>
        <w:ind w:left="1134" w:hanging="567"/>
      </w:pPr>
      <w:r w:rsidRPr="00F15230">
        <w:t>hospital type and size</w:t>
      </w:r>
    </w:p>
    <w:p w14:paraId="2C7DA2E9" w14:textId="77777777" w:rsidR="00882EA8" w:rsidRPr="00F15230" w:rsidRDefault="00882EA8" w:rsidP="00882EA8">
      <w:pPr>
        <w:pStyle w:val="CGCBulletlist"/>
        <w:numPr>
          <w:ilvl w:val="0"/>
          <w:numId w:val="1"/>
        </w:numPr>
        <w:tabs>
          <w:tab w:val="clear" w:pos="927"/>
        </w:tabs>
        <w:ind w:left="1134" w:hanging="567"/>
      </w:pPr>
      <w:r w:rsidRPr="00F15230">
        <w:t>hospital location, including regional and remote status</w:t>
      </w:r>
    </w:p>
    <w:p w14:paraId="6ADF9484" w14:textId="77777777" w:rsidR="00882EA8" w:rsidRPr="00F15230" w:rsidRDefault="00882EA8" w:rsidP="00882EA8">
      <w:pPr>
        <w:pStyle w:val="CGCBulletlist"/>
        <w:numPr>
          <w:ilvl w:val="0"/>
          <w:numId w:val="1"/>
        </w:numPr>
        <w:tabs>
          <w:tab w:val="clear" w:pos="927"/>
        </w:tabs>
        <w:ind w:left="1134" w:hanging="567"/>
      </w:pPr>
      <w:proofErr w:type="gramStart"/>
      <w:r w:rsidRPr="00F15230">
        <w:t>patient</w:t>
      </w:r>
      <w:proofErr w:type="gramEnd"/>
      <w:r w:rsidRPr="00F15230">
        <w:t xml:space="preserve"> complexity, including Indigenous status.</w:t>
      </w:r>
      <w:r w:rsidRPr="00F15230">
        <w:rPr>
          <w:rStyle w:val="FootnoteReference"/>
        </w:rPr>
        <w:footnoteReference w:id="10"/>
      </w:r>
    </w:p>
    <w:p w14:paraId="1E517DEC" w14:textId="77777777" w:rsidR="00882EA8" w:rsidRPr="00F15230" w:rsidRDefault="00882EA8" w:rsidP="00882EA8">
      <w:pPr>
        <w:pStyle w:val="CGCNumberedPara"/>
        <w:numPr>
          <w:ilvl w:val="1"/>
          <w:numId w:val="3"/>
        </w:numPr>
      </w:pPr>
      <w:r w:rsidRPr="00F15230">
        <w:t xml:space="preserve">For the most part, </w:t>
      </w:r>
      <w:proofErr w:type="gramStart"/>
      <w:r w:rsidRPr="00F15230">
        <w:t>staff consider</w:t>
      </w:r>
      <w:proofErr w:type="gramEnd"/>
      <w:r w:rsidRPr="00F15230">
        <w:t xml:space="preserve"> that patient remoteness costs are being measured by IHPA and reflected in the NWAU data. We note that IHPA continues to work with State health authorities and other stakeholders to improve its measurement of remoteness costs. </w:t>
      </w:r>
    </w:p>
    <w:p w14:paraId="375884DA" w14:textId="77777777" w:rsidR="00882EA8" w:rsidRPr="00F15230" w:rsidRDefault="00882EA8" w:rsidP="00882EA8">
      <w:pPr>
        <w:pStyle w:val="CGCNumberedPara"/>
        <w:numPr>
          <w:ilvl w:val="1"/>
          <w:numId w:val="3"/>
        </w:numPr>
      </w:pPr>
      <w:r w:rsidRPr="00F15230">
        <w:t xml:space="preserve">Although </w:t>
      </w:r>
      <w:proofErr w:type="gramStart"/>
      <w:r w:rsidRPr="00F15230">
        <w:t>staff are</w:t>
      </w:r>
      <w:proofErr w:type="gramEnd"/>
      <w:r w:rsidRPr="00F15230">
        <w:t xml:space="preserve"> generally satisfied with the quality and fitness for purpose of the NWAU data, there are two issues we intend to investigate as part of this review.</w:t>
      </w:r>
    </w:p>
    <w:p w14:paraId="59ED68EC" w14:textId="77777777" w:rsidR="00882EA8" w:rsidRPr="00F15230" w:rsidRDefault="00882EA8" w:rsidP="00882EA8">
      <w:pPr>
        <w:pStyle w:val="CGCBulletlist"/>
        <w:numPr>
          <w:ilvl w:val="0"/>
          <w:numId w:val="1"/>
        </w:numPr>
        <w:tabs>
          <w:tab w:val="clear" w:pos="927"/>
        </w:tabs>
        <w:ind w:left="1134" w:hanging="567"/>
      </w:pPr>
      <w:r w:rsidRPr="00F15230">
        <w:t>Whether remoteness and SDS costs for small block funded hospitals, which are reflected in the NEC funding model, are being fully reflected in the assessment.</w:t>
      </w:r>
    </w:p>
    <w:p w14:paraId="03DF1BC0" w14:textId="77777777" w:rsidR="00882EA8" w:rsidRPr="00F15230" w:rsidRDefault="00882EA8" w:rsidP="00882EA8">
      <w:pPr>
        <w:pStyle w:val="CGCBulletlist"/>
        <w:numPr>
          <w:ilvl w:val="0"/>
          <w:numId w:val="1"/>
        </w:numPr>
        <w:tabs>
          <w:tab w:val="clear" w:pos="927"/>
        </w:tabs>
        <w:ind w:left="1134" w:hanging="567"/>
      </w:pPr>
      <w:r w:rsidRPr="00F15230">
        <w:t>Whether remoteness and SDS costs are being adequately recognised in the community health assessment.</w:t>
      </w:r>
    </w:p>
    <w:p w14:paraId="21384B73" w14:textId="7B94A84C" w:rsidR="00882EA8" w:rsidRPr="00F15230" w:rsidRDefault="00882EA8" w:rsidP="00882EA8">
      <w:pPr>
        <w:pStyle w:val="CGCNumberedPara"/>
      </w:pPr>
      <w:r w:rsidRPr="00F15230">
        <w:t>We also note there have been changes to IHPA’s loadings for remote hospitals and patients in the latest NEP specification which will affect the NWAU data for ABF and block funded hospitals from 2018</w:t>
      </w:r>
      <w:r w:rsidRPr="00F15230">
        <w:noBreakHyphen/>
        <w:t>19.</w:t>
      </w:r>
    </w:p>
    <w:p w14:paraId="0244D5A6" w14:textId="77777777" w:rsidR="00882EA8" w:rsidRPr="00F15230" w:rsidRDefault="00882EA8" w:rsidP="00882EA8">
      <w:pPr>
        <w:pStyle w:val="CGCNumberedPara"/>
      </w:pPr>
      <w:r w:rsidRPr="00F15230">
        <w:rPr>
          <w:rStyle w:val="Heading6Char"/>
        </w:rPr>
        <w:t>NWAU data.</w:t>
      </w:r>
      <w:r w:rsidRPr="00F15230">
        <w:t xml:space="preserve"> The NEP specification for 2018</w:t>
      </w:r>
      <w:r w:rsidRPr="00F15230">
        <w:noBreakHyphen/>
        <w:t xml:space="preserve">19 includes a number of changes to the remoteness loadings, or adjustments. These affect admitted patient and ED NWAU data for ABF and block funded hospitals. </w:t>
      </w:r>
    </w:p>
    <w:p w14:paraId="25C501D2" w14:textId="50ED50A9" w:rsidR="00882EA8" w:rsidRPr="00F15230" w:rsidRDefault="00882EA8" w:rsidP="00882EA8">
      <w:pPr>
        <w:pStyle w:val="CGCNumberedPara"/>
      </w:pPr>
      <w:r w:rsidRPr="00F15230">
        <w:rPr>
          <w:rStyle w:val="Heading6Char"/>
          <w:rFonts w:eastAsiaTheme="minorHAnsi" w:cstheme="minorBidi"/>
          <w:b w:val="0"/>
          <w:i w:val="0"/>
          <w:iCs w:val="0"/>
          <w:color w:val="auto"/>
          <w:sz w:val="24"/>
        </w:rPr>
        <w:t xml:space="preserve">A </w:t>
      </w:r>
      <w:r w:rsidRPr="00F15230">
        <w:t>new adjustment in relation to the location of the hospital where the treatment is provided has been introduced for acute admitted patient services (8% for hospitals in remote areas; 12% for hospitals in very remote areas).</w:t>
      </w:r>
      <w:r w:rsidRPr="00F15230">
        <w:rPr>
          <w:rStyle w:val="FootnoteReference"/>
        </w:rPr>
        <w:footnoteReference w:id="11"/>
      </w:r>
      <w:r w:rsidRPr="00F15230">
        <w:t xml:space="preserve"> This adjustment is multiplicative to the patient remoteness adjustment, and recognises the higher cost of hospitals located in remote and very remote areas. These loadings will be included in NWAU calculat</w:t>
      </w:r>
      <w:r w:rsidR="00B53B5A">
        <w:t>ions</w:t>
      </w:r>
      <w:r w:rsidRPr="00F15230">
        <w:t xml:space="preserve"> from 2018</w:t>
      </w:r>
      <w:r w:rsidRPr="00F15230">
        <w:noBreakHyphen/>
        <w:t>19</w:t>
      </w:r>
      <w:r w:rsidR="00B53B5A">
        <w:t>, and</w:t>
      </w:r>
      <w:r w:rsidRPr="00F15230">
        <w:t xml:space="preserve"> will affect the NWAU data for admitted patients.</w:t>
      </w:r>
    </w:p>
    <w:p w14:paraId="11E397D5" w14:textId="3B3C31C5" w:rsidR="00882EA8" w:rsidRPr="00F15230" w:rsidRDefault="00882EA8" w:rsidP="00882EA8">
      <w:pPr>
        <w:pStyle w:val="CGCNumberedPara"/>
        <w:numPr>
          <w:ilvl w:val="1"/>
          <w:numId w:val="3"/>
        </w:numPr>
      </w:pPr>
      <w:r w:rsidRPr="00F15230">
        <w:t>In the 2018</w:t>
      </w:r>
      <w:r w:rsidRPr="00F15230">
        <w:noBreakHyphen/>
        <w:t xml:space="preserve">19 NEP specification, an adjustment for patient remoteness has been introduced for ED services for the first time (22% for patients from remote and very remote areas). It recognises the higher costs incurred for treating ED patients from </w:t>
      </w:r>
      <w:r w:rsidRPr="00F15230">
        <w:lastRenderedPageBreak/>
        <w:t>remote and very remote areas. Similar to the admitted patient loadings, these loadings will be included in the NWAU calculat</w:t>
      </w:r>
      <w:r w:rsidR="00B53B5A">
        <w:t>ions</w:t>
      </w:r>
      <w:r w:rsidRPr="00F15230">
        <w:t xml:space="preserve"> from 2018</w:t>
      </w:r>
      <w:r w:rsidRPr="00F15230">
        <w:noBreakHyphen/>
        <w:t xml:space="preserve">19 and </w:t>
      </w:r>
      <w:r w:rsidR="00E86822">
        <w:t xml:space="preserve">will </w:t>
      </w:r>
      <w:r w:rsidRPr="00F15230">
        <w:t>affect the Commission’s ED assessment from the 2020 Review.</w:t>
      </w:r>
    </w:p>
    <w:p w14:paraId="07B3452F" w14:textId="3A69640B" w:rsidR="00882EA8" w:rsidRPr="00F15230" w:rsidRDefault="00882EA8" w:rsidP="00882EA8">
      <w:pPr>
        <w:pStyle w:val="CGCNumberedPara"/>
        <w:numPr>
          <w:ilvl w:val="1"/>
          <w:numId w:val="3"/>
        </w:numPr>
      </w:pPr>
      <w:r w:rsidRPr="00F15230">
        <w:rPr>
          <w:rStyle w:val="Heading6Char"/>
        </w:rPr>
        <w:t>Block funded hospitals.</w:t>
      </w:r>
      <w:r w:rsidRPr="00F15230">
        <w:t xml:space="preserve"> Since the 2015 Review, </w:t>
      </w:r>
      <w:proofErr w:type="gramStart"/>
      <w:r w:rsidRPr="00F15230">
        <w:t>staff have</w:t>
      </w:r>
      <w:proofErr w:type="gramEnd"/>
      <w:r w:rsidRPr="00F15230">
        <w:t xml:space="preserve"> become aware that the NWAU data for block funded hospitals may not reflect all the remoteness and SDS costs</w:t>
      </w:r>
      <w:r w:rsidR="008D7320">
        <w:t xml:space="preserve"> IHPA measures </w:t>
      </w:r>
      <w:r w:rsidRPr="00F15230">
        <w:t xml:space="preserve">for these hospitals. </w:t>
      </w:r>
    </w:p>
    <w:p w14:paraId="0371DDB7" w14:textId="15A08991" w:rsidR="00882EA8" w:rsidRPr="00F15230" w:rsidRDefault="00882EA8" w:rsidP="00882EA8">
      <w:pPr>
        <w:pStyle w:val="CGCNumberedPara"/>
        <w:numPr>
          <w:ilvl w:val="1"/>
          <w:numId w:val="3"/>
        </w:numPr>
      </w:pPr>
      <w:r w:rsidRPr="00F15230">
        <w:t>Each year</w:t>
      </w:r>
      <w:r w:rsidR="00B53B5A">
        <w:t>,</w:t>
      </w:r>
      <w:r w:rsidRPr="00F15230">
        <w:t xml:space="preserve"> IHPA estimates the NEC for block funded hospitals which represents the average cost of block funded hospitals across Australia. The NEC is estimated to be $5.171 million in 2018</w:t>
      </w:r>
      <w:r w:rsidRPr="00F15230">
        <w:noBreakHyphen/>
        <w:t xml:space="preserve">19. The estimated cost for each </w:t>
      </w:r>
      <w:r w:rsidR="00B53B5A">
        <w:t xml:space="preserve">of the 400 or so </w:t>
      </w:r>
      <w:r w:rsidRPr="00F15230">
        <w:t>hospital is based on the NEC, adjusted to reflect hospital size, location and the type of services available. The hospital grouping variables for the most recent cost determination are set out below:</w:t>
      </w:r>
    </w:p>
    <w:p w14:paraId="42536D74" w14:textId="77777777" w:rsidR="00882EA8" w:rsidRPr="00F15230" w:rsidRDefault="00882EA8" w:rsidP="00882EA8">
      <w:pPr>
        <w:pStyle w:val="CGCBulletlist"/>
        <w:numPr>
          <w:ilvl w:val="0"/>
          <w:numId w:val="1"/>
        </w:numPr>
        <w:tabs>
          <w:tab w:val="clear" w:pos="927"/>
        </w:tabs>
        <w:ind w:left="1134" w:hanging="567"/>
      </w:pPr>
      <w:r w:rsidRPr="00F15230">
        <w:t>size groups based on an estimate of total NWAUs for the hospital (eight in total)</w:t>
      </w:r>
    </w:p>
    <w:p w14:paraId="159AC8EB" w14:textId="77777777" w:rsidR="00882EA8" w:rsidRPr="00F15230" w:rsidRDefault="00882EA8" w:rsidP="00882EA8">
      <w:pPr>
        <w:pStyle w:val="CGCBulletlist"/>
        <w:numPr>
          <w:ilvl w:val="0"/>
          <w:numId w:val="1"/>
        </w:numPr>
        <w:tabs>
          <w:tab w:val="clear" w:pos="927"/>
        </w:tabs>
        <w:ind w:left="1134" w:hanging="567"/>
      </w:pPr>
      <w:r w:rsidRPr="00F15230">
        <w:t>locality groups</w:t>
      </w:r>
    </w:p>
    <w:p w14:paraId="6E1AA7AD" w14:textId="77777777" w:rsidR="00882EA8" w:rsidRPr="00F15230" w:rsidRDefault="00882EA8" w:rsidP="00882EA8">
      <w:pPr>
        <w:pStyle w:val="CGCSubbulletlist"/>
        <w:numPr>
          <w:ilvl w:val="0"/>
          <w:numId w:val="4"/>
        </w:numPr>
        <w:tabs>
          <w:tab w:val="clear" w:pos="927"/>
        </w:tabs>
        <w:ind w:left="1701" w:hanging="567"/>
      </w:pPr>
      <w:r w:rsidRPr="00F15230">
        <w:t>region 1: inner regional, outer regional, remote</w:t>
      </w:r>
    </w:p>
    <w:p w14:paraId="0F9F7C8E" w14:textId="77777777" w:rsidR="00882EA8" w:rsidRPr="00F15230" w:rsidRDefault="00882EA8" w:rsidP="00882EA8">
      <w:pPr>
        <w:pStyle w:val="CGCSubbulletlist"/>
        <w:numPr>
          <w:ilvl w:val="0"/>
          <w:numId w:val="4"/>
        </w:numPr>
        <w:tabs>
          <w:tab w:val="clear" w:pos="927"/>
        </w:tabs>
        <w:ind w:left="1701" w:hanging="567"/>
      </w:pPr>
      <w:r w:rsidRPr="00F15230">
        <w:t>region 2: very remote</w:t>
      </w:r>
    </w:p>
    <w:p w14:paraId="747A0BDB" w14:textId="77777777" w:rsidR="00882EA8" w:rsidRPr="00F15230" w:rsidRDefault="00882EA8" w:rsidP="00882EA8">
      <w:pPr>
        <w:pStyle w:val="CGCBulletlist"/>
        <w:numPr>
          <w:ilvl w:val="0"/>
          <w:numId w:val="1"/>
        </w:numPr>
        <w:tabs>
          <w:tab w:val="clear" w:pos="927"/>
        </w:tabs>
        <w:ind w:left="1134" w:hanging="567"/>
      </w:pPr>
      <w:r w:rsidRPr="00F15230">
        <w:t>three hospital types</w:t>
      </w:r>
    </w:p>
    <w:p w14:paraId="0925BA36" w14:textId="77777777" w:rsidR="00882EA8" w:rsidRPr="00F15230" w:rsidRDefault="00882EA8" w:rsidP="00882EA8">
      <w:pPr>
        <w:pStyle w:val="CGCSubbulletlist"/>
        <w:numPr>
          <w:ilvl w:val="0"/>
          <w:numId w:val="4"/>
        </w:numPr>
        <w:tabs>
          <w:tab w:val="clear" w:pos="927"/>
        </w:tabs>
        <w:ind w:left="1701" w:hanging="567"/>
      </w:pPr>
      <w:r w:rsidRPr="00F15230">
        <w:t>type A: hospitals with more than 30 NWAUs of either surgical or obstetric episodes</w:t>
      </w:r>
    </w:p>
    <w:p w14:paraId="07656171" w14:textId="77777777" w:rsidR="00882EA8" w:rsidRPr="00F15230" w:rsidRDefault="00882EA8" w:rsidP="00882EA8">
      <w:pPr>
        <w:pStyle w:val="CGCSubbulletlist"/>
        <w:numPr>
          <w:ilvl w:val="0"/>
          <w:numId w:val="4"/>
        </w:numPr>
        <w:tabs>
          <w:tab w:val="clear" w:pos="927"/>
        </w:tabs>
        <w:ind w:left="1701" w:hanging="567"/>
      </w:pPr>
      <w:r w:rsidRPr="00F15230">
        <w:t>type B: hospitals not in type A that have more than 40% of their total NWAU as admitted activity</w:t>
      </w:r>
    </w:p>
    <w:p w14:paraId="5757EBE3" w14:textId="77777777" w:rsidR="00882EA8" w:rsidRPr="00F15230" w:rsidRDefault="00882EA8" w:rsidP="00882EA8">
      <w:pPr>
        <w:pStyle w:val="CGCSubbulletlist"/>
        <w:numPr>
          <w:ilvl w:val="0"/>
          <w:numId w:val="4"/>
        </w:numPr>
        <w:tabs>
          <w:tab w:val="clear" w:pos="927"/>
        </w:tabs>
        <w:ind w:left="1701" w:hanging="567"/>
      </w:pPr>
      <w:proofErr w:type="gramStart"/>
      <w:r w:rsidRPr="00F15230">
        <w:t>type</w:t>
      </w:r>
      <w:proofErr w:type="gramEnd"/>
      <w:r w:rsidRPr="00F15230">
        <w:t xml:space="preserve"> C: other hospitals in region 1, but not in types A or B.</w:t>
      </w:r>
    </w:p>
    <w:p w14:paraId="18965218" w14:textId="21A1D0D3" w:rsidR="00552E56" w:rsidRDefault="00552E56" w:rsidP="00882EA8">
      <w:pPr>
        <w:pStyle w:val="CGCNumberedPara"/>
        <w:numPr>
          <w:ilvl w:val="1"/>
          <w:numId w:val="3"/>
        </w:numPr>
      </w:pPr>
      <w:r>
        <w:t xml:space="preserve">Panel </w:t>
      </w:r>
      <w:proofErr w:type="gramStart"/>
      <w:r>
        <w:t xml:space="preserve">A of </w:t>
      </w:r>
      <w:r>
        <w:fldChar w:fldCharType="begin"/>
      </w:r>
      <w:r>
        <w:instrText xml:space="preserve"> REF _Ref508552808 \h </w:instrText>
      </w:r>
      <w:r>
        <w:fldChar w:fldCharType="separate"/>
      </w:r>
      <w:r w:rsidR="005A6E12" w:rsidRPr="00F15230">
        <w:t>Table</w:t>
      </w:r>
      <w:proofErr w:type="gramEnd"/>
      <w:r w:rsidR="005A6E12" w:rsidRPr="00F15230">
        <w:t xml:space="preserve"> </w:t>
      </w:r>
      <w:r w:rsidR="005A6E12">
        <w:rPr>
          <w:noProof/>
        </w:rPr>
        <w:t>6</w:t>
      </w:r>
      <w:r>
        <w:fldChar w:fldCharType="end"/>
      </w:r>
      <w:r>
        <w:t xml:space="preserve"> shows the cost weights for each hospital grouping. </w:t>
      </w:r>
      <w:r w:rsidRPr="00F15230">
        <w:t xml:space="preserve">The estimated cost for hospitals in each group is determined by multiplying the cost weight of the </w:t>
      </w:r>
      <w:r>
        <w:t>hospital</w:t>
      </w:r>
      <w:r w:rsidRPr="00F15230">
        <w:t xml:space="preserve"> by the NEC.</w:t>
      </w:r>
      <w:r>
        <w:t xml:space="preserve"> </w:t>
      </w:r>
    </w:p>
    <w:p w14:paraId="45F4F8D4" w14:textId="21F5E3FC" w:rsidR="00882EA8" w:rsidRPr="00F15230" w:rsidRDefault="00882EA8" w:rsidP="00882EA8">
      <w:pPr>
        <w:pStyle w:val="CGCNumberedPara"/>
        <w:numPr>
          <w:ilvl w:val="1"/>
          <w:numId w:val="3"/>
        </w:numPr>
      </w:pPr>
      <w:r w:rsidRPr="00F15230">
        <w:t xml:space="preserve">Panel B of </w:t>
      </w:r>
      <w:r w:rsidRPr="00F15230">
        <w:fldChar w:fldCharType="begin"/>
      </w:r>
      <w:r w:rsidRPr="00F15230">
        <w:instrText xml:space="preserve"> REF _Ref508552808 \h  \* MERGEFORMAT </w:instrText>
      </w:r>
      <w:r w:rsidRPr="00F15230">
        <w:fldChar w:fldCharType="separate"/>
      </w:r>
      <w:r w:rsidR="005A6E12" w:rsidRPr="00F15230">
        <w:t xml:space="preserve">Table </w:t>
      </w:r>
      <w:r w:rsidR="005A6E12">
        <w:t>6</w:t>
      </w:r>
      <w:r w:rsidRPr="00F15230">
        <w:fldChar w:fldCharType="end"/>
      </w:r>
      <w:r w:rsidRPr="00F15230">
        <w:t xml:space="preserve"> is a staff calculation which uses the NEC for block funded hospitals in 2018</w:t>
      </w:r>
      <w:r w:rsidRPr="00F15230">
        <w:noBreakHyphen/>
        <w:t>19 and the average number NWAUs for each volume grouping to calculate the average value of an activity unit for different types of hospitals. From the table we can observe the following.</w:t>
      </w:r>
    </w:p>
    <w:p w14:paraId="61FAC2B1" w14:textId="77777777" w:rsidR="00882EA8" w:rsidRPr="00F15230" w:rsidRDefault="00882EA8" w:rsidP="00882EA8">
      <w:pPr>
        <w:pStyle w:val="CGCBulletlist"/>
        <w:numPr>
          <w:ilvl w:val="0"/>
          <w:numId w:val="1"/>
        </w:numPr>
        <w:tabs>
          <w:tab w:val="clear" w:pos="927"/>
        </w:tabs>
        <w:ind w:left="1134" w:hanging="567"/>
      </w:pPr>
      <w:r w:rsidRPr="00F15230">
        <w:t>For all volume groupings except Groups B and C, very remote hospitals are generally more costly than inner/outer regional and remote hospitals.</w:t>
      </w:r>
    </w:p>
    <w:p w14:paraId="6C0BECCB" w14:textId="77777777" w:rsidR="00882EA8" w:rsidRPr="00F15230" w:rsidRDefault="00882EA8" w:rsidP="00882EA8">
      <w:pPr>
        <w:pStyle w:val="CGCBulletlist"/>
        <w:numPr>
          <w:ilvl w:val="0"/>
          <w:numId w:val="1"/>
        </w:numPr>
        <w:tabs>
          <w:tab w:val="clear" w:pos="927"/>
        </w:tabs>
        <w:ind w:left="1134" w:hanging="567"/>
      </w:pPr>
      <w:r w:rsidRPr="00F15230">
        <w:t xml:space="preserve">For a given type of hospital, the cost per activity unit is higher for hospitals with low volumes of activity. As an exception, large (Group F) very remote hospitals are more costly than some of the smaller very remote hospitals. This is likely due to differences between hospitals in case mix. </w:t>
      </w:r>
    </w:p>
    <w:p w14:paraId="2088288D" w14:textId="427FE326" w:rsidR="00882EA8" w:rsidRPr="00F15230" w:rsidRDefault="00882EA8" w:rsidP="00882EA8">
      <w:pPr>
        <w:pStyle w:val="CGCNumberedPara"/>
        <w:numPr>
          <w:ilvl w:val="1"/>
          <w:numId w:val="3"/>
        </w:numPr>
      </w:pPr>
      <w:r w:rsidRPr="00F15230">
        <w:t xml:space="preserve">This basic analysis of modelled costs for block funded hospitals illustrates how costs vary with hospital remoteness area and size. These incremental costs are in addition </w:t>
      </w:r>
      <w:r w:rsidRPr="00F15230">
        <w:lastRenderedPageBreak/>
        <w:t>to the patient remoteness costs reflected in the NWAU data</w:t>
      </w:r>
      <w:r w:rsidR="00DE1C7D">
        <w:t xml:space="preserve"> </w:t>
      </w:r>
      <w:r w:rsidR="007F42D9">
        <w:t>for</w:t>
      </w:r>
      <w:r w:rsidR="00DE1C7D">
        <w:t xml:space="preserve"> block funded hospitals</w:t>
      </w:r>
      <w:r w:rsidRPr="00F15230">
        <w:t xml:space="preserve">. </w:t>
      </w:r>
    </w:p>
    <w:p w14:paraId="228865FE" w14:textId="0A2628AF" w:rsidR="00882EA8" w:rsidRDefault="00882EA8" w:rsidP="00882EA8">
      <w:pPr>
        <w:pStyle w:val="CGCNumberedPara"/>
        <w:numPr>
          <w:ilvl w:val="1"/>
          <w:numId w:val="3"/>
        </w:numPr>
      </w:pPr>
      <w:bookmarkStart w:id="101" w:name="_Ref499203938"/>
      <w:r w:rsidRPr="00F15230">
        <w:t xml:space="preserve">Using the average value per NWAU and number of hospitals in each volume grouping, the weighted average cost for hospitals in very remote areas is 1.1 times that </w:t>
      </w:r>
      <w:r w:rsidR="00B53B5A">
        <w:t>of</w:t>
      </w:r>
      <w:r w:rsidRPr="00F15230">
        <w:t xml:space="preserve"> hospitals in inner, outer regional and remote areas (</w:t>
      </w:r>
      <w:r w:rsidRPr="00F15230">
        <w:fldChar w:fldCharType="begin"/>
      </w:r>
      <w:r w:rsidRPr="00F15230">
        <w:instrText xml:space="preserve"> REF _Ref508552808 \h  \* MERGEFORMAT </w:instrText>
      </w:r>
      <w:r w:rsidRPr="00F15230">
        <w:fldChar w:fldCharType="separate"/>
      </w:r>
      <w:r w:rsidR="005A6E12" w:rsidRPr="00F15230">
        <w:t xml:space="preserve">Table </w:t>
      </w:r>
      <w:r w:rsidR="005A6E12">
        <w:t>6</w:t>
      </w:r>
      <w:r w:rsidRPr="00F15230">
        <w:fldChar w:fldCharType="end"/>
      </w:r>
      <w:r w:rsidRPr="00F15230">
        <w:t xml:space="preserve">, Panel D). This ratio gives an indication of the additional cost for very remote hospitals that at face value is not being captured. </w:t>
      </w:r>
      <w:r w:rsidR="00DE1C7D">
        <w:t xml:space="preserve">However, caution is needed when interpreting this ratio as it is heavily influenced by NWAU data from very small block funded hospitals </w:t>
      </w:r>
      <w:r w:rsidR="003A33A2">
        <w:t xml:space="preserve">where the </w:t>
      </w:r>
      <w:r w:rsidR="00DE1C7D">
        <w:t>NWAUs are less reliable.</w:t>
      </w:r>
    </w:p>
    <w:p w14:paraId="7DEBBEB5" w14:textId="4FEF6682" w:rsidR="00882EA8" w:rsidRPr="00F15230" w:rsidRDefault="00882EA8" w:rsidP="00882EA8">
      <w:pPr>
        <w:pStyle w:val="CGCNumberedPara"/>
      </w:pPr>
      <w:r w:rsidRPr="00F15230">
        <w:t>As part of the 2020 Review work program, staff will consult with IHPA and the States to ensure the final assessment is recognising all, but not double counting any, remoteness and SDS costs for block funded hospitals.</w:t>
      </w:r>
      <w:r w:rsidR="00F251B7">
        <w:t xml:space="preserve"> Under either a direct or subtraction approach, it is important to ensure all remoteness and SDS costs are appropriately captured in the SDC assessments. This should lead to more reliable estimates of the higher use and cost services in regional areas where the non</w:t>
      </w:r>
      <w:r w:rsidR="00F251B7">
        <w:noBreakHyphen/>
        <w:t>State sector is less active.</w:t>
      </w:r>
    </w:p>
    <w:p w14:paraId="09D650F0" w14:textId="77777777" w:rsidR="00882EA8" w:rsidRPr="00F15230" w:rsidRDefault="00882EA8" w:rsidP="00882EA8">
      <w:pPr>
        <w:pStyle w:val="CGCNumberedPara"/>
        <w:numPr>
          <w:ilvl w:val="0"/>
          <w:numId w:val="0"/>
        </w:numPr>
      </w:pPr>
    </w:p>
    <w:p w14:paraId="65BD80A9" w14:textId="77777777" w:rsidR="00882EA8" w:rsidRPr="00F15230" w:rsidRDefault="00882EA8" w:rsidP="00882EA8">
      <w:pPr>
        <w:pStyle w:val="Caption"/>
        <w:ind w:left="0" w:firstLine="0"/>
      </w:pPr>
      <w:bookmarkStart w:id="102" w:name="_Ref508552808"/>
      <w:r w:rsidRPr="00F15230">
        <w:lastRenderedPageBreak/>
        <w:t xml:space="preserve">Table </w:t>
      </w:r>
      <w:r w:rsidR="00CD3D12">
        <w:fldChar w:fldCharType="begin"/>
      </w:r>
      <w:r w:rsidR="00CD3D12">
        <w:instrText xml:space="preserve"> SEQ Table \* ARABIC </w:instrText>
      </w:r>
      <w:r w:rsidR="00CD3D12">
        <w:fldChar w:fldCharType="separate"/>
      </w:r>
      <w:r w:rsidR="005A6E12">
        <w:rPr>
          <w:noProof/>
        </w:rPr>
        <w:t>6</w:t>
      </w:r>
      <w:r w:rsidR="00CD3D12">
        <w:rPr>
          <w:noProof/>
        </w:rPr>
        <w:fldChar w:fldCharType="end"/>
      </w:r>
      <w:bookmarkEnd w:id="102"/>
      <w:r w:rsidRPr="00F15230">
        <w:tab/>
        <w:t>Estimating the remoteness loading using NCE18 data</w:t>
      </w:r>
    </w:p>
    <w:tbl>
      <w:tblPr>
        <w:tblW w:w="9006" w:type="dxa"/>
        <w:tblInd w:w="93" w:type="dxa"/>
        <w:tblLook w:val="04A0" w:firstRow="1" w:lastRow="0" w:firstColumn="1" w:lastColumn="0" w:noHBand="0" w:noVBand="1"/>
      </w:tblPr>
      <w:tblGrid>
        <w:gridCol w:w="1197"/>
        <w:gridCol w:w="609"/>
        <w:gridCol w:w="900"/>
        <w:gridCol w:w="900"/>
        <w:gridCol w:w="900"/>
        <w:gridCol w:w="900"/>
        <w:gridCol w:w="900"/>
        <w:gridCol w:w="900"/>
        <w:gridCol w:w="900"/>
        <w:gridCol w:w="900"/>
      </w:tblGrid>
      <w:tr w:rsidR="00882EA8" w:rsidRPr="00F15230" w14:paraId="6FC2BC3D" w14:textId="77777777" w:rsidTr="00DE0D49">
        <w:trPr>
          <w:trHeight w:val="315"/>
        </w:trPr>
        <w:tc>
          <w:tcPr>
            <w:tcW w:w="9006" w:type="dxa"/>
            <w:gridSpan w:val="10"/>
            <w:tcBorders>
              <w:top w:val="single" w:sz="4" w:space="0" w:color="auto"/>
              <w:left w:val="nil"/>
              <w:bottom w:val="single" w:sz="4" w:space="0" w:color="auto"/>
              <w:right w:val="nil"/>
            </w:tcBorders>
            <w:shd w:val="clear" w:color="auto" w:fill="auto"/>
            <w:noWrap/>
            <w:vAlign w:val="bottom"/>
            <w:hideMark/>
          </w:tcPr>
          <w:p w14:paraId="31FDC6DC" w14:textId="77777777" w:rsidR="00882EA8" w:rsidRPr="00F15230" w:rsidRDefault="00882EA8" w:rsidP="00DE0D49">
            <w:pPr>
              <w:keepNext/>
              <w:tabs>
                <w:tab w:val="clear" w:pos="567"/>
              </w:tabs>
              <w:spacing w:after="0" w:line="240" w:lineRule="auto"/>
              <w:jc w:val="center"/>
              <w:rPr>
                <w:rFonts w:ascii="Calibri" w:eastAsia="Times New Roman" w:hAnsi="Calibri" w:cs="Times New Roman"/>
                <w:b/>
                <w:bCs/>
                <w:color w:val="000000"/>
                <w:sz w:val="20"/>
                <w:szCs w:val="20"/>
              </w:rPr>
            </w:pPr>
            <w:r w:rsidRPr="00F15230">
              <w:rPr>
                <w:rFonts w:ascii="Calibri" w:eastAsia="Times New Roman" w:hAnsi="Calibri" w:cs="Times New Roman"/>
                <w:b/>
                <w:bCs/>
                <w:color w:val="000000"/>
                <w:sz w:val="20"/>
                <w:szCs w:val="20"/>
              </w:rPr>
              <w:t>Panel A Cost weights from NEC18</w:t>
            </w:r>
          </w:p>
        </w:tc>
      </w:tr>
      <w:tr w:rsidR="00882EA8" w:rsidRPr="00F15230" w14:paraId="1444C979" w14:textId="77777777" w:rsidTr="00DE0D49">
        <w:trPr>
          <w:trHeight w:val="315"/>
        </w:trPr>
        <w:tc>
          <w:tcPr>
            <w:tcW w:w="1197" w:type="dxa"/>
            <w:tcBorders>
              <w:top w:val="nil"/>
              <w:left w:val="nil"/>
              <w:bottom w:val="single" w:sz="4" w:space="0" w:color="auto"/>
              <w:right w:val="nil"/>
            </w:tcBorders>
            <w:shd w:val="clear" w:color="auto" w:fill="auto"/>
            <w:vAlign w:val="center"/>
            <w:hideMark/>
          </w:tcPr>
          <w:p w14:paraId="1CBC5398"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roofErr w:type="spellStart"/>
            <w:r w:rsidRPr="00F15230">
              <w:rPr>
                <w:rFonts w:ascii="Calibri" w:eastAsia="Times New Roman" w:hAnsi="Calibri" w:cs="Times New Roman"/>
                <w:color w:val="000000"/>
                <w:sz w:val="20"/>
                <w:szCs w:val="20"/>
              </w:rPr>
              <w:t>ASGS</w:t>
            </w:r>
            <w:proofErr w:type="spellEnd"/>
            <w:r w:rsidRPr="00F15230">
              <w:rPr>
                <w:rFonts w:ascii="Calibri" w:eastAsia="Times New Roman" w:hAnsi="Calibri" w:cs="Times New Roman"/>
                <w:color w:val="000000"/>
                <w:sz w:val="20"/>
                <w:szCs w:val="20"/>
              </w:rPr>
              <w:t xml:space="preserve"> region</w:t>
            </w:r>
          </w:p>
        </w:tc>
        <w:tc>
          <w:tcPr>
            <w:tcW w:w="609" w:type="dxa"/>
            <w:tcBorders>
              <w:top w:val="nil"/>
              <w:left w:val="nil"/>
              <w:bottom w:val="single" w:sz="4" w:space="0" w:color="auto"/>
              <w:right w:val="nil"/>
            </w:tcBorders>
            <w:shd w:val="clear" w:color="auto" w:fill="auto"/>
            <w:noWrap/>
            <w:vAlign w:val="center"/>
            <w:hideMark/>
          </w:tcPr>
          <w:p w14:paraId="7FDFA33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Type</w:t>
            </w:r>
          </w:p>
        </w:tc>
        <w:tc>
          <w:tcPr>
            <w:tcW w:w="900" w:type="dxa"/>
            <w:tcBorders>
              <w:top w:val="nil"/>
              <w:left w:val="single" w:sz="4" w:space="0" w:color="auto"/>
              <w:bottom w:val="single" w:sz="4" w:space="0" w:color="auto"/>
              <w:right w:val="nil"/>
            </w:tcBorders>
            <w:shd w:val="clear" w:color="auto" w:fill="auto"/>
            <w:vAlign w:val="center"/>
            <w:hideMark/>
          </w:tcPr>
          <w:p w14:paraId="418478C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Group 0 </w:t>
            </w:r>
          </w:p>
        </w:tc>
        <w:tc>
          <w:tcPr>
            <w:tcW w:w="900" w:type="dxa"/>
            <w:tcBorders>
              <w:top w:val="nil"/>
              <w:left w:val="nil"/>
              <w:bottom w:val="single" w:sz="4" w:space="0" w:color="auto"/>
              <w:right w:val="nil"/>
            </w:tcBorders>
            <w:shd w:val="clear" w:color="auto" w:fill="auto"/>
            <w:vAlign w:val="center"/>
            <w:hideMark/>
          </w:tcPr>
          <w:p w14:paraId="1219317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A</w:t>
            </w:r>
          </w:p>
        </w:tc>
        <w:tc>
          <w:tcPr>
            <w:tcW w:w="900" w:type="dxa"/>
            <w:tcBorders>
              <w:top w:val="nil"/>
              <w:left w:val="nil"/>
              <w:bottom w:val="single" w:sz="4" w:space="0" w:color="auto"/>
              <w:right w:val="nil"/>
            </w:tcBorders>
            <w:shd w:val="clear" w:color="auto" w:fill="auto"/>
            <w:vAlign w:val="center"/>
            <w:hideMark/>
          </w:tcPr>
          <w:p w14:paraId="6B8AB82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B</w:t>
            </w:r>
          </w:p>
        </w:tc>
        <w:tc>
          <w:tcPr>
            <w:tcW w:w="900" w:type="dxa"/>
            <w:tcBorders>
              <w:top w:val="nil"/>
              <w:left w:val="nil"/>
              <w:bottom w:val="single" w:sz="4" w:space="0" w:color="auto"/>
              <w:right w:val="nil"/>
            </w:tcBorders>
            <w:shd w:val="clear" w:color="auto" w:fill="auto"/>
            <w:vAlign w:val="center"/>
            <w:hideMark/>
          </w:tcPr>
          <w:p w14:paraId="43C6C26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C</w:t>
            </w:r>
          </w:p>
        </w:tc>
        <w:tc>
          <w:tcPr>
            <w:tcW w:w="900" w:type="dxa"/>
            <w:tcBorders>
              <w:top w:val="nil"/>
              <w:left w:val="nil"/>
              <w:bottom w:val="single" w:sz="4" w:space="0" w:color="auto"/>
              <w:right w:val="nil"/>
            </w:tcBorders>
            <w:shd w:val="clear" w:color="auto" w:fill="auto"/>
            <w:vAlign w:val="center"/>
            <w:hideMark/>
          </w:tcPr>
          <w:p w14:paraId="3B1C990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D</w:t>
            </w:r>
          </w:p>
        </w:tc>
        <w:tc>
          <w:tcPr>
            <w:tcW w:w="900" w:type="dxa"/>
            <w:tcBorders>
              <w:top w:val="nil"/>
              <w:left w:val="nil"/>
              <w:bottom w:val="single" w:sz="4" w:space="0" w:color="auto"/>
              <w:right w:val="nil"/>
            </w:tcBorders>
            <w:shd w:val="clear" w:color="auto" w:fill="auto"/>
            <w:vAlign w:val="center"/>
            <w:hideMark/>
          </w:tcPr>
          <w:p w14:paraId="5326559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E</w:t>
            </w:r>
          </w:p>
        </w:tc>
        <w:tc>
          <w:tcPr>
            <w:tcW w:w="900" w:type="dxa"/>
            <w:tcBorders>
              <w:top w:val="nil"/>
              <w:left w:val="nil"/>
              <w:bottom w:val="single" w:sz="4" w:space="0" w:color="auto"/>
              <w:right w:val="nil"/>
            </w:tcBorders>
            <w:shd w:val="clear" w:color="auto" w:fill="auto"/>
            <w:vAlign w:val="center"/>
            <w:hideMark/>
          </w:tcPr>
          <w:p w14:paraId="00AE4B5D"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F</w:t>
            </w:r>
          </w:p>
        </w:tc>
        <w:tc>
          <w:tcPr>
            <w:tcW w:w="900" w:type="dxa"/>
            <w:tcBorders>
              <w:top w:val="nil"/>
              <w:left w:val="nil"/>
              <w:bottom w:val="single" w:sz="4" w:space="0" w:color="auto"/>
              <w:right w:val="nil"/>
            </w:tcBorders>
            <w:shd w:val="clear" w:color="auto" w:fill="auto"/>
            <w:vAlign w:val="center"/>
            <w:hideMark/>
          </w:tcPr>
          <w:p w14:paraId="398DE98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G</w:t>
            </w:r>
          </w:p>
        </w:tc>
      </w:tr>
      <w:tr w:rsidR="00882EA8" w:rsidRPr="00F15230" w14:paraId="0BD0FE71" w14:textId="77777777" w:rsidTr="00DE0D49">
        <w:trPr>
          <w:trHeight w:val="315"/>
        </w:trPr>
        <w:tc>
          <w:tcPr>
            <w:tcW w:w="1806" w:type="dxa"/>
            <w:gridSpan w:val="2"/>
            <w:tcBorders>
              <w:top w:val="single" w:sz="4" w:space="0" w:color="auto"/>
              <w:left w:val="nil"/>
              <w:bottom w:val="nil"/>
              <w:right w:val="single" w:sz="4" w:space="0" w:color="000000"/>
            </w:tcBorders>
            <w:shd w:val="clear" w:color="auto" w:fill="auto"/>
            <w:vAlign w:val="bottom"/>
            <w:hideMark/>
          </w:tcPr>
          <w:p w14:paraId="2DF1D557" w14:textId="77777777" w:rsidR="00882EA8" w:rsidRPr="00F15230" w:rsidRDefault="00882EA8" w:rsidP="00DE0D49">
            <w:pPr>
              <w:keepNext/>
              <w:tabs>
                <w:tab w:val="clear" w:pos="567"/>
              </w:tabs>
              <w:spacing w:after="0" w:line="240" w:lineRule="auto"/>
              <w:jc w:val="center"/>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Average NWAU (a)</w:t>
            </w:r>
          </w:p>
        </w:tc>
        <w:tc>
          <w:tcPr>
            <w:tcW w:w="900" w:type="dxa"/>
            <w:tcBorders>
              <w:top w:val="nil"/>
              <w:left w:val="nil"/>
              <w:bottom w:val="nil"/>
              <w:right w:val="nil"/>
            </w:tcBorders>
            <w:shd w:val="clear" w:color="auto" w:fill="auto"/>
            <w:vAlign w:val="bottom"/>
            <w:hideMark/>
          </w:tcPr>
          <w:p w14:paraId="31922ECB"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&lt;$0.5m</w:t>
            </w:r>
          </w:p>
        </w:tc>
        <w:tc>
          <w:tcPr>
            <w:tcW w:w="900" w:type="dxa"/>
            <w:tcBorders>
              <w:top w:val="nil"/>
              <w:left w:val="nil"/>
              <w:bottom w:val="nil"/>
              <w:right w:val="nil"/>
            </w:tcBorders>
            <w:shd w:val="clear" w:color="auto" w:fill="auto"/>
            <w:vAlign w:val="bottom"/>
            <w:hideMark/>
          </w:tcPr>
          <w:p w14:paraId="5019E07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130</w:t>
            </w:r>
          </w:p>
        </w:tc>
        <w:tc>
          <w:tcPr>
            <w:tcW w:w="900" w:type="dxa"/>
            <w:tcBorders>
              <w:top w:val="nil"/>
              <w:left w:val="nil"/>
              <w:bottom w:val="nil"/>
              <w:right w:val="nil"/>
            </w:tcBorders>
            <w:shd w:val="clear" w:color="auto" w:fill="auto"/>
            <w:vAlign w:val="bottom"/>
            <w:hideMark/>
          </w:tcPr>
          <w:p w14:paraId="0BC4E9FC"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360</w:t>
            </w:r>
          </w:p>
        </w:tc>
        <w:tc>
          <w:tcPr>
            <w:tcW w:w="900" w:type="dxa"/>
            <w:tcBorders>
              <w:top w:val="nil"/>
              <w:left w:val="nil"/>
              <w:bottom w:val="nil"/>
              <w:right w:val="nil"/>
            </w:tcBorders>
            <w:shd w:val="clear" w:color="auto" w:fill="auto"/>
            <w:vAlign w:val="bottom"/>
            <w:hideMark/>
          </w:tcPr>
          <w:p w14:paraId="1C51173B"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560</w:t>
            </w:r>
          </w:p>
        </w:tc>
        <w:tc>
          <w:tcPr>
            <w:tcW w:w="900" w:type="dxa"/>
            <w:tcBorders>
              <w:top w:val="nil"/>
              <w:left w:val="nil"/>
              <w:bottom w:val="nil"/>
              <w:right w:val="nil"/>
            </w:tcBorders>
            <w:shd w:val="clear" w:color="auto" w:fill="auto"/>
            <w:vAlign w:val="bottom"/>
            <w:hideMark/>
          </w:tcPr>
          <w:p w14:paraId="6DF4EC2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855</w:t>
            </w:r>
          </w:p>
        </w:tc>
        <w:tc>
          <w:tcPr>
            <w:tcW w:w="900" w:type="dxa"/>
            <w:tcBorders>
              <w:top w:val="nil"/>
              <w:left w:val="nil"/>
              <w:bottom w:val="nil"/>
              <w:right w:val="nil"/>
            </w:tcBorders>
            <w:shd w:val="clear" w:color="auto" w:fill="auto"/>
            <w:vAlign w:val="bottom"/>
            <w:hideMark/>
          </w:tcPr>
          <w:p w14:paraId="68138295"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1 375</w:t>
            </w:r>
          </w:p>
        </w:tc>
        <w:tc>
          <w:tcPr>
            <w:tcW w:w="900" w:type="dxa"/>
            <w:tcBorders>
              <w:top w:val="nil"/>
              <w:left w:val="nil"/>
              <w:bottom w:val="nil"/>
              <w:right w:val="nil"/>
            </w:tcBorders>
            <w:shd w:val="clear" w:color="auto" w:fill="auto"/>
            <w:vAlign w:val="bottom"/>
            <w:hideMark/>
          </w:tcPr>
          <w:p w14:paraId="4F856AD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2 100</w:t>
            </w:r>
          </w:p>
        </w:tc>
        <w:tc>
          <w:tcPr>
            <w:tcW w:w="900" w:type="dxa"/>
            <w:tcBorders>
              <w:top w:val="nil"/>
              <w:left w:val="nil"/>
              <w:bottom w:val="nil"/>
              <w:right w:val="nil"/>
            </w:tcBorders>
            <w:shd w:val="clear" w:color="auto" w:fill="auto"/>
            <w:vAlign w:val="bottom"/>
            <w:hideMark/>
          </w:tcPr>
          <w:p w14:paraId="4C5FA1D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3 000</w:t>
            </w:r>
          </w:p>
        </w:tc>
      </w:tr>
      <w:tr w:rsidR="00882EA8" w:rsidRPr="00F15230" w14:paraId="21D98D25" w14:textId="77777777" w:rsidTr="00DE0D49">
        <w:trPr>
          <w:trHeight w:val="315"/>
        </w:trPr>
        <w:tc>
          <w:tcPr>
            <w:tcW w:w="1197" w:type="dxa"/>
            <w:vMerge w:val="restart"/>
            <w:tcBorders>
              <w:top w:val="nil"/>
              <w:left w:val="nil"/>
              <w:bottom w:val="single" w:sz="4" w:space="0" w:color="000000"/>
              <w:right w:val="nil"/>
            </w:tcBorders>
            <w:shd w:val="clear" w:color="auto" w:fill="auto"/>
            <w:vAlign w:val="center"/>
            <w:hideMark/>
          </w:tcPr>
          <w:p w14:paraId="6BBDEB26" w14:textId="77777777" w:rsidR="00882EA8" w:rsidRPr="00F15230" w:rsidRDefault="00882EA8" w:rsidP="00DE0D49">
            <w:pPr>
              <w:keepNext/>
              <w:tabs>
                <w:tab w:val="clear" w:pos="567"/>
              </w:tabs>
              <w:spacing w:after="0" w:line="240" w:lineRule="auto"/>
              <w:jc w:val="center"/>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Inner/Outer regional and remote</w:t>
            </w:r>
          </w:p>
        </w:tc>
        <w:tc>
          <w:tcPr>
            <w:tcW w:w="609" w:type="dxa"/>
            <w:tcBorders>
              <w:top w:val="nil"/>
              <w:left w:val="nil"/>
              <w:bottom w:val="nil"/>
              <w:right w:val="nil"/>
            </w:tcBorders>
            <w:shd w:val="clear" w:color="auto" w:fill="auto"/>
            <w:noWrap/>
            <w:vAlign w:val="bottom"/>
            <w:hideMark/>
          </w:tcPr>
          <w:p w14:paraId="6FF2F03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A</w:t>
            </w:r>
          </w:p>
        </w:tc>
        <w:tc>
          <w:tcPr>
            <w:tcW w:w="900" w:type="dxa"/>
            <w:tcBorders>
              <w:top w:val="nil"/>
              <w:left w:val="single" w:sz="4" w:space="0" w:color="auto"/>
              <w:bottom w:val="nil"/>
              <w:right w:val="nil"/>
            </w:tcBorders>
            <w:shd w:val="clear" w:color="auto" w:fill="auto"/>
            <w:noWrap/>
            <w:vAlign w:val="bottom"/>
            <w:hideMark/>
          </w:tcPr>
          <w:p w14:paraId="55F5441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N/A</w:t>
            </w:r>
          </w:p>
        </w:tc>
        <w:tc>
          <w:tcPr>
            <w:tcW w:w="900" w:type="dxa"/>
            <w:tcBorders>
              <w:top w:val="nil"/>
              <w:left w:val="nil"/>
              <w:bottom w:val="nil"/>
              <w:right w:val="nil"/>
            </w:tcBorders>
            <w:shd w:val="clear" w:color="auto" w:fill="auto"/>
            <w:noWrap/>
            <w:vAlign w:val="bottom"/>
            <w:hideMark/>
          </w:tcPr>
          <w:p w14:paraId="3D43154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N/A</w:t>
            </w:r>
          </w:p>
        </w:tc>
        <w:tc>
          <w:tcPr>
            <w:tcW w:w="900" w:type="dxa"/>
            <w:tcBorders>
              <w:top w:val="nil"/>
              <w:left w:val="nil"/>
              <w:bottom w:val="nil"/>
              <w:right w:val="nil"/>
            </w:tcBorders>
            <w:shd w:val="clear" w:color="auto" w:fill="auto"/>
            <w:noWrap/>
            <w:vAlign w:val="bottom"/>
            <w:hideMark/>
          </w:tcPr>
          <w:p w14:paraId="5194319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0.793</w:t>
            </w:r>
          </w:p>
        </w:tc>
        <w:tc>
          <w:tcPr>
            <w:tcW w:w="900" w:type="dxa"/>
            <w:tcBorders>
              <w:top w:val="nil"/>
              <w:left w:val="nil"/>
              <w:bottom w:val="nil"/>
              <w:right w:val="nil"/>
            </w:tcBorders>
            <w:shd w:val="clear" w:color="auto" w:fill="auto"/>
            <w:noWrap/>
            <w:vAlign w:val="bottom"/>
            <w:hideMark/>
          </w:tcPr>
          <w:p w14:paraId="3D3F3DC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1.068</w:t>
            </w:r>
          </w:p>
        </w:tc>
        <w:tc>
          <w:tcPr>
            <w:tcW w:w="900" w:type="dxa"/>
            <w:tcBorders>
              <w:top w:val="nil"/>
              <w:left w:val="nil"/>
              <w:bottom w:val="nil"/>
              <w:right w:val="nil"/>
            </w:tcBorders>
            <w:shd w:val="clear" w:color="auto" w:fill="auto"/>
            <w:noWrap/>
            <w:vAlign w:val="bottom"/>
            <w:hideMark/>
          </w:tcPr>
          <w:p w14:paraId="3E32DA6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1.234</w:t>
            </w:r>
          </w:p>
        </w:tc>
        <w:tc>
          <w:tcPr>
            <w:tcW w:w="900" w:type="dxa"/>
            <w:tcBorders>
              <w:top w:val="nil"/>
              <w:left w:val="nil"/>
              <w:bottom w:val="nil"/>
              <w:right w:val="nil"/>
            </w:tcBorders>
            <w:shd w:val="clear" w:color="auto" w:fill="auto"/>
            <w:noWrap/>
            <w:vAlign w:val="bottom"/>
            <w:hideMark/>
          </w:tcPr>
          <w:p w14:paraId="3FF1A81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1.699</w:t>
            </w:r>
          </w:p>
        </w:tc>
        <w:tc>
          <w:tcPr>
            <w:tcW w:w="900" w:type="dxa"/>
            <w:tcBorders>
              <w:top w:val="nil"/>
              <w:left w:val="nil"/>
              <w:bottom w:val="nil"/>
              <w:right w:val="nil"/>
            </w:tcBorders>
            <w:shd w:val="clear" w:color="auto" w:fill="auto"/>
            <w:noWrap/>
            <w:vAlign w:val="bottom"/>
            <w:hideMark/>
          </w:tcPr>
          <w:p w14:paraId="34C9575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2.506</w:t>
            </w:r>
          </w:p>
        </w:tc>
        <w:tc>
          <w:tcPr>
            <w:tcW w:w="900" w:type="dxa"/>
            <w:tcBorders>
              <w:top w:val="nil"/>
              <w:left w:val="nil"/>
              <w:bottom w:val="nil"/>
              <w:right w:val="nil"/>
            </w:tcBorders>
            <w:shd w:val="clear" w:color="auto" w:fill="auto"/>
            <w:noWrap/>
            <w:vAlign w:val="bottom"/>
            <w:hideMark/>
          </w:tcPr>
          <w:p w14:paraId="2B27685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3.398</w:t>
            </w:r>
          </w:p>
        </w:tc>
      </w:tr>
      <w:tr w:rsidR="00882EA8" w:rsidRPr="00F15230" w14:paraId="019647C0" w14:textId="77777777" w:rsidTr="00DE0D49">
        <w:trPr>
          <w:trHeight w:val="315"/>
        </w:trPr>
        <w:tc>
          <w:tcPr>
            <w:tcW w:w="1197" w:type="dxa"/>
            <w:vMerge/>
            <w:tcBorders>
              <w:top w:val="nil"/>
              <w:left w:val="nil"/>
              <w:bottom w:val="single" w:sz="4" w:space="0" w:color="000000"/>
              <w:right w:val="nil"/>
            </w:tcBorders>
            <w:vAlign w:val="center"/>
            <w:hideMark/>
          </w:tcPr>
          <w:p w14:paraId="3208943E"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
        </w:tc>
        <w:tc>
          <w:tcPr>
            <w:tcW w:w="609" w:type="dxa"/>
            <w:tcBorders>
              <w:top w:val="nil"/>
              <w:left w:val="nil"/>
              <w:bottom w:val="nil"/>
              <w:right w:val="nil"/>
            </w:tcBorders>
            <w:shd w:val="clear" w:color="auto" w:fill="auto"/>
            <w:noWrap/>
            <w:vAlign w:val="bottom"/>
            <w:hideMark/>
          </w:tcPr>
          <w:p w14:paraId="0E2BD329"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B</w:t>
            </w:r>
          </w:p>
        </w:tc>
        <w:tc>
          <w:tcPr>
            <w:tcW w:w="900" w:type="dxa"/>
            <w:tcBorders>
              <w:top w:val="nil"/>
              <w:left w:val="single" w:sz="4" w:space="0" w:color="auto"/>
              <w:bottom w:val="nil"/>
              <w:right w:val="nil"/>
            </w:tcBorders>
            <w:shd w:val="clear" w:color="auto" w:fill="auto"/>
            <w:noWrap/>
            <w:vAlign w:val="bottom"/>
            <w:hideMark/>
          </w:tcPr>
          <w:p w14:paraId="42508E0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N/A</w:t>
            </w:r>
          </w:p>
        </w:tc>
        <w:tc>
          <w:tcPr>
            <w:tcW w:w="900" w:type="dxa"/>
            <w:tcBorders>
              <w:top w:val="nil"/>
              <w:left w:val="nil"/>
              <w:bottom w:val="nil"/>
              <w:right w:val="nil"/>
            </w:tcBorders>
            <w:shd w:val="clear" w:color="auto" w:fill="auto"/>
            <w:noWrap/>
            <w:vAlign w:val="bottom"/>
            <w:hideMark/>
          </w:tcPr>
          <w:p w14:paraId="276697D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N/A</w:t>
            </w:r>
          </w:p>
        </w:tc>
        <w:tc>
          <w:tcPr>
            <w:tcW w:w="900" w:type="dxa"/>
            <w:tcBorders>
              <w:top w:val="nil"/>
              <w:left w:val="nil"/>
              <w:bottom w:val="nil"/>
              <w:right w:val="nil"/>
            </w:tcBorders>
            <w:shd w:val="clear" w:color="auto" w:fill="auto"/>
            <w:noWrap/>
            <w:vAlign w:val="bottom"/>
            <w:hideMark/>
          </w:tcPr>
          <w:p w14:paraId="25DBC409"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0.644</w:t>
            </w:r>
          </w:p>
        </w:tc>
        <w:tc>
          <w:tcPr>
            <w:tcW w:w="900" w:type="dxa"/>
            <w:tcBorders>
              <w:top w:val="nil"/>
              <w:left w:val="nil"/>
              <w:bottom w:val="nil"/>
              <w:right w:val="nil"/>
            </w:tcBorders>
            <w:shd w:val="clear" w:color="auto" w:fill="auto"/>
            <w:noWrap/>
            <w:vAlign w:val="bottom"/>
            <w:hideMark/>
          </w:tcPr>
          <w:p w14:paraId="7AFC583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0.866</w:t>
            </w:r>
          </w:p>
        </w:tc>
        <w:tc>
          <w:tcPr>
            <w:tcW w:w="900" w:type="dxa"/>
            <w:tcBorders>
              <w:top w:val="nil"/>
              <w:left w:val="nil"/>
              <w:bottom w:val="nil"/>
              <w:right w:val="nil"/>
            </w:tcBorders>
            <w:shd w:val="clear" w:color="auto" w:fill="auto"/>
            <w:noWrap/>
            <w:vAlign w:val="bottom"/>
            <w:hideMark/>
          </w:tcPr>
          <w:p w14:paraId="3DD06894"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1.001</w:t>
            </w:r>
          </w:p>
        </w:tc>
        <w:tc>
          <w:tcPr>
            <w:tcW w:w="900" w:type="dxa"/>
            <w:tcBorders>
              <w:top w:val="nil"/>
              <w:left w:val="nil"/>
              <w:bottom w:val="nil"/>
              <w:right w:val="nil"/>
            </w:tcBorders>
            <w:shd w:val="clear" w:color="auto" w:fill="auto"/>
            <w:noWrap/>
            <w:vAlign w:val="bottom"/>
            <w:hideMark/>
          </w:tcPr>
          <w:p w14:paraId="7F48DDB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1.378</w:t>
            </w:r>
          </w:p>
        </w:tc>
        <w:tc>
          <w:tcPr>
            <w:tcW w:w="900" w:type="dxa"/>
            <w:tcBorders>
              <w:top w:val="nil"/>
              <w:left w:val="nil"/>
              <w:bottom w:val="nil"/>
              <w:right w:val="nil"/>
            </w:tcBorders>
            <w:shd w:val="clear" w:color="auto" w:fill="auto"/>
            <w:noWrap/>
            <w:vAlign w:val="bottom"/>
            <w:hideMark/>
          </w:tcPr>
          <w:p w14:paraId="296DA6AB"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2.033</w:t>
            </w:r>
          </w:p>
        </w:tc>
        <w:tc>
          <w:tcPr>
            <w:tcW w:w="900" w:type="dxa"/>
            <w:tcBorders>
              <w:top w:val="nil"/>
              <w:left w:val="nil"/>
              <w:bottom w:val="nil"/>
              <w:right w:val="nil"/>
            </w:tcBorders>
            <w:shd w:val="clear" w:color="auto" w:fill="auto"/>
            <w:noWrap/>
            <w:vAlign w:val="bottom"/>
            <w:hideMark/>
          </w:tcPr>
          <w:p w14:paraId="6E9FC004"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2.757</w:t>
            </w:r>
          </w:p>
        </w:tc>
      </w:tr>
      <w:tr w:rsidR="00882EA8" w:rsidRPr="00F15230" w14:paraId="391A52AC" w14:textId="77777777" w:rsidTr="00DE0D49">
        <w:trPr>
          <w:trHeight w:val="315"/>
        </w:trPr>
        <w:tc>
          <w:tcPr>
            <w:tcW w:w="1197" w:type="dxa"/>
            <w:vMerge/>
            <w:tcBorders>
              <w:top w:val="nil"/>
              <w:left w:val="nil"/>
              <w:bottom w:val="single" w:sz="4" w:space="0" w:color="000000"/>
              <w:right w:val="nil"/>
            </w:tcBorders>
            <w:vAlign w:val="center"/>
            <w:hideMark/>
          </w:tcPr>
          <w:p w14:paraId="7D4B529C"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
        </w:tc>
        <w:tc>
          <w:tcPr>
            <w:tcW w:w="609" w:type="dxa"/>
            <w:tcBorders>
              <w:top w:val="nil"/>
              <w:left w:val="nil"/>
              <w:bottom w:val="single" w:sz="4" w:space="0" w:color="auto"/>
              <w:right w:val="nil"/>
            </w:tcBorders>
            <w:shd w:val="clear" w:color="auto" w:fill="auto"/>
            <w:noWrap/>
            <w:vAlign w:val="bottom"/>
            <w:hideMark/>
          </w:tcPr>
          <w:p w14:paraId="4DAD1DE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C</w:t>
            </w:r>
          </w:p>
        </w:tc>
        <w:tc>
          <w:tcPr>
            <w:tcW w:w="900" w:type="dxa"/>
            <w:tcBorders>
              <w:top w:val="nil"/>
              <w:left w:val="single" w:sz="4" w:space="0" w:color="auto"/>
              <w:bottom w:val="single" w:sz="4" w:space="0" w:color="auto"/>
              <w:right w:val="nil"/>
            </w:tcBorders>
            <w:shd w:val="clear" w:color="auto" w:fill="auto"/>
            <w:noWrap/>
            <w:vAlign w:val="bottom"/>
            <w:hideMark/>
          </w:tcPr>
          <w:p w14:paraId="056166F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0.072</w:t>
            </w:r>
          </w:p>
        </w:tc>
        <w:tc>
          <w:tcPr>
            <w:tcW w:w="900" w:type="dxa"/>
            <w:tcBorders>
              <w:top w:val="nil"/>
              <w:left w:val="nil"/>
              <w:bottom w:val="single" w:sz="4" w:space="0" w:color="auto"/>
              <w:right w:val="nil"/>
            </w:tcBorders>
            <w:shd w:val="clear" w:color="auto" w:fill="auto"/>
            <w:noWrap/>
            <w:vAlign w:val="bottom"/>
            <w:hideMark/>
          </w:tcPr>
          <w:p w14:paraId="04B7B3C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0.38</w:t>
            </w:r>
          </w:p>
        </w:tc>
        <w:tc>
          <w:tcPr>
            <w:tcW w:w="900" w:type="dxa"/>
            <w:tcBorders>
              <w:top w:val="nil"/>
              <w:left w:val="nil"/>
              <w:bottom w:val="single" w:sz="4" w:space="0" w:color="auto"/>
              <w:right w:val="nil"/>
            </w:tcBorders>
            <w:shd w:val="clear" w:color="auto" w:fill="auto"/>
            <w:noWrap/>
            <w:vAlign w:val="bottom"/>
            <w:hideMark/>
          </w:tcPr>
          <w:p w14:paraId="1677921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0.629</w:t>
            </w:r>
          </w:p>
        </w:tc>
        <w:tc>
          <w:tcPr>
            <w:tcW w:w="900" w:type="dxa"/>
            <w:tcBorders>
              <w:top w:val="nil"/>
              <w:left w:val="nil"/>
              <w:bottom w:val="single" w:sz="4" w:space="0" w:color="auto"/>
              <w:right w:val="nil"/>
            </w:tcBorders>
            <w:shd w:val="clear" w:color="auto" w:fill="auto"/>
            <w:noWrap/>
            <w:vAlign w:val="bottom"/>
            <w:hideMark/>
          </w:tcPr>
          <w:p w14:paraId="042B23F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0.846</w:t>
            </w:r>
          </w:p>
        </w:tc>
        <w:tc>
          <w:tcPr>
            <w:tcW w:w="900" w:type="dxa"/>
            <w:tcBorders>
              <w:top w:val="nil"/>
              <w:left w:val="nil"/>
              <w:bottom w:val="single" w:sz="4" w:space="0" w:color="auto"/>
              <w:right w:val="nil"/>
            </w:tcBorders>
            <w:shd w:val="clear" w:color="auto" w:fill="auto"/>
            <w:noWrap/>
            <w:vAlign w:val="bottom"/>
            <w:hideMark/>
          </w:tcPr>
          <w:p w14:paraId="060F7E65"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0.978</w:t>
            </w:r>
          </w:p>
        </w:tc>
        <w:tc>
          <w:tcPr>
            <w:tcW w:w="900" w:type="dxa"/>
            <w:tcBorders>
              <w:top w:val="nil"/>
              <w:left w:val="nil"/>
              <w:bottom w:val="single" w:sz="4" w:space="0" w:color="auto"/>
              <w:right w:val="nil"/>
            </w:tcBorders>
            <w:shd w:val="clear" w:color="auto" w:fill="auto"/>
            <w:noWrap/>
            <w:vAlign w:val="bottom"/>
            <w:hideMark/>
          </w:tcPr>
          <w:p w14:paraId="1B709CF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1.346</w:t>
            </w:r>
          </w:p>
        </w:tc>
        <w:tc>
          <w:tcPr>
            <w:tcW w:w="900" w:type="dxa"/>
            <w:tcBorders>
              <w:top w:val="nil"/>
              <w:left w:val="nil"/>
              <w:bottom w:val="single" w:sz="4" w:space="0" w:color="auto"/>
              <w:right w:val="nil"/>
            </w:tcBorders>
            <w:shd w:val="clear" w:color="auto" w:fill="auto"/>
            <w:noWrap/>
            <w:vAlign w:val="bottom"/>
            <w:hideMark/>
          </w:tcPr>
          <w:p w14:paraId="4A438DDF"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1.986</w:t>
            </w:r>
          </w:p>
        </w:tc>
        <w:tc>
          <w:tcPr>
            <w:tcW w:w="900" w:type="dxa"/>
            <w:tcBorders>
              <w:top w:val="nil"/>
              <w:left w:val="nil"/>
              <w:bottom w:val="single" w:sz="4" w:space="0" w:color="auto"/>
              <w:right w:val="nil"/>
            </w:tcBorders>
            <w:shd w:val="clear" w:color="auto" w:fill="auto"/>
            <w:noWrap/>
            <w:vAlign w:val="bottom"/>
            <w:hideMark/>
          </w:tcPr>
          <w:p w14:paraId="1CA6766F"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2.692</w:t>
            </w:r>
          </w:p>
        </w:tc>
      </w:tr>
      <w:tr w:rsidR="00882EA8" w:rsidRPr="00F15230" w14:paraId="0AE95F74" w14:textId="77777777" w:rsidTr="00DE0D49">
        <w:trPr>
          <w:trHeight w:val="315"/>
        </w:trPr>
        <w:tc>
          <w:tcPr>
            <w:tcW w:w="1806" w:type="dxa"/>
            <w:gridSpan w:val="2"/>
            <w:tcBorders>
              <w:top w:val="single" w:sz="4" w:space="0" w:color="auto"/>
              <w:left w:val="nil"/>
              <w:bottom w:val="single" w:sz="4" w:space="0" w:color="auto"/>
              <w:right w:val="single" w:sz="4" w:space="0" w:color="000000"/>
            </w:tcBorders>
            <w:shd w:val="clear" w:color="auto" w:fill="auto"/>
            <w:vAlign w:val="bottom"/>
            <w:hideMark/>
          </w:tcPr>
          <w:p w14:paraId="41E25BDD" w14:textId="77777777" w:rsidR="00882EA8" w:rsidRPr="00F15230" w:rsidRDefault="00882EA8" w:rsidP="00DE0D49">
            <w:pPr>
              <w:keepNext/>
              <w:tabs>
                <w:tab w:val="clear" w:pos="567"/>
              </w:tabs>
              <w:spacing w:after="0" w:line="240" w:lineRule="auto"/>
              <w:jc w:val="center"/>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Very remote</w:t>
            </w:r>
          </w:p>
        </w:tc>
        <w:tc>
          <w:tcPr>
            <w:tcW w:w="900" w:type="dxa"/>
            <w:tcBorders>
              <w:top w:val="nil"/>
              <w:left w:val="nil"/>
              <w:bottom w:val="single" w:sz="4" w:space="0" w:color="auto"/>
              <w:right w:val="nil"/>
            </w:tcBorders>
            <w:shd w:val="clear" w:color="auto" w:fill="auto"/>
            <w:noWrap/>
            <w:vAlign w:val="bottom"/>
            <w:hideMark/>
          </w:tcPr>
          <w:p w14:paraId="23EAFCC9"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N/A</w:t>
            </w:r>
          </w:p>
        </w:tc>
        <w:tc>
          <w:tcPr>
            <w:tcW w:w="900" w:type="dxa"/>
            <w:tcBorders>
              <w:top w:val="nil"/>
              <w:left w:val="nil"/>
              <w:bottom w:val="single" w:sz="4" w:space="0" w:color="auto"/>
              <w:right w:val="nil"/>
            </w:tcBorders>
            <w:shd w:val="clear" w:color="auto" w:fill="auto"/>
            <w:noWrap/>
            <w:vAlign w:val="bottom"/>
            <w:hideMark/>
          </w:tcPr>
          <w:p w14:paraId="08F07A2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0.338</w:t>
            </w:r>
          </w:p>
        </w:tc>
        <w:tc>
          <w:tcPr>
            <w:tcW w:w="900" w:type="dxa"/>
            <w:tcBorders>
              <w:top w:val="nil"/>
              <w:left w:val="nil"/>
              <w:bottom w:val="single" w:sz="4" w:space="0" w:color="auto"/>
              <w:right w:val="nil"/>
            </w:tcBorders>
            <w:shd w:val="clear" w:color="auto" w:fill="auto"/>
            <w:noWrap/>
            <w:vAlign w:val="bottom"/>
            <w:hideMark/>
          </w:tcPr>
          <w:p w14:paraId="0C8AB01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0.603</w:t>
            </w:r>
          </w:p>
        </w:tc>
        <w:tc>
          <w:tcPr>
            <w:tcW w:w="900" w:type="dxa"/>
            <w:tcBorders>
              <w:top w:val="nil"/>
              <w:left w:val="nil"/>
              <w:bottom w:val="single" w:sz="4" w:space="0" w:color="auto"/>
              <w:right w:val="nil"/>
            </w:tcBorders>
            <w:shd w:val="clear" w:color="auto" w:fill="auto"/>
            <w:noWrap/>
            <w:vAlign w:val="bottom"/>
            <w:hideMark/>
          </w:tcPr>
          <w:p w14:paraId="3F92233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0.998</w:t>
            </w:r>
          </w:p>
        </w:tc>
        <w:tc>
          <w:tcPr>
            <w:tcW w:w="900" w:type="dxa"/>
            <w:tcBorders>
              <w:top w:val="nil"/>
              <w:left w:val="nil"/>
              <w:bottom w:val="single" w:sz="4" w:space="0" w:color="auto"/>
              <w:right w:val="nil"/>
            </w:tcBorders>
            <w:shd w:val="clear" w:color="auto" w:fill="auto"/>
            <w:noWrap/>
            <w:vAlign w:val="bottom"/>
            <w:hideMark/>
          </w:tcPr>
          <w:p w14:paraId="645EE6E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1.519</w:t>
            </w:r>
          </w:p>
        </w:tc>
        <w:tc>
          <w:tcPr>
            <w:tcW w:w="900" w:type="dxa"/>
            <w:tcBorders>
              <w:top w:val="nil"/>
              <w:left w:val="nil"/>
              <w:bottom w:val="single" w:sz="4" w:space="0" w:color="auto"/>
              <w:right w:val="nil"/>
            </w:tcBorders>
            <w:shd w:val="clear" w:color="auto" w:fill="auto"/>
            <w:noWrap/>
            <w:vAlign w:val="bottom"/>
            <w:hideMark/>
          </w:tcPr>
          <w:p w14:paraId="27CCFC8B"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1.876</w:t>
            </w:r>
          </w:p>
        </w:tc>
        <w:tc>
          <w:tcPr>
            <w:tcW w:w="900" w:type="dxa"/>
            <w:tcBorders>
              <w:top w:val="nil"/>
              <w:left w:val="nil"/>
              <w:bottom w:val="single" w:sz="4" w:space="0" w:color="auto"/>
              <w:right w:val="nil"/>
            </w:tcBorders>
            <w:shd w:val="clear" w:color="auto" w:fill="auto"/>
            <w:noWrap/>
            <w:vAlign w:val="bottom"/>
            <w:hideMark/>
          </w:tcPr>
          <w:p w14:paraId="7E01250D"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3.67</w:t>
            </w:r>
          </w:p>
        </w:tc>
        <w:tc>
          <w:tcPr>
            <w:tcW w:w="900" w:type="dxa"/>
            <w:tcBorders>
              <w:top w:val="nil"/>
              <w:left w:val="nil"/>
              <w:bottom w:val="single" w:sz="4" w:space="0" w:color="auto"/>
              <w:right w:val="nil"/>
            </w:tcBorders>
            <w:shd w:val="clear" w:color="auto" w:fill="auto"/>
            <w:noWrap/>
            <w:vAlign w:val="bottom"/>
            <w:hideMark/>
          </w:tcPr>
          <w:p w14:paraId="0CF76BA5"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N/A</w:t>
            </w:r>
          </w:p>
        </w:tc>
      </w:tr>
      <w:tr w:rsidR="00882EA8" w:rsidRPr="00F15230" w14:paraId="291E9C1E" w14:textId="77777777" w:rsidTr="00DE0D49">
        <w:trPr>
          <w:trHeight w:val="315"/>
        </w:trPr>
        <w:tc>
          <w:tcPr>
            <w:tcW w:w="9006" w:type="dxa"/>
            <w:gridSpan w:val="10"/>
            <w:tcBorders>
              <w:top w:val="single" w:sz="4" w:space="0" w:color="auto"/>
              <w:left w:val="nil"/>
              <w:bottom w:val="nil"/>
              <w:right w:val="nil"/>
            </w:tcBorders>
            <w:shd w:val="clear" w:color="auto" w:fill="auto"/>
            <w:vAlign w:val="bottom"/>
            <w:hideMark/>
          </w:tcPr>
          <w:p w14:paraId="35FF95B2" w14:textId="77777777" w:rsidR="00882EA8" w:rsidRPr="00F15230" w:rsidRDefault="00882EA8" w:rsidP="00DE0D49">
            <w:pPr>
              <w:keepNext/>
              <w:tabs>
                <w:tab w:val="clear" w:pos="567"/>
              </w:tabs>
              <w:spacing w:after="0" w:line="240" w:lineRule="auto"/>
              <w:jc w:val="center"/>
              <w:rPr>
                <w:rFonts w:ascii="Calibri" w:eastAsia="Times New Roman" w:hAnsi="Calibri" w:cs="Times New Roman"/>
                <w:b/>
                <w:bCs/>
                <w:color w:val="000000"/>
                <w:sz w:val="20"/>
                <w:szCs w:val="20"/>
              </w:rPr>
            </w:pPr>
            <w:r w:rsidRPr="00F15230">
              <w:rPr>
                <w:rFonts w:ascii="Calibri" w:eastAsia="Times New Roman" w:hAnsi="Calibri" w:cs="Times New Roman"/>
                <w:b/>
                <w:bCs/>
                <w:color w:val="000000"/>
                <w:sz w:val="20"/>
                <w:szCs w:val="20"/>
              </w:rPr>
              <w:t>Panel B $/NWAU (b)</w:t>
            </w:r>
          </w:p>
        </w:tc>
      </w:tr>
      <w:tr w:rsidR="00882EA8" w:rsidRPr="00F15230" w14:paraId="070343C6" w14:textId="77777777" w:rsidTr="00DE0D49">
        <w:trPr>
          <w:trHeight w:val="375"/>
        </w:trPr>
        <w:tc>
          <w:tcPr>
            <w:tcW w:w="1197" w:type="dxa"/>
            <w:tcBorders>
              <w:top w:val="single" w:sz="4" w:space="0" w:color="auto"/>
              <w:left w:val="nil"/>
              <w:bottom w:val="single" w:sz="4" w:space="0" w:color="auto"/>
              <w:right w:val="nil"/>
            </w:tcBorders>
            <w:shd w:val="clear" w:color="auto" w:fill="auto"/>
            <w:vAlign w:val="center"/>
            <w:hideMark/>
          </w:tcPr>
          <w:p w14:paraId="1657E532"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roofErr w:type="spellStart"/>
            <w:r w:rsidRPr="00F15230">
              <w:rPr>
                <w:rFonts w:ascii="Calibri" w:eastAsia="Times New Roman" w:hAnsi="Calibri" w:cs="Times New Roman"/>
                <w:color w:val="000000"/>
                <w:sz w:val="20"/>
                <w:szCs w:val="20"/>
              </w:rPr>
              <w:t>ASGS</w:t>
            </w:r>
            <w:proofErr w:type="spellEnd"/>
            <w:r w:rsidRPr="00F15230">
              <w:rPr>
                <w:rFonts w:ascii="Calibri" w:eastAsia="Times New Roman" w:hAnsi="Calibri" w:cs="Times New Roman"/>
                <w:color w:val="000000"/>
                <w:sz w:val="20"/>
                <w:szCs w:val="20"/>
              </w:rPr>
              <w:t xml:space="preserve"> region</w:t>
            </w:r>
          </w:p>
        </w:tc>
        <w:tc>
          <w:tcPr>
            <w:tcW w:w="609" w:type="dxa"/>
            <w:tcBorders>
              <w:top w:val="single" w:sz="4" w:space="0" w:color="auto"/>
              <w:left w:val="nil"/>
              <w:bottom w:val="single" w:sz="4" w:space="0" w:color="auto"/>
              <w:right w:val="nil"/>
            </w:tcBorders>
            <w:shd w:val="clear" w:color="auto" w:fill="auto"/>
            <w:noWrap/>
            <w:vAlign w:val="center"/>
            <w:hideMark/>
          </w:tcPr>
          <w:p w14:paraId="45006EC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Type</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3CA6AA4D"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Group 0 </w:t>
            </w:r>
          </w:p>
        </w:tc>
        <w:tc>
          <w:tcPr>
            <w:tcW w:w="900" w:type="dxa"/>
            <w:tcBorders>
              <w:top w:val="single" w:sz="4" w:space="0" w:color="auto"/>
              <w:left w:val="nil"/>
              <w:bottom w:val="single" w:sz="4" w:space="0" w:color="auto"/>
              <w:right w:val="nil"/>
            </w:tcBorders>
            <w:shd w:val="clear" w:color="auto" w:fill="auto"/>
            <w:vAlign w:val="center"/>
            <w:hideMark/>
          </w:tcPr>
          <w:p w14:paraId="60E015ED"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A</w:t>
            </w:r>
          </w:p>
        </w:tc>
        <w:tc>
          <w:tcPr>
            <w:tcW w:w="900" w:type="dxa"/>
            <w:tcBorders>
              <w:top w:val="single" w:sz="4" w:space="0" w:color="auto"/>
              <w:left w:val="nil"/>
              <w:bottom w:val="single" w:sz="4" w:space="0" w:color="auto"/>
              <w:right w:val="nil"/>
            </w:tcBorders>
            <w:shd w:val="clear" w:color="auto" w:fill="auto"/>
            <w:vAlign w:val="center"/>
            <w:hideMark/>
          </w:tcPr>
          <w:p w14:paraId="0FB609A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B</w:t>
            </w:r>
          </w:p>
        </w:tc>
        <w:tc>
          <w:tcPr>
            <w:tcW w:w="900" w:type="dxa"/>
            <w:tcBorders>
              <w:top w:val="single" w:sz="4" w:space="0" w:color="auto"/>
              <w:left w:val="nil"/>
              <w:bottom w:val="single" w:sz="4" w:space="0" w:color="auto"/>
              <w:right w:val="nil"/>
            </w:tcBorders>
            <w:shd w:val="clear" w:color="auto" w:fill="auto"/>
            <w:vAlign w:val="center"/>
            <w:hideMark/>
          </w:tcPr>
          <w:p w14:paraId="559D1C5D"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C</w:t>
            </w:r>
          </w:p>
        </w:tc>
        <w:tc>
          <w:tcPr>
            <w:tcW w:w="900" w:type="dxa"/>
            <w:tcBorders>
              <w:top w:val="single" w:sz="4" w:space="0" w:color="auto"/>
              <w:left w:val="nil"/>
              <w:bottom w:val="single" w:sz="4" w:space="0" w:color="auto"/>
              <w:right w:val="nil"/>
            </w:tcBorders>
            <w:shd w:val="clear" w:color="auto" w:fill="auto"/>
            <w:vAlign w:val="center"/>
            <w:hideMark/>
          </w:tcPr>
          <w:p w14:paraId="07560DA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D</w:t>
            </w:r>
          </w:p>
        </w:tc>
        <w:tc>
          <w:tcPr>
            <w:tcW w:w="900" w:type="dxa"/>
            <w:tcBorders>
              <w:top w:val="single" w:sz="4" w:space="0" w:color="auto"/>
              <w:left w:val="nil"/>
              <w:bottom w:val="single" w:sz="4" w:space="0" w:color="auto"/>
              <w:right w:val="nil"/>
            </w:tcBorders>
            <w:shd w:val="clear" w:color="auto" w:fill="auto"/>
            <w:vAlign w:val="center"/>
            <w:hideMark/>
          </w:tcPr>
          <w:p w14:paraId="0B578349"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E</w:t>
            </w:r>
          </w:p>
        </w:tc>
        <w:tc>
          <w:tcPr>
            <w:tcW w:w="900" w:type="dxa"/>
            <w:tcBorders>
              <w:top w:val="single" w:sz="4" w:space="0" w:color="auto"/>
              <w:left w:val="nil"/>
              <w:bottom w:val="single" w:sz="4" w:space="0" w:color="auto"/>
              <w:right w:val="nil"/>
            </w:tcBorders>
            <w:shd w:val="clear" w:color="auto" w:fill="auto"/>
            <w:vAlign w:val="center"/>
            <w:hideMark/>
          </w:tcPr>
          <w:p w14:paraId="37544E6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F</w:t>
            </w:r>
          </w:p>
        </w:tc>
        <w:tc>
          <w:tcPr>
            <w:tcW w:w="900" w:type="dxa"/>
            <w:tcBorders>
              <w:top w:val="single" w:sz="4" w:space="0" w:color="auto"/>
              <w:left w:val="nil"/>
              <w:bottom w:val="single" w:sz="4" w:space="0" w:color="auto"/>
              <w:right w:val="nil"/>
            </w:tcBorders>
            <w:shd w:val="clear" w:color="auto" w:fill="auto"/>
            <w:vAlign w:val="center"/>
            <w:hideMark/>
          </w:tcPr>
          <w:p w14:paraId="385098D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G</w:t>
            </w:r>
          </w:p>
        </w:tc>
      </w:tr>
      <w:tr w:rsidR="00882EA8" w:rsidRPr="00F15230" w14:paraId="6A74CCAD" w14:textId="77777777" w:rsidTr="00DE0D49">
        <w:trPr>
          <w:trHeight w:val="315"/>
        </w:trPr>
        <w:tc>
          <w:tcPr>
            <w:tcW w:w="1806" w:type="dxa"/>
            <w:gridSpan w:val="2"/>
            <w:tcBorders>
              <w:top w:val="single" w:sz="4" w:space="0" w:color="auto"/>
              <w:left w:val="nil"/>
              <w:bottom w:val="nil"/>
              <w:right w:val="single" w:sz="4" w:space="0" w:color="000000"/>
            </w:tcBorders>
            <w:shd w:val="clear" w:color="auto" w:fill="auto"/>
            <w:vAlign w:val="bottom"/>
            <w:hideMark/>
          </w:tcPr>
          <w:p w14:paraId="234BBF19" w14:textId="77777777" w:rsidR="00882EA8" w:rsidRPr="00F15230" w:rsidRDefault="00882EA8" w:rsidP="00DE0D49">
            <w:pPr>
              <w:keepNext/>
              <w:tabs>
                <w:tab w:val="clear" w:pos="567"/>
              </w:tabs>
              <w:spacing w:after="0" w:line="240" w:lineRule="auto"/>
              <w:jc w:val="center"/>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Average NWAU</w:t>
            </w:r>
          </w:p>
        </w:tc>
        <w:tc>
          <w:tcPr>
            <w:tcW w:w="900" w:type="dxa"/>
            <w:tcBorders>
              <w:top w:val="nil"/>
              <w:left w:val="nil"/>
              <w:bottom w:val="nil"/>
              <w:right w:val="nil"/>
            </w:tcBorders>
            <w:shd w:val="clear" w:color="auto" w:fill="auto"/>
            <w:vAlign w:val="bottom"/>
            <w:hideMark/>
          </w:tcPr>
          <w:p w14:paraId="2BEEF674"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&lt;$0.5m</w:t>
            </w:r>
          </w:p>
        </w:tc>
        <w:tc>
          <w:tcPr>
            <w:tcW w:w="900" w:type="dxa"/>
            <w:tcBorders>
              <w:top w:val="nil"/>
              <w:left w:val="nil"/>
              <w:bottom w:val="nil"/>
              <w:right w:val="nil"/>
            </w:tcBorders>
            <w:shd w:val="clear" w:color="auto" w:fill="auto"/>
            <w:vAlign w:val="bottom"/>
            <w:hideMark/>
          </w:tcPr>
          <w:p w14:paraId="097187D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130</w:t>
            </w:r>
          </w:p>
        </w:tc>
        <w:tc>
          <w:tcPr>
            <w:tcW w:w="900" w:type="dxa"/>
            <w:tcBorders>
              <w:top w:val="nil"/>
              <w:left w:val="nil"/>
              <w:bottom w:val="nil"/>
              <w:right w:val="nil"/>
            </w:tcBorders>
            <w:shd w:val="clear" w:color="auto" w:fill="auto"/>
            <w:vAlign w:val="bottom"/>
            <w:hideMark/>
          </w:tcPr>
          <w:p w14:paraId="6375632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360</w:t>
            </w:r>
          </w:p>
        </w:tc>
        <w:tc>
          <w:tcPr>
            <w:tcW w:w="900" w:type="dxa"/>
            <w:tcBorders>
              <w:top w:val="nil"/>
              <w:left w:val="nil"/>
              <w:bottom w:val="nil"/>
              <w:right w:val="nil"/>
            </w:tcBorders>
            <w:shd w:val="clear" w:color="auto" w:fill="auto"/>
            <w:vAlign w:val="bottom"/>
            <w:hideMark/>
          </w:tcPr>
          <w:p w14:paraId="2969A869"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560</w:t>
            </w:r>
          </w:p>
        </w:tc>
        <w:tc>
          <w:tcPr>
            <w:tcW w:w="900" w:type="dxa"/>
            <w:tcBorders>
              <w:top w:val="nil"/>
              <w:left w:val="nil"/>
              <w:bottom w:val="nil"/>
              <w:right w:val="nil"/>
            </w:tcBorders>
            <w:shd w:val="clear" w:color="auto" w:fill="auto"/>
            <w:vAlign w:val="bottom"/>
            <w:hideMark/>
          </w:tcPr>
          <w:p w14:paraId="556E846F"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855</w:t>
            </w:r>
          </w:p>
        </w:tc>
        <w:tc>
          <w:tcPr>
            <w:tcW w:w="900" w:type="dxa"/>
            <w:tcBorders>
              <w:top w:val="nil"/>
              <w:left w:val="nil"/>
              <w:bottom w:val="nil"/>
              <w:right w:val="nil"/>
            </w:tcBorders>
            <w:shd w:val="clear" w:color="auto" w:fill="auto"/>
            <w:vAlign w:val="bottom"/>
            <w:hideMark/>
          </w:tcPr>
          <w:p w14:paraId="0BDB6A5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1 375</w:t>
            </w:r>
          </w:p>
        </w:tc>
        <w:tc>
          <w:tcPr>
            <w:tcW w:w="900" w:type="dxa"/>
            <w:tcBorders>
              <w:top w:val="nil"/>
              <w:left w:val="nil"/>
              <w:bottom w:val="nil"/>
              <w:right w:val="nil"/>
            </w:tcBorders>
            <w:shd w:val="clear" w:color="auto" w:fill="auto"/>
            <w:vAlign w:val="bottom"/>
            <w:hideMark/>
          </w:tcPr>
          <w:p w14:paraId="7B8A9704"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2 100</w:t>
            </w:r>
          </w:p>
        </w:tc>
        <w:tc>
          <w:tcPr>
            <w:tcW w:w="900" w:type="dxa"/>
            <w:tcBorders>
              <w:top w:val="nil"/>
              <w:left w:val="nil"/>
              <w:bottom w:val="nil"/>
              <w:right w:val="nil"/>
            </w:tcBorders>
            <w:shd w:val="clear" w:color="auto" w:fill="auto"/>
            <w:vAlign w:val="bottom"/>
            <w:hideMark/>
          </w:tcPr>
          <w:p w14:paraId="0ED05C6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3 000</w:t>
            </w:r>
          </w:p>
        </w:tc>
      </w:tr>
      <w:tr w:rsidR="00882EA8" w:rsidRPr="00F15230" w14:paraId="0F208A8C" w14:textId="77777777" w:rsidTr="00DE0D49">
        <w:trPr>
          <w:trHeight w:val="315"/>
        </w:trPr>
        <w:tc>
          <w:tcPr>
            <w:tcW w:w="1197" w:type="dxa"/>
            <w:vMerge w:val="restart"/>
            <w:tcBorders>
              <w:top w:val="nil"/>
              <w:left w:val="nil"/>
              <w:bottom w:val="single" w:sz="4" w:space="0" w:color="000000"/>
              <w:right w:val="nil"/>
            </w:tcBorders>
            <w:shd w:val="clear" w:color="auto" w:fill="auto"/>
            <w:vAlign w:val="center"/>
            <w:hideMark/>
          </w:tcPr>
          <w:p w14:paraId="1DDD0814" w14:textId="77777777" w:rsidR="00882EA8" w:rsidRPr="00F15230" w:rsidRDefault="00882EA8" w:rsidP="00DE0D49">
            <w:pPr>
              <w:keepNext/>
              <w:tabs>
                <w:tab w:val="clear" w:pos="567"/>
              </w:tabs>
              <w:spacing w:after="0" w:line="240" w:lineRule="auto"/>
              <w:jc w:val="center"/>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Inner/Outer regional and remote</w:t>
            </w:r>
          </w:p>
        </w:tc>
        <w:tc>
          <w:tcPr>
            <w:tcW w:w="609" w:type="dxa"/>
            <w:tcBorders>
              <w:top w:val="nil"/>
              <w:left w:val="nil"/>
              <w:bottom w:val="nil"/>
              <w:right w:val="nil"/>
            </w:tcBorders>
            <w:shd w:val="clear" w:color="auto" w:fill="auto"/>
            <w:noWrap/>
            <w:vAlign w:val="bottom"/>
            <w:hideMark/>
          </w:tcPr>
          <w:p w14:paraId="438BAB1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A</w:t>
            </w:r>
          </w:p>
        </w:tc>
        <w:tc>
          <w:tcPr>
            <w:tcW w:w="900" w:type="dxa"/>
            <w:tcBorders>
              <w:top w:val="nil"/>
              <w:left w:val="single" w:sz="4" w:space="0" w:color="auto"/>
              <w:bottom w:val="nil"/>
              <w:right w:val="nil"/>
            </w:tcBorders>
            <w:shd w:val="clear" w:color="auto" w:fill="auto"/>
            <w:noWrap/>
            <w:vAlign w:val="bottom"/>
            <w:hideMark/>
          </w:tcPr>
          <w:p w14:paraId="602EE08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w:t>
            </w:r>
          </w:p>
        </w:tc>
        <w:tc>
          <w:tcPr>
            <w:tcW w:w="900" w:type="dxa"/>
            <w:tcBorders>
              <w:top w:val="nil"/>
              <w:left w:val="nil"/>
              <w:bottom w:val="nil"/>
              <w:right w:val="nil"/>
            </w:tcBorders>
            <w:shd w:val="clear" w:color="auto" w:fill="auto"/>
            <w:noWrap/>
            <w:vAlign w:val="bottom"/>
            <w:hideMark/>
          </w:tcPr>
          <w:p w14:paraId="01677E39"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w:t>
            </w:r>
          </w:p>
        </w:tc>
        <w:tc>
          <w:tcPr>
            <w:tcW w:w="900" w:type="dxa"/>
            <w:tcBorders>
              <w:top w:val="nil"/>
              <w:left w:val="nil"/>
              <w:bottom w:val="nil"/>
              <w:right w:val="nil"/>
            </w:tcBorders>
            <w:shd w:val="clear" w:color="auto" w:fill="auto"/>
            <w:noWrap/>
            <w:vAlign w:val="bottom"/>
            <w:hideMark/>
          </w:tcPr>
          <w:p w14:paraId="7A61FD8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11 391</w:t>
            </w:r>
          </w:p>
        </w:tc>
        <w:tc>
          <w:tcPr>
            <w:tcW w:w="900" w:type="dxa"/>
            <w:tcBorders>
              <w:top w:val="nil"/>
              <w:left w:val="nil"/>
              <w:bottom w:val="nil"/>
              <w:right w:val="nil"/>
            </w:tcBorders>
            <w:shd w:val="clear" w:color="auto" w:fill="auto"/>
            <w:noWrap/>
            <w:vAlign w:val="bottom"/>
            <w:hideMark/>
          </w:tcPr>
          <w:p w14:paraId="1C477C4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9 862</w:t>
            </w:r>
          </w:p>
        </w:tc>
        <w:tc>
          <w:tcPr>
            <w:tcW w:w="900" w:type="dxa"/>
            <w:tcBorders>
              <w:top w:val="nil"/>
              <w:left w:val="nil"/>
              <w:bottom w:val="nil"/>
              <w:right w:val="nil"/>
            </w:tcBorders>
            <w:shd w:val="clear" w:color="auto" w:fill="auto"/>
            <w:noWrap/>
            <w:vAlign w:val="bottom"/>
            <w:hideMark/>
          </w:tcPr>
          <w:p w14:paraId="7D76C3F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7 463</w:t>
            </w:r>
          </w:p>
        </w:tc>
        <w:tc>
          <w:tcPr>
            <w:tcW w:w="900" w:type="dxa"/>
            <w:tcBorders>
              <w:top w:val="nil"/>
              <w:left w:val="nil"/>
              <w:bottom w:val="nil"/>
              <w:right w:val="nil"/>
            </w:tcBorders>
            <w:shd w:val="clear" w:color="auto" w:fill="auto"/>
            <w:noWrap/>
            <w:vAlign w:val="bottom"/>
            <w:hideMark/>
          </w:tcPr>
          <w:p w14:paraId="5048F2AF"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6 389</w:t>
            </w:r>
          </w:p>
        </w:tc>
        <w:tc>
          <w:tcPr>
            <w:tcW w:w="900" w:type="dxa"/>
            <w:tcBorders>
              <w:top w:val="nil"/>
              <w:left w:val="nil"/>
              <w:bottom w:val="nil"/>
              <w:right w:val="nil"/>
            </w:tcBorders>
            <w:shd w:val="clear" w:color="auto" w:fill="auto"/>
            <w:noWrap/>
            <w:vAlign w:val="bottom"/>
            <w:hideMark/>
          </w:tcPr>
          <w:p w14:paraId="19930B8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6 171</w:t>
            </w:r>
          </w:p>
        </w:tc>
        <w:tc>
          <w:tcPr>
            <w:tcW w:w="900" w:type="dxa"/>
            <w:tcBorders>
              <w:top w:val="nil"/>
              <w:left w:val="nil"/>
              <w:bottom w:val="nil"/>
              <w:right w:val="nil"/>
            </w:tcBorders>
            <w:shd w:val="clear" w:color="auto" w:fill="auto"/>
            <w:noWrap/>
            <w:vAlign w:val="bottom"/>
            <w:hideMark/>
          </w:tcPr>
          <w:p w14:paraId="392D04D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5 857</w:t>
            </w:r>
          </w:p>
        </w:tc>
      </w:tr>
      <w:tr w:rsidR="00882EA8" w:rsidRPr="00F15230" w14:paraId="5E703095" w14:textId="77777777" w:rsidTr="00DE0D49">
        <w:trPr>
          <w:trHeight w:val="315"/>
        </w:trPr>
        <w:tc>
          <w:tcPr>
            <w:tcW w:w="1197" w:type="dxa"/>
            <w:vMerge/>
            <w:tcBorders>
              <w:top w:val="nil"/>
              <w:left w:val="nil"/>
              <w:bottom w:val="single" w:sz="4" w:space="0" w:color="000000"/>
              <w:right w:val="nil"/>
            </w:tcBorders>
            <w:vAlign w:val="center"/>
            <w:hideMark/>
          </w:tcPr>
          <w:p w14:paraId="6E6FE4CA"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
        </w:tc>
        <w:tc>
          <w:tcPr>
            <w:tcW w:w="609" w:type="dxa"/>
            <w:tcBorders>
              <w:top w:val="nil"/>
              <w:left w:val="nil"/>
              <w:bottom w:val="nil"/>
              <w:right w:val="nil"/>
            </w:tcBorders>
            <w:shd w:val="clear" w:color="auto" w:fill="auto"/>
            <w:noWrap/>
            <w:vAlign w:val="bottom"/>
            <w:hideMark/>
          </w:tcPr>
          <w:p w14:paraId="55A9019B"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B</w:t>
            </w:r>
          </w:p>
        </w:tc>
        <w:tc>
          <w:tcPr>
            <w:tcW w:w="900" w:type="dxa"/>
            <w:tcBorders>
              <w:top w:val="nil"/>
              <w:left w:val="single" w:sz="4" w:space="0" w:color="auto"/>
              <w:bottom w:val="nil"/>
              <w:right w:val="nil"/>
            </w:tcBorders>
            <w:shd w:val="clear" w:color="auto" w:fill="auto"/>
            <w:noWrap/>
            <w:vAlign w:val="bottom"/>
            <w:hideMark/>
          </w:tcPr>
          <w:p w14:paraId="4FAF8A9F"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w:t>
            </w:r>
          </w:p>
        </w:tc>
        <w:tc>
          <w:tcPr>
            <w:tcW w:w="900" w:type="dxa"/>
            <w:tcBorders>
              <w:top w:val="nil"/>
              <w:left w:val="nil"/>
              <w:bottom w:val="nil"/>
              <w:right w:val="nil"/>
            </w:tcBorders>
            <w:shd w:val="clear" w:color="auto" w:fill="auto"/>
            <w:noWrap/>
            <w:vAlign w:val="bottom"/>
            <w:hideMark/>
          </w:tcPr>
          <w:p w14:paraId="1C65E48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w:t>
            </w:r>
          </w:p>
        </w:tc>
        <w:tc>
          <w:tcPr>
            <w:tcW w:w="900" w:type="dxa"/>
            <w:tcBorders>
              <w:top w:val="nil"/>
              <w:left w:val="nil"/>
              <w:bottom w:val="nil"/>
              <w:right w:val="nil"/>
            </w:tcBorders>
            <w:shd w:val="clear" w:color="auto" w:fill="auto"/>
            <w:noWrap/>
            <w:vAlign w:val="bottom"/>
            <w:hideMark/>
          </w:tcPr>
          <w:p w14:paraId="0BFC148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9 250</w:t>
            </w:r>
          </w:p>
        </w:tc>
        <w:tc>
          <w:tcPr>
            <w:tcW w:w="900" w:type="dxa"/>
            <w:tcBorders>
              <w:top w:val="nil"/>
              <w:left w:val="nil"/>
              <w:bottom w:val="nil"/>
              <w:right w:val="nil"/>
            </w:tcBorders>
            <w:shd w:val="clear" w:color="auto" w:fill="auto"/>
            <w:noWrap/>
            <w:vAlign w:val="bottom"/>
            <w:hideMark/>
          </w:tcPr>
          <w:p w14:paraId="60ACA64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7 997</w:t>
            </w:r>
          </w:p>
        </w:tc>
        <w:tc>
          <w:tcPr>
            <w:tcW w:w="900" w:type="dxa"/>
            <w:tcBorders>
              <w:top w:val="nil"/>
              <w:left w:val="nil"/>
              <w:bottom w:val="nil"/>
              <w:right w:val="nil"/>
            </w:tcBorders>
            <w:shd w:val="clear" w:color="auto" w:fill="auto"/>
            <w:noWrap/>
            <w:vAlign w:val="bottom"/>
            <w:hideMark/>
          </w:tcPr>
          <w:p w14:paraId="5A74022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6 054</w:t>
            </w:r>
          </w:p>
        </w:tc>
        <w:tc>
          <w:tcPr>
            <w:tcW w:w="900" w:type="dxa"/>
            <w:tcBorders>
              <w:top w:val="nil"/>
              <w:left w:val="nil"/>
              <w:bottom w:val="nil"/>
              <w:right w:val="nil"/>
            </w:tcBorders>
            <w:shd w:val="clear" w:color="auto" w:fill="auto"/>
            <w:noWrap/>
            <w:vAlign w:val="bottom"/>
            <w:hideMark/>
          </w:tcPr>
          <w:p w14:paraId="2F84796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5 182</w:t>
            </w:r>
          </w:p>
        </w:tc>
        <w:tc>
          <w:tcPr>
            <w:tcW w:w="900" w:type="dxa"/>
            <w:tcBorders>
              <w:top w:val="nil"/>
              <w:left w:val="nil"/>
              <w:bottom w:val="nil"/>
              <w:right w:val="nil"/>
            </w:tcBorders>
            <w:shd w:val="clear" w:color="auto" w:fill="auto"/>
            <w:noWrap/>
            <w:vAlign w:val="bottom"/>
            <w:hideMark/>
          </w:tcPr>
          <w:p w14:paraId="0831297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5 006</w:t>
            </w:r>
          </w:p>
        </w:tc>
        <w:tc>
          <w:tcPr>
            <w:tcW w:w="900" w:type="dxa"/>
            <w:tcBorders>
              <w:top w:val="nil"/>
              <w:left w:val="nil"/>
              <w:bottom w:val="nil"/>
              <w:right w:val="nil"/>
            </w:tcBorders>
            <w:shd w:val="clear" w:color="auto" w:fill="auto"/>
            <w:noWrap/>
            <w:vAlign w:val="bottom"/>
            <w:hideMark/>
          </w:tcPr>
          <w:p w14:paraId="6110D96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4 752</w:t>
            </w:r>
          </w:p>
        </w:tc>
      </w:tr>
      <w:tr w:rsidR="00882EA8" w:rsidRPr="00F15230" w14:paraId="25B66684" w14:textId="77777777" w:rsidTr="00DE0D49">
        <w:trPr>
          <w:trHeight w:val="315"/>
        </w:trPr>
        <w:tc>
          <w:tcPr>
            <w:tcW w:w="1197" w:type="dxa"/>
            <w:vMerge/>
            <w:tcBorders>
              <w:top w:val="nil"/>
              <w:left w:val="nil"/>
              <w:bottom w:val="single" w:sz="4" w:space="0" w:color="000000"/>
              <w:right w:val="nil"/>
            </w:tcBorders>
            <w:vAlign w:val="center"/>
            <w:hideMark/>
          </w:tcPr>
          <w:p w14:paraId="1104B5E0"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
        </w:tc>
        <w:tc>
          <w:tcPr>
            <w:tcW w:w="609" w:type="dxa"/>
            <w:tcBorders>
              <w:top w:val="nil"/>
              <w:left w:val="nil"/>
              <w:bottom w:val="single" w:sz="4" w:space="0" w:color="auto"/>
              <w:right w:val="nil"/>
            </w:tcBorders>
            <w:shd w:val="clear" w:color="auto" w:fill="auto"/>
            <w:noWrap/>
            <w:vAlign w:val="bottom"/>
            <w:hideMark/>
          </w:tcPr>
          <w:p w14:paraId="7CC1FB8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C</w:t>
            </w:r>
          </w:p>
        </w:tc>
        <w:tc>
          <w:tcPr>
            <w:tcW w:w="900" w:type="dxa"/>
            <w:tcBorders>
              <w:top w:val="nil"/>
              <w:left w:val="single" w:sz="4" w:space="0" w:color="auto"/>
              <w:bottom w:val="single" w:sz="4" w:space="0" w:color="auto"/>
              <w:right w:val="nil"/>
            </w:tcBorders>
            <w:shd w:val="clear" w:color="auto" w:fill="auto"/>
            <w:noWrap/>
            <w:vAlign w:val="bottom"/>
            <w:hideMark/>
          </w:tcPr>
          <w:p w14:paraId="38DA9FB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w:t>
            </w:r>
          </w:p>
        </w:tc>
        <w:tc>
          <w:tcPr>
            <w:tcW w:w="900" w:type="dxa"/>
            <w:tcBorders>
              <w:top w:val="nil"/>
              <w:left w:val="nil"/>
              <w:bottom w:val="single" w:sz="4" w:space="0" w:color="auto"/>
              <w:right w:val="nil"/>
            </w:tcBorders>
            <w:shd w:val="clear" w:color="auto" w:fill="auto"/>
            <w:noWrap/>
            <w:vAlign w:val="bottom"/>
            <w:hideMark/>
          </w:tcPr>
          <w:p w14:paraId="362E022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15 115</w:t>
            </w:r>
          </w:p>
        </w:tc>
        <w:tc>
          <w:tcPr>
            <w:tcW w:w="900" w:type="dxa"/>
            <w:tcBorders>
              <w:top w:val="nil"/>
              <w:left w:val="nil"/>
              <w:bottom w:val="single" w:sz="4" w:space="0" w:color="auto"/>
              <w:right w:val="nil"/>
            </w:tcBorders>
            <w:shd w:val="clear" w:color="auto" w:fill="auto"/>
            <w:noWrap/>
            <w:vAlign w:val="bottom"/>
            <w:hideMark/>
          </w:tcPr>
          <w:p w14:paraId="1E146CE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9 035</w:t>
            </w:r>
          </w:p>
        </w:tc>
        <w:tc>
          <w:tcPr>
            <w:tcW w:w="900" w:type="dxa"/>
            <w:tcBorders>
              <w:top w:val="nil"/>
              <w:left w:val="nil"/>
              <w:bottom w:val="single" w:sz="4" w:space="0" w:color="auto"/>
              <w:right w:val="nil"/>
            </w:tcBorders>
            <w:shd w:val="clear" w:color="auto" w:fill="auto"/>
            <w:noWrap/>
            <w:vAlign w:val="bottom"/>
            <w:hideMark/>
          </w:tcPr>
          <w:p w14:paraId="10A1B2C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7 812</w:t>
            </w:r>
          </w:p>
        </w:tc>
        <w:tc>
          <w:tcPr>
            <w:tcW w:w="900" w:type="dxa"/>
            <w:tcBorders>
              <w:top w:val="nil"/>
              <w:left w:val="nil"/>
              <w:bottom w:val="single" w:sz="4" w:space="0" w:color="auto"/>
              <w:right w:val="nil"/>
            </w:tcBorders>
            <w:shd w:val="clear" w:color="auto" w:fill="auto"/>
            <w:noWrap/>
            <w:vAlign w:val="bottom"/>
            <w:hideMark/>
          </w:tcPr>
          <w:p w14:paraId="265366BD"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5 915</w:t>
            </w:r>
          </w:p>
        </w:tc>
        <w:tc>
          <w:tcPr>
            <w:tcW w:w="900" w:type="dxa"/>
            <w:tcBorders>
              <w:top w:val="nil"/>
              <w:left w:val="nil"/>
              <w:bottom w:val="single" w:sz="4" w:space="0" w:color="auto"/>
              <w:right w:val="nil"/>
            </w:tcBorders>
            <w:shd w:val="clear" w:color="auto" w:fill="auto"/>
            <w:noWrap/>
            <w:vAlign w:val="bottom"/>
            <w:hideMark/>
          </w:tcPr>
          <w:p w14:paraId="6899253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5 062</w:t>
            </w:r>
          </w:p>
        </w:tc>
        <w:tc>
          <w:tcPr>
            <w:tcW w:w="900" w:type="dxa"/>
            <w:tcBorders>
              <w:top w:val="nil"/>
              <w:left w:val="nil"/>
              <w:bottom w:val="single" w:sz="4" w:space="0" w:color="auto"/>
              <w:right w:val="nil"/>
            </w:tcBorders>
            <w:shd w:val="clear" w:color="auto" w:fill="auto"/>
            <w:noWrap/>
            <w:vAlign w:val="bottom"/>
            <w:hideMark/>
          </w:tcPr>
          <w:p w14:paraId="5635B6E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4 890</w:t>
            </w:r>
          </w:p>
        </w:tc>
        <w:tc>
          <w:tcPr>
            <w:tcW w:w="900" w:type="dxa"/>
            <w:tcBorders>
              <w:top w:val="nil"/>
              <w:left w:val="nil"/>
              <w:bottom w:val="single" w:sz="4" w:space="0" w:color="auto"/>
              <w:right w:val="nil"/>
            </w:tcBorders>
            <w:shd w:val="clear" w:color="auto" w:fill="auto"/>
            <w:noWrap/>
            <w:vAlign w:val="bottom"/>
            <w:hideMark/>
          </w:tcPr>
          <w:p w14:paraId="65B6826C"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4 640</w:t>
            </w:r>
          </w:p>
        </w:tc>
      </w:tr>
      <w:tr w:rsidR="00882EA8" w:rsidRPr="00F15230" w14:paraId="2C374A89" w14:textId="77777777" w:rsidTr="00DE0D49">
        <w:trPr>
          <w:trHeight w:val="315"/>
        </w:trPr>
        <w:tc>
          <w:tcPr>
            <w:tcW w:w="1806" w:type="dxa"/>
            <w:gridSpan w:val="2"/>
            <w:tcBorders>
              <w:top w:val="single" w:sz="4" w:space="0" w:color="auto"/>
              <w:left w:val="nil"/>
              <w:bottom w:val="single" w:sz="4" w:space="0" w:color="auto"/>
              <w:right w:val="single" w:sz="4" w:space="0" w:color="000000"/>
            </w:tcBorders>
            <w:shd w:val="clear" w:color="auto" w:fill="auto"/>
            <w:vAlign w:val="bottom"/>
            <w:hideMark/>
          </w:tcPr>
          <w:p w14:paraId="6187A467" w14:textId="77777777" w:rsidR="00882EA8" w:rsidRPr="00F15230" w:rsidRDefault="00882EA8" w:rsidP="00DE0D49">
            <w:pPr>
              <w:keepNext/>
              <w:tabs>
                <w:tab w:val="clear" w:pos="567"/>
              </w:tabs>
              <w:spacing w:after="0" w:line="240" w:lineRule="auto"/>
              <w:jc w:val="center"/>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Very remote</w:t>
            </w:r>
          </w:p>
        </w:tc>
        <w:tc>
          <w:tcPr>
            <w:tcW w:w="900" w:type="dxa"/>
            <w:tcBorders>
              <w:top w:val="nil"/>
              <w:left w:val="nil"/>
              <w:bottom w:val="single" w:sz="4" w:space="0" w:color="auto"/>
              <w:right w:val="nil"/>
            </w:tcBorders>
            <w:shd w:val="clear" w:color="auto" w:fill="auto"/>
            <w:noWrap/>
            <w:vAlign w:val="bottom"/>
            <w:hideMark/>
          </w:tcPr>
          <w:p w14:paraId="2BBAE414"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w:t>
            </w:r>
          </w:p>
        </w:tc>
        <w:tc>
          <w:tcPr>
            <w:tcW w:w="900" w:type="dxa"/>
            <w:tcBorders>
              <w:top w:val="nil"/>
              <w:left w:val="nil"/>
              <w:bottom w:val="single" w:sz="4" w:space="0" w:color="auto"/>
              <w:right w:val="nil"/>
            </w:tcBorders>
            <w:shd w:val="clear" w:color="auto" w:fill="auto"/>
            <w:noWrap/>
            <w:vAlign w:val="bottom"/>
            <w:hideMark/>
          </w:tcPr>
          <w:p w14:paraId="3BCC92E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13 445</w:t>
            </w:r>
          </w:p>
        </w:tc>
        <w:tc>
          <w:tcPr>
            <w:tcW w:w="900" w:type="dxa"/>
            <w:tcBorders>
              <w:top w:val="nil"/>
              <w:left w:val="nil"/>
              <w:bottom w:val="single" w:sz="4" w:space="0" w:color="auto"/>
              <w:right w:val="nil"/>
            </w:tcBorders>
            <w:shd w:val="clear" w:color="auto" w:fill="auto"/>
            <w:noWrap/>
            <w:vAlign w:val="bottom"/>
            <w:hideMark/>
          </w:tcPr>
          <w:p w14:paraId="322BA3BF"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8 661</w:t>
            </w:r>
          </w:p>
        </w:tc>
        <w:tc>
          <w:tcPr>
            <w:tcW w:w="900" w:type="dxa"/>
            <w:tcBorders>
              <w:top w:val="nil"/>
              <w:left w:val="nil"/>
              <w:bottom w:val="single" w:sz="4" w:space="0" w:color="auto"/>
              <w:right w:val="nil"/>
            </w:tcBorders>
            <w:shd w:val="clear" w:color="auto" w:fill="auto"/>
            <w:noWrap/>
            <w:vAlign w:val="bottom"/>
            <w:hideMark/>
          </w:tcPr>
          <w:p w14:paraId="4F35A05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9 215</w:t>
            </w:r>
          </w:p>
        </w:tc>
        <w:tc>
          <w:tcPr>
            <w:tcW w:w="900" w:type="dxa"/>
            <w:tcBorders>
              <w:top w:val="nil"/>
              <w:left w:val="nil"/>
              <w:bottom w:val="single" w:sz="4" w:space="0" w:color="auto"/>
              <w:right w:val="nil"/>
            </w:tcBorders>
            <w:shd w:val="clear" w:color="auto" w:fill="auto"/>
            <w:noWrap/>
            <w:vAlign w:val="bottom"/>
            <w:hideMark/>
          </w:tcPr>
          <w:p w14:paraId="57550E2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9 187</w:t>
            </w:r>
          </w:p>
        </w:tc>
        <w:tc>
          <w:tcPr>
            <w:tcW w:w="900" w:type="dxa"/>
            <w:tcBorders>
              <w:top w:val="nil"/>
              <w:left w:val="nil"/>
              <w:bottom w:val="single" w:sz="4" w:space="0" w:color="auto"/>
              <w:right w:val="nil"/>
            </w:tcBorders>
            <w:shd w:val="clear" w:color="auto" w:fill="auto"/>
            <w:noWrap/>
            <w:vAlign w:val="bottom"/>
            <w:hideMark/>
          </w:tcPr>
          <w:p w14:paraId="750D0B9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7 055</w:t>
            </w:r>
          </w:p>
        </w:tc>
        <w:tc>
          <w:tcPr>
            <w:tcW w:w="900" w:type="dxa"/>
            <w:tcBorders>
              <w:top w:val="nil"/>
              <w:left w:val="nil"/>
              <w:bottom w:val="single" w:sz="4" w:space="0" w:color="auto"/>
              <w:right w:val="nil"/>
            </w:tcBorders>
            <w:shd w:val="clear" w:color="auto" w:fill="auto"/>
            <w:noWrap/>
            <w:vAlign w:val="bottom"/>
            <w:hideMark/>
          </w:tcPr>
          <w:p w14:paraId="108291C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9 037</w:t>
            </w:r>
          </w:p>
        </w:tc>
        <w:tc>
          <w:tcPr>
            <w:tcW w:w="900" w:type="dxa"/>
            <w:tcBorders>
              <w:top w:val="nil"/>
              <w:left w:val="nil"/>
              <w:bottom w:val="single" w:sz="4" w:space="0" w:color="auto"/>
              <w:right w:val="nil"/>
            </w:tcBorders>
            <w:shd w:val="clear" w:color="auto" w:fill="auto"/>
            <w:noWrap/>
            <w:vAlign w:val="bottom"/>
            <w:hideMark/>
          </w:tcPr>
          <w:p w14:paraId="7C1E29D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w:t>
            </w:r>
          </w:p>
        </w:tc>
      </w:tr>
      <w:tr w:rsidR="00882EA8" w:rsidRPr="00F15230" w14:paraId="28BE5478" w14:textId="77777777" w:rsidTr="00DE0D49">
        <w:trPr>
          <w:trHeight w:val="315"/>
        </w:trPr>
        <w:tc>
          <w:tcPr>
            <w:tcW w:w="9006" w:type="dxa"/>
            <w:gridSpan w:val="10"/>
            <w:tcBorders>
              <w:top w:val="single" w:sz="4" w:space="0" w:color="auto"/>
              <w:left w:val="nil"/>
              <w:bottom w:val="nil"/>
              <w:right w:val="nil"/>
            </w:tcBorders>
            <w:shd w:val="clear" w:color="auto" w:fill="auto"/>
            <w:noWrap/>
            <w:vAlign w:val="bottom"/>
            <w:hideMark/>
          </w:tcPr>
          <w:p w14:paraId="60333D2A" w14:textId="77777777" w:rsidR="00882EA8" w:rsidRPr="00F15230" w:rsidRDefault="00882EA8" w:rsidP="00DE0D49">
            <w:pPr>
              <w:keepNext/>
              <w:tabs>
                <w:tab w:val="clear" w:pos="567"/>
              </w:tabs>
              <w:spacing w:after="0" w:line="240" w:lineRule="auto"/>
              <w:jc w:val="center"/>
              <w:rPr>
                <w:rFonts w:ascii="Calibri" w:eastAsia="Times New Roman" w:hAnsi="Calibri" w:cs="Times New Roman"/>
                <w:b/>
                <w:bCs/>
                <w:color w:val="000000"/>
                <w:sz w:val="20"/>
                <w:szCs w:val="20"/>
              </w:rPr>
            </w:pPr>
            <w:r w:rsidRPr="00F15230">
              <w:rPr>
                <w:rFonts w:ascii="Calibri" w:eastAsia="Times New Roman" w:hAnsi="Calibri" w:cs="Times New Roman"/>
                <w:b/>
                <w:bCs/>
                <w:color w:val="000000"/>
                <w:sz w:val="20"/>
                <w:szCs w:val="20"/>
              </w:rPr>
              <w:t>Panel C Number of block funded hospitals from NEC18</w:t>
            </w:r>
          </w:p>
        </w:tc>
      </w:tr>
      <w:tr w:rsidR="00882EA8" w:rsidRPr="00F15230" w14:paraId="36D9A7EF" w14:textId="77777777" w:rsidTr="00DE0D49">
        <w:trPr>
          <w:trHeight w:val="375"/>
        </w:trPr>
        <w:tc>
          <w:tcPr>
            <w:tcW w:w="1197" w:type="dxa"/>
            <w:tcBorders>
              <w:top w:val="single" w:sz="4" w:space="0" w:color="auto"/>
              <w:left w:val="nil"/>
              <w:bottom w:val="single" w:sz="4" w:space="0" w:color="auto"/>
              <w:right w:val="nil"/>
            </w:tcBorders>
            <w:shd w:val="clear" w:color="auto" w:fill="auto"/>
            <w:vAlign w:val="center"/>
            <w:hideMark/>
          </w:tcPr>
          <w:p w14:paraId="28BB3BC3"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roofErr w:type="spellStart"/>
            <w:r w:rsidRPr="00F15230">
              <w:rPr>
                <w:rFonts w:ascii="Calibri" w:eastAsia="Times New Roman" w:hAnsi="Calibri" w:cs="Times New Roman"/>
                <w:color w:val="000000"/>
                <w:sz w:val="20"/>
                <w:szCs w:val="20"/>
              </w:rPr>
              <w:t>ASGS</w:t>
            </w:r>
            <w:proofErr w:type="spellEnd"/>
            <w:r w:rsidRPr="00F15230">
              <w:rPr>
                <w:rFonts w:ascii="Calibri" w:eastAsia="Times New Roman" w:hAnsi="Calibri" w:cs="Times New Roman"/>
                <w:color w:val="000000"/>
                <w:sz w:val="20"/>
                <w:szCs w:val="20"/>
              </w:rPr>
              <w:t xml:space="preserve"> region</w:t>
            </w:r>
          </w:p>
        </w:tc>
        <w:tc>
          <w:tcPr>
            <w:tcW w:w="609" w:type="dxa"/>
            <w:tcBorders>
              <w:top w:val="single" w:sz="4" w:space="0" w:color="auto"/>
              <w:left w:val="nil"/>
              <w:bottom w:val="single" w:sz="4" w:space="0" w:color="auto"/>
              <w:right w:val="nil"/>
            </w:tcBorders>
            <w:shd w:val="clear" w:color="auto" w:fill="auto"/>
            <w:noWrap/>
            <w:vAlign w:val="center"/>
            <w:hideMark/>
          </w:tcPr>
          <w:p w14:paraId="31F07C3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Type</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71D9EB5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Group 0 </w:t>
            </w:r>
          </w:p>
        </w:tc>
        <w:tc>
          <w:tcPr>
            <w:tcW w:w="900" w:type="dxa"/>
            <w:tcBorders>
              <w:top w:val="single" w:sz="4" w:space="0" w:color="auto"/>
              <w:left w:val="nil"/>
              <w:bottom w:val="single" w:sz="4" w:space="0" w:color="auto"/>
              <w:right w:val="nil"/>
            </w:tcBorders>
            <w:shd w:val="clear" w:color="auto" w:fill="auto"/>
            <w:vAlign w:val="center"/>
            <w:hideMark/>
          </w:tcPr>
          <w:p w14:paraId="5025A279"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A</w:t>
            </w:r>
          </w:p>
        </w:tc>
        <w:tc>
          <w:tcPr>
            <w:tcW w:w="900" w:type="dxa"/>
            <w:tcBorders>
              <w:top w:val="single" w:sz="4" w:space="0" w:color="auto"/>
              <w:left w:val="nil"/>
              <w:bottom w:val="single" w:sz="4" w:space="0" w:color="auto"/>
              <w:right w:val="nil"/>
            </w:tcBorders>
            <w:shd w:val="clear" w:color="auto" w:fill="auto"/>
            <w:vAlign w:val="center"/>
            <w:hideMark/>
          </w:tcPr>
          <w:p w14:paraId="4ED6D53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B</w:t>
            </w:r>
          </w:p>
        </w:tc>
        <w:tc>
          <w:tcPr>
            <w:tcW w:w="900" w:type="dxa"/>
            <w:tcBorders>
              <w:top w:val="single" w:sz="4" w:space="0" w:color="auto"/>
              <w:left w:val="nil"/>
              <w:bottom w:val="single" w:sz="4" w:space="0" w:color="auto"/>
              <w:right w:val="nil"/>
            </w:tcBorders>
            <w:shd w:val="clear" w:color="auto" w:fill="auto"/>
            <w:vAlign w:val="center"/>
            <w:hideMark/>
          </w:tcPr>
          <w:p w14:paraId="22BDC5D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C</w:t>
            </w:r>
          </w:p>
        </w:tc>
        <w:tc>
          <w:tcPr>
            <w:tcW w:w="900" w:type="dxa"/>
            <w:tcBorders>
              <w:top w:val="single" w:sz="4" w:space="0" w:color="auto"/>
              <w:left w:val="nil"/>
              <w:bottom w:val="single" w:sz="4" w:space="0" w:color="auto"/>
              <w:right w:val="nil"/>
            </w:tcBorders>
            <w:shd w:val="clear" w:color="auto" w:fill="auto"/>
            <w:vAlign w:val="center"/>
            <w:hideMark/>
          </w:tcPr>
          <w:p w14:paraId="655AB6EB"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D</w:t>
            </w:r>
          </w:p>
        </w:tc>
        <w:tc>
          <w:tcPr>
            <w:tcW w:w="900" w:type="dxa"/>
            <w:tcBorders>
              <w:top w:val="single" w:sz="4" w:space="0" w:color="auto"/>
              <w:left w:val="nil"/>
              <w:bottom w:val="single" w:sz="4" w:space="0" w:color="auto"/>
              <w:right w:val="nil"/>
            </w:tcBorders>
            <w:shd w:val="clear" w:color="auto" w:fill="auto"/>
            <w:vAlign w:val="center"/>
            <w:hideMark/>
          </w:tcPr>
          <w:p w14:paraId="642846F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E</w:t>
            </w:r>
          </w:p>
        </w:tc>
        <w:tc>
          <w:tcPr>
            <w:tcW w:w="900" w:type="dxa"/>
            <w:tcBorders>
              <w:top w:val="single" w:sz="4" w:space="0" w:color="auto"/>
              <w:left w:val="nil"/>
              <w:bottom w:val="single" w:sz="4" w:space="0" w:color="auto"/>
              <w:right w:val="nil"/>
            </w:tcBorders>
            <w:shd w:val="clear" w:color="auto" w:fill="auto"/>
            <w:vAlign w:val="center"/>
            <w:hideMark/>
          </w:tcPr>
          <w:p w14:paraId="7837334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F</w:t>
            </w:r>
          </w:p>
        </w:tc>
        <w:tc>
          <w:tcPr>
            <w:tcW w:w="900" w:type="dxa"/>
            <w:tcBorders>
              <w:top w:val="single" w:sz="4" w:space="0" w:color="auto"/>
              <w:left w:val="nil"/>
              <w:bottom w:val="single" w:sz="4" w:space="0" w:color="auto"/>
              <w:right w:val="nil"/>
            </w:tcBorders>
            <w:shd w:val="clear" w:color="auto" w:fill="auto"/>
            <w:vAlign w:val="center"/>
            <w:hideMark/>
          </w:tcPr>
          <w:p w14:paraId="78B79B9C"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Group G</w:t>
            </w:r>
          </w:p>
        </w:tc>
      </w:tr>
      <w:tr w:rsidR="00882EA8" w:rsidRPr="00F15230" w14:paraId="6C188661" w14:textId="77777777" w:rsidTr="00DE0D49">
        <w:trPr>
          <w:trHeight w:val="315"/>
        </w:trPr>
        <w:tc>
          <w:tcPr>
            <w:tcW w:w="1806" w:type="dxa"/>
            <w:gridSpan w:val="2"/>
            <w:tcBorders>
              <w:top w:val="single" w:sz="4" w:space="0" w:color="auto"/>
              <w:left w:val="nil"/>
              <w:bottom w:val="nil"/>
              <w:right w:val="single" w:sz="4" w:space="0" w:color="000000"/>
            </w:tcBorders>
            <w:shd w:val="clear" w:color="auto" w:fill="auto"/>
            <w:vAlign w:val="bottom"/>
            <w:hideMark/>
          </w:tcPr>
          <w:p w14:paraId="570C43D4" w14:textId="77777777" w:rsidR="00882EA8" w:rsidRPr="00F15230" w:rsidRDefault="00882EA8" w:rsidP="00DE0D49">
            <w:pPr>
              <w:keepNext/>
              <w:tabs>
                <w:tab w:val="clear" w:pos="567"/>
              </w:tabs>
              <w:spacing w:after="0" w:line="240" w:lineRule="auto"/>
              <w:jc w:val="center"/>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Average NWAU</w:t>
            </w:r>
          </w:p>
        </w:tc>
        <w:tc>
          <w:tcPr>
            <w:tcW w:w="900" w:type="dxa"/>
            <w:tcBorders>
              <w:top w:val="nil"/>
              <w:left w:val="nil"/>
              <w:bottom w:val="nil"/>
              <w:right w:val="nil"/>
            </w:tcBorders>
            <w:shd w:val="clear" w:color="auto" w:fill="auto"/>
            <w:vAlign w:val="bottom"/>
            <w:hideMark/>
          </w:tcPr>
          <w:p w14:paraId="0C930B36"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&lt;$0.5m</w:t>
            </w:r>
          </w:p>
        </w:tc>
        <w:tc>
          <w:tcPr>
            <w:tcW w:w="900" w:type="dxa"/>
            <w:tcBorders>
              <w:top w:val="nil"/>
              <w:left w:val="nil"/>
              <w:bottom w:val="nil"/>
              <w:right w:val="nil"/>
            </w:tcBorders>
            <w:shd w:val="clear" w:color="auto" w:fill="auto"/>
            <w:vAlign w:val="bottom"/>
            <w:hideMark/>
          </w:tcPr>
          <w:p w14:paraId="0021DF6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130</w:t>
            </w:r>
          </w:p>
        </w:tc>
        <w:tc>
          <w:tcPr>
            <w:tcW w:w="900" w:type="dxa"/>
            <w:tcBorders>
              <w:top w:val="nil"/>
              <w:left w:val="nil"/>
              <w:bottom w:val="nil"/>
              <w:right w:val="nil"/>
            </w:tcBorders>
            <w:shd w:val="clear" w:color="auto" w:fill="auto"/>
            <w:vAlign w:val="bottom"/>
            <w:hideMark/>
          </w:tcPr>
          <w:p w14:paraId="2E8327A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360</w:t>
            </w:r>
          </w:p>
        </w:tc>
        <w:tc>
          <w:tcPr>
            <w:tcW w:w="900" w:type="dxa"/>
            <w:tcBorders>
              <w:top w:val="nil"/>
              <w:left w:val="nil"/>
              <w:bottom w:val="nil"/>
              <w:right w:val="nil"/>
            </w:tcBorders>
            <w:shd w:val="clear" w:color="auto" w:fill="auto"/>
            <w:vAlign w:val="bottom"/>
            <w:hideMark/>
          </w:tcPr>
          <w:p w14:paraId="78956AA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560</w:t>
            </w:r>
          </w:p>
        </w:tc>
        <w:tc>
          <w:tcPr>
            <w:tcW w:w="900" w:type="dxa"/>
            <w:tcBorders>
              <w:top w:val="nil"/>
              <w:left w:val="nil"/>
              <w:bottom w:val="nil"/>
              <w:right w:val="nil"/>
            </w:tcBorders>
            <w:shd w:val="clear" w:color="auto" w:fill="auto"/>
            <w:vAlign w:val="bottom"/>
            <w:hideMark/>
          </w:tcPr>
          <w:p w14:paraId="1729F60B"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855</w:t>
            </w:r>
          </w:p>
        </w:tc>
        <w:tc>
          <w:tcPr>
            <w:tcW w:w="900" w:type="dxa"/>
            <w:tcBorders>
              <w:top w:val="nil"/>
              <w:left w:val="nil"/>
              <w:bottom w:val="nil"/>
              <w:right w:val="nil"/>
            </w:tcBorders>
            <w:shd w:val="clear" w:color="auto" w:fill="auto"/>
            <w:vAlign w:val="bottom"/>
            <w:hideMark/>
          </w:tcPr>
          <w:p w14:paraId="3FD0C84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1 375</w:t>
            </w:r>
          </w:p>
        </w:tc>
        <w:tc>
          <w:tcPr>
            <w:tcW w:w="900" w:type="dxa"/>
            <w:tcBorders>
              <w:top w:val="nil"/>
              <w:left w:val="nil"/>
              <w:bottom w:val="nil"/>
              <w:right w:val="nil"/>
            </w:tcBorders>
            <w:shd w:val="clear" w:color="auto" w:fill="auto"/>
            <w:vAlign w:val="bottom"/>
            <w:hideMark/>
          </w:tcPr>
          <w:p w14:paraId="479F51A9"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2 100</w:t>
            </w:r>
          </w:p>
        </w:tc>
        <w:tc>
          <w:tcPr>
            <w:tcW w:w="900" w:type="dxa"/>
            <w:tcBorders>
              <w:top w:val="nil"/>
              <w:left w:val="nil"/>
              <w:bottom w:val="nil"/>
              <w:right w:val="nil"/>
            </w:tcBorders>
            <w:shd w:val="clear" w:color="auto" w:fill="auto"/>
            <w:vAlign w:val="bottom"/>
            <w:hideMark/>
          </w:tcPr>
          <w:p w14:paraId="460C976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3 000</w:t>
            </w:r>
          </w:p>
        </w:tc>
      </w:tr>
      <w:tr w:rsidR="00882EA8" w:rsidRPr="00F15230" w14:paraId="37C35C09" w14:textId="77777777" w:rsidTr="00DE0D49">
        <w:trPr>
          <w:trHeight w:val="315"/>
        </w:trPr>
        <w:tc>
          <w:tcPr>
            <w:tcW w:w="1197" w:type="dxa"/>
            <w:vMerge w:val="restart"/>
            <w:tcBorders>
              <w:top w:val="nil"/>
              <w:left w:val="nil"/>
              <w:bottom w:val="single" w:sz="4" w:space="0" w:color="000000"/>
              <w:right w:val="nil"/>
            </w:tcBorders>
            <w:shd w:val="clear" w:color="auto" w:fill="auto"/>
            <w:vAlign w:val="center"/>
            <w:hideMark/>
          </w:tcPr>
          <w:p w14:paraId="03E83A24" w14:textId="77777777" w:rsidR="00882EA8" w:rsidRPr="00F15230" w:rsidRDefault="00882EA8" w:rsidP="00DE0D49">
            <w:pPr>
              <w:keepNext/>
              <w:tabs>
                <w:tab w:val="clear" w:pos="567"/>
              </w:tabs>
              <w:spacing w:after="0" w:line="240" w:lineRule="auto"/>
              <w:jc w:val="center"/>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Inner/Outer regional and remote</w:t>
            </w:r>
          </w:p>
        </w:tc>
        <w:tc>
          <w:tcPr>
            <w:tcW w:w="609" w:type="dxa"/>
            <w:tcBorders>
              <w:top w:val="nil"/>
              <w:left w:val="nil"/>
              <w:bottom w:val="nil"/>
              <w:right w:val="nil"/>
            </w:tcBorders>
            <w:shd w:val="clear" w:color="auto" w:fill="auto"/>
            <w:noWrap/>
            <w:vAlign w:val="bottom"/>
            <w:hideMark/>
          </w:tcPr>
          <w:p w14:paraId="7F0B372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A</w:t>
            </w:r>
          </w:p>
        </w:tc>
        <w:tc>
          <w:tcPr>
            <w:tcW w:w="900" w:type="dxa"/>
            <w:tcBorders>
              <w:top w:val="nil"/>
              <w:left w:val="single" w:sz="4" w:space="0" w:color="auto"/>
              <w:bottom w:val="nil"/>
              <w:right w:val="nil"/>
            </w:tcBorders>
            <w:shd w:val="clear" w:color="auto" w:fill="auto"/>
            <w:noWrap/>
            <w:vAlign w:val="bottom"/>
            <w:hideMark/>
          </w:tcPr>
          <w:p w14:paraId="6C4F4587"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w:t>
            </w:r>
          </w:p>
        </w:tc>
        <w:tc>
          <w:tcPr>
            <w:tcW w:w="900" w:type="dxa"/>
            <w:tcBorders>
              <w:top w:val="nil"/>
              <w:left w:val="nil"/>
              <w:bottom w:val="nil"/>
              <w:right w:val="nil"/>
            </w:tcBorders>
            <w:shd w:val="clear" w:color="auto" w:fill="auto"/>
            <w:noWrap/>
            <w:vAlign w:val="bottom"/>
            <w:hideMark/>
          </w:tcPr>
          <w:p w14:paraId="382B4A0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0</w:t>
            </w:r>
          </w:p>
        </w:tc>
        <w:tc>
          <w:tcPr>
            <w:tcW w:w="900" w:type="dxa"/>
            <w:tcBorders>
              <w:top w:val="nil"/>
              <w:left w:val="nil"/>
              <w:bottom w:val="nil"/>
              <w:right w:val="nil"/>
            </w:tcBorders>
            <w:shd w:val="clear" w:color="auto" w:fill="auto"/>
            <w:noWrap/>
            <w:vAlign w:val="bottom"/>
            <w:hideMark/>
          </w:tcPr>
          <w:p w14:paraId="6FC2A28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w:t>
            </w:r>
          </w:p>
        </w:tc>
        <w:tc>
          <w:tcPr>
            <w:tcW w:w="900" w:type="dxa"/>
            <w:tcBorders>
              <w:top w:val="nil"/>
              <w:left w:val="nil"/>
              <w:bottom w:val="nil"/>
              <w:right w:val="nil"/>
            </w:tcBorders>
            <w:shd w:val="clear" w:color="auto" w:fill="auto"/>
            <w:noWrap/>
            <w:vAlign w:val="bottom"/>
            <w:hideMark/>
          </w:tcPr>
          <w:p w14:paraId="18E1647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7</w:t>
            </w:r>
          </w:p>
        </w:tc>
        <w:tc>
          <w:tcPr>
            <w:tcW w:w="900" w:type="dxa"/>
            <w:tcBorders>
              <w:top w:val="nil"/>
              <w:left w:val="nil"/>
              <w:bottom w:val="nil"/>
              <w:right w:val="nil"/>
            </w:tcBorders>
            <w:shd w:val="clear" w:color="auto" w:fill="auto"/>
            <w:noWrap/>
            <w:vAlign w:val="bottom"/>
            <w:hideMark/>
          </w:tcPr>
          <w:p w14:paraId="19D8F4A4"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15</w:t>
            </w:r>
          </w:p>
        </w:tc>
        <w:tc>
          <w:tcPr>
            <w:tcW w:w="900" w:type="dxa"/>
            <w:tcBorders>
              <w:top w:val="nil"/>
              <w:left w:val="nil"/>
              <w:bottom w:val="nil"/>
              <w:right w:val="nil"/>
            </w:tcBorders>
            <w:shd w:val="clear" w:color="auto" w:fill="auto"/>
            <w:noWrap/>
            <w:vAlign w:val="bottom"/>
            <w:hideMark/>
          </w:tcPr>
          <w:p w14:paraId="332DFA44"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23</w:t>
            </w:r>
          </w:p>
        </w:tc>
        <w:tc>
          <w:tcPr>
            <w:tcW w:w="900" w:type="dxa"/>
            <w:tcBorders>
              <w:top w:val="nil"/>
              <w:left w:val="nil"/>
              <w:bottom w:val="nil"/>
              <w:right w:val="nil"/>
            </w:tcBorders>
            <w:shd w:val="clear" w:color="auto" w:fill="auto"/>
            <w:noWrap/>
            <w:vAlign w:val="bottom"/>
            <w:hideMark/>
          </w:tcPr>
          <w:p w14:paraId="05E6CF8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17</w:t>
            </w:r>
          </w:p>
        </w:tc>
        <w:tc>
          <w:tcPr>
            <w:tcW w:w="900" w:type="dxa"/>
            <w:tcBorders>
              <w:top w:val="nil"/>
              <w:left w:val="nil"/>
              <w:bottom w:val="nil"/>
              <w:right w:val="nil"/>
            </w:tcBorders>
            <w:shd w:val="clear" w:color="auto" w:fill="auto"/>
            <w:noWrap/>
            <w:vAlign w:val="bottom"/>
            <w:hideMark/>
          </w:tcPr>
          <w:p w14:paraId="02B368AD"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10</w:t>
            </w:r>
          </w:p>
        </w:tc>
      </w:tr>
      <w:tr w:rsidR="00882EA8" w:rsidRPr="00F15230" w14:paraId="774CFE43" w14:textId="77777777" w:rsidTr="00DE0D49">
        <w:trPr>
          <w:trHeight w:val="315"/>
        </w:trPr>
        <w:tc>
          <w:tcPr>
            <w:tcW w:w="1197" w:type="dxa"/>
            <w:vMerge/>
            <w:tcBorders>
              <w:top w:val="nil"/>
              <w:left w:val="nil"/>
              <w:bottom w:val="single" w:sz="4" w:space="0" w:color="000000"/>
              <w:right w:val="nil"/>
            </w:tcBorders>
            <w:vAlign w:val="center"/>
            <w:hideMark/>
          </w:tcPr>
          <w:p w14:paraId="5CAE9F09"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
        </w:tc>
        <w:tc>
          <w:tcPr>
            <w:tcW w:w="609" w:type="dxa"/>
            <w:tcBorders>
              <w:top w:val="nil"/>
              <w:left w:val="nil"/>
              <w:bottom w:val="nil"/>
              <w:right w:val="nil"/>
            </w:tcBorders>
            <w:shd w:val="clear" w:color="auto" w:fill="auto"/>
            <w:noWrap/>
            <w:vAlign w:val="bottom"/>
            <w:hideMark/>
          </w:tcPr>
          <w:p w14:paraId="3217FDF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B</w:t>
            </w:r>
          </w:p>
        </w:tc>
        <w:tc>
          <w:tcPr>
            <w:tcW w:w="900" w:type="dxa"/>
            <w:tcBorders>
              <w:top w:val="nil"/>
              <w:left w:val="single" w:sz="4" w:space="0" w:color="auto"/>
              <w:bottom w:val="nil"/>
              <w:right w:val="nil"/>
            </w:tcBorders>
            <w:shd w:val="clear" w:color="auto" w:fill="auto"/>
            <w:noWrap/>
            <w:vAlign w:val="bottom"/>
            <w:hideMark/>
          </w:tcPr>
          <w:p w14:paraId="5D77344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w:t>
            </w:r>
          </w:p>
        </w:tc>
        <w:tc>
          <w:tcPr>
            <w:tcW w:w="900" w:type="dxa"/>
            <w:tcBorders>
              <w:top w:val="nil"/>
              <w:left w:val="nil"/>
              <w:bottom w:val="nil"/>
              <w:right w:val="nil"/>
            </w:tcBorders>
            <w:shd w:val="clear" w:color="auto" w:fill="auto"/>
            <w:noWrap/>
            <w:vAlign w:val="bottom"/>
            <w:hideMark/>
          </w:tcPr>
          <w:p w14:paraId="411CE36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0</w:t>
            </w:r>
          </w:p>
        </w:tc>
        <w:tc>
          <w:tcPr>
            <w:tcW w:w="900" w:type="dxa"/>
            <w:tcBorders>
              <w:top w:val="nil"/>
              <w:left w:val="nil"/>
              <w:bottom w:val="nil"/>
              <w:right w:val="nil"/>
            </w:tcBorders>
            <w:shd w:val="clear" w:color="auto" w:fill="auto"/>
            <w:noWrap/>
            <w:vAlign w:val="bottom"/>
            <w:hideMark/>
          </w:tcPr>
          <w:p w14:paraId="0C4BCF7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54</w:t>
            </w:r>
          </w:p>
        </w:tc>
        <w:tc>
          <w:tcPr>
            <w:tcW w:w="900" w:type="dxa"/>
            <w:tcBorders>
              <w:top w:val="nil"/>
              <w:left w:val="nil"/>
              <w:bottom w:val="nil"/>
              <w:right w:val="nil"/>
            </w:tcBorders>
            <w:shd w:val="clear" w:color="auto" w:fill="auto"/>
            <w:noWrap/>
            <w:vAlign w:val="bottom"/>
            <w:hideMark/>
          </w:tcPr>
          <w:p w14:paraId="5361D54D"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33</w:t>
            </w:r>
          </w:p>
        </w:tc>
        <w:tc>
          <w:tcPr>
            <w:tcW w:w="900" w:type="dxa"/>
            <w:tcBorders>
              <w:top w:val="nil"/>
              <w:left w:val="nil"/>
              <w:bottom w:val="nil"/>
              <w:right w:val="nil"/>
            </w:tcBorders>
            <w:shd w:val="clear" w:color="auto" w:fill="auto"/>
            <w:noWrap/>
            <w:vAlign w:val="bottom"/>
            <w:hideMark/>
          </w:tcPr>
          <w:p w14:paraId="6B40CE1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32</w:t>
            </w:r>
          </w:p>
        </w:tc>
        <w:tc>
          <w:tcPr>
            <w:tcW w:w="900" w:type="dxa"/>
            <w:tcBorders>
              <w:top w:val="nil"/>
              <w:left w:val="nil"/>
              <w:bottom w:val="nil"/>
              <w:right w:val="nil"/>
            </w:tcBorders>
            <w:shd w:val="clear" w:color="auto" w:fill="auto"/>
            <w:noWrap/>
            <w:vAlign w:val="bottom"/>
            <w:hideMark/>
          </w:tcPr>
          <w:p w14:paraId="302FA13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16</w:t>
            </w:r>
          </w:p>
        </w:tc>
        <w:tc>
          <w:tcPr>
            <w:tcW w:w="900" w:type="dxa"/>
            <w:tcBorders>
              <w:top w:val="nil"/>
              <w:left w:val="nil"/>
              <w:bottom w:val="nil"/>
              <w:right w:val="nil"/>
            </w:tcBorders>
            <w:shd w:val="clear" w:color="auto" w:fill="auto"/>
            <w:noWrap/>
            <w:vAlign w:val="bottom"/>
            <w:hideMark/>
          </w:tcPr>
          <w:p w14:paraId="2E47EEA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3</w:t>
            </w:r>
          </w:p>
        </w:tc>
        <w:tc>
          <w:tcPr>
            <w:tcW w:w="900" w:type="dxa"/>
            <w:tcBorders>
              <w:top w:val="nil"/>
              <w:left w:val="nil"/>
              <w:bottom w:val="nil"/>
              <w:right w:val="nil"/>
            </w:tcBorders>
            <w:shd w:val="clear" w:color="auto" w:fill="auto"/>
            <w:noWrap/>
            <w:vAlign w:val="bottom"/>
            <w:hideMark/>
          </w:tcPr>
          <w:p w14:paraId="189A6CCF"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3</w:t>
            </w:r>
          </w:p>
        </w:tc>
      </w:tr>
      <w:tr w:rsidR="00882EA8" w:rsidRPr="00F15230" w14:paraId="0FD149DC" w14:textId="77777777" w:rsidTr="00DE0D49">
        <w:trPr>
          <w:trHeight w:val="315"/>
        </w:trPr>
        <w:tc>
          <w:tcPr>
            <w:tcW w:w="1197" w:type="dxa"/>
            <w:vMerge/>
            <w:tcBorders>
              <w:top w:val="nil"/>
              <w:left w:val="nil"/>
              <w:bottom w:val="single" w:sz="4" w:space="0" w:color="000000"/>
              <w:right w:val="nil"/>
            </w:tcBorders>
            <w:vAlign w:val="center"/>
            <w:hideMark/>
          </w:tcPr>
          <w:p w14:paraId="5FC351F7"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
        </w:tc>
        <w:tc>
          <w:tcPr>
            <w:tcW w:w="609" w:type="dxa"/>
            <w:tcBorders>
              <w:top w:val="nil"/>
              <w:left w:val="nil"/>
              <w:bottom w:val="single" w:sz="4" w:space="0" w:color="auto"/>
              <w:right w:val="nil"/>
            </w:tcBorders>
            <w:shd w:val="clear" w:color="auto" w:fill="auto"/>
            <w:noWrap/>
            <w:vAlign w:val="bottom"/>
            <w:hideMark/>
          </w:tcPr>
          <w:p w14:paraId="632C53B5"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C</w:t>
            </w:r>
          </w:p>
        </w:tc>
        <w:tc>
          <w:tcPr>
            <w:tcW w:w="900" w:type="dxa"/>
            <w:tcBorders>
              <w:top w:val="nil"/>
              <w:left w:val="single" w:sz="4" w:space="0" w:color="auto"/>
              <w:bottom w:val="single" w:sz="4" w:space="0" w:color="auto"/>
              <w:right w:val="nil"/>
            </w:tcBorders>
            <w:shd w:val="clear" w:color="auto" w:fill="auto"/>
            <w:noWrap/>
            <w:vAlign w:val="bottom"/>
            <w:hideMark/>
          </w:tcPr>
          <w:p w14:paraId="369444EF"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7</w:t>
            </w:r>
          </w:p>
        </w:tc>
        <w:tc>
          <w:tcPr>
            <w:tcW w:w="900" w:type="dxa"/>
            <w:tcBorders>
              <w:top w:val="nil"/>
              <w:left w:val="nil"/>
              <w:bottom w:val="single" w:sz="4" w:space="0" w:color="auto"/>
              <w:right w:val="nil"/>
            </w:tcBorders>
            <w:shd w:val="clear" w:color="auto" w:fill="auto"/>
            <w:noWrap/>
            <w:vAlign w:val="bottom"/>
            <w:hideMark/>
          </w:tcPr>
          <w:p w14:paraId="71255A2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87</w:t>
            </w:r>
          </w:p>
        </w:tc>
        <w:tc>
          <w:tcPr>
            <w:tcW w:w="900" w:type="dxa"/>
            <w:tcBorders>
              <w:top w:val="nil"/>
              <w:left w:val="nil"/>
              <w:bottom w:val="single" w:sz="4" w:space="0" w:color="auto"/>
              <w:right w:val="nil"/>
            </w:tcBorders>
            <w:shd w:val="clear" w:color="auto" w:fill="auto"/>
            <w:noWrap/>
            <w:vAlign w:val="bottom"/>
            <w:hideMark/>
          </w:tcPr>
          <w:p w14:paraId="4100F931"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10</w:t>
            </w:r>
          </w:p>
        </w:tc>
        <w:tc>
          <w:tcPr>
            <w:tcW w:w="900" w:type="dxa"/>
            <w:tcBorders>
              <w:top w:val="nil"/>
              <w:left w:val="nil"/>
              <w:bottom w:val="single" w:sz="4" w:space="0" w:color="auto"/>
              <w:right w:val="nil"/>
            </w:tcBorders>
            <w:shd w:val="clear" w:color="auto" w:fill="auto"/>
            <w:noWrap/>
            <w:vAlign w:val="bottom"/>
            <w:hideMark/>
          </w:tcPr>
          <w:p w14:paraId="5D6490E9"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2</w:t>
            </w:r>
          </w:p>
        </w:tc>
        <w:tc>
          <w:tcPr>
            <w:tcW w:w="900" w:type="dxa"/>
            <w:tcBorders>
              <w:top w:val="nil"/>
              <w:left w:val="nil"/>
              <w:bottom w:val="single" w:sz="4" w:space="0" w:color="auto"/>
              <w:right w:val="nil"/>
            </w:tcBorders>
            <w:shd w:val="clear" w:color="auto" w:fill="auto"/>
            <w:noWrap/>
            <w:vAlign w:val="bottom"/>
            <w:hideMark/>
          </w:tcPr>
          <w:p w14:paraId="761818C0"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5</w:t>
            </w:r>
          </w:p>
        </w:tc>
        <w:tc>
          <w:tcPr>
            <w:tcW w:w="900" w:type="dxa"/>
            <w:tcBorders>
              <w:top w:val="nil"/>
              <w:left w:val="nil"/>
              <w:bottom w:val="single" w:sz="4" w:space="0" w:color="auto"/>
              <w:right w:val="nil"/>
            </w:tcBorders>
            <w:shd w:val="clear" w:color="auto" w:fill="auto"/>
            <w:noWrap/>
            <w:vAlign w:val="bottom"/>
            <w:hideMark/>
          </w:tcPr>
          <w:p w14:paraId="157A835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2</w:t>
            </w:r>
          </w:p>
        </w:tc>
        <w:tc>
          <w:tcPr>
            <w:tcW w:w="900" w:type="dxa"/>
            <w:tcBorders>
              <w:top w:val="nil"/>
              <w:left w:val="nil"/>
              <w:bottom w:val="single" w:sz="4" w:space="0" w:color="auto"/>
              <w:right w:val="nil"/>
            </w:tcBorders>
            <w:shd w:val="clear" w:color="auto" w:fill="auto"/>
            <w:noWrap/>
            <w:vAlign w:val="bottom"/>
            <w:hideMark/>
          </w:tcPr>
          <w:p w14:paraId="180DC214"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2</w:t>
            </w:r>
          </w:p>
        </w:tc>
        <w:tc>
          <w:tcPr>
            <w:tcW w:w="900" w:type="dxa"/>
            <w:tcBorders>
              <w:top w:val="nil"/>
              <w:left w:val="nil"/>
              <w:bottom w:val="single" w:sz="4" w:space="0" w:color="auto"/>
              <w:right w:val="nil"/>
            </w:tcBorders>
            <w:shd w:val="clear" w:color="auto" w:fill="auto"/>
            <w:noWrap/>
            <w:vAlign w:val="bottom"/>
            <w:hideMark/>
          </w:tcPr>
          <w:p w14:paraId="62DB3D7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w:t>
            </w:r>
          </w:p>
        </w:tc>
      </w:tr>
      <w:tr w:rsidR="00882EA8" w:rsidRPr="00F15230" w14:paraId="5ADBC77C" w14:textId="77777777" w:rsidTr="00DE0D49">
        <w:trPr>
          <w:trHeight w:val="315"/>
        </w:trPr>
        <w:tc>
          <w:tcPr>
            <w:tcW w:w="1806" w:type="dxa"/>
            <w:gridSpan w:val="2"/>
            <w:tcBorders>
              <w:top w:val="single" w:sz="4" w:space="0" w:color="auto"/>
              <w:left w:val="nil"/>
              <w:bottom w:val="single" w:sz="4" w:space="0" w:color="auto"/>
              <w:right w:val="single" w:sz="4" w:space="0" w:color="000000"/>
            </w:tcBorders>
            <w:shd w:val="clear" w:color="auto" w:fill="auto"/>
            <w:vAlign w:val="bottom"/>
            <w:hideMark/>
          </w:tcPr>
          <w:p w14:paraId="6B0B31AB" w14:textId="77777777" w:rsidR="00882EA8" w:rsidRPr="00F15230" w:rsidRDefault="00882EA8" w:rsidP="00DE0D49">
            <w:pPr>
              <w:keepNext/>
              <w:tabs>
                <w:tab w:val="clear" w:pos="567"/>
              </w:tabs>
              <w:spacing w:after="0" w:line="240" w:lineRule="auto"/>
              <w:jc w:val="center"/>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Very remote</w:t>
            </w:r>
          </w:p>
        </w:tc>
        <w:tc>
          <w:tcPr>
            <w:tcW w:w="900" w:type="dxa"/>
            <w:tcBorders>
              <w:top w:val="nil"/>
              <w:left w:val="nil"/>
              <w:bottom w:val="single" w:sz="4" w:space="0" w:color="auto"/>
              <w:right w:val="nil"/>
            </w:tcBorders>
            <w:shd w:val="clear" w:color="auto" w:fill="auto"/>
            <w:noWrap/>
            <w:vAlign w:val="bottom"/>
            <w:hideMark/>
          </w:tcPr>
          <w:p w14:paraId="277D688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0</w:t>
            </w:r>
          </w:p>
        </w:tc>
        <w:tc>
          <w:tcPr>
            <w:tcW w:w="900" w:type="dxa"/>
            <w:tcBorders>
              <w:top w:val="nil"/>
              <w:left w:val="nil"/>
              <w:bottom w:val="single" w:sz="4" w:space="0" w:color="auto"/>
              <w:right w:val="nil"/>
            </w:tcBorders>
            <w:shd w:val="clear" w:color="auto" w:fill="auto"/>
            <w:noWrap/>
            <w:vAlign w:val="bottom"/>
            <w:hideMark/>
          </w:tcPr>
          <w:p w14:paraId="111FE32E"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17</w:t>
            </w:r>
          </w:p>
        </w:tc>
        <w:tc>
          <w:tcPr>
            <w:tcW w:w="900" w:type="dxa"/>
            <w:tcBorders>
              <w:top w:val="nil"/>
              <w:left w:val="nil"/>
              <w:bottom w:val="single" w:sz="4" w:space="0" w:color="auto"/>
              <w:right w:val="nil"/>
            </w:tcBorders>
            <w:shd w:val="clear" w:color="auto" w:fill="auto"/>
            <w:noWrap/>
            <w:vAlign w:val="bottom"/>
            <w:hideMark/>
          </w:tcPr>
          <w:p w14:paraId="0F5B10E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6</w:t>
            </w:r>
          </w:p>
        </w:tc>
        <w:tc>
          <w:tcPr>
            <w:tcW w:w="900" w:type="dxa"/>
            <w:tcBorders>
              <w:top w:val="nil"/>
              <w:left w:val="nil"/>
              <w:bottom w:val="single" w:sz="4" w:space="0" w:color="auto"/>
              <w:right w:val="nil"/>
            </w:tcBorders>
            <w:shd w:val="clear" w:color="auto" w:fill="auto"/>
            <w:noWrap/>
            <w:vAlign w:val="bottom"/>
            <w:hideMark/>
          </w:tcPr>
          <w:p w14:paraId="33A4932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8</w:t>
            </w:r>
          </w:p>
        </w:tc>
        <w:tc>
          <w:tcPr>
            <w:tcW w:w="900" w:type="dxa"/>
            <w:tcBorders>
              <w:top w:val="nil"/>
              <w:left w:val="nil"/>
              <w:bottom w:val="single" w:sz="4" w:space="0" w:color="auto"/>
              <w:right w:val="nil"/>
            </w:tcBorders>
            <w:shd w:val="clear" w:color="auto" w:fill="auto"/>
            <w:noWrap/>
            <w:vAlign w:val="bottom"/>
            <w:hideMark/>
          </w:tcPr>
          <w:p w14:paraId="4BAD6D0C"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7</w:t>
            </w:r>
          </w:p>
        </w:tc>
        <w:tc>
          <w:tcPr>
            <w:tcW w:w="900" w:type="dxa"/>
            <w:tcBorders>
              <w:top w:val="nil"/>
              <w:left w:val="nil"/>
              <w:bottom w:val="single" w:sz="4" w:space="0" w:color="auto"/>
              <w:right w:val="nil"/>
            </w:tcBorders>
            <w:shd w:val="clear" w:color="auto" w:fill="auto"/>
            <w:noWrap/>
            <w:vAlign w:val="bottom"/>
            <w:hideMark/>
          </w:tcPr>
          <w:p w14:paraId="573D3C3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7</w:t>
            </w:r>
          </w:p>
        </w:tc>
        <w:tc>
          <w:tcPr>
            <w:tcW w:w="900" w:type="dxa"/>
            <w:tcBorders>
              <w:top w:val="nil"/>
              <w:left w:val="nil"/>
              <w:bottom w:val="single" w:sz="4" w:space="0" w:color="auto"/>
              <w:right w:val="nil"/>
            </w:tcBorders>
            <w:shd w:val="clear" w:color="auto" w:fill="auto"/>
            <w:noWrap/>
            <w:vAlign w:val="bottom"/>
            <w:hideMark/>
          </w:tcPr>
          <w:p w14:paraId="633B5E5F"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3</w:t>
            </w:r>
          </w:p>
        </w:tc>
        <w:tc>
          <w:tcPr>
            <w:tcW w:w="900" w:type="dxa"/>
            <w:tcBorders>
              <w:top w:val="nil"/>
              <w:left w:val="nil"/>
              <w:bottom w:val="single" w:sz="4" w:space="0" w:color="auto"/>
              <w:right w:val="nil"/>
            </w:tcBorders>
            <w:shd w:val="clear" w:color="auto" w:fill="auto"/>
            <w:noWrap/>
            <w:vAlign w:val="bottom"/>
            <w:hideMark/>
          </w:tcPr>
          <w:p w14:paraId="77A0474A"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 xml:space="preserve"> 0</w:t>
            </w:r>
          </w:p>
        </w:tc>
      </w:tr>
      <w:tr w:rsidR="00882EA8" w:rsidRPr="00F15230" w14:paraId="332876F7" w14:textId="77777777" w:rsidTr="00DE0D49">
        <w:trPr>
          <w:trHeight w:val="315"/>
        </w:trPr>
        <w:tc>
          <w:tcPr>
            <w:tcW w:w="9006" w:type="dxa"/>
            <w:gridSpan w:val="10"/>
            <w:tcBorders>
              <w:top w:val="single" w:sz="4" w:space="0" w:color="auto"/>
              <w:left w:val="nil"/>
              <w:bottom w:val="nil"/>
              <w:right w:val="nil"/>
            </w:tcBorders>
            <w:shd w:val="clear" w:color="auto" w:fill="auto"/>
            <w:vAlign w:val="bottom"/>
            <w:hideMark/>
          </w:tcPr>
          <w:p w14:paraId="3C80C593" w14:textId="77777777" w:rsidR="00882EA8" w:rsidRPr="00F15230" w:rsidRDefault="00882EA8" w:rsidP="00DE0D49">
            <w:pPr>
              <w:keepNext/>
              <w:tabs>
                <w:tab w:val="clear" w:pos="567"/>
              </w:tabs>
              <w:spacing w:after="0" w:line="240" w:lineRule="auto"/>
              <w:jc w:val="center"/>
              <w:rPr>
                <w:rFonts w:ascii="Calibri" w:eastAsia="Times New Roman" w:hAnsi="Calibri" w:cs="Times New Roman"/>
                <w:b/>
                <w:bCs/>
                <w:color w:val="000000"/>
                <w:sz w:val="20"/>
                <w:szCs w:val="20"/>
              </w:rPr>
            </w:pPr>
            <w:r w:rsidRPr="00F15230">
              <w:rPr>
                <w:rFonts w:ascii="Calibri" w:eastAsia="Times New Roman" w:hAnsi="Calibri" w:cs="Times New Roman"/>
                <w:b/>
                <w:bCs/>
                <w:color w:val="000000"/>
                <w:sz w:val="20"/>
                <w:szCs w:val="20"/>
              </w:rPr>
              <w:t>Panel D Weighted average $/NWAU and ratio</w:t>
            </w:r>
          </w:p>
        </w:tc>
      </w:tr>
      <w:tr w:rsidR="00882EA8" w:rsidRPr="00F15230" w14:paraId="5019A396" w14:textId="77777777" w:rsidTr="00DE0D49">
        <w:trPr>
          <w:trHeight w:val="375"/>
        </w:trPr>
        <w:tc>
          <w:tcPr>
            <w:tcW w:w="6306" w:type="dxa"/>
            <w:gridSpan w:val="7"/>
            <w:tcBorders>
              <w:top w:val="single" w:sz="4" w:space="0" w:color="auto"/>
              <w:left w:val="nil"/>
              <w:bottom w:val="single" w:sz="4" w:space="0" w:color="auto"/>
              <w:right w:val="nil"/>
            </w:tcBorders>
            <w:shd w:val="clear" w:color="auto" w:fill="auto"/>
            <w:vAlign w:val="center"/>
            <w:hideMark/>
          </w:tcPr>
          <w:p w14:paraId="32689E0D"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proofErr w:type="spellStart"/>
            <w:r w:rsidRPr="00F15230">
              <w:rPr>
                <w:rFonts w:ascii="Calibri" w:eastAsia="Times New Roman" w:hAnsi="Calibri" w:cs="Times New Roman"/>
                <w:color w:val="000000"/>
                <w:sz w:val="20"/>
                <w:szCs w:val="20"/>
              </w:rPr>
              <w:t>ASGS</w:t>
            </w:r>
            <w:proofErr w:type="spellEnd"/>
            <w:r w:rsidRPr="00F15230">
              <w:rPr>
                <w:rFonts w:ascii="Calibri" w:eastAsia="Times New Roman" w:hAnsi="Calibri" w:cs="Times New Roman"/>
                <w:color w:val="000000"/>
                <w:sz w:val="20"/>
                <w:szCs w:val="20"/>
              </w:rPr>
              <w:t xml:space="preserve"> region</w:t>
            </w:r>
          </w:p>
        </w:tc>
        <w:tc>
          <w:tcPr>
            <w:tcW w:w="2700" w:type="dxa"/>
            <w:gridSpan w:val="3"/>
            <w:tcBorders>
              <w:top w:val="single" w:sz="4" w:space="0" w:color="auto"/>
              <w:left w:val="nil"/>
              <w:bottom w:val="single" w:sz="4" w:space="0" w:color="auto"/>
              <w:right w:val="nil"/>
            </w:tcBorders>
            <w:shd w:val="clear" w:color="auto" w:fill="auto"/>
            <w:vAlign w:val="center"/>
            <w:hideMark/>
          </w:tcPr>
          <w:p w14:paraId="728414AA" w14:textId="69B5702D"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Weighted average</w:t>
            </w:r>
            <w:r w:rsidR="00DE1C7D">
              <w:rPr>
                <w:rFonts w:ascii="Calibri" w:eastAsia="Times New Roman" w:hAnsi="Calibri" w:cs="Times New Roman"/>
                <w:color w:val="000000"/>
                <w:sz w:val="20"/>
                <w:szCs w:val="20"/>
              </w:rPr>
              <w:t xml:space="preserve"> cost</w:t>
            </w:r>
          </w:p>
        </w:tc>
      </w:tr>
      <w:tr w:rsidR="00882EA8" w:rsidRPr="00F15230" w14:paraId="023043EE" w14:textId="77777777" w:rsidTr="00DE0D49">
        <w:trPr>
          <w:trHeight w:val="315"/>
        </w:trPr>
        <w:tc>
          <w:tcPr>
            <w:tcW w:w="6306" w:type="dxa"/>
            <w:gridSpan w:val="7"/>
            <w:tcBorders>
              <w:top w:val="single" w:sz="4" w:space="0" w:color="auto"/>
              <w:left w:val="nil"/>
              <w:bottom w:val="nil"/>
              <w:right w:val="nil"/>
            </w:tcBorders>
            <w:shd w:val="clear" w:color="auto" w:fill="auto"/>
            <w:vAlign w:val="bottom"/>
            <w:hideMark/>
          </w:tcPr>
          <w:p w14:paraId="02A585A4"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Inner/Outer regional and remote</w:t>
            </w:r>
          </w:p>
        </w:tc>
        <w:tc>
          <w:tcPr>
            <w:tcW w:w="2700" w:type="dxa"/>
            <w:gridSpan w:val="3"/>
            <w:tcBorders>
              <w:top w:val="single" w:sz="4" w:space="0" w:color="auto"/>
              <w:left w:val="nil"/>
              <w:bottom w:val="nil"/>
              <w:right w:val="nil"/>
            </w:tcBorders>
            <w:shd w:val="clear" w:color="auto" w:fill="auto"/>
            <w:vAlign w:val="bottom"/>
            <w:hideMark/>
          </w:tcPr>
          <w:p w14:paraId="23049762"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9 434</w:t>
            </w:r>
          </w:p>
        </w:tc>
      </w:tr>
      <w:tr w:rsidR="00882EA8" w:rsidRPr="00F15230" w14:paraId="6BCB953E" w14:textId="77777777" w:rsidTr="00DE0D49">
        <w:trPr>
          <w:trHeight w:val="315"/>
        </w:trPr>
        <w:tc>
          <w:tcPr>
            <w:tcW w:w="6306" w:type="dxa"/>
            <w:gridSpan w:val="7"/>
            <w:tcBorders>
              <w:top w:val="nil"/>
              <w:left w:val="nil"/>
              <w:bottom w:val="single" w:sz="4" w:space="0" w:color="auto"/>
              <w:right w:val="nil"/>
            </w:tcBorders>
            <w:shd w:val="clear" w:color="auto" w:fill="auto"/>
            <w:vAlign w:val="bottom"/>
            <w:hideMark/>
          </w:tcPr>
          <w:p w14:paraId="10AAA3DB"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Very remote</w:t>
            </w:r>
          </w:p>
        </w:tc>
        <w:tc>
          <w:tcPr>
            <w:tcW w:w="2700" w:type="dxa"/>
            <w:gridSpan w:val="3"/>
            <w:tcBorders>
              <w:top w:val="nil"/>
              <w:left w:val="nil"/>
              <w:bottom w:val="single" w:sz="4" w:space="0" w:color="auto"/>
              <w:right w:val="nil"/>
            </w:tcBorders>
            <w:shd w:val="clear" w:color="auto" w:fill="auto"/>
            <w:vAlign w:val="bottom"/>
            <w:hideMark/>
          </w:tcPr>
          <w:p w14:paraId="7D5CCA58"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10 314</w:t>
            </w:r>
          </w:p>
        </w:tc>
      </w:tr>
      <w:tr w:rsidR="00882EA8" w:rsidRPr="00F15230" w14:paraId="0CD92EB9" w14:textId="77777777" w:rsidTr="00DE0D49">
        <w:trPr>
          <w:trHeight w:val="315"/>
        </w:trPr>
        <w:tc>
          <w:tcPr>
            <w:tcW w:w="6306" w:type="dxa"/>
            <w:gridSpan w:val="7"/>
            <w:tcBorders>
              <w:top w:val="nil"/>
              <w:left w:val="nil"/>
              <w:bottom w:val="single" w:sz="4" w:space="0" w:color="auto"/>
              <w:right w:val="nil"/>
            </w:tcBorders>
            <w:shd w:val="clear" w:color="auto" w:fill="auto"/>
            <w:vAlign w:val="bottom"/>
            <w:hideMark/>
          </w:tcPr>
          <w:p w14:paraId="7C294E5A" w14:textId="77777777" w:rsidR="00882EA8" w:rsidRPr="00F15230" w:rsidRDefault="00882EA8" w:rsidP="00DE0D49">
            <w:pPr>
              <w:keepNext/>
              <w:tabs>
                <w:tab w:val="clear" w:pos="567"/>
              </w:tabs>
              <w:spacing w:after="0" w:line="240" w:lineRule="auto"/>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Ratio of Very remote to Inner/Outer regional and remote</w:t>
            </w:r>
          </w:p>
        </w:tc>
        <w:tc>
          <w:tcPr>
            <w:tcW w:w="2700" w:type="dxa"/>
            <w:gridSpan w:val="3"/>
            <w:tcBorders>
              <w:top w:val="single" w:sz="4" w:space="0" w:color="auto"/>
              <w:left w:val="nil"/>
              <w:bottom w:val="single" w:sz="4" w:space="0" w:color="auto"/>
              <w:right w:val="nil"/>
            </w:tcBorders>
            <w:shd w:val="clear" w:color="auto" w:fill="auto"/>
            <w:vAlign w:val="bottom"/>
            <w:hideMark/>
          </w:tcPr>
          <w:p w14:paraId="57AFC303" w14:textId="77777777" w:rsidR="00882EA8" w:rsidRPr="00F15230" w:rsidRDefault="00882EA8" w:rsidP="00DE0D49">
            <w:pPr>
              <w:keepNext/>
              <w:tabs>
                <w:tab w:val="clear" w:pos="567"/>
              </w:tabs>
              <w:spacing w:after="0" w:line="240" w:lineRule="auto"/>
              <w:jc w:val="right"/>
              <w:rPr>
                <w:rFonts w:ascii="Calibri" w:eastAsia="Times New Roman" w:hAnsi="Calibri" w:cs="Times New Roman"/>
                <w:color w:val="000000"/>
                <w:sz w:val="20"/>
                <w:szCs w:val="20"/>
              </w:rPr>
            </w:pPr>
            <w:r w:rsidRPr="00F15230">
              <w:rPr>
                <w:rFonts w:ascii="Calibri" w:eastAsia="Times New Roman" w:hAnsi="Calibri" w:cs="Times New Roman"/>
                <w:color w:val="000000"/>
                <w:sz w:val="20"/>
                <w:szCs w:val="20"/>
              </w:rPr>
              <w:t>1.09</w:t>
            </w:r>
          </w:p>
        </w:tc>
      </w:tr>
    </w:tbl>
    <w:p w14:paraId="02E22084" w14:textId="77777777" w:rsidR="00882EA8" w:rsidRPr="00552E56" w:rsidRDefault="00882EA8" w:rsidP="00552E56">
      <w:pPr>
        <w:pStyle w:val="CGCTableFootnote"/>
      </w:pPr>
      <w:r w:rsidRPr="00552E56">
        <w:t>(a)</w:t>
      </w:r>
      <w:r w:rsidRPr="00552E56">
        <w:tab/>
        <w:t>The ‘average NWAU’ is simply the mid-point of the value range.</w:t>
      </w:r>
    </w:p>
    <w:p w14:paraId="380608FF" w14:textId="77777777" w:rsidR="00882EA8" w:rsidRPr="00552E56" w:rsidRDefault="00882EA8" w:rsidP="00552E56">
      <w:pPr>
        <w:pStyle w:val="CGCTableFootnote"/>
      </w:pPr>
      <w:r w:rsidRPr="00552E56">
        <w:t>(b)</w:t>
      </w:r>
      <w:r w:rsidRPr="00552E56">
        <w:tab/>
        <w:t>Hospitals from Group 0 (hospitals with in</w:t>
      </w:r>
      <w:r w:rsidRPr="00552E56">
        <w:noBreakHyphen/>
        <w:t>scope expenditure below 0.5 million) are excluded from the calculation as NWAU volumes are not available.</w:t>
      </w:r>
    </w:p>
    <w:p w14:paraId="5A93FC73" w14:textId="77777777" w:rsidR="00882EA8" w:rsidRPr="00552E56" w:rsidRDefault="00882EA8" w:rsidP="00552E56">
      <w:pPr>
        <w:pStyle w:val="CGCTableFootnote"/>
      </w:pPr>
      <w:r w:rsidRPr="00552E56">
        <w:t>Source:</w:t>
      </w:r>
      <w:r w:rsidRPr="00552E56">
        <w:tab/>
        <w:t xml:space="preserve">Staff calculation using IHPA </w:t>
      </w:r>
      <w:hyperlink r:id="rId21" w:history="1">
        <w:r w:rsidRPr="00282003">
          <w:rPr>
            <w:rStyle w:val="Hyperlink"/>
            <w:i/>
            <w:color w:val="auto"/>
            <w:u w:val="none"/>
          </w:rPr>
          <w:t>National Efficient Cost Determination 2018</w:t>
        </w:r>
        <w:r w:rsidRPr="00282003">
          <w:rPr>
            <w:rStyle w:val="Hyperlink"/>
            <w:i/>
            <w:color w:val="auto"/>
            <w:u w:val="none"/>
          </w:rPr>
          <w:noBreakHyphen/>
          <w:t>19</w:t>
        </w:r>
      </w:hyperlink>
      <w:r w:rsidRPr="00552E56">
        <w:t xml:space="preserve">, Table 1 and </w:t>
      </w:r>
      <w:hyperlink r:id="rId22" w:history="1">
        <w:r w:rsidRPr="00282003">
          <w:rPr>
            <w:rStyle w:val="Hyperlink"/>
            <w:i/>
            <w:color w:val="auto"/>
            <w:u w:val="none"/>
          </w:rPr>
          <w:t>National Pricing Model Technical Specification 2018</w:t>
        </w:r>
        <w:r w:rsidRPr="00282003">
          <w:rPr>
            <w:rStyle w:val="Hyperlink"/>
            <w:i/>
            <w:color w:val="auto"/>
            <w:u w:val="none"/>
          </w:rPr>
          <w:noBreakHyphen/>
          <w:t>19</w:t>
        </w:r>
      </w:hyperlink>
      <w:r w:rsidRPr="00552E56">
        <w:t>, Table 20.</w:t>
      </w:r>
    </w:p>
    <w:bookmarkEnd w:id="101"/>
    <w:p w14:paraId="1E13202B" w14:textId="77777777" w:rsidR="00882EA8" w:rsidRPr="00F15230" w:rsidRDefault="00882EA8" w:rsidP="00882EA8">
      <w:pPr>
        <w:pStyle w:val="CGCNumberedPara"/>
        <w:numPr>
          <w:ilvl w:val="1"/>
          <w:numId w:val="3"/>
        </w:numPr>
      </w:pPr>
      <w:r w:rsidRPr="00F15230">
        <w:rPr>
          <w:rStyle w:val="Heading6Char"/>
        </w:rPr>
        <w:t>Remoteness and SDS in community and other health services.</w:t>
      </w:r>
      <w:r w:rsidRPr="00F15230">
        <w:t xml:space="preserve"> The community health component currently uses ED triage 4 and 5 NWAU data for its SDC assessment. Any cost adjustments included in the NWAU data for ED services are picked up in the community health assessment.</w:t>
      </w:r>
    </w:p>
    <w:p w14:paraId="5EC5C0D3" w14:textId="77777777" w:rsidR="00882EA8" w:rsidRPr="00F15230" w:rsidRDefault="00882EA8" w:rsidP="00882EA8">
      <w:pPr>
        <w:pStyle w:val="CGCNumberedPara"/>
        <w:numPr>
          <w:ilvl w:val="1"/>
          <w:numId w:val="3"/>
        </w:numPr>
      </w:pPr>
      <w:proofErr w:type="gramStart"/>
      <w:r w:rsidRPr="00F15230">
        <w:t>Staff are</w:t>
      </w:r>
      <w:proofErr w:type="gramEnd"/>
      <w:r w:rsidRPr="00F15230">
        <w:t xml:space="preserve"> still considering which data will be most appropriate for the community health SDC assessment in the 2020 Review. However, if the Commission continues </w:t>
      </w:r>
      <w:r w:rsidRPr="00F15230">
        <w:lastRenderedPageBreak/>
        <w:t xml:space="preserve">using IHPA’s ED data, it will need to ensure that the remoteness and SDS costs are fully recognised in the community health assessment.  </w:t>
      </w:r>
    </w:p>
    <w:p w14:paraId="63834920" w14:textId="391819D4" w:rsidR="00882EA8" w:rsidRPr="00F15230" w:rsidRDefault="00882EA8" w:rsidP="00882EA8">
      <w:pPr>
        <w:pStyle w:val="CGCNumberedPara"/>
      </w:pPr>
      <w:r w:rsidRPr="00F15230">
        <w:rPr>
          <w:rStyle w:val="Heading6Char"/>
        </w:rPr>
        <w:t>Disaggregation of remoteness areas in the SDC assessments.</w:t>
      </w:r>
      <w:r w:rsidRPr="00F15230">
        <w:t xml:space="preserve"> The SDC assessments for all components of the </w:t>
      </w:r>
      <w:r w:rsidR="00DE1C7D">
        <w:t>H</w:t>
      </w:r>
      <w:r w:rsidRPr="00F15230">
        <w:t xml:space="preserve">ealth assessment (except patient transport) are currently disaggregated into the four remoteness areas set out in </w:t>
      </w:r>
      <w:r w:rsidRPr="00F15230">
        <w:fldChar w:fldCharType="begin"/>
      </w:r>
      <w:r w:rsidRPr="00F15230">
        <w:instrText xml:space="preserve"> REF _Ref493768594 \h  \* MERGEFORMAT </w:instrText>
      </w:r>
      <w:r w:rsidRPr="00F15230">
        <w:fldChar w:fldCharType="separate"/>
      </w:r>
      <w:r w:rsidR="005A6E12" w:rsidRPr="00F15230">
        <w:t xml:space="preserve">Table </w:t>
      </w:r>
      <w:r w:rsidR="005A6E12">
        <w:t>2</w:t>
      </w:r>
      <w:r w:rsidRPr="00F15230">
        <w:fldChar w:fldCharType="end"/>
      </w:r>
      <w:r w:rsidRPr="00F15230">
        <w:t>, with remote and very remote NWAUs combined into one group.</w:t>
      </w:r>
      <w:r w:rsidRPr="00F15230">
        <w:rPr>
          <w:rStyle w:val="FootnoteReference"/>
        </w:rPr>
        <w:footnoteReference w:id="12"/>
      </w:r>
      <w:r w:rsidRPr="00F15230">
        <w:t xml:space="preserve"> After we complete our analysis of remoteness costs and make any necessary adjustments to the methodology, we will consider splitting the remote and very remote group. This would be subject to materiality and practicality considerations.</w:t>
      </w:r>
    </w:p>
    <w:p w14:paraId="3E992EBC" w14:textId="77777777" w:rsidR="00882EA8" w:rsidRPr="00F15230" w:rsidRDefault="00882EA8" w:rsidP="00882EA8">
      <w:pPr>
        <w:pStyle w:val="NoSpacing"/>
      </w:pPr>
    </w:p>
    <w:tbl>
      <w:tblPr>
        <w:tblStyle w:val="TableGrid"/>
        <w:tblW w:w="0" w:type="auto"/>
        <w:tblLook w:val="04A0" w:firstRow="1" w:lastRow="0" w:firstColumn="1" w:lastColumn="0" w:noHBand="0" w:noVBand="1"/>
      </w:tblPr>
      <w:tblGrid>
        <w:gridCol w:w="9167"/>
      </w:tblGrid>
      <w:tr w:rsidR="00882EA8" w:rsidRPr="00F15230" w14:paraId="06BAA6AD" w14:textId="77777777" w:rsidTr="00DE0D49">
        <w:tc>
          <w:tcPr>
            <w:tcW w:w="9167" w:type="dxa"/>
            <w:tcBorders>
              <w:top w:val="nil"/>
              <w:left w:val="nil"/>
              <w:bottom w:val="nil"/>
              <w:right w:val="nil"/>
            </w:tcBorders>
            <w:shd w:val="clear" w:color="auto" w:fill="D9F3E6"/>
          </w:tcPr>
          <w:p w14:paraId="15A2C189" w14:textId="77777777" w:rsidR="00882EA8" w:rsidRPr="00F15230" w:rsidRDefault="00882EA8" w:rsidP="00DE0D49">
            <w:pPr>
              <w:pStyle w:val="NoSpacing"/>
            </w:pPr>
            <w:r w:rsidRPr="00F15230">
              <w:t>Staff propose to recommend the Commission:</w:t>
            </w:r>
          </w:p>
          <w:p w14:paraId="1FE75314" w14:textId="77777777" w:rsidR="00882EA8" w:rsidRPr="00F15230" w:rsidRDefault="00882EA8" w:rsidP="00DE0D49">
            <w:pPr>
              <w:pStyle w:val="CGCBulletlist"/>
            </w:pPr>
            <w:r w:rsidRPr="00F15230">
              <w:t>note the changes to IHPA’s adjustments for 2018</w:t>
            </w:r>
            <w:r w:rsidRPr="00F15230">
              <w:noBreakHyphen/>
              <w:t xml:space="preserve">19 NWAU data, which will affect the assessment for the first time in the 2020 Review </w:t>
            </w:r>
          </w:p>
          <w:p w14:paraId="086AE37C" w14:textId="77777777" w:rsidR="00882EA8" w:rsidRPr="00F15230" w:rsidRDefault="00882EA8" w:rsidP="00DE0D49">
            <w:pPr>
              <w:pStyle w:val="CGCBulletlist"/>
            </w:pPr>
            <w:r w:rsidRPr="00F15230">
              <w:t>ensure all hospital remoteness and SDS costs for small rural block funded hospitals are recognised in the SDC assessments for hospital services (admitted patients, ED and NAP)</w:t>
            </w:r>
          </w:p>
          <w:p w14:paraId="07A5CEE3" w14:textId="77777777" w:rsidR="00882EA8" w:rsidRPr="00F15230" w:rsidRDefault="00882EA8" w:rsidP="00DE0D49">
            <w:pPr>
              <w:pStyle w:val="CGCBulletlist"/>
            </w:pPr>
            <w:r w:rsidRPr="00F15230">
              <w:t>take steps to ensure that the proxy indicator used in the SDC assessment for com</w:t>
            </w:r>
            <w:r>
              <w:t>munity health</w:t>
            </w:r>
            <w:r w:rsidRPr="00F15230">
              <w:t xml:space="preserve"> adequately recognises remoteness and SDS costs </w:t>
            </w:r>
          </w:p>
          <w:p w14:paraId="7EFE8ED6" w14:textId="77777777" w:rsidR="00882EA8" w:rsidRPr="00F15230" w:rsidRDefault="00882EA8" w:rsidP="00DE0D49">
            <w:pPr>
              <w:pStyle w:val="CGCBulletlist"/>
            </w:pPr>
            <w:proofErr w:type="gramStart"/>
            <w:r w:rsidRPr="00F15230">
              <w:t>re-test</w:t>
            </w:r>
            <w:proofErr w:type="gramEnd"/>
            <w:r w:rsidRPr="00F15230">
              <w:t xml:space="preserve"> the materiality of splitting remote and very remote areas in the SDC assessments.</w:t>
            </w:r>
          </w:p>
        </w:tc>
      </w:tr>
    </w:tbl>
    <w:p w14:paraId="16C1B5CA" w14:textId="77777777" w:rsidR="005C0CD6" w:rsidRPr="00F15230" w:rsidRDefault="005C0CD6" w:rsidP="005C0CD6">
      <w:pPr>
        <w:pStyle w:val="Heading5"/>
        <w:rPr>
          <w:rStyle w:val="Heading6Char"/>
          <w:b/>
          <w:i/>
          <w:iCs w:val="0"/>
        </w:rPr>
      </w:pPr>
      <w:bookmarkStart w:id="103" w:name="_Ref498342075"/>
      <w:r w:rsidRPr="00F15230">
        <w:rPr>
          <w:rStyle w:val="Heading6Char"/>
          <w:b/>
          <w:i/>
          <w:iCs w:val="0"/>
        </w:rPr>
        <w:t>Disaggregation of age groups</w:t>
      </w:r>
    </w:p>
    <w:p w14:paraId="2067D210" w14:textId="5EFE2CD1" w:rsidR="005C0CD6" w:rsidRPr="00F15230" w:rsidRDefault="005C0CD6" w:rsidP="005C0CD6">
      <w:pPr>
        <w:pStyle w:val="CGCNumberedPara"/>
        <w:numPr>
          <w:ilvl w:val="1"/>
          <w:numId w:val="3"/>
        </w:numPr>
      </w:pPr>
      <w:r w:rsidRPr="00F15230">
        <w:t xml:space="preserve">The SDC assessments are currently disaggregated into five age groups as set out in </w:t>
      </w:r>
      <w:r w:rsidRPr="00F15230">
        <w:fldChar w:fldCharType="begin"/>
      </w:r>
      <w:r w:rsidRPr="00F15230">
        <w:instrText xml:space="preserve"> REF _Ref493768594 \h </w:instrText>
      </w:r>
      <w:r w:rsidR="00F15230">
        <w:instrText xml:space="preserve"> \* MERGEFORMAT </w:instrText>
      </w:r>
      <w:r w:rsidRPr="00F15230">
        <w:fldChar w:fldCharType="separate"/>
      </w:r>
      <w:r w:rsidR="005A6E12" w:rsidRPr="00F15230">
        <w:t xml:space="preserve">Table </w:t>
      </w:r>
      <w:r w:rsidR="005A6E12">
        <w:t>2</w:t>
      </w:r>
      <w:r w:rsidRPr="00F15230">
        <w:fldChar w:fldCharType="end"/>
      </w:r>
      <w:r w:rsidRPr="00F15230">
        <w:t>. As a greater share of the population move</w:t>
      </w:r>
      <w:r w:rsidR="00BA47D1" w:rsidRPr="00F15230">
        <w:t>s into the older age group (75+</w:t>
      </w:r>
      <w:r w:rsidR="00CD5DE3" w:rsidRPr="00F15230">
        <w:t> </w:t>
      </w:r>
      <w:r w:rsidRPr="00F15230">
        <w:t>years)</w:t>
      </w:r>
      <w:r w:rsidR="00BA47D1" w:rsidRPr="00F15230">
        <w:t>,</w:t>
      </w:r>
      <w:r w:rsidRPr="00F15230">
        <w:t xml:space="preserve"> </w:t>
      </w:r>
      <w:r w:rsidR="00421445" w:rsidRPr="00F15230">
        <w:t>staff</w:t>
      </w:r>
      <w:r w:rsidRPr="00F15230">
        <w:t xml:space="preserve"> will consider if it is material to split t</w:t>
      </w:r>
      <w:r w:rsidR="00CD5DE3" w:rsidRPr="00F15230">
        <w:t>he older age group to have a 75 </w:t>
      </w:r>
      <w:r w:rsidRPr="00F15230">
        <w:t>to 84 years age group and an 85+ age group. The threshold for further disaggregating a disability has been set at $35 per capita</w:t>
      </w:r>
      <w:r w:rsidR="00DD3F07" w:rsidRPr="00F15230">
        <w:t xml:space="preserve"> across all categories</w:t>
      </w:r>
      <w:r w:rsidRPr="00F15230">
        <w:t>.</w:t>
      </w:r>
    </w:p>
    <w:p w14:paraId="18A547E6" w14:textId="77777777" w:rsidR="00C64292" w:rsidRPr="00F15230" w:rsidRDefault="00C64292" w:rsidP="00C64292">
      <w:pPr>
        <w:pStyle w:val="NoSpacing"/>
      </w:pPr>
    </w:p>
    <w:tbl>
      <w:tblPr>
        <w:tblStyle w:val="TableGrid"/>
        <w:tblW w:w="0" w:type="auto"/>
        <w:tblLook w:val="04A0" w:firstRow="1" w:lastRow="0" w:firstColumn="1" w:lastColumn="0" w:noHBand="0" w:noVBand="1"/>
      </w:tblPr>
      <w:tblGrid>
        <w:gridCol w:w="9167"/>
      </w:tblGrid>
      <w:tr w:rsidR="005C0CD6" w:rsidRPr="00F15230" w14:paraId="1271E055" w14:textId="77777777" w:rsidTr="000D4B71">
        <w:tc>
          <w:tcPr>
            <w:tcW w:w="9167" w:type="dxa"/>
            <w:tcBorders>
              <w:top w:val="nil"/>
              <w:left w:val="nil"/>
              <w:bottom w:val="nil"/>
              <w:right w:val="nil"/>
            </w:tcBorders>
            <w:shd w:val="clear" w:color="auto" w:fill="D9F3E6"/>
          </w:tcPr>
          <w:p w14:paraId="2B04EE64" w14:textId="77777777" w:rsidR="005C0CD6" w:rsidRPr="00F15230" w:rsidRDefault="005C0CD6" w:rsidP="000D4B71">
            <w:pPr>
              <w:pStyle w:val="NoSpacing"/>
            </w:pPr>
            <w:r w:rsidRPr="00F15230">
              <w:t>Staff propose to recommend the Commission:</w:t>
            </w:r>
          </w:p>
          <w:p w14:paraId="773A4B91" w14:textId="75B03366" w:rsidR="005C0CD6" w:rsidRPr="00F15230" w:rsidRDefault="00BA47D1" w:rsidP="00A41B86">
            <w:pPr>
              <w:pStyle w:val="CGCBulletlist"/>
            </w:pPr>
            <w:proofErr w:type="gramStart"/>
            <w:r w:rsidRPr="00F15230">
              <w:t>r</w:t>
            </w:r>
            <w:r w:rsidR="0038126E" w:rsidRPr="00F15230">
              <w:t>e-</w:t>
            </w:r>
            <w:r w:rsidR="005C0CD6" w:rsidRPr="00F15230">
              <w:t>test</w:t>
            </w:r>
            <w:proofErr w:type="gramEnd"/>
            <w:r w:rsidR="005C0CD6" w:rsidRPr="00F15230">
              <w:t xml:space="preserve"> the materiality of splitting the older age group (75+ years) to have a 75</w:t>
            </w:r>
            <w:r w:rsidR="00A41B86">
              <w:noBreakHyphen/>
            </w:r>
            <w:r w:rsidR="005C0CD6" w:rsidRPr="00F15230">
              <w:t>84 years age group and an 85+ age group.</w:t>
            </w:r>
          </w:p>
        </w:tc>
      </w:tr>
    </w:tbl>
    <w:p w14:paraId="6AB8EF09" w14:textId="168CFFB6" w:rsidR="00A36EDC" w:rsidRPr="00F15230" w:rsidRDefault="00A36EDC" w:rsidP="0064762F">
      <w:pPr>
        <w:pStyle w:val="Heading4"/>
        <w:rPr>
          <w:rStyle w:val="Heading6Char"/>
          <w:b/>
          <w:i w:val="0"/>
          <w:iCs/>
          <w:sz w:val="32"/>
        </w:rPr>
      </w:pPr>
      <w:bookmarkStart w:id="104" w:name="_Toc509231094"/>
      <w:bookmarkStart w:id="105" w:name="_Toc511054119"/>
      <w:bookmarkStart w:id="106" w:name="_Toc511127561"/>
      <w:bookmarkStart w:id="107" w:name="_Toc511977539"/>
      <w:r w:rsidRPr="00F15230">
        <w:rPr>
          <w:rStyle w:val="Heading6Char"/>
          <w:b/>
          <w:i w:val="0"/>
          <w:iCs/>
          <w:sz w:val="32"/>
        </w:rPr>
        <w:t>Substitutability</w:t>
      </w:r>
      <w:bookmarkEnd w:id="104"/>
      <w:bookmarkEnd w:id="105"/>
      <w:bookmarkEnd w:id="106"/>
      <w:bookmarkEnd w:id="107"/>
    </w:p>
    <w:p w14:paraId="06F8EECB" w14:textId="4A0447FA" w:rsidR="00A36EDC" w:rsidRPr="00F15230" w:rsidRDefault="00A36EDC" w:rsidP="00A36EDC">
      <w:pPr>
        <w:pStyle w:val="CGCNumberedPara"/>
      </w:pPr>
      <w:r w:rsidRPr="00F15230">
        <w:t xml:space="preserve">To implement the direct approach it is necessary to </w:t>
      </w:r>
      <w:r w:rsidR="00D505F6" w:rsidRPr="00F15230">
        <w:t xml:space="preserve">identify any State-like services and </w:t>
      </w:r>
      <w:r w:rsidRPr="00F15230">
        <w:t>decide:</w:t>
      </w:r>
    </w:p>
    <w:p w14:paraId="0BB145D1" w14:textId="46D28904" w:rsidR="00A36EDC" w:rsidRPr="00F15230" w:rsidRDefault="008F6FD7" w:rsidP="00CB18EB">
      <w:pPr>
        <w:pStyle w:val="CGCBulletlist"/>
      </w:pPr>
      <w:r w:rsidRPr="00F15230">
        <w:t xml:space="preserve">whether </w:t>
      </w:r>
      <w:r w:rsidR="00D505F6" w:rsidRPr="00F15230">
        <w:t xml:space="preserve">the </w:t>
      </w:r>
      <w:r w:rsidR="00F84817" w:rsidRPr="00F15230">
        <w:t xml:space="preserve">availability </w:t>
      </w:r>
      <w:r w:rsidR="00D505F6" w:rsidRPr="00F15230">
        <w:t xml:space="preserve">of State-like services </w:t>
      </w:r>
      <w:r w:rsidR="00A36EDC" w:rsidRPr="00F15230">
        <w:t>affect</w:t>
      </w:r>
      <w:r w:rsidR="00F84817" w:rsidRPr="00F15230">
        <w:t>s</w:t>
      </w:r>
      <w:r w:rsidR="00A36EDC" w:rsidRPr="00F15230">
        <w:t xml:space="preserve"> </w:t>
      </w:r>
      <w:r w:rsidR="00F84817" w:rsidRPr="00F15230">
        <w:t xml:space="preserve">State decisions about </w:t>
      </w:r>
      <w:r w:rsidR="005C3CA3" w:rsidRPr="00F15230">
        <w:t>the</w:t>
      </w:r>
      <w:r w:rsidRPr="00F15230">
        <w:t xml:space="preserve"> </w:t>
      </w:r>
      <w:r w:rsidR="00F84817" w:rsidRPr="00F15230">
        <w:t>level of service provision</w:t>
      </w:r>
    </w:p>
    <w:p w14:paraId="25BF0631" w14:textId="160E84D5" w:rsidR="00D505F6" w:rsidRPr="00F15230" w:rsidRDefault="00A36EDC" w:rsidP="00D505F6">
      <w:pPr>
        <w:pStyle w:val="CGCBulletlist"/>
      </w:pPr>
      <w:r w:rsidRPr="00F15230">
        <w:lastRenderedPageBreak/>
        <w:t>what proportion of Sta</w:t>
      </w:r>
      <w:r w:rsidR="005B4A79" w:rsidRPr="00F15230">
        <w:t xml:space="preserve">te services are affected by </w:t>
      </w:r>
      <w:r w:rsidR="00850BE1" w:rsidRPr="00F15230">
        <w:t xml:space="preserve">the availability </w:t>
      </w:r>
      <w:r w:rsidR="0064762F" w:rsidRPr="00F15230">
        <w:t>of State-like services</w:t>
      </w:r>
      <w:r w:rsidR="005C3CA3" w:rsidRPr="00F15230">
        <w:t xml:space="preserve"> in the non-State sector</w:t>
      </w:r>
      <w:r w:rsidR="00D505F6" w:rsidRPr="00F15230">
        <w:t xml:space="preserve"> (referred to as the substitutability level)</w:t>
      </w:r>
    </w:p>
    <w:p w14:paraId="34DB9605" w14:textId="4C01D1C3" w:rsidR="00A36EDC" w:rsidRPr="00F15230" w:rsidRDefault="00A36EDC" w:rsidP="00CB18EB">
      <w:pPr>
        <w:pStyle w:val="CGCBulletlist"/>
      </w:pPr>
      <w:proofErr w:type="gramStart"/>
      <w:r w:rsidRPr="00F15230">
        <w:t>what</w:t>
      </w:r>
      <w:proofErr w:type="gramEnd"/>
      <w:r w:rsidRPr="00F15230">
        <w:t xml:space="preserve"> data should be used as an indicator of the level of non-State service provision.</w:t>
      </w:r>
    </w:p>
    <w:p w14:paraId="42D6224D" w14:textId="097EBA71" w:rsidR="007C371E" w:rsidRPr="00F15230" w:rsidRDefault="00D505F6" w:rsidP="00A36EDC">
      <w:pPr>
        <w:pStyle w:val="CGCNumberedPara"/>
      </w:pPr>
      <w:r w:rsidRPr="00F15230">
        <w:t>Identifying non</w:t>
      </w:r>
      <w:r w:rsidRPr="00F15230">
        <w:noBreakHyphen/>
        <w:t>State services which affect what States spend requires evidence that State decisions about the level of service provision are affected by the availability of non</w:t>
      </w:r>
      <w:r w:rsidRPr="00F15230">
        <w:noBreakHyphen/>
        <w:t xml:space="preserve">State services. The mere presence of a comparable non-State service provider is not evidence of substitutability. Other considerations, including </w:t>
      </w:r>
      <w:r w:rsidR="00552E56">
        <w:t>eligibility</w:t>
      </w:r>
      <w:r w:rsidRPr="00F15230">
        <w:t xml:space="preserve"> for State services and income constraints, must be evaluated. The relevant considerations will be different for each service area.</w:t>
      </w:r>
      <w:r w:rsidR="007C371E" w:rsidRPr="00F15230">
        <w:t xml:space="preserve"> </w:t>
      </w:r>
    </w:p>
    <w:p w14:paraId="1AAA67EA" w14:textId="196D92D3" w:rsidR="00A36EDC" w:rsidRPr="00F15230" w:rsidRDefault="00A36EDC" w:rsidP="007D29AA">
      <w:pPr>
        <w:pStyle w:val="CGCNumberedPara"/>
        <w:tabs>
          <w:tab w:val="left" w:pos="2268"/>
        </w:tabs>
      </w:pPr>
      <w:r w:rsidRPr="00F15230">
        <w:t xml:space="preserve">The substitutability levels adopted by the Commission in the 2015 Review are shown in </w:t>
      </w:r>
      <w:r w:rsidRPr="00F15230">
        <w:fldChar w:fldCharType="begin"/>
      </w:r>
      <w:r w:rsidRPr="00F15230">
        <w:instrText xml:space="preserve"> REF _Ref505688161 \h </w:instrText>
      </w:r>
      <w:r w:rsidR="00F95C82" w:rsidRPr="00F15230">
        <w:instrText xml:space="preserve"> \* MERGEFORMAT </w:instrText>
      </w:r>
      <w:r w:rsidRPr="00F15230">
        <w:fldChar w:fldCharType="separate"/>
      </w:r>
      <w:r w:rsidR="005A6E12" w:rsidRPr="00F15230">
        <w:t xml:space="preserve">Table </w:t>
      </w:r>
      <w:r w:rsidR="005A6E12">
        <w:t>3</w:t>
      </w:r>
      <w:r w:rsidRPr="00F15230">
        <w:fldChar w:fldCharType="end"/>
      </w:r>
      <w:r w:rsidRPr="00F15230">
        <w:t xml:space="preserve">. </w:t>
      </w:r>
      <w:r w:rsidR="002B28E7" w:rsidRPr="00F15230">
        <w:t xml:space="preserve">They </w:t>
      </w:r>
      <w:r w:rsidR="00061CF5" w:rsidRPr="00F15230">
        <w:t xml:space="preserve">are the proportion of </w:t>
      </w:r>
      <w:r w:rsidR="00F71A43" w:rsidRPr="00F15230">
        <w:t xml:space="preserve">spending on State </w:t>
      </w:r>
      <w:r w:rsidR="00061CF5" w:rsidRPr="00F15230">
        <w:t xml:space="preserve">services affected by </w:t>
      </w:r>
      <w:r w:rsidR="007D29AA" w:rsidRPr="00F15230">
        <w:t xml:space="preserve">comparable </w:t>
      </w:r>
      <w:r w:rsidR="00061CF5" w:rsidRPr="00F15230">
        <w:t xml:space="preserve">services in the non-State sector. </w:t>
      </w:r>
      <w:r w:rsidR="004D23D1" w:rsidRPr="00F15230">
        <w:t xml:space="preserve">During the 2015 Review, consultants reviewed the substitutability levels proposed by the Commission and their views helped </w:t>
      </w:r>
      <w:r w:rsidR="007D29AA" w:rsidRPr="00F15230">
        <w:t xml:space="preserve">determine </w:t>
      </w:r>
      <w:r w:rsidR="004D23D1" w:rsidRPr="00F15230">
        <w:t xml:space="preserve">the final levels adopted by the Commission. </w:t>
      </w:r>
      <w:proofErr w:type="gramStart"/>
      <w:r w:rsidR="00061CF5" w:rsidRPr="00F15230">
        <w:t>Staff consider</w:t>
      </w:r>
      <w:proofErr w:type="gramEnd"/>
      <w:r w:rsidR="00061CF5" w:rsidRPr="00F15230">
        <w:t xml:space="preserve"> t</w:t>
      </w:r>
      <w:r w:rsidR="004D23D1" w:rsidRPr="00F15230">
        <w:t xml:space="preserve">he </w:t>
      </w:r>
      <w:r w:rsidR="007D29AA" w:rsidRPr="00F15230">
        <w:t xml:space="preserve">choice </w:t>
      </w:r>
      <w:r w:rsidR="004D23D1" w:rsidRPr="00F15230">
        <w:t xml:space="preserve">of </w:t>
      </w:r>
      <w:r w:rsidR="00061CF5" w:rsidRPr="00F15230">
        <w:t>substitutability level</w:t>
      </w:r>
      <w:r w:rsidR="007D29AA" w:rsidRPr="00F15230">
        <w:t>s</w:t>
      </w:r>
      <w:r w:rsidR="00061CF5" w:rsidRPr="00F15230">
        <w:t xml:space="preserve"> is </w:t>
      </w:r>
      <w:r w:rsidR="00552E56">
        <w:t xml:space="preserve">one of </w:t>
      </w:r>
      <w:r w:rsidR="00061CF5" w:rsidRPr="00F15230">
        <w:t>the main issue</w:t>
      </w:r>
      <w:r w:rsidR="00E86822">
        <w:t>s</w:t>
      </w:r>
      <w:r w:rsidR="00061CF5" w:rsidRPr="00F15230">
        <w:t xml:space="preserve"> for this review.</w:t>
      </w:r>
    </w:p>
    <w:p w14:paraId="2DB9DE10" w14:textId="6D10A0D4" w:rsidR="00061CF5" w:rsidRPr="00F15230" w:rsidRDefault="002B28E7" w:rsidP="00A36EDC">
      <w:pPr>
        <w:pStyle w:val="CGCNumberedPara"/>
      </w:pPr>
      <w:r w:rsidRPr="00F15230">
        <w:t xml:space="preserve">In addition to deciding the substitutability level of each component, the Commission must also decide what indicators </w:t>
      </w:r>
      <w:r w:rsidR="00552E56">
        <w:t>should be used</w:t>
      </w:r>
      <w:r w:rsidRPr="00F15230">
        <w:t xml:space="preserve"> to measure non</w:t>
      </w:r>
      <w:r w:rsidRPr="00F15230">
        <w:noBreakHyphen/>
        <w:t xml:space="preserve">State </w:t>
      </w:r>
      <w:r w:rsidR="00552E56">
        <w:t>activity</w:t>
      </w:r>
      <w:r w:rsidRPr="00F15230">
        <w:t xml:space="preserve">. </w:t>
      </w:r>
      <w:r w:rsidR="00061CF5" w:rsidRPr="00F15230">
        <w:t xml:space="preserve">In the 2015 Review, </w:t>
      </w:r>
      <w:r w:rsidR="00EB65C4" w:rsidRPr="00F15230">
        <w:t xml:space="preserve">the Commission generally chose </w:t>
      </w:r>
      <w:r w:rsidR="00061CF5" w:rsidRPr="00F15230">
        <w:t xml:space="preserve">a single indicator for each </w:t>
      </w:r>
      <w:r w:rsidR="007B202E" w:rsidRPr="00F15230">
        <w:t xml:space="preserve">component. It is possible that more than one indicator could be used, weighted according to the proportion of State spending affected by each indicator. </w:t>
      </w:r>
      <w:proofErr w:type="gramStart"/>
      <w:r w:rsidR="007B202E" w:rsidRPr="00F15230">
        <w:t>Staff intend</w:t>
      </w:r>
      <w:proofErr w:type="gramEnd"/>
      <w:r w:rsidR="007B202E" w:rsidRPr="00F15230">
        <w:t xml:space="preserve"> to </w:t>
      </w:r>
      <w:r w:rsidR="00B53B5A">
        <w:t>investig</w:t>
      </w:r>
      <w:r w:rsidR="007F42D9">
        <w:t>ate</w:t>
      </w:r>
      <w:r w:rsidR="007B202E" w:rsidRPr="00F15230">
        <w:t xml:space="preserve"> if the current indicators are the best available measures of </w:t>
      </w:r>
      <w:r w:rsidRPr="00F15230">
        <w:t xml:space="preserve">the availability of </w:t>
      </w:r>
      <w:r w:rsidR="00EB65C4" w:rsidRPr="00F15230">
        <w:t>substitutable</w:t>
      </w:r>
      <w:r w:rsidR="007B202E" w:rsidRPr="00F15230">
        <w:t xml:space="preserve"> services</w:t>
      </w:r>
      <w:r w:rsidRPr="00F15230">
        <w:t xml:space="preserve"> in each State</w:t>
      </w:r>
      <w:r w:rsidR="007B202E" w:rsidRPr="00F15230">
        <w:t>.</w:t>
      </w:r>
    </w:p>
    <w:p w14:paraId="01600F0D" w14:textId="4A102285" w:rsidR="00F46D67" w:rsidRPr="00F15230" w:rsidRDefault="00A36EDC" w:rsidP="00F46D67">
      <w:pPr>
        <w:pStyle w:val="Heading5"/>
        <w:rPr>
          <w:rStyle w:val="Heading6Char"/>
          <w:b/>
          <w:i/>
          <w:iCs w:val="0"/>
        </w:rPr>
      </w:pPr>
      <w:r w:rsidRPr="00F15230">
        <w:rPr>
          <w:rStyle w:val="Heading6Char"/>
          <w:b/>
          <w:i/>
          <w:iCs w:val="0"/>
        </w:rPr>
        <w:t>A</w:t>
      </w:r>
      <w:r w:rsidR="00F46D67" w:rsidRPr="00F15230">
        <w:rPr>
          <w:rStyle w:val="Heading6Char"/>
          <w:b/>
          <w:i/>
          <w:iCs w:val="0"/>
        </w:rPr>
        <w:t xml:space="preserve">dmitted patient services </w:t>
      </w:r>
    </w:p>
    <w:p w14:paraId="5D2E10BB" w14:textId="526623F6" w:rsidR="00F46D67" w:rsidRPr="00F15230" w:rsidRDefault="00634CF6" w:rsidP="00F46D67">
      <w:pPr>
        <w:pStyle w:val="CGCNumberedPara"/>
        <w:numPr>
          <w:ilvl w:val="1"/>
          <w:numId w:val="3"/>
        </w:numPr>
      </w:pPr>
      <w:proofErr w:type="gramStart"/>
      <w:r w:rsidRPr="00F15230">
        <w:t>Staff consider</w:t>
      </w:r>
      <w:proofErr w:type="gramEnd"/>
      <w:r w:rsidRPr="00F15230">
        <w:t xml:space="preserve"> t</w:t>
      </w:r>
      <w:r w:rsidR="00F46D67" w:rsidRPr="00F15230">
        <w:t>here is a strong conceptual case that some admitted patient services provided in the non</w:t>
      </w:r>
      <w:r w:rsidR="00F46D67" w:rsidRPr="00F15230">
        <w:noBreakHyphen/>
        <w:t>State sector influence the number of similar services that need to be provided in the State sector. For example, the availability of private childbirth services would be expected to affect the level of State service provision. However, there are many admitted patient services that would not be regarded as substitutable</w:t>
      </w:r>
      <w:r w:rsidR="00BD0B78" w:rsidRPr="00F15230">
        <w:t>, including most emergency procedures</w:t>
      </w:r>
      <w:r w:rsidRPr="00F15230">
        <w:t xml:space="preserve"> and expensive surgical procedures</w:t>
      </w:r>
      <w:r w:rsidR="00021FEC" w:rsidRPr="00F15230">
        <w:t xml:space="preserve"> for uninsured patients</w:t>
      </w:r>
      <w:r w:rsidR="00F46D67" w:rsidRPr="00F15230">
        <w:t xml:space="preserve">. </w:t>
      </w:r>
    </w:p>
    <w:p w14:paraId="74E80F0E" w14:textId="64E1A840" w:rsidR="005E3938" w:rsidRPr="00F15230" w:rsidRDefault="005E3938" w:rsidP="005E3938">
      <w:pPr>
        <w:pStyle w:val="CGCNumberedPara"/>
      </w:pPr>
      <w:r w:rsidRPr="00F15230">
        <w:t xml:space="preserve">In the 2015 Review, to estimate the proportion of State admitted patient services that are substitutable, the Commission considered a range of factors. Differences in the type of admitted patient activity in each sector and the level </w:t>
      </w:r>
      <w:r w:rsidR="001821AE" w:rsidRPr="00F15230">
        <w:t xml:space="preserve">of </w:t>
      </w:r>
      <w:r w:rsidRPr="00F15230">
        <w:t>private health insurance hospital coverage were considered the main factors. Other influences were also identified including State policies affecting the availability</w:t>
      </w:r>
      <w:r w:rsidR="007B202E" w:rsidRPr="00F15230">
        <w:t>, quality</w:t>
      </w:r>
      <w:r w:rsidRPr="00F15230">
        <w:t xml:space="preserve"> and use of hospital services, and the extent to which privately insured patients utilise their private health insurance due to policy excesses and gaps charged by specialists. </w:t>
      </w:r>
      <w:proofErr w:type="gramStart"/>
      <w:r w:rsidRPr="00F15230">
        <w:t>Staff consider</w:t>
      </w:r>
      <w:proofErr w:type="gramEnd"/>
      <w:r w:rsidRPr="00F15230">
        <w:t xml:space="preserve"> these factors remain relevant for determining the extent to which non</w:t>
      </w:r>
      <w:r w:rsidRPr="00F15230">
        <w:noBreakHyphen/>
        <w:t xml:space="preserve">State </w:t>
      </w:r>
      <w:r w:rsidRPr="00F15230">
        <w:lastRenderedPageBreak/>
        <w:t>service provision affects the demand for similar admitted patient services in the State sector.</w:t>
      </w:r>
    </w:p>
    <w:p w14:paraId="3C328294" w14:textId="0F53970A" w:rsidR="00F46D67" w:rsidRPr="00F15230" w:rsidRDefault="00B53B5A" w:rsidP="00F46D67">
      <w:pPr>
        <w:pStyle w:val="CGCNumberedPara"/>
        <w:numPr>
          <w:ilvl w:val="1"/>
          <w:numId w:val="3"/>
        </w:numPr>
      </w:pPr>
      <w:r w:rsidRPr="00AC29F5">
        <w:rPr>
          <w:rStyle w:val="Heading6Char"/>
        </w:rPr>
        <w:t>Substitutab</w:t>
      </w:r>
      <w:r>
        <w:rPr>
          <w:rStyle w:val="Heading6Char"/>
        </w:rPr>
        <w:t>ility</w:t>
      </w:r>
      <w:r w:rsidRPr="00AC29F5">
        <w:rPr>
          <w:rStyle w:val="Heading6Char"/>
        </w:rPr>
        <w:t xml:space="preserve"> </w:t>
      </w:r>
      <w:r>
        <w:rPr>
          <w:rStyle w:val="Heading6Char"/>
        </w:rPr>
        <w:t>level</w:t>
      </w:r>
      <w:r w:rsidRPr="00AC29F5">
        <w:rPr>
          <w:rStyle w:val="Heading6Char"/>
        </w:rPr>
        <w:t>.</w:t>
      </w:r>
      <w:r>
        <w:rPr>
          <w:rStyle w:val="Heading6Char"/>
          <w:rFonts w:eastAsiaTheme="minorEastAsia" w:cstheme="minorBidi"/>
          <w:b w:val="0"/>
          <w:i w:val="0"/>
          <w:iCs w:val="0"/>
          <w:color w:val="auto"/>
          <w:sz w:val="24"/>
        </w:rPr>
        <w:t xml:space="preserve"> </w:t>
      </w:r>
      <w:r w:rsidR="00F46D67" w:rsidRPr="00F15230">
        <w:t xml:space="preserve">In the 2015 Review, the Commission </w:t>
      </w:r>
      <w:r w:rsidR="00021FEC" w:rsidRPr="00F15230">
        <w:t xml:space="preserve">noted </w:t>
      </w:r>
      <w:r w:rsidR="00F46D67" w:rsidRPr="00F15230">
        <w:t>that</w:t>
      </w:r>
      <w:r w:rsidR="00021FEC" w:rsidRPr="00F15230">
        <w:t xml:space="preserve"> </w:t>
      </w:r>
      <w:r w:rsidR="00F46D67" w:rsidRPr="00F15230">
        <w:t>about 40% of all public admitted patient separations were emergency</w:t>
      </w:r>
      <w:r w:rsidR="00F46D67" w:rsidRPr="00F15230">
        <w:noBreakHyphen/>
        <w:t>type services which were generally not provided by private hospitals</w:t>
      </w:r>
      <w:r w:rsidR="00021FEC" w:rsidRPr="00F15230">
        <w:t>. The Commissio</w:t>
      </w:r>
      <w:r w:rsidR="001C7919" w:rsidRPr="00F15230">
        <w:t xml:space="preserve">n did not regard these services </w:t>
      </w:r>
      <w:r w:rsidR="00F46D67" w:rsidRPr="00F15230">
        <w:t>as substitutable</w:t>
      </w:r>
      <w:r w:rsidR="001C7919" w:rsidRPr="00F15230">
        <w:t xml:space="preserve">. Furthermore, the Commission noted that </w:t>
      </w:r>
      <w:r w:rsidR="00F46D67" w:rsidRPr="00F15230">
        <w:t xml:space="preserve">the proportion of people with private health insurance hospital cover was 47% at the national level. A person without private health insurance will rarely attend a private hospital, regardless of the availability of private health services in their State. Based on these two factors, </w:t>
      </w:r>
      <w:r w:rsidR="001C7919" w:rsidRPr="00F15230">
        <w:t xml:space="preserve">it was </w:t>
      </w:r>
      <w:r w:rsidR="00F46D67" w:rsidRPr="00F15230">
        <w:t xml:space="preserve">estimated </w:t>
      </w:r>
      <w:r w:rsidR="001C7919" w:rsidRPr="00F15230">
        <w:t xml:space="preserve">that the </w:t>
      </w:r>
      <w:r w:rsidR="00F46D67" w:rsidRPr="00F15230">
        <w:t>level of potential substitutability would be 60% × 47%=28%</w:t>
      </w:r>
      <w:r w:rsidR="00981C26" w:rsidRPr="00F15230">
        <w:t>.</w:t>
      </w:r>
      <w:r w:rsidR="001C7919" w:rsidRPr="00F15230">
        <w:t xml:space="preserve"> </w:t>
      </w:r>
      <w:r w:rsidR="00981C26" w:rsidRPr="00F15230">
        <w:t xml:space="preserve">However, this was </w:t>
      </w:r>
      <w:r w:rsidR="00F46D67" w:rsidRPr="00F15230">
        <w:t xml:space="preserve">considered as an upper bound </w:t>
      </w:r>
      <w:r w:rsidR="001C7919" w:rsidRPr="00F15230">
        <w:t>given other policy and non</w:t>
      </w:r>
      <w:r w:rsidR="00021C79" w:rsidRPr="00F15230">
        <w:noBreakHyphen/>
      </w:r>
      <w:r w:rsidR="001C7919" w:rsidRPr="00F15230">
        <w:t xml:space="preserve">policy influences. The final level of substitutability adopted by the Commission was 15%. </w:t>
      </w:r>
    </w:p>
    <w:p w14:paraId="63472B83" w14:textId="40008FF1" w:rsidR="002B28E7" w:rsidRPr="00F15230" w:rsidRDefault="00F46D67" w:rsidP="008304AB">
      <w:pPr>
        <w:pStyle w:val="CGCNumberedPara"/>
        <w:numPr>
          <w:ilvl w:val="1"/>
          <w:numId w:val="3"/>
        </w:numPr>
      </w:pPr>
      <w:proofErr w:type="gramStart"/>
      <w:r w:rsidRPr="00F15230">
        <w:t>Staff consider</w:t>
      </w:r>
      <w:proofErr w:type="gramEnd"/>
      <w:r w:rsidRPr="00F15230">
        <w:t xml:space="preserve"> the approach for estimating the substitutability level for admitted patients remains appropriate and the data used to estimate the upper limit of 28% are reliable. Since the 2015 Review</w:t>
      </w:r>
      <w:r w:rsidR="00634CF6" w:rsidRPr="00F15230">
        <w:t>,</w:t>
      </w:r>
      <w:r w:rsidRPr="00F15230">
        <w:t xml:space="preserve"> there has been little change in the proportion of </w:t>
      </w:r>
      <w:r w:rsidR="00552E56">
        <w:t>people</w:t>
      </w:r>
      <w:r w:rsidRPr="00F15230">
        <w:t xml:space="preserve"> with private insurance hospital coverage (47% in 2015-16),</w:t>
      </w:r>
      <w:r w:rsidRPr="00F15230">
        <w:rPr>
          <w:rStyle w:val="FootnoteReference"/>
        </w:rPr>
        <w:footnoteReference w:id="13"/>
      </w:r>
      <w:r w:rsidRPr="00F15230">
        <w:t xml:space="preserve"> or the proportion of public admitted patient separations classified as emergency</w:t>
      </w:r>
      <w:r w:rsidRPr="00F15230">
        <w:noBreakHyphen/>
        <w:t>type services (40% in 2015</w:t>
      </w:r>
      <w:r w:rsidRPr="00F15230">
        <w:noBreakHyphen/>
        <w:t>2016).</w:t>
      </w:r>
      <w:r w:rsidR="001C7919" w:rsidRPr="00F15230">
        <w:rPr>
          <w:rStyle w:val="FootnoteReference"/>
        </w:rPr>
        <w:footnoteReference w:id="14"/>
      </w:r>
      <w:r w:rsidRPr="00F15230">
        <w:t xml:space="preserve"> </w:t>
      </w:r>
    </w:p>
    <w:p w14:paraId="3D54DC1B" w14:textId="44AA1EE5" w:rsidR="00F46D67" w:rsidRPr="00F15230" w:rsidRDefault="001C7919" w:rsidP="008304AB">
      <w:pPr>
        <w:pStyle w:val="CGCNumberedPara"/>
        <w:numPr>
          <w:ilvl w:val="1"/>
          <w:numId w:val="3"/>
        </w:numPr>
      </w:pPr>
      <w:proofErr w:type="gramStart"/>
      <w:r w:rsidRPr="00F15230">
        <w:t xml:space="preserve">Staff </w:t>
      </w:r>
      <w:r w:rsidR="00F46D67" w:rsidRPr="00F15230">
        <w:t>consider</w:t>
      </w:r>
      <w:proofErr w:type="gramEnd"/>
      <w:r w:rsidR="00F46D67" w:rsidRPr="00F15230">
        <w:t xml:space="preserve"> the current substitutability level of 15% for admitted patients </w:t>
      </w:r>
      <w:r w:rsidRPr="00F15230">
        <w:t xml:space="preserve">is the correct order of magnitude but we intend to do some further analysis </w:t>
      </w:r>
      <w:r w:rsidR="00DF2523" w:rsidRPr="00F15230">
        <w:t>to confirm that 15% remains appropriate. When this work is completed, w</w:t>
      </w:r>
      <w:r w:rsidRPr="00F15230">
        <w:t>e will c</w:t>
      </w:r>
      <w:r w:rsidR="00303669" w:rsidRPr="00F15230">
        <w:t xml:space="preserve">onsult with States through the </w:t>
      </w:r>
      <w:r w:rsidR="00552E56">
        <w:t>OWP</w:t>
      </w:r>
      <w:r w:rsidR="00DF2523" w:rsidRPr="00F15230">
        <w:t xml:space="preserve"> on the level we expect to recommend to the Commission for the 2020 Review. As part of this work we also intend to consider if the </w:t>
      </w:r>
      <w:r w:rsidR="00885704" w:rsidRPr="00F15230">
        <w:t xml:space="preserve">AIHW </w:t>
      </w:r>
      <w:r w:rsidR="00B4006B" w:rsidRPr="00F15230">
        <w:t>and Australian Prudential Regulation Authority (APRA) private patient</w:t>
      </w:r>
      <w:r w:rsidR="00885704" w:rsidRPr="00F15230">
        <w:t xml:space="preserve"> separations </w:t>
      </w:r>
      <w:r w:rsidR="00B4006B" w:rsidRPr="00F15230">
        <w:t xml:space="preserve">data </w:t>
      </w:r>
      <w:r w:rsidR="00DF2523" w:rsidRPr="00F15230">
        <w:t xml:space="preserve">being used to calculate the </w:t>
      </w:r>
      <w:r w:rsidR="00B53B5A">
        <w:t>non</w:t>
      </w:r>
      <w:r w:rsidR="00B53B5A">
        <w:noBreakHyphen/>
        <w:t xml:space="preserve">State sector </w:t>
      </w:r>
      <w:r w:rsidR="00DF2523" w:rsidRPr="00F15230">
        <w:t>adjustment</w:t>
      </w:r>
      <w:r w:rsidR="007F42D9">
        <w:t>s</w:t>
      </w:r>
      <w:r w:rsidR="00DF2523" w:rsidRPr="00F15230">
        <w:t xml:space="preserve"> are the most reliable data available for this purpose.</w:t>
      </w:r>
    </w:p>
    <w:p w14:paraId="515BC50C" w14:textId="77777777" w:rsidR="00A852F9" w:rsidRPr="00F15230" w:rsidRDefault="00A852F9" w:rsidP="00A852F9">
      <w:pPr>
        <w:pStyle w:val="NoSpacing"/>
      </w:pPr>
    </w:p>
    <w:tbl>
      <w:tblPr>
        <w:tblStyle w:val="TableGrid"/>
        <w:tblW w:w="0" w:type="auto"/>
        <w:tblLook w:val="04A0" w:firstRow="1" w:lastRow="0" w:firstColumn="1" w:lastColumn="0" w:noHBand="0" w:noVBand="1"/>
      </w:tblPr>
      <w:tblGrid>
        <w:gridCol w:w="8600"/>
      </w:tblGrid>
      <w:tr w:rsidR="00F46D67" w:rsidRPr="00F15230" w14:paraId="6D8CDDFA" w14:textId="77777777" w:rsidTr="00BB1AEE">
        <w:tc>
          <w:tcPr>
            <w:tcW w:w="8600" w:type="dxa"/>
            <w:tcBorders>
              <w:top w:val="nil"/>
              <w:left w:val="nil"/>
              <w:bottom w:val="nil"/>
              <w:right w:val="nil"/>
            </w:tcBorders>
            <w:shd w:val="clear" w:color="auto" w:fill="D9F3E6"/>
          </w:tcPr>
          <w:p w14:paraId="7B8CBDCA" w14:textId="03D95A33" w:rsidR="00F46D67" w:rsidRPr="00F15230" w:rsidRDefault="00F46D67" w:rsidP="00BB1AEE">
            <w:pPr>
              <w:pStyle w:val="CGCNumberedPara"/>
              <w:numPr>
                <w:ilvl w:val="0"/>
                <w:numId w:val="0"/>
              </w:numPr>
            </w:pPr>
            <w:r w:rsidRPr="00F15230">
              <w:t>Staff propose to recommend the Commission</w:t>
            </w:r>
            <w:r w:rsidR="00DF2523" w:rsidRPr="00F15230">
              <w:t>:</w:t>
            </w:r>
          </w:p>
          <w:p w14:paraId="149BC942" w14:textId="46B46426" w:rsidR="00DF2523" w:rsidRPr="00F15230" w:rsidRDefault="00DF2523" w:rsidP="00DF2523">
            <w:pPr>
              <w:pStyle w:val="CGCBulletlist"/>
            </w:pPr>
            <w:r w:rsidRPr="00F15230">
              <w:t xml:space="preserve">continue to recognise the influence of the non-State sector on admitted patient expenses using a direct assessment approach </w:t>
            </w:r>
          </w:p>
          <w:p w14:paraId="50231942" w14:textId="6E296439" w:rsidR="00F46D67" w:rsidRPr="00F15230" w:rsidRDefault="00DF2523" w:rsidP="00DF2523">
            <w:pPr>
              <w:pStyle w:val="CGCBulletlist"/>
            </w:pPr>
            <w:proofErr w:type="gramStart"/>
            <w:r w:rsidRPr="00F15230">
              <w:t>confirm</w:t>
            </w:r>
            <w:proofErr w:type="gramEnd"/>
            <w:r w:rsidRPr="00F15230">
              <w:t xml:space="preserve"> the level of substitutability and</w:t>
            </w:r>
            <w:r w:rsidR="00552E56">
              <w:t xml:space="preserve"> data used to calculate the non</w:t>
            </w:r>
            <w:r w:rsidR="00552E56">
              <w:noBreakHyphen/>
            </w:r>
            <w:r w:rsidRPr="00F15230">
              <w:t>State sector adjustment after staff analysis has been completed</w:t>
            </w:r>
            <w:r w:rsidR="00B53B5A">
              <w:t xml:space="preserve"> and States have been consulted</w:t>
            </w:r>
            <w:r w:rsidRPr="00F15230">
              <w:t>.</w:t>
            </w:r>
          </w:p>
        </w:tc>
      </w:tr>
    </w:tbl>
    <w:p w14:paraId="7FB9CD2F" w14:textId="77777777" w:rsidR="001D5447" w:rsidRPr="00F15230" w:rsidRDefault="001D5447" w:rsidP="001D5447">
      <w:pPr>
        <w:pStyle w:val="Heading5"/>
        <w:rPr>
          <w:rStyle w:val="Heading6Char"/>
          <w:b/>
          <w:i/>
          <w:iCs w:val="0"/>
        </w:rPr>
      </w:pPr>
      <w:r w:rsidRPr="00F15230">
        <w:rPr>
          <w:rStyle w:val="Heading6Char"/>
          <w:b/>
          <w:i/>
          <w:iCs w:val="0"/>
        </w:rPr>
        <w:lastRenderedPageBreak/>
        <w:t>Emergency department services</w:t>
      </w:r>
    </w:p>
    <w:p w14:paraId="16017DFC" w14:textId="77777777" w:rsidR="001D5447" w:rsidRPr="00F15230" w:rsidRDefault="001D5447" w:rsidP="001D5447">
      <w:pPr>
        <w:pStyle w:val="CGCNumberedPara"/>
        <w:numPr>
          <w:ilvl w:val="1"/>
          <w:numId w:val="3"/>
        </w:numPr>
      </w:pPr>
      <w:r w:rsidRPr="00F15230">
        <w:t>Similar to admitted patients, some State</w:t>
      </w:r>
      <w:r w:rsidRPr="00F15230">
        <w:noBreakHyphen/>
        <w:t>like ED services can be provided by the non</w:t>
      </w:r>
      <w:r w:rsidRPr="00F15230">
        <w:noBreakHyphen/>
        <w:t>State sector.</w:t>
      </w:r>
    </w:p>
    <w:p w14:paraId="524AF467" w14:textId="2B20F892" w:rsidR="001D5447" w:rsidRPr="00F15230" w:rsidRDefault="001D5447" w:rsidP="001D5447">
      <w:pPr>
        <w:pStyle w:val="CGCBulletlist"/>
        <w:numPr>
          <w:ilvl w:val="0"/>
          <w:numId w:val="1"/>
        </w:numPr>
        <w:tabs>
          <w:tab w:val="clear" w:pos="927"/>
        </w:tabs>
        <w:ind w:left="1134" w:hanging="567"/>
      </w:pPr>
      <w:r w:rsidRPr="00F15230">
        <w:t>GP clinics, which are predominately privately owned, provide some of the services that are provide</w:t>
      </w:r>
      <w:r w:rsidR="00C5455B">
        <w:t>d</w:t>
      </w:r>
      <w:r w:rsidRPr="00F15230">
        <w:t xml:space="preserve"> by EDs. Many of the less severe ED presentations can be managed and treated through GP clinics and nurse walk</w:t>
      </w:r>
      <w:r w:rsidRPr="00F15230">
        <w:noBreakHyphen/>
        <w:t xml:space="preserve">in centres. Most States have policies to limit the use of ED services by promoting the use of alternative services including local GPs and after hours GP services, and by ensuring adequate GP services are available. </w:t>
      </w:r>
    </w:p>
    <w:p w14:paraId="208EF4AD" w14:textId="77777777" w:rsidR="001D5447" w:rsidRPr="00F15230" w:rsidRDefault="001D5447" w:rsidP="001D5447">
      <w:pPr>
        <w:pStyle w:val="CGCBulletlist"/>
        <w:numPr>
          <w:ilvl w:val="0"/>
          <w:numId w:val="1"/>
        </w:numPr>
        <w:tabs>
          <w:tab w:val="clear" w:pos="927"/>
          <w:tab w:val="left" w:pos="1843"/>
        </w:tabs>
        <w:ind w:left="1134" w:hanging="567"/>
      </w:pPr>
      <w:r w:rsidRPr="00F15230">
        <w:t>In addition, private hospitals provide some ED services. In 2015</w:t>
      </w:r>
      <w:r w:rsidRPr="00F15230">
        <w:noBreakHyphen/>
        <w:t>16, 36 private hospitals provided about 538 000 emergency services, accounting for 7% of total ED presentations in that year.</w:t>
      </w:r>
      <w:r w:rsidRPr="00F15230">
        <w:rPr>
          <w:rStyle w:val="FootnoteReference"/>
        </w:rPr>
        <w:footnoteReference w:id="15"/>
      </w:r>
      <w:r w:rsidRPr="00F15230">
        <w:t xml:space="preserve"> However, private ED patients are charged an attendance fee, which is not claimable under Medicare or private health insurance. </w:t>
      </w:r>
    </w:p>
    <w:p w14:paraId="274D61D9" w14:textId="4D700305" w:rsidR="001D5447" w:rsidRPr="00F15230" w:rsidRDefault="00B53B5A" w:rsidP="001D5447">
      <w:pPr>
        <w:pStyle w:val="CGCNumberedPara"/>
        <w:numPr>
          <w:ilvl w:val="1"/>
          <w:numId w:val="3"/>
        </w:numPr>
      </w:pPr>
      <w:proofErr w:type="gramStart"/>
      <w:r>
        <w:t>Staff</w:t>
      </w:r>
      <w:r w:rsidR="001D5447" w:rsidRPr="00F15230">
        <w:t xml:space="preserve"> consider</w:t>
      </w:r>
      <w:proofErr w:type="gramEnd"/>
      <w:r w:rsidR="001D5447" w:rsidRPr="00F15230">
        <w:t xml:space="preserve"> there is </w:t>
      </w:r>
      <w:r w:rsidR="003D5600">
        <w:t xml:space="preserve">a </w:t>
      </w:r>
      <w:r w:rsidR="001D5447" w:rsidRPr="00F15230">
        <w:t xml:space="preserve">strong conceptual case that the availability of GP services influences the level of ED services provided by States. As part of the review, we intend to </w:t>
      </w:r>
      <w:r w:rsidR="00552E56">
        <w:t>re</w:t>
      </w:r>
      <w:r w:rsidR="001D5447" w:rsidRPr="00F15230">
        <w:t xml:space="preserve">investigate to what extent </w:t>
      </w:r>
      <w:r w:rsidR="00B14EFA" w:rsidRPr="00F15230">
        <w:t>private</w:t>
      </w:r>
      <w:r w:rsidR="001D5447" w:rsidRPr="00F15230">
        <w:t xml:space="preserve"> ED services are substitutable with </w:t>
      </w:r>
      <w:r w:rsidR="00B14EFA" w:rsidRPr="00F15230">
        <w:t xml:space="preserve">State ED </w:t>
      </w:r>
      <w:r w:rsidR="001D5447" w:rsidRPr="00F15230">
        <w:t xml:space="preserve">services. </w:t>
      </w:r>
    </w:p>
    <w:p w14:paraId="5EAF82DE" w14:textId="7881438B" w:rsidR="001D5447" w:rsidRPr="00F15230" w:rsidRDefault="00B53B5A" w:rsidP="001D5447">
      <w:pPr>
        <w:pStyle w:val="CGCNumberedPara"/>
        <w:numPr>
          <w:ilvl w:val="1"/>
          <w:numId w:val="3"/>
        </w:numPr>
      </w:pPr>
      <w:r w:rsidRPr="00AC29F5">
        <w:rPr>
          <w:rStyle w:val="Heading6Char"/>
        </w:rPr>
        <w:t>Substitutab</w:t>
      </w:r>
      <w:r>
        <w:rPr>
          <w:rStyle w:val="Heading6Char"/>
        </w:rPr>
        <w:t>ility</w:t>
      </w:r>
      <w:r w:rsidRPr="00AC29F5">
        <w:rPr>
          <w:rStyle w:val="Heading6Char"/>
        </w:rPr>
        <w:t xml:space="preserve"> </w:t>
      </w:r>
      <w:r>
        <w:rPr>
          <w:rStyle w:val="Heading6Char"/>
        </w:rPr>
        <w:t>level</w:t>
      </w:r>
      <w:r w:rsidRPr="00AC29F5">
        <w:rPr>
          <w:rStyle w:val="Heading6Char"/>
        </w:rPr>
        <w:t>.</w:t>
      </w:r>
      <w:r>
        <w:rPr>
          <w:rStyle w:val="Heading6Char"/>
          <w:rFonts w:eastAsiaTheme="minorEastAsia" w:cstheme="minorBidi"/>
          <w:b w:val="0"/>
          <w:i w:val="0"/>
          <w:iCs w:val="0"/>
          <w:color w:val="auto"/>
          <w:sz w:val="24"/>
        </w:rPr>
        <w:t xml:space="preserve"> </w:t>
      </w:r>
      <w:r w:rsidR="001D5447" w:rsidRPr="00F15230">
        <w:t>In the 2015 Review, the level of substitutability for ED services was dete</w:t>
      </w:r>
      <w:r w:rsidR="00552E56">
        <w:t xml:space="preserve">rmined based on the concept of </w:t>
      </w:r>
      <w:r w:rsidR="001D5447" w:rsidRPr="00F15230">
        <w:t>less severe/complex ED presentations that could have been</w:t>
      </w:r>
      <w:r w:rsidR="00552E56">
        <w:t xml:space="preserve"> managed by a GP</w:t>
      </w:r>
      <w:r w:rsidR="001D5447" w:rsidRPr="00F15230">
        <w:t xml:space="preserve">. A number of studies and surveys were used to indicate the level. </w:t>
      </w:r>
    </w:p>
    <w:p w14:paraId="0E3C71F7" w14:textId="47527D45" w:rsidR="001D5447" w:rsidRPr="00F15230" w:rsidRDefault="001D5447" w:rsidP="001D5447">
      <w:pPr>
        <w:pStyle w:val="CGCBulletlist"/>
        <w:numPr>
          <w:ilvl w:val="0"/>
          <w:numId w:val="1"/>
        </w:numPr>
        <w:tabs>
          <w:tab w:val="clear" w:pos="927"/>
        </w:tabs>
        <w:ind w:left="1134" w:hanging="567"/>
      </w:pPr>
      <w:r w:rsidRPr="00F15230">
        <w:t>An AIHW measure of the use of ED</w:t>
      </w:r>
      <w:r w:rsidR="00F10B54" w:rsidRPr="00F15230">
        <w:t xml:space="preserve"> services</w:t>
      </w:r>
      <w:r w:rsidRPr="00F15230">
        <w:t xml:space="preserve"> </w:t>
      </w:r>
      <w:r w:rsidR="00F10B54" w:rsidRPr="00F15230">
        <w:t xml:space="preserve">by </w:t>
      </w:r>
      <w:r w:rsidRPr="00F15230">
        <w:t>GP</w:t>
      </w:r>
      <w:r w:rsidR="00F10B54" w:rsidRPr="00F15230">
        <w:noBreakHyphen/>
        <w:t>type patients</w:t>
      </w:r>
      <w:r w:rsidRPr="00F15230">
        <w:t xml:space="preserve"> which was based on the Australasian Triage Scale (ATS)</w:t>
      </w:r>
      <w:r w:rsidRPr="00F15230">
        <w:rPr>
          <w:rStyle w:val="FootnoteReference"/>
        </w:rPr>
        <w:footnoteReference w:id="16"/>
      </w:r>
      <w:r w:rsidRPr="00F15230">
        <w:t xml:space="preserve"> estimated that about 40% of ED visits were ‘GP</w:t>
      </w:r>
      <w:r w:rsidRPr="00F15230">
        <w:noBreakHyphen/>
        <w:t>type presentations’.</w:t>
      </w:r>
    </w:p>
    <w:p w14:paraId="3FECD91D" w14:textId="77777777" w:rsidR="001D5447" w:rsidRPr="00F15230" w:rsidRDefault="001D5447" w:rsidP="001D5447">
      <w:pPr>
        <w:pStyle w:val="CGCBulletlist"/>
        <w:numPr>
          <w:ilvl w:val="0"/>
          <w:numId w:val="1"/>
        </w:numPr>
        <w:tabs>
          <w:tab w:val="clear" w:pos="927"/>
        </w:tabs>
        <w:ind w:left="1134" w:hanging="567"/>
      </w:pPr>
      <w:r w:rsidRPr="00F15230">
        <w:t xml:space="preserve">Other location specific and international studies/surveys which estimated that lower proportions of total ED presentations, ranging from 10% to 23%, could have been managed by a GP. </w:t>
      </w:r>
    </w:p>
    <w:p w14:paraId="7C51F2D7" w14:textId="564B333B" w:rsidR="001D5447" w:rsidRPr="00F15230" w:rsidRDefault="001D5447" w:rsidP="001D5447">
      <w:pPr>
        <w:pStyle w:val="CGCNumberedPara"/>
        <w:numPr>
          <w:ilvl w:val="1"/>
          <w:numId w:val="3"/>
        </w:numPr>
      </w:pPr>
      <w:r w:rsidRPr="00F15230">
        <w:t xml:space="preserve">Considering the limitations </w:t>
      </w:r>
      <w:r w:rsidR="002B28E7" w:rsidRPr="00F15230">
        <w:t>of</w:t>
      </w:r>
      <w:r w:rsidR="00552E56">
        <w:t xml:space="preserve"> each of these studies </w:t>
      </w:r>
      <w:r w:rsidRPr="00F15230">
        <w:t>and views of the consultants, the Commission adopted 15% as the level of substitutability. The majority of States supported a substitutability level in the range of 15 to 20%. The ACT and the Northern</w:t>
      </w:r>
      <w:r w:rsidR="00F10B54" w:rsidRPr="00F15230">
        <w:t> </w:t>
      </w:r>
      <w:r w:rsidRPr="00F15230">
        <w:t xml:space="preserve">Territory said the AIHW figure of 40% should apply. </w:t>
      </w:r>
    </w:p>
    <w:p w14:paraId="6EDE22FB" w14:textId="2EED7A9A" w:rsidR="001D5447" w:rsidRPr="00F15230" w:rsidRDefault="001D5447" w:rsidP="001D5447">
      <w:pPr>
        <w:pStyle w:val="CGCNumberedPara"/>
        <w:numPr>
          <w:ilvl w:val="1"/>
          <w:numId w:val="3"/>
        </w:numPr>
      </w:pPr>
      <w:r w:rsidRPr="00F15230">
        <w:t xml:space="preserve">The AIHW has recently advised </w:t>
      </w:r>
      <w:r w:rsidR="00B53B5A">
        <w:t xml:space="preserve">Commission </w:t>
      </w:r>
      <w:r w:rsidRPr="00F15230">
        <w:t xml:space="preserve">staff that it </w:t>
      </w:r>
      <w:r w:rsidR="00B14EFA" w:rsidRPr="00F15230">
        <w:t xml:space="preserve">has no </w:t>
      </w:r>
      <w:r w:rsidRPr="00F15230">
        <w:t>longer be</w:t>
      </w:r>
      <w:r w:rsidR="00B14EFA" w:rsidRPr="00F15230">
        <w:t>en</w:t>
      </w:r>
      <w:r w:rsidRPr="00F15230">
        <w:t xml:space="preserve"> measuring the proportion of ED visits which </w:t>
      </w:r>
      <w:r w:rsidR="00552E56">
        <w:t xml:space="preserve">could be considered </w:t>
      </w:r>
      <w:r w:rsidRPr="00F15230">
        <w:t>GP</w:t>
      </w:r>
      <w:r w:rsidRPr="00F15230">
        <w:noBreakHyphen/>
        <w:t>type presentations</w:t>
      </w:r>
      <w:r w:rsidR="00552E56">
        <w:t xml:space="preserve"> </w:t>
      </w:r>
      <w:r w:rsidRPr="00F15230">
        <w:t xml:space="preserve">due to methodological and data limitations. It has advised </w:t>
      </w:r>
      <w:r w:rsidR="00552E56">
        <w:t xml:space="preserve">Commission </w:t>
      </w:r>
      <w:r w:rsidR="00D66B75" w:rsidRPr="00F15230">
        <w:t xml:space="preserve">staff </w:t>
      </w:r>
      <w:r w:rsidRPr="00F15230">
        <w:t xml:space="preserve">that the ATS based method only indicates the urgency, not the severity, of the </w:t>
      </w:r>
      <w:r w:rsidRPr="00F15230">
        <w:lastRenderedPageBreak/>
        <w:t>presenting problem. It is possible that a patient has a low triage category but needs complex care. For example, an elderly patient with multiple chronic conditions who is vomiting would be low in urgency (triage category 4 according to ATS) but high in complexity, requiring comprehensive assessments and support to ensure safe discharge. Such a patient cannot be easily managed in most GP settings. In addition, people</w:t>
      </w:r>
      <w:r w:rsidR="00B5097A">
        <w:t>’</w:t>
      </w:r>
      <w:r w:rsidR="001821AE" w:rsidRPr="00F15230">
        <w:t>s</w:t>
      </w:r>
      <w:r w:rsidRPr="00F15230">
        <w:t xml:space="preserve"> access to EDs can also be influenced by </w:t>
      </w:r>
      <w:r w:rsidR="00FE04D3">
        <w:t xml:space="preserve">the </w:t>
      </w:r>
      <w:r w:rsidRPr="00F15230">
        <w:t>availability of GP and other health services.</w:t>
      </w:r>
    </w:p>
    <w:p w14:paraId="5AF0E135" w14:textId="5864B92E" w:rsidR="001D5447" w:rsidRPr="00F15230" w:rsidRDefault="001D5447" w:rsidP="001D5447">
      <w:pPr>
        <w:pStyle w:val="CGCNumberedPara"/>
        <w:numPr>
          <w:ilvl w:val="1"/>
          <w:numId w:val="3"/>
        </w:numPr>
      </w:pPr>
      <w:proofErr w:type="gramStart"/>
      <w:r w:rsidRPr="00F15230">
        <w:t>Staff consider</w:t>
      </w:r>
      <w:proofErr w:type="gramEnd"/>
      <w:r w:rsidRPr="00F15230">
        <w:t xml:space="preserve"> that 15% is the correct order of magnitude for the substitutability level for ED services. Nevertheless, we intend to do some further work to confirm this level by identifying any new studies examining the relationship between GP and </w:t>
      </w:r>
      <w:r w:rsidR="00865DB8">
        <w:t>ED services, and investigat</w:t>
      </w:r>
      <w:r w:rsidR="00C5455B">
        <w:t>ing</w:t>
      </w:r>
      <w:r w:rsidR="00865DB8">
        <w:t xml:space="preserve"> the influence of private ED services.</w:t>
      </w:r>
    </w:p>
    <w:p w14:paraId="5007CCCF" w14:textId="64832562" w:rsidR="00D66B75" w:rsidRPr="00F15230" w:rsidRDefault="001D5447" w:rsidP="00865DB8">
      <w:pPr>
        <w:pStyle w:val="CGCNumberedPara"/>
        <w:numPr>
          <w:ilvl w:val="1"/>
          <w:numId w:val="3"/>
        </w:numPr>
        <w:tabs>
          <w:tab w:val="clear" w:pos="567"/>
        </w:tabs>
        <w:spacing w:after="200" w:line="276" w:lineRule="auto"/>
      </w:pPr>
      <w:r w:rsidRPr="00F15230">
        <w:t>We will also confirm the current indicator of benefits paid for bulk</w:t>
      </w:r>
      <w:r w:rsidRPr="00F15230">
        <w:noBreakHyphen/>
        <w:t xml:space="preserve">billed GPs is the most appropriate data for calculating the </w:t>
      </w:r>
      <w:r w:rsidR="00865DB8">
        <w:t xml:space="preserve">non-State sector </w:t>
      </w:r>
      <w:r w:rsidRPr="00F15230">
        <w:t xml:space="preserve">adjustment. </w:t>
      </w:r>
      <w:proofErr w:type="gramStart"/>
      <w:r w:rsidR="00D66B75" w:rsidRPr="00F15230">
        <w:t xml:space="preserve">Bulk-billed benefits </w:t>
      </w:r>
      <w:r w:rsidR="00B53B5A">
        <w:t xml:space="preserve">paid </w:t>
      </w:r>
      <w:r w:rsidR="00D66B75" w:rsidRPr="00F15230">
        <w:t>was</w:t>
      </w:r>
      <w:proofErr w:type="gramEnd"/>
      <w:r w:rsidR="00D66B75" w:rsidRPr="00F15230">
        <w:t xml:space="preserve"> chosen by the Commission in the 2015 Review because this removed the income constraint faced by people.</w:t>
      </w:r>
    </w:p>
    <w:tbl>
      <w:tblPr>
        <w:tblStyle w:val="TableGrid"/>
        <w:tblW w:w="0" w:type="auto"/>
        <w:tblLook w:val="04A0" w:firstRow="1" w:lastRow="0" w:firstColumn="1" w:lastColumn="0" w:noHBand="0" w:noVBand="1"/>
      </w:tblPr>
      <w:tblGrid>
        <w:gridCol w:w="9167"/>
      </w:tblGrid>
      <w:tr w:rsidR="001D5447" w:rsidRPr="00F15230" w14:paraId="1CCB2AB9" w14:textId="77777777" w:rsidTr="00752C7F">
        <w:tc>
          <w:tcPr>
            <w:tcW w:w="9167" w:type="dxa"/>
            <w:tcBorders>
              <w:top w:val="nil"/>
              <w:left w:val="nil"/>
              <w:bottom w:val="nil"/>
              <w:right w:val="nil"/>
            </w:tcBorders>
            <w:shd w:val="clear" w:color="auto" w:fill="D9F3E6"/>
          </w:tcPr>
          <w:p w14:paraId="242050D7" w14:textId="3E801BB8" w:rsidR="001D5447" w:rsidRPr="00F15230" w:rsidRDefault="001D5447" w:rsidP="00752C7F">
            <w:r w:rsidRPr="00F15230">
              <w:t>Staff propose to recommend the Commission:</w:t>
            </w:r>
          </w:p>
          <w:p w14:paraId="6D98294F" w14:textId="77777777" w:rsidR="001D5447" w:rsidRDefault="001D5447" w:rsidP="00D37118">
            <w:pPr>
              <w:pStyle w:val="CGCBulletlist"/>
              <w:numPr>
                <w:ilvl w:val="0"/>
                <w:numId w:val="1"/>
              </w:numPr>
              <w:tabs>
                <w:tab w:val="clear" w:pos="927"/>
              </w:tabs>
              <w:ind w:left="1134" w:hanging="567"/>
            </w:pPr>
            <w:r w:rsidRPr="00F15230">
              <w:t>investigate if there are any new studies examining the relationship between GP and State provided ED services to support or otherwise indicate a different level of s</w:t>
            </w:r>
            <w:r w:rsidR="00865DB8">
              <w:t>ubstitutability for ED services</w:t>
            </w:r>
          </w:p>
          <w:p w14:paraId="11CA6681" w14:textId="6B5D6B6D" w:rsidR="00865DB8" w:rsidRPr="00F15230" w:rsidRDefault="00865DB8" w:rsidP="00865DB8">
            <w:pPr>
              <w:pStyle w:val="CGCBulletlist"/>
              <w:numPr>
                <w:ilvl w:val="0"/>
                <w:numId w:val="1"/>
              </w:numPr>
              <w:tabs>
                <w:tab w:val="clear" w:pos="927"/>
              </w:tabs>
              <w:ind w:left="1134" w:hanging="567"/>
            </w:pPr>
            <w:proofErr w:type="gramStart"/>
            <w:r w:rsidRPr="00F15230">
              <w:t>investigate</w:t>
            </w:r>
            <w:proofErr w:type="gramEnd"/>
            <w:r w:rsidRPr="00F15230">
              <w:t xml:space="preserve"> to what extent private ED services are substitutable with State ED services</w:t>
            </w:r>
            <w:r>
              <w:t>.</w:t>
            </w:r>
          </w:p>
        </w:tc>
      </w:tr>
    </w:tbl>
    <w:p w14:paraId="3419F354" w14:textId="4493580C" w:rsidR="00F46D67" w:rsidRPr="00F15230" w:rsidRDefault="00244F07" w:rsidP="00F46D67">
      <w:pPr>
        <w:pStyle w:val="Heading5"/>
        <w:rPr>
          <w:rStyle w:val="Heading6Char"/>
          <w:b/>
          <w:i/>
          <w:iCs w:val="0"/>
        </w:rPr>
      </w:pPr>
      <w:r w:rsidRPr="00F15230">
        <w:rPr>
          <w:rStyle w:val="Heading6Char"/>
          <w:b/>
          <w:i/>
          <w:iCs w:val="0"/>
        </w:rPr>
        <w:t>N</w:t>
      </w:r>
      <w:r w:rsidR="00F46D67" w:rsidRPr="00F15230">
        <w:rPr>
          <w:rStyle w:val="Heading6Char"/>
          <w:b/>
          <w:i/>
          <w:iCs w:val="0"/>
        </w:rPr>
        <w:t>on</w:t>
      </w:r>
      <w:r w:rsidR="00B01BA3" w:rsidRPr="00F15230">
        <w:rPr>
          <w:rStyle w:val="Heading6Char"/>
          <w:b/>
          <w:i/>
          <w:iCs w:val="0"/>
        </w:rPr>
        <w:t>-</w:t>
      </w:r>
      <w:r w:rsidR="00F46D67" w:rsidRPr="00F15230">
        <w:rPr>
          <w:rStyle w:val="Heading6Char"/>
          <w:b/>
          <w:i/>
          <w:iCs w:val="0"/>
        </w:rPr>
        <w:t xml:space="preserve">admitted patient services </w:t>
      </w:r>
    </w:p>
    <w:p w14:paraId="6298BD6C" w14:textId="7D2F1C39" w:rsidR="00F46D67" w:rsidRPr="00F15230" w:rsidRDefault="00AC29F5" w:rsidP="00F46D67">
      <w:pPr>
        <w:pStyle w:val="CGCNumberedPara"/>
        <w:numPr>
          <w:ilvl w:val="1"/>
          <w:numId w:val="3"/>
        </w:numPr>
        <w:rPr>
          <w:rStyle w:val="Heading6Char"/>
          <w:rFonts w:eastAsiaTheme="minorEastAsia" w:cstheme="minorBidi"/>
          <w:b w:val="0"/>
          <w:i w:val="0"/>
          <w:iCs w:val="0"/>
          <w:color w:val="auto"/>
          <w:sz w:val="24"/>
        </w:rPr>
      </w:pPr>
      <w:r w:rsidRPr="00AC29F5">
        <w:rPr>
          <w:rStyle w:val="Heading6Char"/>
        </w:rPr>
        <w:t>Substitutab</w:t>
      </w:r>
      <w:r w:rsidR="00B53B5A">
        <w:rPr>
          <w:rStyle w:val="Heading6Char"/>
        </w:rPr>
        <w:t>ility</w:t>
      </w:r>
      <w:r w:rsidRPr="00AC29F5">
        <w:rPr>
          <w:rStyle w:val="Heading6Char"/>
        </w:rPr>
        <w:t xml:space="preserve"> </w:t>
      </w:r>
      <w:r w:rsidR="00B53B5A">
        <w:rPr>
          <w:rStyle w:val="Heading6Char"/>
        </w:rPr>
        <w:t>level</w:t>
      </w:r>
      <w:r w:rsidRPr="00AC29F5">
        <w:rPr>
          <w:rStyle w:val="Heading6Char"/>
        </w:rPr>
        <w:t>.</w:t>
      </w:r>
      <w:r>
        <w:rPr>
          <w:rStyle w:val="Heading6Char"/>
          <w:rFonts w:eastAsiaTheme="minorEastAsia" w:cstheme="minorBidi"/>
          <w:b w:val="0"/>
          <w:i w:val="0"/>
          <w:iCs w:val="0"/>
          <w:color w:val="auto"/>
          <w:sz w:val="24"/>
        </w:rPr>
        <w:t xml:space="preserve"> </w:t>
      </w:r>
      <w:r w:rsidR="00F46D67" w:rsidRPr="00F15230">
        <w:rPr>
          <w:rStyle w:val="Heading6Char"/>
          <w:rFonts w:eastAsiaTheme="minorEastAsia" w:cstheme="minorBidi"/>
          <w:b w:val="0"/>
          <w:i w:val="0"/>
          <w:iCs w:val="0"/>
          <w:color w:val="auto"/>
          <w:sz w:val="24"/>
        </w:rPr>
        <w:t>State provided NAP services include a wide range of pre</w:t>
      </w:r>
      <w:r w:rsidR="00F46D67" w:rsidRPr="00F15230">
        <w:rPr>
          <w:rStyle w:val="Heading6Char"/>
          <w:rFonts w:eastAsiaTheme="minorEastAsia" w:cstheme="minorBidi"/>
          <w:b w:val="0"/>
          <w:i w:val="0"/>
          <w:iCs w:val="0"/>
          <w:color w:val="auto"/>
          <w:sz w:val="24"/>
        </w:rPr>
        <w:noBreakHyphen/>
        <w:t xml:space="preserve"> and post</w:t>
      </w:r>
      <w:r w:rsidR="00F46D67" w:rsidRPr="00F15230">
        <w:rPr>
          <w:rStyle w:val="Heading6Char"/>
          <w:rFonts w:eastAsiaTheme="minorEastAsia" w:cstheme="minorBidi"/>
          <w:b w:val="0"/>
          <w:i w:val="0"/>
          <w:iCs w:val="0"/>
          <w:color w:val="auto"/>
          <w:sz w:val="24"/>
        </w:rPr>
        <w:noBreakHyphen/>
        <w:t>hospital and clinical treatments. The majority, if not all, of these services are also provided by the private sector. For example, there are private gynaecologists, cardiologists, oncologists, physiotherapists and chiropractors that offer the same type</w:t>
      </w:r>
      <w:r w:rsidR="00D66B75" w:rsidRPr="00F15230">
        <w:rPr>
          <w:rStyle w:val="Heading6Char"/>
          <w:rFonts w:eastAsiaTheme="minorEastAsia" w:cstheme="minorBidi"/>
          <w:b w:val="0"/>
          <w:i w:val="0"/>
          <w:iCs w:val="0"/>
          <w:color w:val="auto"/>
          <w:sz w:val="24"/>
        </w:rPr>
        <w:t>s</w:t>
      </w:r>
      <w:r w:rsidR="00F46D67" w:rsidRPr="00F15230">
        <w:rPr>
          <w:rStyle w:val="Heading6Char"/>
          <w:rFonts w:eastAsiaTheme="minorEastAsia" w:cstheme="minorBidi"/>
          <w:b w:val="0"/>
          <w:i w:val="0"/>
          <w:iCs w:val="0"/>
          <w:color w:val="auto"/>
          <w:sz w:val="24"/>
        </w:rPr>
        <w:t xml:space="preserve"> of services provided in public hospitals. Pathology and diagnostic imaging services are also widely available throughout the private sector. Therefore, </w:t>
      </w:r>
      <w:r w:rsidR="00D66B75" w:rsidRPr="00F15230">
        <w:rPr>
          <w:rStyle w:val="Heading6Char"/>
          <w:rFonts w:eastAsiaTheme="minorEastAsia" w:cstheme="minorBidi"/>
          <w:b w:val="0"/>
          <w:i w:val="0"/>
          <w:iCs w:val="0"/>
          <w:color w:val="auto"/>
          <w:sz w:val="24"/>
        </w:rPr>
        <w:t xml:space="preserve">we would expect </w:t>
      </w:r>
      <w:r w:rsidR="00F46D67" w:rsidRPr="00F15230">
        <w:rPr>
          <w:rStyle w:val="Heading6Char"/>
          <w:rFonts w:eastAsiaTheme="minorEastAsia" w:cstheme="minorBidi"/>
          <w:b w:val="0"/>
          <w:i w:val="0"/>
          <w:iCs w:val="0"/>
          <w:color w:val="auto"/>
          <w:sz w:val="24"/>
        </w:rPr>
        <w:t xml:space="preserve">the potential substitutability would be high for these services. </w:t>
      </w:r>
    </w:p>
    <w:p w14:paraId="18A7C542" w14:textId="40F29A50" w:rsidR="00F46D67" w:rsidRPr="00F15230" w:rsidRDefault="00F46D67" w:rsidP="00F46D67">
      <w:pPr>
        <w:pStyle w:val="CGCNumberedPara"/>
        <w:numPr>
          <w:ilvl w:val="1"/>
          <w:numId w:val="3"/>
        </w:numPr>
        <w:rPr>
          <w:rStyle w:val="Heading6Char"/>
          <w:rFonts w:eastAsiaTheme="minorEastAsia" w:cstheme="minorBidi"/>
          <w:b w:val="0"/>
          <w:i w:val="0"/>
          <w:iCs w:val="0"/>
          <w:color w:val="auto"/>
          <w:sz w:val="24"/>
        </w:rPr>
      </w:pPr>
      <w:r w:rsidRPr="00F15230">
        <w:rPr>
          <w:rStyle w:val="Heading6Char"/>
          <w:rFonts w:eastAsiaTheme="minorEastAsia" w:cstheme="minorBidi"/>
          <w:b w:val="0"/>
          <w:i w:val="0"/>
          <w:iCs w:val="0"/>
          <w:color w:val="auto"/>
          <w:sz w:val="24"/>
        </w:rPr>
        <w:t>However, there are usually some patient out</w:t>
      </w:r>
      <w:r w:rsidRPr="00F15230">
        <w:rPr>
          <w:rStyle w:val="Heading6Char"/>
          <w:rFonts w:eastAsiaTheme="minorEastAsia" w:cstheme="minorBidi"/>
          <w:b w:val="0"/>
          <w:i w:val="0"/>
          <w:iCs w:val="0"/>
          <w:color w:val="auto"/>
          <w:sz w:val="24"/>
        </w:rPr>
        <w:noBreakHyphen/>
        <w:t>of</w:t>
      </w:r>
      <w:r w:rsidRPr="00F15230">
        <w:rPr>
          <w:rStyle w:val="Heading6Char"/>
          <w:rFonts w:eastAsiaTheme="minorEastAsia" w:cstheme="minorBidi"/>
          <w:b w:val="0"/>
          <w:i w:val="0"/>
          <w:iCs w:val="0"/>
          <w:color w:val="auto"/>
          <w:sz w:val="24"/>
        </w:rPr>
        <w:noBreakHyphen/>
        <w:t xml:space="preserve">pocket costs for services that are provided </w:t>
      </w:r>
      <w:r w:rsidR="00B53B5A">
        <w:rPr>
          <w:rStyle w:val="Heading6Char"/>
          <w:rFonts w:eastAsiaTheme="minorEastAsia" w:cstheme="minorBidi"/>
          <w:b w:val="0"/>
          <w:i w:val="0"/>
          <w:iCs w:val="0"/>
          <w:color w:val="auto"/>
          <w:sz w:val="24"/>
        </w:rPr>
        <w:t>by</w:t>
      </w:r>
      <w:r w:rsidRPr="00F15230">
        <w:rPr>
          <w:rStyle w:val="Heading6Char"/>
          <w:rFonts w:eastAsiaTheme="minorEastAsia" w:cstheme="minorBidi"/>
          <w:b w:val="0"/>
          <w:i w:val="0"/>
          <w:iCs w:val="0"/>
          <w:color w:val="auto"/>
          <w:sz w:val="24"/>
        </w:rPr>
        <w:t xml:space="preserve"> the private sector. Medicare provides a variety of subsidies to reduce the cost burden on patients but does not regulate the fees charged by private specialists. In 2016</w:t>
      </w:r>
      <w:r w:rsidRPr="00F15230">
        <w:rPr>
          <w:rStyle w:val="Heading6Char"/>
          <w:rFonts w:eastAsiaTheme="minorEastAsia" w:cstheme="minorBidi"/>
          <w:b w:val="0"/>
          <w:i w:val="0"/>
          <w:iCs w:val="0"/>
          <w:color w:val="auto"/>
          <w:sz w:val="24"/>
        </w:rPr>
        <w:noBreakHyphen/>
        <w:t xml:space="preserve">17, less than one third of </w:t>
      </w:r>
      <w:r w:rsidR="00865DB8">
        <w:rPr>
          <w:rStyle w:val="Heading6Char"/>
          <w:rFonts w:eastAsiaTheme="minorEastAsia" w:cstheme="minorBidi"/>
          <w:b w:val="0"/>
          <w:i w:val="0"/>
          <w:iCs w:val="0"/>
          <w:color w:val="auto"/>
          <w:sz w:val="24"/>
        </w:rPr>
        <w:t xml:space="preserve">all </w:t>
      </w:r>
      <w:r w:rsidRPr="00F15230">
        <w:rPr>
          <w:rStyle w:val="Heading6Char"/>
          <w:rFonts w:eastAsiaTheme="minorEastAsia" w:cstheme="minorBidi"/>
          <w:b w:val="0"/>
          <w:i w:val="0"/>
          <w:iCs w:val="0"/>
          <w:color w:val="auto"/>
          <w:sz w:val="24"/>
        </w:rPr>
        <w:t xml:space="preserve">private specialist consultations </w:t>
      </w:r>
      <w:r w:rsidR="00C4499C" w:rsidRPr="00F15230">
        <w:rPr>
          <w:rStyle w:val="Heading6Char"/>
          <w:rFonts w:eastAsiaTheme="minorEastAsia" w:cstheme="minorBidi"/>
          <w:b w:val="0"/>
          <w:i w:val="0"/>
          <w:iCs w:val="0"/>
          <w:color w:val="auto"/>
          <w:sz w:val="24"/>
        </w:rPr>
        <w:t xml:space="preserve">were </w:t>
      </w:r>
      <w:r w:rsidR="00865DB8">
        <w:rPr>
          <w:rStyle w:val="Heading6Char"/>
          <w:rFonts w:eastAsiaTheme="minorEastAsia" w:cstheme="minorBidi"/>
          <w:b w:val="0"/>
          <w:i w:val="0"/>
          <w:iCs w:val="0"/>
          <w:color w:val="auto"/>
          <w:sz w:val="24"/>
        </w:rPr>
        <w:t>bulk</w:t>
      </w:r>
      <w:r w:rsidR="00865DB8">
        <w:rPr>
          <w:rStyle w:val="Heading6Char"/>
          <w:rFonts w:eastAsiaTheme="minorEastAsia" w:cstheme="minorBidi"/>
          <w:b w:val="0"/>
          <w:i w:val="0"/>
          <w:iCs w:val="0"/>
          <w:color w:val="auto"/>
          <w:sz w:val="24"/>
        </w:rPr>
        <w:noBreakHyphen/>
      </w:r>
      <w:r w:rsidRPr="00F15230">
        <w:rPr>
          <w:rStyle w:val="Heading6Char"/>
          <w:rFonts w:eastAsiaTheme="minorEastAsia" w:cstheme="minorBidi"/>
          <w:b w:val="0"/>
          <w:i w:val="0"/>
          <w:iCs w:val="0"/>
          <w:color w:val="auto"/>
          <w:sz w:val="24"/>
        </w:rPr>
        <w:t xml:space="preserve">billed and for those who </w:t>
      </w:r>
      <w:r w:rsidR="00C4499C" w:rsidRPr="00F15230">
        <w:rPr>
          <w:rStyle w:val="Heading6Char"/>
          <w:rFonts w:eastAsiaTheme="minorEastAsia" w:cstheme="minorBidi"/>
          <w:b w:val="0"/>
          <w:i w:val="0"/>
          <w:iCs w:val="0"/>
          <w:color w:val="auto"/>
          <w:sz w:val="24"/>
        </w:rPr>
        <w:t xml:space="preserve">were </w:t>
      </w:r>
      <w:r w:rsidR="00865DB8">
        <w:rPr>
          <w:rStyle w:val="Heading6Char"/>
          <w:rFonts w:eastAsiaTheme="minorEastAsia" w:cstheme="minorBidi"/>
          <w:b w:val="0"/>
          <w:i w:val="0"/>
          <w:iCs w:val="0"/>
          <w:color w:val="auto"/>
          <w:sz w:val="24"/>
        </w:rPr>
        <w:t>not bulk</w:t>
      </w:r>
      <w:r w:rsidR="00865DB8">
        <w:rPr>
          <w:rStyle w:val="Heading6Char"/>
          <w:rFonts w:eastAsiaTheme="minorEastAsia" w:cstheme="minorBidi"/>
          <w:b w:val="0"/>
          <w:i w:val="0"/>
          <w:iCs w:val="0"/>
          <w:color w:val="auto"/>
          <w:sz w:val="24"/>
        </w:rPr>
        <w:noBreakHyphen/>
        <w:t>billed, the average patient</w:t>
      </w:r>
      <w:r w:rsidRPr="00F15230">
        <w:rPr>
          <w:rStyle w:val="Heading6Char"/>
          <w:rFonts w:eastAsiaTheme="minorEastAsia" w:cstheme="minorBidi"/>
          <w:b w:val="0"/>
          <w:i w:val="0"/>
          <w:iCs w:val="0"/>
          <w:color w:val="auto"/>
          <w:sz w:val="24"/>
        </w:rPr>
        <w:t xml:space="preserve"> out</w:t>
      </w:r>
      <w:r w:rsidRPr="00F15230">
        <w:rPr>
          <w:rStyle w:val="Heading6Char"/>
          <w:rFonts w:eastAsiaTheme="minorEastAsia" w:cstheme="minorBidi"/>
          <w:b w:val="0"/>
          <w:i w:val="0"/>
          <w:iCs w:val="0"/>
          <w:color w:val="auto"/>
          <w:sz w:val="24"/>
        </w:rPr>
        <w:noBreakHyphen/>
        <w:t>of</w:t>
      </w:r>
      <w:r w:rsidRPr="00F15230">
        <w:rPr>
          <w:rStyle w:val="Heading6Char"/>
          <w:rFonts w:eastAsiaTheme="minorEastAsia" w:cstheme="minorBidi"/>
          <w:b w:val="0"/>
          <w:i w:val="0"/>
          <w:iCs w:val="0"/>
          <w:color w:val="auto"/>
          <w:sz w:val="24"/>
        </w:rPr>
        <w:noBreakHyphen/>
        <w:t xml:space="preserve">pocket expense </w:t>
      </w:r>
      <w:r w:rsidR="00D92B11" w:rsidRPr="00F15230">
        <w:rPr>
          <w:rStyle w:val="Heading6Char"/>
          <w:rFonts w:eastAsiaTheme="minorEastAsia" w:cstheme="minorBidi"/>
          <w:b w:val="0"/>
          <w:i w:val="0"/>
          <w:iCs w:val="0"/>
          <w:color w:val="auto"/>
          <w:sz w:val="24"/>
        </w:rPr>
        <w:lastRenderedPageBreak/>
        <w:t>was</w:t>
      </w:r>
      <w:r w:rsidRPr="00F15230">
        <w:rPr>
          <w:rStyle w:val="Heading6Char"/>
          <w:rFonts w:eastAsiaTheme="minorEastAsia" w:cstheme="minorBidi"/>
          <w:b w:val="0"/>
          <w:i w:val="0"/>
          <w:iCs w:val="0"/>
          <w:color w:val="auto"/>
          <w:sz w:val="24"/>
        </w:rPr>
        <w:t xml:space="preserve"> $75.</w:t>
      </w:r>
      <w:r w:rsidRPr="00F15230">
        <w:rPr>
          <w:rStyle w:val="FootnoteReference"/>
        </w:rPr>
        <w:footnoteReference w:id="17"/>
      </w:r>
      <w:r w:rsidRPr="00F15230">
        <w:rPr>
          <w:rStyle w:val="Heading6Char"/>
          <w:rFonts w:eastAsiaTheme="minorEastAsia" w:cstheme="minorBidi"/>
          <w:b w:val="0"/>
          <w:i w:val="0"/>
          <w:iCs w:val="0"/>
          <w:color w:val="auto"/>
          <w:sz w:val="24"/>
        </w:rPr>
        <w:t xml:space="preserve"> Pathology and diagnostic imaging services ha</w:t>
      </w:r>
      <w:r w:rsidR="00D66B75" w:rsidRPr="00F15230">
        <w:rPr>
          <w:rStyle w:val="Heading6Char"/>
          <w:rFonts w:eastAsiaTheme="minorEastAsia" w:cstheme="minorBidi"/>
          <w:b w:val="0"/>
          <w:i w:val="0"/>
          <w:iCs w:val="0"/>
          <w:color w:val="auto"/>
          <w:sz w:val="24"/>
        </w:rPr>
        <w:t>ve</w:t>
      </w:r>
      <w:r w:rsidRPr="00F15230">
        <w:rPr>
          <w:rStyle w:val="Heading6Char"/>
          <w:rFonts w:eastAsiaTheme="minorEastAsia" w:cstheme="minorBidi"/>
          <w:b w:val="0"/>
          <w:i w:val="0"/>
          <w:iCs w:val="0"/>
          <w:color w:val="auto"/>
          <w:sz w:val="24"/>
        </w:rPr>
        <w:t xml:space="preserve"> higher bulk</w:t>
      </w:r>
      <w:r w:rsidR="00B53B5A">
        <w:rPr>
          <w:rStyle w:val="Heading6Char"/>
          <w:rFonts w:eastAsiaTheme="minorEastAsia" w:cstheme="minorBidi"/>
          <w:b w:val="0"/>
          <w:i w:val="0"/>
          <w:iCs w:val="0"/>
          <w:color w:val="auto"/>
          <w:sz w:val="24"/>
        </w:rPr>
        <w:noBreakHyphen/>
      </w:r>
      <w:r w:rsidRPr="00F15230">
        <w:rPr>
          <w:rStyle w:val="Heading6Char"/>
          <w:rFonts w:eastAsiaTheme="minorEastAsia" w:cstheme="minorBidi"/>
          <w:b w:val="0"/>
          <w:i w:val="0"/>
          <w:iCs w:val="0"/>
          <w:color w:val="auto"/>
          <w:sz w:val="24"/>
        </w:rPr>
        <w:t xml:space="preserve">billing rates than specialist services. </w:t>
      </w:r>
    </w:p>
    <w:p w14:paraId="77473377" w14:textId="3616C827" w:rsidR="00F46D67" w:rsidRPr="00F15230" w:rsidRDefault="00F46D67" w:rsidP="00F46D67">
      <w:pPr>
        <w:pStyle w:val="CGCNumberedPara"/>
        <w:numPr>
          <w:ilvl w:val="1"/>
          <w:numId w:val="3"/>
        </w:numPr>
        <w:rPr>
          <w:rStyle w:val="Heading6Char"/>
          <w:rFonts w:eastAsiaTheme="minorEastAsia" w:cstheme="minorBidi"/>
          <w:b w:val="0"/>
          <w:i w:val="0"/>
          <w:iCs w:val="0"/>
          <w:color w:val="auto"/>
          <w:sz w:val="24"/>
        </w:rPr>
      </w:pPr>
      <w:r w:rsidRPr="00F15230">
        <w:rPr>
          <w:rStyle w:val="Heading6Char"/>
          <w:rFonts w:eastAsiaTheme="minorEastAsia" w:cstheme="minorBidi"/>
          <w:b w:val="0"/>
          <w:i w:val="0"/>
          <w:iCs w:val="0"/>
          <w:color w:val="auto"/>
          <w:sz w:val="24"/>
        </w:rPr>
        <w:t>In the 2015 Review, the Commission investigated the substitutability level for NAP services using an approach that disaggregated all NAP services into broad groups, and for each group of services, i</w:t>
      </w:r>
      <w:r w:rsidR="00865DB8">
        <w:rPr>
          <w:rStyle w:val="Heading6Char"/>
          <w:rFonts w:eastAsiaTheme="minorEastAsia" w:cstheme="minorBidi"/>
          <w:b w:val="0"/>
          <w:i w:val="0"/>
          <w:iCs w:val="0"/>
          <w:color w:val="auto"/>
          <w:sz w:val="24"/>
        </w:rPr>
        <w:t>t applied the bulk</w:t>
      </w:r>
      <w:r w:rsidR="00B53B5A">
        <w:rPr>
          <w:rStyle w:val="Heading6Char"/>
          <w:rFonts w:eastAsiaTheme="minorEastAsia" w:cstheme="minorBidi"/>
          <w:b w:val="0"/>
          <w:i w:val="0"/>
          <w:iCs w:val="0"/>
          <w:color w:val="auto"/>
          <w:sz w:val="24"/>
        </w:rPr>
        <w:noBreakHyphen/>
      </w:r>
      <w:r w:rsidR="00865DB8">
        <w:rPr>
          <w:rStyle w:val="Heading6Char"/>
          <w:rFonts w:eastAsiaTheme="minorEastAsia" w:cstheme="minorBidi"/>
          <w:b w:val="0"/>
          <w:i w:val="0"/>
          <w:iCs w:val="0"/>
          <w:color w:val="auto"/>
          <w:sz w:val="24"/>
        </w:rPr>
        <w:t>billing rate</w:t>
      </w:r>
      <w:r w:rsidRPr="00F15230">
        <w:rPr>
          <w:rStyle w:val="Heading6Char"/>
          <w:rFonts w:eastAsiaTheme="minorEastAsia" w:cstheme="minorBidi"/>
          <w:b w:val="0"/>
          <w:i w:val="0"/>
          <w:iCs w:val="0"/>
          <w:color w:val="auto"/>
          <w:sz w:val="24"/>
        </w:rPr>
        <w:t xml:space="preserve"> to the proportion of estimated spending. The </w:t>
      </w:r>
      <w:r w:rsidR="00B92CCD" w:rsidRPr="00F15230">
        <w:rPr>
          <w:rStyle w:val="Heading6Char"/>
          <w:rFonts w:eastAsiaTheme="minorEastAsia" w:cstheme="minorBidi"/>
          <w:b w:val="0"/>
          <w:i w:val="0"/>
          <w:iCs w:val="0"/>
          <w:color w:val="auto"/>
          <w:sz w:val="24"/>
        </w:rPr>
        <w:t xml:space="preserve">weighted </w:t>
      </w:r>
      <w:r w:rsidR="007D29AA" w:rsidRPr="00F15230">
        <w:rPr>
          <w:rStyle w:val="Heading6Char"/>
          <w:rFonts w:eastAsiaTheme="minorEastAsia" w:cstheme="minorBidi"/>
          <w:b w:val="0"/>
          <w:i w:val="0"/>
          <w:iCs w:val="0"/>
          <w:color w:val="auto"/>
          <w:sz w:val="24"/>
        </w:rPr>
        <w:t>proportions were summed to give the overall</w:t>
      </w:r>
      <w:r w:rsidRPr="00F15230">
        <w:rPr>
          <w:rStyle w:val="Heading6Char"/>
          <w:rFonts w:eastAsiaTheme="minorEastAsia" w:cstheme="minorBidi"/>
          <w:b w:val="0"/>
          <w:i w:val="0"/>
          <w:iCs w:val="0"/>
          <w:color w:val="auto"/>
          <w:sz w:val="24"/>
        </w:rPr>
        <w:t xml:space="preserve"> level of substitutability. </w:t>
      </w:r>
    </w:p>
    <w:p w14:paraId="018E48CE" w14:textId="053DBD3D" w:rsidR="00F46D67" w:rsidRPr="00F15230" w:rsidRDefault="00F46D67" w:rsidP="00F46D67">
      <w:pPr>
        <w:pStyle w:val="CGCNumberedPara"/>
        <w:numPr>
          <w:ilvl w:val="1"/>
          <w:numId w:val="3"/>
        </w:numPr>
        <w:rPr>
          <w:rStyle w:val="Heading6Char"/>
          <w:rFonts w:eastAsiaTheme="minorEastAsia" w:cstheme="minorBidi"/>
          <w:b w:val="0"/>
          <w:i w:val="0"/>
          <w:iCs w:val="0"/>
          <w:color w:val="auto"/>
          <w:sz w:val="24"/>
        </w:rPr>
      </w:pPr>
      <w:proofErr w:type="gramStart"/>
      <w:r w:rsidRPr="00F15230">
        <w:rPr>
          <w:rStyle w:val="Heading6Char"/>
          <w:rFonts w:eastAsiaTheme="minorEastAsia" w:cstheme="minorBidi"/>
          <w:b w:val="0"/>
          <w:i w:val="0"/>
          <w:iCs w:val="0"/>
          <w:color w:val="auto"/>
          <w:sz w:val="24"/>
        </w:rPr>
        <w:t>Staff consider</w:t>
      </w:r>
      <w:proofErr w:type="gramEnd"/>
      <w:r w:rsidRPr="00F15230">
        <w:rPr>
          <w:rStyle w:val="Heading6Char"/>
          <w:rFonts w:eastAsiaTheme="minorEastAsia" w:cstheme="minorBidi"/>
          <w:b w:val="0"/>
          <w:i w:val="0"/>
          <w:iCs w:val="0"/>
          <w:color w:val="auto"/>
          <w:sz w:val="24"/>
        </w:rPr>
        <w:t xml:space="preserve"> this approach to </w:t>
      </w:r>
      <w:r w:rsidR="000144FB" w:rsidRPr="00F15230">
        <w:rPr>
          <w:rStyle w:val="Heading6Char"/>
          <w:rFonts w:eastAsiaTheme="minorEastAsia" w:cstheme="minorBidi"/>
          <w:b w:val="0"/>
          <w:i w:val="0"/>
          <w:iCs w:val="0"/>
          <w:color w:val="auto"/>
          <w:sz w:val="24"/>
        </w:rPr>
        <w:t xml:space="preserve">be valid and </w:t>
      </w:r>
      <w:r w:rsidR="00885704" w:rsidRPr="00F15230">
        <w:rPr>
          <w:rStyle w:val="Heading6Char"/>
          <w:rFonts w:eastAsiaTheme="minorEastAsia" w:cstheme="minorBidi"/>
          <w:b w:val="0"/>
          <w:i w:val="0"/>
          <w:iCs w:val="0"/>
          <w:color w:val="auto"/>
          <w:sz w:val="24"/>
        </w:rPr>
        <w:t xml:space="preserve">we intend to </w:t>
      </w:r>
      <w:r w:rsidRPr="00F15230">
        <w:rPr>
          <w:rStyle w:val="Heading6Char"/>
          <w:rFonts w:eastAsiaTheme="minorEastAsia" w:cstheme="minorBidi"/>
          <w:b w:val="0"/>
          <w:i w:val="0"/>
          <w:iCs w:val="0"/>
          <w:color w:val="auto"/>
          <w:sz w:val="24"/>
        </w:rPr>
        <w:t>replicat</w:t>
      </w:r>
      <w:r w:rsidR="00E76A6E" w:rsidRPr="00F15230">
        <w:rPr>
          <w:rStyle w:val="Heading6Char"/>
          <w:rFonts w:eastAsiaTheme="minorEastAsia" w:cstheme="minorBidi"/>
          <w:b w:val="0"/>
          <w:i w:val="0"/>
          <w:iCs w:val="0"/>
          <w:color w:val="auto"/>
          <w:sz w:val="24"/>
        </w:rPr>
        <w:t>e</w:t>
      </w:r>
      <w:r w:rsidRPr="00F15230">
        <w:rPr>
          <w:rStyle w:val="Heading6Char"/>
          <w:rFonts w:eastAsiaTheme="minorEastAsia" w:cstheme="minorBidi"/>
          <w:b w:val="0"/>
          <w:i w:val="0"/>
          <w:iCs w:val="0"/>
          <w:color w:val="auto"/>
          <w:sz w:val="24"/>
        </w:rPr>
        <w:t xml:space="preserve"> it using the most recent available data</w:t>
      </w:r>
      <w:r w:rsidR="00885704" w:rsidRPr="00F15230">
        <w:rPr>
          <w:rStyle w:val="Heading6Char"/>
          <w:rFonts w:eastAsiaTheme="minorEastAsia" w:cstheme="minorBidi"/>
          <w:b w:val="0"/>
          <w:i w:val="0"/>
          <w:iCs w:val="0"/>
          <w:color w:val="auto"/>
          <w:sz w:val="24"/>
        </w:rPr>
        <w:t xml:space="preserve"> to estimate the </w:t>
      </w:r>
      <w:r w:rsidR="00D66B75" w:rsidRPr="00F15230">
        <w:rPr>
          <w:rStyle w:val="Heading6Char"/>
          <w:rFonts w:eastAsiaTheme="minorEastAsia" w:cstheme="minorBidi"/>
          <w:b w:val="0"/>
          <w:i w:val="0"/>
          <w:iCs w:val="0"/>
          <w:color w:val="auto"/>
          <w:sz w:val="24"/>
        </w:rPr>
        <w:t>substitutability level</w:t>
      </w:r>
      <w:r w:rsidR="00885704" w:rsidRPr="00F15230">
        <w:rPr>
          <w:rStyle w:val="Heading6Char"/>
          <w:rFonts w:eastAsiaTheme="minorEastAsia" w:cstheme="minorBidi"/>
          <w:b w:val="0"/>
          <w:i w:val="0"/>
          <w:iCs w:val="0"/>
          <w:color w:val="auto"/>
          <w:sz w:val="24"/>
        </w:rPr>
        <w:t xml:space="preserve"> for the 2020 Review</w:t>
      </w:r>
      <w:r w:rsidRPr="00F15230">
        <w:rPr>
          <w:rStyle w:val="Heading6Char"/>
          <w:rFonts w:eastAsiaTheme="minorEastAsia" w:cstheme="minorBidi"/>
          <w:b w:val="0"/>
          <w:i w:val="0"/>
          <w:iCs w:val="0"/>
          <w:color w:val="auto"/>
          <w:sz w:val="24"/>
        </w:rPr>
        <w:t xml:space="preserve">. </w:t>
      </w:r>
    </w:p>
    <w:p w14:paraId="0ED39138" w14:textId="2132B3D0" w:rsidR="007D29AA" w:rsidRPr="00F15230" w:rsidRDefault="00AC29F5" w:rsidP="00F46D67">
      <w:pPr>
        <w:pStyle w:val="CGCNumberedPara"/>
        <w:numPr>
          <w:ilvl w:val="1"/>
          <w:numId w:val="3"/>
        </w:numPr>
        <w:rPr>
          <w:rStyle w:val="Heading6Char"/>
          <w:rFonts w:eastAsiaTheme="minorEastAsia" w:cstheme="minorBidi"/>
          <w:b w:val="0"/>
          <w:i w:val="0"/>
          <w:iCs w:val="0"/>
          <w:color w:val="auto"/>
          <w:sz w:val="24"/>
        </w:rPr>
      </w:pPr>
      <w:r w:rsidRPr="00AC29F5">
        <w:rPr>
          <w:rStyle w:val="Heading6Char"/>
        </w:rPr>
        <w:t xml:space="preserve">Indicator </w:t>
      </w:r>
      <w:r>
        <w:rPr>
          <w:rStyle w:val="Heading6Char"/>
        </w:rPr>
        <w:t xml:space="preserve">for </w:t>
      </w:r>
      <w:r w:rsidRPr="00AC29F5">
        <w:rPr>
          <w:rStyle w:val="Heading6Char"/>
        </w:rPr>
        <w:t xml:space="preserve">non-State </w:t>
      </w:r>
      <w:r w:rsidR="00943E37">
        <w:rPr>
          <w:rStyle w:val="Heading6Char"/>
        </w:rPr>
        <w:t>activity</w:t>
      </w:r>
      <w:r w:rsidRPr="00AC29F5">
        <w:rPr>
          <w:rStyle w:val="Heading6Char"/>
        </w:rPr>
        <w:t>.</w:t>
      </w:r>
      <w:r>
        <w:rPr>
          <w:rStyle w:val="Heading6Char"/>
          <w:rFonts w:eastAsiaTheme="minorEastAsia" w:cstheme="minorBidi"/>
          <w:b w:val="0"/>
          <w:i w:val="0"/>
          <w:iCs w:val="0"/>
          <w:color w:val="auto"/>
          <w:sz w:val="24"/>
        </w:rPr>
        <w:t xml:space="preserve"> </w:t>
      </w:r>
      <w:r w:rsidR="007D29AA" w:rsidRPr="00F15230">
        <w:rPr>
          <w:rStyle w:val="Heading6Char"/>
          <w:rFonts w:eastAsiaTheme="minorEastAsia" w:cstheme="minorBidi"/>
          <w:b w:val="0"/>
          <w:i w:val="0"/>
          <w:iCs w:val="0"/>
          <w:color w:val="auto"/>
          <w:sz w:val="24"/>
        </w:rPr>
        <w:t>The indicator the Commission chose for measuring the availability of non</w:t>
      </w:r>
      <w:r w:rsidR="007D29AA" w:rsidRPr="00F15230">
        <w:rPr>
          <w:rStyle w:val="Heading6Char"/>
          <w:rFonts w:eastAsiaTheme="minorEastAsia" w:cstheme="minorBidi"/>
          <w:b w:val="0"/>
          <w:i w:val="0"/>
          <w:iCs w:val="0"/>
          <w:color w:val="auto"/>
          <w:sz w:val="24"/>
        </w:rPr>
        <w:noBreakHyphen/>
        <w:t xml:space="preserve">State sector services was bulk-billed benefits paid for specialist, pathology and imagining services. </w:t>
      </w:r>
      <w:r w:rsidR="00EB46D3" w:rsidRPr="00F15230">
        <w:rPr>
          <w:rStyle w:val="Heading6Char"/>
          <w:rFonts w:eastAsiaTheme="minorEastAsia" w:cstheme="minorBidi"/>
          <w:b w:val="0"/>
          <w:i w:val="0"/>
          <w:iCs w:val="0"/>
          <w:color w:val="auto"/>
          <w:sz w:val="24"/>
        </w:rPr>
        <w:t>Similar to the argument for EDs, this remove</w:t>
      </w:r>
      <w:r w:rsidR="00FE04D3">
        <w:rPr>
          <w:rStyle w:val="Heading6Char"/>
          <w:rFonts w:eastAsiaTheme="minorEastAsia" w:cstheme="minorBidi"/>
          <w:b w:val="0"/>
          <w:i w:val="0"/>
          <w:iCs w:val="0"/>
          <w:color w:val="auto"/>
          <w:sz w:val="24"/>
        </w:rPr>
        <w:t>s</w:t>
      </w:r>
      <w:r w:rsidR="00EB46D3" w:rsidRPr="00F15230">
        <w:rPr>
          <w:rStyle w:val="Heading6Char"/>
          <w:rFonts w:eastAsiaTheme="minorEastAsia" w:cstheme="minorBidi"/>
          <w:b w:val="0"/>
          <w:i w:val="0"/>
          <w:iCs w:val="0"/>
          <w:color w:val="auto"/>
          <w:sz w:val="24"/>
        </w:rPr>
        <w:t xml:space="preserve"> the income constraint faced by people and </w:t>
      </w:r>
      <w:r w:rsidR="00FE04D3">
        <w:rPr>
          <w:rStyle w:val="Heading6Char"/>
          <w:rFonts w:eastAsiaTheme="minorEastAsia" w:cstheme="minorBidi"/>
          <w:b w:val="0"/>
          <w:i w:val="0"/>
          <w:iCs w:val="0"/>
          <w:color w:val="auto"/>
          <w:sz w:val="24"/>
        </w:rPr>
        <w:t xml:space="preserve">is </w:t>
      </w:r>
      <w:r w:rsidR="00EB46D3" w:rsidRPr="00F15230">
        <w:rPr>
          <w:rStyle w:val="Heading6Char"/>
          <w:rFonts w:eastAsiaTheme="minorEastAsia" w:cstheme="minorBidi"/>
          <w:b w:val="0"/>
          <w:i w:val="0"/>
          <w:iCs w:val="0"/>
          <w:color w:val="auto"/>
          <w:sz w:val="24"/>
        </w:rPr>
        <w:t>closer to the concept that the Commission wants to measure.</w:t>
      </w:r>
    </w:p>
    <w:p w14:paraId="71DBE769" w14:textId="673D8566" w:rsidR="00EB46D3" w:rsidRPr="00F15230" w:rsidRDefault="00EB46D3" w:rsidP="00F46D67">
      <w:pPr>
        <w:pStyle w:val="CGCNumberedPara"/>
        <w:numPr>
          <w:ilvl w:val="1"/>
          <w:numId w:val="3"/>
        </w:numPr>
        <w:rPr>
          <w:rStyle w:val="Heading6Char"/>
          <w:rFonts w:eastAsiaTheme="minorEastAsia" w:cstheme="minorBidi"/>
          <w:b w:val="0"/>
          <w:i w:val="0"/>
          <w:iCs w:val="0"/>
          <w:color w:val="auto"/>
          <w:sz w:val="24"/>
        </w:rPr>
      </w:pPr>
      <w:proofErr w:type="gramStart"/>
      <w:r w:rsidRPr="00F15230">
        <w:rPr>
          <w:rStyle w:val="Heading6Char"/>
          <w:rFonts w:eastAsiaTheme="minorEastAsia" w:cstheme="minorBidi"/>
          <w:b w:val="0"/>
          <w:i w:val="0"/>
          <w:iCs w:val="0"/>
          <w:color w:val="auto"/>
          <w:sz w:val="24"/>
        </w:rPr>
        <w:t>Staff are</w:t>
      </w:r>
      <w:proofErr w:type="gramEnd"/>
      <w:r w:rsidRPr="00F15230">
        <w:rPr>
          <w:rStyle w:val="Heading6Char"/>
          <w:rFonts w:eastAsiaTheme="minorEastAsia" w:cstheme="minorBidi"/>
          <w:b w:val="0"/>
          <w:i w:val="0"/>
          <w:iCs w:val="0"/>
          <w:color w:val="auto"/>
          <w:sz w:val="24"/>
        </w:rPr>
        <w:t xml:space="preserve"> generally satisfied that these are the main State</w:t>
      </w:r>
      <w:r w:rsidR="0064762F" w:rsidRPr="00F15230">
        <w:rPr>
          <w:rStyle w:val="Heading6Char"/>
          <w:rFonts w:eastAsiaTheme="minorEastAsia" w:cstheme="minorBidi"/>
          <w:b w:val="0"/>
          <w:i w:val="0"/>
          <w:iCs w:val="0"/>
          <w:color w:val="auto"/>
          <w:sz w:val="24"/>
        </w:rPr>
        <w:noBreakHyphen/>
      </w:r>
      <w:r w:rsidRPr="00F15230">
        <w:rPr>
          <w:rStyle w:val="Heading6Char"/>
          <w:rFonts w:eastAsiaTheme="minorEastAsia" w:cstheme="minorBidi"/>
          <w:b w:val="0"/>
          <w:i w:val="0"/>
          <w:iCs w:val="0"/>
          <w:color w:val="auto"/>
          <w:sz w:val="24"/>
        </w:rPr>
        <w:t xml:space="preserve">like services which affect State </w:t>
      </w:r>
      <w:r w:rsidR="00865DB8">
        <w:rPr>
          <w:rStyle w:val="Heading6Char"/>
          <w:rFonts w:eastAsiaTheme="minorEastAsia" w:cstheme="minorBidi"/>
          <w:b w:val="0"/>
          <w:i w:val="0"/>
          <w:iCs w:val="0"/>
          <w:color w:val="auto"/>
          <w:sz w:val="24"/>
        </w:rPr>
        <w:t>NAP</w:t>
      </w:r>
      <w:r w:rsidR="00C5455B">
        <w:rPr>
          <w:rStyle w:val="Heading6Char"/>
          <w:rFonts w:eastAsiaTheme="minorEastAsia" w:cstheme="minorBidi"/>
          <w:b w:val="0"/>
          <w:i w:val="0"/>
          <w:iCs w:val="0"/>
          <w:color w:val="auto"/>
          <w:sz w:val="24"/>
        </w:rPr>
        <w:t xml:space="preserve"> </w:t>
      </w:r>
      <w:r w:rsidRPr="00F15230">
        <w:rPr>
          <w:rStyle w:val="Heading6Char"/>
          <w:rFonts w:eastAsiaTheme="minorEastAsia" w:cstheme="minorBidi"/>
          <w:b w:val="0"/>
          <w:i w:val="0"/>
          <w:iCs w:val="0"/>
          <w:color w:val="auto"/>
          <w:sz w:val="24"/>
        </w:rPr>
        <w:t>spending. However, there are two issues we intend to investigate.</w:t>
      </w:r>
    </w:p>
    <w:p w14:paraId="3990BB69" w14:textId="1C7412A6" w:rsidR="00F46D67" w:rsidRPr="00F15230" w:rsidRDefault="00F46D67" w:rsidP="0064762F">
      <w:pPr>
        <w:pStyle w:val="CGCBulletlist"/>
        <w:rPr>
          <w:rStyle w:val="Heading6Char"/>
          <w:rFonts w:eastAsiaTheme="minorEastAsia" w:cstheme="minorBidi"/>
          <w:b w:val="0"/>
          <w:i w:val="0"/>
          <w:iCs w:val="0"/>
          <w:color w:val="auto"/>
          <w:sz w:val="24"/>
        </w:rPr>
      </w:pPr>
      <w:r w:rsidRPr="00F15230">
        <w:rPr>
          <w:rStyle w:val="Heading6Char"/>
          <w:rFonts w:eastAsiaTheme="minorEastAsia" w:cstheme="minorBidi"/>
          <w:b w:val="0"/>
          <w:i w:val="0"/>
          <w:iCs w:val="0"/>
          <w:color w:val="auto"/>
          <w:sz w:val="24"/>
        </w:rPr>
        <w:t xml:space="preserve">One issue raised in the 2015 Review was that pathology and diagnostic imaging services were generally bundled with a specialist consultation so it was suggested to exclude these services before estimating substitutability. </w:t>
      </w:r>
    </w:p>
    <w:p w14:paraId="2E820DAD" w14:textId="05EA611E" w:rsidR="00EB46D3" w:rsidRPr="00F15230" w:rsidRDefault="00EB46D3" w:rsidP="0064762F">
      <w:pPr>
        <w:pStyle w:val="CGCBulletlist"/>
        <w:rPr>
          <w:rStyle w:val="Heading6Char"/>
          <w:rFonts w:eastAsiaTheme="minorEastAsia" w:cstheme="minorBidi"/>
          <w:b w:val="0"/>
          <w:i w:val="0"/>
          <w:iCs w:val="0"/>
          <w:color w:val="auto"/>
          <w:sz w:val="24"/>
        </w:rPr>
      </w:pPr>
      <w:r w:rsidRPr="00F15230">
        <w:rPr>
          <w:rStyle w:val="Heading6Char"/>
          <w:rFonts w:eastAsiaTheme="minorEastAsia" w:cstheme="minorBidi"/>
          <w:b w:val="0"/>
          <w:i w:val="0"/>
          <w:iCs w:val="0"/>
          <w:color w:val="auto"/>
          <w:sz w:val="24"/>
        </w:rPr>
        <w:t xml:space="preserve">Whether bulk-billed allied health services should be included in the measure of non-State services. In the 2015 Review, the Commission did not include these services because it considered that most </w:t>
      </w:r>
      <w:r w:rsidR="008D7320">
        <w:rPr>
          <w:rStyle w:val="Heading6Char"/>
          <w:rFonts w:eastAsiaTheme="minorEastAsia" w:cstheme="minorBidi"/>
          <w:b w:val="0"/>
          <w:i w:val="0"/>
          <w:iCs w:val="0"/>
          <w:color w:val="auto"/>
          <w:sz w:val="24"/>
        </w:rPr>
        <w:t xml:space="preserve">NAP </w:t>
      </w:r>
      <w:r w:rsidR="00B53B5A">
        <w:rPr>
          <w:rStyle w:val="Heading6Char"/>
          <w:rFonts w:eastAsiaTheme="minorEastAsia" w:cstheme="minorBidi"/>
          <w:b w:val="0"/>
          <w:i w:val="0"/>
          <w:iCs w:val="0"/>
          <w:color w:val="auto"/>
          <w:sz w:val="24"/>
        </w:rPr>
        <w:t xml:space="preserve">services </w:t>
      </w:r>
      <w:r w:rsidRPr="00F15230">
        <w:rPr>
          <w:rStyle w:val="Heading6Char"/>
          <w:rFonts w:eastAsiaTheme="minorEastAsia" w:cstheme="minorBidi"/>
          <w:b w:val="0"/>
          <w:i w:val="0"/>
          <w:iCs w:val="0"/>
          <w:color w:val="auto"/>
          <w:sz w:val="24"/>
        </w:rPr>
        <w:t xml:space="preserve">were linked to in-patient services and would be largely unaffected by levels of private provision. </w:t>
      </w:r>
    </w:p>
    <w:p w14:paraId="62353E1E" w14:textId="55831785" w:rsidR="00F46D67" w:rsidRPr="00F15230" w:rsidRDefault="00EB46D3" w:rsidP="00F46D67">
      <w:pPr>
        <w:pStyle w:val="CGCNumberedPara"/>
        <w:numPr>
          <w:ilvl w:val="1"/>
          <w:numId w:val="3"/>
        </w:numPr>
        <w:rPr>
          <w:rStyle w:val="Heading6Char"/>
          <w:rFonts w:eastAsiaTheme="minorEastAsia" w:cstheme="minorBidi"/>
          <w:b w:val="0"/>
          <w:i w:val="0"/>
          <w:iCs w:val="0"/>
          <w:color w:val="auto"/>
          <w:sz w:val="24"/>
        </w:rPr>
      </w:pPr>
      <w:proofErr w:type="gramStart"/>
      <w:r w:rsidRPr="00F15230">
        <w:rPr>
          <w:rStyle w:val="Heading6Char"/>
          <w:rFonts w:eastAsiaTheme="minorEastAsia" w:cstheme="minorBidi"/>
          <w:b w:val="0"/>
          <w:i w:val="0"/>
          <w:iCs w:val="0"/>
          <w:color w:val="auto"/>
          <w:sz w:val="24"/>
        </w:rPr>
        <w:t>Staff intend</w:t>
      </w:r>
      <w:proofErr w:type="gramEnd"/>
      <w:r w:rsidRPr="00F15230">
        <w:rPr>
          <w:rStyle w:val="Heading6Char"/>
          <w:rFonts w:eastAsiaTheme="minorEastAsia" w:cstheme="minorBidi"/>
          <w:b w:val="0"/>
          <w:i w:val="0"/>
          <w:iCs w:val="0"/>
          <w:color w:val="auto"/>
          <w:sz w:val="24"/>
        </w:rPr>
        <w:t xml:space="preserve"> to re-examine these issues in the 2020 Review.</w:t>
      </w:r>
      <w:r w:rsidR="002B04C0" w:rsidRPr="00F15230">
        <w:rPr>
          <w:rStyle w:val="Heading6Char"/>
          <w:rFonts w:eastAsiaTheme="minorEastAsia" w:cstheme="minorBidi"/>
          <w:b w:val="0"/>
          <w:i w:val="0"/>
          <w:iCs w:val="0"/>
          <w:color w:val="auto"/>
          <w:sz w:val="24"/>
        </w:rPr>
        <w:t xml:space="preserve"> </w:t>
      </w:r>
    </w:p>
    <w:p w14:paraId="7832A216" w14:textId="77777777" w:rsidR="00AD03E0" w:rsidRPr="00F15230" w:rsidRDefault="00AD03E0" w:rsidP="00AD03E0">
      <w:pPr>
        <w:pStyle w:val="CGCNumberedPara"/>
        <w:numPr>
          <w:ilvl w:val="0"/>
          <w:numId w:val="0"/>
        </w:numPr>
        <w:rPr>
          <w:rStyle w:val="Heading6Char"/>
          <w:rFonts w:eastAsiaTheme="minorEastAsia" w:cstheme="minorBidi"/>
          <w:b w:val="0"/>
          <w:i w:val="0"/>
          <w:iCs w:val="0"/>
          <w:color w:val="auto"/>
          <w:sz w:val="24"/>
        </w:rPr>
      </w:pPr>
    </w:p>
    <w:tbl>
      <w:tblPr>
        <w:tblStyle w:val="TableGrid"/>
        <w:tblW w:w="0" w:type="auto"/>
        <w:tblLook w:val="04A0" w:firstRow="1" w:lastRow="0" w:firstColumn="1" w:lastColumn="0" w:noHBand="0" w:noVBand="1"/>
      </w:tblPr>
      <w:tblGrid>
        <w:gridCol w:w="9167"/>
      </w:tblGrid>
      <w:tr w:rsidR="00F46D67" w:rsidRPr="00F15230" w14:paraId="30B35B52" w14:textId="77777777" w:rsidTr="00BB1AEE">
        <w:tc>
          <w:tcPr>
            <w:tcW w:w="9167" w:type="dxa"/>
            <w:tcBorders>
              <w:top w:val="nil"/>
              <w:left w:val="nil"/>
              <w:bottom w:val="nil"/>
              <w:right w:val="nil"/>
            </w:tcBorders>
            <w:shd w:val="clear" w:color="auto" w:fill="D9F3E6"/>
          </w:tcPr>
          <w:p w14:paraId="2F9CEFBF" w14:textId="6956FE68" w:rsidR="00F46D67" w:rsidRPr="00F15230" w:rsidRDefault="00F46D67" w:rsidP="00BB1AEE">
            <w:pPr>
              <w:pStyle w:val="CGCNumberedPara"/>
              <w:numPr>
                <w:ilvl w:val="0"/>
                <w:numId w:val="0"/>
              </w:numPr>
            </w:pPr>
            <w:r w:rsidRPr="00F15230">
              <w:t>Staff propose to recommend the Commission</w:t>
            </w:r>
            <w:r w:rsidR="00EB46D3" w:rsidRPr="00F15230">
              <w:t>:</w:t>
            </w:r>
            <w:r w:rsidRPr="00F15230">
              <w:t xml:space="preserve"> </w:t>
            </w:r>
          </w:p>
          <w:p w14:paraId="32A64CFA" w14:textId="496ACFD8" w:rsidR="00F46D67" w:rsidRPr="00F15230" w:rsidRDefault="00EB46D3" w:rsidP="00F46D67">
            <w:pPr>
              <w:pStyle w:val="CGCBulletlist"/>
              <w:numPr>
                <w:ilvl w:val="0"/>
                <w:numId w:val="1"/>
              </w:numPr>
              <w:tabs>
                <w:tab w:val="clear" w:pos="927"/>
              </w:tabs>
              <w:ind w:left="1134" w:hanging="567"/>
            </w:pPr>
            <w:r w:rsidRPr="00F15230">
              <w:t>confirm the current level of substitutability for NAP using the same approach used in the 2015 Review</w:t>
            </w:r>
          </w:p>
          <w:p w14:paraId="30E3DD73" w14:textId="3DBF643D" w:rsidR="00F46D67" w:rsidRPr="00F15230" w:rsidRDefault="00EB46D3" w:rsidP="00D66B75">
            <w:pPr>
              <w:pStyle w:val="CGCBulletlist"/>
              <w:numPr>
                <w:ilvl w:val="0"/>
                <w:numId w:val="1"/>
              </w:numPr>
              <w:tabs>
                <w:tab w:val="clear" w:pos="927"/>
              </w:tabs>
              <w:ind w:left="1134" w:hanging="567"/>
              <w:rPr>
                <w:rStyle w:val="Heading6Char"/>
                <w:rFonts w:eastAsiaTheme="minorEastAsia" w:cstheme="minorBidi"/>
                <w:b w:val="0"/>
                <w:i w:val="0"/>
                <w:iCs w:val="0"/>
                <w:color w:val="auto"/>
                <w:sz w:val="24"/>
              </w:rPr>
            </w:pPr>
            <w:proofErr w:type="gramStart"/>
            <w:r w:rsidRPr="00F15230">
              <w:t>investigate</w:t>
            </w:r>
            <w:proofErr w:type="gramEnd"/>
            <w:r w:rsidRPr="00F15230">
              <w:t xml:space="preserve"> if service bundling or </w:t>
            </w:r>
            <w:r w:rsidR="00D66B75" w:rsidRPr="00F15230">
              <w:t xml:space="preserve">non-State </w:t>
            </w:r>
            <w:r w:rsidRPr="00F15230">
              <w:t>allied health services have any implications for State provided NAP services</w:t>
            </w:r>
            <w:r w:rsidR="00F46D67" w:rsidRPr="00F15230">
              <w:t>.</w:t>
            </w:r>
          </w:p>
        </w:tc>
      </w:tr>
    </w:tbl>
    <w:p w14:paraId="6BC32AC2" w14:textId="4B89A6AC" w:rsidR="00F46D67" w:rsidRPr="00F15230" w:rsidRDefault="00E76A6E" w:rsidP="00F46D67">
      <w:pPr>
        <w:pStyle w:val="Heading5"/>
        <w:rPr>
          <w:rStyle w:val="Heading6Char"/>
          <w:b/>
          <w:i/>
          <w:iCs w:val="0"/>
        </w:rPr>
      </w:pPr>
      <w:r w:rsidRPr="00F15230">
        <w:rPr>
          <w:rStyle w:val="Heading6Char"/>
          <w:b/>
          <w:i/>
          <w:iCs w:val="0"/>
        </w:rPr>
        <w:t>C</w:t>
      </w:r>
      <w:r w:rsidR="00F46D67" w:rsidRPr="00F15230">
        <w:rPr>
          <w:rStyle w:val="Heading6Char"/>
          <w:b/>
          <w:i/>
          <w:iCs w:val="0"/>
        </w:rPr>
        <w:t xml:space="preserve">ommunity health services </w:t>
      </w:r>
    </w:p>
    <w:p w14:paraId="2C7A450C" w14:textId="1C7EB522" w:rsidR="00320C3B" w:rsidRPr="00F15230" w:rsidRDefault="00320C3B" w:rsidP="00A84855">
      <w:pPr>
        <w:pStyle w:val="CGCNumberedPara"/>
        <w:numPr>
          <w:ilvl w:val="1"/>
          <w:numId w:val="3"/>
        </w:numPr>
      </w:pPr>
      <w:r w:rsidRPr="00F15230">
        <w:t>C</w:t>
      </w:r>
      <w:r w:rsidR="00F46D67" w:rsidRPr="00F15230">
        <w:t>ommunity health services include a broad range of heterogeneous health services</w:t>
      </w:r>
      <w:r w:rsidR="00EB46D3" w:rsidRPr="00F15230">
        <w:t>, and for many</w:t>
      </w:r>
      <w:r w:rsidRPr="00F15230">
        <w:t>,</w:t>
      </w:r>
      <w:r w:rsidR="00EB46D3" w:rsidRPr="00F15230">
        <w:t xml:space="preserve"> comparable services are available in the non-State sector</w:t>
      </w:r>
      <w:r w:rsidR="00F46D67" w:rsidRPr="00F15230">
        <w:t xml:space="preserve">. In the 2015 Review, the Commission considered that 70% would be a reasonable estimate of the substitutability of community health services. </w:t>
      </w:r>
      <w:r w:rsidRPr="00F15230">
        <w:t xml:space="preserve">It also considered the most appropriate </w:t>
      </w:r>
      <w:r w:rsidRPr="00F15230">
        <w:lastRenderedPageBreak/>
        <w:t>indicator of substitutable non-State services would be</w:t>
      </w:r>
      <w:r w:rsidR="00865DB8">
        <w:t xml:space="preserve"> bulk-</w:t>
      </w:r>
      <w:r w:rsidRPr="00F15230">
        <w:t xml:space="preserve">billed GP </w:t>
      </w:r>
      <w:r w:rsidR="00CE2D08">
        <w:t>benefits paid</w:t>
      </w:r>
      <w:r w:rsidRPr="00F15230">
        <w:t>, given that most community health services can be provided by GP clinics. However, the Commission had concerns regarding how closely the socio</w:t>
      </w:r>
      <w:r w:rsidRPr="00F15230">
        <w:noBreakHyphen/>
        <w:t>demographic profile of people using GP services reflected the profile of people using other non</w:t>
      </w:r>
      <w:r w:rsidRPr="00F15230">
        <w:noBreakHyphen/>
        <w:t xml:space="preserve">State provided community health services. As such, a discount of 25% was applied. </w:t>
      </w:r>
    </w:p>
    <w:p w14:paraId="18D45E26" w14:textId="01AB842D" w:rsidR="00A84855" w:rsidRPr="00F15230" w:rsidRDefault="00320C3B" w:rsidP="00F46D67">
      <w:pPr>
        <w:pStyle w:val="CGCNumberedPara"/>
        <w:numPr>
          <w:ilvl w:val="1"/>
          <w:numId w:val="3"/>
        </w:numPr>
      </w:pPr>
      <w:r w:rsidRPr="00F15230">
        <w:t xml:space="preserve">Community health was the component </w:t>
      </w:r>
      <w:r w:rsidR="00865DB8">
        <w:t>for which the Commission had</w:t>
      </w:r>
      <w:r w:rsidRPr="00F15230">
        <w:t xml:space="preserve"> the least amount of information </w:t>
      </w:r>
      <w:r w:rsidR="00A84855" w:rsidRPr="00F15230">
        <w:t xml:space="preserve">in the 2015 Review </w:t>
      </w:r>
      <w:r w:rsidRPr="00F15230">
        <w:t xml:space="preserve">to </w:t>
      </w:r>
      <w:r w:rsidR="00A84855" w:rsidRPr="00F15230">
        <w:t>determine the overall substitutability level. This is expected to be the main focus for the Commission in this review.</w:t>
      </w:r>
    </w:p>
    <w:p w14:paraId="7C78F30F" w14:textId="3E40F898" w:rsidR="00F46D67" w:rsidRPr="00F15230" w:rsidRDefault="00CE2D08" w:rsidP="00F46D67">
      <w:pPr>
        <w:pStyle w:val="CGCNumberedPara"/>
        <w:numPr>
          <w:ilvl w:val="1"/>
          <w:numId w:val="3"/>
        </w:numPr>
      </w:pPr>
      <w:r w:rsidRPr="00AC29F5">
        <w:rPr>
          <w:rStyle w:val="Heading6Char"/>
        </w:rPr>
        <w:t>Substitutab</w:t>
      </w:r>
      <w:r>
        <w:rPr>
          <w:rStyle w:val="Heading6Char"/>
        </w:rPr>
        <w:t>ility level</w:t>
      </w:r>
      <w:r w:rsidRPr="00AC29F5">
        <w:rPr>
          <w:rStyle w:val="Heading6Char"/>
        </w:rPr>
        <w:t>.</w:t>
      </w:r>
      <w:r>
        <w:t xml:space="preserve"> </w:t>
      </w:r>
      <w:r w:rsidR="00F46D67" w:rsidRPr="00F15230">
        <w:t xml:space="preserve">Due to the heterogeneity of community health services, </w:t>
      </w:r>
      <w:r w:rsidR="00431C83" w:rsidRPr="00F15230">
        <w:t xml:space="preserve">staff consider that </w:t>
      </w:r>
      <w:r w:rsidR="00F46D67" w:rsidRPr="00F15230">
        <w:t xml:space="preserve">it would be sensible to investigate the substitutability for each </w:t>
      </w:r>
      <w:r w:rsidR="00073C8C" w:rsidRPr="00F15230">
        <w:t xml:space="preserve">main </w:t>
      </w:r>
      <w:r w:rsidR="00F46D67" w:rsidRPr="00F15230">
        <w:t xml:space="preserve">area separately </w:t>
      </w:r>
      <w:r w:rsidR="00073C8C" w:rsidRPr="00F15230">
        <w:t>and re</w:t>
      </w:r>
      <w:r w:rsidR="0064762F" w:rsidRPr="00F15230">
        <w:noBreakHyphen/>
      </w:r>
      <w:r w:rsidR="00073C8C" w:rsidRPr="00F15230">
        <w:t xml:space="preserve">estimate the substitutability </w:t>
      </w:r>
      <w:r w:rsidR="00F46D67" w:rsidRPr="00F15230">
        <w:t xml:space="preserve">level. This approach is similar to that </w:t>
      </w:r>
      <w:r w:rsidR="000753D4">
        <w:t xml:space="preserve">for </w:t>
      </w:r>
      <w:r w:rsidR="00073C8C" w:rsidRPr="00F15230">
        <w:t>NAP</w:t>
      </w:r>
      <w:r w:rsidR="00F46D67" w:rsidRPr="00F15230">
        <w:t xml:space="preserve"> but analysis </w:t>
      </w:r>
      <w:r w:rsidR="00865DB8">
        <w:t>will be</w:t>
      </w:r>
      <w:r w:rsidR="00F46D67" w:rsidRPr="00F15230">
        <w:t xml:space="preserve"> undertaken on a more micro level. </w:t>
      </w:r>
    </w:p>
    <w:p w14:paraId="4711744B" w14:textId="333BF061" w:rsidR="00F46D67" w:rsidRPr="00F15230" w:rsidRDefault="00F46D67" w:rsidP="00F46D67">
      <w:pPr>
        <w:pStyle w:val="CGCNumberedPara"/>
        <w:numPr>
          <w:ilvl w:val="1"/>
          <w:numId w:val="3"/>
        </w:numPr>
      </w:pPr>
      <w:r w:rsidRPr="00F15230">
        <w:t>The detailed steps include:</w:t>
      </w:r>
    </w:p>
    <w:p w14:paraId="03A7462E" w14:textId="20C65865" w:rsidR="00F46D67" w:rsidRPr="00F15230" w:rsidRDefault="00F46D67" w:rsidP="00F46D67">
      <w:pPr>
        <w:pStyle w:val="CGCBulletlist"/>
        <w:numPr>
          <w:ilvl w:val="0"/>
          <w:numId w:val="1"/>
        </w:numPr>
        <w:tabs>
          <w:tab w:val="clear" w:pos="927"/>
        </w:tabs>
        <w:ind w:left="1134" w:hanging="567"/>
      </w:pPr>
      <w:r w:rsidRPr="00F15230">
        <w:t xml:space="preserve">step 1: assessing the level of substitutability for each </w:t>
      </w:r>
      <w:r w:rsidR="00865DB8">
        <w:t xml:space="preserve">service </w:t>
      </w:r>
      <w:r w:rsidRPr="00F15230">
        <w:t xml:space="preserve">by </w:t>
      </w:r>
      <w:r w:rsidR="00073C8C" w:rsidRPr="00F15230">
        <w:t>evaluating</w:t>
      </w:r>
      <w:r w:rsidRPr="00F15230">
        <w:t xml:space="preserve"> </w:t>
      </w:r>
    </w:p>
    <w:p w14:paraId="433BF986" w14:textId="6EEEA2C2" w:rsidR="00F46D67" w:rsidRPr="00F15230" w:rsidRDefault="00F46D67" w:rsidP="00F46D67">
      <w:pPr>
        <w:pStyle w:val="CGCSubbulletlist"/>
        <w:numPr>
          <w:ilvl w:val="0"/>
          <w:numId w:val="4"/>
        </w:numPr>
        <w:tabs>
          <w:tab w:val="clear" w:pos="927"/>
        </w:tabs>
        <w:ind w:left="1701" w:hanging="567"/>
      </w:pPr>
      <w:r w:rsidRPr="00F15230">
        <w:t xml:space="preserve">the </w:t>
      </w:r>
      <w:r w:rsidR="00865DB8">
        <w:t>nature</w:t>
      </w:r>
      <w:r w:rsidRPr="00F15230">
        <w:t xml:space="preserve"> of services provided by </w:t>
      </w:r>
      <w:r w:rsidR="00865DB8">
        <w:t xml:space="preserve">the </w:t>
      </w:r>
      <w:r w:rsidRPr="00F15230">
        <w:t>State and non</w:t>
      </w:r>
      <w:r w:rsidRPr="00F15230">
        <w:noBreakHyphen/>
        <w:t xml:space="preserve">State sectors </w:t>
      </w:r>
    </w:p>
    <w:p w14:paraId="6EE066F6" w14:textId="43F79A04" w:rsidR="00F46D67" w:rsidRPr="00F15230" w:rsidRDefault="00F46D67" w:rsidP="00F46D67">
      <w:pPr>
        <w:pStyle w:val="CGCSubbulletlist"/>
        <w:numPr>
          <w:ilvl w:val="0"/>
          <w:numId w:val="4"/>
        </w:numPr>
        <w:tabs>
          <w:tab w:val="clear" w:pos="927"/>
        </w:tabs>
        <w:ind w:left="1701" w:hanging="567"/>
      </w:pPr>
      <w:r w:rsidRPr="00F15230">
        <w:t xml:space="preserve">accessibility/cost of services provided by </w:t>
      </w:r>
      <w:r w:rsidR="00865DB8">
        <w:t xml:space="preserve">the </w:t>
      </w:r>
      <w:r w:rsidRPr="00F15230">
        <w:t>State and non</w:t>
      </w:r>
      <w:r w:rsidRPr="00F15230">
        <w:noBreakHyphen/>
        <w:t xml:space="preserve">State sectors </w:t>
      </w:r>
    </w:p>
    <w:p w14:paraId="31DAF10A" w14:textId="5D1580C1" w:rsidR="00F46D67" w:rsidRPr="00F15230" w:rsidRDefault="00F46D67" w:rsidP="00F46D67">
      <w:pPr>
        <w:pStyle w:val="CGCBulletlist"/>
        <w:numPr>
          <w:ilvl w:val="0"/>
          <w:numId w:val="1"/>
        </w:numPr>
        <w:tabs>
          <w:tab w:val="clear" w:pos="927"/>
        </w:tabs>
        <w:ind w:left="1134" w:hanging="567"/>
      </w:pPr>
      <w:r w:rsidRPr="00F15230">
        <w:t xml:space="preserve">step 2: estimating the </w:t>
      </w:r>
      <w:r w:rsidR="00320C3B" w:rsidRPr="00F15230">
        <w:t xml:space="preserve">expense weight </w:t>
      </w:r>
      <w:r w:rsidR="0064762F" w:rsidRPr="00F15230">
        <w:t xml:space="preserve">for </w:t>
      </w:r>
      <w:r w:rsidRPr="00F15230">
        <w:t xml:space="preserve">each </w:t>
      </w:r>
      <w:r w:rsidR="00865DB8">
        <w:t>service</w:t>
      </w:r>
      <w:r w:rsidRPr="00F15230">
        <w:t xml:space="preserve"> </w:t>
      </w:r>
    </w:p>
    <w:p w14:paraId="375DE845" w14:textId="2E761DEE" w:rsidR="00F46D67" w:rsidRPr="00F15230" w:rsidRDefault="00F46D67" w:rsidP="00F46D67">
      <w:pPr>
        <w:pStyle w:val="CGCBulletlist"/>
        <w:numPr>
          <w:ilvl w:val="0"/>
          <w:numId w:val="1"/>
        </w:numPr>
        <w:tabs>
          <w:tab w:val="clear" w:pos="927"/>
        </w:tabs>
        <w:ind w:left="1134" w:hanging="567"/>
      </w:pPr>
      <w:proofErr w:type="gramStart"/>
      <w:r w:rsidRPr="00F15230">
        <w:t>step</w:t>
      </w:r>
      <w:proofErr w:type="gramEnd"/>
      <w:r w:rsidRPr="00F15230">
        <w:t xml:space="preserve"> 3: estimating the substitutability </w:t>
      </w:r>
      <w:r w:rsidR="00D66B75" w:rsidRPr="00F15230">
        <w:t xml:space="preserve">level </w:t>
      </w:r>
      <w:r w:rsidRPr="00F15230">
        <w:t xml:space="preserve">for the component by combining substitutability (from step 1) and </w:t>
      </w:r>
      <w:r w:rsidR="000753D4">
        <w:t>expense</w:t>
      </w:r>
      <w:r w:rsidR="00D66B75" w:rsidRPr="00F15230">
        <w:t xml:space="preserve"> </w:t>
      </w:r>
      <w:r w:rsidR="00320C3B" w:rsidRPr="00F15230">
        <w:t xml:space="preserve">weights </w:t>
      </w:r>
      <w:r w:rsidRPr="00F15230">
        <w:t xml:space="preserve">(from step 2) </w:t>
      </w:r>
      <w:r w:rsidR="0082324A" w:rsidRPr="00F15230">
        <w:t xml:space="preserve">for each </w:t>
      </w:r>
      <w:r w:rsidR="00865DB8">
        <w:t>service</w:t>
      </w:r>
      <w:r w:rsidR="0082324A" w:rsidRPr="00F15230">
        <w:t xml:space="preserve"> and </w:t>
      </w:r>
      <w:r w:rsidR="00D66B75" w:rsidRPr="00F15230">
        <w:t xml:space="preserve">summing </w:t>
      </w:r>
      <w:r w:rsidR="0082324A" w:rsidRPr="00F15230">
        <w:t xml:space="preserve">them to obtain an estimate of the </w:t>
      </w:r>
      <w:r w:rsidR="00865DB8">
        <w:t>total proportion of substitutable services</w:t>
      </w:r>
      <w:r w:rsidR="0082324A" w:rsidRPr="00F15230">
        <w:t>.</w:t>
      </w:r>
    </w:p>
    <w:p w14:paraId="28A47E87" w14:textId="5ADB109F" w:rsidR="00F46D67" w:rsidRDefault="00F46D67" w:rsidP="00F46D67">
      <w:pPr>
        <w:pStyle w:val="CGCNumberedPara"/>
        <w:numPr>
          <w:ilvl w:val="1"/>
          <w:numId w:val="3"/>
        </w:numPr>
      </w:pPr>
      <w:r w:rsidRPr="00F15230">
        <w:fldChar w:fldCharType="begin"/>
      </w:r>
      <w:r w:rsidRPr="00F15230">
        <w:instrText xml:space="preserve"> REF _Ref507770738 \h </w:instrText>
      </w:r>
      <w:r w:rsidR="00F95C82" w:rsidRPr="00F15230">
        <w:instrText xml:space="preserve"> \* MERGEFORMAT </w:instrText>
      </w:r>
      <w:r w:rsidRPr="00F15230">
        <w:fldChar w:fldCharType="separate"/>
      </w:r>
      <w:r w:rsidR="005A6E12" w:rsidRPr="00F15230">
        <w:t xml:space="preserve">Table </w:t>
      </w:r>
      <w:r w:rsidR="005A6E12">
        <w:t>7</w:t>
      </w:r>
      <w:r w:rsidRPr="00F15230">
        <w:fldChar w:fldCharType="end"/>
      </w:r>
      <w:r w:rsidRPr="00F15230">
        <w:t xml:space="preserve"> illustrates the </w:t>
      </w:r>
      <w:r w:rsidR="00320C3B" w:rsidRPr="00F15230">
        <w:t>consideration</w:t>
      </w:r>
      <w:r w:rsidR="00AC29F5">
        <w:t>s</w:t>
      </w:r>
      <w:r w:rsidR="00320C3B" w:rsidRPr="00F15230">
        <w:t xml:space="preserve"> for </w:t>
      </w:r>
      <w:r w:rsidRPr="00F15230">
        <w:t xml:space="preserve">step 1 using </w:t>
      </w:r>
      <w:r w:rsidR="00526B17" w:rsidRPr="00F15230">
        <w:t xml:space="preserve">public </w:t>
      </w:r>
      <w:r w:rsidRPr="00F15230">
        <w:t xml:space="preserve">dental services as an example. </w:t>
      </w:r>
    </w:p>
    <w:p w14:paraId="3DEC6A4F" w14:textId="71F0C2D7" w:rsidR="00AC29F5" w:rsidRPr="00F15230" w:rsidRDefault="00AC29F5" w:rsidP="00AC29F5">
      <w:pPr>
        <w:pStyle w:val="CGCNumberedPara"/>
        <w:numPr>
          <w:ilvl w:val="1"/>
          <w:numId w:val="3"/>
        </w:numPr>
      </w:pPr>
      <w:r w:rsidRPr="00AC29F5">
        <w:rPr>
          <w:rStyle w:val="Heading6Char"/>
        </w:rPr>
        <w:t xml:space="preserve">Indicator </w:t>
      </w:r>
      <w:r>
        <w:rPr>
          <w:rStyle w:val="Heading6Char"/>
        </w:rPr>
        <w:t xml:space="preserve">for </w:t>
      </w:r>
      <w:r w:rsidRPr="00AC29F5">
        <w:rPr>
          <w:rStyle w:val="Heading6Char"/>
        </w:rPr>
        <w:t xml:space="preserve">non-State </w:t>
      </w:r>
      <w:r w:rsidR="00943E37">
        <w:rPr>
          <w:rStyle w:val="Heading6Char"/>
        </w:rPr>
        <w:t>activity</w:t>
      </w:r>
      <w:r w:rsidRPr="00AC29F5">
        <w:rPr>
          <w:rStyle w:val="Heading6Char"/>
        </w:rPr>
        <w:t>.</w:t>
      </w:r>
      <w:r>
        <w:rPr>
          <w:rStyle w:val="Heading6Char"/>
        </w:rPr>
        <w:t xml:space="preserve"> </w:t>
      </w:r>
      <w:r w:rsidRPr="00F15230">
        <w:t>The indicator of non-State sector services currently used in the community health assessment is bulk</w:t>
      </w:r>
      <w:r w:rsidRPr="00F15230">
        <w:noBreakHyphen/>
        <w:t xml:space="preserve">billed GP services. </w:t>
      </w:r>
      <w:r>
        <w:t xml:space="preserve">Given the nature of community and public health services, </w:t>
      </w:r>
      <w:proofErr w:type="gramStart"/>
      <w:r>
        <w:t>s</w:t>
      </w:r>
      <w:r w:rsidRPr="00F15230">
        <w:t xml:space="preserve">taff </w:t>
      </w:r>
      <w:r>
        <w:t>consider</w:t>
      </w:r>
      <w:proofErr w:type="gramEnd"/>
      <w:r>
        <w:t xml:space="preserve"> bulk-billed GP services </w:t>
      </w:r>
      <w:r w:rsidR="00C37695">
        <w:t>are</w:t>
      </w:r>
      <w:r>
        <w:t xml:space="preserve"> a reasonable indicator for </w:t>
      </w:r>
      <w:r w:rsidRPr="00F15230">
        <w:t>non</w:t>
      </w:r>
      <w:r w:rsidRPr="00F15230">
        <w:noBreakHyphen/>
        <w:t>State community health</w:t>
      </w:r>
      <w:r>
        <w:t xml:space="preserve"> </w:t>
      </w:r>
      <w:r w:rsidR="00C37695">
        <w:t>activity</w:t>
      </w:r>
      <w:r>
        <w:t xml:space="preserve">. </w:t>
      </w:r>
      <w:r w:rsidR="00C37695">
        <w:t>As part of the review, w</w:t>
      </w:r>
      <w:r w:rsidRPr="00F15230">
        <w:t xml:space="preserve">e intend to </w:t>
      </w:r>
      <w:r w:rsidR="00C37695">
        <w:t>investigate if this is the best available indicator for this purpose.</w:t>
      </w:r>
      <w:r>
        <w:t xml:space="preserve"> </w:t>
      </w:r>
    </w:p>
    <w:p w14:paraId="31B7377C" w14:textId="77777777" w:rsidR="00AC29F5" w:rsidRPr="00F15230" w:rsidRDefault="00AC29F5" w:rsidP="00AC29F5">
      <w:pPr>
        <w:pStyle w:val="CGCNumberedPara"/>
        <w:numPr>
          <w:ilvl w:val="0"/>
          <w:numId w:val="0"/>
        </w:numPr>
      </w:pPr>
    </w:p>
    <w:tbl>
      <w:tblPr>
        <w:tblStyle w:val="TableGrid"/>
        <w:tblW w:w="0" w:type="auto"/>
        <w:tblLook w:val="04A0" w:firstRow="1" w:lastRow="0" w:firstColumn="1" w:lastColumn="0" w:noHBand="0" w:noVBand="1"/>
      </w:tblPr>
      <w:tblGrid>
        <w:gridCol w:w="9167"/>
      </w:tblGrid>
      <w:tr w:rsidR="00AC29F5" w:rsidRPr="00F15230" w14:paraId="27F19DB8" w14:textId="77777777" w:rsidTr="00DE0D49">
        <w:tc>
          <w:tcPr>
            <w:tcW w:w="9167" w:type="dxa"/>
            <w:tcBorders>
              <w:top w:val="nil"/>
              <w:left w:val="nil"/>
              <w:bottom w:val="nil"/>
              <w:right w:val="nil"/>
            </w:tcBorders>
            <w:shd w:val="clear" w:color="auto" w:fill="D9F3E6"/>
          </w:tcPr>
          <w:p w14:paraId="5CD86145" w14:textId="77777777" w:rsidR="00AC29F5" w:rsidRPr="00F15230" w:rsidRDefault="00AC29F5" w:rsidP="00DE0D49">
            <w:pPr>
              <w:pStyle w:val="CGCNumberedPara"/>
              <w:numPr>
                <w:ilvl w:val="0"/>
                <w:numId w:val="0"/>
              </w:numPr>
            </w:pPr>
            <w:r w:rsidRPr="00F15230">
              <w:t>Staff propose to recommend the Commission:</w:t>
            </w:r>
          </w:p>
          <w:p w14:paraId="74186A02" w14:textId="72D2D983" w:rsidR="00AC29F5" w:rsidRPr="00F15230" w:rsidRDefault="00AC29F5" w:rsidP="00DE0D49">
            <w:pPr>
              <w:pStyle w:val="CGCBulletlist"/>
              <w:numPr>
                <w:ilvl w:val="0"/>
                <w:numId w:val="1"/>
              </w:numPr>
              <w:tabs>
                <w:tab w:val="clear" w:pos="927"/>
              </w:tabs>
              <w:ind w:left="1134" w:hanging="567"/>
            </w:pPr>
            <w:r w:rsidRPr="00F15230">
              <w:t xml:space="preserve">re-estimate the substitutability level for community health using a bottom-up approach </w:t>
            </w:r>
            <w:r w:rsidR="00C37695">
              <w:t>which examines each major service area on a case by case basis</w:t>
            </w:r>
          </w:p>
          <w:p w14:paraId="67A7B5AD" w14:textId="0CDC5BEE" w:rsidR="00AC29F5" w:rsidRPr="00F15230" w:rsidRDefault="00AC29F5" w:rsidP="00C37695">
            <w:pPr>
              <w:pStyle w:val="CGCBulletlist"/>
              <w:numPr>
                <w:ilvl w:val="0"/>
                <w:numId w:val="1"/>
              </w:numPr>
              <w:tabs>
                <w:tab w:val="clear" w:pos="927"/>
              </w:tabs>
              <w:ind w:left="1134" w:hanging="567"/>
              <w:rPr>
                <w:rStyle w:val="Heading6Char"/>
                <w:rFonts w:eastAsiaTheme="minorHAnsi" w:cstheme="minorBidi"/>
                <w:b w:val="0"/>
                <w:i w:val="0"/>
                <w:iCs w:val="0"/>
                <w:color w:val="auto"/>
                <w:sz w:val="24"/>
              </w:rPr>
            </w:pPr>
            <w:proofErr w:type="gramStart"/>
            <w:r w:rsidRPr="00F15230">
              <w:t>investigate</w:t>
            </w:r>
            <w:proofErr w:type="gramEnd"/>
            <w:r w:rsidRPr="00F15230">
              <w:t xml:space="preserve"> if bulk</w:t>
            </w:r>
            <w:r w:rsidR="00B53B5A">
              <w:noBreakHyphen/>
            </w:r>
            <w:r w:rsidRPr="00F15230">
              <w:t xml:space="preserve">billed GP benefits data, which is currently being used to estimate the availability of non-State </w:t>
            </w:r>
            <w:r w:rsidR="00C37695">
              <w:t xml:space="preserve">community health </w:t>
            </w:r>
            <w:r w:rsidRPr="00F15230">
              <w:t xml:space="preserve">services, is the best available indicator for this purpose. </w:t>
            </w:r>
          </w:p>
        </w:tc>
      </w:tr>
    </w:tbl>
    <w:p w14:paraId="37F3C8D5" w14:textId="341BBC07" w:rsidR="00F46D67" w:rsidRPr="00F15230" w:rsidRDefault="00F46D67" w:rsidP="00F46D67">
      <w:pPr>
        <w:pStyle w:val="Caption"/>
      </w:pPr>
      <w:bookmarkStart w:id="108" w:name="_Ref507770738"/>
      <w:r w:rsidRPr="00F15230">
        <w:lastRenderedPageBreak/>
        <w:t xml:space="preserve">Table </w:t>
      </w:r>
      <w:r w:rsidR="00CD3D12">
        <w:fldChar w:fldCharType="begin"/>
      </w:r>
      <w:r w:rsidR="00CD3D12">
        <w:instrText xml:space="preserve"> SEQ Table \* ARABIC </w:instrText>
      </w:r>
      <w:r w:rsidR="00CD3D12">
        <w:fldChar w:fldCharType="separate"/>
      </w:r>
      <w:r w:rsidR="005A6E12">
        <w:rPr>
          <w:noProof/>
        </w:rPr>
        <w:t>7</w:t>
      </w:r>
      <w:r w:rsidR="00CD3D12">
        <w:rPr>
          <w:noProof/>
        </w:rPr>
        <w:fldChar w:fldCharType="end"/>
      </w:r>
      <w:bookmarkEnd w:id="108"/>
      <w:r w:rsidRPr="00F15230">
        <w:tab/>
        <w:t xml:space="preserve">Analysis on substitutability level for dental services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634"/>
        <w:gridCol w:w="7533"/>
      </w:tblGrid>
      <w:tr w:rsidR="00F46D67" w:rsidRPr="00F15230" w14:paraId="3D5F74C7" w14:textId="77777777" w:rsidTr="00B96724">
        <w:tc>
          <w:tcPr>
            <w:tcW w:w="9167" w:type="dxa"/>
            <w:gridSpan w:val="2"/>
          </w:tcPr>
          <w:p w14:paraId="1E6C5757" w14:textId="77777777" w:rsidR="00F46D67" w:rsidRPr="00F15230" w:rsidRDefault="00F46D67" w:rsidP="00BB1AEE">
            <w:pPr>
              <w:keepNext/>
              <w:rPr>
                <w:b/>
              </w:rPr>
            </w:pPr>
            <w:r w:rsidRPr="00F15230">
              <w:rPr>
                <w:b/>
              </w:rPr>
              <w:t>Dental services (a)</w:t>
            </w:r>
          </w:p>
        </w:tc>
      </w:tr>
      <w:tr w:rsidR="00F46D67" w:rsidRPr="00F15230" w14:paraId="0A5559AC" w14:textId="77777777" w:rsidTr="00B96724">
        <w:tc>
          <w:tcPr>
            <w:tcW w:w="1634" w:type="dxa"/>
          </w:tcPr>
          <w:p w14:paraId="120FDDC6" w14:textId="77777777" w:rsidR="00F46D67" w:rsidRPr="00F15230" w:rsidRDefault="00F46D67" w:rsidP="00BB1AEE">
            <w:pPr>
              <w:pStyle w:val="TableRowNormal"/>
              <w:spacing w:line="240" w:lineRule="auto"/>
              <w:ind w:left="0" w:firstLine="0"/>
              <w:jc w:val="left"/>
            </w:pPr>
            <w:r w:rsidRPr="00F15230">
              <w:rPr>
                <w:rFonts w:cstheme="minorHAnsi"/>
              </w:rPr>
              <w:t>State sector services</w:t>
            </w:r>
          </w:p>
        </w:tc>
        <w:tc>
          <w:tcPr>
            <w:tcW w:w="7533" w:type="dxa"/>
          </w:tcPr>
          <w:p w14:paraId="05BBA27D" w14:textId="1CF94162" w:rsidR="00F46D67" w:rsidRPr="00F15230" w:rsidRDefault="00F46D67" w:rsidP="00BB1AEE">
            <w:pPr>
              <w:pStyle w:val="TableRowNormal"/>
              <w:spacing w:line="240" w:lineRule="auto"/>
              <w:ind w:left="0" w:firstLine="0"/>
              <w:jc w:val="left"/>
            </w:pPr>
            <w:r w:rsidRPr="00F15230">
              <w:rPr>
                <w:rFonts w:cstheme="minorHAnsi"/>
              </w:rPr>
              <w:t>All States provide free or subsidised general and emergency dental services, denture services and special dental care. Services are provided through community health centres, Indigenous community health centres, dental clinics, school dental clinics and mobile dental clinics. Some public dental services are provided by private dentists via a voucher scheme (b).</w:t>
            </w:r>
            <w:r w:rsidRPr="00F15230">
              <w:rPr>
                <w:rFonts w:cstheme="minorHAnsi"/>
                <w:vertAlign w:val="superscript"/>
              </w:rPr>
              <w:t xml:space="preserve"> </w:t>
            </w:r>
            <w:r w:rsidRPr="00F15230">
              <w:rPr>
                <w:rFonts w:cstheme="minorHAnsi"/>
              </w:rPr>
              <w:t xml:space="preserve">Public dental services target children and disadvantaged adults. The eligible populations are children, Health Care Card and Pensioner Concession Card holders but there </w:t>
            </w:r>
            <w:r w:rsidRPr="00F15230">
              <w:t xml:space="preserve">are some </w:t>
            </w:r>
            <w:r w:rsidR="00865DB8">
              <w:t xml:space="preserve">minor </w:t>
            </w:r>
            <w:r w:rsidRPr="00F15230">
              <w:t xml:space="preserve">differences in eligibility between States. </w:t>
            </w:r>
            <w:r w:rsidRPr="00F15230">
              <w:rPr>
                <w:rFonts w:cstheme="minorHAnsi"/>
              </w:rPr>
              <w:t xml:space="preserve">Waiting times for public dental services mean that some patients eligible for public dental services access private dental services despite the cost. 15% of people reported their last visit to a dentist </w:t>
            </w:r>
            <w:r w:rsidR="008A7B84">
              <w:rPr>
                <w:rFonts w:cstheme="minorHAnsi"/>
              </w:rPr>
              <w:t xml:space="preserve">was to a public dental service </w:t>
            </w:r>
            <w:r w:rsidRPr="00F15230">
              <w:rPr>
                <w:rFonts w:cstheme="minorHAnsi"/>
              </w:rPr>
              <w:t>(c)</w:t>
            </w:r>
            <w:r w:rsidR="008A7B84">
              <w:rPr>
                <w:rFonts w:cstheme="minorHAnsi"/>
              </w:rPr>
              <w:t>.</w:t>
            </w:r>
          </w:p>
        </w:tc>
      </w:tr>
      <w:tr w:rsidR="00F46D67" w:rsidRPr="00F15230" w14:paraId="44A82D74" w14:textId="77777777" w:rsidTr="00B96724">
        <w:tc>
          <w:tcPr>
            <w:tcW w:w="1634" w:type="dxa"/>
          </w:tcPr>
          <w:p w14:paraId="075DE12C" w14:textId="77777777" w:rsidR="00F46D67" w:rsidRPr="00F15230" w:rsidRDefault="00F46D67" w:rsidP="00BB1AEE">
            <w:pPr>
              <w:pStyle w:val="TableRowNormal"/>
              <w:spacing w:line="240" w:lineRule="auto"/>
              <w:ind w:left="0" w:firstLine="0"/>
              <w:jc w:val="left"/>
            </w:pPr>
            <w:r w:rsidRPr="00F15230">
              <w:rPr>
                <w:rFonts w:cstheme="minorHAnsi"/>
              </w:rPr>
              <w:t>Non-State sector services</w:t>
            </w:r>
          </w:p>
        </w:tc>
        <w:tc>
          <w:tcPr>
            <w:tcW w:w="7533" w:type="dxa"/>
          </w:tcPr>
          <w:p w14:paraId="3794059D" w14:textId="54D1CFBB" w:rsidR="00F46D67" w:rsidRPr="00F15230" w:rsidRDefault="00F46D67" w:rsidP="00BB1AEE">
            <w:pPr>
              <w:pStyle w:val="TableRowNormal"/>
              <w:spacing w:line="240" w:lineRule="auto"/>
              <w:ind w:left="0" w:firstLine="0"/>
              <w:jc w:val="left"/>
            </w:pPr>
            <w:r w:rsidRPr="00F15230">
              <w:rPr>
                <w:rFonts w:cstheme="minorHAnsi"/>
              </w:rPr>
              <w:t>The full range of dental services including orthodontics is provided by private dentists and there are no restrictions on access. 85% of people reported their last visit to a dentist was to a private dental service.</w:t>
            </w:r>
            <w:r w:rsidRPr="00F15230">
              <w:rPr>
                <w:rFonts w:cstheme="minorHAnsi"/>
                <w:vertAlign w:val="superscript"/>
              </w:rPr>
              <w:t xml:space="preserve"> </w:t>
            </w:r>
            <w:r w:rsidRPr="00F15230">
              <w:rPr>
                <w:rFonts w:cstheme="minorHAnsi"/>
              </w:rPr>
              <w:t>Most private dental costs are met directly by the patient or by private health insur</w:t>
            </w:r>
            <w:r w:rsidR="008A7B84">
              <w:rPr>
                <w:rFonts w:cstheme="minorHAnsi"/>
              </w:rPr>
              <w:t>ance. About 50% of people aged five</w:t>
            </w:r>
            <w:r w:rsidRPr="00F15230">
              <w:rPr>
                <w:rFonts w:cstheme="minorHAnsi"/>
              </w:rPr>
              <w:t xml:space="preserve"> and over had private health insurance with dental cover in 2013.</w:t>
            </w:r>
            <w:r w:rsidRPr="00F15230">
              <w:rPr>
                <w:rFonts w:cstheme="minorHAnsi"/>
                <w:vertAlign w:val="superscript"/>
              </w:rPr>
              <w:t xml:space="preserve">  </w:t>
            </w:r>
            <w:r w:rsidRPr="00F15230">
              <w:rPr>
                <w:rFonts w:cstheme="minorHAnsi"/>
              </w:rPr>
              <w:t>A relatively high proportion (70%) of people eligible for public dental services said they visited a private dentist in the last 12 months. 90% of people who visited a dentist in the last 12 months said they were inelig</w:t>
            </w:r>
            <w:r w:rsidR="009C21C6">
              <w:rPr>
                <w:rFonts w:cstheme="minorHAnsi"/>
              </w:rPr>
              <w:t>ible for public dental services</w:t>
            </w:r>
            <w:r w:rsidRPr="00F15230">
              <w:rPr>
                <w:rFonts w:cstheme="minorHAnsi"/>
              </w:rPr>
              <w:t xml:space="preserve"> (c)</w:t>
            </w:r>
            <w:r w:rsidR="009C21C6">
              <w:rPr>
                <w:rFonts w:cstheme="minorHAnsi"/>
              </w:rPr>
              <w:t>.</w:t>
            </w:r>
          </w:p>
        </w:tc>
      </w:tr>
      <w:tr w:rsidR="00F46D67" w:rsidRPr="00F15230" w14:paraId="6D76B903" w14:textId="77777777" w:rsidTr="00B96724">
        <w:tc>
          <w:tcPr>
            <w:tcW w:w="1634" w:type="dxa"/>
          </w:tcPr>
          <w:p w14:paraId="02E497AE" w14:textId="77777777" w:rsidR="00F46D67" w:rsidRPr="00F15230" w:rsidRDefault="00F46D67" w:rsidP="00BB1AEE">
            <w:pPr>
              <w:pStyle w:val="TableRowNormal"/>
              <w:spacing w:line="240" w:lineRule="auto"/>
              <w:ind w:left="0" w:firstLine="0"/>
              <w:jc w:val="left"/>
              <w:rPr>
                <w:rFonts w:cstheme="minorHAnsi"/>
              </w:rPr>
            </w:pPr>
            <w:r w:rsidRPr="00F15230">
              <w:rPr>
                <w:rFonts w:cstheme="minorHAnsi"/>
              </w:rPr>
              <w:t>Service use data</w:t>
            </w:r>
          </w:p>
        </w:tc>
        <w:tc>
          <w:tcPr>
            <w:tcW w:w="7533" w:type="dxa"/>
          </w:tcPr>
          <w:p w14:paraId="169BAE34" w14:textId="77777777" w:rsidR="00F46D67" w:rsidRPr="00F15230" w:rsidRDefault="00F46D67" w:rsidP="00BB1AEE">
            <w:pPr>
              <w:pStyle w:val="TableRowNormal"/>
              <w:spacing w:line="240" w:lineRule="auto"/>
              <w:ind w:left="0" w:firstLine="0"/>
              <w:jc w:val="left"/>
            </w:pPr>
            <w:r w:rsidRPr="00F15230">
              <w:rPr>
                <w:rFonts w:cstheme="minorHAnsi"/>
              </w:rPr>
              <w:t>There are fragmented use and cost data by age group/remoteness/SES/provider sector. (c) Latest data are available from Government Health Expenditure National Minimum Dataset (</w:t>
            </w:r>
            <w:proofErr w:type="spellStart"/>
            <w:r w:rsidRPr="00F15230">
              <w:rPr>
                <w:rFonts w:cstheme="minorHAnsi"/>
              </w:rPr>
              <w:t>NMDS</w:t>
            </w:r>
            <w:proofErr w:type="spellEnd"/>
            <w:r w:rsidRPr="00F15230">
              <w:rPr>
                <w:rFonts w:cstheme="minorHAnsi"/>
              </w:rPr>
              <w:t>) (2012-13), National Dental Telephone Interview Survey (</w:t>
            </w:r>
            <w:proofErr w:type="spellStart"/>
            <w:r w:rsidRPr="00F15230">
              <w:rPr>
                <w:rFonts w:cstheme="minorHAnsi"/>
              </w:rPr>
              <w:t>NDTIS</w:t>
            </w:r>
            <w:proofErr w:type="spellEnd"/>
            <w:r w:rsidRPr="00F15230">
              <w:rPr>
                <w:rFonts w:cstheme="minorHAnsi"/>
              </w:rPr>
              <w:t>) (2013), National Survey of Adult Oral Health Survey (2004</w:t>
            </w:r>
            <w:r w:rsidRPr="00F15230">
              <w:rPr>
                <w:rFonts w:cstheme="minorHAnsi"/>
              </w:rPr>
              <w:noBreakHyphen/>
              <w:t xml:space="preserve">2006) and the Child Dental Health Survey (2010). AIHW advises that not all data are comprehensive, timely or comparable between jurisdictions or across time. Available data show that the SDC profiles of public and private patients are very different. </w:t>
            </w:r>
          </w:p>
        </w:tc>
      </w:tr>
      <w:tr w:rsidR="00F46D67" w:rsidRPr="00F15230" w14:paraId="52D17A63" w14:textId="77777777" w:rsidTr="00B96724">
        <w:tc>
          <w:tcPr>
            <w:tcW w:w="1634" w:type="dxa"/>
          </w:tcPr>
          <w:p w14:paraId="7EA49ACD" w14:textId="77777777" w:rsidR="00F46D67" w:rsidRPr="00F15230" w:rsidRDefault="00F46D67" w:rsidP="00BB1AEE">
            <w:pPr>
              <w:pStyle w:val="TableRowNormal"/>
              <w:spacing w:line="240" w:lineRule="auto"/>
              <w:ind w:left="0" w:firstLine="0"/>
              <w:jc w:val="left"/>
              <w:rPr>
                <w:rFonts w:cstheme="minorHAnsi"/>
              </w:rPr>
            </w:pPr>
            <w:r w:rsidRPr="00F15230">
              <w:rPr>
                <w:rFonts w:cstheme="minorHAnsi"/>
              </w:rPr>
              <w:t>Health workforce</w:t>
            </w:r>
          </w:p>
        </w:tc>
        <w:tc>
          <w:tcPr>
            <w:tcW w:w="7533" w:type="dxa"/>
          </w:tcPr>
          <w:p w14:paraId="0BD3AE46" w14:textId="5F54399A" w:rsidR="00F46D67" w:rsidRPr="00F15230" w:rsidRDefault="00F46D67" w:rsidP="00CE2D08">
            <w:pPr>
              <w:pStyle w:val="TableRowNormal"/>
              <w:spacing w:line="240" w:lineRule="auto"/>
              <w:ind w:left="0" w:firstLine="0"/>
              <w:jc w:val="left"/>
              <w:rPr>
                <w:rFonts w:cstheme="minorHAnsi"/>
              </w:rPr>
            </w:pPr>
            <w:r w:rsidRPr="00F15230">
              <w:rPr>
                <w:rFonts w:cstheme="minorHAnsi"/>
              </w:rPr>
              <w:t>Access to dental practitioners varies across States. The number of dentists per 100</w:t>
            </w:r>
            <w:r w:rsidR="00CE2D08">
              <w:rPr>
                <w:rFonts w:cstheme="minorHAnsi"/>
              </w:rPr>
              <w:t xml:space="preserve"> </w:t>
            </w:r>
            <w:r w:rsidRPr="00F15230">
              <w:rPr>
                <w:rFonts w:cstheme="minorHAnsi"/>
              </w:rPr>
              <w:t>000 population ranges from 37.7 in Tas</w:t>
            </w:r>
            <w:r w:rsidR="009C21C6">
              <w:rPr>
                <w:rFonts w:cstheme="minorHAnsi"/>
              </w:rPr>
              <w:t>mania</w:t>
            </w:r>
            <w:r w:rsidRPr="00F15230">
              <w:rPr>
                <w:rFonts w:cstheme="minorHAnsi"/>
              </w:rPr>
              <w:t xml:space="preserve"> to 65.9 in the ACT. By region, remote/very remote areas have the lowest rates of all practitioners except dental therapists. </w:t>
            </w:r>
            <w:r w:rsidR="009C21C6">
              <w:rPr>
                <w:rFonts w:cstheme="minorHAnsi"/>
              </w:rPr>
              <w:t>The r</w:t>
            </w:r>
            <w:r w:rsidRPr="00F15230">
              <w:rPr>
                <w:rFonts w:cstheme="minorHAnsi"/>
              </w:rPr>
              <w:t xml:space="preserve">atio of private to public dentists </w:t>
            </w:r>
            <w:r w:rsidR="009C21C6">
              <w:rPr>
                <w:rFonts w:cstheme="minorHAnsi"/>
              </w:rPr>
              <w:t xml:space="preserve">is </w:t>
            </w:r>
            <w:r w:rsidRPr="00F15230">
              <w:rPr>
                <w:rFonts w:cstheme="minorHAnsi"/>
              </w:rPr>
              <w:t>5:1 (c)</w:t>
            </w:r>
            <w:r w:rsidR="009C21C6">
              <w:rPr>
                <w:rFonts w:cstheme="minorHAnsi"/>
              </w:rPr>
              <w:t>.</w:t>
            </w:r>
          </w:p>
        </w:tc>
      </w:tr>
      <w:tr w:rsidR="00F46D67" w:rsidRPr="00F15230" w14:paraId="1762F2DA" w14:textId="77777777" w:rsidTr="00B96724">
        <w:tc>
          <w:tcPr>
            <w:tcW w:w="1634" w:type="dxa"/>
          </w:tcPr>
          <w:p w14:paraId="49510254" w14:textId="77777777" w:rsidR="00F46D67" w:rsidRPr="00F15230" w:rsidRDefault="00F46D67" w:rsidP="00BB1AEE">
            <w:pPr>
              <w:pStyle w:val="TableRowNormal"/>
              <w:spacing w:line="240" w:lineRule="auto"/>
              <w:ind w:left="0" w:firstLine="0"/>
              <w:jc w:val="left"/>
              <w:rPr>
                <w:rFonts w:cstheme="minorHAnsi"/>
              </w:rPr>
            </w:pPr>
            <w:r w:rsidRPr="00F15230">
              <w:rPr>
                <w:rFonts w:cstheme="minorHAnsi"/>
              </w:rPr>
              <w:t xml:space="preserve">State expenditure </w:t>
            </w:r>
          </w:p>
        </w:tc>
        <w:tc>
          <w:tcPr>
            <w:tcW w:w="7533" w:type="dxa"/>
          </w:tcPr>
          <w:p w14:paraId="43D32C9A" w14:textId="6CDD03CD" w:rsidR="00F46D67" w:rsidRPr="00F15230" w:rsidRDefault="00F46D67" w:rsidP="009C21C6">
            <w:pPr>
              <w:pStyle w:val="TableRowNormal"/>
              <w:spacing w:line="240" w:lineRule="auto"/>
              <w:ind w:left="0" w:firstLine="0"/>
              <w:jc w:val="left"/>
              <w:rPr>
                <w:rFonts w:cstheme="minorHAnsi"/>
              </w:rPr>
            </w:pPr>
            <w:r w:rsidRPr="00F15230">
              <w:rPr>
                <w:rFonts w:cstheme="minorHAnsi"/>
              </w:rPr>
              <w:t>State expenditure in 2014</w:t>
            </w:r>
            <w:r w:rsidRPr="00F15230">
              <w:rPr>
                <w:rFonts w:cstheme="minorHAnsi"/>
              </w:rPr>
              <w:noBreakHyphen/>
              <w:t>15 was $848 million or $36 per capita representing 9% of total dental expenditure (</w:t>
            </w:r>
            <w:proofErr w:type="spellStart"/>
            <w:r w:rsidRPr="00F15230">
              <w:rPr>
                <w:rFonts w:cstheme="minorHAnsi"/>
              </w:rPr>
              <w:t>NMDS</w:t>
            </w:r>
            <w:proofErr w:type="spellEnd"/>
            <w:r w:rsidRPr="00F15230">
              <w:rPr>
                <w:rFonts w:cstheme="minorHAnsi"/>
              </w:rPr>
              <w:t>, 2014-15) (d)</w:t>
            </w:r>
            <w:r w:rsidR="009C21C6">
              <w:rPr>
                <w:rFonts w:cstheme="minorHAnsi"/>
              </w:rPr>
              <w:t>.</w:t>
            </w:r>
          </w:p>
        </w:tc>
      </w:tr>
      <w:tr w:rsidR="00F46D67" w:rsidRPr="00F15230" w14:paraId="3D7DBD10" w14:textId="77777777" w:rsidTr="00B96724">
        <w:tc>
          <w:tcPr>
            <w:tcW w:w="1634" w:type="dxa"/>
          </w:tcPr>
          <w:p w14:paraId="4A0B660B" w14:textId="77777777" w:rsidR="00F46D67" w:rsidRPr="00F15230" w:rsidRDefault="00F46D67" w:rsidP="00BB1AEE">
            <w:pPr>
              <w:pStyle w:val="TableRowNormal"/>
              <w:spacing w:line="240" w:lineRule="auto"/>
              <w:ind w:left="0" w:firstLine="0"/>
              <w:jc w:val="left"/>
              <w:rPr>
                <w:rFonts w:cstheme="minorHAnsi"/>
              </w:rPr>
            </w:pPr>
            <w:r w:rsidRPr="00F15230">
              <w:rPr>
                <w:rFonts w:cstheme="minorHAnsi"/>
              </w:rPr>
              <w:t>Substitutability</w:t>
            </w:r>
          </w:p>
        </w:tc>
        <w:tc>
          <w:tcPr>
            <w:tcW w:w="7533" w:type="dxa"/>
          </w:tcPr>
          <w:p w14:paraId="7AF2E2F5" w14:textId="0732F9E9" w:rsidR="00AC29F5" w:rsidRDefault="00865DB8" w:rsidP="00AC29F5">
            <w:pPr>
              <w:pStyle w:val="TableRowNormal"/>
              <w:spacing w:line="240" w:lineRule="auto"/>
              <w:ind w:left="0" w:firstLine="0"/>
              <w:jc w:val="left"/>
              <w:rPr>
                <w:rFonts w:cstheme="minorHAnsi"/>
              </w:rPr>
            </w:pPr>
            <w:r>
              <w:rPr>
                <w:rFonts w:cstheme="minorHAnsi"/>
              </w:rPr>
              <w:t>Similar types of</w:t>
            </w:r>
            <w:r w:rsidR="00F46D67" w:rsidRPr="00F15230">
              <w:rPr>
                <w:rFonts w:cstheme="minorHAnsi"/>
              </w:rPr>
              <w:t xml:space="preserve"> services are provided by the State and non-State sectors. Access to State services is limited to children and concession car</w:t>
            </w:r>
            <w:r w:rsidR="00BC65BB">
              <w:rPr>
                <w:rFonts w:cstheme="minorHAnsi"/>
              </w:rPr>
              <w:t>d</w:t>
            </w:r>
            <w:r w:rsidR="00F46D67" w:rsidRPr="00F15230">
              <w:rPr>
                <w:rFonts w:cstheme="minorHAnsi"/>
              </w:rPr>
              <w:t xml:space="preserve"> holders. These groups account for 35% of the total population. The relatively high cost of privat</w:t>
            </w:r>
            <w:r w:rsidR="00BC65BB">
              <w:rPr>
                <w:rFonts w:cstheme="minorHAnsi"/>
              </w:rPr>
              <w:t>e services means that</w:t>
            </w:r>
            <w:r w:rsidR="00F46D67" w:rsidRPr="00F15230">
              <w:rPr>
                <w:rFonts w:cstheme="minorHAnsi"/>
              </w:rPr>
              <w:t xml:space="preserve"> some public patients are unable to access private services. If more State provided services were available this would likely reduce use of private services but an increase in private services would be unlikely to have a noticeable effect on the total use </w:t>
            </w:r>
            <w:r w:rsidR="00EF1C9A">
              <w:rPr>
                <w:rFonts w:cstheme="minorHAnsi"/>
              </w:rPr>
              <w:t xml:space="preserve">of </w:t>
            </w:r>
            <w:r w:rsidR="00F46D67" w:rsidRPr="00F15230">
              <w:rPr>
                <w:rFonts w:cstheme="minorHAnsi"/>
              </w:rPr>
              <w:t xml:space="preserve">public dental services. </w:t>
            </w:r>
            <w:r w:rsidR="00AC29F5">
              <w:rPr>
                <w:rFonts w:cstheme="minorHAnsi"/>
              </w:rPr>
              <w:t>The main</w:t>
            </w:r>
            <w:r w:rsidR="00F46D67" w:rsidRPr="00F15230">
              <w:rPr>
                <w:rFonts w:cstheme="minorHAnsi"/>
              </w:rPr>
              <w:t xml:space="preserve"> influence on the level of State dental service use appears to be the level of State service provision. </w:t>
            </w:r>
          </w:p>
          <w:p w14:paraId="32568D76" w14:textId="52F9BB7A" w:rsidR="00F46D67" w:rsidRPr="00F15230" w:rsidRDefault="00F46D67" w:rsidP="00AC29F5">
            <w:pPr>
              <w:pStyle w:val="TableRowNormal"/>
              <w:spacing w:line="240" w:lineRule="auto"/>
              <w:ind w:left="0" w:firstLine="0"/>
              <w:jc w:val="left"/>
              <w:rPr>
                <w:b/>
              </w:rPr>
            </w:pPr>
            <w:r w:rsidRPr="00F15230">
              <w:rPr>
                <w:rFonts w:cstheme="minorHAnsi"/>
                <w:b/>
              </w:rPr>
              <w:t>Overall, the level of substitutability appears to be relatively low.</w:t>
            </w:r>
          </w:p>
        </w:tc>
      </w:tr>
    </w:tbl>
    <w:p w14:paraId="1BCAD672" w14:textId="77777777" w:rsidR="00F46D67" w:rsidRPr="00F15230" w:rsidRDefault="00F46D67" w:rsidP="00F46D67">
      <w:pPr>
        <w:pStyle w:val="CGCTableFootnote"/>
        <w:keepNext/>
      </w:pPr>
      <w:r w:rsidRPr="00F15230">
        <w:t>(a)</w:t>
      </w:r>
      <w:r w:rsidRPr="00F15230">
        <w:tab/>
        <w:t>Excludes hospitalisations due to dental conditions.</w:t>
      </w:r>
    </w:p>
    <w:p w14:paraId="4F919FC4" w14:textId="77777777" w:rsidR="00F46D67" w:rsidRPr="00F15230" w:rsidRDefault="00F46D67" w:rsidP="00F46D67">
      <w:pPr>
        <w:pStyle w:val="CGCTableFootnote"/>
        <w:keepNext/>
      </w:pPr>
      <w:r w:rsidRPr="00F15230">
        <w:t>(b)</w:t>
      </w:r>
      <w:r w:rsidRPr="00F15230">
        <w:tab/>
        <w:t>These arrangements apply in New South Wales, Queensland and Western Australia.</w:t>
      </w:r>
    </w:p>
    <w:p w14:paraId="20AAFF91" w14:textId="2F370BAA" w:rsidR="00F46D67" w:rsidRPr="00F15230" w:rsidRDefault="00F46D67" w:rsidP="00F46D67">
      <w:pPr>
        <w:pStyle w:val="NoSpacing"/>
        <w:keepNext/>
        <w:tabs>
          <w:tab w:val="clear" w:pos="567"/>
          <w:tab w:val="left" w:pos="851"/>
        </w:tabs>
        <w:rPr>
          <w:sz w:val="20"/>
          <w:szCs w:val="24"/>
        </w:rPr>
      </w:pPr>
      <w:r w:rsidRPr="00F15230">
        <w:rPr>
          <w:sz w:val="20"/>
          <w:szCs w:val="24"/>
        </w:rPr>
        <w:t>(c)</w:t>
      </w:r>
      <w:r w:rsidRPr="00F15230">
        <w:rPr>
          <w:sz w:val="20"/>
          <w:szCs w:val="24"/>
        </w:rPr>
        <w:tab/>
        <w:t>AIHW</w:t>
      </w:r>
      <w:r w:rsidR="00744CB1">
        <w:rPr>
          <w:sz w:val="20"/>
          <w:szCs w:val="24"/>
        </w:rPr>
        <w:t>,</w:t>
      </w:r>
      <w:r w:rsidRPr="00F15230">
        <w:rPr>
          <w:sz w:val="20"/>
          <w:szCs w:val="24"/>
        </w:rPr>
        <w:t xml:space="preserve"> </w:t>
      </w:r>
      <w:r w:rsidRPr="00282003">
        <w:rPr>
          <w:i/>
          <w:sz w:val="20"/>
          <w:szCs w:val="24"/>
        </w:rPr>
        <w:t>Oral health and dental care in Australia 2015</w:t>
      </w:r>
      <w:r w:rsidRPr="00F15230">
        <w:rPr>
          <w:sz w:val="20"/>
          <w:szCs w:val="24"/>
        </w:rPr>
        <w:t>, pp. 30, 31, 59, 67.</w:t>
      </w:r>
    </w:p>
    <w:p w14:paraId="5B1B1D97" w14:textId="77777777" w:rsidR="00F46D67" w:rsidRPr="00F15230" w:rsidRDefault="00F46D67" w:rsidP="00F46D67">
      <w:pPr>
        <w:pStyle w:val="NoSpacing"/>
        <w:keepNext/>
        <w:tabs>
          <w:tab w:val="clear" w:pos="567"/>
          <w:tab w:val="left" w:pos="851"/>
        </w:tabs>
        <w:ind w:left="851" w:hanging="851"/>
      </w:pPr>
      <w:r w:rsidRPr="00F15230">
        <w:rPr>
          <w:sz w:val="20"/>
          <w:szCs w:val="24"/>
        </w:rPr>
        <w:t>(d)</w:t>
      </w:r>
      <w:r w:rsidRPr="00F15230">
        <w:rPr>
          <w:sz w:val="20"/>
          <w:szCs w:val="24"/>
        </w:rPr>
        <w:tab/>
        <w:t>Estimate based on total State and local government expenditure plus Commonwealth expenditure through the Treating More Public Dental Patients NPP.</w:t>
      </w:r>
      <w:r w:rsidRPr="00F15230">
        <w:br w:type="page"/>
      </w:r>
    </w:p>
    <w:p w14:paraId="67790FDA" w14:textId="7CBF7015" w:rsidR="00F1437D" w:rsidRPr="00F15230" w:rsidRDefault="00F1437D" w:rsidP="00F1437D">
      <w:pPr>
        <w:pStyle w:val="Heading4"/>
        <w:rPr>
          <w:rStyle w:val="Heading6Char"/>
          <w:b/>
          <w:i w:val="0"/>
          <w:iCs/>
          <w:sz w:val="32"/>
        </w:rPr>
      </w:pPr>
      <w:bookmarkStart w:id="109" w:name="_Toc499818747"/>
      <w:bookmarkStart w:id="110" w:name="_Toc499818837"/>
      <w:bookmarkStart w:id="111" w:name="_Toc508800486"/>
      <w:bookmarkStart w:id="112" w:name="_Toc509231095"/>
      <w:bookmarkStart w:id="113" w:name="_Toc511054120"/>
      <w:bookmarkStart w:id="114" w:name="_Toc511127562"/>
      <w:bookmarkStart w:id="115" w:name="_Toc511977540"/>
      <w:r w:rsidRPr="00F15230">
        <w:rPr>
          <w:rStyle w:val="Heading6Char"/>
          <w:b/>
          <w:i w:val="0"/>
          <w:iCs/>
          <w:sz w:val="32"/>
        </w:rPr>
        <w:lastRenderedPageBreak/>
        <w:t>Cross</w:t>
      </w:r>
      <w:r w:rsidR="00CE2D08">
        <w:rPr>
          <w:rStyle w:val="Heading6Char"/>
          <w:b/>
          <w:i w:val="0"/>
          <w:iCs/>
          <w:sz w:val="32"/>
        </w:rPr>
        <w:noBreakHyphen/>
      </w:r>
      <w:r w:rsidRPr="00F15230">
        <w:rPr>
          <w:rStyle w:val="Heading6Char"/>
          <w:b/>
          <w:i w:val="0"/>
          <w:iCs/>
          <w:sz w:val="32"/>
        </w:rPr>
        <w:t>border service use</w:t>
      </w:r>
      <w:bookmarkEnd w:id="109"/>
      <w:bookmarkEnd w:id="110"/>
      <w:bookmarkEnd w:id="111"/>
      <w:bookmarkEnd w:id="112"/>
      <w:bookmarkEnd w:id="113"/>
      <w:bookmarkEnd w:id="114"/>
      <w:bookmarkEnd w:id="115"/>
    </w:p>
    <w:p w14:paraId="1F74C4A9" w14:textId="08EE5AB5" w:rsidR="0082324A" w:rsidRPr="00F15230" w:rsidRDefault="0082324A" w:rsidP="0082324A">
      <w:pPr>
        <w:pStyle w:val="CGCNumberedPara"/>
      </w:pPr>
      <w:r w:rsidRPr="00F15230">
        <w:t>The assessment recognises the effect of cross-border service use on States spending. The ways in which this is done for hospitals and community health differ.</w:t>
      </w:r>
    </w:p>
    <w:p w14:paraId="2A61FDA8" w14:textId="77777777" w:rsidR="00F1437D" w:rsidRPr="00F15230" w:rsidRDefault="00F1437D" w:rsidP="00F1437D">
      <w:pPr>
        <w:pStyle w:val="Heading5"/>
      </w:pPr>
      <w:r w:rsidRPr="00F15230">
        <w:t>Hospital services</w:t>
      </w:r>
    </w:p>
    <w:p w14:paraId="240A983B" w14:textId="54352F66" w:rsidR="00762A42" w:rsidRPr="00F15230" w:rsidRDefault="00762A42" w:rsidP="00762A42">
      <w:pPr>
        <w:pStyle w:val="CGCNumberedPara"/>
        <w:numPr>
          <w:ilvl w:val="1"/>
          <w:numId w:val="3"/>
        </w:numPr>
      </w:pPr>
      <w:r w:rsidRPr="00F15230">
        <w:t>There are two aspects to the arrangem</w:t>
      </w:r>
      <w:r w:rsidR="0082324A" w:rsidRPr="00F15230">
        <w:t xml:space="preserve">ents for ensuring States are </w:t>
      </w:r>
      <w:r w:rsidRPr="00F15230">
        <w:t xml:space="preserve">compensated for the </w:t>
      </w:r>
      <w:r w:rsidR="00627DFC" w:rsidRPr="00F15230">
        <w:t>cost of providing hospital services to residents of another State</w:t>
      </w:r>
      <w:r w:rsidR="0082324A" w:rsidRPr="00F15230">
        <w:t>.</w:t>
      </w:r>
      <w:r w:rsidRPr="00F15230">
        <w:t xml:space="preserve"> The first relates to the Commonwealth contribution to the total cost of treating </w:t>
      </w:r>
      <w:r w:rsidR="00C37695">
        <w:t>non</w:t>
      </w:r>
      <w:r w:rsidR="00C37695">
        <w:noBreakHyphen/>
      </w:r>
      <w:r w:rsidRPr="00F15230">
        <w:t>residents and the second to the State contribution to the</w:t>
      </w:r>
      <w:r w:rsidR="00C37695">
        <w:t>se</w:t>
      </w:r>
      <w:r w:rsidRPr="00F15230">
        <w:t xml:space="preserve"> cost</w:t>
      </w:r>
      <w:r w:rsidR="00CE2D08">
        <w:t>s</w:t>
      </w:r>
      <w:r w:rsidRPr="00F15230">
        <w:t>.</w:t>
      </w:r>
    </w:p>
    <w:p w14:paraId="457ED6FD" w14:textId="782FDD93" w:rsidR="00762A42" w:rsidRPr="00F15230" w:rsidRDefault="00762A42" w:rsidP="00762A42">
      <w:pPr>
        <w:pStyle w:val="CGCBulletlist"/>
        <w:numPr>
          <w:ilvl w:val="0"/>
          <w:numId w:val="1"/>
        </w:numPr>
        <w:tabs>
          <w:tab w:val="clear" w:pos="927"/>
        </w:tabs>
        <w:ind w:left="1134" w:hanging="567"/>
      </w:pPr>
      <w:r w:rsidRPr="00F15230">
        <w:t>The Commission makes a cross</w:t>
      </w:r>
      <w:r w:rsidR="00CE2D08">
        <w:noBreakHyphen/>
      </w:r>
      <w:r w:rsidRPr="00F15230">
        <w:t>border adjustment to actual National Health Reform funding payments used in its Commonwealth payments assessment to ensure that any funding to a State for non-resident activity does not influence a State’s GST distribution. The adjustment is made for all States (not just New South Wales and the ACT) and it ensures that the Commonwealth contribution to the cost of treating non-residents is retained by the State providing the services.</w:t>
      </w:r>
    </w:p>
    <w:p w14:paraId="2E0A93A9" w14:textId="7453F6EF" w:rsidR="00762A42" w:rsidRPr="00F15230" w:rsidRDefault="00762A42" w:rsidP="00762A42">
      <w:pPr>
        <w:pStyle w:val="CGCBulletlist"/>
        <w:numPr>
          <w:ilvl w:val="0"/>
          <w:numId w:val="1"/>
        </w:numPr>
        <w:tabs>
          <w:tab w:val="clear" w:pos="927"/>
        </w:tabs>
        <w:ind w:left="1134" w:hanging="567"/>
      </w:pPr>
      <w:r w:rsidRPr="00F15230">
        <w:t>The National Healthcare Agreement provides bilateral agreements between States covering reimbursement of the costs of cross</w:t>
      </w:r>
      <w:r w:rsidRPr="00F15230">
        <w:noBreakHyphen/>
        <w:t>border service</w:t>
      </w:r>
      <w:r w:rsidR="00CE2D08">
        <w:t xml:space="preserve"> use</w:t>
      </w:r>
      <w:r w:rsidRPr="00F15230">
        <w:t>. These agreements mean that a State can obtain reimbursement for its share of the cost of treating non</w:t>
      </w:r>
      <w:r w:rsidRPr="00F15230">
        <w:noBreakHyphen/>
        <w:t>residents. There is a bilateral health agreement between New South Wales and the ACT covering costs</w:t>
      </w:r>
      <w:r w:rsidRPr="00F15230">
        <w:rPr>
          <w:rStyle w:val="FootnoteReference"/>
        </w:rPr>
        <w:footnoteReference w:id="18"/>
      </w:r>
      <w:r w:rsidRPr="00F15230">
        <w:t xml:space="preserve"> associated with services provided to </w:t>
      </w:r>
      <w:proofErr w:type="gramStart"/>
      <w:r w:rsidRPr="00F15230">
        <w:t>admitted</w:t>
      </w:r>
      <w:proofErr w:type="gramEnd"/>
      <w:r w:rsidRPr="00F15230">
        <w:t xml:space="preserve"> and non</w:t>
      </w:r>
      <w:r w:rsidRPr="00F15230">
        <w:noBreakHyphen/>
        <w:t xml:space="preserve">admitted patients. </w:t>
      </w:r>
    </w:p>
    <w:p w14:paraId="0C4CD93F" w14:textId="04DAC62C" w:rsidR="00F1437D" w:rsidRPr="00F15230" w:rsidRDefault="00BA47D1" w:rsidP="00F1437D">
      <w:pPr>
        <w:pStyle w:val="CGCNumberedPara"/>
        <w:numPr>
          <w:ilvl w:val="1"/>
          <w:numId w:val="3"/>
        </w:numPr>
      </w:pPr>
      <w:r w:rsidRPr="00F15230">
        <w:t>As a result of the</w:t>
      </w:r>
      <w:r w:rsidR="00CE2D08">
        <w:t>se</w:t>
      </w:r>
      <w:r w:rsidR="00F1437D" w:rsidRPr="00F15230">
        <w:t xml:space="preserve"> arrangements, no cross-border factor is required in the hospital assessments. </w:t>
      </w:r>
      <w:r w:rsidR="00831B38">
        <w:t xml:space="preserve">No changes to these </w:t>
      </w:r>
      <w:r w:rsidR="00F1437D" w:rsidRPr="00F15230">
        <w:t xml:space="preserve">arrangements </w:t>
      </w:r>
      <w:r w:rsidR="00831B38">
        <w:t>are anticipated</w:t>
      </w:r>
      <w:r w:rsidR="00F1437D" w:rsidRPr="00F15230">
        <w:t>.</w:t>
      </w:r>
    </w:p>
    <w:p w14:paraId="7B36F6BD" w14:textId="53CA10B2" w:rsidR="00F1437D" w:rsidRPr="00F15230" w:rsidRDefault="00F1437D" w:rsidP="00F1437D">
      <w:pPr>
        <w:pStyle w:val="Heading5"/>
      </w:pPr>
      <w:r w:rsidRPr="00F15230">
        <w:t>Community health services</w:t>
      </w:r>
    </w:p>
    <w:p w14:paraId="06A49AFD" w14:textId="35CEA68D" w:rsidR="00F1437D" w:rsidRPr="00F15230" w:rsidRDefault="00F1437D" w:rsidP="00F1437D">
      <w:pPr>
        <w:pStyle w:val="CGCNumberedPara"/>
        <w:numPr>
          <w:ilvl w:val="1"/>
          <w:numId w:val="3"/>
        </w:numPr>
      </w:pPr>
      <w:proofErr w:type="gramStart"/>
      <w:r w:rsidRPr="00F15230">
        <w:t>Staff intend</w:t>
      </w:r>
      <w:proofErr w:type="gramEnd"/>
      <w:r w:rsidRPr="00F15230">
        <w:t xml:space="preserve"> to r</w:t>
      </w:r>
      <w:r w:rsidR="00BA47D1" w:rsidRPr="00F15230">
        <w:t xml:space="preserve">eview the approach to </w:t>
      </w:r>
      <w:r w:rsidR="00831B38">
        <w:t xml:space="preserve">the </w:t>
      </w:r>
      <w:r w:rsidRPr="00F15230">
        <w:t xml:space="preserve">community health </w:t>
      </w:r>
      <w:r w:rsidR="00831B38">
        <w:t>cross</w:t>
      </w:r>
      <w:r w:rsidR="00CE2D08">
        <w:noBreakHyphen/>
      </w:r>
      <w:r w:rsidR="00831B38">
        <w:t>border assessment</w:t>
      </w:r>
      <w:r w:rsidRPr="00F15230">
        <w:t>. The current approach is based on data and an approach developed in the 20</w:t>
      </w:r>
      <w:r w:rsidR="00BA47D1" w:rsidRPr="00F15230">
        <w:t>10</w:t>
      </w:r>
      <w:r w:rsidRPr="00F15230">
        <w:t xml:space="preserve"> Review. More details are in the </w:t>
      </w:r>
      <w:r w:rsidR="007E6DD0">
        <w:t xml:space="preserve">Staff Draft Assessment Paper </w:t>
      </w:r>
      <w:r w:rsidR="007E6DD0" w:rsidRPr="007E6DD0">
        <w:rPr>
          <w:i/>
        </w:rPr>
        <w:t xml:space="preserve">CGC 2018-01/25-S, </w:t>
      </w:r>
      <w:r w:rsidR="00831B38" w:rsidRPr="007E6DD0">
        <w:rPr>
          <w:i/>
        </w:rPr>
        <w:t>Other disabilities</w:t>
      </w:r>
      <w:r w:rsidRPr="00F15230">
        <w:t xml:space="preserve">. </w:t>
      </w:r>
    </w:p>
    <w:p w14:paraId="5C8E7E4E" w14:textId="77777777" w:rsidR="00AD03E0" w:rsidRPr="00F15230" w:rsidRDefault="00AD03E0" w:rsidP="00762A42">
      <w:pPr>
        <w:pStyle w:val="NoSpacing"/>
      </w:pPr>
    </w:p>
    <w:tbl>
      <w:tblPr>
        <w:tblW w:w="0" w:type="auto"/>
        <w:tblInd w:w="108" w:type="dxa"/>
        <w:shd w:val="clear" w:color="auto" w:fill="D9F3E6"/>
        <w:tblLook w:val="04A0" w:firstRow="1" w:lastRow="0" w:firstColumn="1" w:lastColumn="0" w:noHBand="0" w:noVBand="1"/>
      </w:tblPr>
      <w:tblGrid>
        <w:gridCol w:w="8931"/>
      </w:tblGrid>
      <w:tr w:rsidR="0038126E" w:rsidRPr="00F15230" w14:paraId="17755839" w14:textId="77777777" w:rsidTr="000D4B71">
        <w:tc>
          <w:tcPr>
            <w:tcW w:w="8931" w:type="dxa"/>
            <w:shd w:val="clear" w:color="auto" w:fill="D9F3E6"/>
          </w:tcPr>
          <w:p w14:paraId="214BAB31" w14:textId="77777777" w:rsidR="0038126E" w:rsidRPr="00F15230" w:rsidRDefault="0038126E" w:rsidP="000D4B71">
            <w:r w:rsidRPr="00F15230">
              <w:t>Staff propose to recommend the Commission:</w:t>
            </w:r>
          </w:p>
          <w:p w14:paraId="6EF346BF" w14:textId="77777777" w:rsidR="0038126E" w:rsidRPr="00F15230" w:rsidRDefault="0038126E" w:rsidP="000D4B71">
            <w:pPr>
              <w:pStyle w:val="CGCBulletlist"/>
              <w:numPr>
                <w:ilvl w:val="0"/>
                <w:numId w:val="1"/>
              </w:numPr>
              <w:tabs>
                <w:tab w:val="clear" w:pos="927"/>
                <w:tab w:val="clear" w:pos="1134"/>
              </w:tabs>
              <w:ind w:left="1134" w:hanging="567"/>
            </w:pPr>
            <w:r w:rsidRPr="00F15230">
              <w:t>note that the current arrangements ensure that States are reimbursed for the cost of providing hospital services to residents of another State</w:t>
            </w:r>
          </w:p>
          <w:p w14:paraId="05EE0653" w14:textId="054510C8" w:rsidR="0038126E" w:rsidRPr="00F15230" w:rsidRDefault="0038126E" w:rsidP="00831B38">
            <w:pPr>
              <w:pStyle w:val="CGCBulletlist"/>
              <w:numPr>
                <w:ilvl w:val="0"/>
                <w:numId w:val="1"/>
              </w:numPr>
              <w:tabs>
                <w:tab w:val="clear" w:pos="927"/>
                <w:tab w:val="clear" w:pos="1134"/>
              </w:tabs>
              <w:ind w:left="1134" w:hanging="567"/>
            </w:pPr>
            <w:r w:rsidRPr="00F15230">
              <w:t>r</w:t>
            </w:r>
            <w:r w:rsidR="00BA47D1" w:rsidRPr="00F15230">
              <w:t>eview the approach to the cross-</w:t>
            </w:r>
            <w:r w:rsidRPr="00F15230">
              <w:t xml:space="preserve">border assessment for community and other health services as outlined in the </w:t>
            </w:r>
            <w:r w:rsidR="00CE2D08">
              <w:t xml:space="preserve">Staff Draft Assessment Paper </w:t>
            </w:r>
            <w:r w:rsidR="00CE2D08" w:rsidRPr="007E6DD0">
              <w:rPr>
                <w:i/>
              </w:rPr>
              <w:t>CGC 2018-01/25-S</w:t>
            </w:r>
            <w:r w:rsidR="00E21CD0" w:rsidRPr="00F15230">
              <w:t>.</w:t>
            </w:r>
          </w:p>
        </w:tc>
      </w:tr>
    </w:tbl>
    <w:p w14:paraId="0BC653C8" w14:textId="77777777" w:rsidR="00F1437D" w:rsidRPr="00F15230" w:rsidRDefault="00E21CD0" w:rsidP="00F1437D">
      <w:pPr>
        <w:pStyle w:val="Heading4"/>
      </w:pPr>
      <w:bookmarkStart w:id="116" w:name="_Toc499818748"/>
      <w:bookmarkStart w:id="117" w:name="_Toc499818838"/>
      <w:bookmarkStart w:id="118" w:name="_Toc508800487"/>
      <w:bookmarkStart w:id="119" w:name="_Toc509231096"/>
      <w:bookmarkStart w:id="120" w:name="_Toc511054121"/>
      <w:bookmarkStart w:id="121" w:name="_Toc511127563"/>
      <w:bookmarkStart w:id="122" w:name="_Toc511977541"/>
      <w:r w:rsidRPr="00F15230">
        <w:rPr>
          <w:rStyle w:val="Heading6Char"/>
          <w:b/>
          <w:i w:val="0"/>
          <w:iCs/>
          <w:sz w:val="32"/>
        </w:rPr>
        <w:lastRenderedPageBreak/>
        <w:t>Non-hospital p</w:t>
      </w:r>
      <w:r w:rsidR="00F1437D" w:rsidRPr="00F15230">
        <w:rPr>
          <w:rStyle w:val="Heading6Char"/>
          <w:b/>
          <w:i w:val="0"/>
          <w:iCs/>
          <w:sz w:val="32"/>
        </w:rPr>
        <w:t>atient transport</w:t>
      </w:r>
      <w:bookmarkEnd w:id="116"/>
      <w:bookmarkEnd w:id="117"/>
      <w:bookmarkEnd w:id="118"/>
      <w:bookmarkEnd w:id="119"/>
      <w:bookmarkEnd w:id="120"/>
      <w:bookmarkEnd w:id="121"/>
      <w:bookmarkEnd w:id="122"/>
    </w:p>
    <w:p w14:paraId="5288E7A9" w14:textId="7FD0ED7C" w:rsidR="00F1437D" w:rsidRPr="00F15230" w:rsidRDefault="00E21CD0" w:rsidP="00F1437D">
      <w:pPr>
        <w:pStyle w:val="CGCNumberedPara"/>
        <w:numPr>
          <w:ilvl w:val="1"/>
          <w:numId w:val="3"/>
        </w:numPr>
      </w:pPr>
      <w:proofErr w:type="gramStart"/>
      <w:r w:rsidRPr="00F15230">
        <w:t>Staff intend</w:t>
      </w:r>
      <w:proofErr w:type="gramEnd"/>
      <w:r w:rsidRPr="00F15230">
        <w:t xml:space="preserve"> to collect n</w:t>
      </w:r>
      <w:r w:rsidR="00F1437D" w:rsidRPr="00F15230">
        <w:t>ew data from the States on spending on aero</w:t>
      </w:r>
      <w:r w:rsidR="00F1437D" w:rsidRPr="00F15230">
        <w:noBreakHyphen/>
        <w:t xml:space="preserve">medical ambulance services and PATS. Similar data were collected in the 2015 Review. The data will be used to benchmark </w:t>
      </w:r>
      <w:r w:rsidR="00831B38">
        <w:t>non-</w:t>
      </w:r>
      <w:r w:rsidR="00C31456">
        <w:t>hospital</w:t>
      </w:r>
      <w:r w:rsidR="00831B38">
        <w:t xml:space="preserve"> </w:t>
      </w:r>
      <w:r w:rsidR="00F1437D" w:rsidRPr="00F15230">
        <w:t xml:space="preserve">patient transport expenses </w:t>
      </w:r>
      <w:r w:rsidR="00C31456">
        <w:t xml:space="preserve">to GFS patient transport expenses, </w:t>
      </w:r>
      <w:r w:rsidR="00F1437D" w:rsidRPr="00F15230">
        <w:t xml:space="preserve">and to calculate the remote patient cost loading for the 2020 Review. </w:t>
      </w:r>
      <w:proofErr w:type="gramStart"/>
      <w:r w:rsidR="00421445" w:rsidRPr="00F15230">
        <w:t>Staff</w:t>
      </w:r>
      <w:r w:rsidR="00F1437D" w:rsidRPr="00F15230">
        <w:t xml:space="preserve"> do</w:t>
      </w:r>
      <w:proofErr w:type="gramEnd"/>
      <w:r w:rsidR="00F1437D" w:rsidRPr="00F15230">
        <w:t xml:space="preserve"> not propose any change to the current method for this assessment.</w:t>
      </w:r>
    </w:p>
    <w:p w14:paraId="692C2D96" w14:textId="0D339BBF" w:rsidR="00F1437D" w:rsidRPr="00F15230" w:rsidRDefault="00F1437D" w:rsidP="00F1437D">
      <w:pPr>
        <w:pStyle w:val="CGCNumberedPara"/>
        <w:numPr>
          <w:ilvl w:val="1"/>
          <w:numId w:val="3"/>
        </w:numPr>
      </w:pPr>
      <w:r w:rsidRPr="00F15230">
        <w:t xml:space="preserve">Although there is no </w:t>
      </w:r>
      <w:proofErr w:type="gramStart"/>
      <w:r w:rsidRPr="00F15230">
        <w:t>proposal to change the method</w:t>
      </w:r>
      <w:r w:rsidR="00BA47D1" w:rsidRPr="00F15230">
        <w:t>,</w:t>
      </w:r>
      <w:r w:rsidRPr="00F15230">
        <w:t xml:space="preserve"> </w:t>
      </w:r>
      <w:r w:rsidR="00421445" w:rsidRPr="00F15230">
        <w:t>staff</w:t>
      </w:r>
      <w:r w:rsidRPr="00F15230">
        <w:t xml:space="preserve"> want</w:t>
      </w:r>
      <w:proofErr w:type="gramEnd"/>
      <w:r w:rsidRPr="00F15230">
        <w:t xml:space="preserve"> to ensure there is no double counting of costs related to inter-hospital transfers, including to interstate hospitals. Inter-hospital transfer costs ar</w:t>
      </w:r>
      <w:r w:rsidR="00E21CD0" w:rsidRPr="00F15230">
        <w:t>e captured in IHPA’s cost data.</w:t>
      </w:r>
    </w:p>
    <w:p w14:paraId="78F3F14E" w14:textId="77777777" w:rsidR="00AD03E0" w:rsidRPr="00F15230" w:rsidRDefault="00AD03E0" w:rsidP="00AD03E0">
      <w:pPr>
        <w:pStyle w:val="CGCNumberedPara"/>
        <w:numPr>
          <w:ilvl w:val="0"/>
          <w:numId w:val="0"/>
        </w:numPr>
      </w:pPr>
    </w:p>
    <w:tbl>
      <w:tblPr>
        <w:tblW w:w="0" w:type="auto"/>
        <w:tblInd w:w="108" w:type="dxa"/>
        <w:shd w:val="clear" w:color="auto" w:fill="D9F3E6"/>
        <w:tblLook w:val="04A0" w:firstRow="1" w:lastRow="0" w:firstColumn="1" w:lastColumn="0" w:noHBand="0" w:noVBand="1"/>
      </w:tblPr>
      <w:tblGrid>
        <w:gridCol w:w="8931"/>
      </w:tblGrid>
      <w:tr w:rsidR="00E21CD0" w:rsidRPr="00F15230" w14:paraId="61A3FFEB" w14:textId="77777777" w:rsidTr="000D4B71">
        <w:tc>
          <w:tcPr>
            <w:tcW w:w="8931" w:type="dxa"/>
            <w:shd w:val="clear" w:color="auto" w:fill="D9F3E6"/>
          </w:tcPr>
          <w:p w14:paraId="7C7FC2D2" w14:textId="77777777" w:rsidR="00E21CD0" w:rsidRPr="00F15230" w:rsidRDefault="00E21CD0" w:rsidP="000D4B71">
            <w:r w:rsidRPr="00F15230">
              <w:t>Staff propose to recommend the Commission:</w:t>
            </w:r>
          </w:p>
          <w:p w14:paraId="4C61DE8F" w14:textId="40EC1483" w:rsidR="00E21CD0" w:rsidRPr="00F15230" w:rsidRDefault="00E21CD0" w:rsidP="0064762F">
            <w:pPr>
              <w:pStyle w:val="CGCBulletlist"/>
              <w:numPr>
                <w:ilvl w:val="0"/>
                <w:numId w:val="1"/>
              </w:numPr>
              <w:tabs>
                <w:tab w:val="clear" w:pos="927"/>
                <w:tab w:val="clear" w:pos="1134"/>
              </w:tabs>
              <w:ind w:left="1134" w:hanging="567"/>
            </w:pPr>
            <w:proofErr w:type="gramStart"/>
            <w:r w:rsidRPr="00F15230">
              <w:t>retain</w:t>
            </w:r>
            <w:proofErr w:type="gramEnd"/>
            <w:r w:rsidRPr="00F15230">
              <w:t xml:space="preserve"> the current method for assessing non-hospital patient transport expenses but collect new data to benchmark patient transport expenses and </w:t>
            </w:r>
            <w:r w:rsidR="00762A42" w:rsidRPr="00F15230">
              <w:t>re-</w:t>
            </w:r>
            <w:r w:rsidRPr="00F15230">
              <w:t>calculate the remote patient cost loading.</w:t>
            </w:r>
          </w:p>
        </w:tc>
      </w:tr>
    </w:tbl>
    <w:p w14:paraId="6B9DD0C1" w14:textId="45A17277" w:rsidR="00F1437D" w:rsidRPr="00F15230" w:rsidRDefault="00CE2D08" w:rsidP="00F1437D">
      <w:pPr>
        <w:pStyle w:val="Heading4"/>
        <w:rPr>
          <w:rStyle w:val="Heading6Char"/>
          <w:b/>
          <w:i w:val="0"/>
          <w:iCs/>
          <w:sz w:val="32"/>
        </w:rPr>
      </w:pPr>
      <w:bookmarkStart w:id="123" w:name="_Toc499818749"/>
      <w:bookmarkStart w:id="124" w:name="_Toc499818839"/>
      <w:bookmarkStart w:id="125" w:name="_Toc508800488"/>
      <w:bookmarkStart w:id="126" w:name="_Toc509231097"/>
      <w:bookmarkStart w:id="127" w:name="_Toc511054122"/>
      <w:bookmarkStart w:id="128" w:name="_Toc511127564"/>
      <w:bookmarkStart w:id="129" w:name="_Toc511977542"/>
      <w:r>
        <w:rPr>
          <w:rStyle w:val="Heading6Char"/>
          <w:b/>
          <w:i w:val="0"/>
          <w:iCs/>
          <w:sz w:val="32"/>
        </w:rPr>
        <w:t>O</w:t>
      </w:r>
      <w:r w:rsidR="00F1437D" w:rsidRPr="00F15230">
        <w:rPr>
          <w:rStyle w:val="Heading6Char"/>
          <w:b/>
          <w:i w:val="0"/>
          <w:iCs/>
          <w:sz w:val="32"/>
        </w:rPr>
        <w:t>ther health expenses</w:t>
      </w:r>
      <w:bookmarkEnd w:id="123"/>
      <w:bookmarkEnd w:id="124"/>
      <w:bookmarkEnd w:id="125"/>
      <w:bookmarkEnd w:id="126"/>
      <w:bookmarkEnd w:id="127"/>
      <w:bookmarkEnd w:id="128"/>
      <w:bookmarkEnd w:id="129"/>
    </w:p>
    <w:p w14:paraId="205E7C05" w14:textId="0154352E" w:rsidR="00F1437D" w:rsidRPr="00F15230" w:rsidRDefault="00F1437D" w:rsidP="00F1437D">
      <w:pPr>
        <w:pStyle w:val="CGCNumberedPara"/>
        <w:numPr>
          <w:ilvl w:val="1"/>
          <w:numId w:val="3"/>
        </w:numPr>
      </w:pPr>
      <w:r w:rsidRPr="00F15230">
        <w:t>Community and other health expenses were $12.</w:t>
      </w:r>
      <w:r w:rsidR="00A06001" w:rsidRPr="00F15230">
        <w:t>4</w:t>
      </w:r>
      <w:r w:rsidRPr="00F15230">
        <w:t> billion or 2</w:t>
      </w:r>
      <w:r w:rsidR="00A06001" w:rsidRPr="00F15230">
        <w:t>0</w:t>
      </w:r>
      <w:r w:rsidRPr="00F15230">
        <w:t>% of tot</w:t>
      </w:r>
      <w:r w:rsidR="000D3CD5" w:rsidRPr="00F15230">
        <w:t>al category expenses in 201</w:t>
      </w:r>
      <w:r w:rsidR="00A06001" w:rsidRPr="00F15230">
        <w:t>6</w:t>
      </w:r>
      <w:r w:rsidR="00A06001" w:rsidRPr="00F15230">
        <w:noBreakHyphen/>
        <w:t>17</w:t>
      </w:r>
      <w:r w:rsidRPr="00F15230">
        <w:t xml:space="preserve"> (</w:t>
      </w:r>
      <w:r w:rsidR="005246F7">
        <w:t>s</w:t>
      </w:r>
      <w:r w:rsidRPr="00F15230">
        <w:t xml:space="preserve">ee </w:t>
      </w:r>
      <w:r w:rsidRPr="00F15230">
        <w:fldChar w:fldCharType="begin"/>
      </w:r>
      <w:r w:rsidRPr="00F15230">
        <w:instrText xml:space="preserve"> REF _Ref499556391 \h </w:instrText>
      </w:r>
      <w:r w:rsidR="00A06001" w:rsidRPr="00F15230">
        <w:instrText xml:space="preserve"> \* MERGEFORMAT </w:instrText>
      </w:r>
      <w:r w:rsidRPr="00F15230">
        <w:fldChar w:fldCharType="separate"/>
      </w:r>
      <w:r w:rsidR="005A6E12" w:rsidRPr="00F15230">
        <w:t xml:space="preserve">Table </w:t>
      </w:r>
      <w:r w:rsidR="005A6E12">
        <w:t>1</w:t>
      </w:r>
      <w:r w:rsidRPr="00F15230">
        <w:fldChar w:fldCharType="end"/>
      </w:r>
      <w:r w:rsidRPr="00F15230">
        <w:t>)</w:t>
      </w:r>
      <w:r w:rsidR="000D3CD5" w:rsidRPr="00F15230">
        <w:t>.</w:t>
      </w:r>
      <w:r w:rsidRPr="00F15230">
        <w:t xml:space="preserve"> A breakdown o</w:t>
      </w:r>
      <w:r w:rsidR="00421445" w:rsidRPr="00F15230">
        <w:t>f</w:t>
      </w:r>
      <w:r w:rsidRPr="00F15230">
        <w:t xml:space="preserve"> these expenses</w:t>
      </w:r>
      <w:r w:rsidR="00762A42" w:rsidRPr="00F15230">
        <w:t xml:space="preserve"> </w:t>
      </w:r>
      <w:r w:rsidRPr="00F15230">
        <w:t xml:space="preserve">is shown in </w:t>
      </w:r>
      <w:r w:rsidRPr="00F15230">
        <w:fldChar w:fldCharType="begin"/>
      </w:r>
      <w:r w:rsidRPr="00F15230">
        <w:instrText xml:space="preserve"> REF _Ref499557470 \h </w:instrText>
      </w:r>
      <w:r w:rsidR="00F15230">
        <w:instrText xml:space="preserve"> \* MERGEFORMAT </w:instrText>
      </w:r>
      <w:r w:rsidRPr="00F15230">
        <w:fldChar w:fldCharType="separate"/>
      </w:r>
      <w:r w:rsidR="005A6E12" w:rsidRPr="00F15230">
        <w:t xml:space="preserve">Table </w:t>
      </w:r>
      <w:r w:rsidR="005A6E12">
        <w:rPr>
          <w:noProof/>
        </w:rPr>
        <w:t>8</w:t>
      </w:r>
      <w:r w:rsidRPr="00F15230">
        <w:fldChar w:fldCharType="end"/>
      </w:r>
      <w:r w:rsidRPr="00F15230">
        <w:t>. Community and public health services account for 75% of component expenses. Pharmaceuticals, medical aids and appliances account for a further 1</w:t>
      </w:r>
      <w:r w:rsidR="00404A9E">
        <w:t>7</w:t>
      </w:r>
      <w:r w:rsidRPr="00F15230">
        <w:t xml:space="preserve">%. </w:t>
      </w:r>
    </w:p>
    <w:p w14:paraId="63C881B0" w14:textId="53F02C9B" w:rsidR="00F1437D" w:rsidRPr="00F15230" w:rsidRDefault="00F1437D" w:rsidP="00F1437D">
      <w:pPr>
        <w:pStyle w:val="CGCNumberedPara"/>
        <w:numPr>
          <w:ilvl w:val="1"/>
          <w:numId w:val="3"/>
        </w:numPr>
      </w:pPr>
      <w:proofErr w:type="gramStart"/>
      <w:r w:rsidRPr="00F15230">
        <w:t>Staff intend</w:t>
      </w:r>
      <w:proofErr w:type="gramEnd"/>
      <w:r w:rsidRPr="00F15230">
        <w:t xml:space="preserve"> to investigate whether expenses for pharmaceuticals, medical aids and appliances and health administration not elsewhere classified (</w:t>
      </w:r>
      <w:proofErr w:type="spellStart"/>
      <w:r w:rsidRPr="00F15230">
        <w:t>n.e.c</w:t>
      </w:r>
      <w:proofErr w:type="spellEnd"/>
      <w:r w:rsidRPr="00F15230">
        <w:t xml:space="preserve">.) should be included in </w:t>
      </w:r>
      <w:r w:rsidR="00627DFC" w:rsidRPr="00F15230">
        <w:t xml:space="preserve">the </w:t>
      </w:r>
      <w:r w:rsidRPr="00F15230">
        <w:t xml:space="preserve">community health </w:t>
      </w:r>
      <w:r w:rsidR="00627DFC" w:rsidRPr="00F15230">
        <w:t xml:space="preserve">component </w:t>
      </w:r>
      <w:r w:rsidRPr="00F15230">
        <w:t xml:space="preserve">or whether most of these expenses </w:t>
      </w:r>
      <w:r w:rsidR="00627DFC" w:rsidRPr="00F15230">
        <w:t>relate</w:t>
      </w:r>
      <w:r w:rsidRPr="00F15230">
        <w:t xml:space="preserve"> to the delivery of hospital services. The preliminary staff view</w:t>
      </w:r>
      <w:r w:rsidR="00BA47D1" w:rsidRPr="00F15230">
        <w:t>,</w:t>
      </w:r>
      <w:r w:rsidRPr="00F15230">
        <w:t xml:space="preserve"> </w:t>
      </w:r>
      <w:r w:rsidR="00BA47D1" w:rsidRPr="00F15230">
        <w:t xml:space="preserve">based on analysis of the GFS unit record data, </w:t>
      </w:r>
      <w:r w:rsidRPr="00F15230">
        <w:t xml:space="preserve">is that most relate to the delivery of hospital services and as such should be included in </w:t>
      </w:r>
      <w:r w:rsidR="00E21CD0" w:rsidRPr="00F15230">
        <w:t xml:space="preserve">the admitted </w:t>
      </w:r>
      <w:proofErr w:type="gramStart"/>
      <w:r w:rsidR="00E21CD0" w:rsidRPr="00F15230">
        <w:t>patients</w:t>
      </w:r>
      <w:proofErr w:type="gramEnd"/>
      <w:r w:rsidR="00E21CD0" w:rsidRPr="00F15230">
        <w:t xml:space="preserve"> component </w:t>
      </w:r>
      <w:r w:rsidRPr="00F15230">
        <w:t xml:space="preserve">instead of </w:t>
      </w:r>
      <w:r w:rsidR="00D72233" w:rsidRPr="00F15230">
        <w:t xml:space="preserve">the </w:t>
      </w:r>
      <w:r w:rsidRPr="00F15230">
        <w:t xml:space="preserve">community health </w:t>
      </w:r>
      <w:r w:rsidR="00D72233" w:rsidRPr="00F15230">
        <w:t>component</w:t>
      </w:r>
      <w:r w:rsidRPr="00F15230">
        <w:t xml:space="preserve">. </w:t>
      </w:r>
    </w:p>
    <w:p w14:paraId="1E242DC8" w14:textId="33E7D271" w:rsidR="00F1437D" w:rsidRPr="00F15230" w:rsidRDefault="00F1437D" w:rsidP="000C08F3">
      <w:pPr>
        <w:pStyle w:val="Caption"/>
      </w:pPr>
      <w:bookmarkStart w:id="130" w:name="_Ref499557470"/>
      <w:r w:rsidRPr="00F15230">
        <w:lastRenderedPageBreak/>
        <w:t xml:space="preserve">Table </w:t>
      </w:r>
      <w:r w:rsidR="00CD3D12">
        <w:fldChar w:fldCharType="begin"/>
      </w:r>
      <w:r w:rsidR="00CD3D12">
        <w:instrText xml:space="preserve"> SEQ Table \* ARA</w:instrText>
      </w:r>
      <w:r w:rsidR="00CD3D12">
        <w:instrText xml:space="preserve">BIC </w:instrText>
      </w:r>
      <w:r w:rsidR="00CD3D12">
        <w:fldChar w:fldCharType="separate"/>
      </w:r>
      <w:r w:rsidR="005A6E12">
        <w:rPr>
          <w:noProof/>
        </w:rPr>
        <w:t>8</w:t>
      </w:r>
      <w:r w:rsidR="00CD3D12">
        <w:rPr>
          <w:noProof/>
        </w:rPr>
        <w:fldChar w:fldCharType="end"/>
      </w:r>
      <w:bookmarkEnd w:id="130"/>
      <w:r w:rsidRPr="00F15230">
        <w:tab/>
        <w:t xml:space="preserve">Community and other health expenses by purpose, </w:t>
      </w:r>
      <w:r w:rsidR="00C31456">
        <w:t>average expenses 2012</w:t>
      </w:r>
      <w:r w:rsidR="00C31456">
        <w:noBreakHyphen/>
        <w:t xml:space="preserve">13 to </w:t>
      </w:r>
      <w:r w:rsidRPr="00F15230">
        <w:t>2015</w:t>
      </w:r>
      <w:r w:rsidRPr="00F15230">
        <w:noBreakHyphen/>
        <w:t>16</w:t>
      </w:r>
    </w:p>
    <w:tbl>
      <w:tblPr>
        <w:tblW w:w="8940" w:type="dxa"/>
        <w:tblLayout w:type="fixed"/>
        <w:tblCellMar>
          <w:left w:w="0" w:type="dxa"/>
          <w:right w:w="0" w:type="dxa"/>
        </w:tblCellMar>
        <w:tblLook w:val="04A0" w:firstRow="1" w:lastRow="0" w:firstColumn="1" w:lastColumn="0" w:noHBand="0" w:noVBand="1"/>
      </w:tblPr>
      <w:tblGrid>
        <w:gridCol w:w="4120"/>
        <w:gridCol w:w="1920"/>
        <w:gridCol w:w="2900"/>
      </w:tblGrid>
      <w:tr w:rsidR="00C31456" w:rsidRPr="00C31456" w14:paraId="079D22E5" w14:textId="77777777" w:rsidTr="001A77E1">
        <w:trPr>
          <w:trHeight w:val="375"/>
        </w:trPr>
        <w:tc>
          <w:tcPr>
            <w:tcW w:w="4120" w:type="dxa"/>
            <w:tcBorders>
              <w:top w:val="single" w:sz="4" w:space="0" w:color="auto"/>
              <w:left w:val="nil"/>
              <w:bottom w:val="single" w:sz="4" w:space="0" w:color="auto"/>
              <w:right w:val="nil"/>
            </w:tcBorders>
            <w:shd w:val="clear" w:color="auto" w:fill="auto"/>
            <w:noWrap/>
            <w:vAlign w:val="center"/>
            <w:hideMark/>
          </w:tcPr>
          <w:p w14:paraId="1FD439D6" w14:textId="77777777" w:rsidR="00C31456" w:rsidRPr="00C31456" w:rsidRDefault="00C31456" w:rsidP="001A77E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131" w:name="RANGE!B16:D24"/>
            <w:r w:rsidRPr="00C31456">
              <w:rPr>
                <w:rFonts w:ascii="Calibri" w:eastAsia="Times New Roman" w:hAnsi="Calibri" w:cs="Times New Roman"/>
                <w:color w:val="000000"/>
                <w:sz w:val="20"/>
                <w:szCs w:val="20"/>
                <w:lang w:eastAsia="en-AU"/>
              </w:rPr>
              <w:t>Expense purpose</w:t>
            </w:r>
            <w:bookmarkEnd w:id="131"/>
          </w:p>
        </w:tc>
        <w:tc>
          <w:tcPr>
            <w:tcW w:w="1920" w:type="dxa"/>
            <w:tcBorders>
              <w:top w:val="single" w:sz="4" w:space="0" w:color="auto"/>
              <w:left w:val="nil"/>
              <w:bottom w:val="single" w:sz="4" w:space="0" w:color="auto"/>
              <w:right w:val="nil"/>
            </w:tcBorders>
            <w:shd w:val="clear" w:color="auto" w:fill="auto"/>
            <w:noWrap/>
            <w:vAlign w:val="center"/>
            <w:hideMark/>
          </w:tcPr>
          <w:p w14:paraId="2BBB9857"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GPC code (a)</w:t>
            </w:r>
          </w:p>
        </w:tc>
        <w:tc>
          <w:tcPr>
            <w:tcW w:w="2900" w:type="dxa"/>
            <w:tcBorders>
              <w:top w:val="single" w:sz="4" w:space="0" w:color="auto"/>
              <w:left w:val="nil"/>
              <w:bottom w:val="single" w:sz="4" w:space="0" w:color="auto"/>
              <w:right w:val="nil"/>
            </w:tcBorders>
            <w:shd w:val="clear" w:color="auto" w:fill="auto"/>
            <w:noWrap/>
            <w:vAlign w:val="center"/>
            <w:hideMark/>
          </w:tcPr>
          <w:p w14:paraId="56D01407"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Share of expenses</w:t>
            </w:r>
          </w:p>
        </w:tc>
      </w:tr>
      <w:tr w:rsidR="00C31456" w:rsidRPr="00C31456" w14:paraId="2A1D35CF" w14:textId="77777777" w:rsidTr="001A77E1">
        <w:trPr>
          <w:trHeight w:val="315"/>
        </w:trPr>
        <w:tc>
          <w:tcPr>
            <w:tcW w:w="4120" w:type="dxa"/>
            <w:tcBorders>
              <w:top w:val="nil"/>
              <w:left w:val="nil"/>
              <w:bottom w:val="nil"/>
              <w:right w:val="nil"/>
            </w:tcBorders>
            <w:shd w:val="clear" w:color="auto" w:fill="auto"/>
            <w:noWrap/>
            <w:vAlign w:val="bottom"/>
            <w:hideMark/>
          </w:tcPr>
          <w:p w14:paraId="32505035" w14:textId="77777777" w:rsidR="00C31456" w:rsidRPr="00C31456" w:rsidRDefault="00C31456" w:rsidP="001A77E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920" w:type="dxa"/>
            <w:tcBorders>
              <w:top w:val="nil"/>
              <w:left w:val="nil"/>
              <w:bottom w:val="nil"/>
              <w:right w:val="nil"/>
            </w:tcBorders>
            <w:shd w:val="clear" w:color="auto" w:fill="auto"/>
            <w:noWrap/>
            <w:vAlign w:val="bottom"/>
            <w:hideMark/>
          </w:tcPr>
          <w:p w14:paraId="4E21D0C1" w14:textId="77777777" w:rsidR="00C31456" w:rsidRPr="00C31456" w:rsidRDefault="00C31456" w:rsidP="001A77E1">
            <w:pPr>
              <w:keepNext/>
              <w:keepLines/>
              <w:tabs>
                <w:tab w:val="clear" w:pos="567"/>
              </w:tabs>
              <w:spacing w:after="0" w:line="240" w:lineRule="auto"/>
              <w:rPr>
                <w:rFonts w:ascii="Calibri" w:eastAsia="Times New Roman" w:hAnsi="Calibri" w:cs="Times New Roman"/>
                <w:color w:val="000000"/>
                <w:sz w:val="20"/>
                <w:szCs w:val="20"/>
                <w:lang w:eastAsia="en-AU"/>
              </w:rPr>
            </w:pPr>
          </w:p>
        </w:tc>
        <w:tc>
          <w:tcPr>
            <w:tcW w:w="2900" w:type="dxa"/>
            <w:tcBorders>
              <w:top w:val="nil"/>
              <w:left w:val="nil"/>
              <w:bottom w:val="nil"/>
              <w:right w:val="nil"/>
            </w:tcBorders>
            <w:shd w:val="clear" w:color="auto" w:fill="auto"/>
            <w:noWrap/>
            <w:vAlign w:val="bottom"/>
            <w:hideMark/>
          </w:tcPr>
          <w:p w14:paraId="02524B3E"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w:t>
            </w:r>
          </w:p>
        </w:tc>
      </w:tr>
      <w:tr w:rsidR="00C31456" w:rsidRPr="00C31456" w14:paraId="27DE54B6" w14:textId="77777777" w:rsidTr="001A77E1">
        <w:trPr>
          <w:trHeight w:val="315"/>
        </w:trPr>
        <w:tc>
          <w:tcPr>
            <w:tcW w:w="4120" w:type="dxa"/>
            <w:tcBorders>
              <w:top w:val="nil"/>
              <w:left w:val="nil"/>
              <w:bottom w:val="nil"/>
              <w:right w:val="nil"/>
            </w:tcBorders>
            <w:shd w:val="clear" w:color="auto" w:fill="auto"/>
            <w:noWrap/>
            <w:vAlign w:val="bottom"/>
            <w:hideMark/>
          </w:tcPr>
          <w:p w14:paraId="3DA60717" w14:textId="77777777" w:rsidR="00C31456" w:rsidRPr="00C31456" w:rsidRDefault="00C31456" w:rsidP="001A77E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Community mental health services</w:t>
            </w:r>
          </w:p>
        </w:tc>
        <w:tc>
          <w:tcPr>
            <w:tcW w:w="1920" w:type="dxa"/>
            <w:tcBorders>
              <w:top w:val="nil"/>
              <w:left w:val="nil"/>
              <w:bottom w:val="nil"/>
              <w:right w:val="nil"/>
            </w:tcBorders>
            <w:shd w:val="clear" w:color="auto" w:fill="auto"/>
            <w:noWrap/>
            <w:vAlign w:val="bottom"/>
            <w:hideMark/>
          </w:tcPr>
          <w:p w14:paraId="256AD360"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 xml:space="preserve">  541</w:t>
            </w:r>
          </w:p>
        </w:tc>
        <w:tc>
          <w:tcPr>
            <w:tcW w:w="2900" w:type="dxa"/>
            <w:tcBorders>
              <w:top w:val="nil"/>
              <w:left w:val="nil"/>
              <w:bottom w:val="nil"/>
              <w:right w:val="nil"/>
            </w:tcBorders>
            <w:shd w:val="clear" w:color="auto" w:fill="auto"/>
            <w:noWrap/>
            <w:vAlign w:val="bottom"/>
            <w:hideMark/>
          </w:tcPr>
          <w:p w14:paraId="0E3BD16F"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20.0</w:t>
            </w:r>
          </w:p>
        </w:tc>
      </w:tr>
      <w:tr w:rsidR="00C31456" w:rsidRPr="00C31456" w14:paraId="41F26440" w14:textId="77777777" w:rsidTr="001A77E1">
        <w:trPr>
          <w:trHeight w:val="315"/>
        </w:trPr>
        <w:tc>
          <w:tcPr>
            <w:tcW w:w="4120" w:type="dxa"/>
            <w:tcBorders>
              <w:top w:val="nil"/>
              <w:left w:val="nil"/>
              <w:bottom w:val="nil"/>
              <w:right w:val="nil"/>
            </w:tcBorders>
            <w:shd w:val="clear" w:color="auto" w:fill="auto"/>
            <w:noWrap/>
            <w:vAlign w:val="bottom"/>
            <w:hideMark/>
          </w:tcPr>
          <w:p w14:paraId="1764853D" w14:textId="77777777" w:rsidR="00C31456" w:rsidRPr="00C31456" w:rsidRDefault="00C31456" w:rsidP="001A77E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Other community health services</w:t>
            </w:r>
          </w:p>
        </w:tc>
        <w:tc>
          <w:tcPr>
            <w:tcW w:w="1920" w:type="dxa"/>
            <w:tcBorders>
              <w:top w:val="nil"/>
              <w:left w:val="nil"/>
              <w:bottom w:val="nil"/>
              <w:right w:val="nil"/>
            </w:tcBorders>
            <w:shd w:val="clear" w:color="auto" w:fill="auto"/>
            <w:noWrap/>
            <w:vAlign w:val="bottom"/>
            <w:hideMark/>
          </w:tcPr>
          <w:p w14:paraId="065834B4"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 xml:space="preserve">  549</w:t>
            </w:r>
          </w:p>
        </w:tc>
        <w:tc>
          <w:tcPr>
            <w:tcW w:w="2900" w:type="dxa"/>
            <w:tcBorders>
              <w:top w:val="nil"/>
              <w:left w:val="nil"/>
              <w:bottom w:val="nil"/>
              <w:right w:val="nil"/>
            </w:tcBorders>
            <w:shd w:val="clear" w:color="auto" w:fill="auto"/>
            <w:noWrap/>
            <w:vAlign w:val="bottom"/>
            <w:hideMark/>
          </w:tcPr>
          <w:p w14:paraId="00EA9212"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41.4</w:t>
            </w:r>
          </w:p>
        </w:tc>
      </w:tr>
      <w:tr w:rsidR="00C31456" w:rsidRPr="00C31456" w14:paraId="3C44924E" w14:textId="77777777" w:rsidTr="001A77E1">
        <w:trPr>
          <w:trHeight w:val="315"/>
        </w:trPr>
        <w:tc>
          <w:tcPr>
            <w:tcW w:w="4120" w:type="dxa"/>
            <w:tcBorders>
              <w:top w:val="nil"/>
              <w:left w:val="nil"/>
              <w:bottom w:val="nil"/>
              <w:right w:val="nil"/>
            </w:tcBorders>
            <w:shd w:val="clear" w:color="auto" w:fill="auto"/>
            <w:noWrap/>
            <w:vAlign w:val="bottom"/>
            <w:hideMark/>
          </w:tcPr>
          <w:p w14:paraId="0AFCCF6F" w14:textId="77777777" w:rsidR="00C31456" w:rsidRPr="00C31456" w:rsidRDefault="00C31456" w:rsidP="001A77E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Public health services</w:t>
            </w:r>
          </w:p>
        </w:tc>
        <w:tc>
          <w:tcPr>
            <w:tcW w:w="1920" w:type="dxa"/>
            <w:tcBorders>
              <w:top w:val="nil"/>
              <w:left w:val="nil"/>
              <w:bottom w:val="nil"/>
              <w:right w:val="nil"/>
            </w:tcBorders>
            <w:shd w:val="clear" w:color="auto" w:fill="auto"/>
            <w:noWrap/>
            <w:vAlign w:val="bottom"/>
            <w:hideMark/>
          </w:tcPr>
          <w:p w14:paraId="1FAE8EA6"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 xml:space="preserve">  55</w:t>
            </w:r>
          </w:p>
        </w:tc>
        <w:tc>
          <w:tcPr>
            <w:tcW w:w="2900" w:type="dxa"/>
            <w:tcBorders>
              <w:top w:val="nil"/>
              <w:left w:val="nil"/>
              <w:bottom w:val="nil"/>
              <w:right w:val="nil"/>
            </w:tcBorders>
            <w:shd w:val="clear" w:color="auto" w:fill="auto"/>
            <w:noWrap/>
            <w:vAlign w:val="bottom"/>
            <w:hideMark/>
          </w:tcPr>
          <w:p w14:paraId="06A32810"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13.2</w:t>
            </w:r>
          </w:p>
        </w:tc>
      </w:tr>
      <w:tr w:rsidR="00C31456" w:rsidRPr="00C31456" w14:paraId="01D88051" w14:textId="77777777" w:rsidTr="001A77E1">
        <w:trPr>
          <w:trHeight w:val="315"/>
        </w:trPr>
        <w:tc>
          <w:tcPr>
            <w:tcW w:w="4120" w:type="dxa"/>
            <w:tcBorders>
              <w:top w:val="nil"/>
              <w:left w:val="nil"/>
              <w:bottom w:val="nil"/>
              <w:right w:val="nil"/>
            </w:tcBorders>
            <w:shd w:val="clear" w:color="auto" w:fill="auto"/>
            <w:noWrap/>
            <w:vAlign w:val="bottom"/>
            <w:hideMark/>
          </w:tcPr>
          <w:p w14:paraId="2DAD7F6C" w14:textId="77777777" w:rsidR="00C31456" w:rsidRPr="00C31456" w:rsidRDefault="00C31456" w:rsidP="001A77E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Pharmaceuticals, medical aids and appliances</w:t>
            </w:r>
          </w:p>
        </w:tc>
        <w:tc>
          <w:tcPr>
            <w:tcW w:w="1920" w:type="dxa"/>
            <w:tcBorders>
              <w:top w:val="nil"/>
              <w:left w:val="nil"/>
              <w:bottom w:val="nil"/>
              <w:right w:val="nil"/>
            </w:tcBorders>
            <w:shd w:val="clear" w:color="auto" w:fill="auto"/>
            <w:noWrap/>
            <w:vAlign w:val="bottom"/>
            <w:hideMark/>
          </w:tcPr>
          <w:p w14:paraId="73FE17D7"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 xml:space="preserve">  56</w:t>
            </w:r>
          </w:p>
        </w:tc>
        <w:tc>
          <w:tcPr>
            <w:tcW w:w="2900" w:type="dxa"/>
            <w:tcBorders>
              <w:top w:val="nil"/>
              <w:left w:val="nil"/>
              <w:bottom w:val="nil"/>
              <w:right w:val="nil"/>
            </w:tcBorders>
            <w:shd w:val="clear" w:color="auto" w:fill="auto"/>
            <w:noWrap/>
            <w:vAlign w:val="bottom"/>
            <w:hideMark/>
          </w:tcPr>
          <w:p w14:paraId="75E5897D"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16.8</w:t>
            </w:r>
          </w:p>
        </w:tc>
      </w:tr>
      <w:tr w:rsidR="00C31456" w:rsidRPr="00C31456" w14:paraId="442FE4E6" w14:textId="77777777" w:rsidTr="001A77E1">
        <w:trPr>
          <w:trHeight w:val="315"/>
        </w:trPr>
        <w:tc>
          <w:tcPr>
            <w:tcW w:w="4120" w:type="dxa"/>
            <w:tcBorders>
              <w:top w:val="nil"/>
              <w:left w:val="nil"/>
              <w:bottom w:val="nil"/>
              <w:right w:val="nil"/>
            </w:tcBorders>
            <w:shd w:val="clear" w:color="auto" w:fill="auto"/>
            <w:noWrap/>
            <w:vAlign w:val="bottom"/>
            <w:hideMark/>
          </w:tcPr>
          <w:p w14:paraId="69BF594C" w14:textId="77777777" w:rsidR="00C31456" w:rsidRPr="00C31456" w:rsidRDefault="00C31456" w:rsidP="001A77E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Health research</w:t>
            </w:r>
          </w:p>
        </w:tc>
        <w:tc>
          <w:tcPr>
            <w:tcW w:w="1920" w:type="dxa"/>
            <w:tcBorders>
              <w:top w:val="nil"/>
              <w:left w:val="nil"/>
              <w:bottom w:val="nil"/>
              <w:right w:val="nil"/>
            </w:tcBorders>
            <w:shd w:val="clear" w:color="auto" w:fill="auto"/>
            <w:noWrap/>
            <w:vAlign w:val="bottom"/>
            <w:hideMark/>
          </w:tcPr>
          <w:p w14:paraId="6CD1A974"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 xml:space="preserve">  57</w:t>
            </w:r>
          </w:p>
        </w:tc>
        <w:tc>
          <w:tcPr>
            <w:tcW w:w="2900" w:type="dxa"/>
            <w:tcBorders>
              <w:top w:val="nil"/>
              <w:left w:val="nil"/>
              <w:bottom w:val="nil"/>
              <w:right w:val="nil"/>
            </w:tcBorders>
            <w:shd w:val="clear" w:color="auto" w:fill="auto"/>
            <w:noWrap/>
            <w:vAlign w:val="bottom"/>
            <w:hideMark/>
          </w:tcPr>
          <w:p w14:paraId="425EA6C0"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3.0</w:t>
            </w:r>
          </w:p>
        </w:tc>
      </w:tr>
      <w:tr w:rsidR="00C31456" w:rsidRPr="00C31456" w14:paraId="398E510B" w14:textId="77777777" w:rsidTr="001A77E1">
        <w:trPr>
          <w:trHeight w:val="315"/>
        </w:trPr>
        <w:tc>
          <w:tcPr>
            <w:tcW w:w="4120" w:type="dxa"/>
            <w:tcBorders>
              <w:top w:val="nil"/>
              <w:left w:val="nil"/>
              <w:bottom w:val="nil"/>
              <w:right w:val="nil"/>
            </w:tcBorders>
            <w:shd w:val="clear" w:color="auto" w:fill="auto"/>
            <w:noWrap/>
            <w:vAlign w:val="bottom"/>
            <w:hideMark/>
          </w:tcPr>
          <w:p w14:paraId="7C6D1A87" w14:textId="77777777" w:rsidR="00C31456" w:rsidRPr="00C31456" w:rsidRDefault="00C31456" w:rsidP="001A77E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 xml:space="preserve">Health administration </w:t>
            </w:r>
            <w:proofErr w:type="spellStart"/>
            <w:r w:rsidRPr="00C31456">
              <w:rPr>
                <w:rFonts w:ascii="Calibri" w:eastAsia="Times New Roman" w:hAnsi="Calibri" w:cs="Times New Roman"/>
                <w:color w:val="000000"/>
                <w:sz w:val="20"/>
                <w:szCs w:val="20"/>
                <w:lang w:eastAsia="en-AU"/>
              </w:rPr>
              <w:t>n.e.c</w:t>
            </w:r>
            <w:proofErr w:type="spellEnd"/>
            <w:r w:rsidRPr="00C31456">
              <w:rPr>
                <w:rFonts w:ascii="Calibri" w:eastAsia="Times New Roman" w:hAnsi="Calibri" w:cs="Times New Roman"/>
                <w:color w:val="000000"/>
                <w:sz w:val="20"/>
                <w:szCs w:val="20"/>
                <w:lang w:eastAsia="en-AU"/>
              </w:rPr>
              <w:t>.</w:t>
            </w:r>
          </w:p>
        </w:tc>
        <w:tc>
          <w:tcPr>
            <w:tcW w:w="1920" w:type="dxa"/>
            <w:tcBorders>
              <w:top w:val="nil"/>
              <w:left w:val="nil"/>
              <w:bottom w:val="nil"/>
              <w:right w:val="nil"/>
            </w:tcBorders>
            <w:shd w:val="clear" w:color="auto" w:fill="auto"/>
            <w:noWrap/>
            <w:vAlign w:val="bottom"/>
            <w:hideMark/>
          </w:tcPr>
          <w:p w14:paraId="009F981F"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 xml:space="preserve">  59</w:t>
            </w:r>
          </w:p>
        </w:tc>
        <w:tc>
          <w:tcPr>
            <w:tcW w:w="2900" w:type="dxa"/>
            <w:tcBorders>
              <w:top w:val="nil"/>
              <w:left w:val="nil"/>
              <w:bottom w:val="nil"/>
              <w:right w:val="nil"/>
            </w:tcBorders>
            <w:shd w:val="clear" w:color="auto" w:fill="auto"/>
            <w:noWrap/>
            <w:vAlign w:val="bottom"/>
            <w:hideMark/>
          </w:tcPr>
          <w:p w14:paraId="059B801B"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5.7</w:t>
            </w:r>
          </w:p>
        </w:tc>
      </w:tr>
      <w:tr w:rsidR="00C31456" w:rsidRPr="00C31456" w14:paraId="52D906D1" w14:textId="77777777" w:rsidTr="001A77E1">
        <w:trPr>
          <w:trHeight w:val="315"/>
        </w:trPr>
        <w:tc>
          <w:tcPr>
            <w:tcW w:w="4120" w:type="dxa"/>
            <w:tcBorders>
              <w:top w:val="nil"/>
              <w:left w:val="nil"/>
              <w:bottom w:val="single" w:sz="4" w:space="0" w:color="auto"/>
              <w:right w:val="nil"/>
            </w:tcBorders>
            <w:shd w:val="clear" w:color="auto" w:fill="auto"/>
            <w:noWrap/>
            <w:vAlign w:val="bottom"/>
            <w:hideMark/>
          </w:tcPr>
          <w:p w14:paraId="23C7F20B" w14:textId="77777777" w:rsidR="00C31456" w:rsidRPr="00C31456" w:rsidRDefault="00C31456" w:rsidP="001A77E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Total</w:t>
            </w:r>
          </w:p>
        </w:tc>
        <w:tc>
          <w:tcPr>
            <w:tcW w:w="1920" w:type="dxa"/>
            <w:tcBorders>
              <w:top w:val="single" w:sz="4" w:space="0" w:color="auto"/>
              <w:left w:val="nil"/>
              <w:bottom w:val="single" w:sz="4" w:space="0" w:color="auto"/>
              <w:right w:val="nil"/>
            </w:tcBorders>
            <w:shd w:val="clear" w:color="auto" w:fill="auto"/>
            <w:noWrap/>
            <w:vAlign w:val="bottom"/>
            <w:hideMark/>
          </w:tcPr>
          <w:p w14:paraId="489D6677"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na</w:t>
            </w:r>
          </w:p>
        </w:tc>
        <w:tc>
          <w:tcPr>
            <w:tcW w:w="2900" w:type="dxa"/>
            <w:tcBorders>
              <w:top w:val="single" w:sz="4" w:space="0" w:color="auto"/>
              <w:left w:val="nil"/>
              <w:bottom w:val="single" w:sz="4" w:space="0" w:color="auto"/>
              <w:right w:val="nil"/>
            </w:tcBorders>
            <w:shd w:val="clear" w:color="auto" w:fill="auto"/>
            <w:noWrap/>
            <w:vAlign w:val="bottom"/>
            <w:hideMark/>
          </w:tcPr>
          <w:p w14:paraId="5970AE3C" w14:textId="77777777" w:rsidR="00C31456" w:rsidRPr="00C31456" w:rsidRDefault="00C31456" w:rsidP="001A77E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C31456">
              <w:rPr>
                <w:rFonts w:ascii="Calibri" w:eastAsia="Times New Roman" w:hAnsi="Calibri" w:cs="Times New Roman"/>
                <w:color w:val="000000"/>
                <w:sz w:val="20"/>
                <w:szCs w:val="20"/>
                <w:lang w:eastAsia="en-AU"/>
              </w:rPr>
              <w:t>100.0</w:t>
            </w:r>
          </w:p>
        </w:tc>
      </w:tr>
    </w:tbl>
    <w:p w14:paraId="71A9BE22" w14:textId="77777777" w:rsidR="00F1437D" w:rsidRPr="00F15230" w:rsidRDefault="00F1437D" w:rsidP="000C08F3">
      <w:pPr>
        <w:pStyle w:val="CGCTableFootnote"/>
        <w:keepNext/>
      </w:pPr>
      <w:r w:rsidRPr="00F15230">
        <w:t>(a)</w:t>
      </w:r>
      <w:r w:rsidRPr="00F15230">
        <w:tab/>
        <w:t>Government Purpose Classification</w:t>
      </w:r>
      <w:r w:rsidR="00CD5DE3" w:rsidRPr="00F15230">
        <w:t>.</w:t>
      </w:r>
    </w:p>
    <w:p w14:paraId="417D4867" w14:textId="52483178" w:rsidR="00AD03E0" w:rsidRPr="00F15230" w:rsidRDefault="00F1437D" w:rsidP="00AD03E0">
      <w:pPr>
        <w:pStyle w:val="CGCTableFootnote"/>
        <w:keepNext/>
      </w:pPr>
      <w:r w:rsidRPr="00F15230">
        <w:t>Source:</w:t>
      </w:r>
      <w:r w:rsidRPr="00F15230">
        <w:tab/>
      </w:r>
      <w:r w:rsidR="00A06001" w:rsidRPr="00F15230">
        <w:t xml:space="preserve">State GFS unit record data. </w:t>
      </w:r>
    </w:p>
    <w:p w14:paraId="4970BA5F" w14:textId="77777777" w:rsidR="00AD03E0" w:rsidRPr="00F15230" w:rsidRDefault="00AD03E0" w:rsidP="00AD03E0">
      <w:pPr>
        <w:pStyle w:val="NoSpacing"/>
      </w:pPr>
    </w:p>
    <w:tbl>
      <w:tblPr>
        <w:tblW w:w="0" w:type="auto"/>
        <w:tblInd w:w="108" w:type="dxa"/>
        <w:shd w:val="clear" w:color="auto" w:fill="D9F3E6"/>
        <w:tblLook w:val="04A0" w:firstRow="1" w:lastRow="0" w:firstColumn="1" w:lastColumn="0" w:noHBand="0" w:noVBand="1"/>
      </w:tblPr>
      <w:tblGrid>
        <w:gridCol w:w="8931"/>
      </w:tblGrid>
      <w:tr w:rsidR="00BA47D1" w:rsidRPr="00F15230" w14:paraId="04BA0ED4" w14:textId="77777777" w:rsidTr="00C75E7A">
        <w:tc>
          <w:tcPr>
            <w:tcW w:w="8931" w:type="dxa"/>
            <w:shd w:val="clear" w:color="auto" w:fill="D9F3E6"/>
          </w:tcPr>
          <w:p w14:paraId="5F018D21" w14:textId="77777777" w:rsidR="00BA47D1" w:rsidRPr="00F15230" w:rsidRDefault="00BA47D1" w:rsidP="00C75E7A">
            <w:bookmarkStart w:id="132" w:name="_Toc499818750"/>
            <w:bookmarkStart w:id="133" w:name="_Toc499818840"/>
            <w:r w:rsidRPr="00F15230">
              <w:t>Staff propose to recommend the Commission:</w:t>
            </w:r>
          </w:p>
          <w:p w14:paraId="5990026E" w14:textId="405400DE" w:rsidR="00BA47D1" w:rsidRPr="00F15230" w:rsidRDefault="00BA47D1" w:rsidP="00C75E7A">
            <w:pPr>
              <w:pStyle w:val="CGCBulletlist"/>
              <w:numPr>
                <w:ilvl w:val="0"/>
                <w:numId w:val="1"/>
              </w:numPr>
              <w:tabs>
                <w:tab w:val="clear" w:pos="927"/>
                <w:tab w:val="clear" w:pos="1134"/>
              </w:tabs>
              <w:ind w:left="1134" w:hanging="567"/>
            </w:pPr>
            <w:proofErr w:type="gramStart"/>
            <w:r w:rsidRPr="00F15230">
              <w:t>consider</w:t>
            </w:r>
            <w:proofErr w:type="gramEnd"/>
            <w:r w:rsidRPr="00F15230">
              <w:t xml:space="preserve"> whether expenses for pharmaceuticals, medical aids and appliances and health administration not elsewhere classified (</w:t>
            </w:r>
            <w:proofErr w:type="spellStart"/>
            <w:r w:rsidRPr="00F15230">
              <w:t>n.e.c</w:t>
            </w:r>
            <w:proofErr w:type="spellEnd"/>
            <w:r w:rsidRPr="00F15230">
              <w:t>.) should be included in the community and other health component or admitted patients.</w:t>
            </w:r>
          </w:p>
        </w:tc>
      </w:tr>
    </w:tbl>
    <w:p w14:paraId="658E6F29" w14:textId="15DCD81D" w:rsidR="00C41B33" w:rsidRPr="00F15230" w:rsidRDefault="00B01BA3" w:rsidP="003F722A">
      <w:pPr>
        <w:pStyle w:val="Heading4"/>
        <w:rPr>
          <w:rStyle w:val="Heading6Char"/>
          <w:b/>
          <w:i w:val="0"/>
          <w:iCs/>
          <w:sz w:val="32"/>
        </w:rPr>
      </w:pPr>
      <w:bookmarkStart w:id="134" w:name="_Toc508800490"/>
      <w:bookmarkStart w:id="135" w:name="_Toc509231098"/>
      <w:bookmarkStart w:id="136" w:name="_Toc511054123"/>
      <w:bookmarkStart w:id="137" w:name="_Toc511127565"/>
      <w:bookmarkStart w:id="138" w:name="_Toc511977543"/>
      <w:bookmarkStart w:id="139" w:name="_Toc499818751"/>
      <w:bookmarkStart w:id="140" w:name="_Toc499818841"/>
      <w:bookmarkEnd w:id="132"/>
      <w:bookmarkEnd w:id="133"/>
      <w:r w:rsidRPr="00F15230">
        <w:rPr>
          <w:rStyle w:val="Heading6Char"/>
          <w:b/>
          <w:i w:val="0"/>
          <w:iCs/>
          <w:sz w:val="32"/>
        </w:rPr>
        <w:t>C</w:t>
      </w:r>
      <w:r w:rsidR="00C41B33" w:rsidRPr="00F15230">
        <w:rPr>
          <w:rStyle w:val="Heading6Char"/>
          <w:b/>
          <w:i w:val="0"/>
          <w:iCs/>
          <w:sz w:val="32"/>
        </w:rPr>
        <w:t>omponent expenses</w:t>
      </w:r>
      <w:bookmarkEnd w:id="134"/>
      <w:bookmarkEnd w:id="135"/>
      <w:bookmarkEnd w:id="136"/>
      <w:bookmarkEnd w:id="137"/>
      <w:bookmarkEnd w:id="138"/>
      <w:r w:rsidR="00C41B33" w:rsidRPr="00F15230">
        <w:rPr>
          <w:rStyle w:val="Heading6Char"/>
          <w:b/>
          <w:i w:val="0"/>
          <w:iCs/>
          <w:sz w:val="32"/>
        </w:rPr>
        <w:t xml:space="preserve"> </w:t>
      </w:r>
    </w:p>
    <w:p w14:paraId="244B564E" w14:textId="0AECB535" w:rsidR="00C41B33" w:rsidRPr="00F15230" w:rsidRDefault="00C41B33" w:rsidP="003F722A">
      <w:pPr>
        <w:pStyle w:val="CGCNumberedPara"/>
        <w:numPr>
          <w:ilvl w:val="1"/>
          <w:numId w:val="3"/>
        </w:numPr>
      </w:pPr>
      <w:bookmarkStart w:id="141" w:name="_Ref508960793"/>
      <w:r w:rsidRPr="00F15230">
        <w:t xml:space="preserve">GFS </w:t>
      </w:r>
      <w:r w:rsidR="00794A89" w:rsidRPr="00F15230">
        <w:t>provides</w:t>
      </w:r>
      <w:r w:rsidRPr="00F15230">
        <w:t xml:space="preserve"> total non</w:t>
      </w:r>
      <w:r w:rsidRPr="00F15230">
        <w:noBreakHyphen/>
        <w:t>admitted patients expense</w:t>
      </w:r>
      <w:r w:rsidR="00794A89" w:rsidRPr="00F15230">
        <w:t>s</w:t>
      </w:r>
      <w:r w:rsidRPr="00F15230">
        <w:t xml:space="preserve"> but they are not disaggregated into ED and other </w:t>
      </w:r>
      <w:r w:rsidR="00450481" w:rsidRPr="00F15230">
        <w:t>NAP services</w:t>
      </w:r>
      <w:r w:rsidRPr="00F15230">
        <w:t xml:space="preserve">. At the time of the 2015 Review, no data were available to reliably split ED and NAP services, so the Commission decided to split these expenses </w:t>
      </w:r>
      <w:proofErr w:type="gramStart"/>
      <w:r w:rsidRPr="00F15230">
        <w:t>on a 50:50 basis</w:t>
      </w:r>
      <w:proofErr w:type="gramEnd"/>
      <w:r w:rsidRPr="00F15230">
        <w:t>.</w:t>
      </w:r>
      <w:bookmarkEnd w:id="141"/>
      <w:r w:rsidRPr="00F15230">
        <w:t xml:space="preserve"> </w:t>
      </w:r>
    </w:p>
    <w:p w14:paraId="7790D91F" w14:textId="7E0F4139" w:rsidR="007569A4" w:rsidRPr="00F15230" w:rsidRDefault="00E76A6E">
      <w:pPr>
        <w:pStyle w:val="CGCNumberedPara"/>
        <w:numPr>
          <w:ilvl w:val="1"/>
          <w:numId w:val="3"/>
        </w:numPr>
      </w:pPr>
      <w:r w:rsidRPr="00F15230">
        <w:t>New data are now available</w:t>
      </w:r>
      <w:r w:rsidR="00C41B33" w:rsidRPr="00F15230">
        <w:t xml:space="preserve"> which </w:t>
      </w:r>
      <w:r w:rsidR="00794A89" w:rsidRPr="00F15230">
        <w:t xml:space="preserve">may </w:t>
      </w:r>
      <w:r w:rsidR="0064762F" w:rsidRPr="00F15230">
        <w:t>allow</w:t>
      </w:r>
      <w:r w:rsidR="002A1A9F" w:rsidRPr="00F15230">
        <w:t xml:space="preserve"> the Commission </w:t>
      </w:r>
      <w:r w:rsidR="00C41B33" w:rsidRPr="00F15230">
        <w:t xml:space="preserve">to better estimate </w:t>
      </w:r>
      <w:r w:rsidR="00794A89" w:rsidRPr="00F15230">
        <w:t>ED and NAP</w:t>
      </w:r>
      <w:r w:rsidR="00C41B33" w:rsidRPr="00F15230">
        <w:t xml:space="preserve"> expenses. One option would be to use total non</w:t>
      </w:r>
      <w:r w:rsidR="00C41B33" w:rsidRPr="00F15230">
        <w:noBreakHyphen/>
        <w:t xml:space="preserve">admitted patient </w:t>
      </w:r>
      <w:r w:rsidR="002A1A9F" w:rsidRPr="00F15230">
        <w:t xml:space="preserve">expenses from GFS </w:t>
      </w:r>
      <w:r w:rsidR="00C41B33" w:rsidRPr="00F15230">
        <w:t xml:space="preserve">and </w:t>
      </w:r>
      <w:r w:rsidR="002A1A9F" w:rsidRPr="00F15230">
        <w:t xml:space="preserve">deduct </w:t>
      </w:r>
      <w:r w:rsidR="00C41B33" w:rsidRPr="00F15230">
        <w:t>ED expen</w:t>
      </w:r>
      <w:r w:rsidR="007569A4" w:rsidRPr="00F15230">
        <w:t>ses</w:t>
      </w:r>
      <w:r w:rsidR="001A77E1">
        <w:t xml:space="preserve"> </w:t>
      </w:r>
      <w:r w:rsidR="00C41B33" w:rsidRPr="00F15230">
        <w:t xml:space="preserve">from </w:t>
      </w:r>
      <w:r w:rsidR="001A77E1">
        <w:t xml:space="preserve">the </w:t>
      </w:r>
      <w:proofErr w:type="spellStart"/>
      <w:r w:rsidR="00C41B33" w:rsidRPr="00F15230">
        <w:t>NHCDC</w:t>
      </w:r>
      <w:proofErr w:type="spellEnd"/>
      <w:r w:rsidR="00C41B33" w:rsidRPr="00F15230">
        <w:t xml:space="preserve"> or </w:t>
      </w:r>
      <w:proofErr w:type="spellStart"/>
      <w:r w:rsidR="00C41B33" w:rsidRPr="00F15230">
        <w:t>AIHW’s</w:t>
      </w:r>
      <w:proofErr w:type="spellEnd"/>
      <w:r w:rsidR="00C41B33" w:rsidRPr="00F15230">
        <w:t xml:space="preserve"> Australian </w:t>
      </w:r>
      <w:r w:rsidR="001A77E1">
        <w:t>Health Expenditure publication</w:t>
      </w:r>
      <w:r w:rsidR="00C41B33" w:rsidRPr="00F15230">
        <w:t xml:space="preserve"> to calculate NAP expense</w:t>
      </w:r>
      <w:r w:rsidR="001A77E1">
        <w:t>s</w:t>
      </w:r>
      <w:r w:rsidR="00C41B33" w:rsidRPr="00F15230">
        <w:t xml:space="preserve"> as a residual. Alternatively, given that the NAP NWAU data are likely to be reliable enough by the time of the 2020</w:t>
      </w:r>
      <w:r w:rsidR="00EF1C9A">
        <w:t> </w:t>
      </w:r>
      <w:r w:rsidR="00C41B33" w:rsidRPr="00F15230">
        <w:t>Review, NWAU</w:t>
      </w:r>
      <w:r w:rsidR="001A77E1">
        <w:t xml:space="preserve"> shares </w:t>
      </w:r>
      <w:r w:rsidR="00C41B33" w:rsidRPr="00F15230">
        <w:t xml:space="preserve">for ED and NAP </w:t>
      </w:r>
      <w:r w:rsidR="00794A89" w:rsidRPr="00F15230">
        <w:t xml:space="preserve">could </w:t>
      </w:r>
      <w:r w:rsidR="00C41B33" w:rsidRPr="00F15230">
        <w:t xml:space="preserve">be used to </w:t>
      </w:r>
      <w:r w:rsidR="001A77E1">
        <w:t>split ED and NAP expenses</w:t>
      </w:r>
      <w:r w:rsidR="00C41B33" w:rsidRPr="00F15230">
        <w:t xml:space="preserve">. </w:t>
      </w:r>
    </w:p>
    <w:p w14:paraId="5E5AC0D0" w14:textId="0E2A9385" w:rsidR="00C41B33" w:rsidRPr="00F15230" w:rsidRDefault="00794A89">
      <w:pPr>
        <w:pStyle w:val="CGCNumberedPara"/>
        <w:numPr>
          <w:ilvl w:val="1"/>
          <w:numId w:val="3"/>
        </w:numPr>
      </w:pPr>
      <w:r w:rsidRPr="00F15230">
        <w:t xml:space="preserve">Using either approach it is likely that the Commission will be able to obtain </w:t>
      </w:r>
      <w:r w:rsidR="00FC27A1">
        <w:t xml:space="preserve">reliable </w:t>
      </w:r>
      <w:r w:rsidRPr="00F15230">
        <w:t>annual estimates of ED and NAP expenses.</w:t>
      </w:r>
    </w:p>
    <w:p w14:paraId="04AAACB3" w14:textId="77777777" w:rsidR="00AD03E0" w:rsidRPr="00F15230" w:rsidRDefault="00AD03E0" w:rsidP="00AD03E0">
      <w:pPr>
        <w:pStyle w:val="CGCNumberedPara"/>
        <w:numPr>
          <w:ilvl w:val="0"/>
          <w:numId w:val="0"/>
        </w:numPr>
      </w:pPr>
    </w:p>
    <w:tbl>
      <w:tblPr>
        <w:tblStyle w:val="TableGrid"/>
        <w:tblW w:w="0" w:type="auto"/>
        <w:tblLook w:val="04A0" w:firstRow="1" w:lastRow="0" w:firstColumn="1" w:lastColumn="0" w:noHBand="0" w:noVBand="1"/>
      </w:tblPr>
      <w:tblGrid>
        <w:gridCol w:w="9167"/>
      </w:tblGrid>
      <w:tr w:rsidR="00C41B33" w:rsidRPr="00F15230" w14:paraId="2DCF7521" w14:textId="77777777" w:rsidTr="00BB1AEE">
        <w:tc>
          <w:tcPr>
            <w:tcW w:w="9167" w:type="dxa"/>
            <w:tcBorders>
              <w:top w:val="nil"/>
              <w:left w:val="nil"/>
              <w:bottom w:val="nil"/>
              <w:right w:val="nil"/>
            </w:tcBorders>
            <w:shd w:val="clear" w:color="auto" w:fill="D9F3E6"/>
          </w:tcPr>
          <w:p w14:paraId="5AA3D0CA" w14:textId="77777777" w:rsidR="00C41B33" w:rsidRPr="00F15230" w:rsidRDefault="00C41B33" w:rsidP="003F722A">
            <w:pPr>
              <w:pStyle w:val="CGCNumberedPara"/>
              <w:numPr>
                <w:ilvl w:val="0"/>
                <w:numId w:val="0"/>
              </w:numPr>
            </w:pPr>
            <w:r w:rsidRPr="00F15230">
              <w:t>Staff propose to recommend the Commission:</w:t>
            </w:r>
          </w:p>
          <w:p w14:paraId="598DBE6E" w14:textId="5C004A26" w:rsidR="00C41B33" w:rsidRPr="00F15230" w:rsidRDefault="00794A89" w:rsidP="003F722A">
            <w:pPr>
              <w:pStyle w:val="CGCBulletlist"/>
              <w:numPr>
                <w:ilvl w:val="0"/>
                <w:numId w:val="1"/>
              </w:numPr>
              <w:tabs>
                <w:tab w:val="clear" w:pos="927"/>
              </w:tabs>
              <w:ind w:left="1134" w:hanging="567"/>
            </w:pPr>
            <w:proofErr w:type="gramStart"/>
            <w:r w:rsidRPr="00F15230">
              <w:t>consider</w:t>
            </w:r>
            <w:proofErr w:type="gramEnd"/>
            <w:r w:rsidRPr="00F15230">
              <w:t xml:space="preserve"> options for deriving annual estimates of ED and NAP expenses</w:t>
            </w:r>
            <w:r w:rsidR="00C41B33" w:rsidRPr="00F15230">
              <w:t>.</w:t>
            </w:r>
          </w:p>
        </w:tc>
      </w:tr>
    </w:tbl>
    <w:p w14:paraId="2F228A61" w14:textId="77777777" w:rsidR="001A77E1" w:rsidRDefault="001A77E1">
      <w:pPr>
        <w:tabs>
          <w:tab w:val="clear" w:pos="567"/>
        </w:tabs>
        <w:spacing w:after="200" w:line="276" w:lineRule="auto"/>
        <w:rPr>
          <w:rStyle w:val="Heading6Char"/>
          <w:bCs/>
          <w:i w:val="0"/>
          <w:sz w:val="32"/>
        </w:rPr>
      </w:pPr>
      <w:bookmarkStart w:id="142" w:name="_Toc508800489"/>
      <w:bookmarkStart w:id="143" w:name="_Toc509231099"/>
      <w:bookmarkStart w:id="144" w:name="_Toc511054124"/>
      <w:bookmarkStart w:id="145" w:name="_Toc508800491"/>
      <w:r>
        <w:rPr>
          <w:rStyle w:val="Heading6Char"/>
          <w:b w:val="0"/>
          <w:i w:val="0"/>
          <w:iCs w:val="0"/>
          <w:sz w:val="32"/>
        </w:rPr>
        <w:br w:type="page"/>
      </w:r>
    </w:p>
    <w:p w14:paraId="75B571DD" w14:textId="4701E7B3" w:rsidR="007F686A" w:rsidRPr="00F15230" w:rsidRDefault="007F686A" w:rsidP="007F686A">
      <w:pPr>
        <w:pStyle w:val="Heading4"/>
        <w:rPr>
          <w:rStyle w:val="Heading6Char"/>
          <w:b/>
          <w:i w:val="0"/>
          <w:iCs/>
          <w:sz w:val="32"/>
        </w:rPr>
      </w:pPr>
      <w:bookmarkStart w:id="146" w:name="_Toc511127566"/>
      <w:bookmarkStart w:id="147" w:name="_Toc511977544"/>
      <w:r w:rsidRPr="00F15230">
        <w:rPr>
          <w:rStyle w:val="Heading6Char"/>
          <w:b/>
          <w:i w:val="0"/>
          <w:iCs/>
          <w:sz w:val="32"/>
        </w:rPr>
        <w:lastRenderedPageBreak/>
        <w:t>User charges</w:t>
      </w:r>
      <w:bookmarkEnd w:id="142"/>
      <w:bookmarkEnd w:id="143"/>
      <w:bookmarkEnd w:id="144"/>
      <w:bookmarkEnd w:id="146"/>
      <w:bookmarkEnd w:id="147"/>
    </w:p>
    <w:p w14:paraId="4CDE10F6" w14:textId="0E5C65EC" w:rsidR="007F686A" w:rsidRPr="00F15230" w:rsidRDefault="007F686A" w:rsidP="007F686A">
      <w:pPr>
        <w:pStyle w:val="CGCNumberedPara"/>
        <w:numPr>
          <w:ilvl w:val="1"/>
          <w:numId w:val="3"/>
        </w:numPr>
      </w:pPr>
      <w:r w:rsidRPr="00F15230">
        <w:t xml:space="preserve">In the health assessment all user charges are offset against expenses. Ninety percent of user charges relate to admitted patient services with the balance attributable to community and other health. If the Commission decides to retain a direct assessment approach for all components of the assessment, </w:t>
      </w:r>
      <w:proofErr w:type="gramStart"/>
      <w:r w:rsidRPr="00F15230">
        <w:t>staff intend</w:t>
      </w:r>
      <w:proofErr w:type="gramEnd"/>
      <w:r w:rsidRPr="00F15230">
        <w:t xml:space="preserve"> to recommend that the Commission continue to offset all user charges.</w:t>
      </w:r>
    </w:p>
    <w:p w14:paraId="7E3D99EF" w14:textId="2BEF5D88" w:rsidR="007F686A" w:rsidRPr="00F15230" w:rsidRDefault="007F686A" w:rsidP="007F686A">
      <w:pPr>
        <w:pStyle w:val="CGCNumberedPara"/>
        <w:numPr>
          <w:ilvl w:val="1"/>
          <w:numId w:val="3"/>
        </w:numPr>
      </w:pPr>
      <w:r w:rsidRPr="00F15230">
        <w:rPr>
          <w:rStyle w:val="Heading6Char"/>
        </w:rPr>
        <w:t>Hospital services.</w:t>
      </w:r>
      <w:r w:rsidRPr="00F15230">
        <w:t xml:space="preserve"> State Governments and the Commonwealth provide most of the funding for public hospitals in Australia through Australian Health Care Agreements. Other sources of funding for public hospitals include the Department of Veterans’ Affairs, Department of Defence, worker’s compensation, motor vehicle third party claims and other compensation (for example, public liability)</w:t>
      </w:r>
      <w:r w:rsidR="00FC27A1">
        <w:t>,</w:t>
      </w:r>
      <w:r w:rsidRPr="00F15230">
        <w:t xml:space="preserve"> health insurance funds (HIFs) and individuals. These other sources of funding reduce State expenses and are often categorised as follows:</w:t>
      </w:r>
    </w:p>
    <w:p w14:paraId="1C476D99" w14:textId="77777777" w:rsidR="007F686A" w:rsidRPr="00F15230" w:rsidRDefault="007F686A" w:rsidP="007F686A">
      <w:pPr>
        <w:pStyle w:val="CGCBulletlist"/>
        <w:numPr>
          <w:ilvl w:val="0"/>
          <w:numId w:val="1"/>
        </w:numPr>
        <w:tabs>
          <w:tab w:val="clear" w:pos="927"/>
        </w:tabs>
        <w:ind w:left="1134" w:hanging="567"/>
      </w:pPr>
      <w:r w:rsidRPr="00F15230">
        <w:t>revenue related to fully compensable expenditure, which refers to funding which is sourced from the Department of Veterans’ Affairs, Department of Defence, worker’s compensation, motor vehicle third party claims and other compensation</w:t>
      </w:r>
    </w:p>
    <w:p w14:paraId="7B443F26" w14:textId="7EFC7120" w:rsidR="007F686A" w:rsidRPr="00F15230" w:rsidRDefault="007F686A" w:rsidP="007F686A">
      <w:pPr>
        <w:pStyle w:val="CGCBulletlist"/>
        <w:numPr>
          <w:ilvl w:val="0"/>
          <w:numId w:val="1"/>
        </w:numPr>
        <w:tabs>
          <w:tab w:val="clear" w:pos="927"/>
        </w:tabs>
        <w:ind w:left="1134" w:hanging="567"/>
      </w:pPr>
      <w:proofErr w:type="gramStart"/>
      <w:r w:rsidRPr="00F15230">
        <w:t>revenue</w:t>
      </w:r>
      <w:proofErr w:type="gramEnd"/>
      <w:r w:rsidRPr="00F15230">
        <w:t xml:space="preserve"> related to partially compensable expenditure, which refers to funding which is sourced from HIFs and individuals.</w:t>
      </w:r>
    </w:p>
    <w:p w14:paraId="04379A55" w14:textId="394F97C7" w:rsidR="007F686A" w:rsidRPr="00F15230" w:rsidRDefault="007F686A" w:rsidP="007F686A">
      <w:pPr>
        <w:pStyle w:val="CGCNumberedPara"/>
        <w:numPr>
          <w:ilvl w:val="1"/>
          <w:numId w:val="3"/>
        </w:numPr>
      </w:pPr>
      <w:r w:rsidRPr="00F15230">
        <w:t>As the labels indicate, expenditure that is fully compensable is funded in full by the relevant party, whereas expenditure which is partially compensable leaves the State with some residual costs. Public hospital expenses which are fully compensable are not eligible for activity based funding. Furthermore, they do not have any effect on a State’s fiscal capacity and it is appropriate to offset any revenue arising from fully compensable services from hospital expenses.</w:t>
      </w:r>
    </w:p>
    <w:p w14:paraId="64285637" w14:textId="172AB4C3" w:rsidR="007F686A" w:rsidRPr="00F15230" w:rsidRDefault="007F686A" w:rsidP="007F686A">
      <w:pPr>
        <w:pStyle w:val="CGCNumberedPara"/>
        <w:numPr>
          <w:ilvl w:val="1"/>
          <w:numId w:val="3"/>
        </w:numPr>
      </w:pPr>
      <w:r w:rsidRPr="00F15230">
        <w:t>Only those services which are partially compensable affect a State’s fiscal capacity</w:t>
      </w:r>
      <w:r w:rsidR="00FC27A1">
        <w:t>,</w:t>
      </w:r>
      <w:r w:rsidRPr="00F15230">
        <w:t xml:space="preserve"> although the </w:t>
      </w:r>
      <w:r w:rsidR="002A1A9F" w:rsidRPr="00F15230">
        <w:t xml:space="preserve">net </w:t>
      </w:r>
      <w:r w:rsidRPr="00F15230">
        <w:t xml:space="preserve">cost </w:t>
      </w:r>
      <w:r w:rsidR="002A1A9F" w:rsidRPr="00F15230">
        <w:t>of</w:t>
      </w:r>
      <w:r w:rsidRPr="00F15230">
        <w:t xml:space="preserve"> partially compensable services is much lower than services for which the primary source of funding is the State. </w:t>
      </w:r>
    </w:p>
    <w:p w14:paraId="7A8063AE" w14:textId="358CC4BF" w:rsidR="007F686A" w:rsidRPr="00F15230" w:rsidRDefault="007F686A" w:rsidP="007F686A">
      <w:pPr>
        <w:pStyle w:val="CGCNumberedPara"/>
        <w:numPr>
          <w:ilvl w:val="1"/>
          <w:numId w:val="3"/>
        </w:numPr>
      </w:pPr>
      <w:r w:rsidRPr="00F15230">
        <w:t xml:space="preserve">IHPA’s admitted acute costing model recognises that private patients in public hospitals are less costly than public patients by including two adjustments: a private patient service adjustment and a private patient accommodation adjustment. This means that </w:t>
      </w:r>
      <w:r w:rsidR="002A1A9F" w:rsidRPr="00F15230">
        <w:t>only the net cost</w:t>
      </w:r>
      <w:r w:rsidRPr="00F15230">
        <w:t xml:space="preserve"> to States of private patients is reflected in the NWAU data. </w:t>
      </w:r>
      <w:r w:rsidR="002A1A9F" w:rsidRPr="00F15230">
        <w:t xml:space="preserve">As such it is appropriate to offset any revenue from partially compensable patients from hospital </w:t>
      </w:r>
      <w:r w:rsidR="00FC27A1">
        <w:t>expenses</w:t>
      </w:r>
      <w:r w:rsidR="002A1A9F" w:rsidRPr="00F15230">
        <w:t>.</w:t>
      </w:r>
    </w:p>
    <w:p w14:paraId="57D06782" w14:textId="77777777" w:rsidR="002A1A9F" w:rsidRPr="00F15230" w:rsidRDefault="007F686A" w:rsidP="007F686A">
      <w:pPr>
        <w:pStyle w:val="CGCNumberedPara"/>
        <w:numPr>
          <w:ilvl w:val="1"/>
          <w:numId w:val="3"/>
        </w:numPr>
      </w:pPr>
      <w:r w:rsidRPr="00F15230">
        <w:rPr>
          <w:rStyle w:val="Heading6Char"/>
        </w:rPr>
        <w:t>Community and public health services.</w:t>
      </w:r>
      <w:r w:rsidRPr="00F15230">
        <w:t xml:space="preserve"> Some patients using State community health services contribute to the cost. For example, some patients using public dental services are charged a fee. The revenue generated through user charges for community and other health services is about 10% of State costs.</w:t>
      </w:r>
    </w:p>
    <w:p w14:paraId="6D14BB72" w14:textId="3927E10A" w:rsidR="002A1A9F" w:rsidRPr="00F15230" w:rsidRDefault="007F686A" w:rsidP="007F686A">
      <w:pPr>
        <w:pStyle w:val="CGCNumberedPara"/>
        <w:numPr>
          <w:ilvl w:val="1"/>
          <w:numId w:val="3"/>
        </w:numPr>
      </w:pPr>
      <w:r w:rsidRPr="00F15230">
        <w:lastRenderedPageBreak/>
        <w:t>Given that exemptions and concessions apply to the most disadvantaged people using community health services it is likely that the SDC profile of people using community health services is different from that of people who contribute to the cost of community health services. Strictly speaking this would suggest that community health user charges should not be offset against expenses.</w:t>
      </w:r>
    </w:p>
    <w:p w14:paraId="2A7CF30A" w14:textId="6CE52E74" w:rsidR="007F686A" w:rsidRPr="00F15230" w:rsidRDefault="007F686A" w:rsidP="007F686A">
      <w:pPr>
        <w:pStyle w:val="CGCNumberedPara"/>
        <w:numPr>
          <w:ilvl w:val="1"/>
          <w:numId w:val="3"/>
        </w:numPr>
      </w:pPr>
      <w:proofErr w:type="gramStart"/>
      <w:r w:rsidRPr="00F15230">
        <w:t>Staff have</w:t>
      </w:r>
      <w:proofErr w:type="gramEnd"/>
      <w:r w:rsidRPr="00F15230">
        <w:t xml:space="preserve"> concerns about the reliability of community health revenue data sourced from GFS and question whether some States may be reporting hospital revenue in the community health classification</w:t>
      </w:r>
      <w:r w:rsidR="002A1A9F" w:rsidRPr="00F15230">
        <w:t xml:space="preserve"> of GFS</w:t>
      </w:r>
      <w:r w:rsidRPr="00F15230">
        <w:t xml:space="preserve">. On balance </w:t>
      </w:r>
      <w:proofErr w:type="gramStart"/>
      <w:r w:rsidRPr="00F15230">
        <w:t>staff are</w:t>
      </w:r>
      <w:proofErr w:type="gramEnd"/>
      <w:r w:rsidRPr="00F15230">
        <w:t xml:space="preserve"> inclined to continue netting off all user charges from category expenses because it is simpler and </w:t>
      </w:r>
      <w:r w:rsidR="006A03B4" w:rsidRPr="00F15230">
        <w:t xml:space="preserve">any other approach is unlikely to be materially different. </w:t>
      </w:r>
      <w:r w:rsidRPr="00F15230">
        <w:t xml:space="preserve"> </w:t>
      </w:r>
    </w:p>
    <w:p w14:paraId="16847E9B" w14:textId="77777777" w:rsidR="007F686A" w:rsidRPr="00F15230" w:rsidRDefault="007F686A" w:rsidP="007F686A">
      <w:pPr>
        <w:pStyle w:val="NoSpacing"/>
      </w:pPr>
    </w:p>
    <w:tbl>
      <w:tblPr>
        <w:tblW w:w="0" w:type="auto"/>
        <w:tblInd w:w="108" w:type="dxa"/>
        <w:shd w:val="clear" w:color="auto" w:fill="D9F3E6"/>
        <w:tblLook w:val="04A0" w:firstRow="1" w:lastRow="0" w:firstColumn="1" w:lastColumn="0" w:noHBand="0" w:noVBand="1"/>
      </w:tblPr>
      <w:tblGrid>
        <w:gridCol w:w="8931"/>
      </w:tblGrid>
      <w:tr w:rsidR="007F686A" w:rsidRPr="00F15230" w14:paraId="00F3A935" w14:textId="77777777" w:rsidTr="00850BE1">
        <w:tc>
          <w:tcPr>
            <w:tcW w:w="8931" w:type="dxa"/>
            <w:shd w:val="clear" w:color="auto" w:fill="D9F3E6"/>
          </w:tcPr>
          <w:p w14:paraId="73F9CE15" w14:textId="77777777" w:rsidR="007F686A" w:rsidRPr="00F15230" w:rsidRDefault="007F686A" w:rsidP="00850BE1">
            <w:r w:rsidRPr="00F15230">
              <w:t>Staff propose to recommend the Commission:</w:t>
            </w:r>
          </w:p>
          <w:p w14:paraId="5163EA4C" w14:textId="77777777" w:rsidR="007F686A" w:rsidRPr="00F15230" w:rsidRDefault="007F686A" w:rsidP="00850BE1">
            <w:pPr>
              <w:pStyle w:val="CGCBulletlist"/>
              <w:numPr>
                <w:ilvl w:val="0"/>
                <w:numId w:val="1"/>
              </w:numPr>
              <w:tabs>
                <w:tab w:val="clear" w:pos="927"/>
                <w:tab w:val="clear" w:pos="1134"/>
              </w:tabs>
              <w:ind w:left="1134" w:hanging="567"/>
            </w:pPr>
            <w:r w:rsidRPr="00F15230">
              <w:t>continue to offset all user charges against expenses to maintain simplicity and because:</w:t>
            </w:r>
          </w:p>
          <w:p w14:paraId="01204A64" w14:textId="77777777" w:rsidR="007F686A" w:rsidRPr="00F15230" w:rsidRDefault="007F686A" w:rsidP="00850BE1">
            <w:pPr>
              <w:pStyle w:val="CGCSubbulletlist"/>
            </w:pPr>
            <w:r w:rsidRPr="00F15230">
              <w:t>fully compensable patients have no effect on State fiscal capacities and it is appropriate to remove these expenses from the assessment</w:t>
            </w:r>
          </w:p>
          <w:p w14:paraId="4ED29D91" w14:textId="77777777" w:rsidR="007F686A" w:rsidRPr="00F15230" w:rsidRDefault="007F686A" w:rsidP="00850BE1">
            <w:pPr>
              <w:pStyle w:val="CGCSubbulletlist"/>
            </w:pPr>
            <w:proofErr w:type="gramStart"/>
            <w:r w:rsidRPr="00F15230">
              <w:t>only</w:t>
            </w:r>
            <w:proofErr w:type="gramEnd"/>
            <w:r w:rsidRPr="00F15230">
              <w:t xml:space="preserve"> the residual cost of private patients in public hospitals affect State fiscal capacities and the NWAU data used in the SDC assessment recognises that private patients in public hospitals are less costly.</w:t>
            </w:r>
          </w:p>
        </w:tc>
      </w:tr>
    </w:tbl>
    <w:p w14:paraId="27F15B0C" w14:textId="76B6AB54" w:rsidR="00DF4425" w:rsidRPr="00F15230" w:rsidRDefault="00DF4425" w:rsidP="00DF4425">
      <w:pPr>
        <w:pStyle w:val="Heading4"/>
      </w:pPr>
      <w:bookmarkStart w:id="148" w:name="_Toc509231100"/>
      <w:bookmarkStart w:id="149" w:name="_Toc511054125"/>
      <w:bookmarkStart w:id="150" w:name="_Toc511127567"/>
      <w:bookmarkStart w:id="151" w:name="_Toc511977545"/>
      <w:r w:rsidRPr="00F15230">
        <w:rPr>
          <w:rStyle w:val="Heading6Char"/>
          <w:b/>
          <w:i w:val="0"/>
          <w:iCs/>
          <w:sz w:val="32"/>
        </w:rPr>
        <w:t>Category structure</w:t>
      </w:r>
      <w:bookmarkEnd w:id="139"/>
      <w:bookmarkEnd w:id="140"/>
      <w:bookmarkEnd w:id="145"/>
      <w:bookmarkEnd w:id="148"/>
      <w:bookmarkEnd w:id="149"/>
      <w:bookmarkEnd w:id="150"/>
      <w:bookmarkEnd w:id="151"/>
    </w:p>
    <w:p w14:paraId="713EA1F0" w14:textId="07A8C553" w:rsidR="00DF4425" w:rsidRPr="00F15230" w:rsidRDefault="00DF4425" w:rsidP="00DF4425">
      <w:pPr>
        <w:pStyle w:val="CGCNumberedPara"/>
        <w:numPr>
          <w:ilvl w:val="1"/>
          <w:numId w:val="3"/>
        </w:numPr>
      </w:pPr>
      <w:bookmarkStart w:id="152" w:name="_Ref511908886"/>
      <w:proofErr w:type="gramStart"/>
      <w:r w:rsidRPr="00F15230">
        <w:t>Staff are</w:t>
      </w:r>
      <w:proofErr w:type="gramEnd"/>
      <w:r w:rsidRPr="00F15230">
        <w:t xml:space="preserve"> considering one change to the category structure. If non-admitted patient NWAU data from the IHPA are considered sufficiently r</w:t>
      </w:r>
      <w:r w:rsidR="00CD5DE3" w:rsidRPr="00F15230">
        <w:t>eliable by the time of the 2020 </w:t>
      </w:r>
      <w:r w:rsidRPr="00F15230">
        <w:t>Review it may be possible to assess all hospital services (admitted patients, ED and NAP services) in a single component using aggregate NWAU data for all hospital services. This would simplify the Health category by reducing the number of components.</w:t>
      </w:r>
      <w:r w:rsidR="000509E7" w:rsidRPr="00F15230">
        <w:t xml:space="preserve"> </w:t>
      </w:r>
      <w:r w:rsidR="00A44E74">
        <w:t>Non-State sector adjustments would continue to be estimated separately for each component.</w:t>
      </w:r>
      <w:bookmarkEnd w:id="152"/>
    </w:p>
    <w:p w14:paraId="57372B32" w14:textId="77777777" w:rsidR="00AD03E0" w:rsidRPr="00F15230" w:rsidRDefault="00AD03E0" w:rsidP="00AD03E0">
      <w:pPr>
        <w:pStyle w:val="CGCNumberedPara"/>
        <w:numPr>
          <w:ilvl w:val="0"/>
          <w:numId w:val="0"/>
        </w:numPr>
      </w:pPr>
    </w:p>
    <w:tbl>
      <w:tblPr>
        <w:tblW w:w="0" w:type="auto"/>
        <w:tblInd w:w="108" w:type="dxa"/>
        <w:shd w:val="clear" w:color="auto" w:fill="D9F3E6"/>
        <w:tblLook w:val="04A0" w:firstRow="1" w:lastRow="0" w:firstColumn="1" w:lastColumn="0" w:noHBand="0" w:noVBand="1"/>
      </w:tblPr>
      <w:tblGrid>
        <w:gridCol w:w="8931"/>
      </w:tblGrid>
      <w:tr w:rsidR="00DF4425" w:rsidRPr="00F15230" w14:paraId="1E1BF665" w14:textId="77777777" w:rsidTr="000D4B71">
        <w:tc>
          <w:tcPr>
            <w:tcW w:w="8931" w:type="dxa"/>
            <w:shd w:val="clear" w:color="auto" w:fill="D9F3E6"/>
          </w:tcPr>
          <w:p w14:paraId="07342B18" w14:textId="77777777" w:rsidR="00DF4425" w:rsidRPr="00F15230" w:rsidRDefault="00DF4425" w:rsidP="000D4B71">
            <w:r w:rsidRPr="00F15230">
              <w:t>Staff propose to recommend the Commission:</w:t>
            </w:r>
          </w:p>
          <w:p w14:paraId="7765F95A" w14:textId="77777777" w:rsidR="00DF4425" w:rsidRPr="00F15230" w:rsidRDefault="00DF4425" w:rsidP="007769E8">
            <w:pPr>
              <w:pStyle w:val="CGCBulletlist"/>
            </w:pPr>
            <w:proofErr w:type="gramStart"/>
            <w:r w:rsidRPr="00F15230">
              <w:t>consider</w:t>
            </w:r>
            <w:proofErr w:type="gramEnd"/>
            <w:r w:rsidRPr="00F15230">
              <w:t xml:space="preserve"> assessing all hospital services in </w:t>
            </w:r>
            <w:r w:rsidR="007769E8" w:rsidRPr="00F15230">
              <w:t xml:space="preserve">a single </w:t>
            </w:r>
            <w:r w:rsidRPr="00F15230">
              <w:t>component if IHPA’s NWAU data for NAP services is considered sufficiently reliable by the time of the 2020 Review.</w:t>
            </w:r>
          </w:p>
        </w:tc>
      </w:tr>
    </w:tbl>
    <w:p w14:paraId="31C84E8B" w14:textId="77777777" w:rsidR="00DF4425" w:rsidRPr="00F15230" w:rsidRDefault="00DF4425" w:rsidP="00DF4425">
      <w:pPr>
        <w:pStyle w:val="Heading4"/>
      </w:pPr>
      <w:bookmarkStart w:id="153" w:name="_Toc499818752"/>
      <w:bookmarkStart w:id="154" w:name="_Toc499818842"/>
      <w:bookmarkStart w:id="155" w:name="_Toc508800492"/>
      <w:bookmarkStart w:id="156" w:name="_Toc509231101"/>
      <w:bookmarkStart w:id="157" w:name="_Toc511054126"/>
      <w:bookmarkStart w:id="158" w:name="_Toc511127568"/>
      <w:bookmarkStart w:id="159" w:name="_Toc511977546"/>
      <w:r w:rsidRPr="00F15230">
        <w:lastRenderedPageBreak/>
        <w:t>Other issues considered</w:t>
      </w:r>
      <w:bookmarkEnd w:id="153"/>
      <w:bookmarkEnd w:id="154"/>
      <w:bookmarkEnd w:id="155"/>
      <w:bookmarkEnd w:id="156"/>
      <w:bookmarkEnd w:id="157"/>
      <w:bookmarkEnd w:id="158"/>
      <w:bookmarkEnd w:id="159"/>
    </w:p>
    <w:p w14:paraId="6C79F9C5" w14:textId="77777777" w:rsidR="00DF4425" w:rsidRPr="00F15230" w:rsidRDefault="00DF4425" w:rsidP="00DF4425">
      <w:pPr>
        <w:pStyle w:val="Heading5"/>
      </w:pPr>
      <w:r w:rsidRPr="00F15230">
        <w:t>Cultural and linguistic diversity (CALD)</w:t>
      </w:r>
    </w:p>
    <w:p w14:paraId="1E6FDB27" w14:textId="5E5E92BF" w:rsidR="00DF4425" w:rsidRPr="00F15230" w:rsidRDefault="00DF4425" w:rsidP="00DF4425">
      <w:pPr>
        <w:pStyle w:val="CGCNumberedPara"/>
        <w:numPr>
          <w:ilvl w:val="1"/>
          <w:numId w:val="3"/>
        </w:numPr>
      </w:pPr>
      <w:r w:rsidRPr="00F15230">
        <w:t xml:space="preserve">In the 2015 Review the Commission considered the conceptual case for including a CALD disability in the </w:t>
      </w:r>
      <w:r w:rsidR="00EF1C9A">
        <w:t>expense assessments, including H</w:t>
      </w:r>
      <w:r w:rsidRPr="00F15230">
        <w:t>ealth, but decided not to because while costs are often higher for CALD populations, use rates are generally lower.</w:t>
      </w:r>
      <w:r w:rsidRPr="00F15230">
        <w:rPr>
          <w:rStyle w:val="FootnoteReference"/>
        </w:rPr>
        <w:footnoteReference w:id="19"/>
      </w:r>
    </w:p>
    <w:p w14:paraId="44371FE4" w14:textId="55F75480" w:rsidR="00DF4425" w:rsidRPr="00F15230" w:rsidRDefault="00DF4425" w:rsidP="00DF4425">
      <w:pPr>
        <w:pStyle w:val="CGCNumberedPara"/>
        <w:numPr>
          <w:ilvl w:val="1"/>
          <w:numId w:val="3"/>
        </w:numPr>
      </w:pPr>
      <w:r w:rsidRPr="00F15230">
        <w:t>IHPA recently completed a costing study to inform a policy decision for whether an adjustment is warranted to the NEP for CALD patients.</w:t>
      </w:r>
      <w:r w:rsidRPr="00F15230">
        <w:rPr>
          <w:rStyle w:val="FootnoteReference"/>
        </w:rPr>
        <w:footnoteReference w:id="20"/>
      </w:r>
      <w:r w:rsidRPr="00F15230">
        <w:t xml:space="preserve"> The study focused only on the cost impact of CALD patients when hospital based services are utilised. It concluded, based on Round 17 NHCDC data, that a CALD adjustment to the NEP model for sub-acute, ED or outpatient encounters could not be supported. It found that for acute admitted encounters, there was some evidence of CALD patients costing more than non-CALD patients; however the differences were small. Based on this costing study, IHPA decided a cost adjustment for CALD patients could not be justified.</w:t>
      </w:r>
    </w:p>
    <w:p w14:paraId="11CF3490" w14:textId="77777777" w:rsidR="00DF4425" w:rsidRPr="00F15230" w:rsidRDefault="00DF4425" w:rsidP="00DF4425">
      <w:pPr>
        <w:pStyle w:val="CGCNumberedPara"/>
        <w:numPr>
          <w:ilvl w:val="1"/>
          <w:numId w:val="3"/>
        </w:numPr>
      </w:pPr>
      <w:r w:rsidRPr="00F15230">
        <w:t>The study noted:</w:t>
      </w:r>
    </w:p>
    <w:p w14:paraId="55203DC5" w14:textId="77777777" w:rsidR="00DF4425" w:rsidRPr="00F15230" w:rsidRDefault="00DF4425" w:rsidP="00DF4425">
      <w:pPr>
        <w:pStyle w:val="CGCBulletlist"/>
        <w:numPr>
          <w:ilvl w:val="0"/>
          <w:numId w:val="1"/>
        </w:numPr>
        <w:tabs>
          <w:tab w:val="clear" w:pos="927"/>
        </w:tabs>
        <w:ind w:left="1134" w:hanging="567"/>
      </w:pPr>
      <w:r w:rsidRPr="00F15230">
        <w:t>there is no nationally consistent indicator for identifying CALD patients</w:t>
      </w:r>
    </w:p>
    <w:p w14:paraId="50EE9704" w14:textId="77777777" w:rsidR="00DF4425" w:rsidRPr="00F15230" w:rsidRDefault="00DF4425" w:rsidP="00DF4425">
      <w:pPr>
        <w:pStyle w:val="CGCBulletlist"/>
        <w:numPr>
          <w:ilvl w:val="0"/>
          <w:numId w:val="1"/>
        </w:numPr>
        <w:tabs>
          <w:tab w:val="clear" w:pos="927"/>
        </w:tabs>
        <w:ind w:left="1134" w:hanging="567"/>
      </w:pPr>
      <w:r w:rsidRPr="00F15230">
        <w:t>current cost processes mean that costed activity may not be truly reflective of CALD patient specific costs (for example, interpreter services or additional nursing or health practitioner time)</w:t>
      </w:r>
    </w:p>
    <w:p w14:paraId="6C24563B" w14:textId="77777777" w:rsidR="00DF4425" w:rsidRPr="00F15230" w:rsidRDefault="00DF4425" w:rsidP="00DF4425">
      <w:pPr>
        <w:pStyle w:val="CGCBulletlist"/>
        <w:numPr>
          <w:ilvl w:val="0"/>
          <w:numId w:val="1"/>
        </w:numPr>
        <w:tabs>
          <w:tab w:val="clear" w:pos="927"/>
        </w:tabs>
        <w:ind w:left="1134" w:hanging="567"/>
      </w:pPr>
      <w:proofErr w:type="gramStart"/>
      <w:r w:rsidRPr="00F15230">
        <w:t>one</w:t>
      </w:r>
      <w:proofErr w:type="gramEnd"/>
      <w:r w:rsidRPr="00F15230">
        <w:t xml:space="preserve"> of the consistent and significant characteristics of CALD patients is that they are older in age than the general population, and many of the cost and activity impacts observed for CALD patients closely correlate to the impacts seen within aged patients. </w:t>
      </w:r>
    </w:p>
    <w:p w14:paraId="490D1736" w14:textId="77777777" w:rsidR="00DF4425" w:rsidRPr="00F15230" w:rsidRDefault="00DF4425" w:rsidP="00DF4425">
      <w:pPr>
        <w:pStyle w:val="CGCNumberedPara"/>
        <w:numPr>
          <w:ilvl w:val="1"/>
          <w:numId w:val="3"/>
        </w:numPr>
      </w:pPr>
      <w:r w:rsidRPr="00F15230">
        <w:t>The study recommended a number of changes to costing and reporting processes to better support future analysis of the cost impact of CALD patients on hospital services. Until such time that IHPA is able to reliably measure the cost impact of CALD patients and establish that a cost adjustment would be material</w:t>
      </w:r>
      <w:r w:rsidR="007806E1" w:rsidRPr="00F15230">
        <w:t>,</w:t>
      </w:r>
      <w:r w:rsidRPr="00F15230">
        <w:t xml:space="preserve"> staff do not propose to do any further work on this. </w:t>
      </w:r>
    </w:p>
    <w:p w14:paraId="7A81011D" w14:textId="77777777" w:rsidR="00AD03E0" w:rsidRPr="00F15230" w:rsidRDefault="00AD03E0" w:rsidP="00AD03E0">
      <w:pPr>
        <w:pStyle w:val="CGCNumberedPara"/>
        <w:numPr>
          <w:ilvl w:val="0"/>
          <w:numId w:val="0"/>
        </w:numPr>
      </w:pPr>
    </w:p>
    <w:tbl>
      <w:tblPr>
        <w:tblW w:w="0" w:type="auto"/>
        <w:tblInd w:w="108" w:type="dxa"/>
        <w:shd w:val="clear" w:color="auto" w:fill="D9F3E6"/>
        <w:tblLook w:val="04A0" w:firstRow="1" w:lastRow="0" w:firstColumn="1" w:lastColumn="0" w:noHBand="0" w:noVBand="1"/>
      </w:tblPr>
      <w:tblGrid>
        <w:gridCol w:w="8931"/>
      </w:tblGrid>
      <w:tr w:rsidR="00DF4425" w:rsidRPr="00F15230" w14:paraId="60C93885" w14:textId="77777777" w:rsidTr="000D4B71">
        <w:tc>
          <w:tcPr>
            <w:tcW w:w="8931" w:type="dxa"/>
            <w:shd w:val="clear" w:color="auto" w:fill="D9F3E6"/>
          </w:tcPr>
          <w:p w14:paraId="3977908F" w14:textId="77777777" w:rsidR="00DF4425" w:rsidRPr="00F15230" w:rsidRDefault="00DF4425" w:rsidP="000D4B71">
            <w:r w:rsidRPr="00F15230">
              <w:t>Staff propose to recommend the Commission:</w:t>
            </w:r>
          </w:p>
          <w:p w14:paraId="3AF1940B" w14:textId="0C718B4B" w:rsidR="00DF4425" w:rsidRPr="00F15230" w:rsidRDefault="00C225D2" w:rsidP="00FC27A1">
            <w:pPr>
              <w:pStyle w:val="CGCBulletlist"/>
            </w:pPr>
            <w:proofErr w:type="gramStart"/>
            <w:r w:rsidRPr="00F15230">
              <w:t>not</w:t>
            </w:r>
            <w:proofErr w:type="gramEnd"/>
            <w:r w:rsidRPr="00F15230">
              <w:t xml:space="preserve"> include a cost adjustment for culturally and linguistically diverse (CALD) patients because any additional costs for CALD patients compared with non</w:t>
            </w:r>
            <w:r w:rsidR="00FC27A1">
              <w:noBreakHyphen/>
            </w:r>
            <w:r w:rsidRPr="00F15230">
              <w:t>CALD patients appear to be small.</w:t>
            </w:r>
          </w:p>
        </w:tc>
      </w:tr>
    </w:tbl>
    <w:p w14:paraId="228A2DF2" w14:textId="77777777" w:rsidR="00DF4425" w:rsidRPr="00F15230" w:rsidRDefault="00DF4425" w:rsidP="00C41B33">
      <w:pPr>
        <w:pStyle w:val="Heading3"/>
        <w:rPr>
          <w:lang w:eastAsia="zh-CN"/>
        </w:rPr>
      </w:pPr>
      <w:bookmarkStart w:id="160" w:name="_Toc499818753"/>
      <w:bookmarkStart w:id="161" w:name="_Toc499818843"/>
      <w:bookmarkStart w:id="162" w:name="_Toc508800493"/>
      <w:bookmarkStart w:id="163" w:name="_Toc509231102"/>
      <w:bookmarkStart w:id="164" w:name="_Toc511054127"/>
      <w:bookmarkStart w:id="165" w:name="_Toc511127569"/>
      <w:bookmarkStart w:id="166" w:name="_Toc511977547"/>
      <w:r w:rsidRPr="00F15230">
        <w:rPr>
          <w:lang w:eastAsia="zh-CN"/>
        </w:rPr>
        <w:lastRenderedPageBreak/>
        <w:t>Conclusion and way forward</w:t>
      </w:r>
      <w:bookmarkEnd w:id="160"/>
      <w:bookmarkEnd w:id="161"/>
      <w:bookmarkEnd w:id="162"/>
      <w:bookmarkEnd w:id="163"/>
      <w:bookmarkEnd w:id="164"/>
      <w:bookmarkEnd w:id="165"/>
      <w:bookmarkEnd w:id="166"/>
    </w:p>
    <w:p w14:paraId="76797029" w14:textId="77777777" w:rsidR="00DF4425" w:rsidRPr="00F15230" w:rsidRDefault="00DF4425" w:rsidP="00C41B33">
      <w:pPr>
        <w:pStyle w:val="Heading4"/>
        <w:rPr>
          <w:lang w:eastAsia="zh-CN"/>
        </w:rPr>
      </w:pPr>
      <w:bookmarkStart w:id="167" w:name="_Toc508800360"/>
      <w:bookmarkStart w:id="168" w:name="_Toc508800494"/>
      <w:bookmarkStart w:id="169" w:name="_Toc509231103"/>
      <w:bookmarkStart w:id="170" w:name="_Toc511054128"/>
      <w:bookmarkStart w:id="171" w:name="_Toc511127570"/>
      <w:bookmarkStart w:id="172" w:name="_Toc511977548"/>
      <w:r w:rsidRPr="00F15230">
        <w:rPr>
          <w:lang w:eastAsia="zh-CN"/>
        </w:rPr>
        <w:t>Proposed assessment structure</w:t>
      </w:r>
      <w:bookmarkEnd w:id="167"/>
      <w:bookmarkEnd w:id="168"/>
      <w:bookmarkEnd w:id="169"/>
      <w:bookmarkEnd w:id="170"/>
      <w:bookmarkEnd w:id="171"/>
      <w:bookmarkEnd w:id="172"/>
    </w:p>
    <w:p w14:paraId="046F5E5B" w14:textId="1B7C728D" w:rsidR="00C41B33" w:rsidRPr="00F15230" w:rsidRDefault="00C41B33" w:rsidP="00C41B33">
      <w:pPr>
        <w:pStyle w:val="CGCNumberedPara"/>
        <w:numPr>
          <w:ilvl w:val="1"/>
          <w:numId w:val="3"/>
        </w:numPr>
      </w:pPr>
      <w:proofErr w:type="gramStart"/>
      <w:r w:rsidRPr="00F15230">
        <w:t>Staff propose</w:t>
      </w:r>
      <w:proofErr w:type="gramEnd"/>
      <w:r w:rsidRPr="00F15230">
        <w:t xml:space="preserve"> the following assessment structure for the 2020 Review</w:t>
      </w:r>
      <w:r w:rsidR="00761C02" w:rsidRPr="00F15230">
        <w:t xml:space="preserve"> (</w:t>
      </w:r>
      <w:r w:rsidR="00761C02" w:rsidRPr="00F15230">
        <w:fldChar w:fldCharType="begin"/>
      </w:r>
      <w:r w:rsidR="00761C02" w:rsidRPr="00F15230">
        <w:instrText xml:space="preserve"> REF _Ref508570186 \h </w:instrText>
      </w:r>
      <w:r w:rsidR="00F15230">
        <w:instrText xml:space="preserve"> \* MERGEFORMAT </w:instrText>
      </w:r>
      <w:r w:rsidR="00761C02" w:rsidRPr="00F15230">
        <w:fldChar w:fldCharType="separate"/>
      </w:r>
      <w:r w:rsidR="005A6E12" w:rsidRPr="00F15230">
        <w:t xml:space="preserve">Table </w:t>
      </w:r>
      <w:r w:rsidR="005A6E12">
        <w:t>9</w:t>
      </w:r>
      <w:r w:rsidR="00761C02" w:rsidRPr="00F15230">
        <w:fldChar w:fldCharType="end"/>
      </w:r>
      <w:r w:rsidR="00761C02" w:rsidRPr="00F15230">
        <w:t>)</w:t>
      </w:r>
      <w:r w:rsidRPr="00F15230">
        <w:t xml:space="preserve">. </w:t>
      </w:r>
    </w:p>
    <w:p w14:paraId="4833ADB4" w14:textId="7AF97916" w:rsidR="00C41B33" w:rsidRPr="00F15230" w:rsidRDefault="00C41B33" w:rsidP="00C41B33">
      <w:pPr>
        <w:pStyle w:val="Caption"/>
      </w:pPr>
      <w:bookmarkStart w:id="173" w:name="_Ref508570186"/>
      <w:bookmarkEnd w:id="103"/>
      <w:r w:rsidRPr="00F15230">
        <w:t xml:space="preserve">Table </w:t>
      </w:r>
      <w:r w:rsidR="00CD3D12">
        <w:fldChar w:fldCharType="begin"/>
      </w:r>
      <w:r w:rsidR="00CD3D12">
        <w:instrText xml:space="preserve"> SEQ Table \* ARABIC </w:instrText>
      </w:r>
      <w:r w:rsidR="00CD3D12">
        <w:fldChar w:fldCharType="separate"/>
      </w:r>
      <w:r w:rsidR="005A6E12">
        <w:rPr>
          <w:noProof/>
        </w:rPr>
        <w:t>9</w:t>
      </w:r>
      <w:r w:rsidR="00CD3D12">
        <w:rPr>
          <w:noProof/>
        </w:rPr>
        <w:fldChar w:fldCharType="end"/>
      </w:r>
      <w:bookmarkEnd w:id="173"/>
      <w:r w:rsidRPr="00F15230">
        <w:tab/>
        <w:t>Proposed Health category structure</w:t>
      </w:r>
    </w:p>
    <w:tbl>
      <w:tblPr>
        <w:tblW w:w="5000" w:type="pct"/>
        <w:tblCellMar>
          <w:left w:w="85" w:type="dxa"/>
          <w:right w:w="85" w:type="dxa"/>
        </w:tblCellMar>
        <w:tblLook w:val="0000" w:firstRow="0" w:lastRow="0" w:firstColumn="0" w:lastColumn="0" w:noHBand="0" w:noVBand="0"/>
      </w:tblPr>
      <w:tblGrid>
        <w:gridCol w:w="2071"/>
        <w:gridCol w:w="1700"/>
        <w:gridCol w:w="5350"/>
      </w:tblGrid>
      <w:tr w:rsidR="00C41B33" w:rsidRPr="00F15230" w14:paraId="57021627" w14:textId="77777777" w:rsidTr="00BB1AEE">
        <w:tc>
          <w:tcPr>
            <w:tcW w:w="1135" w:type="pct"/>
            <w:tcBorders>
              <w:top w:val="single" w:sz="6" w:space="0" w:color="auto"/>
              <w:bottom w:val="single" w:sz="6" w:space="0" w:color="auto"/>
            </w:tcBorders>
            <w:vAlign w:val="bottom"/>
          </w:tcPr>
          <w:p w14:paraId="019BAFE8" w14:textId="77777777" w:rsidR="00C41B33" w:rsidRPr="00F15230" w:rsidRDefault="00C41B33" w:rsidP="00BB1AEE">
            <w:pPr>
              <w:pStyle w:val="TableColHeadings"/>
              <w:jc w:val="left"/>
              <w:rPr>
                <w:rFonts w:cstheme="minorHAnsi"/>
              </w:rPr>
            </w:pPr>
            <w:r w:rsidRPr="00F15230">
              <w:rPr>
                <w:rFonts w:cstheme="minorHAnsi"/>
              </w:rPr>
              <w:t>Component</w:t>
            </w:r>
          </w:p>
        </w:tc>
        <w:tc>
          <w:tcPr>
            <w:tcW w:w="932" w:type="pct"/>
            <w:tcBorders>
              <w:top w:val="single" w:sz="6" w:space="0" w:color="auto"/>
              <w:bottom w:val="single" w:sz="6" w:space="0" w:color="auto"/>
            </w:tcBorders>
            <w:vAlign w:val="bottom"/>
          </w:tcPr>
          <w:p w14:paraId="4CB7FEC5" w14:textId="4E379847" w:rsidR="00C41B33" w:rsidRPr="00F15230" w:rsidRDefault="00C41B33" w:rsidP="00627DFC">
            <w:pPr>
              <w:pStyle w:val="TableColHeadings"/>
              <w:jc w:val="left"/>
              <w:rPr>
                <w:rFonts w:cstheme="minorHAnsi"/>
              </w:rPr>
            </w:pPr>
            <w:r w:rsidRPr="00F15230">
              <w:rPr>
                <w:rFonts w:cstheme="minorHAnsi"/>
              </w:rPr>
              <w:t>Disability</w:t>
            </w:r>
            <w:r w:rsidR="007A6EB1" w:rsidRPr="00F15230">
              <w:rPr>
                <w:rFonts w:cstheme="minorHAnsi"/>
              </w:rPr>
              <w:t xml:space="preserve"> </w:t>
            </w:r>
            <w:r w:rsidR="00627DFC" w:rsidRPr="00F15230">
              <w:rPr>
                <w:rFonts w:cstheme="minorHAnsi"/>
              </w:rPr>
              <w:t>(a)</w:t>
            </w:r>
          </w:p>
        </w:tc>
        <w:tc>
          <w:tcPr>
            <w:tcW w:w="2933" w:type="pct"/>
            <w:tcBorders>
              <w:top w:val="single" w:sz="6" w:space="0" w:color="auto"/>
              <w:bottom w:val="single" w:sz="6" w:space="0" w:color="auto"/>
            </w:tcBorders>
            <w:vAlign w:val="bottom"/>
          </w:tcPr>
          <w:p w14:paraId="49B59AD7" w14:textId="77777777" w:rsidR="00C41B33" w:rsidRPr="00F15230" w:rsidRDefault="00C41B33" w:rsidP="00BB1AEE">
            <w:pPr>
              <w:pStyle w:val="TableColHeadings"/>
              <w:jc w:val="left"/>
              <w:rPr>
                <w:rFonts w:cstheme="minorHAnsi"/>
              </w:rPr>
            </w:pPr>
            <w:r w:rsidRPr="00F15230">
              <w:rPr>
                <w:rFonts w:cstheme="minorHAnsi"/>
              </w:rPr>
              <w:t>Influence measured by disability</w:t>
            </w:r>
          </w:p>
        </w:tc>
      </w:tr>
      <w:tr w:rsidR="00C41B33" w:rsidRPr="00F15230" w14:paraId="3EAFB62E" w14:textId="77777777" w:rsidTr="00627DFC">
        <w:tc>
          <w:tcPr>
            <w:tcW w:w="1135" w:type="pct"/>
          </w:tcPr>
          <w:p w14:paraId="0618AD2A" w14:textId="77777777" w:rsidR="00C41B33" w:rsidRPr="00F15230" w:rsidRDefault="00C41B33" w:rsidP="00BB1AEE">
            <w:pPr>
              <w:pStyle w:val="CGCTableStub"/>
              <w:rPr>
                <w:rFonts w:cstheme="minorHAnsi"/>
              </w:rPr>
            </w:pPr>
            <w:r w:rsidRPr="00F15230">
              <w:rPr>
                <w:rFonts w:cstheme="minorHAnsi"/>
              </w:rPr>
              <w:t xml:space="preserve">Hospital services </w:t>
            </w:r>
          </w:p>
        </w:tc>
        <w:tc>
          <w:tcPr>
            <w:tcW w:w="932" w:type="pct"/>
          </w:tcPr>
          <w:p w14:paraId="7BB7D34F" w14:textId="77777777" w:rsidR="00C41B33" w:rsidRPr="00F15230" w:rsidRDefault="00C41B33" w:rsidP="00BB1AEE">
            <w:pPr>
              <w:pStyle w:val="TableRowNormal"/>
              <w:jc w:val="left"/>
              <w:rPr>
                <w:rFonts w:cstheme="minorHAnsi"/>
              </w:rPr>
            </w:pPr>
            <w:r w:rsidRPr="00F15230">
              <w:rPr>
                <w:rFonts w:cstheme="minorHAnsi"/>
              </w:rPr>
              <w:t xml:space="preserve">SDC </w:t>
            </w:r>
          </w:p>
          <w:p w14:paraId="56328099" w14:textId="77777777" w:rsidR="00C41B33" w:rsidRPr="00F15230" w:rsidRDefault="00C41B33" w:rsidP="00BB1AEE">
            <w:pPr>
              <w:pStyle w:val="TableRowNormal"/>
              <w:jc w:val="left"/>
              <w:rPr>
                <w:rFonts w:cstheme="minorHAnsi"/>
              </w:rPr>
            </w:pPr>
          </w:p>
        </w:tc>
        <w:tc>
          <w:tcPr>
            <w:tcW w:w="2933" w:type="pct"/>
          </w:tcPr>
          <w:p w14:paraId="6A7C5402" w14:textId="416536B0" w:rsidR="00C41B33" w:rsidRPr="00F15230" w:rsidRDefault="00C41B33" w:rsidP="00BB1AEE">
            <w:pPr>
              <w:pStyle w:val="TableRowNormal"/>
              <w:jc w:val="left"/>
              <w:rPr>
                <w:rFonts w:cstheme="minorHAnsi"/>
              </w:rPr>
            </w:pPr>
            <w:r w:rsidRPr="00F15230">
              <w:rPr>
                <w:rFonts w:cstheme="minorHAnsi"/>
              </w:rPr>
              <w:t xml:space="preserve">Recognises that </w:t>
            </w:r>
            <w:r w:rsidR="00FC27A1">
              <w:rPr>
                <w:rFonts w:cstheme="minorHAnsi"/>
              </w:rPr>
              <w:t xml:space="preserve">the </w:t>
            </w:r>
            <w:r w:rsidRPr="00F15230">
              <w:rPr>
                <w:rFonts w:cstheme="minorHAnsi"/>
              </w:rPr>
              <w:t>use and cost of State provided services differ among different population groups</w:t>
            </w:r>
            <w:r w:rsidR="00A44E74">
              <w:rPr>
                <w:rFonts w:cstheme="minorHAnsi"/>
              </w:rPr>
              <w:t xml:space="preserve"> and region</w:t>
            </w:r>
            <w:r w:rsidR="00FC27A1">
              <w:rPr>
                <w:rFonts w:cstheme="minorHAnsi"/>
              </w:rPr>
              <w:t>s.</w:t>
            </w:r>
          </w:p>
        </w:tc>
      </w:tr>
      <w:tr w:rsidR="00C41B33" w:rsidRPr="00F15230" w14:paraId="31614C46" w14:textId="77777777" w:rsidTr="00627DFC">
        <w:tc>
          <w:tcPr>
            <w:tcW w:w="1135" w:type="pct"/>
          </w:tcPr>
          <w:p w14:paraId="75ECDA4D" w14:textId="77777777" w:rsidR="00C41B33" w:rsidRPr="00F15230" w:rsidRDefault="00C41B33" w:rsidP="00BB1AEE">
            <w:pPr>
              <w:pStyle w:val="CGCTableStub"/>
              <w:rPr>
                <w:rFonts w:cstheme="minorHAnsi"/>
              </w:rPr>
            </w:pPr>
          </w:p>
        </w:tc>
        <w:tc>
          <w:tcPr>
            <w:tcW w:w="932" w:type="pct"/>
          </w:tcPr>
          <w:p w14:paraId="1A7FA2C7" w14:textId="77777777" w:rsidR="00C41B33" w:rsidRPr="00F15230" w:rsidRDefault="00C41B33" w:rsidP="00BB1AEE">
            <w:pPr>
              <w:pStyle w:val="TableRowNormal"/>
              <w:jc w:val="left"/>
              <w:rPr>
                <w:rFonts w:cstheme="minorHAnsi"/>
              </w:rPr>
            </w:pPr>
            <w:r w:rsidRPr="00F15230">
              <w:rPr>
                <w:rFonts w:cstheme="minorHAnsi"/>
              </w:rPr>
              <w:t>Non</w:t>
            </w:r>
            <w:r w:rsidRPr="00F15230">
              <w:rPr>
                <w:rFonts w:cstheme="minorHAnsi"/>
              </w:rPr>
              <w:noBreakHyphen/>
              <w:t>State sector</w:t>
            </w:r>
          </w:p>
        </w:tc>
        <w:tc>
          <w:tcPr>
            <w:tcW w:w="2933" w:type="pct"/>
          </w:tcPr>
          <w:p w14:paraId="2D9467DD" w14:textId="69BEB0CD" w:rsidR="00C41B33" w:rsidRPr="00F15230" w:rsidRDefault="00C41B33" w:rsidP="00914C36">
            <w:pPr>
              <w:pStyle w:val="TableRowNormal"/>
              <w:tabs>
                <w:tab w:val="clear" w:pos="1440"/>
                <w:tab w:val="clear" w:pos="2160"/>
                <w:tab w:val="clear" w:pos="2880"/>
                <w:tab w:val="left" w:pos="978"/>
              </w:tabs>
              <w:jc w:val="left"/>
              <w:rPr>
                <w:rFonts w:cstheme="minorHAnsi"/>
              </w:rPr>
            </w:pPr>
            <w:r w:rsidRPr="00F15230">
              <w:rPr>
                <w:rFonts w:cstheme="minorHAnsi"/>
              </w:rPr>
              <w:t>Recognises the impact of the non-State sector on substitutable spending on hospital services</w:t>
            </w:r>
            <w:r w:rsidR="00FC27A1">
              <w:rPr>
                <w:rFonts w:cstheme="minorHAnsi"/>
              </w:rPr>
              <w:t>.</w:t>
            </w:r>
            <w:r w:rsidRPr="00F15230">
              <w:rPr>
                <w:rFonts w:cstheme="minorHAnsi"/>
              </w:rPr>
              <w:t xml:space="preserve"> </w:t>
            </w:r>
          </w:p>
        </w:tc>
      </w:tr>
      <w:tr w:rsidR="00627DFC" w:rsidRPr="00F15230" w14:paraId="5AE17F60" w14:textId="77777777" w:rsidTr="00627DFC">
        <w:tc>
          <w:tcPr>
            <w:tcW w:w="1135" w:type="pct"/>
            <w:tcBorders>
              <w:bottom w:val="single" w:sz="4" w:space="0" w:color="auto"/>
            </w:tcBorders>
          </w:tcPr>
          <w:p w14:paraId="7FB9A344" w14:textId="77777777" w:rsidR="00627DFC" w:rsidRPr="00F15230" w:rsidRDefault="00627DFC" w:rsidP="00BB1AEE">
            <w:pPr>
              <w:pStyle w:val="CGCTableStub"/>
              <w:rPr>
                <w:rFonts w:cstheme="minorHAnsi"/>
              </w:rPr>
            </w:pPr>
          </w:p>
        </w:tc>
        <w:tc>
          <w:tcPr>
            <w:tcW w:w="932" w:type="pct"/>
            <w:tcBorders>
              <w:bottom w:val="single" w:sz="4" w:space="0" w:color="auto"/>
            </w:tcBorders>
          </w:tcPr>
          <w:p w14:paraId="0FB97758" w14:textId="4EAAF973" w:rsidR="00627DFC" w:rsidRPr="00F15230" w:rsidRDefault="00627DFC" w:rsidP="00627DFC">
            <w:pPr>
              <w:pStyle w:val="TableRowNormal"/>
              <w:tabs>
                <w:tab w:val="clear" w:pos="1440"/>
                <w:tab w:val="clear" w:pos="2160"/>
                <w:tab w:val="clear" w:pos="2880"/>
                <w:tab w:val="left" w:pos="978"/>
              </w:tabs>
              <w:jc w:val="left"/>
              <w:rPr>
                <w:rFonts w:cstheme="minorHAnsi"/>
              </w:rPr>
            </w:pPr>
            <w:r w:rsidRPr="00F15230">
              <w:rPr>
                <w:rFonts w:cstheme="minorHAnsi"/>
              </w:rPr>
              <w:t>Wages</w:t>
            </w:r>
            <w:r w:rsidRPr="00F15230">
              <w:rPr>
                <w:rFonts w:cstheme="minorHAnsi"/>
              </w:rPr>
              <w:tab/>
            </w:r>
            <w:r w:rsidRPr="00F15230">
              <w:rPr>
                <w:rFonts w:cstheme="minorHAnsi"/>
              </w:rPr>
              <w:tab/>
            </w:r>
          </w:p>
        </w:tc>
        <w:tc>
          <w:tcPr>
            <w:tcW w:w="2933" w:type="pct"/>
            <w:tcBorders>
              <w:bottom w:val="single" w:sz="4" w:space="0" w:color="auto"/>
            </w:tcBorders>
          </w:tcPr>
          <w:p w14:paraId="59242663" w14:textId="385B86C0" w:rsidR="00627DFC" w:rsidRPr="00F15230" w:rsidRDefault="00627DFC" w:rsidP="00627DFC">
            <w:pPr>
              <w:pStyle w:val="TableRowNormal"/>
              <w:tabs>
                <w:tab w:val="clear" w:pos="1440"/>
                <w:tab w:val="clear" w:pos="2160"/>
                <w:tab w:val="clear" w:pos="2880"/>
                <w:tab w:val="left" w:pos="978"/>
              </w:tabs>
              <w:jc w:val="left"/>
              <w:rPr>
                <w:rFonts w:cstheme="minorHAnsi"/>
              </w:rPr>
            </w:pPr>
            <w:r w:rsidRPr="00F15230">
              <w:rPr>
                <w:rFonts w:cstheme="minorHAnsi"/>
              </w:rPr>
              <w:t>Recognises differences in wage costs between States.</w:t>
            </w:r>
          </w:p>
        </w:tc>
      </w:tr>
      <w:tr w:rsidR="00C41B33" w:rsidRPr="00F15230" w14:paraId="573A832A" w14:textId="77777777" w:rsidTr="00BB1AEE">
        <w:tc>
          <w:tcPr>
            <w:tcW w:w="1135" w:type="pct"/>
            <w:tcBorders>
              <w:top w:val="single" w:sz="4" w:space="0" w:color="auto"/>
            </w:tcBorders>
          </w:tcPr>
          <w:p w14:paraId="7CB7DBBD" w14:textId="304E23A6" w:rsidR="00C41B33" w:rsidRPr="00F15230" w:rsidRDefault="00C41B33" w:rsidP="00627DFC">
            <w:pPr>
              <w:pStyle w:val="CGCTableStub"/>
              <w:rPr>
                <w:rFonts w:cstheme="minorHAnsi"/>
              </w:rPr>
            </w:pPr>
            <w:r w:rsidRPr="00F15230">
              <w:rPr>
                <w:rFonts w:cstheme="minorHAnsi"/>
              </w:rPr>
              <w:t>Communi</w:t>
            </w:r>
            <w:r w:rsidR="007A6EB1" w:rsidRPr="00F15230">
              <w:rPr>
                <w:rFonts w:cstheme="minorHAnsi"/>
              </w:rPr>
              <w:t xml:space="preserve">ty and public health services </w:t>
            </w:r>
          </w:p>
        </w:tc>
        <w:tc>
          <w:tcPr>
            <w:tcW w:w="932" w:type="pct"/>
            <w:tcBorders>
              <w:top w:val="single" w:sz="4" w:space="0" w:color="auto"/>
            </w:tcBorders>
          </w:tcPr>
          <w:p w14:paraId="3475D859" w14:textId="77777777" w:rsidR="00C41B33" w:rsidRPr="00F15230" w:rsidRDefault="00C41B33" w:rsidP="00BB1AEE">
            <w:pPr>
              <w:pStyle w:val="TableRowNormal"/>
              <w:jc w:val="left"/>
              <w:rPr>
                <w:rFonts w:cstheme="minorHAnsi"/>
              </w:rPr>
            </w:pPr>
            <w:r w:rsidRPr="00F15230">
              <w:rPr>
                <w:rFonts w:cstheme="minorHAnsi"/>
              </w:rPr>
              <w:t xml:space="preserve">SDC </w:t>
            </w:r>
          </w:p>
          <w:p w14:paraId="27F99D62" w14:textId="77777777" w:rsidR="00C41B33" w:rsidRPr="00F15230" w:rsidRDefault="00C41B33" w:rsidP="00BB1AEE">
            <w:pPr>
              <w:pStyle w:val="TableRowNormal"/>
              <w:jc w:val="left"/>
              <w:rPr>
                <w:rFonts w:cstheme="minorHAnsi"/>
              </w:rPr>
            </w:pPr>
          </w:p>
        </w:tc>
        <w:tc>
          <w:tcPr>
            <w:tcW w:w="2933" w:type="pct"/>
            <w:tcBorders>
              <w:top w:val="single" w:sz="4" w:space="0" w:color="auto"/>
            </w:tcBorders>
          </w:tcPr>
          <w:p w14:paraId="2E178448" w14:textId="236CDF0A" w:rsidR="00C41B33" w:rsidRPr="00F15230" w:rsidRDefault="00C41B33" w:rsidP="00BB1AEE">
            <w:pPr>
              <w:pStyle w:val="TableRowNormal"/>
              <w:jc w:val="left"/>
              <w:rPr>
                <w:rFonts w:cstheme="minorHAnsi"/>
              </w:rPr>
            </w:pPr>
            <w:r w:rsidRPr="00F15230">
              <w:rPr>
                <w:rFonts w:cstheme="minorHAnsi"/>
              </w:rPr>
              <w:t xml:space="preserve">Recognises that </w:t>
            </w:r>
            <w:r w:rsidR="00FC27A1">
              <w:rPr>
                <w:rFonts w:cstheme="minorHAnsi"/>
              </w:rPr>
              <w:t xml:space="preserve">the </w:t>
            </w:r>
            <w:r w:rsidRPr="00F15230">
              <w:rPr>
                <w:rFonts w:cstheme="minorHAnsi"/>
              </w:rPr>
              <w:t>use and cost of State provided services differ among different population groups</w:t>
            </w:r>
            <w:r w:rsidR="00A44E74">
              <w:rPr>
                <w:rFonts w:cstheme="minorHAnsi"/>
              </w:rPr>
              <w:t xml:space="preserve"> and region</w:t>
            </w:r>
            <w:r w:rsidR="00FC27A1">
              <w:rPr>
                <w:rFonts w:cstheme="minorHAnsi"/>
              </w:rPr>
              <w:t>s.</w:t>
            </w:r>
          </w:p>
        </w:tc>
      </w:tr>
      <w:tr w:rsidR="00C41B33" w:rsidRPr="00F15230" w14:paraId="1F0AFE2C" w14:textId="77777777" w:rsidTr="00BB1AEE">
        <w:tc>
          <w:tcPr>
            <w:tcW w:w="1135" w:type="pct"/>
          </w:tcPr>
          <w:p w14:paraId="7AC6C742" w14:textId="77777777" w:rsidR="00C41B33" w:rsidRPr="00F15230" w:rsidRDefault="00C41B33" w:rsidP="00BB1AEE">
            <w:pPr>
              <w:pStyle w:val="CGCTableStub"/>
              <w:rPr>
                <w:rFonts w:cstheme="minorHAnsi"/>
              </w:rPr>
            </w:pPr>
          </w:p>
        </w:tc>
        <w:tc>
          <w:tcPr>
            <w:tcW w:w="932" w:type="pct"/>
          </w:tcPr>
          <w:p w14:paraId="36D7297C" w14:textId="77777777" w:rsidR="00C41B33" w:rsidRPr="00F15230" w:rsidRDefault="00C41B33" w:rsidP="00BB1AEE">
            <w:pPr>
              <w:pStyle w:val="TableRowNormal"/>
              <w:jc w:val="left"/>
              <w:rPr>
                <w:rFonts w:cstheme="minorHAnsi"/>
              </w:rPr>
            </w:pPr>
            <w:r w:rsidRPr="00F15230">
              <w:rPr>
                <w:rFonts w:cstheme="minorHAnsi"/>
              </w:rPr>
              <w:t>Non</w:t>
            </w:r>
            <w:r w:rsidRPr="00F15230">
              <w:rPr>
                <w:rFonts w:cstheme="minorHAnsi"/>
              </w:rPr>
              <w:noBreakHyphen/>
              <w:t>State sector</w:t>
            </w:r>
          </w:p>
        </w:tc>
        <w:tc>
          <w:tcPr>
            <w:tcW w:w="2933" w:type="pct"/>
          </w:tcPr>
          <w:p w14:paraId="775F5349" w14:textId="76977969" w:rsidR="00C41B33" w:rsidRPr="00F15230" w:rsidRDefault="00C41B33" w:rsidP="00914C36">
            <w:pPr>
              <w:pStyle w:val="TableRowNormal"/>
              <w:jc w:val="left"/>
              <w:rPr>
                <w:rFonts w:cstheme="minorHAnsi"/>
              </w:rPr>
            </w:pPr>
            <w:r w:rsidRPr="00F15230">
              <w:rPr>
                <w:rFonts w:cstheme="minorHAnsi"/>
              </w:rPr>
              <w:t>Recognises the impact of the non-State sector on substitutable spending on community and public health services</w:t>
            </w:r>
            <w:r w:rsidR="00FC27A1">
              <w:rPr>
                <w:rFonts w:cstheme="minorHAnsi"/>
              </w:rPr>
              <w:t>.</w:t>
            </w:r>
          </w:p>
        </w:tc>
      </w:tr>
      <w:tr w:rsidR="00C41B33" w:rsidRPr="00F15230" w14:paraId="75D556EA" w14:textId="77777777" w:rsidTr="00627DFC">
        <w:tc>
          <w:tcPr>
            <w:tcW w:w="1135" w:type="pct"/>
          </w:tcPr>
          <w:p w14:paraId="03C5B222" w14:textId="77777777" w:rsidR="00C41B33" w:rsidRPr="00F15230" w:rsidRDefault="00C41B33" w:rsidP="00BB1AEE">
            <w:pPr>
              <w:pStyle w:val="CGCTableStub"/>
              <w:rPr>
                <w:rFonts w:cstheme="minorHAnsi"/>
              </w:rPr>
            </w:pPr>
          </w:p>
        </w:tc>
        <w:tc>
          <w:tcPr>
            <w:tcW w:w="932" w:type="pct"/>
          </w:tcPr>
          <w:p w14:paraId="524F7527" w14:textId="77777777" w:rsidR="00C41B33" w:rsidRPr="00F15230" w:rsidRDefault="00C41B33" w:rsidP="00BB1AEE">
            <w:pPr>
              <w:pStyle w:val="Default"/>
              <w:rPr>
                <w:sz w:val="20"/>
                <w:szCs w:val="20"/>
              </w:rPr>
            </w:pPr>
            <w:proofErr w:type="spellStart"/>
            <w:r w:rsidRPr="00F15230">
              <w:rPr>
                <w:sz w:val="20"/>
                <w:szCs w:val="20"/>
              </w:rPr>
              <w:t>IRHD</w:t>
            </w:r>
            <w:proofErr w:type="spellEnd"/>
            <w:r w:rsidRPr="00F15230">
              <w:rPr>
                <w:sz w:val="20"/>
                <w:szCs w:val="20"/>
              </w:rPr>
              <w:t xml:space="preserve"> adjustment </w:t>
            </w:r>
          </w:p>
          <w:p w14:paraId="4D4E38DA" w14:textId="77777777" w:rsidR="00C41B33" w:rsidRPr="00F15230" w:rsidRDefault="00C41B33" w:rsidP="00BB1AEE">
            <w:pPr>
              <w:pStyle w:val="TableRowNormal"/>
              <w:ind w:left="0" w:firstLine="0"/>
              <w:jc w:val="left"/>
              <w:rPr>
                <w:rFonts w:cstheme="minorHAnsi"/>
              </w:rPr>
            </w:pPr>
          </w:p>
        </w:tc>
        <w:tc>
          <w:tcPr>
            <w:tcW w:w="2933" w:type="pct"/>
          </w:tcPr>
          <w:p w14:paraId="4CE7DB4F" w14:textId="20873834" w:rsidR="00C41B33" w:rsidRPr="00F15230" w:rsidRDefault="00C41B33" w:rsidP="00BB1AEE">
            <w:pPr>
              <w:pStyle w:val="TableRowNormal"/>
              <w:jc w:val="left"/>
              <w:rPr>
                <w:rFonts w:cstheme="minorHAnsi"/>
              </w:rPr>
            </w:pPr>
            <w:r w:rsidRPr="00F15230">
              <w:rPr>
                <w:rFonts w:cstheme="minorHAnsi"/>
              </w:rPr>
              <w:t>Recognises the impact of Commonwealth grants to Indigenous community health organisations</w:t>
            </w:r>
            <w:r w:rsidR="00FC27A1">
              <w:rPr>
                <w:rFonts w:cstheme="minorHAnsi"/>
              </w:rPr>
              <w:t>.</w:t>
            </w:r>
          </w:p>
        </w:tc>
      </w:tr>
      <w:tr w:rsidR="00C41B33" w:rsidRPr="00F15230" w14:paraId="36D10345" w14:textId="77777777" w:rsidTr="00627DFC">
        <w:tc>
          <w:tcPr>
            <w:tcW w:w="1135" w:type="pct"/>
          </w:tcPr>
          <w:p w14:paraId="14743A75" w14:textId="77777777" w:rsidR="00C41B33" w:rsidRPr="00F15230" w:rsidRDefault="00C41B33" w:rsidP="00BB1AEE">
            <w:pPr>
              <w:pStyle w:val="CGCTableStub"/>
              <w:rPr>
                <w:rFonts w:cstheme="minorHAnsi"/>
              </w:rPr>
            </w:pPr>
          </w:p>
        </w:tc>
        <w:tc>
          <w:tcPr>
            <w:tcW w:w="932" w:type="pct"/>
          </w:tcPr>
          <w:p w14:paraId="49F36043" w14:textId="77777777" w:rsidR="00C41B33" w:rsidRPr="00F15230" w:rsidRDefault="00C41B33" w:rsidP="00BB1AEE">
            <w:pPr>
              <w:pStyle w:val="TableRowNormal"/>
              <w:jc w:val="left"/>
              <w:rPr>
                <w:rFonts w:cstheme="minorHAnsi"/>
              </w:rPr>
            </w:pPr>
            <w:r w:rsidRPr="00F15230">
              <w:rPr>
                <w:rFonts w:cstheme="minorHAnsi"/>
              </w:rPr>
              <w:t xml:space="preserve">Cross-border </w:t>
            </w:r>
          </w:p>
        </w:tc>
        <w:tc>
          <w:tcPr>
            <w:tcW w:w="2933" w:type="pct"/>
          </w:tcPr>
          <w:p w14:paraId="18C0C84D" w14:textId="7E83E5A6" w:rsidR="00C41B33" w:rsidRPr="00F15230" w:rsidRDefault="00C41B33" w:rsidP="00BB1AEE">
            <w:pPr>
              <w:pStyle w:val="TableRowNormal"/>
              <w:jc w:val="left"/>
              <w:rPr>
                <w:rFonts w:cstheme="minorHAnsi"/>
              </w:rPr>
            </w:pPr>
            <w:r w:rsidRPr="00F15230">
              <w:rPr>
                <w:rFonts w:cstheme="minorHAnsi"/>
              </w:rPr>
              <w:t>Recognises the cost to the ACT of providing services to NSW residents</w:t>
            </w:r>
            <w:r w:rsidR="00FC27A1">
              <w:rPr>
                <w:rFonts w:cstheme="minorHAnsi"/>
              </w:rPr>
              <w:t>.</w:t>
            </w:r>
          </w:p>
        </w:tc>
      </w:tr>
      <w:tr w:rsidR="00627DFC" w:rsidRPr="00F15230" w14:paraId="32A0F3FD" w14:textId="77777777" w:rsidTr="00627DFC">
        <w:tc>
          <w:tcPr>
            <w:tcW w:w="1135" w:type="pct"/>
            <w:tcBorders>
              <w:bottom w:val="single" w:sz="4" w:space="0" w:color="auto"/>
            </w:tcBorders>
          </w:tcPr>
          <w:p w14:paraId="26786DF0" w14:textId="77777777" w:rsidR="00627DFC" w:rsidRPr="00F15230" w:rsidRDefault="00627DFC" w:rsidP="00BB1AEE">
            <w:pPr>
              <w:pStyle w:val="CGCTableStub"/>
              <w:rPr>
                <w:rFonts w:cstheme="minorHAnsi"/>
              </w:rPr>
            </w:pPr>
          </w:p>
        </w:tc>
        <w:tc>
          <w:tcPr>
            <w:tcW w:w="932" w:type="pct"/>
            <w:tcBorders>
              <w:bottom w:val="single" w:sz="4" w:space="0" w:color="auto"/>
            </w:tcBorders>
          </w:tcPr>
          <w:p w14:paraId="751E600F" w14:textId="0D6029A0" w:rsidR="00627DFC" w:rsidRPr="00F15230" w:rsidRDefault="00627DFC" w:rsidP="00BB1AEE">
            <w:pPr>
              <w:pStyle w:val="TableRowNormal"/>
              <w:jc w:val="left"/>
              <w:rPr>
                <w:rFonts w:cstheme="minorHAnsi"/>
              </w:rPr>
            </w:pPr>
            <w:r w:rsidRPr="00F15230">
              <w:rPr>
                <w:rFonts w:cstheme="minorHAnsi"/>
              </w:rPr>
              <w:t>Wages</w:t>
            </w:r>
          </w:p>
        </w:tc>
        <w:tc>
          <w:tcPr>
            <w:tcW w:w="2933" w:type="pct"/>
            <w:tcBorders>
              <w:bottom w:val="single" w:sz="4" w:space="0" w:color="auto"/>
            </w:tcBorders>
          </w:tcPr>
          <w:p w14:paraId="2958116B" w14:textId="6FD7CBDB" w:rsidR="00627DFC" w:rsidRPr="00F15230" w:rsidRDefault="00627DFC" w:rsidP="00627DFC">
            <w:pPr>
              <w:pStyle w:val="TableRowNormal"/>
              <w:tabs>
                <w:tab w:val="clear" w:pos="1440"/>
                <w:tab w:val="clear" w:pos="2160"/>
                <w:tab w:val="clear" w:pos="2880"/>
                <w:tab w:val="left" w:pos="978"/>
              </w:tabs>
              <w:jc w:val="left"/>
              <w:rPr>
                <w:rFonts w:cstheme="minorHAnsi"/>
              </w:rPr>
            </w:pPr>
            <w:r w:rsidRPr="00F15230">
              <w:rPr>
                <w:rFonts w:cstheme="minorHAnsi"/>
              </w:rPr>
              <w:t>Recognises differences in wage costs between States.</w:t>
            </w:r>
          </w:p>
        </w:tc>
      </w:tr>
      <w:tr w:rsidR="00C41B33" w:rsidRPr="00F15230" w14:paraId="6B1FBB98" w14:textId="77777777" w:rsidTr="00627DFC">
        <w:tc>
          <w:tcPr>
            <w:tcW w:w="1135" w:type="pct"/>
          </w:tcPr>
          <w:p w14:paraId="0B774AFB" w14:textId="77777777" w:rsidR="00C41B33" w:rsidRPr="00F15230" w:rsidRDefault="00C41B33" w:rsidP="00BB1AEE">
            <w:pPr>
              <w:pStyle w:val="Default"/>
              <w:rPr>
                <w:sz w:val="20"/>
                <w:szCs w:val="20"/>
              </w:rPr>
            </w:pPr>
            <w:r w:rsidRPr="00F15230">
              <w:rPr>
                <w:sz w:val="20"/>
                <w:szCs w:val="20"/>
              </w:rPr>
              <w:t xml:space="preserve">Non-hospital patient transport </w:t>
            </w:r>
          </w:p>
        </w:tc>
        <w:tc>
          <w:tcPr>
            <w:tcW w:w="932" w:type="pct"/>
          </w:tcPr>
          <w:p w14:paraId="7A843BA6" w14:textId="77777777" w:rsidR="00C41B33" w:rsidRPr="00F15230" w:rsidRDefault="00C41B33" w:rsidP="00BB1AEE">
            <w:pPr>
              <w:pStyle w:val="TableRowNormal"/>
              <w:jc w:val="left"/>
              <w:rPr>
                <w:rFonts w:cstheme="minorHAnsi"/>
              </w:rPr>
            </w:pPr>
            <w:r w:rsidRPr="00F15230">
              <w:rPr>
                <w:rFonts w:cstheme="minorHAnsi"/>
              </w:rPr>
              <w:t>Remoteness</w:t>
            </w:r>
          </w:p>
        </w:tc>
        <w:tc>
          <w:tcPr>
            <w:tcW w:w="2933" w:type="pct"/>
          </w:tcPr>
          <w:p w14:paraId="3DF13F8C" w14:textId="250E0B71" w:rsidR="00C41B33" w:rsidRPr="00F15230" w:rsidRDefault="00C41B33" w:rsidP="00BB1AEE">
            <w:pPr>
              <w:pStyle w:val="Default"/>
              <w:rPr>
                <w:sz w:val="20"/>
                <w:szCs w:val="20"/>
              </w:rPr>
            </w:pPr>
            <w:r w:rsidRPr="00F15230">
              <w:rPr>
                <w:sz w:val="20"/>
                <w:szCs w:val="20"/>
              </w:rPr>
              <w:t>Recognises the additional costs of providing non-hospital patient transport to people in remote regions</w:t>
            </w:r>
            <w:r w:rsidR="00FC27A1">
              <w:rPr>
                <w:sz w:val="20"/>
                <w:szCs w:val="20"/>
              </w:rPr>
              <w:t>.</w:t>
            </w:r>
            <w:r w:rsidRPr="00F15230">
              <w:rPr>
                <w:sz w:val="20"/>
                <w:szCs w:val="20"/>
              </w:rPr>
              <w:t xml:space="preserve"> </w:t>
            </w:r>
          </w:p>
        </w:tc>
      </w:tr>
      <w:tr w:rsidR="00627DFC" w:rsidRPr="00F15230" w14:paraId="1C321C9D" w14:textId="77777777" w:rsidTr="00BB1AEE">
        <w:tc>
          <w:tcPr>
            <w:tcW w:w="1135" w:type="pct"/>
            <w:tcBorders>
              <w:bottom w:val="single" w:sz="4" w:space="0" w:color="auto"/>
            </w:tcBorders>
          </w:tcPr>
          <w:p w14:paraId="3584BE13" w14:textId="77777777" w:rsidR="00627DFC" w:rsidRPr="00F15230" w:rsidRDefault="00627DFC" w:rsidP="00BB1AEE">
            <w:pPr>
              <w:pStyle w:val="Default"/>
              <w:rPr>
                <w:sz w:val="20"/>
                <w:szCs w:val="20"/>
              </w:rPr>
            </w:pPr>
          </w:p>
        </w:tc>
        <w:tc>
          <w:tcPr>
            <w:tcW w:w="932" w:type="pct"/>
            <w:tcBorders>
              <w:bottom w:val="single" w:sz="4" w:space="0" w:color="auto"/>
            </w:tcBorders>
          </w:tcPr>
          <w:p w14:paraId="407CAAA8" w14:textId="10ABCAEF" w:rsidR="00627DFC" w:rsidRPr="00F15230" w:rsidRDefault="00627DFC" w:rsidP="00627DFC">
            <w:pPr>
              <w:pStyle w:val="TableRowNormal"/>
              <w:jc w:val="center"/>
              <w:rPr>
                <w:rFonts w:cstheme="minorHAnsi"/>
              </w:rPr>
            </w:pPr>
            <w:r w:rsidRPr="00F15230">
              <w:rPr>
                <w:rFonts w:cstheme="minorHAnsi"/>
              </w:rPr>
              <w:t>Wages</w:t>
            </w:r>
            <w:r w:rsidRPr="00F15230">
              <w:rPr>
                <w:rFonts w:cstheme="minorHAnsi"/>
              </w:rPr>
              <w:tab/>
            </w:r>
            <w:r w:rsidRPr="00F15230">
              <w:rPr>
                <w:rFonts w:cstheme="minorHAnsi"/>
              </w:rPr>
              <w:tab/>
            </w:r>
          </w:p>
        </w:tc>
        <w:tc>
          <w:tcPr>
            <w:tcW w:w="2933" w:type="pct"/>
            <w:tcBorders>
              <w:bottom w:val="single" w:sz="4" w:space="0" w:color="auto"/>
            </w:tcBorders>
          </w:tcPr>
          <w:p w14:paraId="09ABBB03" w14:textId="44B48AC4" w:rsidR="00627DFC" w:rsidRPr="00F15230" w:rsidRDefault="00627DFC" w:rsidP="00627DFC">
            <w:pPr>
              <w:pStyle w:val="TableRowNormal"/>
              <w:tabs>
                <w:tab w:val="clear" w:pos="1440"/>
                <w:tab w:val="clear" w:pos="2160"/>
                <w:tab w:val="clear" w:pos="2880"/>
                <w:tab w:val="left" w:pos="978"/>
              </w:tabs>
              <w:jc w:val="left"/>
            </w:pPr>
            <w:r w:rsidRPr="00F15230">
              <w:rPr>
                <w:rFonts w:cstheme="minorHAnsi"/>
              </w:rPr>
              <w:t>Recognises differences in wage costs between States.</w:t>
            </w:r>
          </w:p>
        </w:tc>
      </w:tr>
    </w:tbl>
    <w:p w14:paraId="3B6C98FA" w14:textId="5D3C64EE" w:rsidR="00C41B33" w:rsidRPr="00F15230" w:rsidRDefault="00C41B33" w:rsidP="00627DFC">
      <w:pPr>
        <w:pStyle w:val="CGCTableFootnote"/>
      </w:pPr>
      <w:r w:rsidRPr="00F15230">
        <w:t>(a)</w:t>
      </w:r>
      <w:r w:rsidRPr="00F15230">
        <w:tab/>
      </w:r>
      <w:r w:rsidR="00627DFC" w:rsidRPr="00F15230">
        <w:t xml:space="preserve">Remoteness costs are </w:t>
      </w:r>
      <w:r w:rsidR="00FC27A1" w:rsidRPr="00F15230">
        <w:t>included</w:t>
      </w:r>
      <w:r w:rsidR="00627DFC" w:rsidRPr="00F15230">
        <w:t xml:space="preserve"> in the SDC assessments.</w:t>
      </w:r>
      <w:r w:rsidRPr="00F15230">
        <w:t xml:space="preserve"> </w:t>
      </w:r>
    </w:p>
    <w:p w14:paraId="503571E1" w14:textId="70FFF9D0" w:rsidR="00C41B33" w:rsidRPr="00F15230" w:rsidRDefault="00BF47B4" w:rsidP="00C41B33">
      <w:pPr>
        <w:pStyle w:val="Heading4"/>
      </w:pPr>
      <w:bookmarkStart w:id="174" w:name="_Toc508800361"/>
      <w:bookmarkStart w:id="175" w:name="_Toc508800495"/>
      <w:bookmarkStart w:id="176" w:name="_Toc509231104"/>
      <w:bookmarkStart w:id="177" w:name="_Toc511054129"/>
      <w:bookmarkStart w:id="178" w:name="_Toc511127571"/>
      <w:bookmarkStart w:id="179" w:name="_Toc511977549"/>
      <w:r>
        <w:t xml:space="preserve">Data and </w:t>
      </w:r>
      <w:r w:rsidR="00C41B33" w:rsidRPr="00F15230">
        <w:t>information sought from States</w:t>
      </w:r>
      <w:bookmarkEnd w:id="174"/>
      <w:bookmarkEnd w:id="175"/>
      <w:bookmarkEnd w:id="176"/>
      <w:bookmarkEnd w:id="177"/>
      <w:bookmarkEnd w:id="178"/>
      <w:bookmarkEnd w:id="179"/>
    </w:p>
    <w:p w14:paraId="2D5EB462" w14:textId="3F3759C8" w:rsidR="00C41B33" w:rsidRPr="00F15230" w:rsidRDefault="00A44E74" w:rsidP="00C41B33">
      <w:pPr>
        <w:pStyle w:val="CGCNumberedPara"/>
        <w:numPr>
          <w:ilvl w:val="1"/>
          <w:numId w:val="3"/>
        </w:numPr>
      </w:pPr>
      <w:r>
        <w:t>States are invited to comment on all the issues raised in this paper. In particular, s</w:t>
      </w:r>
      <w:r w:rsidR="00C41B33" w:rsidRPr="00F15230">
        <w:t xml:space="preserve">taff </w:t>
      </w:r>
      <w:r>
        <w:t xml:space="preserve">are seeking </w:t>
      </w:r>
      <w:r w:rsidR="00C41B33" w:rsidRPr="00F15230">
        <w:t xml:space="preserve">data/views </w:t>
      </w:r>
      <w:r>
        <w:t>on the following</w:t>
      </w:r>
      <w:r w:rsidR="00C41B33" w:rsidRPr="00F15230">
        <w:t xml:space="preserve">: </w:t>
      </w:r>
    </w:p>
    <w:p w14:paraId="57B0EAB6" w14:textId="497C3163" w:rsidR="00A44E74" w:rsidRDefault="00A44E74" w:rsidP="00D37118">
      <w:pPr>
        <w:pStyle w:val="CGCBulletlist"/>
        <w:numPr>
          <w:ilvl w:val="0"/>
          <w:numId w:val="1"/>
        </w:numPr>
        <w:tabs>
          <w:tab w:val="clear" w:pos="927"/>
        </w:tabs>
        <w:ind w:left="1134" w:hanging="567"/>
      </w:pPr>
      <w:r>
        <w:t>views on the quality and fitness for purpose of IHPA data for the SDC assessments</w:t>
      </w:r>
    </w:p>
    <w:p w14:paraId="1E1165F2" w14:textId="5BE6CC7C" w:rsidR="00FC27A1" w:rsidRDefault="00FC27A1" w:rsidP="00D37118">
      <w:pPr>
        <w:pStyle w:val="CGCBulletlist"/>
        <w:numPr>
          <w:ilvl w:val="0"/>
          <w:numId w:val="1"/>
        </w:numPr>
        <w:tabs>
          <w:tab w:val="clear" w:pos="927"/>
        </w:tabs>
        <w:ind w:left="1134" w:hanging="567"/>
      </w:pPr>
      <w:r>
        <w:t>views on the substitutability levels for hospital and community health services</w:t>
      </w:r>
    </w:p>
    <w:p w14:paraId="5EA8B142" w14:textId="30195A7B" w:rsidR="00C41B33" w:rsidRPr="00F15230" w:rsidRDefault="00C41B33" w:rsidP="00D37118">
      <w:pPr>
        <w:pStyle w:val="CGCBulletlist"/>
        <w:numPr>
          <w:ilvl w:val="0"/>
          <w:numId w:val="1"/>
        </w:numPr>
        <w:tabs>
          <w:tab w:val="clear" w:pos="927"/>
        </w:tabs>
        <w:ind w:left="1134" w:hanging="567"/>
      </w:pPr>
      <w:proofErr w:type="gramStart"/>
      <w:r w:rsidRPr="00F15230">
        <w:t>use</w:t>
      </w:r>
      <w:proofErr w:type="gramEnd"/>
      <w:r w:rsidRPr="00F15230">
        <w:t xml:space="preserve"> and cost data on State </w:t>
      </w:r>
      <w:r w:rsidR="00A44E74">
        <w:t xml:space="preserve">provided </w:t>
      </w:r>
      <w:r w:rsidRPr="00F15230">
        <w:t>community health services</w:t>
      </w:r>
      <w:r w:rsidR="007569A4" w:rsidRPr="00F15230">
        <w:t>.</w:t>
      </w:r>
    </w:p>
    <w:p w14:paraId="3E75898B" w14:textId="77777777" w:rsidR="00092749" w:rsidRPr="00F15230" w:rsidRDefault="00092749" w:rsidP="00092749">
      <w:pPr>
        <w:pStyle w:val="NoSpacing"/>
      </w:pPr>
    </w:p>
    <w:p w14:paraId="3E2A60AE" w14:textId="77777777" w:rsidR="00092749" w:rsidRPr="00F15230" w:rsidRDefault="00092749" w:rsidP="00532D10">
      <w:pPr>
        <w:pStyle w:val="Heading2"/>
        <w:sectPr w:rsidR="00092749" w:rsidRPr="00F15230" w:rsidSect="000F5712">
          <w:footerReference w:type="default" r:id="rId23"/>
          <w:footerReference w:type="first" r:id="rId24"/>
          <w:pgSz w:w="11899" w:h="16838" w:code="9"/>
          <w:pgMar w:top="1701" w:right="1474" w:bottom="1701" w:left="1474" w:header="709" w:footer="709" w:gutter="0"/>
          <w:pgNumType w:start="1"/>
          <w:cols w:space="708"/>
          <w:titlePg/>
          <w:docGrid w:linePitch="299"/>
        </w:sectPr>
      </w:pPr>
      <w:bookmarkStart w:id="180" w:name="_Toc106707732"/>
      <w:bookmarkStart w:id="181" w:name="_Toc155675943"/>
      <w:bookmarkStart w:id="182" w:name="_Toc174415778"/>
      <w:bookmarkStart w:id="183" w:name="_Toc174415943"/>
      <w:bookmarkStart w:id="184" w:name="_Toc174416628"/>
      <w:bookmarkStart w:id="185" w:name="_Toc174416670"/>
    </w:p>
    <w:p w14:paraId="23560B5B" w14:textId="75704838" w:rsidR="00804E37" w:rsidRPr="00F15230" w:rsidRDefault="00804E37" w:rsidP="00804E37">
      <w:pPr>
        <w:pStyle w:val="Heading2"/>
        <w:spacing w:after="240"/>
      </w:pPr>
      <w:bookmarkStart w:id="186" w:name="_Attachment_A_—"/>
      <w:bookmarkStart w:id="187" w:name="_Toc508800497"/>
      <w:bookmarkStart w:id="188" w:name="_Toc509231106"/>
      <w:bookmarkStart w:id="189" w:name="_Toc511054131"/>
      <w:bookmarkStart w:id="190" w:name="_Toc511127573"/>
      <w:bookmarkStart w:id="191" w:name="_Ref511202344"/>
      <w:bookmarkStart w:id="192" w:name="_Ref511202548"/>
      <w:bookmarkStart w:id="193" w:name="_Toc511977550"/>
      <w:bookmarkStart w:id="194" w:name="_Toc508800496"/>
      <w:bookmarkStart w:id="195" w:name="_Toc509231105"/>
      <w:bookmarkStart w:id="196" w:name="_Toc511054130"/>
      <w:bookmarkStart w:id="197" w:name="_Toc511127572"/>
      <w:bookmarkStart w:id="198" w:name="_Ref511202484"/>
      <w:bookmarkStart w:id="199" w:name="_Ref511202566"/>
      <w:bookmarkStart w:id="200" w:name="_Toc499818754"/>
      <w:bookmarkStart w:id="201" w:name="_Toc499818844"/>
      <w:bookmarkEnd w:id="186"/>
      <w:r w:rsidRPr="00F15230">
        <w:lastRenderedPageBreak/>
        <w:t xml:space="preserve">Attachment </w:t>
      </w:r>
      <w:r>
        <w:t>A</w:t>
      </w:r>
      <w:r w:rsidRPr="00F15230">
        <w:t xml:space="preserve"> — Subtraction approach</w:t>
      </w:r>
      <w:bookmarkEnd w:id="187"/>
      <w:bookmarkEnd w:id="188"/>
      <w:bookmarkEnd w:id="189"/>
      <w:bookmarkEnd w:id="190"/>
      <w:bookmarkEnd w:id="191"/>
      <w:bookmarkEnd w:id="192"/>
      <w:bookmarkEnd w:id="193"/>
    </w:p>
    <w:p w14:paraId="36FE79A7" w14:textId="77777777" w:rsidR="00804E37" w:rsidRPr="00F15230" w:rsidRDefault="00804E37" w:rsidP="00804E37">
      <w:pPr>
        <w:pStyle w:val="CGCNumberedPara"/>
        <w:numPr>
          <w:ilvl w:val="1"/>
          <w:numId w:val="42"/>
        </w:numPr>
      </w:pPr>
      <w:r w:rsidRPr="00F15230">
        <w:t>The decision in the 2010 Review to adopt a subtraction approach for non-admitted patient services was based on two major issues for the assessment at that time.</w:t>
      </w:r>
    </w:p>
    <w:p w14:paraId="5B8DBC1B" w14:textId="77777777" w:rsidR="00804E37" w:rsidRPr="00F15230" w:rsidRDefault="00804E37" w:rsidP="00804E37">
      <w:pPr>
        <w:pStyle w:val="CGCBulletlist"/>
        <w:numPr>
          <w:ilvl w:val="0"/>
          <w:numId w:val="1"/>
        </w:numPr>
        <w:tabs>
          <w:tab w:val="clear" w:pos="927"/>
        </w:tabs>
        <w:ind w:left="1134" w:hanging="567"/>
      </w:pPr>
      <w:r w:rsidRPr="00F15230">
        <w:t>A lack of comprehensive and reliable administrative data on the use and cost of State provided ED, NAP and community and other health services.</w:t>
      </w:r>
    </w:p>
    <w:p w14:paraId="677639BD" w14:textId="77777777" w:rsidR="00804E37" w:rsidRPr="00F15230" w:rsidRDefault="00804E37" w:rsidP="00804E37">
      <w:pPr>
        <w:pStyle w:val="CGCBulletlist"/>
        <w:numPr>
          <w:ilvl w:val="0"/>
          <w:numId w:val="1"/>
        </w:numPr>
        <w:tabs>
          <w:tab w:val="clear" w:pos="927"/>
        </w:tabs>
        <w:ind w:left="1134" w:hanging="567"/>
      </w:pPr>
      <w:r w:rsidRPr="00F15230">
        <w:t>A large and well-developed non-State sector providing similar services to those provided by States in a number of areas which affects what States need to spend.</w:t>
      </w:r>
      <w:r w:rsidRPr="00F15230">
        <w:rPr>
          <w:rStyle w:val="FootnoteReference"/>
        </w:rPr>
        <w:footnoteReference w:id="21"/>
      </w:r>
      <w:r w:rsidRPr="00F15230">
        <w:t xml:space="preserve"> </w:t>
      </w:r>
    </w:p>
    <w:p w14:paraId="3D91F103" w14:textId="77777777" w:rsidR="00804E37" w:rsidRPr="00F15230" w:rsidRDefault="00804E37" w:rsidP="00804E37">
      <w:pPr>
        <w:pStyle w:val="CGCNumberedPara"/>
        <w:numPr>
          <w:ilvl w:val="1"/>
          <w:numId w:val="3"/>
        </w:numPr>
      </w:pPr>
      <w:r w:rsidRPr="00F15230">
        <w:t>In adopting a subtraction approach in the 2010 Review the Commission concluded that States are responsible for providing services not provided by the non-State sector, particularly in areas where it is uneconomic for non-State providers to operate. The subtraction approach assumed that State and non</w:t>
      </w:r>
      <w:r w:rsidRPr="00F15230">
        <w:noBreakHyphen/>
        <w:t>State provided services are fully substitutable with the result that relatively high levels of non</w:t>
      </w:r>
      <w:r w:rsidRPr="00F15230">
        <w:noBreakHyphen/>
        <w:t>State service provision would reduce what States needed to spend.</w:t>
      </w:r>
    </w:p>
    <w:p w14:paraId="22D7C267" w14:textId="77777777" w:rsidR="00804E37" w:rsidRPr="00F15230" w:rsidRDefault="00804E37" w:rsidP="00804E37">
      <w:pPr>
        <w:pStyle w:val="CGCNumberedPara"/>
        <w:numPr>
          <w:ilvl w:val="1"/>
          <w:numId w:val="3"/>
        </w:numPr>
      </w:pPr>
      <w:r w:rsidRPr="00F15230">
        <w:t>During the 2010 Review the Commission engaged a consultant</w:t>
      </w:r>
      <w:r w:rsidRPr="00F15230">
        <w:rPr>
          <w:rStyle w:val="FootnoteReference"/>
        </w:rPr>
        <w:footnoteReference w:id="22"/>
      </w:r>
      <w:r w:rsidRPr="00F15230">
        <w:t xml:space="preserve"> to review the conceptual validity of the subtraction approach and the full substitutability assumption, and he concluded that it was reasonable to assume the majority of services provided by the States and non</w:t>
      </w:r>
      <w:r w:rsidRPr="00F15230">
        <w:noBreakHyphen/>
        <w:t>State providers were equivalent and substitutable.</w:t>
      </w:r>
    </w:p>
    <w:p w14:paraId="4A49B9BE" w14:textId="02A1AE69" w:rsidR="00804E37" w:rsidRPr="00F15230" w:rsidRDefault="00804E37" w:rsidP="00804E37">
      <w:pPr>
        <w:pStyle w:val="CGCNumberedPara"/>
        <w:numPr>
          <w:ilvl w:val="1"/>
          <w:numId w:val="3"/>
        </w:numPr>
      </w:pPr>
      <w:r w:rsidRPr="00F15230">
        <w:t>Under the subtraction approach, the Commission calculated assessed expenditure on State</w:t>
      </w:r>
      <w:r w:rsidRPr="00F15230">
        <w:noBreakHyphen/>
        <w:t>like non</w:t>
      </w:r>
      <w:r w:rsidRPr="00F15230">
        <w:noBreakHyphen/>
        <w:t>admitted patient services by all sectors — Commonwealth, State or local government and the private sector. The assessment was based on national cost weighted use of these services and the socio</w:t>
      </w:r>
      <w:r w:rsidRPr="00F15230">
        <w:noBreakHyphen/>
        <w:t xml:space="preserve">demographic composition of the population in each State. It then subtracted </w:t>
      </w:r>
      <w:r>
        <w:t xml:space="preserve">estimated </w:t>
      </w:r>
      <w:r w:rsidRPr="00F15230">
        <w:t>expenditure by the non</w:t>
      </w:r>
      <w:r>
        <w:noBreakHyphen/>
      </w:r>
      <w:r w:rsidRPr="00F15230">
        <w:t>State sector on State</w:t>
      </w:r>
      <w:r w:rsidRPr="00F15230">
        <w:noBreakHyphen/>
        <w:t xml:space="preserve">like services to derive a residual amount representing the spending requirement to be funded by each State. The calculations are illustrated in </w:t>
      </w:r>
      <w:r w:rsidRPr="00F15230">
        <w:fldChar w:fldCharType="begin"/>
      </w:r>
      <w:r w:rsidRPr="00F15230">
        <w:instrText xml:space="preserve"> REF _Ref497992715 \h </w:instrText>
      </w:r>
      <w:r>
        <w:instrText xml:space="preserve"> \* MERGEFORMAT </w:instrText>
      </w:r>
      <w:r w:rsidRPr="00F15230">
        <w:fldChar w:fldCharType="separate"/>
      </w:r>
      <w:r w:rsidR="005A6E12" w:rsidRPr="00F15230">
        <w:t xml:space="preserve">Table </w:t>
      </w:r>
      <w:r w:rsidR="005A6E12">
        <w:t>10</w:t>
      </w:r>
      <w:r w:rsidRPr="00F15230">
        <w:fldChar w:fldCharType="end"/>
      </w:r>
      <w:r w:rsidRPr="00F15230">
        <w:t>.</w:t>
      </w:r>
    </w:p>
    <w:p w14:paraId="09677D14" w14:textId="77777777" w:rsidR="00804E37" w:rsidRPr="00F15230" w:rsidRDefault="00804E37" w:rsidP="00804E37">
      <w:pPr>
        <w:pStyle w:val="Heading4"/>
      </w:pPr>
      <w:bookmarkStart w:id="202" w:name="_Toc499818755"/>
      <w:bookmarkStart w:id="203" w:name="_Toc499818845"/>
      <w:bookmarkStart w:id="204" w:name="_Toc500228931"/>
      <w:bookmarkStart w:id="205" w:name="_Toc508800364"/>
      <w:bookmarkStart w:id="206" w:name="_Toc508800498"/>
      <w:bookmarkStart w:id="207" w:name="_Toc509231107"/>
      <w:bookmarkStart w:id="208" w:name="_Toc511054132"/>
      <w:bookmarkStart w:id="209" w:name="_Toc511127574"/>
      <w:bookmarkStart w:id="210" w:name="_Toc511918460"/>
      <w:bookmarkStart w:id="211" w:name="_Toc511977551"/>
      <w:r w:rsidRPr="00F15230">
        <w:t>Issues with the 2010 Review subtraction approach</w:t>
      </w:r>
      <w:bookmarkEnd w:id="202"/>
      <w:bookmarkEnd w:id="203"/>
      <w:bookmarkEnd w:id="204"/>
      <w:bookmarkEnd w:id="205"/>
      <w:bookmarkEnd w:id="206"/>
      <w:bookmarkEnd w:id="207"/>
      <w:bookmarkEnd w:id="208"/>
      <w:bookmarkEnd w:id="209"/>
      <w:bookmarkEnd w:id="210"/>
      <w:bookmarkEnd w:id="211"/>
    </w:p>
    <w:p w14:paraId="62360D94" w14:textId="77777777" w:rsidR="00804E37" w:rsidRPr="00F15230" w:rsidRDefault="00804E37" w:rsidP="00804E37">
      <w:pPr>
        <w:pStyle w:val="CGCNumberedPara"/>
      </w:pPr>
      <w:r w:rsidRPr="00F15230">
        <w:t>The Commission’s decision in the 2015 Review to move away from a subtraction approach was made for a number of reasons</w:t>
      </w:r>
      <w:r>
        <w:t>, which are discussed in the following paragraphs</w:t>
      </w:r>
      <w:r w:rsidRPr="00F15230">
        <w:t xml:space="preserve">. </w:t>
      </w:r>
    </w:p>
    <w:p w14:paraId="4EB3D223" w14:textId="77777777" w:rsidR="00804E37" w:rsidRPr="00F15230" w:rsidRDefault="00804E37" w:rsidP="00804E37">
      <w:pPr>
        <w:pStyle w:val="Caption"/>
      </w:pPr>
      <w:bookmarkStart w:id="212" w:name="_Ref497992715"/>
      <w:r w:rsidRPr="00F15230">
        <w:lastRenderedPageBreak/>
        <w:t xml:space="preserve">Table </w:t>
      </w:r>
      <w:r w:rsidR="00CD3D12">
        <w:fldChar w:fldCharType="begin"/>
      </w:r>
      <w:r w:rsidR="00CD3D12">
        <w:instrText xml:space="preserve"> SEQ Table \* ARABIC </w:instrText>
      </w:r>
      <w:r w:rsidR="00CD3D12">
        <w:fldChar w:fldCharType="separate"/>
      </w:r>
      <w:r w:rsidR="005A6E12">
        <w:rPr>
          <w:noProof/>
        </w:rPr>
        <w:t>10</w:t>
      </w:r>
      <w:r w:rsidR="00CD3D12">
        <w:rPr>
          <w:noProof/>
        </w:rPr>
        <w:fldChar w:fldCharType="end"/>
      </w:r>
      <w:bookmarkEnd w:id="212"/>
      <w:r w:rsidRPr="00F15230">
        <w:tab/>
        <w:t>Illustration of subtraction approach</w:t>
      </w:r>
      <w:r>
        <w:t>, 2011</w:t>
      </w:r>
      <w:r>
        <w:noBreakHyphen/>
        <w:t>12</w:t>
      </w:r>
      <w:r w:rsidRPr="00F15230">
        <w:t xml:space="preserve"> </w:t>
      </w:r>
    </w:p>
    <w:tbl>
      <w:tblPr>
        <w:tblW w:w="9000" w:type="dxa"/>
        <w:tblLayout w:type="fixed"/>
        <w:tblCellMar>
          <w:left w:w="0" w:type="dxa"/>
          <w:right w:w="0" w:type="dxa"/>
        </w:tblCellMar>
        <w:tblLook w:val="04A0" w:firstRow="1" w:lastRow="0" w:firstColumn="1" w:lastColumn="0" w:noHBand="0" w:noVBand="1"/>
      </w:tblPr>
      <w:tblGrid>
        <w:gridCol w:w="3200"/>
        <w:gridCol w:w="700"/>
        <w:gridCol w:w="700"/>
        <w:gridCol w:w="580"/>
        <w:gridCol w:w="580"/>
        <w:gridCol w:w="640"/>
        <w:gridCol w:w="640"/>
        <w:gridCol w:w="640"/>
        <w:gridCol w:w="640"/>
        <w:gridCol w:w="680"/>
      </w:tblGrid>
      <w:tr w:rsidR="00804E37" w:rsidRPr="00F15230" w14:paraId="0B044EFF" w14:textId="77777777" w:rsidTr="00CE66A2">
        <w:trPr>
          <w:trHeight w:val="375"/>
        </w:trPr>
        <w:tc>
          <w:tcPr>
            <w:tcW w:w="3200" w:type="dxa"/>
            <w:tcBorders>
              <w:top w:val="single" w:sz="4" w:space="0" w:color="auto"/>
              <w:left w:val="nil"/>
              <w:bottom w:val="single" w:sz="4" w:space="0" w:color="auto"/>
              <w:right w:val="nil"/>
            </w:tcBorders>
            <w:shd w:val="clear" w:color="auto" w:fill="auto"/>
            <w:noWrap/>
            <w:vAlign w:val="center"/>
            <w:hideMark/>
          </w:tcPr>
          <w:p w14:paraId="63916DB7" w14:textId="77777777" w:rsidR="00804E37" w:rsidRPr="00F15230" w:rsidRDefault="00804E37" w:rsidP="00CE66A2">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w:t>
            </w:r>
          </w:p>
        </w:tc>
        <w:tc>
          <w:tcPr>
            <w:tcW w:w="700" w:type="dxa"/>
            <w:tcBorders>
              <w:top w:val="single" w:sz="4" w:space="0" w:color="auto"/>
              <w:left w:val="nil"/>
              <w:bottom w:val="single" w:sz="4" w:space="0" w:color="auto"/>
              <w:right w:val="nil"/>
            </w:tcBorders>
            <w:shd w:val="clear" w:color="auto" w:fill="auto"/>
            <w:noWrap/>
            <w:vAlign w:val="center"/>
            <w:hideMark/>
          </w:tcPr>
          <w:p w14:paraId="5D2AFFFD"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14:paraId="55AB6613"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Vic</w:t>
            </w:r>
          </w:p>
        </w:tc>
        <w:tc>
          <w:tcPr>
            <w:tcW w:w="580" w:type="dxa"/>
            <w:tcBorders>
              <w:top w:val="single" w:sz="4" w:space="0" w:color="auto"/>
              <w:left w:val="nil"/>
              <w:bottom w:val="single" w:sz="4" w:space="0" w:color="auto"/>
              <w:right w:val="nil"/>
            </w:tcBorders>
            <w:shd w:val="clear" w:color="auto" w:fill="auto"/>
            <w:noWrap/>
            <w:vAlign w:val="center"/>
            <w:hideMark/>
          </w:tcPr>
          <w:p w14:paraId="2B77C696"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Qld</w:t>
            </w:r>
          </w:p>
        </w:tc>
        <w:tc>
          <w:tcPr>
            <w:tcW w:w="580" w:type="dxa"/>
            <w:tcBorders>
              <w:top w:val="single" w:sz="4" w:space="0" w:color="auto"/>
              <w:left w:val="nil"/>
              <w:bottom w:val="single" w:sz="4" w:space="0" w:color="auto"/>
              <w:right w:val="nil"/>
            </w:tcBorders>
            <w:shd w:val="clear" w:color="auto" w:fill="auto"/>
            <w:noWrap/>
            <w:vAlign w:val="center"/>
            <w:hideMark/>
          </w:tcPr>
          <w:p w14:paraId="2D0A409C"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14:paraId="7D5D6B86"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14:paraId="03F2DF21"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Tas</w:t>
            </w:r>
          </w:p>
        </w:tc>
        <w:tc>
          <w:tcPr>
            <w:tcW w:w="640" w:type="dxa"/>
            <w:tcBorders>
              <w:top w:val="single" w:sz="4" w:space="0" w:color="auto"/>
              <w:left w:val="nil"/>
              <w:bottom w:val="single" w:sz="4" w:space="0" w:color="auto"/>
              <w:right w:val="nil"/>
            </w:tcBorders>
            <w:shd w:val="clear" w:color="auto" w:fill="auto"/>
            <w:noWrap/>
            <w:vAlign w:val="center"/>
            <w:hideMark/>
          </w:tcPr>
          <w:p w14:paraId="1766BA99"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14:paraId="5B114F9B"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NT</w:t>
            </w:r>
          </w:p>
        </w:tc>
        <w:tc>
          <w:tcPr>
            <w:tcW w:w="680" w:type="dxa"/>
            <w:tcBorders>
              <w:top w:val="single" w:sz="4" w:space="0" w:color="auto"/>
              <w:left w:val="nil"/>
              <w:bottom w:val="single" w:sz="4" w:space="0" w:color="auto"/>
              <w:right w:val="nil"/>
            </w:tcBorders>
            <w:shd w:val="clear" w:color="auto" w:fill="auto"/>
            <w:noWrap/>
            <w:vAlign w:val="center"/>
            <w:hideMark/>
          </w:tcPr>
          <w:p w14:paraId="4227C6D9"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Total </w:t>
            </w:r>
          </w:p>
        </w:tc>
      </w:tr>
      <w:tr w:rsidR="00804E37" w:rsidRPr="00F15230" w14:paraId="3A6F64EB" w14:textId="77777777" w:rsidTr="00CE66A2">
        <w:trPr>
          <w:trHeight w:val="255"/>
        </w:trPr>
        <w:tc>
          <w:tcPr>
            <w:tcW w:w="3200" w:type="dxa"/>
            <w:tcBorders>
              <w:top w:val="nil"/>
              <w:left w:val="nil"/>
              <w:bottom w:val="nil"/>
              <w:right w:val="nil"/>
            </w:tcBorders>
            <w:shd w:val="clear" w:color="auto" w:fill="auto"/>
            <w:noWrap/>
            <w:vAlign w:val="bottom"/>
            <w:hideMark/>
          </w:tcPr>
          <w:p w14:paraId="3F575026" w14:textId="77777777" w:rsidR="00804E37" w:rsidRPr="00F15230" w:rsidRDefault="00804E37" w:rsidP="00CE66A2">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00" w:type="dxa"/>
            <w:tcBorders>
              <w:top w:val="nil"/>
              <w:left w:val="nil"/>
              <w:bottom w:val="nil"/>
              <w:right w:val="nil"/>
            </w:tcBorders>
            <w:shd w:val="clear" w:color="auto" w:fill="auto"/>
            <w:noWrap/>
            <w:vAlign w:val="bottom"/>
            <w:hideMark/>
          </w:tcPr>
          <w:p w14:paraId="13AA8E89"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c>
          <w:tcPr>
            <w:tcW w:w="700" w:type="dxa"/>
            <w:tcBorders>
              <w:top w:val="nil"/>
              <w:left w:val="nil"/>
              <w:bottom w:val="nil"/>
              <w:right w:val="nil"/>
            </w:tcBorders>
            <w:shd w:val="clear" w:color="auto" w:fill="auto"/>
            <w:noWrap/>
            <w:vAlign w:val="bottom"/>
            <w:hideMark/>
          </w:tcPr>
          <w:p w14:paraId="112AD140"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c>
          <w:tcPr>
            <w:tcW w:w="580" w:type="dxa"/>
            <w:tcBorders>
              <w:top w:val="nil"/>
              <w:left w:val="nil"/>
              <w:bottom w:val="nil"/>
              <w:right w:val="nil"/>
            </w:tcBorders>
            <w:shd w:val="clear" w:color="auto" w:fill="auto"/>
            <w:noWrap/>
            <w:vAlign w:val="bottom"/>
            <w:hideMark/>
          </w:tcPr>
          <w:p w14:paraId="32AA2F8F"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c>
          <w:tcPr>
            <w:tcW w:w="580" w:type="dxa"/>
            <w:tcBorders>
              <w:top w:val="nil"/>
              <w:left w:val="nil"/>
              <w:bottom w:val="nil"/>
              <w:right w:val="nil"/>
            </w:tcBorders>
            <w:shd w:val="clear" w:color="auto" w:fill="auto"/>
            <w:noWrap/>
            <w:vAlign w:val="bottom"/>
            <w:hideMark/>
          </w:tcPr>
          <w:p w14:paraId="45EF5A57"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0A6989D6"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0DD97C23"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6B7BF054"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0CBFA767"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c>
          <w:tcPr>
            <w:tcW w:w="680" w:type="dxa"/>
            <w:tcBorders>
              <w:top w:val="nil"/>
              <w:left w:val="nil"/>
              <w:bottom w:val="nil"/>
              <w:right w:val="nil"/>
            </w:tcBorders>
            <w:shd w:val="clear" w:color="auto" w:fill="auto"/>
            <w:noWrap/>
            <w:vAlign w:val="bottom"/>
            <w:hideMark/>
          </w:tcPr>
          <w:p w14:paraId="2F85C8A6"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$m</w:t>
            </w:r>
          </w:p>
        </w:tc>
      </w:tr>
      <w:tr w:rsidR="00804E37" w:rsidRPr="00F15230" w14:paraId="277A7270" w14:textId="77777777" w:rsidTr="00CE66A2">
        <w:trPr>
          <w:trHeight w:val="555"/>
        </w:trPr>
        <w:tc>
          <w:tcPr>
            <w:tcW w:w="3200" w:type="dxa"/>
            <w:tcBorders>
              <w:top w:val="nil"/>
              <w:left w:val="nil"/>
              <w:bottom w:val="nil"/>
              <w:right w:val="nil"/>
            </w:tcBorders>
            <w:shd w:val="clear" w:color="auto" w:fill="auto"/>
            <w:vAlign w:val="bottom"/>
            <w:hideMark/>
          </w:tcPr>
          <w:p w14:paraId="5E7F5254" w14:textId="77777777" w:rsidR="00804E37" w:rsidRPr="00F15230" w:rsidRDefault="00804E37" w:rsidP="00CE66A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A. SDC assessed expenditure on </w:t>
            </w:r>
            <w:r w:rsidRPr="00F15230">
              <w:rPr>
                <w:rFonts w:ascii="Calibri" w:eastAsia="Times New Roman" w:hAnsi="Calibri" w:cs="Times New Roman"/>
                <w:color w:val="000000"/>
                <w:sz w:val="20"/>
                <w:szCs w:val="20"/>
                <w:lang w:eastAsia="en-AU"/>
              </w:rPr>
              <w:br/>
              <w:t>State-like services</w:t>
            </w:r>
          </w:p>
        </w:tc>
        <w:tc>
          <w:tcPr>
            <w:tcW w:w="700" w:type="dxa"/>
            <w:tcBorders>
              <w:top w:val="nil"/>
              <w:left w:val="nil"/>
              <w:bottom w:val="nil"/>
              <w:right w:val="nil"/>
            </w:tcBorders>
            <w:shd w:val="clear" w:color="auto" w:fill="auto"/>
            <w:noWrap/>
            <w:vAlign w:val="bottom"/>
            <w:hideMark/>
          </w:tcPr>
          <w:p w14:paraId="55863AE1"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13 633</w:t>
            </w:r>
          </w:p>
        </w:tc>
        <w:tc>
          <w:tcPr>
            <w:tcW w:w="700" w:type="dxa"/>
            <w:tcBorders>
              <w:top w:val="nil"/>
              <w:left w:val="nil"/>
              <w:bottom w:val="nil"/>
              <w:right w:val="nil"/>
            </w:tcBorders>
            <w:shd w:val="clear" w:color="auto" w:fill="auto"/>
            <w:noWrap/>
            <w:vAlign w:val="bottom"/>
            <w:hideMark/>
          </w:tcPr>
          <w:p w14:paraId="198DA5D4"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10 386</w:t>
            </w:r>
          </w:p>
        </w:tc>
        <w:tc>
          <w:tcPr>
            <w:tcW w:w="580" w:type="dxa"/>
            <w:tcBorders>
              <w:top w:val="nil"/>
              <w:left w:val="nil"/>
              <w:bottom w:val="nil"/>
              <w:right w:val="nil"/>
            </w:tcBorders>
            <w:shd w:val="clear" w:color="auto" w:fill="auto"/>
            <w:noWrap/>
            <w:vAlign w:val="bottom"/>
            <w:hideMark/>
          </w:tcPr>
          <w:p w14:paraId="6A1F728E"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8 475</w:t>
            </w:r>
          </w:p>
        </w:tc>
        <w:tc>
          <w:tcPr>
            <w:tcW w:w="580" w:type="dxa"/>
            <w:tcBorders>
              <w:top w:val="nil"/>
              <w:left w:val="nil"/>
              <w:bottom w:val="nil"/>
              <w:right w:val="nil"/>
            </w:tcBorders>
            <w:shd w:val="clear" w:color="auto" w:fill="auto"/>
            <w:noWrap/>
            <w:vAlign w:val="bottom"/>
            <w:hideMark/>
          </w:tcPr>
          <w:p w14:paraId="537AA8CC"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4 520</w:t>
            </w:r>
          </w:p>
        </w:tc>
        <w:tc>
          <w:tcPr>
            <w:tcW w:w="640" w:type="dxa"/>
            <w:tcBorders>
              <w:top w:val="nil"/>
              <w:left w:val="nil"/>
              <w:bottom w:val="nil"/>
              <w:right w:val="nil"/>
            </w:tcBorders>
            <w:shd w:val="clear" w:color="auto" w:fill="auto"/>
            <w:noWrap/>
            <w:vAlign w:val="bottom"/>
            <w:hideMark/>
          </w:tcPr>
          <w:p w14:paraId="23AA7393"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3 114</w:t>
            </w:r>
          </w:p>
        </w:tc>
        <w:tc>
          <w:tcPr>
            <w:tcW w:w="640" w:type="dxa"/>
            <w:tcBorders>
              <w:top w:val="nil"/>
              <w:left w:val="nil"/>
              <w:bottom w:val="nil"/>
              <w:right w:val="nil"/>
            </w:tcBorders>
            <w:shd w:val="clear" w:color="auto" w:fill="auto"/>
            <w:noWrap/>
            <w:vAlign w:val="bottom"/>
            <w:hideMark/>
          </w:tcPr>
          <w:p w14:paraId="5D20A398"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970</w:t>
            </w:r>
          </w:p>
        </w:tc>
        <w:tc>
          <w:tcPr>
            <w:tcW w:w="640" w:type="dxa"/>
            <w:tcBorders>
              <w:top w:val="nil"/>
              <w:left w:val="nil"/>
              <w:bottom w:val="nil"/>
              <w:right w:val="nil"/>
            </w:tcBorders>
            <w:shd w:val="clear" w:color="auto" w:fill="auto"/>
            <w:noWrap/>
            <w:vAlign w:val="bottom"/>
            <w:hideMark/>
          </w:tcPr>
          <w:p w14:paraId="4830EC37"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690</w:t>
            </w:r>
          </w:p>
        </w:tc>
        <w:tc>
          <w:tcPr>
            <w:tcW w:w="640" w:type="dxa"/>
            <w:tcBorders>
              <w:top w:val="nil"/>
              <w:left w:val="nil"/>
              <w:bottom w:val="nil"/>
              <w:right w:val="nil"/>
            </w:tcBorders>
            <w:shd w:val="clear" w:color="auto" w:fill="auto"/>
            <w:noWrap/>
            <w:vAlign w:val="bottom"/>
            <w:hideMark/>
          </w:tcPr>
          <w:p w14:paraId="17E2C656"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536</w:t>
            </w:r>
          </w:p>
        </w:tc>
        <w:tc>
          <w:tcPr>
            <w:tcW w:w="680" w:type="dxa"/>
            <w:tcBorders>
              <w:top w:val="nil"/>
              <w:left w:val="nil"/>
              <w:bottom w:val="nil"/>
              <w:right w:val="nil"/>
            </w:tcBorders>
            <w:shd w:val="clear" w:color="auto" w:fill="auto"/>
            <w:noWrap/>
            <w:vAlign w:val="bottom"/>
            <w:hideMark/>
          </w:tcPr>
          <w:p w14:paraId="71DF883D"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42 324</w:t>
            </w:r>
          </w:p>
        </w:tc>
      </w:tr>
      <w:tr w:rsidR="00804E37" w:rsidRPr="00F15230" w14:paraId="6E3D2505" w14:textId="77777777" w:rsidTr="00CE66A2">
        <w:trPr>
          <w:trHeight w:val="315"/>
        </w:trPr>
        <w:tc>
          <w:tcPr>
            <w:tcW w:w="3200" w:type="dxa"/>
            <w:tcBorders>
              <w:top w:val="nil"/>
              <w:left w:val="nil"/>
              <w:bottom w:val="nil"/>
              <w:right w:val="nil"/>
            </w:tcBorders>
            <w:shd w:val="clear" w:color="auto" w:fill="auto"/>
            <w:noWrap/>
            <w:vAlign w:val="bottom"/>
            <w:hideMark/>
          </w:tcPr>
          <w:p w14:paraId="1F850A48" w14:textId="77777777" w:rsidR="00804E37" w:rsidRPr="00F15230" w:rsidRDefault="00804E37" w:rsidP="00CE66A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B1. Commonwealth medical expenses</w:t>
            </w:r>
          </w:p>
        </w:tc>
        <w:tc>
          <w:tcPr>
            <w:tcW w:w="700" w:type="dxa"/>
            <w:tcBorders>
              <w:top w:val="nil"/>
              <w:left w:val="nil"/>
              <w:bottom w:val="nil"/>
              <w:right w:val="nil"/>
            </w:tcBorders>
            <w:shd w:val="clear" w:color="auto" w:fill="auto"/>
            <w:noWrap/>
            <w:vAlign w:val="bottom"/>
            <w:hideMark/>
          </w:tcPr>
          <w:p w14:paraId="4DE82C98"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4 825</w:t>
            </w:r>
          </w:p>
        </w:tc>
        <w:tc>
          <w:tcPr>
            <w:tcW w:w="700" w:type="dxa"/>
            <w:tcBorders>
              <w:top w:val="nil"/>
              <w:left w:val="nil"/>
              <w:bottom w:val="nil"/>
              <w:right w:val="nil"/>
            </w:tcBorders>
            <w:shd w:val="clear" w:color="auto" w:fill="auto"/>
            <w:noWrap/>
            <w:vAlign w:val="bottom"/>
            <w:hideMark/>
          </w:tcPr>
          <w:p w14:paraId="5F03A526"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3 356</w:t>
            </w:r>
          </w:p>
        </w:tc>
        <w:tc>
          <w:tcPr>
            <w:tcW w:w="580" w:type="dxa"/>
            <w:tcBorders>
              <w:top w:val="nil"/>
              <w:left w:val="nil"/>
              <w:bottom w:val="nil"/>
              <w:right w:val="nil"/>
            </w:tcBorders>
            <w:shd w:val="clear" w:color="auto" w:fill="auto"/>
            <w:noWrap/>
            <w:vAlign w:val="bottom"/>
            <w:hideMark/>
          </w:tcPr>
          <w:p w14:paraId="29E38C28"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2 545</w:t>
            </w:r>
          </w:p>
        </w:tc>
        <w:tc>
          <w:tcPr>
            <w:tcW w:w="580" w:type="dxa"/>
            <w:tcBorders>
              <w:top w:val="nil"/>
              <w:left w:val="nil"/>
              <w:bottom w:val="nil"/>
              <w:right w:val="nil"/>
            </w:tcBorders>
            <w:shd w:val="clear" w:color="auto" w:fill="auto"/>
            <w:noWrap/>
            <w:vAlign w:val="bottom"/>
            <w:hideMark/>
          </w:tcPr>
          <w:p w14:paraId="19849CD8"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1 013</w:t>
            </w:r>
          </w:p>
        </w:tc>
        <w:tc>
          <w:tcPr>
            <w:tcW w:w="640" w:type="dxa"/>
            <w:tcBorders>
              <w:top w:val="nil"/>
              <w:left w:val="nil"/>
              <w:bottom w:val="nil"/>
              <w:right w:val="nil"/>
            </w:tcBorders>
            <w:shd w:val="clear" w:color="auto" w:fill="auto"/>
            <w:noWrap/>
            <w:vAlign w:val="bottom"/>
            <w:hideMark/>
          </w:tcPr>
          <w:p w14:paraId="0F81DACC"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963</w:t>
            </w:r>
          </w:p>
        </w:tc>
        <w:tc>
          <w:tcPr>
            <w:tcW w:w="640" w:type="dxa"/>
            <w:tcBorders>
              <w:top w:val="nil"/>
              <w:left w:val="nil"/>
              <w:bottom w:val="nil"/>
              <w:right w:val="nil"/>
            </w:tcBorders>
            <w:shd w:val="clear" w:color="auto" w:fill="auto"/>
            <w:noWrap/>
            <w:vAlign w:val="bottom"/>
            <w:hideMark/>
          </w:tcPr>
          <w:p w14:paraId="03B36CCD"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256</w:t>
            </w:r>
          </w:p>
        </w:tc>
        <w:tc>
          <w:tcPr>
            <w:tcW w:w="640" w:type="dxa"/>
            <w:tcBorders>
              <w:top w:val="nil"/>
              <w:left w:val="nil"/>
              <w:bottom w:val="nil"/>
              <w:right w:val="nil"/>
            </w:tcBorders>
            <w:shd w:val="clear" w:color="auto" w:fill="auto"/>
            <w:noWrap/>
            <w:vAlign w:val="bottom"/>
            <w:hideMark/>
          </w:tcPr>
          <w:p w14:paraId="156199CA"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161</w:t>
            </w:r>
          </w:p>
        </w:tc>
        <w:tc>
          <w:tcPr>
            <w:tcW w:w="640" w:type="dxa"/>
            <w:tcBorders>
              <w:top w:val="nil"/>
              <w:left w:val="nil"/>
              <w:bottom w:val="nil"/>
              <w:right w:val="nil"/>
            </w:tcBorders>
            <w:shd w:val="clear" w:color="auto" w:fill="auto"/>
            <w:noWrap/>
            <w:vAlign w:val="bottom"/>
            <w:hideMark/>
          </w:tcPr>
          <w:p w14:paraId="5C559F64"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69</w:t>
            </w:r>
          </w:p>
        </w:tc>
        <w:tc>
          <w:tcPr>
            <w:tcW w:w="680" w:type="dxa"/>
            <w:tcBorders>
              <w:top w:val="nil"/>
              <w:left w:val="nil"/>
              <w:bottom w:val="nil"/>
              <w:right w:val="nil"/>
            </w:tcBorders>
            <w:shd w:val="clear" w:color="auto" w:fill="auto"/>
            <w:noWrap/>
            <w:vAlign w:val="bottom"/>
            <w:hideMark/>
          </w:tcPr>
          <w:p w14:paraId="5BD0A455"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13 188</w:t>
            </w:r>
          </w:p>
        </w:tc>
      </w:tr>
      <w:tr w:rsidR="00804E37" w:rsidRPr="00F15230" w14:paraId="17FB03D6" w14:textId="77777777" w:rsidTr="00CE66A2">
        <w:trPr>
          <w:trHeight w:val="555"/>
        </w:trPr>
        <w:tc>
          <w:tcPr>
            <w:tcW w:w="3200" w:type="dxa"/>
            <w:tcBorders>
              <w:top w:val="nil"/>
              <w:left w:val="nil"/>
              <w:bottom w:val="nil"/>
              <w:right w:val="nil"/>
            </w:tcBorders>
            <w:shd w:val="clear" w:color="auto" w:fill="auto"/>
            <w:vAlign w:val="bottom"/>
            <w:hideMark/>
          </w:tcPr>
          <w:p w14:paraId="3AC23058" w14:textId="77777777" w:rsidR="00804E37" w:rsidRPr="00F15230" w:rsidRDefault="00804E37" w:rsidP="00CE66A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B2. Commonwealth Indigenous health grants to NGOs</w:t>
            </w:r>
          </w:p>
        </w:tc>
        <w:tc>
          <w:tcPr>
            <w:tcW w:w="700" w:type="dxa"/>
            <w:tcBorders>
              <w:top w:val="nil"/>
              <w:left w:val="nil"/>
              <w:bottom w:val="nil"/>
              <w:right w:val="nil"/>
            </w:tcBorders>
            <w:shd w:val="clear" w:color="auto" w:fill="auto"/>
            <w:noWrap/>
            <w:vAlign w:val="bottom"/>
            <w:hideMark/>
          </w:tcPr>
          <w:p w14:paraId="46C57FA7"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79</w:t>
            </w:r>
          </w:p>
        </w:tc>
        <w:tc>
          <w:tcPr>
            <w:tcW w:w="700" w:type="dxa"/>
            <w:tcBorders>
              <w:top w:val="nil"/>
              <w:left w:val="nil"/>
              <w:bottom w:val="nil"/>
              <w:right w:val="nil"/>
            </w:tcBorders>
            <w:shd w:val="clear" w:color="auto" w:fill="auto"/>
            <w:noWrap/>
            <w:vAlign w:val="bottom"/>
            <w:hideMark/>
          </w:tcPr>
          <w:p w14:paraId="21BF01C9"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36</w:t>
            </w:r>
          </w:p>
        </w:tc>
        <w:tc>
          <w:tcPr>
            <w:tcW w:w="580" w:type="dxa"/>
            <w:tcBorders>
              <w:top w:val="nil"/>
              <w:left w:val="nil"/>
              <w:bottom w:val="nil"/>
              <w:right w:val="nil"/>
            </w:tcBorders>
            <w:shd w:val="clear" w:color="auto" w:fill="auto"/>
            <w:noWrap/>
            <w:vAlign w:val="bottom"/>
            <w:hideMark/>
          </w:tcPr>
          <w:p w14:paraId="37B446E0"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97</w:t>
            </w:r>
          </w:p>
        </w:tc>
        <w:tc>
          <w:tcPr>
            <w:tcW w:w="580" w:type="dxa"/>
            <w:tcBorders>
              <w:top w:val="nil"/>
              <w:left w:val="nil"/>
              <w:bottom w:val="nil"/>
              <w:right w:val="nil"/>
            </w:tcBorders>
            <w:shd w:val="clear" w:color="auto" w:fill="auto"/>
            <w:noWrap/>
            <w:vAlign w:val="bottom"/>
            <w:hideMark/>
          </w:tcPr>
          <w:p w14:paraId="1A0FC476"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76</w:t>
            </w:r>
          </w:p>
        </w:tc>
        <w:tc>
          <w:tcPr>
            <w:tcW w:w="640" w:type="dxa"/>
            <w:tcBorders>
              <w:top w:val="nil"/>
              <w:left w:val="nil"/>
              <w:bottom w:val="nil"/>
              <w:right w:val="nil"/>
            </w:tcBorders>
            <w:shd w:val="clear" w:color="auto" w:fill="auto"/>
            <w:noWrap/>
            <w:vAlign w:val="bottom"/>
            <w:hideMark/>
          </w:tcPr>
          <w:p w14:paraId="69F0A879"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36</w:t>
            </w:r>
          </w:p>
        </w:tc>
        <w:tc>
          <w:tcPr>
            <w:tcW w:w="640" w:type="dxa"/>
            <w:tcBorders>
              <w:top w:val="nil"/>
              <w:left w:val="nil"/>
              <w:bottom w:val="nil"/>
              <w:right w:val="nil"/>
            </w:tcBorders>
            <w:shd w:val="clear" w:color="auto" w:fill="auto"/>
            <w:noWrap/>
            <w:vAlign w:val="bottom"/>
            <w:hideMark/>
          </w:tcPr>
          <w:p w14:paraId="507C2058"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8</w:t>
            </w:r>
          </w:p>
        </w:tc>
        <w:tc>
          <w:tcPr>
            <w:tcW w:w="640" w:type="dxa"/>
            <w:tcBorders>
              <w:top w:val="nil"/>
              <w:left w:val="nil"/>
              <w:bottom w:val="nil"/>
              <w:right w:val="nil"/>
            </w:tcBorders>
            <w:shd w:val="clear" w:color="auto" w:fill="auto"/>
            <w:noWrap/>
            <w:vAlign w:val="bottom"/>
            <w:hideMark/>
          </w:tcPr>
          <w:p w14:paraId="44F1A982"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4</w:t>
            </w:r>
          </w:p>
        </w:tc>
        <w:tc>
          <w:tcPr>
            <w:tcW w:w="640" w:type="dxa"/>
            <w:tcBorders>
              <w:top w:val="nil"/>
              <w:left w:val="nil"/>
              <w:bottom w:val="nil"/>
              <w:right w:val="nil"/>
            </w:tcBorders>
            <w:shd w:val="clear" w:color="auto" w:fill="auto"/>
            <w:noWrap/>
            <w:vAlign w:val="bottom"/>
            <w:hideMark/>
          </w:tcPr>
          <w:p w14:paraId="0600BC64"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94</w:t>
            </w:r>
          </w:p>
        </w:tc>
        <w:tc>
          <w:tcPr>
            <w:tcW w:w="680" w:type="dxa"/>
            <w:tcBorders>
              <w:top w:val="nil"/>
              <w:left w:val="nil"/>
              <w:bottom w:val="nil"/>
              <w:right w:val="nil"/>
            </w:tcBorders>
            <w:shd w:val="clear" w:color="auto" w:fill="auto"/>
            <w:noWrap/>
            <w:vAlign w:val="bottom"/>
            <w:hideMark/>
          </w:tcPr>
          <w:p w14:paraId="65480BD6"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431</w:t>
            </w:r>
          </w:p>
        </w:tc>
      </w:tr>
      <w:tr w:rsidR="00804E37" w:rsidRPr="00F15230" w14:paraId="7624E6F7" w14:textId="77777777" w:rsidTr="00CE66A2">
        <w:trPr>
          <w:trHeight w:val="795"/>
        </w:trPr>
        <w:tc>
          <w:tcPr>
            <w:tcW w:w="3200" w:type="dxa"/>
            <w:tcBorders>
              <w:top w:val="nil"/>
              <w:left w:val="nil"/>
              <w:bottom w:val="nil"/>
              <w:right w:val="nil"/>
            </w:tcBorders>
            <w:shd w:val="clear" w:color="auto" w:fill="auto"/>
            <w:vAlign w:val="bottom"/>
            <w:hideMark/>
          </w:tcPr>
          <w:p w14:paraId="13CEDC39" w14:textId="77777777" w:rsidR="00804E37" w:rsidRPr="00F15230" w:rsidRDefault="00804E37" w:rsidP="00CE66A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C1. Health insurance fund contributions to medical and other health services</w:t>
            </w:r>
          </w:p>
        </w:tc>
        <w:tc>
          <w:tcPr>
            <w:tcW w:w="700" w:type="dxa"/>
            <w:tcBorders>
              <w:top w:val="nil"/>
              <w:left w:val="nil"/>
              <w:bottom w:val="nil"/>
              <w:right w:val="nil"/>
            </w:tcBorders>
            <w:shd w:val="clear" w:color="auto" w:fill="auto"/>
            <w:noWrap/>
            <w:vAlign w:val="bottom"/>
            <w:hideMark/>
          </w:tcPr>
          <w:p w14:paraId="01E32205"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2 376</w:t>
            </w:r>
          </w:p>
        </w:tc>
        <w:tc>
          <w:tcPr>
            <w:tcW w:w="700" w:type="dxa"/>
            <w:tcBorders>
              <w:top w:val="nil"/>
              <w:left w:val="nil"/>
              <w:bottom w:val="nil"/>
              <w:right w:val="nil"/>
            </w:tcBorders>
            <w:shd w:val="clear" w:color="auto" w:fill="auto"/>
            <w:noWrap/>
            <w:vAlign w:val="bottom"/>
            <w:hideMark/>
          </w:tcPr>
          <w:p w14:paraId="019CCCD9"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1 607</w:t>
            </w:r>
          </w:p>
        </w:tc>
        <w:tc>
          <w:tcPr>
            <w:tcW w:w="580" w:type="dxa"/>
            <w:tcBorders>
              <w:top w:val="nil"/>
              <w:left w:val="nil"/>
              <w:bottom w:val="nil"/>
              <w:right w:val="nil"/>
            </w:tcBorders>
            <w:shd w:val="clear" w:color="auto" w:fill="auto"/>
            <w:noWrap/>
            <w:vAlign w:val="bottom"/>
            <w:hideMark/>
          </w:tcPr>
          <w:p w14:paraId="776B48B1"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1 385</w:t>
            </w:r>
          </w:p>
        </w:tc>
        <w:tc>
          <w:tcPr>
            <w:tcW w:w="580" w:type="dxa"/>
            <w:tcBorders>
              <w:top w:val="nil"/>
              <w:left w:val="nil"/>
              <w:bottom w:val="nil"/>
              <w:right w:val="nil"/>
            </w:tcBorders>
            <w:shd w:val="clear" w:color="auto" w:fill="auto"/>
            <w:noWrap/>
            <w:vAlign w:val="bottom"/>
            <w:hideMark/>
          </w:tcPr>
          <w:p w14:paraId="69D0B769"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775</w:t>
            </w:r>
          </w:p>
        </w:tc>
        <w:tc>
          <w:tcPr>
            <w:tcW w:w="640" w:type="dxa"/>
            <w:tcBorders>
              <w:top w:val="nil"/>
              <w:left w:val="nil"/>
              <w:bottom w:val="nil"/>
              <w:right w:val="nil"/>
            </w:tcBorders>
            <w:shd w:val="clear" w:color="auto" w:fill="auto"/>
            <w:noWrap/>
            <w:vAlign w:val="bottom"/>
            <w:hideMark/>
          </w:tcPr>
          <w:p w14:paraId="0719339B"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608</w:t>
            </w:r>
          </w:p>
        </w:tc>
        <w:tc>
          <w:tcPr>
            <w:tcW w:w="640" w:type="dxa"/>
            <w:tcBorders>
              <w:top w:val="nil"/>
              <w:left w:val="nil"/>
              <w:bottom w:val="nil"/>
              <w:right w:val="nil"/>
            </w:tcBorders>
            <w:shd w:val="clear" w:color="auto" w:fill="auto"/>
            <w:noWrap/>
            <w:vAlign w:val="bottom"/>
            <w:hideMark/>
          </w:tcPr>
          <w:p w14:paraId="6CDD6978"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134</w:t>
            </w:r>
          </w:p>
        </w:tc>
        <w:tc>
          <w:tcPr>
            <w:tcW w:w="640" w:type="dxa"/>
            <w:tcBorders>
              <w:top w:val="nil"/>
              <w:left w:val="nil"/>
              <w:bottom w:val="nil"/>
              <w:right w:val="nil"/>
            </w:tcBorders>
            <w:shd w:val="clear" w:color="auto" w:fill="auto"/>
            <w:noWrap/>
            <w:vAlign w:val="bottom"/>
            <w:hideMark/>
          </w:tcPr>
          <w:p w14:paraId="05240839"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105</w:t>
            </w:r>
          </w:p>
        </w:tc>
        <w:tc>
          <w:tcPr>
            <w:tcW w:w="640" w:type="dxa"/>
            <w:tcBorders>
              <w:top w:val="nil"/>
              <w:left w:val="nil"/>
              <w:bottom w:val="nil"/>
              <w:right w:val="nil"/>
            </w:tcBorders>
            <w:shd w:val="clear" w:color="auto" w:fill="auto"/>
            <w:noWrap/>
            <w:vAlign w:val="bottom"/>
            <w:hideMark/>
          </w:tcPr>
          <w:p w14:paraId="525C2E46"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37</w:t>
            </w:r>
          </w:p>
        </w:tc>
        <w:tc>
          <w:tcPr>
            <w:tcW w:w="680" w:type="dxa"/>
            <w:tcBorders>
              <w:top w:val="nil"/>
              <w:left w:val="nil"/>
              <w:bottom w:val="nil"/>
              <w:right w:val="nil"/>
            </w:tcBorders>
            <w:shd w:val="clear" w:color="auto" w:fill="auto"/>
            <w:noWrap/>
            <w:vAlign w:val="bottom"/>
            <w:hideMark/>
          </w:tcPr>
          <w:p w14:paraId="35681CC8"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7 027</w:t>
            </w:r>
          </w:p>
        </w:tc>
      </w:tr>
      <w:tr w:rsidR="00804E37" w:rsidRPr="00F15230" w14:paraId="0DE6FB71" w14:textId="77777777" w:rsidTr="00CE66A2">
        <w:trPr>
          <w:trHeight w:val="315"/>
        </w:trPr>
        <w:tc>
          <w:tcPr>
            <w:tcW w:w="3200" w:type="dxa"/>
            <w:tcBorders>
              <w:top w:val="nil"/>
              <w:left w:val="nil"/>
              <w:bottom w:val="nil"/>
              <w:right w:val="nil"/>
            </w:tcBorders>
            <w:shd w:val="clear" w:color="auto" w:fill="auto"/>
            <w:noWrap/>
            <w:vAlign w:val="bottom"/>
            <w:hideMark/>
          </w:tcPr>
          <w:p w14:paraId="00BD886C" w14:textId="77777777" w:rsidR="00804E37" w:rsidRPr="00F15230" w:rsidRDefault="00804E37" w:rsidP="00CE66A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C2. Household out-of-pocket expenses</w:t>
            </w:r>
          </w:p>
        </w:tc>
        <w:tc>
          <w:tcPr>
            <w:tcW w:w="700" w:type="dxa"/>
            <w:tcBorders>
              <w:top w:val="nil"/>
              <w:left w:val="nil"/>
              <w:bottom w:val="single" w:sz="4" w:space="0" w:color="auto"/>
              <w:right w:val="nil"/>
            </w:tcBorders>
            <w:shd w:val="clear" w:color="auto" w:fill="auto"/>
            <w:noWrap/>
            <w:vAlign w:val="bottom"/>
            <w:hideMark/>
          </w:tcPr>
          <w:p w14:paraId="02273FED"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1 213</w:t>
            </w:r>
          </w:p>
        </w:tc>
        <w:tc>
          <w:tcPr>
            <w:tcW w:w="700" w:type="dxa"/>
            <w:tcBorders>
              <w:top w:val="nil"/>
              <w:left w:val="nil"/>
              <w:bottom w:val="single" w:sz="4" w:space="0" w:color="auto"/>
              <w:right w:val="nil"/>
            </w:tcBorders>
            <w:shd w:val="clear" w:color="auto" w:fill="auto"/>
            <w:noWrap/>
            <w:vAlign w:val="bottom"/>
            <w:hideMark/>
          </w:tcPr>
          <w:p w14:paraId="36CC0C6A"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1 030</w:t>
            </w:r>
          </w:p>
        </w:tc>
        <w:tc>
          <w:tcPr>
            <w:tcW w:w="580" w:type="dxa"/>
            <w:tcBorders>
              <w:top w:val="nil"/>
              <w:left w:val="nil"/>
              <w:bottom w:val="single" w:sz="4" w:space="0" w:color="auto"/>
              <w:right w:val="nil"/>
            </w:tcBorders>
            <w:shd w:val="clear" w:color="auto" w:fill="auto"/>
            <w:noWrap/>
            <w:vAlign w:val="bottom"/>
            <w:hideMark/>
          </w:tcPr>
          <w:p w14:paraId="4D050F04"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770</w:t>
            </w:r>
          </w:p>
        </w:tc>
        <w:tc>
          <w:tcPr>
            <w:tcW w:w="580" w:type="dxa"/>
            <w:tcBorders>
              <w:top w:val="nil"/>
              <w:left w:val="nil"/>
              <w:bottom w:val="single" w:sz="4" w:space="0" w:color="auto"/>
              <w:right w:val="nil"/>
            </w:tcBorders>
            <w:shd w:val="clear" w:color="auto" w:fill="auto"/>
            <w:noWrap/>
            <w:vAlign w:val="bottom"/>
            <w:hideMark/>
          </w:tcPr>
          <w:p w14:paraId="561DE923"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300</w:t>
            </w:r>
          </w:p>
        </w:tc>
        <w:tc>
          <w:tcPr>
            <w:tcW w:w="640" w:type="dxa"/>
            <w:tcBorders>
              <w:top w:val="nil"/>
              <w:left w:val="nil"/>
              <w:bottom w:val="single" w:sz="4" w:space="0" w:color="auto"/>
              <w:right w:val="nil"/>
            </w:tcBorders>
            <w:shd w:val="clear" w:color="auto" w:fill="auto"/>
            <w:noWrap/>
            <w:vAlign w:val="bottom"/>
            <w:hideMark/>
          </w:tcPr>
          <w:p w14:paraId="5485D801"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246</w:t>
            </w:r>
          </w:p>
        </w:tc>
        <w:tc>
          <w:tcPr>
            <w:tcW w:w="640" w:type="dxa"/>
            <w:tcBorders>
              <w:top w:val="nil"/>
              <w:left w:val="nil"/>
              <w:bottom w:val="single" w:sz="4" w:space="0" w:color="auto"/>
              <w:right w:val="nil"/>
            </w:tcBorders>
            <w:shd w:val="clear" w:color="auto" w:fill="auto"/>
            <w:noWrap/>
            <w:vAlign w:val="bottom"/>
            <w:hideMark/>
          </w:tcPr>
          <w:p w14:paraId="2DBC749B"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86</w:t>
            </w:r>
          </w:p>
        </w:tc>
        <w:tc>
          <w:tcPr>
            <w:tcW w:w="640" w:type="dxa"/>
            <w:tcBorders>
              <w:top w:val="nil"/>
              <w:left w:val="nil"/>
              <w:bottom w:val="single" w:sz="4" w:space="0" w:color="auto"/>
              <w:right w:val="nil"/>
            </w:tcBorders>
            <w:shd w:val="clear" w:color="auto" w:fill="auto"/>
            <w:noWrap/>
            <w:vAlign w:val="bottom"/>
            <w:hideMark/>
          </w:tcPr>
          <w:p w14:paraId="31D23AC5"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54</w:t>
            </w:r>
          </w:p>
        </w:tc>
        <w:tc>
          <w:tcPr>
            <w:tcW w:w="640" w:type="dxa"/>
            <w:tcBorders>
              <w:top w:val="nil"/>
              <w:left w:val="nil"/>
              <w:bottom w:val="single" w:sz="4" w:space="0" w:color="auto"/>
              <w:right w:val="nil"/>
            </w:tcBorders>
            <w:shd w:val="clear" w:color="auto" w:fill="auto"/>
            <w:noWrap/>
            <w:vAlign w:val="bottom"/>
            <w:hideMark/>
          </w:tcPr>
          <w:p w14:paraId="692576F3"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19</w:t>
            </w:r>
          </w:p>
        </w:tc>
        <w:tc>
          <w:tcPr>
            <w:tcW w:w="680" w:type="dxa"/>
            <w:tcBorders>
              <w:top w:val="nil"/>
              <w:left w:val="nil"/>
              <w:bottom w:val="single" w:sz="4" w:space="0" w:color="auto"/>
              <w:right w:val="nil"/>
            </w:tcBorders>
            <w:shd w:val="clear" w:color="auto" w:fill="auto"/>
            <w:noWrap/>
            <w:vAlign w:val="bottom"/>
            <w:hideMark/>
          </w:tcPr>
          <w:p w14:paraId="5D512AE2"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3 719</w:t>
            </w:r>
          </w:p>
        </w:tc>
      </w:tr>
      <w:tr w:rsidR="00804E37" w:rsidRPr="00F15230" w14:paraId="60090653" w14:textId="77777777" w:rsidTr="00CE66A2">
        <w:trPr>
          <w:trHeight w:val="555"/>
        </w:trPr>
        <w:tc>
          <w:tcPr>
            <w:tcW w:w="3200" w:type="dxa"/>
            <w:tcBorders>
              <w:top w:val="nil"/>
              <w:left w:val="nil"/>
              <w:bottom w:val="single" w:sz="4" w:space="0" w:color="auto"/>
              <w:right w:val="nil"/>
            </w:tcBorders>
            <w:shd w:val="clear" w:color="auto" w:fill="auto"/>
            <w:vAlign w:val="bottom"/>
            <w:hideMark/>
          </w:tcPr>
          <w:p w14:paraId="7148E1A2" w14:textId="77777777" w:rsidR="00804E37" w:rsidRPr="00F15230" w:rsidRDefault="00804E37" w:rsidP="00CE66A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Assessed State expenditure </w:t>
            </w:r>
            <w:r w:rsidRPr="00F15230">
              <w:rPr>
                <w:rFonts w:ascii="Calibri" w:eastAsia="Times New Roman" w:hAnsi="Calibri" w:cs="Times New Roman"/>
                <w:color w:val="000000"/>
                <w:sz w:val="20"/>
                <w:szCs w:val="20"/>
                <w:lang w:eastAsia="en-AU"/>
              </w:rPr>
              <w:br/>
              <w:t>(A-B1-B2-C1-C2)</w:t>
            </w:r>
          </w:p>
        </w:tc>
        <w:tc>
          <w:tcPr>
            <w:tcW w:w="700" w:type="dxa"/>
            <w:tcBorders>
              <w:top w:val="nil"/>
              <w:left w:val="nil"/>
              <w:bottom w:val="single" w:sz="4" w:space="0" w:color="auto"/>
              <w:right w:val="nil"/>
            </w:tcBorders>
            <w:shd w:val="clear" w:color="auto" w:fill="auto"/>
            <w:noWrap/>
            <w:vAlign w:val="bottom"/>
            <w:hideMark/>
          </w:tcPr>
          <w:p w14:paraId="1404FDEA"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5 140</w:t>
            </w:r>
          </w:p>
        </w:tc>
        <w:tc>
          <w:tcPr>
            <w:tcW w:w="700" w:type="dxa"/>
            <w:tcBorders>
              <w:top w:val="nil"/>
              <w:left w:val="nil"/>
              <w:bottom w:val="single" w:sz="4" w:space="0" w:color="auto"/>
              <w:right w:val="nil"/>
            </w:tcBorders>
            <w:shd w:val="clear" w:color="auto" w:fill="auto"/>
            <w:noWrap/>
            <w:vAlign w:val="bottom"/>
            <w:hideMark/>
          </w:tcPr>
          <w:p w14:paraId="1E8DA971"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4 357</w:t>
            </w:r>
          </w:p>
        </w:tc>
        <w:tc>
          <w:tcPr>
            <w:tcW w:w="580" w:type="dxa"/>
            <w:tcBorders>
              <w:top w:val="nil"/>
              <w:left w:val="nil"/>
              <w:bottom w:val="single" w:sz="4" w:space="0" w:color="auto"/>
              <w:right w:val="nil"/>
            </w:tcBorders>
            <w:shd w:val="clear" w:color="auto" w:fill="auto"/>
            <w:noWrap/>
            <w:vAlign w:val="bottom"/>
            <w:hideMark/>
          </w:tcPr>
          <w:p w14:paraId="3BAA06B4"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3 678</w:t>
            </w:r>
          </w:p>
        </w:tc>
        <w:tc>
          <w:tcPr>
            <w:tcW w:w="580" w:type="dxa"/>
            <w:tcBorders>
              <w:top w:val="nil"/>
              <w:left w:val="nil"/>
              <w:bottom w:val="single" w:sz="4" w:space="0" w:color="auto"/>
              <w:right w:val="nil"/>
            </w:tcBorders>
            <w:shd w:val="clear" w:color="auto" w:fill="auto"/>
            <w:noWrap/>
            <w:vAlign w:val="bottom"/>
            <w:hideMark/>
          </w:tcPr>
          <w:p w14:paraId="04CFF924"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2 355</w:t>
            </w:r>
          </w:p>
        </w:tc>
        <w:tc>
          <w:tcPr>
            <w:tcW w:w="640" w:type="dxa"/>
            <w:tcBorders>
              <w:top w:val="nil"/>
              <w:left w:val="nil"/>
              <w:bottom w:val="single" w:sz="4" w:space="0" w:color="auto"/>
              <w:right w:val="nil"/>
            </w:tcBorders>
            <w:shd w:val="clear" w:color="auto" w:fill="auto"/>
            <w:noWrap/>
            <w:vAlign w:val="bottom"/>
            <w:hideMark/>
          </w:tcPr>
          <w:p w14:paraId="39959413"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1 260</w:t>
            </w:r>
          </w:p>
        </w:tc>
        <w:tc>
          <w:tcPr>
            <w:tcW w:w="640" w:type="dxa"/>
            <w:tcBorders>
              <w:top w:val="nil"/>
              <w:left w:val="nil"/>
              <w:bottom w:val="single" w:sz="4" w:space="0" w:color="auto"/>
              <w:right w:val="nil"/>
            </w:tcBorders>
            <w:shd w:val="clear" w:color="auto" w:fill="auto"/>
            <w:noWrap/>
            <w:vAlign w:val="bottom"/>
            <w:hideMark/>
          </w:tcPr>
          <w:p w14:paraId="3A5E6702"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486</w:t>
            </w:r>
          </w:p>
        </w:tc>
        <w:tc>
          <w:tcPr>
            <w:tcW w:w="640" w:type="dxa"/>
            <w:tcBorders>
              <w:top w:val="nil"/>
              <w:left w:val="nil"/>
              <w:bottom w:val="single" w:sz="4" w:space="0" w:color="auto"/>
              <w:right w:val="nil"/>
            </w:tcBorders>
            <w:shd w:val="clear" w:color="auto" w:fill="auto"/>
            <w:noWrap/>
            <w:vAlign w:val="bottom"/>
            <w:hideMark/>
          </w:tcPr>
          <w:p w14:paraId="52A283DA"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366</w:t>
            </w:r>
          </w:p>
        </w:tc>
        <w:tc>
          <w:tcPr>
            <w:tcW w:w="640" w:type="dxa"/>
            <w:tcBorders>
              <w:top w:val="nil"/>
              <w:left w:val="nil"/>
              <w:bottom w:val="single" w:sz="4" w:space="0" w:color="auto"/>
              <w:right w:val="nil"/>
            </w:tcBorders>
            <w:shd w:val="clear" w:color="auto" w:fill="auto"/>
            <w:noWrap/>
            <w:vAlign w:val="bottom"/>
            <w:hideMark/>
          </w:tcPr>
          <w:p w14:paraId="3FA93104"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 xml:space="preserve"> 316</w:t>
            </w:r>
          </w:p>
        </w:tc>
        <w:tc>
          <w:tcPr>
            <w:tcW w:w="680" w:type="dxa"/>
            <w:tcBorders>
              <w:top w:val="nil"/>
              <w:left w:val="nil"/>
              <w:bottom w:val="single" w:sz="4" w:space="0" w:color="auto"/>
              <w:right w:val="nil"/>
            </w:tcBorders>
            <w:shd w:val="clear" w:color="auto" w:fill="auto"/>
            <w:noWrap/>
            <w:vAlign w:val="bottom"/>
            <w:hideMark/>
          </w:tcPr>
          <w:p w14:paraId="58CA32BB" w14:textId="77777777" w:rsidR="00804E37" w:rsidRPr="00F15230" w:rsidRDefault="00804E37" w:rsidP="00CE66A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17 959</w:t>
            </w:r>
          </w:p>
        </w:tc>
      </w:tr>
    </w:tbl>
    <w:p w14:paraId="5544888D" w14:textId="77777777" w:rsidR="00804E37" w:rsidRPr="00F15230" w:rsidRDefault="00804E37" w:rsidP="00804E37">
      <w:pPr>
        <w:pStyle w:val="CGCTableFootnote"/>
      </w:pPr>
      <w:r w:rsidRPr="00F15230">
        <w:t>Source:</w:t>
      </w:r>
      <w:r w:rsidRPr="00F15230">
        <w:tab/>
        <w:t>Staff illustration based on 2010 Review subtraction approach.</w:t>
      </w:r>
    </w:p>
    <w:p w14:paraId="4137605D" w14:textId="77777777" w:rsidR="00804E37" w:rsidRPr="00F15230" w:rsidRDefault="00804E37" w:rsidP="00804E37">
      <w:pPr>
        <w:pStyle w:val="Heading5"/>
      </w:pPr>
      <w:r w:rsidRPr="00F15230">
        <w:t>Uncertainty in the SDC assessment</w:t>
      </w:r>
    </w:p>
    <w:p w14:paraId="0478B325" w14:textId="77777777" w:rsidR="00804E37" w:rsidRPr="00F15230" w:rsidRDefault="00804E37" w:rsidP="00804E37">
      <w:pPr>
        <w:pStyle w:val="CGCNumberedPara"/>
        <w:numPr>
          <w:ilvl w:val="1"/>
          <w:numId w:val="3"/>
        </w:numPr>
      </w:pPr>
      <w:r w:rsidRPr="00F15230">
        <w:t>Ideally, the SDC assessment require</w:t>
      </w:r>
      <w:r>
        <w:t>s</w:t>
      </w:r>
      <w:r w:rsidRPr="00F15230">
        <w:t xml:space="preserve"> data on national spending patterns for all Commonwealth, State and privately provided services. The data used in the 2010 Review subtraction approach were for a limited range of health services sourced from the AIHW and ABS National Health Survey (NHS). While there were some data for the non-State sector, there were limited data for the State sector. This meant that the SDC assessment heavily relied on data for the non</w:t>
      </w:r>
      <w:r w:rsidRPr="00F15230">
        <w:noBreakHyphen/>
        <w:t>State sector and the assumption that the profile of service users was similar to that for the State sector. Subsequent State sector data suggest the profile of users in the non-State sector is very different to the State sector.</w:t>
      </w:r>
    </w:p>
    <w:p w14:paraId="257D4060" w14:textId="77777777" w:rsidR="00804E37" w:rsidRPr="00F15230" w:rsidRDefault="00804E37" w:rsidP="00804E37">
      <w:pPr>
        <w:pStyle w:val="CGCNumberedPara"/>
        <w:numPr>
          <w:ilvl w:val="1"/>
          <w:numId w:val="3"/>
        </w:numPr>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 xml:space="preserve">In addition to concerns about how accurately the data reflected spending on total </w:t>
      </w:r>
      <w:r>
        <w:rPr>
          <w:rStyle w:val="Heading6Char"/>
          <w:rFonts w:eastAsiaTheme="minorHAnsi" w:cstheme="minorBidi"/>
          <w:b w:val="0"/>
          <w:i w:val="0"/>
          <w:iCs w:val="0"/>
          <w:color w:val="auto"/>
          <w:sz w:val="24"/>
        </w:rPr>
        <w:t xml:space="preserve">State and </w:t>
      </w:r>
      <w:r w:rsidRPr="00F15230">
        <w:rPr>
          <w:rStyle w:val="Heading6Char"/>
          <w:rFonts w:eastAsiaTheme="minorHAnsi" w:cstheme="minorBidi"/>
          <w:b w:val="0"/>
          <w:i w:val="0"/>
          <w:iCs w:val="0"/>
          <w:color w:val="auto"/>
          <w:sz w:val="24"/>
        </w:rPr>
        <w:t>State</w:t>
      </w:r>
      <w:r w:rsidRPr="00F15230">
        <w:rPr>
          <w:rStyle w:val="Heading6Char"/>
          <w:rFonts w:eastAsiaTheme="minorHAnsi" w:cstheme="minorBidi"/>
          <w:b w:val="0"/>
          <w:i w:val="0"/>
          <w:iCs w:val="0"/>
          <w:color w:val="auto"/>
          <w:sz w:val="24"/>
        </w:rPr>
        <w:noBreakHyphen/>
        <w:t>like services, the main datasets used to construct an overall picture of service use did not include all of the socio</w:t>
      </w:r>
      <w:r w:rsidRPr="00F15230">
        <w:rPr>
          <w:rStyle w:val="Heading6Char"/>
          <w:rFonts w:eastAsiaTheme="minorHAnsi" w:cstheme="minorBidi"/>
          <w:b w:val="0"/>
          <w:i w:val="0"/>
          <w:iCs w:val="0"/>
          <w:color w:val="auto"/>
          <w:sz w:val="24"/>
        </w:rPr>
        <w:noBreakHyphen/>
        <w:t>demographic characteristics the Commission wanted to recognise (that is, age, Indigenous status, remoteness and SES). Consequently, adjustments for some of these influences were based on data sources related to a limited range of services or sectors and of varying quality.</w:t>
      </w:r>
    </w:p>
    <w:p w14:paraId="511B639D" w14:textId="77777777" w:rsidR="00804E37" w:rsidRPr="00F15230" w:rsidRDefault="00804E37" w:rsidP="00804E37">
      <w:pPr>
        <w:pStyle w:val="Heading5"/>
      </w:pPr>
      <w:r w:rsidRPr="00F15230">
        <w:t>Complexity</w:t>
      </w:r>
    </w:p>
    <w:p w14:paraId="22C9557B" w14:textId="77777777" w:rsidR="00804E37" w:rsidRPr="00F15230" w:rsidRDefault="00804E37" w:rsidP="00804E37">
      <w:pPr>
        <w:pStyle w:val="CGCNumberedPara"/>
        <w:numPr>
          <w:ilvl w:val="1"/>
          <w:numId w:val="3"/>
        </w:numPr>
      </w:pPr>
      <w:r w:rsidRPr="00F15230">
        <w:t>Compared to a direct approach, the</w:t>
      </w:r>
      <w:r w:rsidRPr="00F15230">
        <w:rPr>
          <w:rStyle w:val="Heading6Char"/>
          <w:rFonts w:eastAsiaTheme="minorHAnsi" w:cstheme="minorBidi"/>
          <w:b w:val="0"/>
          <w:i w:val="0"/>
          <w:iCs w:val="0"/>
          <w:color w:val="auto"/>
          <w:sz w:val="24"/>
        </w:rPr>
        <w:t xml:space="preserve"> subtraction approach relied on a much wider range of data sources and a higher level of judgement in combining these data sources.</w:t>
      </w:r>
      <w:r w:rsidRPr="00F15230">
        <w:rPr>
          <w:rStyle w:val="FootnoteReference"/>
        </w:rPr>
        <w:footnoteReference w:id="23"/>
      </w:r>
      <w:r w:rsidRPr="00F15230">
        <w:rPr>
          <w:rStyle w:val="Heading6Char"/>
          <w:rFonts w:eastAsiaTheme="minorHAnsi" w:cstheme="minorBidi"/>
          <w:b w:val="0"/>
          <w:i w:val="0"/>
          <w:iCs w:val="0"/>
          <w:color w:val="auto"/>
          <w:sz w:val="24"/>
        </w:rPr>
        <w:t xml:space="preserve"> </w:t>
      </w:r>
    </w:p>
    <w:p w14:paraId="20E10230" w14:textId="77777777" w:rsidR="00804E37" w:rsidRPr="00F15230" w:rsidRDefault="00804E37" w:rsidP="00804E37">
      <w:pPr>
        <w:pStyle w:val="Heading5"/>
      </w:pPr>
      <w:r w:rsidRPr="00F15230">
        <w:lastRenderedPageBreak/>
        <w:t>Full substitutability assumption</w:t>
      </w:r>
    </w:p>
    <w:p w14:paraId="731DAF3F" w14:textId="77777777" w:rsidR="00804E37" w:rsidRPr="00F15230" w:rsidRDefault="00804E37" w:rsidP="00804E37">
      <w:pPr>
        <w:pStyle w:val="CGCNumberedPara"/>
        <w:numPr>
          <w:ilvl w:val="1"/>
          <w:numId w:val="3"/>
        </w:numPr>
      </w:pPr>
      <w:r w:rsidRPr="00F15230">
        <w:t xml:space="preserve">Another issue for the subtraction approach was whether services offered by the State and non-State sector are fully substitutable. In the 2015 Review the Commission identified evidence contradicting the full substitutability assumption. </w:t>
      </w:r>
    </w:p>
    <w:p w14:paraId="54D8EC7C" w14:textId="77777777" w:rsidR="00804E37" w:rsidRPr="00F15230" w:rsidRDefault="00804E37" w:rsidP="00804E37">
      <w:pPr>
        <w:pStyle w:val="CGCBulletlist"/>
        <w:numPr>
          <w:ilvl w:val="0"/>
          <w:numId w:val="1"/>
        </w:numPr>
        <w:tabs>
          <w:tab w:val="clear" w:pos="927"/>
        </w:tabs>
        <w:ind w:left="1134" w:hanging="567"/>
      </w:pPr>
      <w:r w:rsidRPr="00F15230">
        <w:t>Patient choice appears to be limited by income constraints so States still need to provide some services regardless of the level of non-State provision.</w:t>
      </w:r>
    </w:p>
    <w:p w14:paraId="20F540C4" w14:textId="77777777" w:rsidR="00804E37" w:rsidRPr="00F15230" w:rsidRDefault="00804E37" w:rsidP="00804E37">
      <w:pPr>
        <w:pStyle w:val="CGCBulletlist"/>
        <w:numPr>
          <w:ilvl w:val="0"/>
          <w:numId w:val="1"/>
        </w:numPr>
        <w:tabs>
          <w:tab w:val="clear" w:pos="927"/>
        </w:tabs>
        <w:ind w:left="1134" w:hanging="567"/>
      </w:pPr>
      <w:r>
        <w:t>E</w:t>
      </w:r>
      <w:r w:rsidRPr="00F15230">
        <w:t>ligibility requirements restricting access to some State services</w:t>
      </w:r>
      <w:r>
        <w:t xml:space="preserve"> and significant differences in the profiles of people using State and non-State services</w:t>
      </w:r>
      <w:r w:rsidRPr="00F15230">
        <w:t>, particu</w:t>
      </w:r>
      <w:r>
        <w:t>larly community health services, suggest less than full substitutability.</w:t>
      </w:r>
    </w:p>
    <w:p w14:paraId="7BC2725F" w14:textId="77777777" w:rsidR="00804E37" w:rsidRPr="00F15230" w:rsidRDefault="00804E37" w:rsidP="00804E37">
      <w:pPr>
        <w:pStyle w:val="CGCBulletlist"/>
        <w:numPr>
          <w:ilvl w:val="0"/>
          <w:numId w:val="1"/>
        </w:numPr>
        <w:tabs>
          <w:tab w:val="clear" w:pos="927"/>
        </w:tabs>
        <w:ind w:left="1134" w:hanging="567"/>
      </w:pPr>
      <w:r w:rsidRPr="00F15230">
        <w:t>For some health services, responsibility for service provision is concentrated in one sector which may indicate low levels of substitutability. For example:</w:t>
      </w:r>
    </w:p>
    <w:p w14:paraId="6DAA982D" w14:textId="77777777" w:rsidR="00804E37" w:rsidRPr="00F15230" w:rsidRDefault="00804E37" w:rsidP="00804E37">
      <w:pPr>
        <w:pStyle w:val="CGCSubbulletlist"/>
        <w:numPr>
          <w:ilvl w:val="0"/>
          <w:numId w:val="4"/>
        </w:numPr>
        <w:tabs>
          <w:tab w:val="clear" w:pos="927"/>
        </w:tabs>
        <w:ind w:left="1701" w:hanging="567"/>
      </w:pPr>
      <w:r w:rsidRPr="00F15230">
        <w:t xml:space="preserve">the non-State sector is the major service provider of dental services and changes in the level of non-State provision appear to have a limited effect on the level of State provision </w:t>
      </w:r>
    </w:p>
    <w:p w14:paraId="449CE551" w14:textId="77777777" w:rsidR="00804E37" w:rsidRPr="00F15230" w:rsidRDefault="00804E37" w:rsidP="00804E37">
      <w:pPr>
        <w:pStyle w:val="CGCSubbulletlist"/>
        <w:numPr>
          <w:ilvl w:val="0"/>
          <w:numId w:val="4"/>
        </w:numPr>
        <w:tabs>
          <w:tab w:val="clear" w:pos="927"/>
        </w:tabs>
        <w:ind w:left="1701" w:hanging="567"/>
      </w:pPr>
      <w:proofErr w:type="gramStart"/>
      <w:r w:rsidRPr="00F15230">
        <w:t>the</w:t>
      </w:r>
      <w:proofErr w:type="gramEnd"/>
      <w:r w:rsidRPr="00F15230">
        <w:t xml:space="preserve"> State sector is the major provider for ED services and the non-State sector has a limited effect on what States need to spend. </w:t>
      </w:r>
    </w:p>
    <w:p w14:paraId="52162EB7" w14:textId="77777777" w:rsidR="00804E37" w:rsidRPr="00F15230" w:rsidRDefault="00804E37" w:rsidP="00804E37">
      <w:pPr>
        <w:pStyle w:val="CGCNumberedPara"/>
        <w:numPr>
          <w:ilvl w:val="1"/>
          <w:numId w:val="3"/>
        </w:numPr>
      </w:pPr>
      <w:r w:rsidRPr="00F15230">
        <w:t>After considering evidence for a range of services the Commission concluded that there were a significant number for which the full substitutability assumption did not hold including many allied health, dental and ED services.</w:t>
      </w:r>
      <w:r>
        <w:t xml:space="preserve">  </w:t>
      </w:r>
    </w:p>
    <w:p w14:paraId="380AF79A" w14:textId="77777777" w:rsidR="00804E37" w:rsidRPr="00F15230" w:rsidRDefault="00804E37" w:rsidP="00804E37">
      <w:pPr>
        <w:pStyle w:val="Heading5"/>
      </w:pPr>
      <w:r w:rsidRPr="00F15230">
        <w:t>Data improvements</w:t>
      </w:r>
    </w:p>
    <w:p w14:paraId="17C98F9C" w14:textId="77777777" w:rsidR="00804E37" w:rsidRPr="00F15230" w:rsidRDefault="00804E37" w:rsidP="00804E37">
      <w:pPr>
        <w:pStyle w:val="CGCNumberedPara"/>
        <w:numPr>
          <w:ilvl w:val="1"/>
          <w:numId w:val="3"/>
        </w:numPr>
      </w:pPr>
      <w:r w:rsidRPr="00F15230">
        <w:t xml:space="preserve">The introduction of the National Health Reform Agreement (NHRA) and the creation of IHPA led to the availability of improved data on the use and cost of hospital services, particularly ED services. These data collections, which are continuing to develop and improve in quality, provided a more accurate picture of non-admitted patient services than previously available data. </w:t>
      </w:r>
    </w:p>
    <w:p w14:paraId="2A972426" w14:textId="77777777" w:rsidR="00804E37" w:rsidRPr="00F15230" w:rsidRDefault="00804E37" w:rsidP="00804E37">
      <w:pPr>
        <w:pStyle w:val="Heading5"/>
      </w:pPr>
      <w:r w:rsidRPr="00F15230">
        <w:t>Contemporaneity</w:t>
      </w:r>
    </w:p>
    <w:p w14:paraId="03527C6E" w14:textId="77777777" w:rsidR="00804E37" w:rsidRPr="00F15230" w:rsidRDefault="00804E37" w:rsidP="00804E37">
      <w:pPr>
        <w:pStyle w:val="CGCNumberedPara"/>
        <w:numPr>
          <w:ilvl w:val="1"/>
          <w:numId w:val="3"/>
        </w:numPr>
        <w:rPr>
          <w:rStyle w:val="Heading6Char"/>
          <w:rFonts w:eastAsiaTheme="minorHAnsi" w:cstheme="minorBidi"/>
          <w:b w:val="0"/>
          <w:i w:val="0"/>
          <w:iCs w:val="0"/>
          <w:color w:val="auto"/>
          <w:sz w:val="24"/>
        </w:rPr>
      </w:pPr>
      <w:r w:rsidRPr="00F15230">
        <w:t>While some elements of the subtraction assessment were able to be updated annually, this was not the case for all data used for the SDC assessment. For the subtraction approach to produce a reliable estimate of what States need to spend, all elements should relate to the same time period. In a period when health expenditure patterns are changing rapidly, the direct assessment method, which can be updated annually, has a significant advantage.</w:t>
      </w:r>
      <w:r w:rsidRPr="00F15230">
        <w:rPr>
          <w:rStyle w:val="Heading6Char"/>
          <w:rFonts w:eastAsiaTheme="minorHAnsi" w:cstheme="minorBidi"/>
          <w:b w:val="0"/>
          <w:i w:val="0"/>
          <w:iCs w:val="0"/>
          <w:color w:val="auto"/>
          <w:sz w:val="24"/>
        </w:rPr>
        <w:t xml:space="preserve"> </w:t>
      </w:r>
    </w:p>
    <w:p w14:paraId="0E7C4B66" w14:textId="77777777" w:rsidR="00804E37" w:rsidRPr="00F15230" w:rsidRDefault="00804E37" w:rsidP="00804E37">
      <w:pPr>
        <w:pStyle w:val="Heading5"/>
      </w:pPr>
      <w:r w:rsidRPr="00F15230">
        <w:t>Conclusion</w:t>
      </w:r>
    </w:p>
    <w:p w14:paraId="51654DD1" w14:textId="77777777" w:rsidR="00804E37" w:rsidRPr="00F15230" w:rsidRDefault="00804E37" w:rsidP="00804E37">
      <w:pPr>
        <w:pStyle w:val="CGCNumberedPara"/>
      </w:pPr>
      <w:r w:rsidRPr="00F15230">
        <w:t xml:space="preserve">In the 2015 Review the Commission concluded that the direct approach was not perfect but it represented an improvement over the subtraction approach. </w:t>
      </w:r>
    </w:p>
    <w:p w14:paraId="7ACBBC1D" w14:textId="0295FD5E" w:rsidR="00820785" w:rsidRPr="00F15230" w:rsidRDefault="00820785" w:rsidP="00B23D06">
      <w:pPr>
        <w:pStyle w:val="Heading2"/>
        <w:spacing w:after="240"/>
      </w:pPr>
      <w:bookmarkStart w:id="213" w:name="_Toc511977552"/>
      <w:bookmarkStart w:id="214" w:name="_Ref511977764"/>
      <w:r w:rsidRPr="00F15230">
        <w:lastRenderedPageBreak/>
        <w:t xml:space="preserve">Attachment </w:t>
      </w:r>
      <w:r w:rsidR="00804E37">
        <w:t>B</w:t>
      </w:r>
      <w:r w:rsidRPr="00F15230">
        <w:t xml:space="preserve"> — 2015 Review method</w:t>
      </w:r>
      <w:bookmarkEnd w:id="194"/>
      <w:bookmarkEnd w:id="195"/>
      <w:bookmarkEnd w:id="196"/>
      <w:bookmarkEnd w:id="197"/>
      <w:bookmarkEnd w:id="198"/>
      <w:bookmarkEnd w:id="199"/>
      <w:bookmarkEnd w:id="213"/>
      <w:bookmarkEnd w:id="214"/>
    </w:p>
    <w:p w14:paraId="74FC9A9F" w14:textId="77777777" w:rsidR="00820785" w:rsidRPr="00F15230" w:rsidRDefault="00820785" w:rsidP="00820785">
      <w:pPr>
        <w:pStyle w:val="CGCNumberedPara"/>
        <w:numPr>
          <w:ilvl w:val="1"/>
          <w:numId w:val="44"/>
        </w:numPr>
      </w:pPr>
      <w:r w:rsidRPr="00F15230">
        <w:t xml:space="preserve">This attachment provides additional detail about the 2015 Review assessment methods. </w:t>
      </w:r>
    </w:p>
    <w:p w14:paraId="19C4A9CB" w14:textId="77777777" w:rsidR="00820785" w:rsidRPr="00F15230" w:rsidRDefault="00820785" w:rsidP="00820785">
      <w:pPr>
        <w:pStyle w:val="Heading5"/>
      </w:pPr>
      <w:r w:rsidRPr="00F15230">
        <w:t>SDC assessments</w:t>
      </w:r>
    </w:p>
    <w:p w14:paraId="28B2971B" w14:textId="77777777" w:rsidR="00820785" w:rsidRPr="00F15230" w:rsidRDefault="00820785" w:rsidP="00820785">
      <w:pPr>
        <w:pStyle w:val="CGCNumberedPara"/>
        <w:numPr>
          <w:ilvl w:val="1"/>
          <w:numId w:val="3"/>
        </w:numPr>
      </w:pPr>
      <w:r w:rsidRPr="00F15230">
        <w:t>The socio-demographic composition (SDC) assessments for the hospital and community and other health components are similar. Assessed SDC expenses are derived by:</w:t>
      </w:r>
    </w:p>
    <w:p w14:paraId="665BAFC9" w14:textId="77777777" w:rsidR="00820785" w:rsidRPr="00F15230" w:rsidRDefault="00820785" w:rsidP="00820785">
      <w:pPr>
        <w:pStyle w:val="CGCBulletlist"/>
        <w:numPr>
          <w:ilvl w:val="0"/>
          <w:numId w:val="1"/>
        </w:numPr>
        <w:tabs>
          <w:tab w:val="clear" w:pos="927"/>
        </w:tabs>
        <w:ind w:left="1134" w:hanging="567"/>
      </w:pPr>
      <w:r w:rsidRPr="00F15230">
        <w:t xml:space="preserve">allocating the national net expenses to each of the population groups on the basis of NWAUs or the number of in-scope separations sourced from IHPA </w:t>
      </w:r>
    </w:p>
    <w:p w14:paraId="6673AF13" w14:textId="77777777" w:rsidR="00820785" w:rsidRPr="00F15230" w:rsidRDefault="00820785" w:rsidP="00820785">
      <w:pPr>
        <w:pStyle w:val="CGCBulletlist"/>
        <w:numPr>
          <w:ilvl w:val="0"/>
          <w:numId w:val="1"/>
        </w:numPr>
        <w:tabs>
          <w:tab w:val="clear" w:pos="927"/>
        </w:tabs>
        <w:ind w:left="1134" w:hanging="567"/>
      </w:pPr>
      <w:r w:rsidRPr="00F15230">
        <w:t>dividing the net expenses attributable to each population group by the national population in that group to obtain the national average cost for each population group</w:t>
      </w:r>
    </w:p>
    <w:p w14:paraId="7F104BCF" w14:textId="77777777" w:rsidR="00820785" w:rsidRPr="00F15230" w:rsidRDefault="00820785" w:rsidP="00820785">
      <w:pPr>
        <w:pStyle w:val="CGCBulletlist"/>
        <w:numPr>
          <w:ilvl w:val="0"/>
          <w:numId w:val="1"/>
        </w:numPr>
        <w:tabs>
          <w:tab w:val="clear" w:pos="927"/>
        </w:tabs>
        <w:ind w:left="1134" w:hanging="567"/>
      </w:pPr>
      <w:r w:rsidRPr="00F15230">
        <w:t xml:space="preserve">multiplying the national average cost for each population group by the number of people in the corresponding SDC group in each State to obtain assessed expenses for each population group </w:t>
      </w:r>
    </w:p>
    <w:p w14:paraId="2F393139" w14:textId="77777777" w:rsidR="00820785" w:rsidRPr="00F15230" w:rsidRDefault="00820785" w:rsidP="00820785">
      <w:pPr>
        <w:pStyle w:val="CGCBulletlist"/>
        <w:numPr>
          <w:ilvl w:val="0"/>
          <w:numId w:val="1"/>
        </w:numPr>
        <w:tabs>
          <w:tab w:val="clear" w:pos="927"/>
        </w:tabs>
        <w:ind w:left="1134" w:hanging="567"/>
      </w:pPr>
      <w:proofErr w:type="gramStart"/>
      <w:r w:rsidRPr="00F15230">
        <w:t>summing</w:t>
      </w:r>
      <w:proofErr w:type="gramEnd"/>
      <w:r w:rsidRPr="00F15230">
        <w:t xml:space="preserve"> assessed expenses for each population group in each State to obtain the total assessed SDC expenses for each State.</w:t>
      </w:r>
    </w:p>
    <w:p w14:paraId="40221646" w14:textId="3E95706F" w:rsidR="00820785" w:rsidRPr="00F15230" w:rsidRDefault="00820785" w:rsidP="00820785">
      <w:pPr>
        <w:pStyle w:val="CGCNumberedPara"/>
        <w:numPr>
          <w:ilvl w:val="1"/>
          <w:numId w:val="3"/>
        </w:numPr>
      </w:pPr>
      <w:r w:rsidRPr="00F15230">
        <w:t xml:space="preserve">The calculations are illustrated in </w:t>
      </w:r>
      <w:r w:rsidRPr="00F15230">
        <w:fldChar w:fldCharType="begin"/>
      </w:r>
      <w:r w:rsidRPr="00F15230">
        <w:instrText xml:space="preserve"> REF _Ref493858393 \h </w:instrText>
      </w:r>
      <w:r w:rsidR="00F15230">
        <w:instrText xml:space="preserve"> \* MERGEFORMAT </w:instrText>
      </w:r>
      <w:r w:rsidRPr="00F15230">
        <w:fldChar w:fldCharType="separate"/>
      </w:r>
      <w:r w:rsidR="005A6E12" w:rsidRPr="00F15230">
        <w:t xml:space="preserve">Table </w:t>
      </w:r>
      <w:r w:rsidR="005A6E12">
        <w:t>11</w:t>
      </w:r>
      <w:r w:rsidRPr="00F15230">
        <w:fldChar w:fldCharType="end"/>
      </w:r>
      <w:r w:rsidRPr="00F15230">
        <w:t xml:space="preserve"> using a subset of admitted patients data for 2015</w:t>
      </w:r>
      <w:r w:rsidRPr="00F15230">
        <w:noBreakHyphen/>
        <w:t xml:space="preserve">16 and data for New South Wales. The SDC calculations are done for </w:t>
      </w:r>
      <w:r w:rsidRPr="00F15230">
        <w:rPr>
          <w:rStyle w:val="Heading6Char"/>
          <w:rFonts w:eastAsiaTheme="minorHAnsi" w:cstheme="minorBidi"/>
          <w:b w:val="0"/>
          <w:i w:val="0"/>
          <w:iCs w:val="0"/>
          <w:color w:val="auto"/>
          <w:sz w:val="24"/>
        </w:rPr>
        <w:t xml:space="preserve">100 separate population groups. </w:t>
      </w:r>
      <w:r w:rsidRPr="00F15230">
        <w:t xml:space="preserve">The full SDC breakdown for the </w:t>
      </w:r>
      <w:r w:rsidRPr="00F15230">
        <w:rPr>
          <w:rStyle w:val="Heading6Char"/>
          <w:rFonts w:eastAsiaTheme="minorHAnsi" w:cstheme="minorBidi"/>
          <w:b w:val="0"/>
          <w:i w:val="0"/>
          <w:iCs w:val="0"/>
          <w:color w:val="auto"/>
          <w:sz w:val="24"/>
        </w:rPr>
        <w:t xml:space="preserve">hospital and community health assessments is shown in </w:t>
      </w:r>
      <w:r w:rsidRPr="00F15230">
        <w:rPr>
          <w:rStyle w:val="Heading6Char"/>
          <w:rFonts w:eastAsiaTheme="minorHAnsi" w:cstheme="minorBidi"/>
          <w:b w:val="0"/>
          <w:i w:val="0"/>
          <w:iCs w:val="0"/>
          <w:color w:val="auto"/>
          <w:sz w:val="24"/>
        </w:rPr>
        <w:fldChar w:fldCharType="begin"/>
      </w:r>
      <w:r w:rsidRPr="00F15230">
        <w:rPr>
          <w:rStyle w:val="Heading6Char"/>
          <w:rFonts w:eastAsiaTheme="minorHAnsi" w:cstheme="minorBidi"/>
          <w:b w:val="0"/>
          <w:i w:val="0"/>
          <w:iCs w:val="0"/>
          <w:color w:val="auto"/>
          <w:sz w:val="24"/>
        </w:rPr>
        <w:instrText xml:space="preserve"> REF _Ref493768594 \h </w:instrText>
      </w:r>
      <w:r w:rsidR="00F15230">
        <w:rPr>
          <w:rStyle w:val="Heading6Char"/>
          <w:rFonts w:eastAsiaTheme="minorHAnsi" w:cstheme="minorBidi"/>
          <w:b w:val="0"/>
          <w:i w:val="0"/>
          <w:iCs w:val="0"/>
          <w:color w:val="auto"/>
          <w:sz w:val="24"/>
        </w:rPr>
        <w:instrText xml:space="preserve"> \* MERGEFORMAT </w:instrText>
      </w:r>
      <w:r w:rsidRPr="00F15230">
        <w:rPr>
          <w:rStyle w:val="Heading6Char"/>
          <w:rFonts w:eastAsiaTheme="minorHAnsi" w:cstheme="minorBidi"/>
          <w:b w:val="0"/>
          <w:i w:val="0"/>
          <w:iCs w:val="0"/>
          <w:color w:val="auto"/>
          <w:sz w:val="24"/>
        </w:rPr>
      </w:r>
      <w:r w:rsidRPr="00F15230">
        <w:rPr>
          <w:rStyle w:val="Heading6Char"/>
          <w:rFonts w:eastAsiaTheme="minorHAnsi" w:cstheme="minorBidi"/>
          <w:b w:val="0"/>
          <w:i w:val="0"/>
          <w:iCs w:val="0"/>
          <w:color w:val="auto"/>
          <w:sz w:val="24"/>
        </w:rPr>
        <w:fldChar w:fldCharType="separate"/>
      </w:r>
      <w:r w:rsidR="005A6E12" w:rsidRPr="00F15230">
        <w:t xml:space="preserve">Table </w:t>
      </w:r>
      <w:r w:rsidR="005A6E12">
        <w:t>2</w:t>
      </w:r>
      <w:r w:rsidRPr="00F15230">
        <w:rPr>
          <w:rStyle w:val="Heading6Char"/>
          <w:rFonts w:eastAsiaTheme="minorHAnsi" w:cstheme="minorBidi"/>
          <w:b w:val="0"/>
          <w:i w:val="0"/>
          <w:iCs w:val="0"/>
          <w:color w:val="auto"/>
          <w:sz w:val="24"/>
        </w:rPr>
        <w:fldChar w:fldCharType="end"/>
      </w:r>
      <w:r w:rsidRPr="00F15230">
        <w:rPr>
          <w:rStyle w:val="Heading6Char"/>
          <w:rFonts w:eastAsiaTheme="minorHAnsi" w:cstheme="minorBidi"/>
          <w:b w:val="0"/>
          <w:i w:val="0"/>
          <w:iCs w:val="0"/>
          <w:color w:val="auto"/>
          <w:sz w:val="24"/>
        </w:rPr>
        <w:t xml:space="preserve">. </w:t>
      </w:r>
    </w:p>
    <w:p w14:paraId="76BD489A" w14:textId="261B3412" w:rsidR="00820785" w:rsidRPr="00F15230" w:rsidRDefault="00820785" w:rsidP="004B2DDE">
      <w:pPr>
        <w:pStyle w:val="Caption"/>
      </w:pPr>
      <w:bookmarkStart w:id="215" w:name="_Ref493858393"/>
      <w:r w:rsidRPr="00F15230">
        <w:lastRenderedPageBreak/>
        <w:t xml:space="preserve">Table </w:t>
      </w:r>
      <w:r w:rsidR="00CD3D12">
        <w:fldChar w:fldCharType="begin"/>
      </w:r>
      <w:r w:rsidR="00CD3D12">
        <w:instrText xml:space="preserve"> SEQ Table \* ARABIC </w:instrText>
      </w:r>
      <w:r w:rsidR="00CD3D12">
        <w:fldChar w:fldCharType="separate"/>
      </w:r>
      <w:r w:rsidR="005A6E12">
        <w:rPr>
          <w:noProof/>
        </w:rPr>
        <w:t>11</w:t>
      </w:r>
      <w:r w:rsidR="00CD3D12">
        <w:rPr>
          <w:noProof/>
        </w:rPr>
        <w:fldChar w:fldCharType="end"/>
      </w:r>
      <w:bookmarkEnd w:id="215"/>
      <w:r w:rsidRPr="00F15230">
        <w:tab/>
        <w:t xml:space="preserve">SDC assessment for admitted </w:t>
      </w:r>
      <w:proofErr w:type="gramStart"/>
      <w:r w:rsidRPr="00F15230">
        <w:t>patients</w:t>
      </w:r>
      <w:proofErr w:type="gramEnd"/>
      <w:r w:rsidRPr="00F15230">
        <w:t xml:space="preserve"> component, illustration 201</w:t>
      </w:r>
      <w:r w:rsidR="004B2DDE" w:rsidRPr="00F15230">
        <w:t>6</w:t>
      </w:r>
      <w:r w:rsidR="004B2DDE" w:rsidRPr="00F15230">
        <w:noBreakHyphen/>
        <w:t>17</w:t>
      </w:r>
    </w:p>
    <w:tbl>
      <w:tblPr>
        <w:tblW w:w="9500" w:type="dxa"/>
        <w:tblInd w:w="93" w:type="dxa"/>
        <w:tblLook w:val="04A0" w:firstRow="1" w:lastRow="0" w:firstColumn="1" w:lastColumn="0" w:noHBand="0" w:noVBand="1"/>
      </w:tblPr>
      <w:tblGrid>
        <w:gridCol w:w="1200"/>
        <w:gridCol w:w="2060"/>
        <w:gridCol w:w="648"/>
        <w:gridCol w:w="946"/>
        <w:gridCol w:w="893"/>
        <w:gridCol w:w="1041"/>
        <w:gridCol w:w="858"/>
        <w:gridCol w:w="961"/>
        <w:gridCol w:w="893"/>
      </w:tblGrid>
      <w:tr w:rsidR="004B2DDE" w:rsidRPr="00F15230" w14:paraId="60ADCC89" w14:textId="77777777" w:rsidTr="00752C7F">
        <w:trPr>
          <w:trHeight w:val="255"/>
        </w:trPr>
        <w:tc>
          <w:tcPr>
            <w:tcW w:w="1200" w:type="dxa"/>
            <w:vMerge w:val="restart"/>
            <w:tcBorders>
              <w:top w:val="single" w:sz="4" w:space="0" w:color="auto"/>
              <w:left w:val="nil"/>
              <w:bottom w:val="single" w:sz="4" w:space="0" w:color="000000"/>
              <w:right w:val="nil"/>
            </w:tcBorders>
            <w:shd w:val="clear" w:color="auto" w:fill="auto"/>
            <w:vAlign w:val="center"/>
            <w:hideMark/>
          </w:tcPr>
          <w:p w14:paraId="01CC8561" w14:textId="77777777" w:rsidR="004B2DDE" w:rsidRPr="00F15230" w:rsidRDefault="004B2DDE" w:rsidP="004B2DDE">
            <w:pPr>
              <w:keepNext/>
              <w:tabs>
                <w:tab w:val="clear" w:pos="567"/>
              </w:tabs>
              <w:spacing w:after="0" w:line="240" w:lineRule="auto"/>
              <w:jc w:val="center"/>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Indigenous status</w:t>
            </w:r>
          </w:p>
        </w:tc>
        <w:tc>
          <w:tcPr>
            <w:tcW w:w="2060" w:type="dxa"/>
            <w:vMerge w:val="restart"/>
            <w:tcBorders>
              <w:top w:val="single" w:sz="4" w:space="0" w:color="auto"/>
              <w:left w:val="nil"/>
              <w:bottom w:val="single" w:sz="4" w:space="0" w:color="000000"/>
              <w:right w:val="nil"/>
            </w:tcBorders>
            <w:shd w:val="clear" w:color="auto" w:fill="auto"/>
            <w:vAlign w:val="center"/>
            <w:hideMark/>
          </w:tcPr>
          <w:p w14:paraId="1E257C55" w14:textId="77777777" w:rsidR="004B2DDE" w:rsidRPr="00F15230" w:rsidRDefault="004B2DDE" w:rsidP="004B2DDE">
            <w:pPr>
              <w:keepNext/>
              <w:tabs>
                <w:tab w:val="clear" w:pos="567"/>
              </w:tabs>
              <w:spacing w:after="0" w:line="240" w:lineRule="auto"/>
              <w:jc w:val="center"/>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Remoteness/SES</w:t>
            </w:r>
          </w:p>
        </w:tc>
        <w:tc>
          <w:tcPr>
            <w:tcW w:w="600" w:type="dxa"/>
            <w:vMerge w:val="restart"/>
            <w:tcBorders>
              <w:top w:val="single" w:sz="4" w:space="0" w:color="auto"/>
              <w:left w:val="nil"/>
              <w:bottom w:val="single" w:sz="4" w:space="0" w:color="000000"/>
              <w:right w:val="nil"/>
            </w:tcBorders>
            <w:shd w:val="clear" w:color="auto" w:fill="auto"/>
            <w:vAlign w:val="center"/>
            <w:hideMark/>
          </w:tcPr>
          <w:p w14:paraId="1F1F9529" w14:textId="77777777" w:rsidR="004B2DDE" w:rsidRPr="00F15230" w:rsidRDefault="004B2DDE" w:rsidP="004B2DDE">
            <w:pPr>
              <w:keepNext/>
              <w:tabs>
                <w:tab w:val="clear" w:pos="567"/>
              </w:tabs>
              <w:spacing w:after="0" w:line="240" w:lineRule="auto"/>
              <w:jc w:val="center"/>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Age group</w:t>
            </w:r>
          </w:p>
        </w:tc>
        <w:tc>
          <w:tcPr>
            <w:tcW w:w="960" w:type="dxa"/>
            <w:vMerge w:val="restart"/>
            <w:tcBorders>
              <w:top w:val="single" w:sz="4" w:space="0" w:color="auto"/>
              <w:left w:val="nil"/>
              <w:bottom w:val="single" w:sz="4" w:space="0" w:color="000000"/>
              <w:right w:val="nil"/>
            </w:tcBorders>
            <w:shd w:val="clear" w:color="auto" w:fill="auto"/>
            <w:vAlign w:val="center"/>
            <w:hideMark/>
          </w:tcPr>
          <w:p w14:paraId="19AA0CEE" w14:textId="77777777" w:rsidR="004B2DDE" w:rsidRPr="00F15230" w:rsidRDefault="004B2DDE" w:rsidP="004B2DDE">
            <w:pPr>
              <w:keepNext/>
              <w:tabs>
                <w:tab w:val="clear" w:pos="567"/>
              </w:tabs>
              <w:spacing w:after="0" w:line="240" w:lineRule="auto"/>
              <w:jc w:val="center"/>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NWAUs</w:t>
            </w:r>
          </w:p>
        </w:tc>
        <w:tc>
          <w:tcPr>
            <w:tcW w:w="880" w:type="dxa"/>
            <w:vMerge w:val="restart"/>
            <w:tcBorders>
              <w:top w:val="single" w:sz="4" w:space="0" w:color="auto"/>
              <w:left w:val="nil"/>
              <w:bottom w:val="single" w:sz="4" w:space="0" w:color="000000"/>
              <w:right w:val="nil"/>
            </w:tcBorders>
            <w:shd w:val="clear" w:color="auto" w:fill="auto"/>
            <w:vAlign w:val="center"/>
            <w:hideMark/>
          </w:tcPr>
          <w:p w14:paraId="2BBEC16E" w14:textId="77777777" w:rsidR="004B2DDE" w:rsidRPr="00F15230" w:rsidRDefault="004B2DDE" w:rsidP="004B2DDE">
            <w:pPr>
              <w:keepNext/>
              <w:tabs>
                <w:tab w:val="clear" w:pos="567"/>
              </w:tabs>
              <w:spacing w:after="0" w:line="240" w:lineRule="auto"/>
              <w:jc w:val="center"/>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Net expenses </w:t>
            </w:r>
          </w:p>
        </w:tc>
        <w:tc>
          <w:tcPr>
            <w:tcW w:w="1080" w:type="dxa"/>
            <w:vMerge w:val="restart"/>
            <w:tcBorders>
              <w:top w:val="single" w:sz="4" w:space="0" w:color="auto"/>
              <w:left w:val="nil"/>
              <w:bottom w:val="single" w:sz="4" w:space="0" w:color="000000"/>
              <w:right w:val="nil"/>
            </w:tcBorders>
            <w:shd w:val="clear" w:color="auto" w:fill="auto"/>
            <w:vAlign w:val="center"/>
            <w:hideMark/>
          </w:tcPr>
          <w:p w14:paraId="500F70ED" w14:textId="5069E19E" w:rsidR="004B2DDE" w:rsidRPr="00F15230" w:rsidRDefault="00077088" w:rsidP="004B2DDE">
            <w:pPr>
              <w:keepNext/>
              <w:tabs>
                <w:tab w:val="clear" w:pos="567"/>
              </w:tabs>
              <w:spacing w:after="0" w:line="240" w:lineRule="auto"/>
              <w:jc w:val="center"/>
              <w:rPr>
                <w:rFonts w:ascii="Calibri" w:eastAsia="Times New Roman" w:hAnsi="Calibri" w:cs="Times New Roman"/>
                <w:sz w:val="18"/>
                <w:szCs w:val="18"/>
                <w:lang w:eastAsia="zh-CN"/>
              </w:rPr>
            </w:pPr>
            <w:r>
              <w:rPr>
                <w:rFonts w:ascii="Calibri" w:eastAsia="Times New Roman" w:hAnsi="Calibri" w:cs="Times New Roman"/>
                <w:sz w:val="18"/>
                <w:szCs w:val="18"/>
                <w:lang w:eastAsia="zh-CN"/>
              </w:rPr>
              <w:t>Total p</w:t>
            </w:r>
            <w:r w:rsidR="004B2DDE" w:rsidRPr="00F15230">
              <w:rPr>
                <w:rFonts w:ascii="Calibri" w:eastAsia="Times New Roman" w:hAnsi="Calibri" w:cs="Times New Roman"/>
                <w:sz w:val="18"/>
                <w:szCs w:val="18"/>
                <w:lang w:eastAsia="zh-CN"/>
              </w:rPr>
              <w:t>op.</w:t>
            </w:r>
          </w:p>
        </w:tc>
        <w:tc>
          <w:tcPr>
            <w:tcW w:w="860" w:type="dxa"/>
            <w:vMerge w:val="restart"/>
            <w:tcBorders>
              <w:top w:val="single" w:sz="4" w:space="0" w:color="auto"/>
              <w:left w:val="nil"/>
              <w:bottom w:val="single" w:sz="4" w:space="0" w:color="000000"/>
              <w:right w:val="nil"/>
            </w:tcBorders>
            <w:shd w:val="clear" w:color="auto" w:fill="auto"/>
            <w:vAlign w:val="center"/>
            <w:hideMark/>
          </w:tcPr>
          <w:p w14:paraId="7B6C1760" w14:textId="77777777" w:rsidR="004B2DDE" w:rsidRPr="00F15230" w:rsidRDefault="004B2DDE" w:rsidP="004B2DDE">
            <w:pPr>
              <w:keepNext/>
              <w:tabs>
                <w:tab w:val="clear" w:pos="567"/>
              </w:tabs>
              <w:spacing w:after="0" w:line="240" w:lineRule="auto"/>
              <w:jc w:val="center"/>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National average cost </w:t>
            </w:r>
          </w:p>
        </w:tc>
        <w:tc>
          <w:tcPr>
            <w:tcW w:w="1860" w:type="dxa"/>
            <w:gridSpan w:val="2"/>
            <w:tcBorders>
              <w:top w:val="single" w:sz="4" w:space="0" w:color="auto"/>
              <w:left w:val="nil"/>
              <w:bottom w:val="nil"/>
              <w:right w:val="nil"/>
            </w:tcBorders>
            <w:shd w:val="clear" w:color="000000" w:fill="D9D9D9"/>
            <w:vAlign w:val="bottom"/>
            <w:hideMark/>
          </w:tcPr>
          <w:p w14:paraId="7CC9B190" w14:textId="77777777" w:rsidR="004B2DDE" w:rsidRPr="00F15230" w:rsidRDefault="004B2DDE" w:rsidP="004B2DDE">
            <w:pPr>
              <w:keepNext/>
              <w:tabs>
                <w:tab w:val="clear" w:pos="567"/>
              </w:tabs>
              <w:spacing w:after="0" w:line="240" w:lineRule="auto"/>
              <w:jc w:val="center"/>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New South Wales</w:t>
            </w:r>
          </w:p>
        </w:tc>
      </w:tr>
      <w:tr w:rsidR="004B2DDE" w:rsidRPr="00F15230" w14:paraId="171788D0" w14:textId="77777777" w:rsidTr="00752C7F">
        <w:trPr>
          <w:trHeight w:val="555"/>
        </w:trPr>
        <w:tc>
          <w:tcPr>
            <w:tcW w:w="1200" w:type="dxa"/>
            <w:vMerge/>
            <w:tcBorders>
              <w:top w:val="single" w:sz="4" w:space="0" w:color="auto"/>
              <w:left w:val="nil"/>
              <w:bottom w:val="single" w:sz="4" w:space="0" w:color="000000"/>
              <w:right w:val="nil"/>
            </w:tcBorders>
            <w:vAlign w:val="center"/>
            <w:hideMark/>
          </w:tcPr>
          <w:p w14:paraId="068C7AEA"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2060" w:type="dxa"/>
            <w:vMerge/>
            <w:tcBorders>
              <w:top w:val="single" w:sz="4" w:space="0" w:color="auto"/>
              <w:left w:val="nil"/>
              <w:bottom w:val="single" w:sz="4" w:space="0" w:color="000000"/>
              <w:right w:val="nil"/>
            </w:tcBorders>
            <w:vAlign w:val="center"/>
            <w:hideMark/>
          </w:tcPr>
          <w:p w14:paraId="56542000"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600" w:type="dxa"/>
            <w:vMerge/>
            <w:tcBorders>
              <w:top w:val="single" w:sz="4" w:space="0" w:color="auto"/>
              <w:left w:val="nil"/>
              <w:bottom w:val="single" w:sz="4" w:space="0" w:color="000000"/>
              <w:right w:val="nil"/>
            </w:tcBorders>
            <w:vAlign w:val="center"/>
            <w:hideMark/>
          </w:tcPr>
          <w:p w14:paraId="745C744B"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960" w:type="dxa"/>
            <w:vMerge/>
            <w:tcBorders>
              <w:top w:val="single" w:sz="4" w:space="0" w:color="auto"/>
              <w:left w:val="nil"/>
              <w:bottom w:val="single" w:sz="4" w:space="0" w:color="000000"/>
              <w:right w:val="nil"/>
            </w:tcBorders>
            <w:vAlign w:val="center"/>
            <w:hideMark/>
          </w:tcPr>
          <w:p w14:paraId="19E6485A"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880" w:type="dxa"/>
            <w:vMerge/>
            <w:tcBorders>
              <w:top w:val="single" w:sz="4" w:space="0" w:color="auto"/>
              <w:left w:val="nil"/>
              <w:bottom w:val="single" w:sz="4" w:space="0" w:color="000000"/>
              <w:right w:val="nil"/>
            </w:tcBorders>
            <w:vAlign w:val="center"/>
            <w:hideMark/>
          </w:tcPr>
          <w:p w14:paraId="327255C6"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1080" w:type="dxa"/>
            <w:vMerge/>
            <w:tcBorders>
              <w:top w:val="single" w:sz="4" w:space="0" w:color="auto"/>
              <w:left w:val="nil"/>
              <w:bottom w:val="single" w:sz="4" w:space="0" w:color="000000"/>
              <w:right w:val="nil"/>
            </w:tcBorders>
            <w:vAlign w:val="center"/>
            <w:hideMark/>
          </w:tcPr>
          <w:p w14:paraId="675165CB"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860" w:type="dxa"/>
            <w:vMerge/>
            <w:tcBorders>
              <w:top w:val="single" w:sz="4" w:space="0" w:color="auto"/>
              <w:left w:val="nil"/>
              <w:bottom w:val="single" w:sz="4" w:space="0" w:color="000000"/>
              <w:right w:val="nil"/>
            </w:tcBorders>
            <w:vAlign w:val="center"/>
            <w:hideMark/>
          </w:tcPr>
          <w:p w14:paraId="38BB06EC"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1000" w:type="dxa"/>
            <w:tcBorders>
              <w:top w:val="nil"/>
              <w:left w:val="nil"/>
              <w:bottom w:val="single" w:sz="4" w:space="0" w:color="auto"/>
              <w:right w:val="nil"/>
            </w:tcBorders>
            <w:shd w:val="clear" w:color="000000" w:fill="D9D9D9"/>
            <w:vAlign w:val="center"/>
            <w:hideMark/>
          </w:tcPr>
          <w:p w14:paraId="7A054DF8"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Pop</w:t>
            </w:r>
          </w:p>
        </w:tc>
        <w:tc>
          <w:tcPr>
            <w:tcW w:w="860" w:type="dxa"/>
            <w:tcBorders>
              <w:top w:val="nil"/>
              <w:left w:val="nil"/>
              <w:bottom w:val="single" w:sz="4" w:space="0" w:color="auto"/>
              <w:right w:val="nil"/>
            </w:tcBorders>
            <w:shd w:val="clear" w:color="000000" w:fill="D9D9D9"/>
            <w:vAlign w:val="center"/>
            <w:hideMark/>
          </w:tcPr>
          <w:p w14:paraId="388D12D0"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Assessed expenses</w:t>
            </w:r>
          </w:p>
        </w:tc>
      </w:tr>
      <w:tr w:rsidR="004B2DDE" w:rsidRPr="00F15230" w14:paraId="4514957E" w14:textId="77777777" w:rsidTr="00752C7F">
        <w:trPr>
          <w:trHeight w:val="259"/>
        </w:trPr>
        <w:tc>
          <w:tcPr>
            <w:tcW w:w="1200" w:type="dxa"/>
            <w:tcBorders>
              <w:top w:val="nil"/>
              <w:left w:val="nil"/>
              <w:bottom w:val="nil"/>
              <w:right w:val="nil"/>
            </w:tcBorders>
            <w:shd w:val="clear" w:color="auto" w:fill="auto"/>
            <w:vAlign w:val="bottom"/>
            <w:hideMark/>
          </w:tcPr>
          <w:p w14:paraId="7CE83F78"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2060" w:type="dxa"/>
            <w:tcBorders>
              <w:top w:val="nil"/>
              <w:left w:val="nil"/>
              <w:bottom w:val="nil"/>
              <w:right w:val="nil"/>
            </w:tcBorders>
            <w:shd w:val="clear" w:color="auto" w:fill="auto"/>
            <w:vAlign w:val="bottom"/>
            <w:hideMark/>
          </w:tcPr>
          <w:p w14:paraId="74D7C95D"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600" w:type="dxa"/>
            <w:tcBorders>
              <w:top w:val="nil"/>
              <w:left w:val="nil"/>
              <w:bottom w:val="nil"/>
              <w:right w:val="nil"/>
            </w:tcBorders>
            <w:shd w:val="clear" w:color="auto" w:fill="auto"/>
            <w:vAlign w:val="bottom"/>
            <w:hideMark/>
          </w:tcPr>
          <w:p w14:paraId="1554EED9"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p>
        </w:tc>
        <w:tc>
          <w:tcPr>
            <w:tcW w:w="960" w:type="dxa"/>
            <w:tcBorders>
              <w:top w:val="nil"/>
              <w:left w:val="nil"/>
              <w:bottom w:val="nil"/>
              <w:right w:val="nil"/>
            </w:tcBorders>
            <w:shd w:val="clear" w:color="auto" w:fill="auto"/>
            <w:vAlign w:val="center"/>
            <w:hideMark/>
          </w:tcPr>
          <w:p w14:paraId="765BAA42"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no.</w:t>
            </w:r>
          </w:p>
        </w:tc>
        <w:tc>
          <w:tcPr>
            <w:tcW w:w="880" w:type="dxa"/>
            <w:tcBorders>
              <w:top w:val="nil"/>
              <w:left w:val="nil"/>
              <w:bottom w:val="nil"/>
              <w:right w:val="nil"/>
            </w:tcBorders>
            <w:shd w:val="clear" w:color="auto" w:fill="auto"/>
            <w:vAlign w:val="center"/>
            <w:hideMark/>
          </w:tcPr>
          <w:p w14:paraId="359FA55B"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w:t>
            </w:r>
          </w:p>
        </w:tc>
        <w:tc>
          <w:tcPr>
            <w:tcW w:w="1080" w:type="dxa"/>
            <w:tcBorders>
              <w:top w:val="nil"/>
              <w:left w:val="nil"/>
              <w:bottom w:val="nil"/>
              <w:right w:val="nil"/>
            </w:tcBorders>
            <w:shd w:val="clear" w:color="auto" w:fill="auto"/>
            <w:vAlign w:val="center"/>
            <w:hideMark/>
          </w:tcPr>
          <w:p w14:paraId="489765CE"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no.</w:t>
            </w:r>
          </w:p>
        </w:tc>
        <w:tc>
          <w:tcPr>
            <w:tcW w:w="860" w:type="dxa"/>
            <w:tcBorders>
              <w:top w:val="nil"/>
              <w:left w:val="nil"/>
              <w:bottom w:val="nil"/>
              <w:right w:val="nil"/>
            </w:tcBorders>
            <w:shd w:val="clear" w:color="auto" w:fill="auto"/>
            <w:vAlign w:val="center"/>
            <w:hideMark/>
          </w:tcPr>
          <w:p w14:paraId="73297031"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pc</w:t>
            </w:r>
          </w:p>
        </w:tc>
        <w:tc>
          <w:tcPr>
            <w:tcW w:w="1000" w:type="dxa"/>
            <w:tcBorders>
              <w:top w:val="nil"/>
              <w:left w:val="nil"/>
              <w:bottom w:val="nil"/>
              <w:right w:val="nil"/>
            </w:tcBorders>
            <w:shd w:val="clear" w:color="000000" w:fill="D9D9D9"/>
            <w:vAlign w:val="center"/>
            <w:hideMark/>
          </w:tcPr>
          <w:p w14:paraId="17C1F845"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no.</w:t>
            </w:r>
          </w:p>
        </w:tc>
        <w:tc>
          <w:tcPr>
            <w:tcW w:w="860" w:type="dxa"/>
            <w:tcBorders>
              <w:top w:val="nil"/>
              <w:left w:val="nil"/>
              <w:bottom w:val="nil"/>
              <w:right w:val="nil"/>
            </w:tcBorders>
            <w:shd w:val="clear" w:color="000000" w:fill="D9D9D9"/>
            <w:vAlign w:val="center"/>
            <w:hideMark/>
          </w:tcPr>
          <w:p w14:paraId="075E3B46"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w:t>
            </w:r>
          </w:p>
        </w:tc>
      </w:tr>
      <w:tr w:rsidR="004B2DDE" w:rsidRPr="00F15230" w14:paraId="46C0C524" w14:textId="77777777" w:rsidTr="00752C7F">
        <w:trPr>
          <w:trHeight w:val="315"/>
        </w:trPr>
        <w:tc>
          <w:tcPr>
            <w:tcW w:w="1200" w:type="dxa"/>
            <w:tcBorders>
              <w:top w:val="nil"/>
              <w:left w:val="nil"/>
              <w:bottom w:val="nil"/>
              <w:right w:val="nil"/>
            </w:tcBorders>
            <w:shd w:val="clear" w:color="auto" w:fill="auto"/>
            <w:vAlign w:val="bottom"/>
            <w:hideMark/>
          </w:tcPr>
          <w:p w14:paraId="41B7CAEE"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Indigenous</w:t>
            </w:r>
          </w:p>
        </w:tc>
        <w:tc>
          <w:tcPr>
            <w:tcW w:w="2060" w:type="dxa"/>
            <w:tcBorders>
              <w:top w:val="nil"/>
              <w:left w:val="nil"/>
              <w:bottom w:val="nil"/>
              <w:right w:val="nil"/>
            </w:tcBorders>
            <w:shd w:val="clear" w:color="auto" w:fill="auto"/>
            <w:vAlign w:val="bottom"/>
            <w:hideMark/>
          </w:tcPr>
          <w:p w14:paraId="42F0E33A"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2E4A0EF3"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0-14</w:t>
            </w:r>
          </w:p>
        </w:tc>
        <w:tc>
          <w:tcPr>
            <w:tcW w:w="960" w:type="dxa"/>
            <w:tcBorders>
              <w:top w:val="nil"/>
              <w:left w:val="nil"/>
              <w:bottom w:val="nil"/>
              <w:right w:val="nil"/>
            </w:tcBorders>
            <w:shd w:val="clear" w:color="auto" w:fill="auto"/>
            <w:vAlign w:val="bottom"/>
            <w:hideMark/>
          </w:tcPr>
          <w:p w14:paraId="6A2C42D0"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11 621</w:t>
            </w:r>
          </w:p>
        </w:tc>
        <w:tc>
          <w:tcPr>
            <w:tcW w:w="880" w:type="dxa"/>
            <w:tcBorders>
              <w:top w:val="nil"/>
              <w:left w:val="nil"/>
              <w:bottom w:val="nil"/>
              <w:right w:val="nil"/>
            </w:tcBorders>
            <w:shd w:val="clear" w:color="auto" w:fill="auto"/>
            <w:vAlign w:val="bottom"/>
            <w:hideMark/>
          </w:tcPr>
          <w:p w14:paraId="3F0C0ACA"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76</w:t>
            </w:r>
          </w:p>
        </w:tc>
        <w:tc>
          <w:tcPr>
            <w:tcW w:w="1080" w:type="dxa"/>
            <w:tcBorders>
              <w:top w:val="nil"/>
              <w:left w:val="nil"/>
              <w:bottom w:val="nil"/>
              <w:right w:val="nil"/>
            </w:tcBorders>
            <w:shd w:val="clear" w:color="auto" w:fill="auto"/>
            <w:vAlign w:val="bottom"/>
            <w:hideMark/>
          </w:tcPr>
          <w:p w14:paraId="4C06D06F"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57 444</w:t>
            </w:r>
          </w:p>
        </w:tc>
        <w:tc>
          <w:tcPr>
            <w:tcW w:w="860" w:type="dxa"/>
            <w:tcBorders>
              <w:top w:val="nil"/>
              <w:left w:val="nil"/>
              <w:bottom w:val="nil"/>
              <w:right w:val="nil"/>
            </w:tcBorders>
            <w:shd w:val="clear" w:color="auto" w:fill="auto"/>
            <w:vAlign w:val="bottom"/>
            <w:hideMark/>
          </w:tcPr>
          <w:p w14:paraId="3C76FF20"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1 324</w:t>
            </w:r>
          </w:p>
        </w:tc>
        <w:tc>
          <w:tcPr>
            <w:tcW w:w="1000" w:type="dxa"/>
            <w:tcBorders>
              <w:top w:val="nil"/>
              <w:left w:val="nil"/>
              <w:bottom w:val="nil"/>
              <w:right w:val="nil"/>
            </w:tcBorders>
            <w:shd w:val="clear" w:color="000000" w:fill="D9D9D9"/>
            <w:vAlign w:val="bottom"/>
            <w:hideMark/>
          </w:tcPr>
          <w:p w14:paraId="3C264F6F"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26 002</w:t>
            </w:r>
          </w:p>
        </w:tc>
        <w:tc>
          <w:tcPr>
            <w:tcW w:w="860" w:type="dxa"/>
            <w:tcBorders>
              <w:top w:val="nil"/>
              <w:left w:val="nil"/>
              <w:bottom w:val="nil"/>
              <w:right w:val="nil"/>
            </w:tcBorders>
            <w:shd w:val="clear" w:color="000000" w:fill="D9D9D9"/>
            <w:vAlign w:val="bottom"/>
            <w:hideMark/>
          </w:tcPr>
          <w:p w14:paraId="24C222E1"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34</w:t>
            </w:r>
          </w:p>
        </w:tc>
      </w:tr>
      <w:tr w:rsidR="004B2DDE" w:rsidRPr="00F15230" w14:paraId="511D7757" w14:textId="77777777" w:rsidTr="00752C7F">
        <w:trPr>
          <w:trHeight w:val="315"/>
        </w:trPr>
        <w:tc>
          <w:tcPr>
            <w:tcW w:w="1200" w:type="dxa"/>
            <w:tcBorders>
              <w:top w:val="nil"/>
              <w:left w:val="nil"/>
              <w:bottom w:val="nil"/>
              <w:right w:val="nil"/>
            </w:tcBorders>
            <w:shd w:val="clear" w:color="auto" w:fill="auto"/>
            <w:vAlign w:val="bottom"/>
            <w:hideMark/>
          </w:tcPr>
          <w:p w14:paraId="6C57C0C7"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Indigenous</w:t>
            </w:r>
          </w:p>
        </w:tc>
        <w:tc>
          <w:tcPr>
            <w:tcW w:w="2060" w:type="dxa"/>
            <w:tcBorders>
              <w:top w:val="nil"/>
              <w:left w:val="nil"/>
              <w:bottom w:val="nil"/>
              <w:right w:val="nil"/>
            </w:tcBorders>
            <w:shd w:val="clear" w:color="auto" w:fill="auto"/>
            <w:vAlign w:val="bottom"/>
            <w:hideMark/>
          </w:tcPr>
          <w:p w14:paraId="7D8B962A"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6F0CBD78"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15-44</w:t>
            </w:r>
          </w:p>
        </w:tc>
        <w:tc>
          <w:tcPr>
            <w:tcW w:w="960" w:type="dxa"/>
            <w:tcBorders>
              <w:top w:val="nil"/>
              <w:left w:val="nil"/>
              <w:bottom w:val="nil"/>
              <w:right w:val="nil"/>
            </w:tcBorders>
            <w:shd w:val="clear" w:color="auto" w:fill="auto"/>
            <w:vAlign w:val="bottom"/>
            <w:hideMark/>
          </w:tcPr>
          <w:p w14:paraId="56CD9A4E"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26 759</w:t>
            </w:r>
          </w:p>
        </w:tc>
        <w:tc>
          <w:tcPr>
            <w:tcW w:w="880" w:type="dxa"/>
            <w:tcBorders>
              <w:top w:val="nil"/>
              <w:left w:val="nil"/>
              <w:bottom w:val="nil"/>
              <w:right w:val="nil"/>
            </w:tcBorders>
            <w:shd w:val="clear" w:color="auto" w:fill="auto"/>
            <w:vAlign w:val="bottom"/>
            <w:hideMark/>
          </w:tcPr>
          <w:p w14:paraId="28A589F7"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175</w:t>
            </w:r>
          </w:p>
        </w:tc>
        <w:tc>
          <w:tcPr>
            <w:tcW w:w="1080" w:type="dxa"/>
            <w:tcBorders>
              <w:top w:val="nil"/>
              <w:left w:val="nil"/>
              <w:bottom w:val="nil"/>
              <w:right w:val="nil"/>
            </w:tcBorders>
            <w:shd w:val="clear" w:color="auto" w:fill="auto"/>
            <w:vAlign w:val="bottom"/>
            <w:hideMark/>
          </w:tcPr>
          <w:p w14:paraId="71AA8439"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73 567</w:t>
            </w:r>
          </w:p>
        </w:tc>
        <w:tc>
          <w:tcPr>
            <w:tcW w:w="860" w:type="dxa"/>
            <w:tcBorders>
              <w:top w:val="nil"/>
              <w:left w:val="nil"/>
              <w:bottom w:val="nil"/>
              <w:right w:val="nil"/>
            </w:tcBorders>
            <w:shd w:val="clear" w:color="auto" w:fill="auto"/>
            <w:vAlign w:val="bottom"/>
            <w:hideMark/>
          </w:tcPr>
          <w:p w14:paraId="359F6117"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2 381</w:t>
            </w:r>
          </w:p>
        </w:tc>
        <w:tc>
          <w:tcPr>
            <w:tcW w:w="1000" w:type="dxa"/>
            <w:tcBorders>
              <w:top w:val="nil"/>
              <w:left w:val="nil"/>
              <w:bottom w:val="nil"/>
              <w:right w:val="nil"/>
            </w:tcBorders>
            <w:shd w:val="clear" w:color="000000" w:fill="D9D9D9"/>
            <w:vAlign w:val="bottom"/>
            <w:hideMark/>
          </w:tcPr>
          <w:p w14:paraId="3E5C75DD"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32 421</w:t>
            </w:r>
          </w:p>
        </w:tc>
        <w:tc>
          <w:tcPr>
            <w:tcW w:w="860" w:type="dxa"/>
            <w:tcBorders>
              <w:top w:val="nil"/>
              <w:left w:val="nil"/>
              <w:bottom w:val="nil"/>
              <w:right w:val="nil"/>
            </w:tcBorders>
            <w:shd w:val="clear" w:color="000000" w:fill="D9D9D9"/>
            <w:vAlign w:val="bottom"/>
            <w:hideMark/>
          </w:tcPr>
          <w:p w14:paraId="7C227633"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77</w:t>
            </w:r>
          </w:p>
        </w:tc>
      </w:tr>
      <w:tr w:rsidR="004B2DDE" w:rsidRPr="00F15230" w14:paraId="0CAD5A84" w14:textId="77777777" w:rsidTr="00752C7F">
        <w:trPr>
          <w:trHeight w:val="315"/>
        </w:trPr>
        <w:tc>
          <w:tcPr>
            <w:tcW w:w="1200" w:type="dxa"/>
            <w:tcBorders>
              <w:top w:val="nil"/>
              <w:left w:val="nil"/>
              <w:bottom w:val="nil"/>
              <w:right w:val="nil"/>
            </w:tcBorders>
            <w:shd w:val="clear" w:color="auto" w:fill="auto"/>
            <w:vAlign w:val="bottom"/>
            <w:hideMark/>
          </w:tcPr>
          <w:p w14:paraId="72782556"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Indigenous</w:t>
            </w:r>
          </w:p>
        </w:tc>
        <w:tc>
          <w:tcPr>
            <w:tcW w:w="2060" w:type="dxa"/>
            <w:tcBorders>
              <w:top w:val="nil"/>
              <w:left w:val="nil"/>
              <w:bottom w:val="nil"/>
              <w:right w:val="nil"/>
            </w:tcBorders>
            <w:shd w:val="clear" w:color="auto" w:fill="auto"/>
            <w:vAlign w:val="bottom"/>
            <w:hideMark/>
          </w:tcPr>
          <w:p w14:paraId="063D4131"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76FAAC52"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45-64</w:t>
            </w:r>
          </w:p>
        </w:tc>
        <w:tc>
          <w:tcPr>
            <w:tcW w:w="960" w:type="dxa"/>
            <w:tcBorders>
              <w:top w:val="nil"/>
              <w:left w:val="nil"/>
              <w:bottom w:val="nil"/>
              <w:right w:val="nil"/>
            </w:tcBorders>
            <w:shd w:val="clear" w:color="auto" w:fill="auto"/>
            <w:vAlign w:val="bottom"/>
            <w:hideMark/>
          </w:tcPr>
          <w:p w14:paraId="09B1B67C"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17 108</w:t>
            </w:r>
          </w:p>
        </w:tc>
        <w:tc>
          <w:tcPr>
            <w:tcW w:w="880" w:type="dxa"/>
            <w:tcBorders>
              <w:top w:val="nil"/>
              <w:left w:val="nil"/>
              <w:bottom w:val="nil"/>
              <w:right w:val="nil"/>
            </w:tcBorders>
            <w:shd w:val="clear" w:color="auto" w:fill="auto"/>
            <w:vAlign w:val="bottom"/>
            <w:hideMark/>
          </w:tcPr>
          <w:p w14:paraId="01B26DB8"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112</w:t>
            </w:r>
          </w:p>
        </w:tc>
        <w:tc>
          <w:tcPr>
            <w:tcW w:w="1080" w:type="dxa"/>
            <w:tcBorders>
              <w:top w:val="nil"/>
              <w:left w:val="nil"/>
              <w:bottom w:val="nil"/>
              <w:right w:val="nil"/>
            </w:tcBorders>
            <w:shd w:val="clear" w:color="auto" w:fill="auto"/>
            <w:vAlign w:val="bottom"/>
            <w:hideMark/>
          </w:tcPr>
          <w:p w14:paraId="3527E7F0"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27 558</w:t>
            </w:r>
          </w:p>
        </w:tc>
        <w:tc>
          <w:tcPr>
            <w:tcW w:w="860" w:type="dxa"/>
            <w:tcBorders>
              <w:top w:val="nil"/>
              <w:left w:val="nil"/>
              <w:bottom w:val="nil"/>
              <w:right w:val="nil"/>
            </w:tcBorders>
            <w:shd w:val="clear" w:color="auto" w:fill="auto"/>
            <w:vAlign w:val="bottom"/>
            <w:hideMark/>
          </w:tcPr>
          <w:p w14:paraId="56F9AF97"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4 064</w:t>
            </w:r>
          </w:p>
        </w:tc>
        <w:tc>
          <w:tcPr>
            <w:tcW w:w="1000" w:type="dxa"/>
            <w:tcBorders>
              <w:top w:val="nil"/>
              <w:left w:val="nil"/>
              <w:bottom w:val="nil"/>
              <w:right w:val="nil"/>
            </w:tcBorders>
            <w:shd w:val="clear" w:color="000000" w:fill="D9D9D9"/>
            <w:vAlign w:val="bottom"/>
            <w:hideMark/>
          </w:tcPr>
          <w:p w14:paraId="43D216B0"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12 699</w:t>
            </w:r>
          </w:p>
        </w:tc>
        <w:tc>
          <w:tcPr>
            <w:tcW w:w="860" w:type="dxa"/>
            <w:tcBorders>
              <w:top w:val="nil"/>
              <w:left w:val="nil"/>
              <w:bottom w:val="nil"/>
              <w:right w:val="nil"/>
            </w:tcBorders>
            <w:shd w:val="clear" w:color="000000" w:fill="D9D9D9"/>
            <w:vAlign w:val="bottom"/>
            <w:hideMark/>
          </w:tcPr>
          <w:p w14:paraId="6DBD27D0"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52</w:t>
            </w:r>
          </w:p>
        </w:tc>
      </w:tr>
      <w:tr w:rsidR="004B2DDE" w:rsidRPr="00F15230" w14:paraId="055B1C03" w14:textId="77777777" w:rsidTr="00752C7F">
        <w:trPr>
          <w:trHeight w:val="315"/>
        </w:trPr>
        <w:tc>
          <w:tcPr>
            <w:tcW w:w="1200" w:type="dxa"/>
            <w:tcBorders>
              <w:top w:val="nil"/>
              <w:left w:val="nil"/>
              <w:bottom w:val="nil"/>
              <w:right w:val="nil"/>
            </w:tcBorders>
            <w:shd w:val="clear" w:color="auto" w:fill="auto"/>
            <w:vAlign w:val="bottom"/>
            <w:hideMark/>
          </w:tcPr>
          <w:p w14:paraId="7176287B"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Indigenous</w:t>
            </w:r>
          </w:p>
        </w:tc>
        <w:tc>
          <w:tcPr>
            <w:tcW w:w="2060" w:type="dxa"/>
            <w:tcBorders>
              <w:top w:val="nil"/>
              <w:left w:val="nil"/>
              <w:bottom w:val="nil"/>
              <w:right w:val="nil"/>
            </w:tcBorders>
            <w:shd w:val="clear" w:color="auto" w:fill="auto"/>
            <w:vAlign w:val="bottom"/>
            <w:hideMark/>
          </w:tcPr>
          <w:p w14:paraId="5CFBEF2B"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48132175"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65-74</w:t>
            </w:r>
          </w:p>
        </w:tc>
        <w:tc>
          <w:tcPr>
            <w:tcW w:w="960" w:type="dxa"/>
            <w:tcBorders>
              <w:top w:val="nil"/>
              <w:left w:val="nil"/>
              <w:bottom w:val="nil"/>
              <w:right w:val="nil"/>
            </w:tcBorders>
            <w:shd w:val="clear" w:color="auto" w:fill="auto"/>
            <w:vAlign w:val="bottom"/>
            <w:hideMark/>
          </w:tcPr>
          <w:p w14:paraId="20F7615E"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4 333</w:t>
            </w:r>
          </w:p>
        </w:tc>
        <w:tc>
          <w:tcPr>
            <w:tcW w:w="880" w:type="dxa"/>
            <w:tcBorders>
              <w:top w:val="nil"/>
              <w:left w:val="nil"/>
              <w:bottom w:val="nil"/>
              <w:right w:val="nil"/>
            </w:tcBorders>
            <w:shd w:val="clear" w:color="auto" w:fill="auto"/>
            <w:vAlign w:val="bottom"/>
            <w:hideMark/>
          </w:tcPr>
          <w:p w14:paraId="4D5F2126"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28</w:t>
            </w:r>
          </w:p>
        </w:tc>
        <w:tc>
          <w:tcPr>
            <w:tcW w:w="1080" w:type="dxa"/>
            <w:tcBorders>
              <w:top w:val="nil"/>
              <w:left w:val="nil"/>
              <w:bottom w:val="nil"/>
              <w:right w:val="nil"/>
            </w:tcBorders>
            <w:shd w:val="clear" w:color="auto" w:fill="auto"/>
            <w:vAlign w:val="bottom"/>
            <w:hideMark/>
          </w:tcPr>
          <w:p w14:paraId="55878C04"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5 090</w:t>
            </w:r>
          </w:p>
        </w:tc>
        <w:tc>
          <w:tcPr>
            <w:tcW w:w="860" w:type="dxa"/>
            <w:tcBorders>
              <w:top w:val="nil"/>
              <w:left w:val="nil"/>
              <w:bottom w:val="nil"/>
              <w:right w:val="nil"/>
            </w:tcBorders>
            <w:shd w:val="clear" w:color="auto" w:fill="auto"/>
            <w:vAlign w:val="bottom"/>
            <w:hideMark/>
          </w:tcPr>
          <w:p w14:paraId="4C134DCB"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5 573</w:t>
            </w:r>
          </w:p>
        </w:tc>
        <w:tc>
          <w:tcPr>
            <w:tcW w:w="1000" w:type="dxa"/>
            <w:tcBorders>
              <w:top w:val="nil"/>
              <w:left w:val="nil"/>
              <w:bottom w:val="nil"/>
              <w:right w:val="nil"/>
            </w:tcBorders>
            <w:shd w:val="clear" w:color="000000" w:fill="D9D9D9"/>
            <w:vAlign w:val="bottom"/>
            <w:hideMark/>
          </w:tcPr>
          <w:p w14:paraId="1B9C4482"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2 516</w:t>
            </w:r>
          </w:p>
        </w:tc>
        <w:tc>
          <w:tcPr>
            <w:tcW w:w="860" w:type="dxa"/>
            <w:tcBorders>
              <w:top w:val="nil"/>
              <w:left w:val="nil"/>
              <w:bottom w:val="nil"/>
              <w:right w:val="nil"/>
            </w:tcBorders>
            <w:shd w:val="clear" w:color="000000" w:fill="D9D9D9"/>
            <w:vAlign w:val="bottom"/>
            <w:hideMark/>
          </w:tcPr>
          <w:p w14:paraId="54FCE7F2"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14</w:t>
            </w:r>
          </w:p>
        </w:tc>
      </w:tr>
      <w:tr w:rsidR="004B2DDE" w:rsidRPr="00F15230" w14:paraId="7C6D6FA6" w14:textId="77777777" w:rsidTr="00752C7F">
        <w:trPr>
          <w:trHeight w:val="315"/>
        </w:trPr>
        <w:tc>
          <w:tcPr>
            <w:tcW w:w="1200" w:type="dxa"/>
            <w:tcBorders>
              <w:top w:val="nil"/>
              <w:left w:val="nil"/>
              <w:bottom w:val="nil"/>
              <w:right w:val="nil"/>
            </w:tcBorders>
            <w:shd w:val="clear" w:color="auto" w:fill="auto"/>
            <w:vAlign w:val="bottom"/>
            <w:hideMark/>
          </w:tcPr>
          <w:p w14:paraId="134E648D"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Indigenous</w:t>
            </w:r>
          </w:p>
        </w:tc>
        <w:tc>
          <w:tcPr>
            <w:tcW w:w="2060" w:type="dxa"/>
            <w:tcBorders>
              <w:top w:val="nil"/>
              <w:left w:val="nil"/>
              <w:bottom w:val="nil"/>
              <w:right w:val="nil"/>
            </w:tcBorders>
            <w:shd w:val="clear" w:color="auto" w:fill="auto"/>
            <w:vAlign w:val="bottom"/>
            <w:hideMark/>
          </w:tcPr>
          <w:p w14:paraId="4174374F"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227AB37C"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75+</w:t>
            </w:r>
          </w:p>
        </w:tc>
        <w:tc>
          <w:tcPr>
            <w:tcW w:w="960" w:type="dxa"/>
            <w:tcBorders>
              <w:top w:val="nil"/>
              <w:left w:val="nil"/>
              <w:bottom w:val="nil"/>
              <w:right w:val="nil"/>
            </w:tcBorders>
            <w:shd w:val="clear" w:color="auto" w:fill="auto"/>
            <w:vAlign w:val="bottom"/>
            <w:hideMark/>
          </w:tcPr>
          <w:p w14:paraId="58445118"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1 989</w:t>
            </w:r>
          </w:p>
        </w:tc>
        <w:tc>
          <w:tcPr>
            <w:tcW w:w="880" w:type="dxa"/>
            <w:tcBorders>
              <w:top w:val="nil"/>
              <w:left w:val="nil"/>
              <w:bottom w:val="nil"/>
              <w:right w:val="nil"/>
            </w:tcBorders>
            <w:shd w:val="clear" w:color="auto" w:fill="auto"/>
            <w:vAlign w:val="bottom"/>
            <w:hideMark/>
          </w:tcPr>
          <w:p w14:paraId="4FE7F6A3"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13</w:t>
            </w:r>
          </w:p>
        </w:tc>
        <w:tc>
          <w:tcPr>
            <w:tcW w:w="1080" w:type="dxa"/>
            <w:tcBorders>
              <w:top w:val="nil"/>
              <w:left w:val="nil"/>
              <w:bottom w:val="nil"/>
              <w:right w:val="nil"/>
            </w:tcBorders>
            <w:shd w:val="clear" w:color="auto" w:fill="auto"/>
            <w:vAlign w:val="bottom"/>
            <w:hideMark/>
          </w:tcPr>
          <w:p w14:paraId="10ED9ACB"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2 046</w:t>
            </w:r>
          </w:p>
        </w:tc>
        <w:tc>
          <w:tcPr>
            <w:tcW w:w="860" w:type="dxa"/>
            <w:tcBorders>
              <w:top w:val="nil"/>
              <w:left w:val="nil"/>
              <w:bottom w:val="nil"/>
              <w:right w:val="nil"/>
            </w:tcBorders>
            <w:shd w:val="clear" w:color="auto" w:fill="auto"/>
            <w:vAlign w:val="bottom"/>
            <w:hideMark/>
          </w:tcPr>
          <w:p w14:paraId="06580D7B"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6 366</w:t>
            </w:r>
          </w:p>
        </w:tc>
        <w:tc>
          <w:tcPr>
            <w:tcW w:w="1000" w:type="dxa"/>
            <w:tcBorders>
              <w:top w:val="nil"/>
              <w:left w:val="nil"/>
              <w:bottom w:val="nil"/>
              <w:right w:val="nil"/>
            </w:tcBorders>
            <w:shd w:val="clear" w:color="000000" w:fill="D9D9D9"/>
            <w:vAlign w:val="bottom"/>
            <w:hideMark/>
          </w:tcPr>
          <w:p w14:paraId="7B09CFD8"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1 040</w:t>
            </w:r>
          </w:p>
        </w:tc>
        <w:tc>
          <w:tcPr>
            <w:tcW w:w="860" w:type="dxa"/>
            <w:tcBorders>
              <w:top w:val="nil"/>
              <w:left w:val="nil"/>
              <w:bottom w:val="nil"/>
              <w:right w:val="nil"/>
            </w:tcBorders>
            <w:shd w:val="clear" w:color="000000" w:fill="D9D9D9"/>
            <w:vAlign w:val="bottom"/>
            <w:hideMark/>
          </w:tcPr>
          <w:p w14:paraId="42777918"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7</w:t>
            </w:r>
          </w:p>
        </w:tc>
      </w:tr>
      <w:tr w:rsidR="004B2DDE" w:rsidRPr="00F15230" w14:paraId="7E610E26" w14:textId="77777777" w:rsidTr="00752C7F">
        <w:trPr>
          <w:trHeight w:val="315"/>
        </w:trPr>
        <w:tc>
          <w:tcPr>
            <w:tcW w:w="1200" w:type="dxa"/>
            <w:tcBorders>
              <w:top w:val="nil"/>
              <w:left w:val="nil"/>
              <w:bottom w:val="nil"/>
              <w:right w:val="nil"/>
            </w:tcBorders>
            <w:shd w:val="clear" w:color="auto" w:fill="auto"/>
            <w:vAlign w:val="bottom"/>
            <w:hideMark/>
          </w:tcPr>
          <w:p w14:paraId="0D611CA8"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Non-</w:t>
            </w:r>
            <w:proofErr w:type="spellStart"/>
            <w:r w:rsidRPr="00F15230">
              <w:rPr>
                <w:rFonts w:ascii="Calibri" w:eastAsia="Times New Roman" w:hAnsi="Calibri" w:cs="Times New Roman"/>
                <w:sz w:val="18"/>
                <w:szCs w:val="18"/>
                <w:lang w:eastAsia="zh-CN"/>
              </w:rPr>
              <w:t>Indigen</w:t>
            </w:r>
            <w:proofErr w:type="spellEnd"/>
            <w:r w:rsidRPr="00F15230">
              <w:rPr>
                <w:rFonts w:ascii="Calibri" w:eastAsia="Times New Roman" w:hAnsi="Calibri" w:cs="Times New Roman"/>
                <w:sz w:val="18"/>
                <w:szCs w:val="18"/>
                <w:lang w:eastAsia="zh-CN"/>
              </w:rPr>
              <w:t xml:space="preserve">. </w:t>
            </w:r>
          </w:p>
        </w:tc>
        <w:tc>
          <w:tcPr>
            <w:tcW w:w="2060" w:type="dxa"/>
            <w:tcBorders>
              <w:top w:val="nil"/>
              <w:left w:val="nil"/>
              <w:bottom w:val="nil"/>
              <w:right w:val="nil"/>
            </w:tcBorders>
            <w:shd w:val="clear" w:color="auto" w:fill="auto"/>
            <w:vAlign w:val="bottom"/>
            <w:hideMark/>
          </w:tcPr>
          <w:p w14:paraId="61951B57"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3046CF4B"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0-14</w:t>
            </w:r>
          </w:p>
        </w:tc>
        <w:tc>
          <w:tcPr>
            <w:tcW w:w="960" w:type="dxa"/>
            <w:tcBorders>
              <w:top w:val="nil"/>
              <w:left w:val="nil"/>
              <w:bottom w:val="nil"/>
              <w:right w:val="nil"/>
            </w:tcBorders>
            <w:shd w:val="clear" w:color="auto" w:fill="auto"/>
            <w:vAlign w:val="bottom"/>
            <w:hideMark/>
          </w:tcPr>
          <w:p w14:paraId="278B3F4C"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220 634</w:t>
            </w:r>
          </w:p>
        </w:tc>
        <w:tc>
          <w:tcPr>
            <w:tcW w:w="880" w:type="dxa"/>
            <w:tcBorders>
              <w:top w:val="nil"/>
              <w:left w:val="nil"/>
              <w:bottom w:val="nil"/>
              <w:right w:val="nil"/>
            </w:tcBorders>
            <w:shd w:val="clear" w:color="auto" w:fill="auto"/>
            <w:vAlign w:val="bottom"/>
            <w:hideMark/>
          </w:tcPr>
          <w:p w14:paraId="2408124A"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1 444</w:t>
            </w:r>
          </w:p>
        </w:tc>
        <w:tc>
          <w:tcPr>
            <w:tcW w:w="1080" w:type="dxa"/>
            <w:tcBorders>
              <w:top w:val="nil"/>
              <w:left w:val="nil"/>
              <w:bottom w:val="nil"/>
              <w:right w:val="nil"/>
            </w:tcBorders>
            <w:shd w:val="clear" w:color="auto" w:fill="auto"/>
            <w:vAlign w:val="bottom"/>
            <w:hideMark/>
          </w:tcPr>
          <w:p w14:paraId="64B265E4"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1 815 654</w:t>
            </w:r>
          </w:p>
        </w:tc>
        <w:tc>
          <w:tcPr>
            <w:tcW w:w="860" w:type="dxa"/>
            <w:tcBorders>
              <w:top w:val="nil"/>
              <w:left w:val="nil"/>
              <w:bottom w:val="nil"/>
              <w:right w:val="nil"/>
            </w:tcBorders>
            <w:shd w:val="clear" w:color="auto" w:fill="auto"/>
            <w:vAlign w:val="bottom"/>
            <w:hideMark/>
          </w:tcPr>
          <w:p w14:paraId="2AFBC0D5"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795</w:t>
            </w:r>
          </w:p>
        </w:tc>
        <w:tc>
          <w:tcPr>
            <w:tcW w:w="1000" w:type="dxa"/>
            <w:tcBorders>
              <w:top w:val="nil"/>
              <w:left w:val="nil"/>
              <w:bottom w:val="nil"/>
              <w:right w:val="nil"/>
            </w:tcBorders>
            <w:shd w:val="clear" w:color="000000" w:fill="D9D9D9"/>
            <w:vAlign w:val="bottom"/>
            <w:hideMark/>
          </w:tcPr>
          <w:p w14:paraId="17217F87"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526 770</w:t>
            </w:r>
          </w:p>
        </w:tc>
        <w:tc>
          <w:tcPr>
            <w:tcW w:w="860" w:type="dxa"/>
            <w:tcBorders>
              <w:top w:val="nil"/>
              <w:left w:val="nil"/>
              <w:bottom w:val="nil"/>
              <w:right w:val="nil"/>
            </w:tcBorders>
            <w:shd w:val="clear" w:color="000000" w:fill="D9D9D9"/>
            <w:vAlign w:val="bottom"/>
            <w:hideMark/>
          </w:tcPr>
          <w:p w14:paraId="7B2610D7"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419</w:t>
            </w:r>
          </w:p>
        </w:tc>
      </w:tr>
      <w:tr w:rsidR="004B2DDE" w:rsidRPr="00F15230" w14:paraId="1C6E97CF" w14:textId="77777777" w:rsidTr="00752C7F">
        <w:trPr>
          <w:trHeight w:val="315"/>
        </w:trPr>
        <w:tc>
          <w:tcPr>
            <w:tcW w:w="1200" w:type="dxa"/>
            <w:tcBorders>
              <w:top w:val="nil"/>
              <w:left w:val="nil"/>
              <w:bottom w:val="nil"/>
              <w:right w:val="nil"/>
            </w:tcBorders>
            <w:shd w:val="clear" w:color="auto" w:fill="auto"/>
            <w:vAlign w:val="bottom"/>
            <w:hideMark/>
          </w:tcPr>
          <w:p w14:paraId="6C68C65B"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Non-</w:t>
            </w:r>
            <w:proofErr w:type="spellStart"/>
            <w:r w:rsidRPr="00F15230">
              <w:rPr>
                <w:rFonts w:ascii="Calibri" w:eastAsia="Times New Roman" w:hAnsi="Calibri" w:cs="Times New Roman"/>
                <w:sz w:val="18"/>
                <w:szCs w:val="18"/>
                <w:lang w:eastAsia="zh-CN"/>
              </w:rPr>
              <w:t>Indigen</w:t>
            </w:r>
            <w:proofErr w:type="spellEnd"/>
            <w:r w:rsidRPr="00F15230">
              <w:rPr>
                <w:rFonts w:ascii="Calibri" w:eastAsia="Times New Roman" w:hAnsi="Calibri" w:cs="Times New Roman"/>
                <w:sz w:val="18"/>
                <w:szCs w:val="18"/>
                <w:lang w:eastAsia="zh-CN"/>
              </w:rPr>
              <w:t xml:space="preserve">. </w:t>
            </w:r>
          </w:p>
        </w:tc>
        <w:tc>
          <w:tcPr>
            <w:tcW w:w="2060" w:type="dxa"/>
            <w:tcBorders>
              <w:top w:val="nil"/>
              <w:left w:val="nil"/>
              <w:bottom w:val="nil"/>
              <w:right w:val="nil"/>
            </w:tcBorders>
            <w:shd w:val="clear" w:color="auto" w:fill="auto"/>
            <w:vAlign w:val="bottom"/>
            <w:hideMark/>
          </w:tcPr>
          <w:p w14:paraId="0A8E8952"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1936D6CC"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15-44</w:t>
            </w:r>
          </w:p>
        </w:tc>
        <w:tc>
          <w:tcPr>
            <w:tcW w:w="960" w:type="dxa"/>
            <w:tcBorders>
              <w:top w:val="nil"/>
              <w:left w:val="nil"/>
              <w:bottom w:val="nil"/>
              <w:right w:val="nil"/>
            </w:tcBorders>
            <w:shd w:val="clear" w:color="auto" w:fill="auto"/>
            <w:vAlign w:val="bottom"/>
            <w:hideMark/>
          </w:tcPr>
          <w:p w14:paraId="67DB18F0"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623 942</w:t>
            </w:r>
          </w:p>
        </w:tc>
        <w:tc>
          <w:tcPr>
            <w:tcW w:w="880" w:type="dxa"/>
            <w:tcBorders>
              <w:top w:val="nil"/>
              <w:left w:val="nil"/>
              <w:bottom w:val="nil"/>
              <w:right w:val="nil"/>
            </w:tcBorders>
            <w:shd w:val="clear" w:color="auto" w:fill="auto"/>
            <w:vAlign w:val="bottom"/>
            <w:hideMark/>
          </w:tcPr>
          <w:p w14:paraId="5B589E4E"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4 084</w:t>
            </w:r>
          </w:p>
        </w:tc>
        <w:tc>
          <w:tcPr>
            <w:tcW w:w="1080" w:type="dxa"/>
            <w:tcBorders>
              <w:top w:val="nil"/>
              <w:left w:val="nil"/>
              <w:bottom w:val="nil"/>
              <w:right w:val="nil"/>
            </w:tcBorders>
            <w:shd w:val="clear" w:color="auto" w:fill="auto"/>
            <w:vAlign w:val="bottom"/>
            <w:hideMark/>
          </w:tcPr>
          <w:p w14:paraId="71BDFE7C"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4 484 856</w:t>
            </w:r>
          </w:p>
        </w:tc>
        <w:tc>
          <w:tcPr>
            <w:tcW w:w="860" w:type="dxa"/>
            <w:tcBorders>
              <w:top w:val="nil"/>
              <w:left w:val="nil"/>
              <w:bottom w:val="nil"/>
              <w:right w:val="nil"/>
            </w:tcBorders>
            <w:shd w:val="clear" w:color="auto" w:fill="auto"/>
            <w:vAlign w:val="bottom"/>
            <w:hideMark/>
          </w:tcPr>
          <w:p w14:paraId="20D8C752"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911</w:t>
            </w:r>
          </w:p>
        </w:tc>
        <w:tc>
          <w:tcPr>
            <w:tcW w:w="1000" w:type="dxa"/>
            <w:tcBorders>
              <w:top w:val="nil"/>
              <w:left w:val="nil"/>
              <w:bottom w:val="nil"/>
              <w:right w:val="nil"/>
            </w:tcBorders>
            <w:shd w:val="clear" w:color="000000" w:fill="D9D9D9"/>
            <w:vAlign w:val="bottom"/>
            <w:hideMark/>
          </w:tcPr>
          <w:p w14:paraId="37635A66"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1 335 876</w:t>
            </w:r>
          </w:p>
        </w:tc>
        <w:tc>
          <w:tcPr>
            <w:tcW w:w="860" w:type="dxa"/>
            <w:tcBorders>
              <w:top w:val="nil"/>
              <w:left w:val="nil"/>
              <w:bottom w:val="nil"/>
              <w:right w:val="nil"/>
            </w:tcBorders>
            <w:shd w:val="clear" w:color="000000" w:fill="D9D9D9"/>
            <w:vAlign w:val="bottom"/>
            <w:hideMark/>
          </w:tcPr>
          <w:p w14:paraId="798FCB13"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1 217</w:t>
            </w:r>
          </w:p>
        </w:tc>
      </w:tr>
      <w:tr w:rsidR="004B2DDE" w:rsidRPr="00F15230" w14:paraId="2477B75D" w14:textId="77777777" w:rsidTr="00752C7F">
        <w:trPr>
          <w:trHeight w:val="315"/>
        </w:trPr>
        <w:tc>
          <w:tcPr>
            <w:tcW w:w="1200" w:type="dxa"/>
            <w:tcBorders>
              <w:top w:val="nil"/>
              <w:left w:val="nil"/>
              <w:bottom w:val="nil"/>
              <w:right w:val="nil"/>
            </w:tcBorders>
            <w:shd w:val="clear" w:color="auto" w:fill="auto"/>
            <w:vAlign w:val="bottom"/>
            <w:hideMark/>
          </w:tcPr>
          <w:p w14:paraId="59C29612"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Non-</w:t>
            </w:r>
            <w:proofErr w:type="spellStart"/>
            <w:r w:rsidRPr="00F15230">
              <w:rPr>
                <w:rFonts w:ascii="Calibri" w:eastAsia="Times New Roman" w:hAnsi="Calibri" w:cs="Times New Roman"/>
                <w:sz w:val="18"/>
                <w:szCs w:val="18"/>
                <w:lang w:eastAsia="zh-CN"/>
              </w:rPr>
              <w:t>Indigen</w:t>
            </w:r>
            <w:proofErr w:type="spellEnd"/>
            <w:r w:rsidRPr="00F15230">
              <w:rPr>
                <w:rFonts w:ascii="Calibri" w:eastAsia="Times New Roman" w:hAnsi="Calibri" w:cs="Times New Roman"/>
                <w:sz w:val="18"/>
                <w:szCs w:val="18"/>
                <w:lang w:eastAsia="zh-CN"/>
              </w:rPr>
              <w:t xml:space="preserve">. </w:t>
            </w:r>
          </w:p>
        </w:tc>
        <w:tc>
          <w:tcPr>
            <w:tcW w:w="2060" w:type="dxa"/>
            <w:tcBorders>
              <w:top w:val="nil"/>
              <w:left w:val="nil"/>
              <w:bottom w:val="nil"/>
              <w:right w:val="nil"/>
            </w:tcBorders>
            <w:shd w:val="clear" w:color="auto" w:fill="auto"/>
            <w:vAlign w:val="bottom"/>
            <w:hideMark/>
          </w:tcPr>
          <w:p w14:paraId="19042162"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4E817535"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45-64</w:t>
            </w:r>
          </w:p>
        </w:tc>
        <w:tc>
          <w:tcPr>
            <w:tcW w:w="960" w:type="dxa"/>
            <w:tcBorders>
              <w:top w:val="nil"/>
              <w:left w:val="nil"/>
              <w:bottom w:val="nil"/>
              <w:right w:val="nil"/>
            </w:tcBorders>
            <w:shd w:val="clear" w:color="auto" w:fill="auto"/>
            <w:vAlign w:val="bottom"/>
            <w:hideMark/>
          </w:tcPr>
          <w:p w14:paraId="577A4C77"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519 159</w:t>
            </w:r>
          </w:p>
        </w:tc>
        <w:tc>
          <w:tcPr>
            <w:tcW w:w="880" w:type="dxa"/>
            <w:tcBorders>
              <w:top w:val="nil"/>
              <w:left w:val="nil"/>
              <w:bottom w:val="nil"/>
              <w:right w:val="nil"/>
            </w:tcBorders>
            <w:shd w:val="clear" w:color="auto" w:fill="auto"/>
            <w:vAlign w:val="bottom"/>
            <w:hideMark/>
          </w:tcPr>
          <w:p w14:paraId="09D465BF"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3 398</w:t>
            </w:r>
          </w:p>
        </w:tc>
        <w:tc>
          <w:tcPr>
            <w:tcW w:w="1080" w:type="dxa"/>
            <w:tcBorders>
              <w:top w:val="nil"/>
              <w:left w:val="nil"/>
              <w:bottom w:val="nil"/>
              <w:right w:val="nil"/>
            </w:tcBorders>
            <w:shd w:val="clear" w:color="auto" w:fill="auto"/>
            <w:vAlign w:val="bottom"/>
            <w:hideMark/>
          </w:tcPr>
          <w:p w14:paraId="3450152C"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2 302 258</w:t>
            </w:r>
          </w:p>
        </w:tc>
        <w:tc>
          <w:tcPr>
            <w:tcW w:w="860" w:type="dxa"/>
            <w:tcBorders>
              <w:top w:val="nil"/>
              <w:left w:val="nil"/>
              <w:bottom w:val="nil"/>
              <w:right w:val="nil"/>
            </w:tcBorders>
            <w:shd w:val="clear" w:color="auto" w:fill="auto"/>
            <w:vAlign w:val="bottom"/>
            <w:hideMark/>
          </w:tcPr>
          <w:p w14:paraId="7F490914"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1 476</w:t>
            </w:r>
          </w:p>
        </w:tc>
        <w:tc>
          <w:tcPr>
            <w:tcW w:w="1000" w:type="dxa"/>
            <w:tcBorders>
              <w:top w:val="nil"/>
              <w:left w:val="nil"/>
              <w:bottom w:val="nil"/>
              <w:right w:val="nil"/>
            </w:tcBorders>
            <w:shd w:val="clear" w:color="000000" w:fill="D9D9D9"/>
            <w:vAlign w:val="bottom"/>
            <w:hideMark/>
          </w:tcPr>
          <w:p w14:paraId="2FEE4B23"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678 274</w:t>
            </w:r>
          </w:p>
        </w:tc>
        <w:tc>
          <w:tcPr>
            <w:tcW w:w="860" w:type="dxa"/>
            <w:tcBorders>
              <w:top w:val="nil"/>
              <w:left w:val="nil"/>
              <w:bottom w:val="nil"/>
              <w:right w:val="nil"/>
            </w:tcBorders>
            <w:shd w:val="clear" w:color="000000" w:fill="D9D9D9"/>
            <w:vAlign w:val="bottom"/>
            <w:hideMark/>
          </w:tcPr>
          <w:p w14:paraId="63C555C1"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1 001</w:t>
            </w:r>
          </w:p>
        </w:tc>
      </w:tr>
      <w:tr w:rsidR="004B2DDE" w:rsidRPr="00F15230" w14:paraId="76124569" w14:textId="77777777" w:rsidTr="00752C7F">
        <w:trPr>
          <w:trHeight w:val="315"/>
        </w:trPr>
        <w:tc>
          <w:tcPr>
            <w:tcW w:w="1200" w:type="dxa"/>
            <w:tcBorders>
              <w:top w:val="nil"/>
              <w:left w:val="nil"/>
              <w:bottom w:val="nil"/>
              <w:right w:val="nil"/>
            </w:tcBorders>
            <w:shd w:val="clear" w:color="auto" w:fill="auto"/>
            <w:vAlign w:val="bottom"/>
            <w:hideMark/>
          </w:tcPr>
          <w:p w14:paraId="1FC233FE"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Non-</w:t>
            </w:r>
            <w:proofErr w:type="spellStart"/>
            <w:r w:rsidRPr="00F15230">
              <w:rPr>
                <w:rFonts w:ascii="Calibri" w:eastAsia="Times New Roman" w:hAnsi="Calibri" w:cs="Times New Roman"/>
                <w:sz w:val="18"/>
                <w:szCs w:val="18"/>
                <w:lang w:eastAsia="zh-CN"/>
              </w:rPr>
              <w:t>Indigen</w:t>
            </w:r>
            <w:proofErr w:type="spellEnd"/>
            <w:r w:rsidRPr="00F15230">
              <w:rPr>
                <w:rFonts w:ascii="Calibri" w:eastAsia="Times New Roman" w:hAnsi="Calibri" w:cs="Times New Roman"/>
                <w:sz w:val="18"/>
                <w:szCs w:val="18"/>
                <w:lang w:eastAsia="zh-CN"/>
              </w:rPr>
              <w:t xml:space="preserve">. </w:t>
            </w:r>
          </w:p>
        </w:tc>
        <w:tc>
          <w:tcPr>
            <w:tcW w:w="2060" w:type="dxa"/>
            <w:tcBorders>
              <w:top w:val="nil"/>
              <w:left w:val="nil"/>
              <w:bottom w:val="nil"/>
              <w:right w:val="nil"/>
            </w:tcBorders>
            <w:shd w:val="clear" w:color="auto" w:fill="auto"/>
            <w:vAlign w:val="bottom"/>
            <w:hideMark/>
          </w:tcPr>
          <w:p w14:paraId="78515C81"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6456BAC5"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65-74</w:t>
            </w:r>
          </w:p>
        </w:tc>
        <w:tc>
          <w:tcPr>
            <w:tcW w:w="960" w:type="dxa"/>
            <w:tcBorders>
              <w:top w:val="nil"/>
              <w:left w:val="nil"/>
              <w:bottom w:val="nil"/>
              <w:right w:val="nil"/>
            </w:tcBorders>
            <w:shd w:val="clear" w:color="auto" w:fill="auto"/>
            <w:vAlign w:val="bottom"/>
            <w:hideMark/>
          </w:tcPr>
          <w:p w14:paraId="6E4805C9"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336 684</w:t>
            </w:r>
          </w:p>
        </w:tc>
        <w:tc>
          <w:tcPr>
            <w:tcW w:w="880" w:type="dxa"/>
            <w:tcBorders>
              <w:top w:val="nil"/>
              <w:left w:val="nil"/>
              <w:bottom w:val="nil"/>
              <w:right w:val="nil"/>
            </w:tcBorders>
            <w:shd w:val="clear" w:color="auto" w:fill="auto"/>
            <w:vAlign w:val="bottom"/>
            <w:hideMark/>
          </w:tcPr>
          <w:p w14:paraId="5C12D146"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2 204</w:t>
            </w:r>
          </w:p>
        </w:tc>
        <w:tc>
          <w:tcPr>
            <w:tcW w:w="1080" w:type="dxa"/>
            <w:tcBorders>
              <w:top w:val="nil"/>
              <w:left w:val="nil"/>
              <w:bottom w:val="nil"/>
              <w:right w:val="nil"/>
            </w:tcBorders>
            <w:shd w:val="clear" w:color="auto" w:fill="auto"/>
            <w:vAlign w:val="bottom"/>
            <w:hideMark/>
          </w:tcPr>
          <w:p w14:paraId="58F361CA"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765 566</w:t>
            </w:r>
          </w:p>
        </w:tc>
        <w:tc>
          <w:tcPr>
            <w:tcW w:w="860" w:type="dxa"/>
            <w:tcBorders>
              <w:top w:val="nil"/>
              <w:left w:val="nil"/>
              <w:bottom w:val="nil"/>
              <w:right w:val="nil"/>
            </w:tcBorders>
            <w:shd w:val="clear" w:color="auto" w:fill="auto"/>
            <w:vAlign w:val="bottom"/>
            <w:hideMark/>
          </w:tcPr>
          <w:p w14:paraId="0BFB69CA"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2 879</w:t>
            </w:r>
          </w:p>
        </w:tc>
        <w:tc>
          <w:tcPr>
            <w:tcW w:w="1000" w:type="dxa"/>
            <w:tcBorders>
              <w:top w:val="nil"/>
              <w:left w:val="nil"/>
              <w:bottom w:val="nil"/>
              <w:right w:val="nil"/>
            </w:tcBorders>
            <w:shd w:val="clear" w:color="000000" w:fill="D9D9D9"/>
            <w:vAlign w:val="bottom"/>
            <w:hideMark/>
          </w:tcPr>
          <w:p w14:paraId="471610F9"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225 307</w:t>
            </w:r>
          </w:p>
        </w:tc>
        <w:tc>
          <w:tcPr>
            <w:tcW w:w="860" w:type="dxa"/>
            <w:tcBorders>
              <w:top w:val="nil"/>
              <w:left w:val="nil"/>
              <w:bottom w:val="nil"/>
              <w:right w:val="nil"/>
            </w:tcBorders>
            <w:shd w:val="clear" w:color="000000" w:fill="D9D9D9"/>
            <w:vAlign w:val="bottom"/>
            <w:hideMark/>
          </w:tcPr>
          <w:p w14:paraId="3495E8D7"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649</w:t>
            </w:r>
          </w:p>
        </w:tc>
      </w:tr>
      <w:tr w:rsidR="004B2DDE" w:rsidRPr="00F15230" w14:paraId="5CF24E35" w14:textId="77777777" w:rsidTr="00752C7F">
        <w:trPr>
          <w:trHeight w:val="315"/>
        </w:trPr>
        <w:tc>
          <w:tcPr>
            <w:tcW w:w="1200" w:type="dxa"/>
            <w:tcBorders>
              <w:top w:val="nil"/>
              <w:left w:val="nil"/>
              <w:bottom w:val="nil"/>
              <w:right w:val="nil"/>
            </w:tcBorders>
            <w:shd w:val="clear" w:color="auto" w:fill="auto"/>
            <w:vAlign w:val="bottom"/>
            <w:hideMark/>
          </w:tcPr>
          <w:p w14:paraId="35FDCE06"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Non-</w:t>
            </w:r>
            <w:proofErr w:type="spellStart"/>
            <w:r w:rsidRPr="00F15230">
              <w:rPr>
                <w:rFonts w:ascii="Calibri" w:eastAsia="Times New Roman" w:hAnsi="Calibri" w:cs="Times New Roman"/>
                <w:sz w:val="18"/>
                <w:szCs w:val="18"/>
                <w:lang w:eastAsia="zh-CN"/>
              </w:rPr>
              <w:t>Indigen</w:t>
            </w:r>
            <w:proofErr w:type="spellEnd"/>
            <w:r w:rsidRPr="00F15230">
              <w:rPr>
                <w:rFonts w:ascii="Calibri" w:eastAsia="Times New Roman" w:hAnsi="Calibri" w:cs="Times New Roman"/>
                <w:sz w:val="18"/>
                <w:szCs w:val="18"/>
                <w:lang w:eastAsia="zh-CN"/>
              </w:rPr>
              <w:t xml:space="preserve">. </w:t>
            </w:r>
          </w:p>
        </w:tc>
        <w:tc>
          <w:tcPr>
            <w:tcW w:w="2060" w:type="dxa"/>
            <w:tcBorders>
              <w:top w:val="nil"/>
              <w:left w:val="nil"/>
              <w:bottom w:val="nil"/>
              <w:right w:val="nil"/>
            </w:tcBorders>
            <w:shd w:val="clear" w:color="auto" w:fill="auto"/>
            <w:vAlign w:val="bottom"/>
            <w:hideMark/>
          </w:tcPr>
          <w:p w14:paraId="64D57FD7"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Major cities Middle SES</w:t>
            </w:r>
          </w:p>
        </w:tc>
        <w:tc>
          <w:tcPr>
            <w:tcW w:w="600" w:type="dxa"/>
            <w:tcBorders>
              <w:top w:val="nil"/>
              <w:left w:val="nil"/>
              <w:bottom w:val="nil"/>
              <w:right w:val="nil"/>
            </w:tcBorders>
            <w:shd w:val="clear" w:color="auto" w:fill="auto"/>
            <w:vAlign w:val="bottom"/>
            <w:hideMark/>
          </w:tcPr>
          <w:p w14:paraId="6D9635C4"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75+</w:t>
            </w:r>
          </w:p>
        </w:tc>
        <w:tc>
          <w:tcPr>
            <w:tcW w:w="960" w:type="dxa"/>
            <w:tcBorders>
              <w:top w:val="nil"/>
              <w:left w:val="nil"/>
              <w:bottom w:val="nil"/>
              <w:right w:val="nil"/>
            </w:tcBorders>
            <w:shd w:val="clear" w:color="auto" w:fill="auto"/>
            <w:vAlign w:val="bottom"/>
            <w:hideMark/>
          </w:tcPr>
          <w:p w14:paraId="3699982A"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468 604</w:t>
            </w:r>
          </w:p>
        </w:tc>
        <w:tc>
          <w:tcPr>
            <w:tcW w:w="880" w:type="dxa"/>
            <w:tcBorders>
              <w:top w:val="nil"/>
              <w:left w:val="nil"/>
              <w:bottom w:val="nil"/>
              <w:right w:val="nil"/>
            </w:tcBorders>
            <w:shd w:val="clear" w:color="auto" w:fill="auto"/>
            <w:vAlign w:val="bottom"/>
            <w:hideMark/>
          </w:tcPr>
          <w:p w14:paraId="3D6F55C1"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3 068</w:t>
            </w:r>
          </w:p>
        </w:tc>
        <w:tc>
          <w:tcPr>
            <w:tcW w:w="1080" w:type="dxa"/>
            <w:tcBorders>
              <w:top w:val="nil"/>
              <w:left w:val="nil"/>
              <w:bottom w:val="nil"/>
              <w:right w:val="nil"/>
            </w:tcBorders>
            <w:shd w:val="clear" w:color="auto" w:fill="auto"/>
            <w:vAlign w:val="bottom"/>
            <w:hideMark/>
          </w:tcPr>
          <w:p w14:paraId="7339A66D"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615 568</w:t>
            </w:r>
          </w:p>
        </w:tc>
        <w:tc>
          <w:tcPr>
            <w:tcW w:w="860" w:type="dxa"/>
            <w:tcBorders>
              <w:top w:val="nil"/>
              <w:left w:val="nil"/>
              <w:bottom w:val="nil"/>
              <w:right w:val="nil"/>
            </w:tcBorders>
            <w:shd w:val="clear" w:color="auto" w:fill="auto"/>
            <w:vAlign w:val="bottom"/>
            <w:hideMark/>
          </w:tcPr>
          <w:p w14:paraId="05B29139"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4 983</w:t>
            </w:r>
          </w:p>
        </w:tc>
        <w:tc>
          <w:tcPr>
            <w:tcW w:w="1000" w:type="dxa"/>
            <w:tcBorders>
              <w:top w:val="nil"/>
              <w:left w:val="nil"/>
              <w:bottom w:val="nil"/>
              <w:right w:val="nil"/>
            </w:tcBorders>
            <w:shd w:val="clear" w:color="000000" w:fill="D9D9D9"/>
            <w:vAlign w:val="bottom"/>
            <w:hideMark/>
          </w:tcPr>
          <w:p w14:paraId="2E79E14B"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186 099</w:t>
            </w:r>
          </w:p>
        </w:tc>
        <w:tc>
          <w:tcPr>
            <w:tcW w:w="860" w:type="dxa"/>
            <w:tcBorders>
              <w:top w:val="nil"/>
              <w:left w:val="nil"/>
              <w:bottom w:val="nil"/>
              <w:right w:val="nil"/>
            </w:tcBorders>
            <w:shd w:val="clear" w:color="000000" w:fill="D9D9D9"/>
            <w:vAlign w:val="bottom"/>
            <w:hideMark/>
          </w:tcPr>
          <w:p w14:paraId="14C4CCD2"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927</w:t>
            </w:r>
          </w:p>
        </w:tc>
      </w:tr>
      <w:tr w:rsidR="004B2DDE" w:rsidRPr="00F15230" w14:paraId="034A7045" w14:textId="77777777" w:rsidTr="00752C7F">
        <w:trPr>
          <w:trHeight w:val="315"/>
        </w:trPr>
        <w:tc>
          <w:tcPr>
            <w:tcW w:w="3260" w:type="dxa"/>
            <w:gridSpan w:val="2"/>
            <w:tcBorders>
              <w:top w:val="nil"/>
              <w:left w:val="nil"/>
              <w:bottom w:val="single" w:sz="4" w:space="0" w:color="auto"/>
              <w:right w:val="nil"/>
            </w:tcBorders>
            <w:shd w:val="clear" w:color="auto" w:fill="auto"/>
            <w:noWrap/>
            <w:vAlign w:val="bottom"/>
            <w:hideMark/>
          </w:tcPr>
          <w:p w14:paraId="56AF30C0"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100 SDC groups</w:t>
            </w:r>
          </w:p>
        </w:tc>
        <w:tc>
          <w:tcPr>
            <w:tcW w:w="600" w:type="dxa"/>
            <w:tcBorders>
              <w:top w:val="nil"/>
              <w:left w:val="nil"/>
              <w:bottom w:val="single" w:sz="4" w:space="0" w:color="auto"/>
              <w:right w:val="nil"/>
            </w:tcBorders>
            <w:shd w:val="clear" w:color="auto" w:fill="auto"/>
            <w:vAlign w:val="bottom"/>
            <w:hideMark/>
          </w:tcPr>
          <w:p w14:paraId="19EE2C5D"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w:t>
            </w:r>
          </w:p>
        </w:tc>
        <w:tc>
          <w:tcPr>
            <w:tcW w:w="960" w:type="dxa"/>
            <w:tcBorders>
              <w:top w:val="nil"/>
              <w:left w:val="nil"/>
              <w:bottom w:val="single" w:sz="4" w:space="0" w:color="auto"/>
              <w:right w:val="nil"/>
            </w:tcBorders>
            <w:shd w:val="clear" w:color="auto" w:fill="auto"/>
            <w:vAlign w:val="bottom"/>
            <w:hideMark/>
          </w:tcPr>
          <w:p w14:paraId="6128B3DD"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w:t>
            </w:r>
          </w:p>
        </w:tc>
        <w:tc>
          <w:tcPr>
            <w:tcW w:w="880" w:type="dxa"/>
            <w:tcBorders>
              <w:top w:val="nil"/>
              <w:left w:val="nil"/>
              <w:bottom w:val="single" w:sz="4" w:space="0" w:color="auto"/>
              <w:right w:val="nil"/>
            </w:tcBorders>
            <w:shd w:val="clear" w:color="auto" w:fill="auto"/>
            <w:vAlign w:val="bottom"/>
            <w:hideMark/>
          </w:tcPr>
          <w:p w14:paraId="71891B72"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w:t>
            </w:r>
          </w:p>
        </w:tc>
        <w:tc>
          <w:tcPr>
            <w:tcW w:w="1080" w:type="dxa"/>
            <w:tcBorders>
              <w:top w:val="nil"/>
              <w:left w:val="nil"/>
              <w:bottom w:val="single" w:sz="4" w:space="0" w:color="auto"/>
              <w:right w:val="nil"/>
            </w:tcBorders>
            <w:shd w:val="clear" w:color="auto" w:fill="auto"/>
            <w:vAlign w:val="bottom"/>
            <w:hideMark/>
          </w:tcPr>
          <w:p w14:paraId="33EECF6A"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w:t>
            </w:r>
          </w:p>
        </w:tc>
        <w:tc>
          <w:tcPr>
            <w:tcW w:w="860" w:type="dxa"/>
            <w:tcBorders>
              <w:top w:val="nil"/>
              <w:left w:val="nil"/>
              <w:bottom w:val="single" w:sz="4" w:space="0" w:color="auto"/>
              <w:right w:val="nil"/>
            </w:tcBorders>
            <w:shd w:val="clear" w:color="auto" w:fill="auto"/>
            <w:vAlign w:val="bottom"/>
            <w:hideMark/>
          </w:tcPr>
          <w:p w14:paraId="6B97D7AB"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w:t>
            </w:r>
          </w:p>
        </w:tc>
        <w:tc>
          <w:tcPr>
            <w:tcW w:w="1000" w:type="dxa"/>
            <w:tcBorders>
              <w:top w:val="nil"/>
              <w:left w:val="nil"/>
              <w:bottom w:val="single" w:sz="4" w:space="0" w:color="auto"/>
              <w:right w:val="nil"/>
            </w:tcBorders>
            <w:shd w:val="clear" w:color="000000" w:fill="D9D9D9"/>
            <w:vAlign w:val="bottom"/>
            <w:hideMark/>
          </w:tcPr>
          <w:p w14:paraId="3B39A3DF"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w:t>
            </w:r>
          </w:p>
        </w:tc>
        <w:tc>
          <w:tcPr>
            <w:tcW w:w="860" w:type="dxa"/>
            <w:tcBorders>
              <w:top w:val="nil"/>
              <w:left w:val="nil"/>
              <w:bottom w:val="single" w:sz="4" w:space="0" w:color="auto"/>
              <w:right w:val="nil"/>
            </w:tcBorders>
            <w:shd w:val="clear" w:color="000000" w:fill="D9D9D9"/>
            <w:vAlign w:val="bottom"/>
            <w:hideMark/>
          </w:tcPr>
          <w:p w14:paraId="2D50794E"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w:t>
            </w:r>
          </w:p>
        </w:tc>
      </w:tr>
      <w:tr w:rsidR="004B2DDE" w:rsidRPr="00F15230" w14:paraId="235779D5" w14:textId="77777777" w:rsidTr="00752C7F">
        <w:trPr>
          <w:trHeight w:val="315"/>
        </w:trPr>
        <w:tc>
          <w:tcPr>
            <w:tcW w:w="3260" w:type="dxa"/>
            <w:gridSpan w:val="2"/>
            <w:tcBorders>
              <w:top w:val="nil"/>
              <w:left w:val="nil"/>
              <w:bottom w:val="single" w:sz="4" w:space="0" w:color="auto"/>
              <w:right w:val="nil"/>
            </w:tcBorders>
            <w:shd w:val="clear" w:color="auto" w:fill="auto"/>
            <w:noWrap/>
            <w:vAlign w:val="bottom"/>
            <w:hideMark/>
          </w:tcPr>
          <w:p w14:paraId="59C1ACC1"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Total (All SDC groups)</w:t>
            </w:r>
          </w:p>
        </w:tc>
        <w:tc>
          <w:tcPr>
            <w:tcW w:w="600" w:type="dxa"/>
            <w:tcBorders>
              <w:top w:val="nil"/>
              <w:left w:val="nil"/>
              <w:bottom w:val="single" w:sz="4" w:space="0" w:color="auto"/>
              <w:right w:val="nil"/>
            </w:tcBorders>
            <w:shd w:val="clear" w:color="auto" w:fill="auto"/>
            <w:vAlign w:val="bottom"/>
            <w:hideMark/>
          </w:tcPr>
          <w:p w14:paraId="760D4FF7" w14:textId="77777777" w:rsidR="004B2DDE" w:rsidRPr="00F15230" w:rsidRDefault="004B2DDE" w:rsidP="004B2DDE">
            <w:pPr>
              <w:keepNext/>
              <w:tabs>
                <w:tab w:val="clear" w:pos="567"/>
              </w:tabs>
              <w:spacing w:after="0" w:line="240" w:lineRule="auto"/>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w:t>
            </w:r>
          </w:p>
        </w:tc>
        <w:tc>
          <w:tcPr>
            <w:tcW w:w="960" w:type="dxa"/>
            <w:tcBorders>
              <w:top w:val="nil"/>
              <w:left w:val="nil"/>
              <w:bottom w:val="single" w:sz="4" w:space="0" w:color="auto"/>
              <w:right w:val="nil"/>
            </w:tcBorders>
            <w:shd w:val="clear" w:color="auto" w:fill="auto"/>
            <w:vAlign w:val="bottom"/>
            <w:hideMark/>
          </w:tcPr>
          <w:p w14:paraId="77C19E21"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5 829 799</w:t>
            </w:r>
          </w:p>
        </w:tc>
        <w:tc>
          <w:tcPr>
            <w:tcW w:w="880" w:type="dxa"/>
            <w:tcBorders>
              <w:top w:val="nil"/>
              <w:left w:val="nil"/>
              <w:bottom w:val="single" w:sz="4" w:space="0" w:color="auto"/>
              <w:right w:val="nil"/>
            </w:tcBorders>
            <w:shd w:val="clear" w:color="auto" w:fill="auto"/>
            <w:vAlign w:val="bottom"/>
            <w:hideMark/>
          </w:tcPr>
          <w:p w14:paraId="59DC4B4D"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38 163</w:t>
            </w:r>
          </w:p>
        </w:tc>
        <w:tc>
          <w:tcPr>
            <w:tcW w:w="1080" w:type="dxa"/>
            <w:tcBorders>
              <w:top w:val="nil"/>
              <w:left w:val="nil"/>
              <w:bottom w:val="single" w:sz="4" w:space="0" w:color="auto"/>
              <w:right w:val="nil"/>
            </w:tcBorders>
            <w:shd w:val="clear" w:color="auto" w:fill="auto"/>
            <w:vAlign w:val="bottom"/>
            <w:hideMark/>
          </w:tcPr>
          <w:p w14:paraId="7341B7CA"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24 381 012</w:t>
            </w:r>
          </w:p>
        </w:tc>
        <w:tc>
          <w:tcPr>
            <w:tcW w:w="860" w:type="dxa"/>
            <w:tcBorders>
              <w:top w:val="nil"/>
              <w:left w:val="nil"/>
              <w:bottom w:val="single" w:sz="4" w:space="0" w:color="auto"/>
              <w:right w:val="nil"/>
            </w:tcBorders>
            <w:shd w:val="clear" w:color="auto" w:fill="auto"/>
            <w:vAlign w:val="bottom"/>
            <w:hideMark/>
          </w:tcPr>
          <w:p w14:paraId="3B34B306"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1 565</w:t>
            </w:r>
          </w:p>
        </w:tc>
        <w:tc>
          <w:tcPr>
            <w:tcW w:w="1000" w:type="dxa"/>
            <w:tcBorders>
              <w:top w:val="nil"/>
              <w:left w:val="nil"/>
              <w:bottom w:val="single" w:sz="4" w:space="0" w:color="auto"/>
              <w:right w:val="nil"/>
            </w:tcBorders>
            <w:shd w:val="clear" w:color="000000" w:fill="D9D9D9"/>
            <w:vAlign w:val="bottom"/>
            <w:hideMark/>
          </w:tcPr>
          <w:p w14:paraId="6FC4C392"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7 797 791</w:t>
            </w:r>
          </w:p>
        </w:tc>
        <w:tc>
          <w:tcPr>
            <w:tcW w:w="860" w:type="dxa"/>
            <w:tcBorders>
              <w:top w:val="nil"/>
              <w:left w:val="nil"/>
              <w:bottom w:val="single" w:sz="4" w:space="0" w:color="auto"/>
              <w:right w:val="nil"/>
            </w:tcBorders>
            <w:shd w:val="clear" w:color="000000" w:fill="D9D9D9"/>
            <w:vAlign w:val="bottom"/>
            <w:hideMark/>
          </w:tcPr>
          <w:p w14:paraId="6A8FA26F" w14:textId="77777777" w:rsidR="004B2DDE" w:rsidRPr="00F15230" w:rsidRDefault="004B2DDE" w:rsidP="004B2DDE">
            <w:pPr>
              <w:keepNext/>
              <w:tabs>
                <w:tab w:val="clear" w:pos="567"/>
              </w:tabs>
              <w:spacing w:after="0" w:line="240" w:lineRule="auto"/>
              <w:jc w:val="right"/>
              <w:rPr>
                <w:rFonts w:ascii="Calibri" w:eastAsia="Times New Roman" w:hAnsi="Calibri" w:cs="Times New Roman"/>
                <w:sz w:val="18"/>
                <w:szCs w:val="18"/>
                <w:lang w:eastAsia="zh-CN"/>
              </w:rPr>
            </w:pPr>
            <w:r w:rsidRPr="00F15230">
              <w:rPr>
                <w:rFonts w:ascii="Calibri" w:eastAsia="Times New Roman" w:hAnsi="Calibri" w:cs="Times New Roman"/>
                <w:sz w:val="18"/>
                <w:szCs w:val="18"/>
                <w:lang w:eastAsia="zh-CN"/>
              </w:rPr>
              <w:t xml:space="preserve"> 12 206</w:t>
            </w:r>
          </w:p>
        </w:tc>
      </w:tr>
    </w:tbl>
    <w:p w14:paraId="600D551A" w14:textId="610DFC41" w:rsidR="00820785" w:rsidRPr="00F15230" w:rsidRDefault="00820785" w:rsidP="004B2DDE">
      <w:pPr>
        <w:pStyle w:val="CGCTableFootnote"/>
        <w:keepNext/>
      </w:pPr>
      <w:r w:rsidRPr="00F15230">
        <w:t>Source:</w:t>
      </w:r>
      <w:r w:rsidRPr="00F15230">
        <w:tab/>
        <w:t>Commission staff calculation for 201</w:t>
      </w:r>
      <w:r w:rsidR="00404A9E">
        <w:t>8</w:t>
      </w:r>
      <w:r w:rsidRPr="00F15230">
        <w:t xml:space="preserve"> Update based on GFS expenses for the Health category, NWAU data supplied by IHPA and ABS population data.</w:t>
      </w:r>
    </w:p>
    <w:p w14:paraId="1EBC28C6" w14:textId="77777777" w:rsidR="00820785" w:rsidRPr="00F15230" w:rsidRDefault="00820785" w:rsidP="00820785">
      <w:pPr>
        <w:pStyle w:val="CGCNumberedPara"/>
        <w:numPr>
          <w:ilvl w:val="1"/>
          <w:numId w:val="3"/>
        </w:numPr>
      </w:pPr>
      <w:r w:rsidRPr="00F15230">
        <w:t>Since the NAP SDC assessment uses separations data which do not include any cost loadings, the general regional costs disability is applied to SDC assessed expenses for this component.</w:t>
      </w:r>
    </w:p>
    <w:p w14:paraId="3374F2CC" w14:textId="77777777" w:rsidR="00820785" w:rsidRPr="00F15230" w:rsidRDefault="00820785" w:rsidP="00820785">
      <w:pPr>
        <w:pStyle w:val="Heading5"/>
      </w:pPr>
      <w:r w:rsidRPr="00F15230">
        <w:t>Non-State sector adjustments</w:t>
      </w:r>
    </w:p>
    <w:p w14:paraId="28933ECC" w14:textId="5B6740E9" w:rsidR="00820785" w:rsidRPr="00F15230" w:rsidRDefault="00820785" w:rsidP="00820785">
      <w:pPr>
        <w:pStyle w:val="CGCNumberedPara"/>
        <w:numPr>
          <w:ilvl w:val="1"/>
          <w:numId w:val="3"/>
        </w:numPr>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By including remoteness in the SDC assessment, the differential costs to States of providing services in different regions where the non-State sector is more or less active are recognised. The non-State sector adjustment recognises that, in otherwise comparable regions, States face differential service costs due to differences between States in the level of non-State sector services. The non-State sector is often the</w:t>
      </w:r>
      <w:r w:rsidR="00FC27A1">
        <w:rPr>
          <w:rStyle w:val="Heading6Char"/>
          <w:rFonts w:eastAsiaTheme="minorHAnsi" w:cstheme="minorBidi"/>
          <w:b w:val="0"/>
          <w:i w:val="0"/>
          <w:iCs w:val="0"/>
          <w:color w:val="auto"/>
          <w:sz w:val="24"/>
        </w:rPr>
        <w:t xml:space="preserve"> Commonwealth, </w:t>
      </w:r>
      <w:r w:rsidR="00FC27A1" w:rsidRPr="00F15230">
        <w:rPr>
          <w:rStyle w:val="Heading6Char"/>
          <w:rFonts w:eastAsiaTheme="minorHAnsi" w:cstheme="minorBidi"/>
          <w:b w:val="0"/>
          <w:i w:val="0"/>
          <w:iCs w:val="0"/>
          <w:color w:val="auto"/>
          <w:sz w:val="24"/>
        </w:rPr>
        <w:t>private</w:t>
      </w:r>
      <w:r w:rsidRPr="00F15230">
        <w:rPr>
          <w:rStyle w:val="Heading6Char"/>
          <w:rFonts w:eastAsiaTheme="minorHAnsi" w:cstheme="minorBidi"/>
          <w:b w:val="0"/>
          <w:i w:val="0"/>
          <w:iCs w:val="0"/>
          <w:color w:val="auto"/>
          <w:sz w:val="24"/>
        </w:rPr>
        <w:t xml:space="preserve"> or not</w:t>
      </w:r>
      <w:r w:rsidRPr="00F15230">
        <w:rPr>
          <w:rStyle w:val="Heading6Char"/>
          <w:rFonts w:eastAsiaTheme="minorHAnsi" w:cstheme="minorBidi"/>
          <w:b w:val="0"/>
          <w:i w:val="0"/>
          <w:iCs w:val="0"/>
          <w:color w:val="auto"/>
          <w:sz w:val="24"/>
        </w:rPr>
        <w:noBreakHyphen/>
        <w:t>for profit</w:t>
      </w:r>
      <w:r w:rsidR="00FC27A1">
        <w:rPr>
          <w:rStyle w:val="Heading6Char"/>
          <w:rFonts w:eastAsiaTheme="minorHAnsi" w:cstheme="minorBidi"/>
          <w:b w:val="0"/>
          <w:i w:val="0"/>
          <w:iCs w:val="0"/>
          <w:color w:val="auto"/>
          <w:sz w:val="24"/>
        </w:rPr>
        <w:t xml:space="preserve"> </w:t>
      </w:r>
      <w:r w:rsidRPr="00F15230">
        <w:rPr>
          <w:rStyle w:val="Heading6Char"/>
          <w:rFonts w:eastAsiaTheme="minorHAnsi" w:cstheme="minorBidi"/>
          <w:b w:val="0"/>
          <w:i w:val="0"/>
          <w:iCs w:val="0"/>
          <w:color w:val="auto"/>
          <w:sz w:val="24"/>
        </w:rPr>
        <w:t>sector (albeit often partially funded by the Commonwealth government) but not in all cases.</w:t>
      </w:r>
    </w:p>
    <w:p w14:paraId="33DCE4E9" w14:textId="5E27628E" w:rsidR="00820785" w:rsidRPr="00F15230" w:rsidRDefault="00820785" w:rsidP="00820785">
      <w:pPr>
        <w:pStyle w:val="CGCNumberedPara"/>
        <w:numPr>
          <w:ilvl w:val="1"/>
          <w:numId w:val="3"/>
        </w:numPr>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A non-State sector adjustment is included for all components except patient transport. To calculate the adjustment the Commission requires an estimate of the proportion of State services affected by the non-State sector. This is referred to as the substitutable expense proportion</w:t>
      </w:r>
      <w:r w:rsidR="00FC27A1">
        <w:rPr>
          <w:rStyle w:val="Heading6Char"/>
          <w:rFonts w:eastAsiaTheme="minorHAnsi" w:cstheme="minorBidi"/>
          <w:b w:val="0"/>
          <w:i w:val="0"/>
          <w:iCs w:val="0"/>
          <w:color w:val="auto"/>
          <w:sz w:val="24"/>
        </w:rPr>
        <w:t xml:space="preserve"> (or the substitutability level)</w:t>
      </w:r>
      <w:r w:rsidRPr="00F15230">
        <w:rPr>
          <w:rStyle w:val="Heading6Char"/>
          <w:rFonts w:eastAsiaTheme="minorHAnsi" w:cstheme="minorBidi"/>
          <w:b w:val="0"/>
          <w:i w:val="0"/>
          <w:iCs w:val="0"/>
          <w:color w:val="auto"/>
          <w:sz w:val="24"/>
        </w:rPr>
        <w:t>. The proportion for each component is shown in</w:t>
      </w:r>
      <w:r w:rsidR="00FC27A1">
        <w:rPr>
          <w:rStyle w:val="Heading6Char"/>
          <w:rFonts w:eastAsiaTheme="minorHAnsi" w:cstheme="minorBidi"/>
          <w:b w:val="0"/>
          <w:i w:val="0"/>
          <w:iCs w:val="0"/>
          <w:color w:val="auto"/>
          <w:sz w:val="24"/>
        </w:rPr>
        <w:t xml:space="preserve"> </w:t>
      </w:r>
      <w:r w:rsidR="00FC27A1">
        <w:rPr>
          <w:rStyle w:val="Heading6Char"/>
          <w:rFonts w:eastAsiaTheme="minorHAnsi" w:cstheme="minorBidi"/>
          <w:b w:val="0"/>
          <w:i w:val="0"/>
          <w:iCs w:val="0"/>
          <w:color w:val="auto"/>
          <w:sz w:val="24"/>
        </w:rPr>
        <w:fldChar w:fldCharType="begin"/>
      </w:r>
      <w:r w:rsidR="00FC27A1">
        <w:rPr>
          <w:rStyle w:val="Heading6Char"/>
          <w:rFonts w:eastAsiaTheme="minorHAnsi" w:cstheme="minorBidi"/>
          <w:b w:val="0"/>
          <w:i w:val="0"/>
          <w:iCs w:val="0"/>
          <w:color w:val="auto"/>
          <w:sz w:val="24"/>
        </w:rPr>
        <w:instrText xml:space="preserve"> REF _Ref505688161 \h </w:instrText>
      </w:r>
      <w:r w:rsidR="00FC27A1">
        <w:rPr>
          <w:rStyle w:val="Heading6Char"/>
          <w:rFonts w:eastAsiaTheme="minorHAnsi" w:cstheme="minorBidi"/>
          <w:b w:val="0"/>
          <w:i w:val="0"/>
          <w:iCs w:val="0"/>
          <w:color w:val="auto"/>
          <w:sz w:val="24"/>
        </w:rPr>
      </w:r>
      <w:r w:rsidR="00FC27A1">
        <w:rPr>
          <w:rStyle w:val="Heading6Char"/>
          <w:rFonts w:eastAsiaTheme="minorHAnsi" w:cstheme="minorBidi"/>
          <w:b w:val="0"/>
          <w:i w:val="0"/>
          <w:iCs w:val="0"/>
          <w:color w:val="auto"/>
          <w:sz w:val="24"/>
        </w:rPr>
        <w:fldChar w:fldCharType="separate"/>
      </w:r>
      <w:r w:rsidR="005A6E12" w:rsidRPr="00F15230">
        <w:t xml:space="preserve">Table </w:t>
      </w:r>
      <w:r w:rsidR="005A6E12">
        <w:rPr>
          <w:noProof/>
        </w:rPr>
        <w:t>3</w:t>
      </w:r>
      <w:r w:rsidR="00FC27A1">
        <w:rPr>
          <w:rStyle w:val="Heading6Char"/>
          <w:rFonts w:eastAsiaTheme="minorHAnsi" w:cstheme="minorBidi"/>
          <w:b w:val="0"/>
          <w:i w:val="0"/>
          <w:iCs w:val="0"/>
          <w:color w:val="auto"/>
          <w:sz w:val="24"/>
        </w:rPr>
        <w:fldChar w:fldCharType="end"/>
      </w:r>
      <w:r w:rsidRPr="00F15230">
        <w:rPr>
          <w:rStyle w:val="Heading6Char"/>
          <w:rFonts w:eastAsiaTheme="minorHAnsi" w:cstheme="minorBidi"/>
          <w:b w:val="0"/>
          <w:i w:val="0"/>
          <w:iCs w:val="0"/>
          <w:color w:val="auto"/>
          <w:sz w:val="24"/>
        </w:rPr>
        <w:t xml:space="preserve">. The non-State sector adjustment also requires information about the national use of non-State sector services standardised by Indigenous status, remoteness, SES and age, and the actual availability of these services in each State. </w:t>
      </w:r>
    </w:p>
    <w:p w14:paraId="6B8B807D" w14:textId="5215E6B3" w:rsidR="00820785" w:rsidRPr="00F15230" w:rsidRDefault="00820785" w:rsidP="00820785">
      <w:pPr>
        <w:pStyle w:val="CGCNumberedPara"/>
        <w:numPr>
          <w:ilvl w:val="1"/>
          <w:numId w:val="3"/>
        </w:numPr>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lastRenderedPageBreak/>
        <w:t xml:space="preserve">The data sources for calculating the non-State sector adjustments are shown in </w:t>
      </w:r>
      <w:r w:rsidRPr="00F15230">
        <w:rPr>
          <w:rStyle w:val="Heading6Char"/>
          <w:rFonts w:eastAsiaTheme="minorHAnsi" w:cstheme="minorBidi"/>
          <w:b w:val="0"/>
          <w:i w:val="0"/>
          <w:iCs w:val="0"/>
          <w:color w:val="auto"/>
          <w:sz w:val="24"/>
        </w:rPr>
        <w:fldChar w:fldCharType="begin"/>
      </w:r>
      <w:r w:rsidRPr="00F15230">
        <w:rPr>
          <w:rStyle w:val="Heading6Char"/>
          <w:rFonts w:eastAsiaTheme="minorHAnsi" w:cstheme="minorBidi"/>
          <w:b w:val="0"/>
          <w:i w:val="0"/>
          <w:iCs w:val="0"/>
          <w:color w:val="auto"/>
          <w:sz w:val="24"/>
        </w:rPr>
        <w:instrText xml:space="preserve"> REF _Ref493770163 \h </w:instrText>
      </w:r>
      <w:r w:rsidR="00F15230">
        <w:rPr>
          <w:rStyle w:val="Heading6Char"/>
          <w:rFonts w:eastAsiaTheme="minorHAnsi" w:cstheme="minorBidi"/>
          <w:b w:val="0"/>
          <w:i w:val="0"/>
          <w:iCs w:val="0"/>
          <w:color w:val="auto"/>
          <w:sz w:val="24"/>
        </w:rPr>
        <w:instrText xml:space="preserve"> \* MERGEFORMAT </w:instrText>
      </w:r>
      <w:r w:rsidRPr="00F15230">
        <w:rPr>
          <w:rStyle w:val="Heading6Char"/>
          <w:rFonts w:eastAsiaTheme="minorHAnsi" w:cstheme="minorBidi"/>
          <w:b w:val="0"/>
          <w:i w:val="0"/>
          <w:iCs w:val="0"/>
          <w:color w:val="auto"/>
          <w:sz w:val="24"/>
        </w:rPr>
      </w:r>
      <w:r w:rsidRPr="00F15230">
        <w:rPr>
          <w:rStyle w:val="Heading6Char"/>
          <w:rFonts w:eastAsiaTheme="minorHAnsi" w:cstheme="minorBidi"/>
          <w:b w:val="0"/>
          <w:i w:val="0"/>
          <w:iCs w:val="0"/>
          <w:color w:val="auto"/>
          <w:sz w:val="24"/>
        </w:rPr>
        <w:fldChar w:fldCharType="separate"/>
      </w:r>
      <w:r w:rsidR="005A6E12" w:rsidRPr="00F15230">
        <w:t xml:space="preserve">Table </w:t>
      </w:r>
      <w:r w:rsidR="005A6E12">
        <w:rPr>
          <w:noProof/>
        </w:rPr>
        <w:t>4</w:t>
      </w:r>
      <w:r w:rsidRPr="00F15230">
        <w:rPr>
          <w:rStyle w:val="Heading6Char"/>
          <w:rFonts w:eastAsiaTheme="minorHAnsi" w:cstheme="minorBidi"/>
          <w:b w:val="0"/>
          <w:i w:val="0"/>
          <w:iCs w:val="0"/>
          <w:color w:val="auto"/>
          <w:sz w:val="24"/>
        </w:rPr>
        <w:fldChar w:fldCharType="end"/>
      </w:r>
      <w:r w:rsidRPr="00F15230">
        <w:rPr>
          <w:rStyle w:val="Heading6Char"/>
          <w:rFonts w:eastAsiaTheme="minorHAnsi" w:cstheme="minorBidi"/>
          <w:b w:val="0"/>
          <w:i w:val="0"/>
          <w:iCs w:val="0"/>
          <w:color w:val="auto"/>
          <w:sz w:val="24"/>
        </w:rPr>
        <w:t xml:space="preserve">. The calculation of the non-State sector adjustment is illustrated in </w:t>
      </w:r>
      <w:r w:rsidRPr="00F15230">
        <w:rPr>
          <w:rStyle w:val="Heading6Char"/>
          <w:rFonts w:eastAsiaTheme="minorHAnsi" w:cstheme="minorBidi"/>
          <w:b w:val="0"/>
          <w:i w:val="0"/>
          <w:iCs w:val="0"/>
          <w:color w:val="auto"/>
          <w:sz w:val="24"/>
        </w:rPr>
        <w:fldChar w:fldCharType="begin"/>
      </w:r>
      <w:r w:rsidRPr="00F15230">
        <w:rPr>
          <w:rStyle w:val="Heading6Char"/>
          <w:rFonts w:eastAsiaTheme="minorHAnsi" w:cstheme="minorBidi"/>
          <w:b w:val="0"/>
          <w:i w:val="0"/>
          <w:iCs w:val="0"/>
          <w:color w:val="auto"/>
          <w:sz w:val="24"/>
        </w:rPr>
        <w:instrText xml:space="preserve"> REF _Ref497832171 \h </w:instrText>
      </w:r>
      <w:r w:rsidR="00F15230">
        <w:rPr>
          <w:rStyle w:val="Heading6Char"/>
          <w:rFonts w:eastAsiaTheme="minorHAnsi" w:cstheme="minorBidi"/>
          <w:b w:val="0"/>
          <w:i w:val="0"/>
          <w:iCs w:val="0"/>
          <w:color w:val="auto"/>
          <w:sz w:val="24"/>
        </w:rPr>
        <w:instrText xml:space="preserve"> \* MERGEFORMAT </w:instrText>
      </w:r>
      <w:r w:rsidRPr="00F15230">
        <w:rPr>
          <w:rStyle w:val="Heading6Char"/>
          <w:rFonts w:eastAsiaTheme="minorHAnsi" w:cstheme="minorBidi"/>
          <w:b w:val="0"/>
          <w:i w:val="0"/>
          <w:iCs w:val="0"/>
          <w:color w:val="auto"/>
          <w:sz w:val="24"/>
        </w:rPr>
      </w:r>
      <w:r w:rsidRPr="00F15230">
        <w:rPr>
          <w:rStyle w:val="Heading6Char"/>
          <w:rFonts w:eastAsiaTheme="minorHAnsi" w:cstheme="minorBidi"/>
          <w:b w:val="0"/>
          <w:i w:val="0"/>
          <w:iCs w:val="0"/>
          <w:color w:val="auto"/>
          <w:sz w:val="24"/>
        </w:rPr>
        <w:fldChar w:fldCharType="separate"/>
      </w:r>
      <w:r w:rsidR="005A6E12" w:rsidRPr="00F15230">
        <w:t xml:space="preserve">Table </w:t>
      </w:r>
      <w:r w:rsidR="005A6E12">
        <w:t>12</w:t>
      </w:r>
      <w:r w:rsidRPr="00F15230">
        <w:rPr>
          <w:rStyle w:val="Heading6Char"/>
          <w:rFonts w:eastAsiaTheme="minorHAnsi" w:cstheme="minorBidi"/>
          <w:b w:val="0"/>
          <w:i w:val="0"/>
          <w:iCs w:val="0"/>
          <w:color w:val="auto"/>
          <w:sz w:val="24"/>
        </w:rPr>
        <w:fldChar w:fldCharType="end"/>
      </w:r>
      <w:r w:rsidRPr="00F15230">
        <w:rPr>
          <w:rStyle w:val="Heading6Char"/>
          <w:rFonts w:eastAsiaTheme="minorHAnsi" w:cstheme="minorBidi"/>
          <w:b w:val="0"/>
          <w:i w:val="0"/>
          <w:iCs w:val="0"/>
          <w:color w:val="auto"/>
          <w:sz w:val="24"/>
        </w:rPr>
        <w:t xml:space="preserve"> using ED data. The main steps in the calculation are as follows. </w:t>
      </w:r>
    </w:p>
    <w:p w14:paraId="61CD2AC0" w14:textId="77777777" w:rsidR="00820785" w:rsidRPr="00F15230" w:rsidRDefault="00820785" w:rsidP="00820785">
      <w:pPr>
        <w:pStyle w:val="CGCBulletlist"/>
        <w:numPr>
          <w:ilvl w:val="0"/>
          <w:numId w:val="1"/>
        </w:numPr>
        <w:tabs>
          <w:tab w:val="clear" w:pos="927"/>
        </w:tabs>
        <w:ind w:left="1134" w:hanging="567"/>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Determine the amount of substitutable State expenses by multiplying the substitutable proportion by component expenses.</w:t>
      </w:r>
    </w:p>
    <w:p w14:paraId="16EE04F5" w14:textId="77777777" w:rsidR="00820785" w:rsidRPr="00F15230" w:rsidRDefault="00820785" w:rsidP="00820785">
      <w:pPr>
        <w:pStyle w:val="CGCBulletlist"/>
        <w:numPr>
          <w:ilvl w:val="0"/>
          <w:numId w:val="1"/>
        </w:numPr>
        <w:tabs>
          <w:tab w:val="clear" w:pos="927"/>
        </w:tabs>
        <w:ind w:left="1134" w:hanging="567"/>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Calculate the assessed use of non-State sector services for each State based on the national profile of people using these services.</w:t>
      </w:r>
    </w:p>
    <w:p w14:paraId="4440F27C" w14:textId="77777777" w:rsidR="00820785" w:rsidRPr="00F15230" w:rsidRDefault="00820785" w:rsidP="00820785">
      <w:pPr>
        <w:pStyle w:val="CGCBulletlist"/>
        <w:numPr>
          <w:ilvl w:val="0"/>
          <w:numId w:val="1"/>
        </w:numPr>
        <w:tabs>
          <w:tab w:val="clear" w:pos="927"/>
        </w:tabs>
        <w:ind w:left="1134" w:hanging="567"/>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Apportion the substitutable expenses across States based on each State’s share of assessed non-State sector service use.</w:t>
      </w:r>
    </w:p>
    <w:p w14:paraId="0AA363D4" w14:textId="5D01937C" w:rsidR="00820785" w:rsidRPr="00F15230" w:rsidRDefault="00820785" w:rsidP="00820785">
      <w:pPr>
        <w:pStyle w:val="CGCBulletlist"/>
        <w:numPr>
          <w:ilvl w:val="0"/>
          <w:numId w:val="1"/>
        </w:numPr>
        <w:tabs>
          <w:tab w:val="clear" w:pos="927"/>
        </w:tabs>
        <w:ind w:left="1134" w:hanging="567"/>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Use each States</w:t>
      </w:r>
      <w:r w:rsidR="00077088">
        <w:rPr>
          <w:rStyle w:val="Heading6Char"/>
          <w:rFonts w:eastAsiaTheme="minorHAnsi" w:cstheme="minorBidi"/>
          <w:b w:val="0"/>
          <w:i w:val="0"/>
          <w:iCs w:val="0"/>
          <w:color w:val="auto"/>
          <w:sz w:val="24"/>
        </w:rPr>
        <w:t>’</w:t>
      </w:r>
      <w:r w:rsidRPr="00F15230">
        <w:rPr>
          <w:rStyle w:val="Heading6Char"/>
          <w:rFonts w:eastAsiaTheme="minorHAnsi" w:cstheme="minorBidi"/>
          <w:b w:val="0"/>
          <w:i w:val="0"/>
          <w:iCs w:val="0"/>
          <w:color w:val="auto"/>
          <w:sz w:val="24"/>
        </w:rPr>
        <w:t xml:space="preserve"> share of actual non-State sector service use to apportion the substitutable expenses across States.  </w:t>
      </w:r>
    </w:p>
    <w:p w14:paraId="39397B41" w14:textId="77777777" w:rsidR="00820785" w:rsidRPr="00F15230" w:rsidRDefault="00820785" w:rsidP="00820785">
      <w:pPr>
        <w:pStyle w:val="CGCBulletlist"/>
        <w:numPr>
          <w:ilvl w:val="0"/>
          <w:numId w:val="1"/>
        </w:numPr>
        <w:tabs>
          <w:tab w:val="clear" w:pos="927"/>
        </w:tabs>
        <w:ind w:left="1134" w:hanging="567"/>
        <w:rPr>
          <w:rStyle w:val="Heading6Char"/>
          <w:rFonts w:eastAsiaTheme="minorHAnsi" w:cstheme="minorBidi"/>
          <w:b w:val="0"/>
          <w:i w:val="0"/>
          <w:iCs w:val="0"/>
          <w:color w:val="auto"/>
          <w:sz w:val="24"/>
        </w:rPr>
      </w:pPr>
      <w:r w:rsidRPr="00F15230">
        <w:rPr>
          <w:rStyle w:val="Heading6Char"/>
          <w:rFonts w:eastAsiaTheme="minorHAnsi" w:cstheme="minorBidi"/>
          <w:b w:val="0"/>
          <w:i w:val="0"/>
          <w:iCs w:val="0"/>
          <w:color w:val="auto"/>
          <w:sz w:val="24"/>
        </w:rPr>
        <w:t>Subtract actual non-State sector service use from assessed non-State sector service use to obtain the non-State sector adjustment for each State.</w:t>
      </w:r>
    </w:p>
    <w:p w14:paraId="6D3A5224" w14:textId="77777777" w:rsidR="00820785" w:rsidRPr="00F15230" w:rsidRDefault="00820785" w:rsidP="00820785">
      <w:pPr>
        <w:pStyle w:val="CGCNumberedPara"/>
        <w:rPr>
          <w:rStyle w:val="Heading6Char"/>
          <w:rFonts w:eastAsiaTheme="minorHAnsi" w:cstheme="minorBidi"/>
          <w:b w:val="0"/>
          <w:i w:val="0"/>
          <w:iCs w:val="0"/>
          <w:color w:val="auto"/>
          <w:sz w:val="24"/>
        </w:rPr>
      </w:pPr>
      <w:r w:rsidRPr="00F15230">
        <w:t>For the community and other health component two non-State sector adjustments are made. The first measures the influence of the level of bulk-billed GP services on State community and other health expenses and the second measures the influence of Commonwealth funding to non-</w:t>
      </w:r>
      <w:r w:rsidRPr="00F15230">
        <w:rPr>
          <w:rStyle w:val="Heading6Char"/>
          <w:rFonts w:eastAsiaTheme="minorHAnsi" w:cstheme="minorBidi"/>
          <w:b w:val="0"/>
          <w:i w:val="0"/>
          <w:iCs w:val="0"/>
          <w:color w:val="auto"/>
          <w:sz w:val="24"/>
        </w:rPr>
        <w:t>government organisations for Indigenous Australians’ Health Program (IAHP).</w:t>
      </w:r>
      <w:r w:rsidRPr="00F15230">
        <w:rPr>
          <w:rStyle w:val="FootnoteReference"/>
        </w:rPr>
        <w:footnoteReference w:id="24"/>
      </w:r>
    </w:p>
    <w:p w14:paraId="716E0DA3" w14:textId="073879BB" w:rsidR="00820785" w:rsidRPr="00F15230" w:rsidRDefault="00820785" w:rsidP="004B2DDE">
      <w:pPr>
        <w:pStyle w:val="Caption"/>
      </w:pPr>
      <w:bookmarkStart w:id="216" w:name="_Ref497832171"/>
      <w:r w:rsidRPr="00F15230">
        <w:t xml:space="preserve">Table </w:t>
      </w:r>
      <w:r w:rsidR="00CD3D12">
        <w:fldChar w:fldCharType="begin"/>
      </w:r>
      <w:r w:rsidR="00CD3D12">
        <w:instrText xml:space="preserve"> SEQ Table \* ARABIC </w:instrText>
      </w:r>
      <w:r w:rsidR="00CD3D12">
        <w:fldChar w:fldCharType="separate"/>
      </w:r>
      <w:r w:rsidR="005A6E12">
        <w:rPr>
          <w:noProof/>
        </w:rPr>
        <w:t>12</w:t>
      </w:r>
      <w:r w:rsidR="00CD3D12">
        <w:rPr>
          <w:noProof/>
        </w:rPr>
        <w:fldChar w:fldCharType="end"/>
      </w:r>
      <w:bookmarkEnd w:id="216"/>
      <w:r w:rsidRPr="00F15230">
        <w:tab/>
        <w:t>Non-State sector adjustment, ED services, 201</w:t>
      </w:r>
      <w:r w:rsidR="004B2DDE" w:rsidRPr="00F15230">
        <w:t>6</w:t>
      </w:r>
      <w:r w:rsidR="004B2DDE" w:rsidRPr="00F15230">
        <w:noBreakHyphen/>
        <w:t>17</w:t>
      </w:r>
    </w:p>
    <w:tbl>
      <w:tblPr>
        <w:tblW w:w="8920" w:type="dxa"/>
        <w:tblLayout w:type="fixed"/>
        <w:tblCellMar>
          <w:left w:w="0" w:type="dxa"/>
          <w:right w:w="0" w:type="dxa"/>
        </w:tblCellMar>
        <w:tblLook w:val="04A0" w:firstRow="1" w:lastRow="0" w:firstColumn="1" w:lastColumn="0" w:noHBand="0" w:noVBand="1"/>
      </w:tblPr>
      <w:tblGrid>
        <w:gridCol w:w="2800"/>
        <w:gridCol w:w="760"/>
        <w:gridCol w:w="760"/>
        <w:gridCol w:w="640"/>
        <w:gridCol w:w="640"/>
        <w:gridCol w:w="640"/>
        <w:gridCol w:w="640"/>
        <w:gridCol w:w="640"/>
        <w:gridCol w:w="640"/>
        <w:gridCol w:w="760"/>
      </w:tblGrid>
      <w:tr w:rsidR="004B2DDE" w:rsidRPr="00F15230" w14:paraId="7021D063" w14:textId="77777777" w:rsidTr="00752C7F">
        <w:trPr>
          <w:trHeight w:val="375"/>
        </w:trPr>
        <w:tc>
          <w:tcPr>
            <w:tcW w:w="2800" w:type="dxa"/>
            <w:tcBorders>
              <w:top w:val="single" w:sz="4" w:space="0" w:color="auto"/>
              <w:left w:val="nil"/>
              <w:bottom w:val="single" w:sz="4" w:space="0" w:color="auto"/>
              <w:right w:val="nil"/>
            </w:tcBorders>
            <w:shd w:val="clear" w:color="auto" w:fill="auto"/>
            <w:noWrap/>
            <w:vAlign w:val="center"/>
            <w:hideMark/>
          </w:tcPr>
          <w:p w14:paraId="2A2BE365" w14:textId="77777777" w:rsidR="004B2DDE" w:rsidRPr="00F15230" w:rsidRDefault="004B2DDE" w:rsidP="004B2DD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14:paraId="70BF6212"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14:paraId="79223835"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Vic</w:t>
            </w:r>
          </w:p>
        </w:tc>
        <w:tc>
          <w:tcPr>
            <w:tcW w:w="640" w:type="dxa"/>
            <w:tcBorders>
              <w:top w:val="single" w:sz="4" w:space="0" w:color="auto"/>
              <w:left w:val="nil"/>
              <w:bottom w:val="single" w:sz="4" w:space="0" w:color="auto"/>
              <w:right w:val="nil"/>
            </w:tcBorders>
            <w:shd w:val="clear" w:color="auto" w:fill="auto"/>
            <w:noWrap/>
            <w:vAlign w:val="center"/>
            <w:hideMark/>
          </w:tcPr>
          <w:p w14:paraId="30D34A35"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Qld</w:t>
            </w:r>
          </w:p>
        </w:tc>
        <w:tc>
          <w:tcPr>
            <w:tcW w:w="640" w:type="dxa"/>
            <w:tcBorders>
              <w:top w:val="single" w:sz="4" w:space="0" w:color="auto"/>
              <w:left w:val="nil"/>
              <w:bottom w:val="single" w:sz="4" w:space="0" w:color="auto"/>
              <w:right w:val="nil"/>
            </w:tcBorders>
            <w:shd w:val="clear" w:color="auto" w:fill="auto"/>
            <w:noWrap/>
            <w:vAlign w:val="center"/>
            <w:hideMark/>
          </w:tcPr>
          <w:p w14:paraId="34D29DF5"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14:paraId="0F029D85"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14:paraId="72619ECD"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Tas</w:t>
            </w:r>
          </w:p>
        </w:tc>
        <w:tc>
          <w:tcPr>
            <w:tcW w:w="640" w:type="dxa"/>
            <w:tcBorders>
              <w:top w:val="single" w:sz="4" w:space="0" w:color="auto"/>
              <w:left w:val="nil"/>
              <w:bottom w:val="single" w:sz="4" w:space="0" w:color="auto"/>
              <w:right w:val="nil"/>
            </w:tcBorders>
            <w:shd w:val="clear" w:color="auto" w:fill="auto"/>
            <w:noWrap/>
            <w:vAlign w:val="center"/>
            <w:hideMark/>
          </w:tcPr>
          <w:p w14:paraId="2616141D"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14:paraId="380E56C1"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14:paraId="19230920"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Total</w:t>
            </w:r>
          </w:p>
        </w:tc>
      </w:tr>
      <w:tr w:rsidR="004B2DDE" w:rsidRPr="00F15230" w14:paraId="2BE391DF" w14:textId="77777777" w:rsidTr="00752C7F">
        <w:trPr>
          <w:trHeight w:val="255"/>
        </w:trPr>
        <w:tc>
          <w:tcPr>
            <w:tcW w:w="2800" w:type="dxa"/>
            <w:tcBorders>
              <w:top w:val="nil"/>
              <w:left w:val="nil"/>
              <w:bottom w:val="nil"/>
              <w:right w:val="nil"/>
            </w:tcBorders>
            <w:shd w:val="clear" w:color="auto" w:fill="auto"/>
            <w:noWrap/>
            <w:vAlign w:val="bottom"/>
            <w:hideMark/>
          </w:tcPr>
          <w:p w14:paraId="5C4455E8" w14:textId="77777777" w:rsidR="004B2DDE" w:rsidRPr="00F15230" w:rsidRDefault="004B2DDE" w:rsidP="004B2DD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14:paraId="44A08D5B"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14:paraId="5E5BC15C"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0115D672"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3DD075BB"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0141681F"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45441C64"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61020BD5"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268CD813"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14:paraId="044A27C0"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sz w:val="20"/>
                <w:szCs w:val="20"/>
                <w:lang w:eastAsia="en-AU"/>
              </w:rPr>
            </w:pPr>
            <w:r w:rsidRPr="00F15230">
              <w:rPr>
                <w:rFonts w:ascii="Calibri" w:eastAsia="Times New Roman" w:hAnsi="Calibri" w:cs="Times New Roman"/>
                <w:sz w:val="20"/>
                <w:szCs w:val="20"/>
                <w:lang w:eastAsia="en-AU"/>
              </w:rPr>
              <w:t>$m</w:t>
            </w:r>
          </w:p>
        </w:tc>
      </w:tr>
      <w:tr w:rsidR="004B2DDE" w:rsidRPr="00F15230" w14:paraId="34BD77F4" w14:textId="77777777" w:rsidTr="00752C7F">
        <w:trPr>
          <w:trHeight w:val="315"/>
        </w:trPr>
        <w:tc>
          <w:tcPr>
            <w:tcW w:w="2800" w:type="dxa"/>
            <w:tcBorders>
              <w:top w:val="nil"/>
              <w:left w:val="nil"/>
              <w:bottom w:val="nil"/>
              <w:right w:val="nil"/>
            </w:tcBorders>
            <w:shd w:val="clear" w:color="auto" w:fill="auto"/>
            <w:vAlign w:val="bottom"/>
            <w:hideMark/>
          </w:tcPr>
          <w:p w14:paraId="545FD66D" w14:textId="77777777" w:rsidR="004B2DDE" w:rsidRPr="00F15230" w:rsidRDefault="004B2DDE" w:rsidP="004B2DD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Substitutable ED expenses</w:t>
            </w:r>
            <w:r w:rsidRPr="00F15230">
              <w:rPr>
                <w:rFonts w:ascii="Calibri" w:eastAsia="Times New Roman" w:hAnsi="Calibri" w:cs="Times New Roman"/>
                <w:color w:val="000000"/>
                <w:sz w:val="20"/>
                <w:szCs w:val="20"/>
                <w:lang w:eastAsia="en-AU"/>
              </w:rPr>
              <w:br/>
              <w:t>(15% x $4.9 billion)</w:t>
            </w:r>
          </w:p>
        </w:tc>
        <w:tc>
          <w:tcPr>
            <w:tcW w:w="760" w:type="dxa"/>
            <w:tcBorders>
              <w:top w:val="nil"/>
              <w:left w:val="nil"/>
              <w:bottom w:val="nil"/>
              <w:right w:val="nil"/>
            </w:tcBorders>
            <w:shd w:val="clear" w:color="auto" w:fill="auto"/>
            <w:vAlign w:val="bottom"/>
            <w:hideMark/>
          </w:tcPr>
          <w:p w14:paraId="7BB1F932"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75B1FF0D"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40" w:type="dxa"/>
            <w:tcBorders>
              <w:top w:val="nil"/>
              <w:left w:val="nil"/>
              <w:bottom w:val="nil"/>
              <w:right w:val="nil"/>
            </w:tcBorders>
            <w:shd w:val="clear" w:color="auto" w:fill="auto"/>
            <w:vAlign w:val="bottom"/>
            <w:hideMark/>
          </w:tcPr>
          <w:p w14:paraId="48929AB8"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40" w:type="dxa"/>
            <w:tcBorders>
              <w:top w:val="nil"/>
              <w:left w:val="nil"/>
              <w:bottom w:val="nil"/>
              <w:right w:val="nil"/>
            </w:tcBorders>
            <w:shd w:val="clear" w:color="auto" w:fill="auto"/>
            <w:vAlign w:val="bottom"/>
            <w:hideMark/>
          </w:tcPr>
          <w:p w14:paraId="3B466E91"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40" w:type="dxa"/>
            <w:tcBorders>
              <w:top w:val="nil"/>
              <w:left w:val="nil"/>
              <w:bottom w:val="nil"/>
              <w:right w:val="nil"/>
            </w:tcBorders>
            <w:shd w:val="clear" w:color="auto" w:fill="auto"/>
            <w:vAlign w:val="bottom"/>
            <w:hideMark/>
          </w:tcPr>
          <w:p w14:paraId="180C95D5"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40" w:type="dxa"/>
            <w:tcBorders>
              <w:top w:val="nil"/>
              <w:left w:val="nil"/>
              <w:bottom w:val="nil"/>
              <w:right w:val="nil"/>
            </w:tcBorders>
            <w:shd w:val="clear" w:color="auto" w:fill="auto"/>
            <w:vAlign w:val="bottom"/>
            <w:hideMark/>
          </w:tcPr>
          <w:p w14:paraId="35DCC819"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40" w:type="dxa"/>
            <w:tcBorders>
              <w:top w:val="nil"/>
              <w:left w:val="nil"/>
              <w:bottom w:val="nil"/>
              <w:right w:val="nil"/>
            </w:tcBorders>
            <w:shd w:val="clear" w:color="auto" w:fill="auto"/>
            <w:vAlign w:val="bottom"/>
            <w:hideMark/>
          </w:tcPr>
          <w:p w14:paraId="71F53800"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40" w:type="dxa"/>
            <w:tcBorders>
              <w:top w:val="nil"/>
              <w:left w:val="nil"/>
              <w:bottom w:val="nil"/>
              <w:right w:val="nil"/>
            </w:tcBorders>
            <w:shd w:val="clear" w:color="auto" w:fill="auto"/>
            <w:vAlign w:val="bottom"/>
            <w:hideMark/>
          </w:tcPr>
          <w:p w14:paraId="67725ECB"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29AB8942"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740</w:t>
            </w:r>
          </w:p>
        </w:tc>
      </w:tr>
      <w:tr w:rsidR="004B2DDE" w:rsidRPr="00F15230" w14:paraId="793CBF6C" w14:textId="77777777" w:rsidTr="00752C7F">
        <w:trPr>
          <w:trHeight w:val="315"/>
        </w:trPr>
        <w:tc>
          <w:tcPr>
            <w:tcW w:w="2800" w:type="dxa"/>
            <w:tcBorders>
              <w:top w:val="nil"/>
              <w:left w:val="nil"/>
              <w:bottom w:val="nil"/>
              <w:right w:val="nil"/>
            </w:tcBorders>
            <w:shd w:val="clear" w:color="auto" w:fill="auto"/>
            <w:vAlign w:val="bottom"/>
            <w:hideMark/>
          </w:tcPr>
          <w:p w14:paraId="63AF9059" w14:textId="77777777" w:rsidR="004B2DDE" w:rsidRPr="00F15230" w:rsidRDefault="004B2DDE" w:rsidP="004B2DD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Assessed expenses (a)</w:t>
            </w:r>
          </w:p>
        </w:tc>
        <w:tc>
          <w:tcPr>
            <w:tcW w:w="760" w:type="dxa"/>
            <w:tcBorders>
              <w:top w:val="nil"/>
              <w:left w:val="nil"/>
              <w:bottom w:val="nil"/>
              <w:right w:val="nil"/>
            </w:tcBorders>
            <w:shd w:val="clear" w:color="auto" w:fill="auto"/>
            <w:vAlign w:val="bottom"/>
            <w:hideMark/>
          </w:tcPr>
          <w:p w14:paraId="614195D3"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242</w:t>
            </w:r>
          </w:p>
        </w:tc>
        <w:tc>
          <w:tcPr>
            <w:tcW w:w="760" w:type="dxa"/>
            <w:tcBorders>
              <w:top w:val="nil"/>
              <w:left w:val="nil"/>
              <w:bottom w:val="nil"/>
              <w:right w:val="nil"/>
            </w:tcBorders>
            <w:shd w:val="clear" w:color="auto" w:fill="auto"/>
            <w:vAlign w:val="bottom"/>
            <w:hideMark/>
          </w:tcPr>
          <w:p w14:paraId="2C1DA448"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190</w:t>
            </w:r>
          </w:p>
        </w:tc>
        <w:tc>
          <w:tcPr>
            <w:tcW w:w="640" w:type="dxa"/>
            <w:tcBorders>
              <w:top w:val="nil"/>
              <w:left w:val="nil"/>
              <w:bottom w:val="nil"/>
              <w:right w:val="nil"/>
            </w:tcBorders>
            <w:shd w:val="clear" w:color="auto" w:fill="auto"/>
            <w:vAlign w:val="bottom"/>
            <w:hideMark/>
          </w:tcPr>
          <w:p w14:paraId="083435D3"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146</w:t>
            </w:r>
          </w:p>
        </w:tc>
        <w:tc>
          <w:tcPr>
            <w:tcW w:w="640" w:type="dxa"/>
            <w:tcBorders>
              <w:top w:val="nil"/>
              <w:left w:val="nil"/>
              <w:bottom w:val="nil"/>
              <w:right w:val="nil"/>
            </w:tcBorders>
            <w:shd w:val="clear" w:color="auto" w:fill="auto"/>
            <w:vAlign w:val="bottom"/>
            <w:hideMark/>
          </w:tcPr>
          <w:p w14:paraId="5601A70F"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74</w:t>
            </w:r>
          </w:p>
        </w:tc>
        <w:tc>
          <w:tcPr>
            <w:tcW w:w="640" w:type="dxa"/>
            <w:tcBorders>
              <w:top w:val="nil"/>
              <w:left w:val="nil"/>
              <w:bottom w:val="nil"/>
              <w:right w:val="nil"/>
            </w:tcBorders>
            <w:shd w:val="clear" w:color="auto" w:fill="auto"/>
            <w:vAlign w:val="bottom"/>
            <w:hideMark/>
          </w:tcPr>
          <w:p w14:paraId="1872C843"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56</w:t>
            </w:r>
          </w:p>
        </w:tc>
        <w:tc>
          <w:tcPr>
            <w:tcW w:w="640" w:type="dxa"/>
            <w:tcBorders>
              <w:top w:val="nil"/>
              <w:left w:val="nil"/>
              <w:bottom w:val="nil"/>
              <w:right w:val="nil"/>
            </w:tcBorders>
            <w:shd w:val="clear" w:color="auto" w:fill="auto"/>
            <w:vAlign w:val="bottom"/>
            <w:hideMark/>
          </w:tcPr>
          <w:p w14:paraId="067975B4"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16</w:t>
            </w:r>
          </w:p>
        </w:tc>
        <w:tc>
          <w:tcPr>
            <w:tcW w:w="640" w:type="dxa"/>
            <w:tcBorders>
              <w:top w:val="nil"/>
              <w:left w:val="nil"/>
              <w:bottom w:val="nil"/>
              <w:right w:val="nil"/>
            </w:tcBorders>
            <w:shd w:val="clear" w:color="auto" w:fill="auto"/>
            <w:vAlign w:val="bottom"/>
            <w:hideMark/>
          </w:tcPr>
          <w:p w14:paraId="7CA5392D"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11</w:t>
            </w:r>
          </w:p>
        </w:tc>
        <w:tc>
          <w:tcPr>
            <w:tcW w:w="640" w:type="dxa"/>
            <w:tcBorders>
              <w:top w:val="nil"/>
              <w:left w:val="nil"/>
              <w:bottom w:val="nil"/>
              <w:right w:val="nil"/>
            </w:tcBorders>
            <w:shd w:val="clear" w:color="auto" w:fill="auto"/>
            <w:vAlign w:val="bottom"/>
            <w:hideMark/>
          </w:tcPr>
          <w:p w14:paraId="698F7BCA"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6</w:t>
            </w:r>
          </w:p>
        </w:tc>
        <w:tc>
          <w:tcPr>
            <w:tcW w:w="760" w:type="dxa"/>
            <w:tcBorders>
              <w:top w:val="nil"/>
              <w:left w:val="nil"/>
              <w:bottom w:val="nil"/>
              <w:right w:val="nil"/>
            </w:tcBorders>
            <w:shd w:val="clear" w:color="auto" w:fill="auto"/>
            <w:vAlign w:val="bottom"/>
            <w:hideMark/>
          </w:tcPr>
          <w:p w14:paraId="408CEBBE"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740</w:t>
            </w:r>
          </w:p>
        </w:tc>
      </w:tr>
      <w:tr w:rsidR="004B2DDE" w:rsidRPr="00F15230" w14:paraId="4183AA31" w14:textId="77777777" w:rsidTr="00752C7F">
        <w:trPr>
          <w:trHeight w:val="315"/>
        </w:trPr>
        <w:tc>
          <w:tcPr>
            <w:tcW w:w="2800" w:type="dxa"/>
            <w:tcBorders>
              <w:top w:val="nil"/>
              <w:left w:val="nil"/>
              <w:bottom w:val="nil"/>
              <w:right w:val="nil"/>
            </w:tcBorders>
            <w:shd w:val="clear" w:color="auto" w:fill="auto"/>
            <w:vAlign w:val="bottom"/>
            <w:hideMark/>
          </w:tcPr>
          <w:p w14:paraId="2A88858D" w14:textId="77777777" w:rsidR="004B2DDE" w:rsidRPr="00F15230" w:rsidRDefault="004B2DDE" w:rsidP="004B2DD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Actual expenses (b)</w:t>
            </w:r>
          </w:p>
        </w:tc>
        <w:tc>
          <w:tcPr>
            <w:tcW w:w="760" w:type="dxa"/>
            <w:tcBorders>
              <w:top w:val="nil"/>
              <w:left w:val="nil"/>
              <w:bottom w:val="nil"/>
              <w:right w:val="nil"/>
            </w:tcBorders>
            <w:shd w:val="clear" w:color="auto" w:fill="auto"/>
            <w:vAlign w:val="bottom"/>
            <w:hideMark/>
          </w:tcPr>
          <w:p w14:paraId="52783AAD"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255</w:t>
            </w:r>
          </w:p>
        </w:tc>
        <w:tc>
          <w:tcPr>
            <w:tcW w:w="760" w:type="dxa"/>
            <w:tcBorders>
              <w:top w:val="nil"/>
              <w:left w:val="nil"/>
              <w:bottom w:val="nil"/>
              <w:right w:val="nil"/>
            </w:tcBorders>
            <w:shd w:val="clear" w:color="auto" w:fill="auto"/>
            <w:vAlign w:val="bottom"/>
            <w:hideMark/>
          </w:tcPr>
          <w:p w14:paraId="696FF17C"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186</w:t>
            </w:r>
          </w:p>
        </w:tc>
        <w:tc>
          <w:tcPr>
            <w:tcW w:w="640" w:type="dxa"/>
            <w:tcBorders>
              <w:top w:val="nil"/>
              <w:left w:val="nil"/>
              <w:bottom w:val="nil"/>
              <w:right w:val="nil"/>
            </w:tcBorders>
            <w:shd w:val="clear" w:color="auto" w:fill="auto"/>
            <w:vAlign w:val="bottom"/>
            <w:hideMark/>
          </w:tcPr>
          <w:p w14:paraId="06901ECE"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153</w:t>
            </w:r>
          </w:p>
        </w:tc>
        <w:tc>
          <w:tcPr>
            <w:tcW w:w="640" w:type="dxa"/>
            <w:tcBorders>
              <w:top w:val="nil"/>
              <w:left w:val="nil"/>
              <w:bottom w:val="nil"/>
              <w:right w:val="nil"/>
            </w:tcBorders>
            <w:shd w:val="clear" w:color="auto" w:fill="auto"/>
            <w:vAlign w:val="bottom"/>
            <w:hideMark/>
          </w:tcPr>
          <w:p w14:paraId="61FA88DE"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66</w:t>
            </w:r>
          </w:p>
        </w:tc>
        <w:tc>
          <w:tcPr>
            <w:tcW w:w="640" w:type="dxa"/>
            <w:tcBorders>
              <w:top w:val="nil"/>
              <w:left w:val="nil"/>
              <w:bottom w:val="nil"/>
              <w:right w:val="nil"/>
            </w:tcBorders>
            <w:shd w:val="clear" w:color="auto" w:fill="auto"/>
            <w:vAlign w:val="bottom"/>
            <w:hideMark/>
          </w:tcPr>
          <w:p w14:paraId="6361AA27"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53</w:t>
            </w:r>
          </w:p>
        </w:tc>
        <w:tc>
          <w:tcPr>
            <w:tcW w:w="640" w:type="dxa"/>
            <w:tcBorders>
              <w:top w:val="nil"/>
              <w:left w:val="nil"/>
              <w:bottom w:val="nil"/>
              <w:right w:val="nil"/>
            </w:tcBorders>
            <w:shd w:val="clear" w:color="auto" w:fill="auto"/>
            <w:vAlign w:val="bottom"/>
            <w:hideMark/>
          </w:tcPr>
          <w:p w14:paraId="34C97D86"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13</w:t>
            </w:r>
          </w:p>
        </w:tc>
        <w:tc>
          <w:tcPr>
            <w:tcW w:w="640" w:type="dxa"/>
            <w:tcBorders>
              <w:top w:val="nil"/>
              <w:left w:val="nil"/>
              <w:bottom w:val="nil"/>
              <w:right w:val="nil"/>
            </w:tcBorders>
            <w:shd w:val="clear" w:color="auto" w:fill="auto"/>
            <w:vAlign w:val="bottom"/>
            <w:hideMark/>
          </w:tcPr>
          <w:p w14:paraId="30E151FA"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7</w:t>
            </w:r>
          </w:p>
        </w:tc>
        <w:tc>
          <w:tcPr>
            <w:tcW w:w="640" w:type="dxa"/>
            <w:tcBorders>
              <w:top w:val="nil"/>
              <w:left w:val="nil"/>
              <w:bottom w:val="nil"/>
              <w:right w:val="nil"/>
            </w:tcBorders>
            <w:shd w:val="clear" w:color="auto" w:fill="auto"/>
            <w:vAlign w:val="bottom"/>
            <w:hideMark/>
          </w:tcPr>
          <w:p w14:paraId="4F12A48F"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6</w:t>
            </w:r>
          </w:p>
        </w:tc>
        <w:tc>
          <w:tcPr>
            <w:tcW w:w="760" w:type="dxa"/>
            <w:tcBorders>
              <w:top w:val="nil"/>
              <w:left w:val="nil"/>
              <w:bottom w:val="nil"/>
              <w:right w:val="nil"/>
            </w:tcBorders>
            <w:shd w:val="clear" w:color="auto" w:fill="auto"/>
            <w:vAlign w:val="bottom"/>
            <w:hideMark/>
          </w:tcPr>
          <w:p w14:paraId="193FD965"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740</w:t>
            </w:r>
          </w:p>
        </w:tc>
      </w:tr>
      <w:tr w:rsidR="004B2DDE" w:rsidRPr="00F15230" w14:paraId="3C395D5D" w14:textId="77777777" w:rsidTr="00752C7F">
        <w:trPr>
          <w:trHeight w:val="315"/>
        </w:trPr>
        <w:tc>
          <w:tcPr>
            <w:tcW w:w="2800" w:type="dxa"/>
            <w:tcBorders>
              <w:top w:val="nil"/>
              <w:left w:val="nil"/>
              <w:bottom w:val="single" w:sz="4" w:space="0" w:color="auto"/>
              <w:right w:val="nil"/>
            </w:tcBorders>
            <w:shd w:val="clear" w:color="auto" w:fill="auto"/>
            <w:vAlign w:val="bottom"/>
            <w:hideMark/>
          </w:tcPr>
          <w:p w14:paraId="732503F9" w14:textId="77777777" w:rsidR="004B2DDE" w:rsidRPr="00F15230" w:rsidRDefault="004B2DDE" w:rsidP="004B2DD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Non-State sector adjustment (c)</w:t>
            </w:r>
          </w:p>
        </w:tc>
        <w:tc>
          <w:tcPr>
            <w:tcW w:w="760" w:type="dxa"/>
            <w:tcBorders>
              <w:top w:val="nil"/>
              <w:left w:val="nil"/>
              <w:bottom w:val="single" w:sz="4" w:space="0" w:color="auto"/>
              <w:right w:val="nil"/>
            </w:tcBorders>
            <w:shd w:val="clear" w:color="auto" w:fill="auto"/>
            <w:vAlign w:val="bottom"/>
            <w:hideMark/>
          </w:tcPr>
          <w:p w14:paraId="6E16500E"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-13</w:t>
            </w:r>
          </w:p>
        </w:tc>
        <w:tc>
          <w:tcPr>
            <w:tcW w:w="760" w:type="dxa"/>
            <w:tcBorders>
              <w:top w:val="nil"/>
              <w:left w:val="nil"/>
              <w:bottom w:val="single" w:sz="4" w:space="0" w:color="auto"/>
              <w:right w:val="nil"/>
            </w:tcBorders>
            <w:shd w:val="clear" w:color="auto" w:fill="auto"/>
            <w:vAlign w:val="bottom"/>
            <w:hideMark/>
          </w:tcPr>
          <w:p w14:paraId="690A18CD"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4</w:t>
            </w:r>
          </w:p>
        </w:tc>
        <w:tc>
          <w:tcPr>
            <w:tcW w:w="640" w:type="dxa"/>
            <w:tcBorders>
              <w:top w:val="nil"/>
              <w:left w:val="nil"/>
              <w:bottom w:val="single" w:sz="4" w:space="0" w:color="auto"/>
              <w:right w:val="nil"/>
            </w:tcBorders>
            <w:shd w:val="clear" w:color="auto" w:fill="auto"/>
            <w:vAlign w:val="bottom"/>
            <w:hideMark/>
          </w:tcPr>
          <w:p w14:paraId="43666A15"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-8</w:t>
            </w:r>
          </w:p>
        </w:tc>
        <w:tc>
          <w:tcPr>
            <w:tcW w:w="640" w:type="dxa"/>
            <w:tcBorders>
              <w:top w:val="nil"/>
              <w:left w:val="nil"/>
              <w:bottom w:val="single" w:sz="4" w:space="0" w:color="auto"/>
              <w:right w:val="nil"/>
            </w:tcBorders>
            <w:shd w:val="clear" w:color="auto" w:fill="auto"/>
            <w:vAlign w:val="bottom"/>
            <w:hideMark/>
          </w:tcPr>
          <w:p w14:paraId="4B0079E6"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9</w:t>
            </w:r>
          </w:p>
        </w:tc>
        <w:tc>
          <w:tcPr>
            <w:tcW w:w="640" w:type="dxa"/>
            <w:tcBorders>
              <w:top w:val="nil"/>
              <w:left w:val="nil"/>
              <w:bottom w:val="single" w:sz="4" w:space="0" w:color="auto"/>
              <w:right w:val="nil"/>
            </w:tcBorders>
            <w:shd w:val="clear" w:color="auto" w:fill="auto"/>
            <w:vAlign w:val="bottom"/>
            <w:hideMark/>
          </w:tcPr>
          <w:p w14:paraId="6C515753"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3</w:t>
            </w:r>
          </w:p>
        </w:tc>
        <w:tc>
          <w:tcPr>
            <w:tcW w:w="640" w:type="dxa"/>
            <w:tcBorders>
              <w:top w:val="nil"/>
              <w:left w:val="nil"/>
              <w:bottom w:val="single" w:sz="4" w:space="0" w:color="auto"/>
              <w:right w:val="nil"/>
            </w:tcBorders>
            <w:shd w:val="clear" w:color="auto" w:fill="auto"/>
            <w:vAlign w:val="bottom"/>
            <w:hideMark/>
          </w:tcPr>
          <w:p w14:paraId="07900524"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3</w:t>
            </w:r>
          </w:p>
        </w:tc>
        <w:tc>
          <w:tcPr>
            <w:tcW w:w="640" w:type="dxa"/>
            <w:tcBorders>
              <w:top w:val="nil"/>
              <w:left w:val="nil"/>
              <w:bottom w:val="single" w:sz="4" w:space="0" w:color="auto"/>
              <w:right w:val="nil"/>
            </w:tcBorders>
            <w:shd w:val="clear" w:color="auto" w:fill="auto"/>
            <w:vAlign w:val="bottom"/>
            <w:hideMark/>
          </w:tcPr>
          <w:p w14:paraId="3B21DE77"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4</w:t>
            </w:r>
          </w:p>
        </w:tc>
        <w:tc>
          <w:tcPr>
            <w:tcW w:w="640" w:type="dxa"/>
            <w:tcBorders>
              <w:top w:val="nil"/>
              <w:left w:val="nil"/>
              <w:bottom w:val="single" w:sz="4" w:space="0" w:color="auto"/>
              <w:right w:val="nil"/>
            </w:tcBorders>
            <w:shd w:val="clear" w:color="auto" w:fill="auto"/>
            <w:vAlign w:val="bottom"/>
            <w:hideMark/>
          </w:tcPr>
          <w:p w14:paraId="1D605167"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hAnsi="Calibri"/>
                <w:color w:val="000000"/>
                <w:sz w:val="20"/>
                <w:szCs w:val="20"/>
              </w:rPr>
              <w:t>-1</w:t>
            </w:r>
          </w:p>
        </w:tc>
        <w:tc>
          <w:tcPr>
            <w:tcW w:w="760" w:type="dxa"/>
            <w:tcBorders>
              <w:top w:val="nil"/>
              <w:left w:val="nil"/>
              <w:bottom w:val="single" w:sz="4" w:space="0" w:color="auto"/>
              <w:right w:val="nil"/>
            </w:tcBorders>
            <w:shd w:val="clear" w:color="auto" w:fill="auto"/>
            <w:vAlign w:val="bottom"/>
            <w:hideMark/>
          </w:tcPr>
          <w:p w14:paraId="131F8B8D" w14:textId="77777777" w:rsidR="004B2DDE" w:rsidRPr="00F15230" w:rsidRDefault="004B2DDE" w:rsidP="004B2DD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15230">
              <w:rPr>
                <w:rFonts w:ascii="Calibri" w:eastAsia="Times New Roman" w:hAnsi="Calibri" w:cs="Times New Roman"/>
                <w:color w:val="000000"/>
                <w:sz w:val="20"/>
                <w:szCs w:val="20"/>
                <w:lang w:eastAsia="en-AU"/>
              </w:rPr>
              <w:t>0</w:t>
            </w:r>
          </w:p>
        </w:tc>
      </w:tr>
    </w:tbl>
    <w:p w14:paraId="28718ECE" w14:textId="77777777" w:rsidR="00820785" w:rsidRPr="00F15230" w:rsidRDefault="00820785" w:rsidP="004B2DDE">
      <w:pPr>
        <w:pStyle w:val="CGCTableFootnote"/>
        <w:keepNext/>
      </w:pPr>
      <w:r w:rsidRPr="00F15230">
        <w:t>(a)</w:t>
      </w:r>
      <w:r w:rsidRPr="00F15230">
        <w:tab/>
        <w:t>Assessment is based on bulk-billed GP benefits standardised by Indigenous status, remoteness, SES and age.</w:t>
      </w:r>
    </w:p>
    <w:p w14:paraId="27804BE8" w14:textId="77777777" w:rsidR="00820785" w:rsidRPr="00F15230" w:rsidRDefault="00820785" w:rsidP="004B2DDE">
      <w:pPr>
        <w:pStyle w:val="CGCTableFootnote"/>
        <w:keepNext/>
      </w:pPr>
      <w:r w:rsidRPr="00F15230">
        <w:t>(b)</w:t>
      </w:r>
      <w:r w:rsidRPr="00F15230">
        <w:tab/>
        <w:t>Estimate is based on State shares of actual bulk-billed GP benefits in each State.</w:t>
      </w:r>
    </w:p>
    <w:p w14:paraId="7FECB94D" w14:textId="77777777" w:rsidR="00820785" w:rsidRPr="00F15230" w:rsidRDefault="00820785" w:rsidP="004B2DDE">
      <w:pPr>
        <w:pStyle w:val="CGCTableFootnote"/>
        <w:keepNext/>
      </w:pPr>
      <w:r w:rsidRPr="00F15230">
        <w:t>(c)</w:t>
      </w:r>
      <w:r w:rsidRPr="00F15230">
        <w:tab/>
        <w:t>The difference between assessed and actual bulk-billed GP benefits.</w:t>
      </w:r>
    </w:p>
    <w:p w14:paraId="68D4C307" w14:textId="6F908754" w:rsidR="00DC0F02" w:rsidRPr="00F15230" w:rsidRDefault="00820785" w:rsidP="00840AAF">
      <w:pPr>
        <w:pStyle w:val="CGCTableFootnote"/>
        <w:keepNext/>
      </w:pPr>
      <w:r w:rsidRPr="00F15230">
        <w:t>Source:</w:t>
      </w:r>
      <w:r w:rsidRPr="00F15230">
        <w:tab/>
        <w:t>Commission calculation, 201</w:t>
      </w:r>
      <w:r w:rsidR="004B2DDE" w:rsidRPr="00F15230">
        <w:t>8</w:t>
      </w:r>
      <w:r w:rsidR="00656FED">
        <w:t xml:space="preserve"> </w:t>
      </w:r>
      <w:proofErr w:type="gramStart"/>
      <w:r w:rsidR="00656FED">
        <w:t>Update</w:t>
      </w:r>
      <w:bookmarkStart w:id="217" w:name="_Attachment_B_—"/>
      <w:bookmarkEnd w:id="180"/>
      <w:bookmarkEnd w:id="181"/>
      <w:bookmarkEnd w:id="182"/>
      <w:bookmarkEnd w:id="183"/>
      <w:bookmarkEnd w:id="184"/>
      <w:bookmarkEnd w:id="185"/>
      <w:bookmarkEnd w:id="200"/>
      <w:bookmarkEnd w:id="201"/>
      <w:bookmarkEnd w:id="217"/>
      <w:proofErr w:type="gramEnd"/>
      <w:r w:rsidR="009F1A0C">
        <w:t>.</w:t>
      </w:r>
    </w:p>
    <w:sectPr w:rsidR="00DC0F02" w:rsidRPr="00F15230" w:rsidSect="0004123E">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4F634" w14:textId="77777777" w:rsidR="00CE66A2" w:rsidRDefault="00CE66A2">
      <w:r>
        <w:separator/>
      </w:r>
    </w:p>
  </w:endnote>
  <w:endnote w:type="continuationSeparator" w:id="0">
    <w:p w14:paraId="26D37CCD" w14:textId="77777777" w:rsidR="00CE66A2" w:rsidRDefault="00CE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151F" w14:textId="77777777" w:rsidR="00CE66A2" w:rsidRPr="00875C0F" w:rsidRDefault="00CE66A2" w:rsidP="00F1523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3DDA1" w14:textId="13099291" w:rsidR="00CE66A2" w:rsidRPr="0011178C" w:rsidRDefault="00CE66A2" w:rsidP="003929D2">
    <w:pPr>
      <w:pStyle w:val="Footer"/>
      <w:jc w:val="right"/>
    </w:pPr>
  </w:p>
  <w:p w14:paraId="339A3E29" w14:textId="77777777" w:rsidR="00CE66A2" w:rsidRDefault="00CE66A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9E35F" w14:textId="77777777" w:rsidR="00CE66A2" w:rsidRPr="007E487F" w:rsidRDefault="00CE66A2" w:rsidP="00F15230">
    <w:pPr>
      <w:pStyle w:val="Footer"/>
      <w:tabs>
        <w:tab w:val="right" w:pos="8931"/>
      </w:tabs>
      <w:jc w:val="right"/>
      <w:rPr>
        <w:sz w:val="20"/>
        <w:szCs w:val="20"/>
      </w:rPr>
    </w:pPr>
  </w:p>
  <w:p w14:paraId="67748E3F" w14:textId="77777777" w:rsidR="00CE66A2" w:rsidRDefault="00CE66A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FC77E" w14:textId="5A2D32FA" w:rsidR="00CE66A2" w:rsidRPr="001E2A9C" w:rsidRDefault="00CE66A2" w:rsidP="005065EF">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9FADD" w14:textId="77777777" w:rsidR="00CE66A2" w:rsidRPr="0011178C" w:rsidRDefault="00CE66A2" w:rsidP="003929D2">
    <w:pPr>
      <w:pStyle w:val="Footer"/>
      <w:jc w:val="right"/>
    </w:pPr>
    <w:r>
      <w:fldChar w:fldCharType="begin"/>
    </w:r>
    <w:r>
      <w:instrText xml:space="preserve"> PAGE  \* Arabic  \* MERGEFORMAT </w:instrText>
    </w:r>
    <w:r>
      <w:fldChar w:fldCharType="separate"/>
    </w:r>
    <w:r w:rsidR="00CD3D12">
      <w:rPr>
        <w:noProof/>
      </w:rPr>
      <w:t>38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63967" w14:textId="02A993B1" w:rsidR="00CE66A2" w:rsidRPr="007E487F" w:rsidRDefault="00CE66A2"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CD3D12">
      <w:rPr>
        <w:noProof/>
      </w:rPr>
      <w:t>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04EA4" w14:textId="77777777" w:rsidR="00CE66A2" w:rsidRDefault="00CE66A2">
      <w:r>
        <w:separator/>
      </w:r>
    </w:p>
  </w:footnote>
  <w:footnote w:type="continuationSeparator" w:id="0">
    <w:p w14:paraId="36F74F08" w14:textId="77777777" w:rsidR="00CE66A2" w:rsidRDefault="00CE66A2">
      <w:r>
        <w:continuationSeparator/>
      </w:r>
    </w:p>
  </w:footnote>
  <w:footnote w:id="1">
    <w:p w14:paraId="415171AE" w14:textId="77777777" w:rsidR="00CE66A2" w:rsidRDefault="00CE66A2" w:rsidP="00CC59BE">
      <w:pPr>
        <w:pStyle w:val="FootnoteText"/>
      </w:pPr>
      <w:r>
        <w:rPr>
          <w:rStyle w:val="FootnoteReference"/>
        </w:rPr>
        <w:footnoteRef/>
      </w:r>
      <w:r>
        <w:t xml:space="preserve"> </w:t>
      </w:r>
      <w:r>
        <w:tab/>
        <w:t>In this paper, non-admitted patient services other than ED services are referred to as non</w:t>
      </w:r>
      <w:r>
        <w:noBreakHyphen/>
        <w:t>admitted patient (NAP) services.</w:t>
      </w:r>
    </w:p>
  </w:footnote>
  <w:footnote w:id="2">
    <w:p w14:paraId="6C82FBFF" w14:textId="77777777" w:rsidR="00CE66A2" w:rsidRDefault="00CE66A2">
      <w:pPr>
        <w:pStyle w:val="FootnoteText"/>
      </w:pPr>
      <w:r>
        <w:rPr>
          <w:rStyle w:val="FootnoteReference"/>
        </w:rPr>
        <w:footnoteRef/>
      </w:r>
      <w:r>
        <w:t xml:space="preserve"> </w:t>
      </w:r>
      <w:r>
        <w:tab/>
        <w:t>The non</w:t>
      </w:r>
      <w:r>
        <w:noBreakHyphen/>
        <w:t xml:space="preserve">hospital patient transport component includes </w:t>
      </w:r>
      <w:r w:rsidRPr="00343C0B">
        <w:t xml:space="preserve">aero-medical ambulance services and the reimbursement of costs through </w:t>
      </w:r>
      <w:r>
        <w:t>State-funded patient assisted travel schemes (PATS)</w:t>
      </w:r>
      <w:r w:rsidRPr="00343C0B">
        <w:t xml:space="preserve">. Land ambulance </w:t>
      </w:r>
      <w:r>
        <w:t xml:space="preserve">expenses </w:t>
      </w:r>
      <w:r w:rsidRPr="00343C0B">
        <w:t xml:space="preserve">are included in </w:t>
      </w:r>
      <w:r>
        <w:t xml:space="preserve">the admitted </w:t>
      </w:r>
      <w:proofErr w:type="gramStart"/>
      <w:r>
        <w:t>patients</w:t>
      </w:r>
      <w:proofErr w:type="gramEnd"/>
      <w:r>
        <w:t xml:space="preserve"> component because the Commission considers that the disabilities that influence these expenses are similar to the disabilities that influence hospital based services.</w:t>
      </w:r>
    </w:p>
  </w:footnote>
  <w:footnote w:id="3">
    <w:p w14:paraId="3D9D9075" w14:textId="4F1E6F88" w:rsidR="00CE66A2" w:rsidRDefault="00CE66A2">
      <w:pPr>
        <w:pStyle w:val="FootnoteText"/>
      </w:pPr>
      <w:r>
        <w:rPr>
          <w:rStyle w:val="FootnoteReference"/>
        </w:rPr>
        <w:footnoteRef/>
      </w:r>
      <w:r>
        <w:t xml:space="preserve"> </w:t>
      </w:r>
      <w:r>
        <w:tab/>
        <w:t>Hereafter referred to as ‘State</w:t>
      </w:r>
      <w:r>
        <w:noBreakHyphen/>
        <w:t>like services’.</w:t>
      </w:r>
    </w:p>
  </w:footnote>
  <w:footnote w:id="4">
    <w:p w14:paraId="780A5307" w14:textId="77777777" w:rsidR="00CE66A2" w:rsidRDefault="00CE66A2">
      <w:pPr>
        <w:pStyle w:val="FootnoteText"/>
      </w:pPr>
      <w:r>
        <w:rPr>
          <w:rStyle w:val="FootnoteReference"/>
        </w:rPr>
        <w:footnoteRef/>
      </w:r>
      <w:r>
        <w:t xml:space="preserve"> </w:t>
      </w:r>
      <w:r>
        <w:tab/>
        <w:t>Regional costs are picked up in the SDC disability.</w:t>
      </w:r>
    </w:p>
  </w:footnote>
  <w:footnote w:id="5">
    <w:p w14:paraId="3F203B3D" w14:textId="7F73FE0A" w:rsidR="00CE66A2" w:rsidRDefault="00CE66A2" w:rsidP="003E3C67">
      <w:pPr>
        <w:pStyle w:val="FootnoteText"/>
      </w:pPr>
      <w:r>
        <w:rPr>
          <w:rStyle w:val="FootnoteReference"/>
        </w:rPr>
        <w:footnoteRef/>
      </w:r>
      <w:r>
        <w:t xml:space="preserve"> </w:t>
      </w:r>
      <w:r>
        <w:tab/>
        <w:t>Cross-border hospital costs are addressed through a bilateral arrangement between New South Wales and the ACT, and a cross-border adjustment to the Commonwealth contribution to State hospital expenses through National Health Reform funding.</w:t>
      </w:r>
    </w:p>
  </w:footnote>
  <w:footnote w:id="6">
    <w:p w14:paraId="09C7FF01" w14:textId="5DBD067F" w:rsidR="00CE66A2" w:rsidRDefault="00CE66A2">
      <w:pPr>
        <w:pStyle w:val="FootnoteText"/>
      </w:pPr>
      <w:r>
        <w:rPr>
          <w:rStyle w:val="FootnoteReference"/>
        </w:rPr>
        <w:footnoteRef/>
      </w:r>
      <w:r>
        <w:t xml:space="preserve"> </w:t>
      </w:r>
      <w:r>
        <w:tab/>
      </w:r>
      <w:proofErr w:type="gramStart"/>
      <w:r>
        <w:t>Also referred to as substitutable services.</w:t>
      </w:r>
      <w:proofErr w:type="gramEnd"/>
    </w:p>
  </w:footnote>
  <w:footnote w:id="7">
    <w:p w14:paraId="29F84589" w14:textId="77777777" w:rsidR="00CE66A2" w:rsidRDefault="00CE66A2" w:rsidP="00C84C9D">
      <w:pPr>
        <w:pStyle w:val="FootnoteText"/>
      </w:pPr>
      <w:r>
        <w:rPr>
          <w:rStyle w:val="FootnoteReference"/>
        </w:rPr>
        <w:footnoteRef/>
      </w:r>
      <w:r>
        <w:t xml:space="preserve"> </w:t>
      </w:r>
      <w:r>
        <w:tab/>
        <w:t>Hereafter referred to simply as ‘community health services’.</w:t>
      </w:r>
    </w:p>
  </w:footnote>
  <w:footnote w:id="8">
    <w:p w14:paraId="34906CC4" w14:textId="77777777" w:rsidR="00CE66A2" w:rsidRDefault="00CE66A2" w:rsidP="00C84C9D">
      <w:pPr>
        <w:pStyle w:val="FootnoteText"/>
      </w:pPr>
      <w:r>
        <w:rPr>
          <w:rStyle w:val="FootnoteReference"/>
        </w:rPr>
        <w:footnoteRef/>
      </w:r>
      <w:r>
        <w:t xml:space="preserve"> </w:t>
      </w:r>
      <w:r>
        <w:tab/>
        <w:t>The cost weighted use rates are calculated by dividing the share of costs for each population groups by the share of population in each group.</w:t>
      </w:r>
    </w:p>
  </w:footnote>
  <w:footnote w:id="9">
    <w:p w14:paraId="038E3C5F" w14:textId="33C083FF" w:rsidR="00CE66A2" w:rsidRDefault="00CE66A2" w:rsidP="00B53B5A">
      <w:pPr>
        <w:pStyle w:val="FootnoteText"/>
      </w:pPr>
      <w:r>
        <w:rPr>
          <w:rStyle w:val="FootnoteReference"/>
        </w:rPr>
        <w:footnoteRef/>
      </w:r>
      <w:r>
        <w:t xml:space="preserve"> </w:t>
      </w:r>
      <w:r>
        <w:tab/>
        <w:t>There are different types of funding arrangements for different types of hospitals. The majority of hospital services are provided by large activity based funding (ABF) hospitals. There are almost 400 small, mostly regional hospitals, which receive block funding. Funding for ABF hospitals is based on the NEP and funding for block funded hospitals is based on the NEC.</w:t>
      </w:r>
    </w:p>
  </w:footnote>
  <w:footnote w:id="10">
    <w:p w14:paraId="4198E2C9" w14:textId="4C50796D" w:rsidR="00CE66A2" w:rsidRDefault="00CE66A2" w:rsidP="00882EA8">
      <w:pPr>
        <w:pStyle w:val="FootnoteText"/>
      </w:pPr>
      <w:r>
        <w:rPr>
          <w:rStyle w:val="FootnoteReference"/>
        </w:rPr>
        <w:footnoteRef/>
      </w:r>
      <w:r>
        <w:tab/>
      </w:r>
      <w:r w:rsidRPr="00D71942">
        <w:rPr>
          <w:i/>
        </w:rPr>
        <w:t>National Health Reform Agreement</w:t>
      </w:r>
      <w:r>
        <w:t>, clause B13.</w:t>
      </w:r>
    </w:p>
  </w:footnote>
  <w:footnote w:id="11">
    <w:p w14:paraId="634475E2" w14:textId="77777777" w:rsidR="00CE66A2" w:rsidRDefault="00CE66A2" w:rsidP="00882EA8">
      <w:pPr>
        <w:pStyle w:val="FootnoteText"/>
      </w:pPr>
      <w:r>
        <w:rPr>
          <w:rStyle w:val="FootnoteReference"/>
        </w:rPr>
        <w:footnoteRef/>
      </w:r>
      <w:r>
        <w:t xml:space="preserve"> </w:t>
      </w:r>
      <w:r>
        <w:tab/>
        <w:t>Note there are two separate loadings or adjustments for admitted patients. One relates to hospital remoteness and the other to patient remoteness.</w:t>
      </w:r>
    </w:p>
  </w:footnote>
  <w:footnote w:id="12">
    <w:p w14:paraId="6EDB7BFE" w14:textId="5F9C7A20" w:rsidR="00CE66A2" w:rsidRDefault="00CE66A2" w:rsidP="00882EA8">
      <w:pPr>
        <w:pStyle w:val="FootnoteText"/>
      </w:pPr>
      <w:r>
        <w:rPr>
          <w:rStyle w:val="FootnoteReference"/>
        </w:rPr>
        <w:footnoteRef/>
      </w:r>
      <w:r>
        <w:t xml:space="preserve"> </w:t>
      </w:r>
      <w:r>
        <w:tab/>
        <w:t xml:space="preserve">See analysis in </w:t>
      </w:r>
      <w:r w:rsidRPr="00404A23">
        <w:rPr>
          <w:i/>
        </w:rPr>
        <w:t>Report on GST Revenue Sharing Relativities, 2015 Review, Volume 2</w:t>
      </w:r>
      <w:r>
        <w:t>, pp.179</w:t>
      </w:r>
      <w:r>
        <w:noBreakHyphen/>
        <w:t>180.</w:t>
      </w:r>
    </w:p>
  </w:footnote>
  <w:footnote w:id="13">
    <w:p w14:paraId="53ED6F04" w14:textId="26F28D96" w:rsidR="00CE66A2" w:rsidRDefault="00CE66A2" w:rsidP="00F46D67">
      <w:pPr>
        <w:pStyle w:val="FootnoteText"/>
      </w:pPr>
      <w:r>
        <w:rPr>
          <w:rStyle w:val="FootnoteReference"/>
        </w:rPr>
        <w:footnoteRef/>
      </w:r>
      <w:r>
        <w:t xml:space="preserve"> </w:t>
      </w:r>
      <w:r>
        <w:tab/>
      </w:r>
      <w:proofErr w:type="gramStart"/>
      <w:r>
        <w:t>APRA, 2016.</w:t>
      </w:r>
      <w:proofErr w:type="gramEnd"/>
      <w:r>
        <w:t xml:space="preserve"> </w:t>
      </w:r>
      <w:r w:rsidRPr="000F2912">
        <w:rPr>
          <w:i/>
        </w:rPr>
        <w:t>Privately insured people with hospital treatment cover annual analysis by sex, age and States</w:t>
      </w:r>
      <w:r>
        <w:t xml:space="preserve">. </w:t>
      </w:r>
    </w:p>
  </w:footnote>
  <w:footnote w:id="14">
    <w:p w14:paraId="070F5D64" w14:textId="3C82B430" w:rsidR="00CE66A2" w:rsidRDefault="00CE66A2" w:rsidP="008304AB">
      <w:pPr>
        <w:pStyle w:val="FootnoteText"/>
      </w:pPr>
      <w:r>
        <w:rPr>
          <w:rStyle w:val="FootnoteReference"/>
        </w:rPr>
        <w:footnoteRef/>
      </w:r>
      <w:r>
        <w:t xml:space="preserve"> </w:t>
      </w:r>
      <w:r>
        <w:tab/>
      </w:r>
      <w:proofErr w:type="gramStart"/>
      <w:r>
        <w:t>AIHW, 2017.</w:t>
      </w:r>
      <w:proofErr w:type="gramEnd"/>
      <w:r>
        <w:t xml:space="preserve"> </w:t>
      </w:r>
      <w:proofErr w:type="gramStart"/>
      <w:r w:rsidRPr="000F2912">
        <w:rPr>
          <w:i/>
        </w:rPr>
        <w:t>Admitted patient care 2016</w:t>
      </w:r>
      <w:r w:rsidRPr="000F2912">
        <w:rPr>
          <w:i/>
        </w:rPr>
        <w:noBreakHyphen/>
        <w:t>17: Australian hospital statistics</w:t>
      </w:r>
      <w:r>
        <w:t>.</w:t>
      </w:r>
      <w:proofErr w:type="gramEnd"/>
      <w:r>
        <w:t xml:space="preserve"> </w:t>
      </w:r>
    </w:p>
    <w:p w14:paraId="3E02EF51" w14:textId="2ABF46E4" w:rsidR="00CE66A2" w:rsidRDefault="00CE66A2">
      <w:pPr>
        <w:pStyle w:val="FootnoteText"/>
      </w:pPr>
    </w:p>
  </w:footnote>
  <w:footnote w:id="15">
    <w:p w14:paraId="6980D471" w14:textId="4349F5FE" w:rsidR="00CE66A2" w:rsidRDefault="00CE66A2" w:rsidP="001D5447">
      <w:pPr>
        <w:pStyle w:val="FootnoteText"/>
      </w:pPr>
      <w:r>
        <w:rPr>
          <w:rStyle w:val="FootnoteReference"/>
        </w:rPr>
        <w:footnoteRef/>
      </w:r>
      <w:r>
        <w:t xml:space="preserve"> </w:t>
      </w:r>
      <w:r>
        <w:tab/>
      </w:r>
      <w:proofErr w:type="gramStart"/>
      <w:r>
        <w:t>AIHW, 2017.</w:t>
      </w:r>
      <w:proofErr w:type="gramEnd"/>
      <w:r>
        <w:t xml:space="preserve"> </w:t>
      </w:r>
      <w:r w:rsidRPr="000934D3">
        <w:rPr>
          <w:i/>
        </w:rPr>
        <w:t>Emergency department care 2016</w:t>
      </w:r>
      <w:r w:rsidRPr="000934D3">
        <w:rPr>
          <w:i/>
        </w:rPr>
        <w:noBreakHyphen/>
        <w:t>17: Australian hospital statistics</w:t>
      </w:r>
      <w:r>
        <w:t xml:space="preserve">. </w:t>
      </w:r>
    </w:p>
  </w:footnote>
  <w:footnote w:id="16">
    <w:p w14:paraId="0E62DA75" w14:textId="54D7E738" w:rsidR="00CE66A2" w:rsidRDefault="00CE66A2" w:rsidP="001D5447">
      <w:pPr>
        <w:pStyle w:val="FootnoteText"/>
      </w:pPr>
      <w:r>
        <w:rPr>
          <w:rStyle w:val="FootnoteReference"/>
        </w:rPr>
        <w:footnoteRef/>
      </w:r>
      <w:r>
        <w:t xml:space="preserve"> </w:t>
      </w:r>
      <w:r>
        <w:tab/>
      </w:r>
      <w:proofErr w:type="spellStart"/>
      <w:proofErr w:type="gramStart"/>
      <w:r>
        <w:t>ACEM</w:t>
      </w:r>
      <w:proofErr w:type="spellEnd"/>
      <w:r>
        <w:t>, 2016.</w:t>
      </w:r>
      <w:proofErr w:type="gramEnd"/>
      <w:r>
        <w:t xml:space="preserve"> </w:t>
      </w:r>
      <w:proofErr w:type="gramStart"/>
      <w:r w:rsidRPr="000934D3">
        <w:rPr>
          <w:i/>
        </w:rPr>
        <w:t>Guidelines on the implementation of the Australasian Triage Scale in emergency departments</w:t>
      </w:r>
      <w:r>
        <w:t>.</w:t>
      </w:r>
      <w:proofErr w:type="gramEnd"/>
      <w:r>
        <w:t xml:space="preserve"> </w:t>
      </w:r>
    </w:p>
  </w:footnote>
  <w:footnote w:id="17">
    <w:p w14:paraId="7C6CD33B" w14:textId="04C9A627" w:rsidR="00CE66A2" w:rsidRDefault="00CE66A2" w:rsidP="00F46D67">
      <w:pPr>
        <w:pStyle w:val="FootnoteText"/>
      </w:pPr>
      <w:r>
        <w:rPr>
          <w:rStyle w:val="FootnoteReference"/>
        </w:rPr>
        <w:footnoteRef/>
      </w:r>
      <w:r>
        <w:t xml:space="preserve"> </w:t>
      </w:r>
      <w:r>
        <w:tab/>
        <w:t xml:space="preserve">Department of Health, </w:t>
      </w:r>
      <w:hyperlink r:id="rId1" w:history="1">
        <w:r w:rsidRPr="009A5FF1">
          <w:rPr>
            <w:rStyle w:val="Hyperlink"/>
          </w:rPr>
          <w:t>Annual Medicare Statistics</w:t>
        </w:r>
      </w:hyperlink>
      <w:r>
        <w:t>, accessed March 2018.</w:t>
      </w:r>
    </w:p>
  </w:footnote>
  <w:footnote w:id="18">
    <w:p w14:paraId="3FDC087E" w14:textId="77777777" w:rsidR="00CE66A2" w:rsidRDefault="00CE66A2" w:rsidP="00762A42">
      <w:pPr>
        <w:pStyle w:val="FootnoteText"/>
      </w:pPr>
      <w:r>
        <w:rPr>
          <w:rStyle w:val="FootnoteReference"/>
        </w:rPr>
        <w:footnoteRef/>
      </w:r>
      <w:r>
        <w:t xml:space="preserve"> </w:t>
      </w:r>
      <w:r>
        <w:tab/>
        <w:t>Costs include the opportunity cost of capital.</w:t>
      </w:r>
    </w:p>
  </w:footnote>
  <w:footnote w:id="19">
    <w:p w14:paraId="25BE4A65" w14:textId="62382209" w:rsidR="00CE66A2" w:rsidRDefault="00CE66A2" w:rsidP="00DF4425">
      <w:pPr>
        <w:pStyle w:val="FootnoteText"/>
      </w:pPr>
      <w:r>
        <w:rPr>
          <w:rStyle w:val="FootnoteReference"/>
        </w:rPr>
        <w:footnoteRef/>
      </w:r>
      <w:r>
        <w:t xml:space="preserve"> </w:t>
      </w:r>
      <w:r>
        <w:tab/>
        <w:t>The CALD disability is discussed in the 2015 Review Report, volume 2, pp. 547</w:t>
      </w:r>
      <w:r>
        <w:noBreakHyphen/>
        <w:t>550.</w:t>
      </w:r>
    </w:p>
  </w:footnote>
  <w:footnote w:id="20">
    <w:p w14:paraId="1038D265" w14:textId="6EAA7144" w:rsidR="00CE66A2" w:rsidRDefault="00CE66A2" w:rsidP="00DF4425">
      <w:pPr>
        <w:pStyle w:val="FootnoteText"/>
      </w:pPr>
      <w:r>
        <w:rPr>
          <w:rStyle w:val="FootnoteReference"/>
        </w:rPr>
        <w:footnoteRef/>
      </w:r>
      <w:r>
        <w:t xml:space="preserve"> </w:t>
      </w:r>
      <w:r>
        <w:tab/>
      </w:r>
      <w:proofErr w:type="gramStart"/>
      <w:r>
        <w:t>IHPA, 2015.</w:t>
      </w:r>
      <w:proofErr w:type="gramEnd"/>
      <w:r>
        <w:t xml:space="preserve"> </w:t>
      </w:r>
      <w:r w:rsidRPr="00253881">
        <w:rPr>
          <w:i/>
        </w:rPr>
        <w:t>Culturally and Linguistically Diverse (CALD) Patient Costing Study Report</w:t>
      </w:r>
    </w:p>
  </w:footnote>
  <w:footnote w:id="21">
    <w:p w14:paraId="36671987" w14:textId="77777777" w:rsidR="00CE66A2" w:rsidRDefault="00CE66A2" w:rsidP="00804E37">
      <w:pPr>
        <w:pStyle w:val="FootnoteText"/>
      </w:pPr>
      <w:r>
        <w:rPr>
          <w:rStyle w:val="FootnoteReference"/>
        </w:rPr>
        <w:footnoteRef/>
      </w:r>
      <w:r>
        <w:t xml:space="preserve"> </w:t>
      </w:r>
      <w:r>
        <w:tab/>
        <w:t>The non-State sector refers to all service providers other than State governments and includes the private sector, other levels of government and the not-for-profit sector.</w:t>
      </w:r>
    </w:p>
  </w:footnote>
  <w:footnote w:id="22">
    <w:p w14:paraId="2C4B1846" w14:textId="77777777" w:rsidR="00CE66A2" w:rsidRDefault="00CE66A2" w:rsidP="00804E37">
      <w:pPr>
        <w:pStyle w:val="FootnoteText"/>
      </w:pPr>
      <w:r>
        <w:rPr>
          <w:rStyle w:val="FootnoteReference"/>
        </w:rPr>
        <w:footnoteRef/>
      </w:r>
      <w:r>
        <w:t xml:space="preserve"> </w:t>
      </w:r>
      <w:r>
        <w:tab/>
      </w:r>
      <w:r w:rsidRPr="00B6526D">
        <w:t>Professor James Butler, Director of the Australian Centre for Economic Research on Health</w:t>
      </w:r>
      <w:r>
        <w:t>.</w:t>
      </w:r>
    </w:p>
  </w:footnote>
  <w:footnote w:id="23">
    <w:p w14:paraId="57EF132A" w14:textId="77777777" w:rsidR="00CE66A2" w:rsidRDefault="00CE66A2" w:rsidP="00804E37">
      <w:pPr>
        <w:pStyle w:val="FootnoteText"/>
      </w:pPr>
      <w:r>
        <w:rPr>
          <w:rStyle w:val="FootnoteReference"/>
        </w:rPr>
        <w:footnoteRef/>
      </w:r>
      <w:r>
        <w:t xml:space="preserve"> </w:t>
      </w:r>
      <w:r>
        <w:tab/>
        <w:t xml:space="preserve">For example, see </w:t>
      </w:r>
      <w:r w:rsidRPr="00734EC9">
        <w:rPr>
          <w:i/>
        </w:rPr>
        <w:t>Report on GST Revenue Sharing Relativities — 2010 Review, Volume 2</w:t>
      </w:r>
      <w:r>
        <w:t>, pp. 238</w:t>
      </w:r>
      <w:r>
        <w:noBreakHyphen/>
        <w:t>244.</w:t>
      </w:r>
    </w:p>
  </w:footnote>
  <w:footnote w:id="24">
    <w:p w14:paraId="6EEC2E07" w14:textId="77777777" w:rsidR="00CE66A2" w:rsidRDefault="00CE66A2" w:rsidP="00820785">
      <w:pPr>
        <w:pStyle w:val="FootnoteText"/>
      </w:pPr>
      <w:r>
        <w:rPr>
          <w:rStyle w:val="FootnoteReference"/>
        </w:rPr>
        <w:footnoteRef/>
      </w:r>
      <w:r>
        <w:t xml:space="preserve"> </w:t>
      </w:r>
      <w:r>
        <w:tab/>
        <w:t>These grants were formerly Indigenous and Rural Health Division (</w:t>
      </w:r>
      <w:proofErr w:type="spellStart"/>
      <w:r>
        <w:t>IRHD</w:t>
      </w:r>
      <w:proofErr w:type="spellEnd"/>
      <w:r>
        <w:t>) grants.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A9CF1" w14:textId="77777777" w:rsidR="00CE66A2" w:rsidRDefault="00CE6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9A"/>
    <w:rsid w:val="00002D9A"/>
    <w:rsid w:val="000057EB"/>
    <w:rsid w:val="000075E2"/>
    <w:rsid w:val="000144FB"/>
    <w:rsid w:val="00014996"/>
    <w:rsid w:val="00016FE0"/>
    <w:rsid w:val="000204ED"/>
    <w:rsid w:val="0002116B"/>
    <w:rsid w:val="00021C79"/>
    <w:rsid w:val="00021FEC"/>
    <w:rsid w:val="00022EA9"/>
    <w:rsid w:val="00024745"/>
    <w:rsid w:val="00032F41"/>
    <w:rsid w:val="0003403E"/>
    <w:rsid w:val="00035235"/>
    <w:rsid w:val="0004123E"/>
    <w:rsid w:val="00041748"/>
    <w:rsid w:val="00041E84"/>
    <w:rsid w:val="000424EA"/>
    <w:rsid w:val="0004267B"/>
    <w:rsid w:val="000509E7"/>
    <w:rsid w:val="00056373"/>
    <w:rsid w:val="00057274"/>
    <w:rsid w:val="000608B2"/>
    <w:rsid w:val="00061111"/>
    <w:rsid w:val="00061CF5"/>
    <w:rsid w:val="000624BB"/>
    <w:rsid w:val="000648E8"/>
    <w:rsid w:val="00064C6F"/>
    <w:rsid w:val="000701AE"/>
    <w:rsid w:val="00073C8C"/>
    <w:rsid w:val="000753D4"/>
    <w:rsid w:val="00077088"/>
    <w:rsid w:val="00092749"/>
    <w:rsid w:val="000930EE"/>
    <w:rsid w:val="000934D3"/>
    <w:rsid w:val="00093796"/>
    <w:rsid w:val="000942DD"/>
    <w:rsid w:val="000A3898"/>
    <w:rsid w:val="000A52A1"/>
    <w:rsid w:val="000B2643"/>
    <w:rsid w:val="000B2942"/>
    <w:rsid w:val="000B3557"/>
    <w:rsid w:val="000B64E3"/>
    <w:rsid w:val="000B75A7"/>
    <w:rsid w:val="000C08F3"/>
    <w:rsid w:val="000C5BF1"/>
    <w:rsid w:val="000C5CBD"/>
    <w:rsid w:val="000D1354"/>
    <w:rsid w:val="000D3CD5"/>
    <w:rsid w:val="000D3DA5"/>
    <w:rsid w:val="000D4B71"/>
    <w:rsid w:val="000D77F6"/>
    <w:rsid w:val="000D7C54"/>
    <w:rsid w:val="000E0210"/>
    <w:rsid w:val="000E6AA5"/>
    <w:rsid w:val="000E7F56"/>
    <w:rsid w:val="000F10E5"/>
    <w:rsid w:val="000F1860"/>
    <w:rsid w:val="000F1CDA"/>
    <w:rsid w:val="000F2912"/>
    <w:rsid w:val="000F5712"/>
    <w:rsid w:val="001011C5"/>
    <w:rsid w:val="001039C2"/>
    <w:rsid w:val="001040AD"/>
    <w:rsid w:val="0010529C"/>
    <w:rsid w:val="00105485"/>
    <w:rsid w:val="0011178C"/>
    <w:rsid w:val="00112CE7"/>
    <w:rsid w:val="00112CF0"/>
    <w:rsid w:val="00112D6D"/>
    <w:rsid w:val="00113D15"/>
    <w:rsid w:val="001211AB"/>
    <w:rsid w:val="001218B8"/>
    <w:rsid w:val="00122374"/>
    <w:rsid w:val="00124ED1"/>
    <w:rsid w:val="001360DB"/>
    <w:rsid w:val="00136497"/>
    <w:rsid w:val="00140483"/>
    <w:rsid w:val="00141BD1"/>
    <w:rsid w:val="00143D95"/>
    <w:rsid w:val="001441DA"/>
    <w:rsid w:val="001460AB"/>
    <w:rsid w:val="00147115"/>
    <w:rsid w:val="001477CE"/>
    <w:rsid w:val="0015615A"/>
    <w:rsid w:val="00162A3B"/>
    <w:rsid w:val="0016723A"/>
    <w:rsid w:val="00170DC9"/>
    <w:rsid w:val="00171A05"/>
    <w:rsid w:val="00172F3A"/>
    <w:rsid w:val="001730FD"/>
    <w:rsid w:val="00173798"/>
    <w:rsid w:val="00173BE6"/>
    <w:rsid w:val="00173D48"/>
    <w:rsid w:val="00173E72"/>
    <w:rsid w:val="00175A9C"/>
    <w:rsid w:val="001807C0"/>
    <w:rsid w:val="001811DE"/>
    <w:rsid w:val="001821AE"/>
    <w:rsid w:val="00183852"/>
    <w:rsid w:val="00184EEE"/>
    <w:rsid w:val="00187145"/>
    <w:rsid w:val="0019242A"/>
    <w:rsid w:val="00193614"/>
    <w:rsid w:val="00197614"/>
    <w:rsid w:val="001A4336"/>
    <w:rsid w:val="001A5124"/>
    <w:rsid w:val="001A77E1"/>
    <w:rsid w:val="001B0110"/>
    <w:rsid w:val="001B3048"/>
    <w:rsid w:val="001B623D"/>
    <w:rsid w:val="001B696E"/>
    <w:rsid w:val="001B6A56"/>
    <w:rsid w:val="001C469B"/>
    <w:rsid w:val="001C6A71"/>
    <w:rsid w:val="001C7919"/>
    <w:rsid w:val="001D2B5D"/>
    <w:rsid w:val="001D5447"/>
    <w:rsid w:val="001D638B"/>
    <w:rsid w:val="001D6DFA"/>
    <w:rsid w:val="001E6180"/>
    <w:rsid w:val="001E674B"/>
    <w:rsid w:val="001E68FC"/>
    <w:rsid w:val="001E72B6"/>
    <w:rsid w:val="001F4F5A"/>
    <w:rsid w:val="001F55DB"/>
    <w:rsid w:val="00200750"/>
    <w:rsid w:val="00204026"/>
    <w:rsid w:val="002067AF"/>
    <w:rsid w:val="00212948"/>
    <w:rsid w:val="00212C5B"/>
    <w:rsid w:val="00217839"/>
    <w:rsid w:val="002208B1"/>
    <w:rsid w:val="00224CCA"/>
    <w:rsid w:val="00225A3B"/>
    <w:rsid w:val="002263ED"/>
    <w:rsid w:val="002303AA"/>
    <w:rsid w:val="0023081D"/>
    <w:rsid w:val="0023329C"/>
    <w:rsid w:val="002359E2"/>
    <w:rsid w:val="00236DC0"/>
    <w:rsid w:val="002373A2"/>
    <w:rsid w:val="00242517"/>
    <w:rsid w:val="0024260B"/>
    <w:rsid w:val="0024355A"/>
    <w:rsid w:val="0024401F"/>
    <w:rsid w:val="00244F07"/>
    <w:rsid w:val="0024569B"/>
    <w:rsid w:val="0024668E"/>
    <w:rsid w:val="00253881"/>
    <w:rsid w:val="00255B5A"/>
    <w:rsid w:val="00260734"/>
    <w:rsid w:val="00261327"/>
    <w:rsid w:val="00263D81"/>
    <w:rsid w:val="00265D7F"/>
    <w:rsid w:val="0026634F"/>
    <w:rsid w:val="002671A2"/>
    <w:rsid w:val="00267496"/>
    <w:rsid w:val="00275B68"/>
    <w:rsid w:val="00277090"/>
    <w:rsid w:val="00282003"/>
    <w:rsid w:val="002845EA"/>
    <w:rsid w:val="00286EBE"/>
    <w:rsid w:val="002874B6"/>
    <w:rsid w:val="00294E8A"/>
    <w:rsid w:val="00295B70"/>
    <w:rsid w:val="002A0BBB"/>
    <w:rsid w:val="002A1A9F"/>
    <w:rsid w:val="002A2A08"/>
    <w:rsid w:val="002A2D93"/>
    <w:rsid w:val="002A4E42"/>
    <w:rsid w:val="002A77C3"/>
    <w:rsid w:val="002B04C0"/>
    <w:rsid w:val="002B10B0"/>
    <w:rsid w:val="002B11F5"/>
    <w:rsid w:val="002B14CC"/>
    <w:rsid w:val="002B169C"/>
    <w:rsid w:val="002B28E7"/>
    <w:rsid w:val="002B4195"/>
    <w:rsid w:val="002B432A"/>
    <w:rsid w:val="002B51B5"/>
    <w:rsid w:val="002B5A40"/>
    <w:rsid w:val="002B6EFD"/>
    <w:rsid w:val="002B6F33"/>
    <w:rsid w:val="002B79F0"/>
    <w:rsid w:val="002B7F3E"/>
    <w:rsid w:val="002C0C8A"/>
    <w:rsid w:val="002C1D9C"/>
    <w:rsid w:val="002C366F"/>
    <w:rsid w:val="002C4CA9"/>
    <w:rsid w:val="002D2270"/>
    <w:rsid w:val="002E25A8"/>
    <w:rsid w:val="002F04CA"/>
    <w:rsid w:val="002F04DE"/>
    <w:rsid w:val="002F0CC2"/>
    <w:rsid w:val="002F1CD3"/>
    <w:rsid w:val="002F51BD"/>
    <w:rsid w:val="002F6E28"/>
    <w:rsid w:val="002F764B"/>
    <w:rsid w:val="002F7E68"/>
    <w:rsid w:val="00300E10"/>
    <w:rsid w:val="00302E5E"/>
    <w:rsid w:val="00303669"/>
    <w:rsid w:val="00306C3A"/>
    <w:rsid w:val="00307DEF"/>
    <w:rsid w:val="00311D33"/>
    <w:rsid w:val="00313664"/>
    <w:rsid w:val="00314F90"/>
    <w:rsid w:val="00320C3B"/>
    <w:rsid w:val="00330A39"/>
    <w:rsid w:val="0033102E"/>
    <w:rsid w:val="00331401"/>
    <w:rsid w:val="00333234"/>
    <w:rsid w:val="00335ED1"/>
    <w:rsid w:val="00337EF8"/>
    <w:rsid w:val="00342A60"/>
    <w:rsid w:val="0034379D"/>
    <w:rsid w:val="0034646D"/>
    <w:rsid w:val="00347BE5"/>
    <w:rsid w:val="003521C6"/>
    <w:rsid w:val="00352205"/>
    <w:rsid w:val="003522E0"/>
    <w:rsid w:val="0035267F"/>
    <w:rsid w:val="00353D28"/>
    <w:rsid w:val="0035580D"/>
    <w:rsid w:val="003639FB"/>
    <w:rsid w:val="00363BF7"/>
    <w:rsid w:val="00367B3E"/>
    <w:rsid w:val="0037571B"/>
    <w:rsid w:val="003808D4"/>
    <w:rsid w:val="0038126E"/>
    <w:rsid w:val="00382663"/>
    <w:rsid w:val="00382AE5"/>
    <w:rsid w:val="003861AC"/>
    <w:rsid w:val="003929D2"/>
    <w:rsid w:val="00393E3E"/>
    <w:rsid w:val="00393FA5"/>
    <w:rsid w:val="00394D82"/>
    <w:rsid w:val="003A27BB"/>
    <w:rsid w:val="003A33A2"/>
    <w:rsid w:val="003A42F7"/>
    <w:rsid w:val="003B3234"/>
    <w:rsid w:val="003B34C3"/>
    <w:rsid w:val="003B61D4"/>
    <w:rsid w:val="003B673D"/>
    <w:rsid w:val="003B6C3B"/>
    <w:rsid w:val="003C2577"/>
    <w:rsid w:val="003C2FF5"/>
    <w:rsid w:val="003C4448"/>
    <w:rsid w:val="003C4CB7"/>
    <w:rsid w:val="003C5470"/>
    <w:rsid w:val="003D22D2"/>
    <w:rsid w:val="003D3D91"/>
    <w:rsid w:val="003D4708"/>
    <w:rsid w:val="003D477A"/>
    <w:rsid w:val="003D5600"/>
    <w:rsid w:val="003E0AF8"/>
    <w:rsid w:val="003E1B81"/>
    <w:rsid w:val="003E3C67"/>
    <w:rsid w:val="003E479C"/>
    <w:rsid w:val="003E6615"/>
    <w:rsid w:val="003E79F9"/>
    <w:rsid w:val="003F12E9"/>
    <w:rsid w:val="003F15FB"/>
    <w:rsid w:val="003F4274"/>
    <w:rsid w:val="003F59F4"/>
    <w:rsid w:val="003F722A"/>
    <w:rsid w:val="00401D84"/>
    <w:rsid w:val="004026C3"/>
    <w:rsid w:val="00404A9E"/>
    <w:rsid w:val="00404DCD"/>
    <w:rsid w:val="004077D6"/>
    <w:rsid w:val="004121E7"/>
    <w:rsid w:val="00414E51"/>
    <w:rsid w:val="00420F04"/>
    <w:rsid w:val="0042113B"/>
    <w:rsid w:val="00421445"/>
    <w:rsid w:val="00423099"/>
    <w:rsid w:val="00424E79"/>
    <w:rsid w:val="0042661C"/>
    <w:rsid w:val="004274B3"/>
    <w:rsid w:val="00430349"/>
    <w:rsid w:val="004315BD"/>
    <w:rsid w:val="00431C83"/>
    <w:rsid w:val="00443EC1"/>
    <w:rsid w:val="0044431E"/>
    <w:rsid w:val="004469E5"/>
    <w:rsid w:val="00450481"/>
    <w:rsid w:val="00453264"/>
    <w:rsid w:val="004535BB"/>
    <w:rsid w:val="00462B54"/>
    <w:rsid w:val="00463064"/>
    <w:rsid w:val="00472461"/>
    <w:rsid w:val="0047450F"/>
    <w:rsid w:val="004809B8"/>
    <w:rsid w:val="004821B9"/>
    <w:rsid w:val="00483142"/>
    <w:rsid w:val="00490C8D"/>
    <w:rsid w:val="00491B63"/>
    <w:rsid w:val="00491BC7"/>
    <w:rsid w:val="00491D88"/>
    <w:rsid w:val="0049605C"/>
    <w:rsid w:val="004965F7"/>
    <w:rsid w:val="004A0BC1"/>
    <w:rsid w:val="004A5A21"/>
    <w:rsid w:val="004A7048"/>
    <w:rsid w:val="004B0A0A"/>
    <w:rsid w:val="004B1C4B"/>
    <w:rsid w:val="004B1F20"/>
    <w:rsid w:val="004B2DDE"/>
    <w:rsid w:val="004B60CB"/>
    <w:rsid w:val="004C1CB5"/>
    <w:rsid w:val="004C2672"/>
    <w:rsid w:val="004D23D1"/>
    <w:rsid w:val="004E21BF"/>
    <w:rsid w:val="004E769A"/>
    <w:rsid w:val="004F6A01"/>
    <w:rsid w:val="00500ACD"/>
    <w:rsid w:val="005011E8"/>
    <w:rsid w:val="00501222"/>
    <w:rsid w:val="00503490"/>
    <w:rsid w:val="00504061"/>
    <w:rsid w:val="00505BAE"/>
    <w:rsid w:val="005065EF"/>
    <w:rsid w:val="00506956"/>
    <w:rsid w:val="00510C1E"/>
    <w:rsid w:val="00513096"/>
    <w:rsid w:val="00515380"/>
    <w:rsid w:val="005176CA"/>
    <w:rsid w:val="005243E1"/>
    <w:rsid w:val="005246F7"/>
    <w:rsid w:val="00526B17"/>
    <w:rsid w:val="00526EF5"/>
    <w:rsid w:val="00532577"/>
    <w:rsid w:val="00532D10"/>
    <w:rsid w:val="00537A77"/>
    <w:rsid w:val="00541A14"/>
    <w:rsid w:val="00543F9C"/>
    <w:rsid w:val="00546D39"/>
    <w:rsid w:val="00550E84"/>
    <w:rsid w:val="00551368"/>
    <w:rsid w:val="00552E56"/>
    <w:rsid w:val="005577B0"/>
    <w:rsid w:val="00562084"/>
    <w:rsid w:val="0056759A"/>
    <w:rsid w:val="00570EED"/>
    <w:rsid w:val="005716FC"/>
    <w:rsid w:val="005755C3"/>
    <w:rsid w:val="00575DEF"/>
    <w:rsid w:val="00583A33"/>
    <w:rsid w:val="0058446E"/>
    <w:rsid w:val="00584805"/>
    <w:rsid w:val="005867D2"/>
    <w:rsid w:val="00592B45"/>
    <w:rsid w:val="005963CC"/>
    <w:rsid w:val="00596E19"/>
    <w:rsid w:val="005A241E"/>
    <w:rsid w:val="005A4541"/>
    <w:rsid w:val="005A696C"/>
    <w:rsid w:val="005A6E12"/>
    <w:rsid w:val="005A6FED"/>
    <w:rsid w:val="005A72C0"/>
    <w:rsid w:val="005B0116"/>
    <w:rsid w:val="005B1BC4"/>
    <w:rsid w:val="005B1FB0"/>
    <w:rsid w:val="005B4A79"/>
    <w:rsid w:val="005B5379"/>
    <w:rsid w:val="005B5BBC"/>
    <w:rsid w:val="005B6894"/>
    <w:rsid w:val="005B7121"/>
    <w:rsid w:val="005C0CD6"/>
    <w:rsid w:val="005C13B2"/>
    <w:rsid w:val="005C27E3"/>
    <w:rsid w:val="005C37CB"/>
    <w:rsid w:val="005C3CA3"/>
    <w:rsid w:val="005C459C"/>
    <w:rsid w:val="005C72FD"/>
    <w:rsid w:val="005D1A9F"/>
    <w:rsid w:val="005D2C8E"/>
    <w:rsid w:val="005D52FA"/>
    <w:rsid w:val="005E04EC"/>
    <w:rsid w:val="005E06EE"/>
    <w:rsid w:val="005E266F"/>
    <w:rsid w:val="005E279D"/>
    <w:rsid w:val="005E3938"/>
    <w:rsid w:val="005E5734"/>
    <w:rsid w:val="005E73CE"/>
    <w:rsid w:val="005F07DC"/>
    <w:rsid w:val="005F64FB"/>
    <w:rsid w:val="005F7107"/>
    <w:rsid w:val="0060251E"/>
    <w:rsid w:val="00602DDE"/>
    <w:rsid w:val="00603B2D"/>
    <w:rsid w:val="00611737"/>
    <w:rsid w:val="00612904"/>
    <w:rsid w:val="00612B12"/>
    <w:rsid w:val="00614DE8"/>
    <w:rsid w:val="006214C0"/>
    <w:rsid w:val="00622388"/>
    <w:rsid w:val="00622669"/>
    <w:rsid w:val="00622FE1"/>
    <w:rsid w:val="00625CE5"/>
    <w:rsid w:val="00627DFC"/>
    <w:rsid w:val="00634CF6"/>
    <w:rsid w:val="00635027"/>
    <w:rsid w:val="0064117E"/>
    <w:rsid w:val="00644A7B"/>
    <w:rsid w:val="00644D43"/>
    <w:rsid w:val="006454B4"/>
    <w:rsid w:val="0064762F"/>
    <w:rsid w:val="006556D9"/>
    <w:rsid w:val="00656FED"/>
    <w:rsid w:val="00661C46"/>
    <w:rsid w:val="006652D3"/>
    <w:rsid w:val="00667CF3"/>
    <w:rsid w:val="006769C4"/>
    <w:rsid w:val="00677627"/>
    <w:rsid w:val="00677BD5"/>
    <w:rsid w:val="0068025E"/>
    <w:rsid w:val="006859CE"/>
    <w:rsid w:val="00687512"/>
    <w:rsid w:val="0069316E"/>
    <w:rsid w:val="00693C87"/>
    <w:rsid w:val="006960A9"/>
    <w:rsid w:val="00696E47"/>
    <w:rsid w:val="006A03B4"/>
    <w:rsid w:val="006A05C7"/>
    <w:rsid w:val="006A5A46"/>
    <w:rsid w:val="006A607B"/>
    <w:rsid w:val="006A6E27"/>
    <w:rsid w:val="006A72B0"/>
    <w:rsid w:val="006B0108"/>
    <w:rsid w:val="006B3E4D"/>
    <w:rsid w:val="006C52B9"/>
    <w:rsid w:val="006D1DFE"/>
    <w:rsid w:val="006D20E2"/>
    <w:rsid w:val="006D32E8"/>
    <w:rsid w:val="006E0B07"/>
    <w:rsid w:val="006E6BC2"/>
    <w:rsid w:val="006E77BB"/>
    <w:rsid w:val="006F5F16"/>
    <w:rsid w:val="0070150E"/>
    <w:rsid w:val="0070183C"/>
    <w:rsid w:val="007048B1"/>
    <w:rsid w:val="00705DB8"/>
    <w:rsid w:val="00713225"/>
    <w:rsid w:val="0071447E"/>
    <w:rsid w:val="00724A85"/>
    <w:rsid w:val="0072512A"/>
    <w:rsid w:val="00731EE6"/>
    <w:rsid w:val="00734EDA"/>
    <w:rsid w:val="007355A6"/>
    <w:rsid w:val="0073792C"/>
    <w:rsid w:val="00740A71"/>
    <w:rsid w:val="00744CB1"/>
    <w:rsid w:val="007477C5"/>
    <w:rsid w:val="00747938"/>
    <w:rsid w:val="00751FD6"/>
    <w:rsid w:val="00752C7F"/>
    <w:rsid w:val="00752E00"/>
    <w:rsid w:val="007569A4"/>
    <w:rsid w:val="00757CA1"/>
    <w:rsid w:val="00761C02"/>
    <w:rsid w:val="00762A42"/>
    <w:rsid w:val="00762AFB"/>
    <w:rsid w:val="00765BA8"/>
    <w:rsid w:val="00766007"/>
    <w:rsid w:val="00766286"/>
    <w:rsid w:val="00766BAA"/>
    <w:rsid w:val="00770A26"/>
    <w:rsid w:val="007769E8"/>
    <w:rsid w:val="007806E1"/>
    <w:rsid w:val="00782B61"/>
    <w:rsid w:val="0078607D"/>
    <w:rsid w:val="00794A89"/>
    <w:rsid w:val="00795B66"/>
    <w:rsid w:val="007A1364"/>
    <w:rsid w:val="007A14E3"/>
    <w:rsid w:val="007A24A0"/>
    <w:rsid w:val="007A4AB2"/>
    <w:rsid w:val="007A5E68"/>
    <w:rsid w:val="007A6EB1"/>
    <w:rsid w:val="007B1BF7"/>
    <w:rsid w:val="007B202E"/>
    <w:rsid w:val="007B460E"/>
    <w:rsid w:val="007B4B10"/>
    <w:rsid w:val="007B65F6"/>
    <w:rsid w:val="007B6610"/>
    <w:rsid w:val="007C2662"/>
    <w:rsid w:val="007C371E"/>
    <w:rsid w:val="007C404B"/>
    <w:rsid w:val="007C4BAE"/>
    <w:rsid w:val="007C6F2E"/>
    <w:rsid w:val="007D0DC7"/>
    <w:rsid w:val="007D1D3B"/>
    <w:rsid w:val="007D29AA"/>
    <w:rsid w:val="007D4672"/>
    <w:rsid w:val="007D5960"/>
    <w:rsid w:val="007E114E"/>
    <w:rsid w:val="007E487F"/>
    <w:rsid w:val="007E4B2D"/>
    <w:rsid w:val="007E587D"/>
    <w:rsid w:val="007E6757"/>
    <w:rsid w:val="007E6DD0"/>
    <w:rsid w:val="007E71E9"/>
    <w:rsid w:val="007F1873"/>
    <w:rsid w:val="007F1D06"/>
    <w:rsid w:val="007F42D9"/>
    <w:rsid w:val="007F686A"/>
    <w:rsid w:val="008010D7"/>
    <w:rsid w:val="00803443"/>
    <w:rsid w:val="00804E37"/>
    <w:rsid w:val="00805BF0"/>
    <w:rsid w:val="0080680D"/>
    <w:rsid w:val="00807F9B"/>
    <w:rsid w:val="00812C05"/>
    <w:rsid w:val="008130B5"/>
    <w:rsid w:val="0081322A"/>
    <w:rsid w:val="008161E2"/>
    <w:rsid w:val="008162AB"/>
    <w:rsid w:val="00820785"/>
    <w:rsid w:val="0082324A"/>
    <w:rsid w:val="00823327"/>
    <w:rsid w:val="008304AB"/>
    <w:rsid w:val="00831B38"/>
    <w:rsid w:val="008346E7"/>
    <w:rsid w:val="008348D4"/>
    <w:rsid w:val="00840AAF"/>
    <w:rsid w:val="00843E6F"/>
    <w:rsid w:val="0084630F"/>
    <w:rsid w:val="00846E4A"/>
    <w:rsid w:val="00850BE1"/>
    <w:rsid w:val="00851AF5"/>
    <w:rsid w:val="00851FB5"/>
    <w:rsid w:val="00854DAA"/>
    <w:rsid w:val="00861EF9"/>
    <w:rsid w:val="0086476C"/>
    <w:rsid w:val="008647DE"/>
    <w:rsid w:val="00864B95"/>
    <w:rsid w:val="00865DB8"/>
    <w:rsid w:val="00874D48"/>
    <w:rsid w:val="008800D3"/>
    <w:rsid w:val="00882EA8"/>
    <w:rsid w:val="00885704"/>
    <w:rsid w:val="00886CDD"/>
    <w:rsid w:val="0089214D"/>
    <w:rsid w:val="00893463"/>
    <w:rsid w:val="00893C0D"/>
    <w:rsid w:val="00893CCF"/>
    <w:rsid w:val="008A1FDA"/>
    <w:rsid w:val="008A20DA"/>
    <w:rsid w:val="008A7B84"/>
    <w:rsid w:val="008B02CD"/>
    <w:rsid w:val="008B5C8F"/>
    <w:rsid w:val="008B5F16"/>
    <w:rsid w:val="008B7722"/>
    <w:rsid w:val="008C0E5C"/>
    <w:rsid w:val="008C7A2A"/>
    <w:rsid w:val="008D333E"/>
    <w:rsid w:val="008D348B"/>
    <w:rsid w:val="008D4AF8"/>
    <w:rsid w:val="008D7320"/>
    <w:rsid w:val="008E2BE4"/>
    <w:rsid w:val="008E43ED"/>
    <w:rsid w:val="008E6B4E"/>
    <w:rsid w:val="008E7970"/>
    <w:rsid w:val="008E7C34"/>
    <w:rsid w:val="008F0C36"/>
    <w:rsid w:val="008F377B"/>
    <w:rsid w:val="008F6FD7"/>
    <w:rsid w:val="0090179F"/>
    <w:rsid w:val="009054E7"/>
    <w:rsid w:val="00914C36"/>
    <w:rsid w:val="00915512"/>
    <w:rsid w:val="00920CB7"/>
    <w:rsid w:val="009233CC"/>
    <w:rsid w:val="009240D8"/>
    <w:rsid w:val="00924B73"/>
    <w:rsid w:val="0092523D"/>
    <w:rsid w:val="009313F3"/>
    <w:rsid w:val="009350CE"/>
    <w:rsid w:val="009360D7"/>
    <w:rsid w:val="009362C9"/>
    <w:rsid w:val="00942387"/>
    <w:rsid w:val="00943E37"/>
    <w:rsid w:val="0094626F"/>
    <w:rsid w:val="009462D2"/>
    <w:rsid w:val="009556F6"/>
    <w:rsid w:val="00956B70"/>
    <w:rsid w:val="00961F29"/>
    <w:rsid w:val="009652D5"/>
    <w:rsid w:val="00966A4D"/>
    <w:rsid w:val="009677F8"/>
    <w:rsid w:val="00971146"/>
    <w:rsid w:val="00972A9A"/>
    <w:rsid w:val="009738F9"/>
    <w:rsid w:val="009744D4"/>
    <w:rsid w:val="00981C26"/>
    <w:rsid w:val="00991675"/>
    <w:rsid w:val="009919CF"/>
    <w:rsid w:val="00992008"/>
    <w:rsid w:val="009924C3"/>
    <w:rsid w:val="00992CFD"/>
    <w:rsid w:val="00996409"/>
    <w:rsid w:val="00996D00"/>
    <w:rsid w:val="009970AD"/>
    <w:rsid w:val="009A03DC"/>
    <w:rsid w:val="009A0DEA"/>
    <w:rsid w:val="009A2FE4"/>
    <w:rsid w:val="009A3F82"/>
    <w:rsid w:val="009A6CF3"/>
    <w:rsid w:val="009B43BF"/>
    <w:rsid w:val="009B4A2D"/>
    <w:rsid w:val="009B56CF"/>
    <w:rsid w:val="009B5A07"/>
    <w:rsid w:val="009B7C7D"/>
    <w:rsid w:val="009C1E0B"/>
    <w:rsid w:val="009C21C6"/>
    <w:rsid w:val="009C2D6E"/>
    <w:rsid w:val="009C35BE"/>
    <w:rsid w:val="009D0B5F"/>
    <w:rsid w:val="009D2BFB"/>
    <w:rsid w:val="009D2C71"/>
    <w:rsid w:val="009D545A"/>
    <w:rsid w:val="009D6D44"/>
    <w:rsid w:val="009E0E83"/>
    <w:rsid w:val="009E22FA"/>
    <w:rsid w:val="009E4744"/>
    <w:rsid w:val="009E4EC9"/>
    <w:rsid w:val="009E55A6"/>
    <w:rsid w:val="009E5D5A"/>
    <w:rsid w:val="009E718A"/>
    <w:rsid w:val="009F09E0"/>
    <w:rsid w:val="009F1A0C"/>
    <w:rsid w:val="009F2262"/>
    <w:rsid w:val="009F49F7"/>
    <w:rsid w:val="009F4ADA"/>
    <w:rsid w:val="009F6A0D"/>
    <w:rsid w:val="009F7CFE"/>
    <w:rsid w:val="00A06001"/>
    <w:rsid w:val="00A07991"/>
    <w:rsid w:val="00A10CDE"/>
    <w:rsid w:val="00A1680D"/>
    <w:rsid w:val="00A23AB0"/>
    <w:rsid w:val="00A23E69"/>
    <w:rsid w:val="00A24978"/>
    <w:rsid w:val="00A266C5"/>
    <w:rsid w:val="00A309C6"/>
    <w:rsid w:val="00A32E4E"/>
    <w:rsid w:val="00A35111"/>
    <w:rsid w:val="00A35EAA"/>
    <w:rsid w:val="00A36EDC"/>
    <w:rsid w:val="00A40AF9"/>
    <w:rsid w:val="00A41B86"/>
    <w:rsid w:val="00A43881"/>
    <w:rsid w:val="00A44E74"/>
    <w:rsid w:val="00A505DE"/>
    <w:rsid w:val="00A5168A"/>
    <w:rsid w:val="00A51B36"/>
    <w:rsid w:val="00A5327C"/>
    <w:rsid w:val="00A56ED6"/>
    <w:rsid w:val="00A5721C"/>
    <w:rsid w:val="00A660CB"/>
    <w:rsid w:val="00A67913"/>
    <w:rsid w:val="00A72166"/>
    <w:rsid w:val="00A746F2"/>
    <w:rsid w:val="00A7655F"/>
    <w:rsid w:val="00A81A94"/>
    <w:rsid w:val="00A84544"/>
    <w:rsid w:val="00A84855"/>
    <w:rsid w:val="00A852F9"/>
    <w:rsid w:val="00A85954"/>
    <w:rsid w:val="00A85D0F"/>
    <w:rsid w:val="00A918C5"/>
    <w:rsid w:val="00A9681E"/>
    <w:rsid w:val="00AA007A"/>
    <w:rsid w:val="00AA35B4"/>
    <w:rsid w:val="00AA7299"/>
    <w:rsid w:val="00AB073E"/>
    <w:rsid w:val="00AB0B45"/>
    <w:rsid w:val="00AB1A13"/>
    <w:rsid w:val="00AB2D99"/>
    <w:rsid w:val="00AB4E9F"/>
    <w:rsid w:val="00AB67C3"/>
    <w:rsid w:val="00AC210F"/>
    <w:rsid w:val="00AC29F5"/>
    <w:rsid w:val="00AC319E"/>
    <w:rsid w:val="00AD03E0"/>
    <w:rsid w:val="00AD2350"/>
    <w:rsid w:val="00AD2E87"/>
    <w:rsid w:val="00AD315B"/>
    <w:rsid w:val="00AD7EEC"/>
    <w:rsid w:val="00AE3A1E"/>
    <w:rsid w:val="00AE734F"/>
    <w:rsid w:val="00AF1603"/>
    <w:rsid w:val="00AF2656"/>
    <w:rsid w:val="00AF58A2"/>
    <w:rsid w:val="00AF6110"/>
    <w:rsid w:val="00AF64DC"/>
    <w:rsid w:val="00AF6AC6"/>
    <w:rsid w:val="00B00611"/>
    <w:rsid w:val="00B01BA3"/>
    <w:rsid w:val="00B031A0"/>
    <w:rsid w:val="00B04354"/>
    <w:rsid w:val="00B043A8"/>
    <w:rsid w:val="00B077DC"/>
    <w:rsid w:val="00B11405"/>
    <w:rsid w:val="00B118F3"/>
    <w:rsid w:val="00B14377"/>
    <w:rsid w:val="00B14EFA"/>
    <w:rsid w:val="00B1519A"/>
    <w:rsid w:val="00B16B6E"/>
    <w:rsid w:val="00B23D06"/>
    <w:rsid w:val="00B249FC"/>
    <w:rsid w:val="00B26E38"/>
    <w:rsid w:val="00B317E7"/>
    <w:rsid w:val="00B33A57"/>
    <w:rsid w:val="00B34083"/>
    <w:rsid w:val="00B37728"/>
    <w:rsid w:val="00B4006B"/>
    <w:rsid w:val="00B45C64"/>
    <w:rsid w:val="00B46A32"/>
    <w:rsid w:val="00B46B29"/>
    <w:rsid w:val="00B47DD9"/>
    <w:rsid w:val="00B5097A"/>
    <w:rsid w:val="00B53547"/>
    <w:rsid w:val="00B53597"/>
    <w:rsid w:val="00B53B5A"/>
    <w:rsid w:val="00B55D3E"/>
    <w:rsid w:val="00B60D0B"/>
    <w:rsid w:val="00B62590"/>
    <w:rsid w:val="00B6585D"/>
    <w:rsid w:val="00B6729F"/>
    <w:rsid w:val="00B706E2"/>
    <w:rsid w:val="00B7557E"/>
    <w:rsid w:val="00B7717A"/>
    <w:rsid w:val="00B825E1"/>
    <w:rsid w:val="00B82627"/>
    <w:rsid w:val="00B90AA7"/>
    <w:rsid w:val="00B92CCD"/>
    <w:rsid w:val="00B94335"/>
    <w:rsid w:val="00B96724"/>
    <w:rsid w:val="00BA2F2C"/>
    <w:rsid w:val="00BA38F6"/>
    <w:rsid w:val="00BA47D1"/>
    <w:rsid w:val="00BA65E5"/>
    <w:rsid w:val="00BB09DF"/>
    <w:rsid w:val="00BB1AEE"/>
    <w:rsid w:val="00BB2BD3"/>
    <w:rsid w:val="00BB3FC5"/>
    <w:rsid w:val="00BC2B3B"/>
    <w:rsid w:val="00BC4579"/>
    <w:rsid w:val="00BC65BB"/>
    <w:rsid w:val="00BD0B78"/>
    <w:rsid w:val="00BD3128"/>
    <w:rsid w:val="00BD3D24"/>
    <w:rsid w:val="00BD749F"/>
    <w:rsid w:val="00BE21BA"/>
    <w:rsid w:val="00BE6CB6"/>
    <w:rsid w:val="00BF47B4"/>
    <w:rsid w:val="00BF4CEC"/>
    <w:rsid w:val="00C0018A"/>
    <w:rsid w:val="00C00905"/>
    <w:rsid w:val="00C035B5"/>
    <w:rsid w:val="00C03CFA"/>
    <w:rsid w:val="00C05D56"/>
    <w:rsid w:val="00C07B3F"/>
    <w:rsid w:val="00C11ABD"/>
    <w:rsid w:val="00C14FB2"/>
    <w:rsid w:val="00C176AC"/>
    <w:rsid w:val="00C20103"/>
    <w:rsid w:val="00C2158E"/>
    <w:rsid w:val="00C21EF9"/>
    <w:rsid w:val="00C222F7"/>
    <w:rsid w:val="00C225D2"/>
    <w:rsid w:val="00C22AA1"/>
    <w:rsid w:val="00C24839"/>
    <w:rsid w:val="00C25488"/>
    <w:rsid w:val="00C27C23"/>
    <w:rsid w:val="00C31456"/>
    <w:rsid w:val="00C35F89"/>
    <w:rsid w:val="00C37695"/>
    <w:rsid w:val="00C41B33"/>
    <w:rsid w:val="00C41C84"/>
    <w:rsid w:val="00C43DB9"/>
    <w:rsid w:val="00C4499C"/>
    <w:rsid w:val="00C5455B"/>
    <w:rsid w:val="00C554D4"/>
    <w:rsid w:val="00C61B02"/>
    <w:rsid w:val="00C61F1C"/>
    <w:rsid w:val="00C64292"/>
    <w:rsid w:val="00C707FE"/>
    <w:rsid w:val="00C719A2"/>
    <w:rsid w:val="00C72165"/>
    <w:rsid w:val="00C73D09"/>
    <w:rsid w:val="00C75E7A"/>
    <w:rsid w:val="00C801BB"/>
    <w:rsid w:val="00C81A97"/>
    <w:rsid w:val="00C83041"/>
    <w:rsid w:val="00C84C9D"/>
    <w:rsid w:val="00C90AA4"/>
    <w:rsid w:val="00C90B42"/>
    <w:rsid w:val="00C9475D"/>
    <w:rsid w:val="00C95056"/>
    <w:rsid w:val="00C951FD"/>
    <w:rsid w:val="00C9656E"/>
    <w:rsid w:val="00CA7F28"/>
    <w:rsid w:val="00CB0768"/>
    <w:rsid w:val="00CB131F"/>
    <w:rsid w:val="00CB18EB"/>
    <w:rsid w:val="00CB4DCD"/>
    <w:rsid w:val="00CB4F2D"/>
    <w:rsid w:val="00CC1690"/>
    <w:rsid w:val="00CC23CE"/>
    <w:rsid w:val="00CC59BE"/>
    <w:rsid w:val="00CC665A"/>
    <w:rsid w:val="00CD00B5"/>
    <w:rsid w:val="00CD06DD"/>
    <w:rsid w:val="00CD3320"/>
    <w:rsid w:val="00CD3D12"/>
    <w:rsid w:val="00CD5DE3"/>
    <w:rsid w:val="00CD703F"/>
    <w:rsid w:val="00CD7CC2"/>
    <w:rsid w:val="00CE04A0"/>
    <w:rsid w:val="00CE2D08"/>
    <w:rsid w:val="00CE34DC"/>
    <w:rsid w:val="00CE37EE"/>
    <w:rsid w:val="00CE66A2"/>
    <w:rsid w:val="00D025AB"/>
    <w:rsid w:val="00D02ECB"/>
    <w:rsid w:val="00D07FB4"/>
    <w:rsid w:val="00D11145"/>
    <w:rsid w:val="00D14F2B"/>
    <w:rsid w:val="00D15066"/>
    <w:rsid w:val="00D20894"/>
    <w:rsid w:val="00D21FA8"/>
    <w:rsid w:val="00D236B7"/>
    <w:rsid w:val="00D23E48"/>
    <w:rsid w:val="00D244BE"/>
    <w:rsid w:val="00D35DD4"/>
    <w:rsid w:val="00D37118"/>
    <w:rsid w:val="00D43096"/>
    <w:rsid w:val="00D46624"/>
    <w:rsid w:val="00D46AB2"/>
    <w:rsid w:val="00D47815"/>
    <w:rsid w:val="00D505F6"/>
    <w:rsid w:val="00D53992"/>
    <w:rsid w:val="00D57286"/>
    <w:rsid w:val="00D65054"/>
    <w:rsid w:val="00D656EB"/>
    <w:rsid w:val="00D66B75"/>
    <w:rsid w:val="00D70D4B"/>
    <w:rsid w:val="00D71942"/>
    <w:rsid w:val="00D72233"/>
    <w:rsid w:val="00D76557"/>
    <w:rsid w:val="00D771FD"/>
    <w:rsid w:val="00D7796D"/>
    <w:rsid w:val="00D81B18"/>
    <w:rsid w:val="00D81BED"/>
    <w:rsid w:val="00D83541"/>
    <w:rsid w:val="00D90408"/>
    <w:rsid w:val="00D92B11"/>
    <w:rsid w:val="00D93A16"/>
    <w:rsid w:val="00D9496D"/>
    <w:rsid w:val="00DA0768"/>
    <w:rsid w:val="00DA161A"/>
    <w:rsid w:val="00DA3406"/>
    <w:rsid w:val="00DA5A94"/>
    <w:rsid w:val="00DB2355"/>
    <w:rsid w:val="00DB3BB4"/>
    <w:rsid w:val="00DB7852"/>
    <w:rsid w:val="00DC0F02"/>
    <w:rsid w:val="00DC0F8D"/>
    <w:rsid w:val="00DC2284"/>
    <w:rsid w:val="00DC3CA4"/>
    <w:rsid w:val="00DD0165"/>
    <w:rsid w:val="00DD0E64"/>
    <w:rsid w:val="00DD2C0F"/>
    <w:rsid w:val="00DD3F07"/>
    <w:rsid w:val="00DE0912"/>
    <w:rsid w:val="00DE0D49"/>
    <w:rsid w:val="00DE1C0E"/>
    <w:rsid w:val="00DE1C7D"/>
    <w:rsid w:val="00DE4578"/>
    <w:rsid w:val="00DE588A"/>
    <w:rsid w:val="00DF04EE"/>
    <w:rsid w:val="00DF2523"/>
    <w:rsid w:val="00DF3E35"/>
    <w:rsid w:val="00DF4425"/>
    <w:rsid w:val="00DF7F47"/>
    <w:rsid w:val="00E03ED5"/>
    <w:rsid w:val="00E06243"/>
    <w:rsid w:val="00E07169"/>
    <w:rsid w:val="00E0786D"/>
    <w:rsid w:val="00E1560A"/>
    <w:rsid w:val="00E162A4"/>
    <w:rsid w:val="00E1688C"/>
    <w:rsid w:val="00E16AF8"/>
    <w:rsid w:val="00E21CD0"/>
    <w:rsid w:val="00E22665"/>
    <w:rsid w:val="00E30499"/>
    <w:rsid w:val="00E30B51"/>
    <w:rsid w:val="00E31594"/>
    <w:rsid w:val="00E324BB"/>
    <w:rsid w:val="00E374E0"/>
    <w:rsid w:val="00E377E8"/>
    <w:rsid w:val="00E378BC"/>
    <w:rsid w:val="00E41CF7"/>
    <w:rsid w:val="00E4232A"/>
    <w:rsid w:val="00E43464"/>
    <w:rsid w:val="00E47A69"/>
    <w:rsid w:val="00E55041"/>
    <w:rsid w:val="00E571BB"/>
    <w:rsid w:val="00E6027C"/>
    <w:rsid w:val="00E642C8"/>
    <w:rsid w:val="00E74415"/>
    <w:rsid w:val="00E74435"/>
    <w:rsid w:val="00E758AD"/>
    <w:rsid w:val="00E765A4"/>
    <w:rsid w:val="00E76A6E"/>
    <w:rsid w:val="00E77D4E"/>
    <w:rsid w:val="00E86822"/>
    <w:rsid w:val="00E91860"/>
    <w:rsid w:val="00E92D0A"/>
    <w:rsid w:val="00E954B7"/>
    <w:rsid w:val="00E96FDB"/>
    <w:rsid w:val="00EA107B"/>
    <w:rsid w:val="00EA4E62"/>
    <w:rsid w:val="00EA56E3"/>
    <w:rsid w:val="00EB04C7"/>
    <w:rsid w:val="00EB12B5"/>
    <w:rsid w:val="00EB376E"/>
    <w:rsid w:val="00EB46D3"/>
    <w:rsid w:val="00EB4A21"/>
    <w:rsid w:val="00EB65C4"/>
    <w:rsid w:val="00EB6D31"/>
    <w:rsid w:val="00EC06CC"/>
    <w:rsid w:val="00EC16F1"/>
    <w:rsid w:val="00EC20DC"/>
    <w:rsid w:val="00EC6EF7"/>
    <w:rsid w:val="00ED05D6"/>
    <w:rsid w:val="00ED0C6F"/>
    <w:rsid w:val="00ED2FCC"/>
    <w:rsid w:val="00ED6C73"/>
    <w:rsid w:val="00EE1C14"/>
    <w:rsid w:val="00EE2FB6"/>
    <w:rsid w:val="00EE5F75"/>
    <w:rsid w:val="00EE7DB6"/>
    <w:rsid w:val="00EF1C9A"/>
    <w:rsid w:val="00EF2722"/>
    <w:rsid w:val="00EF6706"/>
    <w:rsid w:val="00EF6805"/>
    <w:rsid w:val="00F00508"/>
    <w:rsid w:val="00F01E52"/>
    <w:rsid w:val="00F03D90"/>
    <w:rsid w:val="00F042DC"/>
    <w:rsid w:val="00F04309"/>
    <w:rsid w:val="00F06567"/>
    <w:rsid w:val="00F07099"/>
    <w:rsid w:val="00F07879"/>
    <w:rsid w:val="00F105EA"/>
    <w:rsid w:val="00F10B54"/>
    <w:rsid w:val="00F11117"/>
    <w:rsid w:val="00F12541"/>
    <w:rsid w:val="00F1437D"/>
    <w:rsid w:val="00F15230"/>
    <w:rsid w:val="00F155DB"/>
    <w:rsid w:val="00F21EAE"/>
    <w:rsid w:val="00F22035"/>
    <w:rsid w:val="00F22D18"/>
    <w:rsid w:val="00F251B7"/>
    <w:rsid w:val="00F3013C"/>
    <w:rsid w:val="00F32371"/>
    <w:rsid w:val="00F33BBC"/>
    <w:rsid w:val="00F35B7C"/>
    <w:rsid w:val="00F369E9"/>
    <w:rsid w:val="00F36C87"/>
    <w:rsid w:val="00F44EC0"/>
    <w:rsid w:val="00F46927"/>
    <w:rsid w:val="00F46D67"/>
    <w:rsid w:val="00F47B9A"/>
    <w:rsid w:val="00F55854"/>
    <w:rsid w:val="00F56813"/>
    <w:rsid w:val="00F70110"/>
    <w:rsid w:val="00F711DA"/>
    <w:rsid w:val="00F71A43"/>
    <w:rsid w:val="00F72C93"/>
    <w:rsid w:val="00F741C0"/>
    <w:rsid w:val="00F7699E"/>
    <w:rsid w:val="00F802F2"/>
    <w:rsid w:val="00F80A88"/>
    <w:rsid w:val="00F823F5"/>
    <w:rsid w:val="00F84817"/>
    <w:rsid w:val="00F87605"/>
    <w:rsid w:val="00F9170D"/>
    <w:rsid w:val="00F94368"/>
    <w:rsid w:val="00F9494C"/>
    <w:rsid w:val="00F95C82"/>
    <w:rsid w:val="00FA15C8"/>
    <w:rsid w:val="00FA1F12"/>
    <w:rsid w:val="00FA2D86"/>
    <w:rsid w:val="00FA348C"/>
    <w:rsid w:val="00FA6B82"/>
    <w:rsid w:val="00FB0AD8"/>
    <w:rsid w:val="00FB15D1"/>
    <w:rsid w:val="00FB38A2"/>
    <w:rsid w:val="00FB4DBB"/>
    <w:rsid w:val="00FB4E20"/>
    <w:rsid w:val="00FB661C"/>
    <w:rsid w:val="00FB666A"/>
    <w:rsid w:val="00FC27A1"/>
    <w:rsid w:val="00FC7587"/>
    <w:rsid w:val="00FE04D3"/>
    <w:rsid w:val="00FE2C17"/>
    <w:rsid w:val="00FE2C74"/>
    <w:rsid w:val="00FE5646"/>
    <w:rsid w:val="00FF072F"/>
    <w:rsid w:val="00FF08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EC9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CC59BE"/>
    <w:rPr>
      <w:sz w:val="24"/>
      <w:szCs w:val="24"/>
    </w:rPr>
  </w:style>
  <w:style w:type="character" w:styleId="FollowedHyperlink">
    <w:name w:val="FollowedHyperlink"/>
    <w:basedOn w:val="DefaultParagraphFont"/>
    <w:rsid w:val="00C9656E"/>
    <w:rPr>
      <w:color w:val="800080" w:themeColor="followedHyperlink"/>
      <w:u w:val="single"/>
    </w:rPr>
  </w:style>
  <w:style w:type="paragraph" w:customStyle="1" w:styleId="Default">
    <w:name w:val="Default"/>
    <w:rsid w:val="00F46D67"/>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customStyle="1" w:styleId="CGCBulletlistChar">
    <w:name w:val="CGC Bullet list Char"/>
    <w:aliases w:val="CGC List 1 Char,CGC Bullet list Char1"/>
    <w:basedOn w:val="DefaultParagraphFont"/>
    <w:link w:val="CGCBulletlist"/>
    <w:locked/>
    <w:rsid w:val="00762A42"/>
    <w:rPr>
      <w:sz w:val="24"/>
      <w:szCs w:val="20"/>
    </w:rPr>
  </w:style>
  <w:style w:type="table" w:customStyle="1" w:styleId="TableGrid2">
    <w:name w:val="Table Grid2"/>
    <w:basedOn w:val="TableNormal"/>
    <w:next w:val="TableGrid"/>
    <w:rsid w:val="00F15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7F47"/>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CC59BE"/>
    <w:rPr>
      <w:sz w:val="24"/>
      <w:szCs w:val="24"/>
    </w:rPr>
  </w:style>
  <w:style w:type="character" w:styleId="FollowedHyperlink">
    <w:name w:val="FollowedHyperlink"/>
    <w:basedOn w:val="DefaultParagraphFont"/>
    <w:rsid w:val="00C9656E"/>
    <w:rPr>
      <w:color w:val="800080" w:themeColor="followedHyperlink"/>
      <w:u w:val="single"/>
    </w:rPr>
  </w:style>
  <w:style w:type="paragraph" w:customStyle="1" w:styleId="Default">
    <w:name w:val="Default"/>
    <w:rsid w:val="00F46D67"/>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customStyle="1" w:styleId="CGCBulletlistChar">
    <w:name w:val="CGC Bullet list Char"/>
    <w:aliases w:val="CGC List 1 Char,CGC Bullet list Char1"/>
    <w:basedOn w:val="DefaultParagraphFont"/>
    <w:link w:val="CGCBulletlist"/>
    <w:locked/>
    <w:rsid w:val="00762A42"/>
    <w:rPr>
      <w:sz w:val="24"/>
      <w:szCs w:val="20"/>
    </w:rPr>
  </w:style>
  <w:style w:type="table" w:customStyle="1" w:styleId="TableGrid2">
    <w:name w:val="Table Grid2"/>
    <w:basedOn w:val="TableNormal"/>
    <w:next w:val="TableGrid"/>
    <w:rsid w:val="00F15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7F4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0674048">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54998875">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067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 TargetMode="External"/><Relationship Id="rId18" Type="http://schemas.openxmlformats.org/officeDocument/2006/relationships/image" Target="media/image3.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ihpa.gov.au/publications/national-efficient-cost-determination-2018-1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y@cgc.gov.a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fan.xiang@cgc.gov.au"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www.ihpa.gov.au/publications/national-pricing-model-technical-specifications-2018-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ealth.gov.au/internet/main/publishing.nsf/Content/Annual-Medicare-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13163</Words>
  <Characters>74497</Characters>
  <Application>Microsoft Office Word</Application>
  <DocSecurity>0</DocSecurity>
  <Lines>620</Lines>
  <Paragraphs>174</Paragraphs>
  <ScaleCrop>false</ScaleCrop>
  <Company/>
  <LinksUpToDate>false</LinksUpToDate>
  <CharactersWithSpaces>87486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2018-04-20T01:30:00Z</dcterms:created>
  <dcterms:modified xsi:type="dcterms:W3CDTF">2018-04-20T01:30:00Z</dcterms:modified>
</cp:coreProperties>
</file>