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0D4EA" w14:textId="77777777" w:rsidR="00044540" w:rsidRDefault="00044540" w:rsidP="001B68B1">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bookmarkStart w:id="6" w:name="_Toc106707725"/>
      <w:bookmarkStart w:id="7" w:name="_Toc155675935"/>
      <w:bookmarkStart w:id="8" w:name="_Toc174415770"/>
      <w:bookmarkStart w:id="9" w:name="_Toc174415844"/>
      <w:bookmarkStart w:id="10" w:name="_Toc174415935"/>
      <w:bookmarkStart w:id="11" w:name="_Toc174416620"/>
      <w:bookmarkStart w:id="12" w:name="_Toc174416662"/>
      <w:bookmarkStart w:id="13" w:name="_Toc174416675"/>
      <w:bookmarkStart w:id="14" w:name="_GoBack"/>
      <w:bookmarkEnd w:id="14"/>
    </w:p>
    <w:p w14:paraId="4251ACF2" w14:textId="77777777" w:rsidR="001B68B1" w:rsidRPr="00970E6D" w:rsidRDefault="001B68B1" w:rsidP="001B68B1">
      <w:pPr>
        <w:tabs>
          <w:tab w:val="clear" w:pos="567"/>
        </w:tabs>
        <w:jc w:val="center"/>
        <w:rPr>
          <w:b/>
          <w:bCs/>
        </w:rPr>
      </w:pPr>
      <w:r w:rsidRPr="00970E6D">
        <w:rPr>
          <w:noProof/>
          <w:lang w:eastAsia="en-AU"/>
        </w:rPr>
        <w:drawing>
          <wp:inline distT="0" distB="0" distL="0" distR="0" wp14:anchorId="567D1E21" wp14:editId="18F9B25B">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7"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14:paraId="5264A90A" w14:textId="77777777" w:rsidR="001B68B1" w:rsidRPr="00970E6D" w:rsidRDefault="001B68B1" w:rsidP="001B68B1">
      <w:pPr>
        <w:tabs>
          <w:tab w:val="clear" w:pos="567"/>
        </w:tabs>
        <w:jc w:val="center"/>
        <w:rPr>
          <w:b/>
          <w:sz w:val="40"/>
          <w:szCs w:val="40"/>
        </w:rPr>
      </w:pPr>
    </w:p>
    <w:p w14:paraId="7AB5B866" w14:textId="77777777" w:rsidR="001B68B1" w:rsidRPr="00970E6D" w:rsidRDefault="001B68B1" w:rsidP="001B68B1">
      <w:pPr>
        <w:tabs>
          <w:tab w:val="clear" w:pos="567"/>
        </w:tabs>
        <w:jc w:val="center"/>
        <w:rPr>
          <w:b/>
          <w:sz w:val="40"/>
          <w:szCs w:val="40"/>
        </w:rPr>
      </w:pPr>
    </w:p>
    <w:p w14:paraId="2870241B" w14:textId="77777777" w:rsidR="001B68B1" w:rsidRPr="00970E6D" w:rsidRDefault="001B68B1" w:rsidP="001B68B1">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14:paraId="7125EDCE" w14:textId="77777777" w:rsidR="001B68B1" w:rsidRPr="00970E6D" w:rsidRDefault="001B68B1" w:rsidP="001B68B1">
      <w:pPr>
        <w:tabs>
          <w:tab w:val="clear" w:pos="567"/>
        </w:tabs>
        <w:jc w:val="center"/>
        <w:rPr>
          <w:b/>
          <w:sz w:val="40"/>
          <w:szCs w:val="40"/>
        </w:rPr>
      </w:pPr>
    </w:p>
    <w:p w14:paraId="5720FB69" w14:textId="77777777" w:rsidR="001B68B1" w:rsidRPr="00970E6D" w:rsidRDefault="001B68B1" w:rsidP="001B68B1">
      <w:pPr>
        <w:tabs>
          <w:tab w:val="clear" w:pos="567"/>
        </w:tabs>
        <w:jc w:val="center"/>
        <w:rPr>
          <w:b/>
          <w:sz w:val="40"/>
          <w:szCs w:val="40"/>
        </w:rPr>
      </w:pPr>
    </w:p>
    <w:p w14:paraId="2759C37D" w14:textId="77777777" w:rsidR="001B68B1" w:rsidRPr="00970E6D" w:rsidRDefault="001B68B1" w:rsidP="001B68B1">
      <w:pPr>
        <w:tabs>
          <w:tab w:val="clear" w:pos="567"/>
        </w:tabs>
        <w:jc w:val="center"/>
        <w:rPr>
          <w:b/>
          <w:sz w:val="40"/>
          <w:szCs w:val="40"/>
        </w:rPr>
      </w:pPr>
    </w:p>
    <w:p w14:paraId="39AD4BCE" w14:textId="77777777" w:rsidR="001B68B1" w:rsidRPr="00970E6D" w:rsidRDefault="001B68B1" w:rsidP="001B68B1">
      <w:pPr>
        <w:tabs>
          <w:tab w:val="clear" w:pos="567"/>
        </w:tabs>
        <w:jc w:val="center"/>
        <w:rPr>
          <w:b/>
          <w:sz w:val="40"/>
          <w:szCs w:val="40"/>
        </w:rPr>
      </w:pPr>
    </w:p>
    <w:p w14:paraId="4841FCEB" w14:textId="1B3DF0C2" w:rsidR="001B68B1" w:rsidRPr="00970E6D" w:rsidRDefault="000A48F0" w:rsidP="001B68B1">
      <w:pPr>
        <w:tabs>
          <w:tab w:val="clear" w:pos="567"/>
        </w:tabs>
        <w:jc w:val="center"/>
        <w:rPr>
          <w:bCs/>
          <w:sz w:val="40"/>
          <w:szCs w:val="40"/>
        </w:rPr>
      </w:pPr>
      <w:r>
        <w:rPr>
          <w:b/>
          <w:sz w:val="40"/>
          <w:szCs w:val="40"/>
        </w:rPr>
        <w:t>JUSTICE</w:t>
      </w:r>
    </w:p>
    <w:p w14:paraId="2690B078" w14:textId="77777777" w:rsidR="001B68B1" w:rsidRPr="00970E6D" w:rsidRDefault="001B68B1" w:rsidP="001B68B1">
      <w:pPr>
        <w:tabs>
          <w:tab w:val="clear" w:pos="567"/>
        </w:tabs>
        <w:jc w:val="center"/>
        <w:rPr>
          <w:b/>
          <w:sz w:val="40"/>
          <w:szCs w:val="40"/>
        </w:rPr>
      </w:pPr>
    </w:p>
    <w:p w14:paraId="17CEB10E" w14:textId="77777777" w:rsidR="001B68B1" w:rsidRPr="00970E6D" w:rsidRDefault="001B68B1" w:rsidP="001B68B1">
      <w:pPr>
        <w:tabs>
          <w:tab w:val="clear" w:pos="567"/>
        </w:tabs>
        <w:jc w:val="center"/>
        <w:rPr>
          <w:b/>
          <w:sz w:val="40"/>
          <w:szCs w:val="40"/>
        </w:rPr>
      </w:pPr>
    </w:p>
    <w:p w14:paraId="6F6B282C" w14:textId="77777777" w:rsidR="001B68B1" w:rsidRPr="00970E6D" w:rsidRDefault="001B68B1" w:rsidP="001B68B1">
      <w:pPr>
        <w:tabs>
          <w:tab w:val="clear" w:pos="567"/>
        </w:tabs>
        <w:jc w:val="center"/>
        <w:rPr>
          <w:b/>
          <w:sz w:val="40"/>
          <w:szCs w:val="40"/>
        </w:rPr>
      </w:pPr>
    </w:p>
    <w:p w14:paraId="7CF101C3" w14:textId="77777777" w:rsidR="001B68B1" w:rsidRPr="00970E6D" w:rsidRDefault="001B68B1" w:rsidP="001B68B1">
      <w:pPr>
        <w:tabs>
          <w:tab w:val="clear" w:pos="567"/>
        </w:tabs>
        <w:jc w:val="center"/>
        <w:rPr>
          <w:b/>
          <w:sz w:val="40"/>
          <w:szCs w:val="40"/>
        </w:rPr>
      </w:pPr>
    </w:p>
    <w:p w14:paraId="44DD97B1" w14:textId="73EE44BC" w:rsidR="001B68B1" w:rsidRPr="00970E6D" w:rsidRDefault="007A115B" w:rsidP="001B68B1">
      <w:pPr>
        <w:tabs>
          <w:tab w:val="clear" w:pos="567"/>
        </w:tabs>
        <w:jc w:val="center"/>
        <w:rPr>
          <w:b/>
          <w:sz w:val="40"/>
          <w:szCs w:val="40"/>
        </w:rPr>
      </w:pPr>
      <w:r>
        <w:rPr>
          <w:b/>
          <w:sz w:val="40"/>
          <w:szCs w:val="40"/>
        </w:rPr>
        <w:t xml:space="preserve">STAFF </w:t>
      </w:r>
      <w:r w:rsidR="001B68B1">
        <w:rPr>
          <w:b/>
          <w:sz w:val="40"/>
          <w:szCs w:val="40"/>
        </w:rPr>
        <w:t>DRAFT ASSESSMENT PAPER</w:t>
      </w:r>
      <w:r w:rsidR="001B68B1">
        <w:rPr>
          <w:b/>
          <w:sz w:val="40"/>
          <w:szCs w:val="40"/>
        </w:rPr>
        <w:br/>
        <w:t>CGC 20</w:t>
      </w:r>
      <w:r w:rsidR="001B68B1" w:rsidRPr="00970E6D">
        <w:rPr>
          <w:b/>
          <w:sz w:val="40"/>
          <w:szCs w:val="40"/>
        </w:rPr>
        <w:t>1</w:t>
      </w:r>
      <w:r w:rsidR="001B68B1">
        <w:rPr>
          <w:b/>
          <w:sz w:val="40"/>
          <w:szCs w:val="40"/>
        </w:rPr>
        <w:t>8</w:t>
      </w:r>
      <w:r w:rsidR="001B68B1" w:rsidRPr="00970E6D">
        <w:rPr>
          <w:b/>
          <w:sz w:val="40"/>
          <w:szCs w:val="40"/>
        </w:rPr>
        <w:t>-</w:t>
      </w:r>
      <w:r w:rsidR="00044540">
        <w:rPr>
          <w:b/>
          <w:sz w:val="40"/>
          <w:szCs w:val="40"/>
        </w:rPr>
        <w:t>01</w:t>
      </w:r>
      <w:r w:rsidR="005D782A">
        <w:rPr>
          <w:b/>
          <w:sz w:val="40"/>
          <w:szCs w:val="40"/>
        </w:rPr>
        <w:t>/</w:t>
      </w:r>
      <w:r w:rsidR="00AB182B">
        <w:rPr>
          <w:b/>
          <w:sz w:val="40"/>
          <w:szCs w:val="40"/>
        </w:rPr>
        <w:t>1</w:t>
      </w:r>
      <w:r w:rsidR="00AD5EC1">
        <w:rPr>
          <w:b/>
          <w:sz w:val="40"/>
          <w:szCs w:val="40"/>
        </w:rPr>
        <w:t>6</w:t>
      </w:r>
      <w:r w:rsidR="001B68B1">
        <w:rPr>
          <w:b/>
          <w:sz w:val="40"/>
          <w:szCs w:val="40"/>
        </w:rPr>
        <w:t>-S</w:t>
      </w:r>
    </w:p>
    <w:p w14:paraId="041132E7" w14:textId="77777777" w:rsidR="001B68B1" w:rsidRPr="00970E6D" w:rsidRDefault="001B68B1" w:rsidP="001B68B1">
      <w:pPr>
        <w:tabs>
          <w:tab w:val="clear" w:pos="567"/>
        </w:tabs>
        <w:jc w:val="center"/>
        <w:rPr>
          <w:b/>
          <w:sz w:val="40"/>
          <w:szCs w:val="40"/>
        </w:rPr>
      </w:pPr>
    </w:p>
    <w:p w14:paraId="22DA73FA" w14:textId="77777777" w:rsidR="001B68B1" w:rsidRPr="00970E6D" w:rsidRDefault="001B68B1" w:rsidP="001B68B1">
      <w:pPr>
        <w:tabs>
          <w:tab w:val="clear" w:pos="567"/>
        </w:tabs>
        <w:jc w:val="center"/>
        <w:rPr>
          <w:b/>
          <w:sz w:val="40"/>
          <w:szCs w:val="40"/>
        </w:rPr>
      </w:pPr>
    </w:p>
    <w:p w14:paraId="31A0102B" w14:textId="77777777" w:rsidR="001B68B1" w:rsidRPr="00970E6D" w:rsidRDefault="001B68B1" w:rsidP="001B68B1">
      <w:pPr>
        <w:tabs>
          <w:tab w:val="clear" w:pos="567"/>
        </w:tabs>
        <w:jc w:val="center"/>
        <w:rPr>
          <w:b/>
          <w:sz w:val="40"/>
          <w:szCs w:val="40"/>
        </w:rPr>
      </w:pPr>
    </w:p>
    <w:p w14:paraId="64990CFF" w14:textId="77777777" w:rsidR="001B68B1" w:rsidRPr="00970E6D" w:rsidRDefault="001B68B1" w:rsidP="001B68B1">
      <w:pPr>
        <w:tabs>
          <w:tab w:val="clear" w:pos="567"/>
        </w:tabs>
        <w:jc w:val="center"/>
        <w:rPr>
          <w:sz w:val="40"/>
          <w:szCs w:val="40"/>
        </w:rPr>
      </w:pPr>
    </w:p>
    <w:p w14:paraId="5E94887F" w14:textId="77777777" w:rsidR="001B68B1" w:rsidRPr="00970E6D" w:rsidRDefault="001B68B1" w:rsidP="001B68B1">
      <w:pPr>
        <w:tabs>
          <w:tab w:val="clear" w:pos="567"/>
        </w:tabs>
        <w:jc w:val="right"/>
        <w:rPr>
          <w:b/>
          <w:sz w:val="28"/>
          <w:szCs w:val="28"/>
        </w:rPr>
      </w:pPr>
      <w:r>
        <w:rPr>
          <w:b/>
          <w:sz w:val="28"/>
          <w:szCs w:val="28"/>
        </w:rPr>
        <w:t>APRIL 2018</w:t>
      </w:r>
    </w:p>
    <w:p w14:paraId="18587DC6" w14:textId="1922808E" w:rsidR="001B68B1" w:rsidRPr="00970E6D" w:rsidRDefault="001B68B1" w:rsidP="001B68B1">
      <w:pPr>
        <w:tabs>
          <w:tab w:val="clear" w:pos="567"/>
        </w:tabs>
        <w:sectPr w:rsidR="001B68B1" w:rsidRPr="00970E6D" w:rsidSect="00D95EAA">
          <w:headerReference w:type="even" r:id="rId8"/>
          <w:headerReference w:type="default" r:id="rId9"/>
          <w:footerReference w:type="even" r:id="rId10"/>
          <w:footerReference w:type="default" r:id="rId11"/>
          <w:headerReference w:type="first" r:id="rId12"/>
          <w:footerReference w:type="first" r:id="rId13"/>
          <w:pgSz w:w="11899" w:h="16838" w:code="9"/>
          <w:pgMar w:top="1701" w:right="1474" w:bottom="1701" w:left="1474" w:header="709" w:footer="709" w:gutter="0"/>
          <w:cols w:space="708"/>
          <w:titlePg/>
          <w:docGrid w:linePitch="299"/>
        </w:sectPr>
      </w:pPr>
    </w:p>
    <w:p w14:paraId="56218E79" w14:textId="77777777" w:rsidR="001B68B1" w:rsidRPr="00970E6D" w:rsidRDefault="001B68B1" w:rsidP="001B68B1">
      <w:pPr>
        <w:tabs>
          <w:tab w:val="clear" w:pos="567"/>
        </w:tabs>
      </w:pPr>
    </w:p>
    <w:tbl>
      <w:tblPr>
        <w:tblStyle w:val="TableGrid"/>
        <w:tblW w:w="5000" w:type="pct"/>
        <w:tblLook w:val="01E0" w:firstRow="1" w:lastRow="1" w:firstColumn="1" w:lastColumn="1" w:noHBand="0" w:noVBand="0"/>
      </w:tblPr>
      <w:tblGrid>
        <w:gridCol w:w="2943"/>
        <w:gridCol w:w="6224"/>
      </w:tblGrid>
      <w:tr w:rsidR="001B68B1" w:rsidRPr="00970E6D" w14:paraId="3FDAB94D" w14:textId="77777777" w:rsidTr="00D95EAA">
        <w:tc>
          <w:tcPr>
            <w:tcW w:w="1605" w:type="pct"/>
            <w:tcBorders>
              <w:top w:val="single" w:sz="4" w:space="0" w:color="auto"/>
              <w:left w:val="single" w:sz="4" w:space="0" w:color="auto"/>
              <w:bottom w:val="single" w:sz="4" w:space="0" w:color="auto"/>
              <w:right w:val="single" w:sz="4" w:space="0" w:color="auto"/>
            </w:tcBorders>
          </w:tcPr>
          <w:p w14:paraId="606397CA" w14:textId="77777777" w:rsidR="001B68B1" w:rsidRPr="00970E6D" w:rsidRDefault="001B68B1" w:rsidP="00D95EAA">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14:paraId="67C3066F" w14:textId="2D88943C" w:rsidR="001B68B1" w:rsidRPr="00970E6D" w:rsidRDefault="00324298" w:rsidP="00B6715E">
            <w:pPr>
              <w:tabs>
                <w:tab w:val="clear" w:pos="567"/>
              </w:tabs>
            </w:pPr>
            <w:r>
              <w:t>20 April</w:t>
            </w:r>
            <w:r w:rsidR="001B68B1" w:rsidRPr="00970E6D">
              <w:t xml:space="preserve"> </w:t>
            </w:r>
            <w:r w:rsidR="00B6715E" w:rsidRPr="00970E6D">
              <w:t>20</w:t>
            </w:r>
            <w:r w:rsidR="00B6715E">
              <w:t>18</w:t>
            </w:r>
          </w:p>
        </w:tc>
      </w:tr>
      <w:tr w:rsidR="001B68B1" w:rsidRPr="00970E6D" w14:paraId="3D38A761" w14:textId="77777777" w:rsidTr="00D95EAA">
        <w:tc>
          <w:tcPr>
            <w:tcW w:w="1605" w:type="pct"/>
            <w:tcBorders>
              <w:top w:val="single" w:sz="4" w:space="0" w:color="auto"/>
              <w:left w:val="single" w:sz="4" w:space="0" w:color="auto"/>
              <w:bottom w:val="single" w:sz="4" w:space="0" w:color="auto"/>
              <w:right w:val="single" w:sz="4" w:space="0" w:color="auto"/>
            </w:tcBorders>
          </w:tcPr>
          <w:p w14:paraId="450384CE" w14:textId="77777777" w:rsidR="001B68B1" w:rsidRPr="00970E6D" w:rsidRDefault="001B68B1" w:rsidP="00D95EAA">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14:paraId="330AB7C4" w14:textId="4D92618D" w:rsidR="001B68B1" w:rsidRPr="00970E6D" w:rsidRDefault="00B6715E" w:rsidP="00B6715E">
            <w:pPr>
              <w:tabs>
                <w:tab w:val="clear" w:pos="567"/>
              </w:tabs>
            </w:pPr>
            <w:r>
              <w:t>Naomi Elliott, 02 6229 8859, naomi.elliott@cgc.gov.au</w:t>
            </w:r>
          </w:p>
        </w:tc>
      </w:tr>
      <w:tr w:rsidR="001B68B1" w:rsidRPr="00970E6D" w14:paraId="1AC18B53" w14:textId="77777777" w:rsidTr="00D95EAA">
        <w:tc>
          <w:tcPr>
            <w:tcW w:w="1605" w:type="pct"/>
            <w:tcBorders>
              <w:top w:val="single" w:sz="4" w:space="0" w:color="auto"/>
              <w:left w:val="single" w:sz="4" w:space="0" w:color="auto"/>
              <w:bottom w:val="single" w:sz="4" w:space="0" w:color="auto"/>
              <w:right w:val="single" w:sz="4" w:space="0" w:color="auto"/>
            </w:tcBorders>
          </w:tcPr>
          <w:p w14:paraId="417A1186" w14:textId="77777777" w:rsidR="001B68B1" w:rsidRPr="00970E6D" w:rsidRDefault="001B68B1" w:rsidP="00D95EAA">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14:paraId="5ED776D9" w14:textId="77777777" w:rsidR="00324298" w:rsidRDefault="00324298" w:rsidP="00D95EAA">
            <w:pPr>
              <w:tabs>
                <w:tab w:val="clear" w:pos="567"/>
              </w:tabs>
            </w:pPr>
            <w:r>
              <w:t>31 August 2018.</w:t>
            </w:r>
          </w:p>
          <w:p w14:paraId="02FF20FE" w14:textId="1D386DE5" w:rsidR="001B68B1" w:rsidRPr="00970E6D" w:rsidRDefault="001B68B1" w:rsidP="00D95EAA">
            <w:pPr>
              <w:tabs>
                <w:tab w:val="clear" w:pos="567"/>
              </w:tabs>
            </w:pPr>
            <w:r w:rsidRPr="00970E6D">
              <w:t xml:space="preserve">Submissions should be emailed in Word format to </w:t>
            </w:r>
            <w:hyperlink r:id="rId14" w:history="1">
              <w:r w:rsidRPr="00970E6D">
                <w:rPr>
                  <w:rStyle w:val="Hyperlink"/>
                </w:rPr>
                <w:t>secretary@cgc.gov.au</w:t>
              </w:r>
            </w:hyperlink>
            <w:r w:rsidRPr="00970E6D">
              <w:t xml:space="preserve"> .</w:t>
            </w:r>
          </w:p>
          <w:p w14:paraId="10A1658D" w14:textId="77777777" w:rsidR="001B68B1" w:rsidRPr="00970E6D" w:rsidRDefault="001B68B1" w:rsidP="00D95EAA">
            <w:pPr>
              <w:tabs>
                <w:tab w:val="clear" w:pos="567"/>
              </w:tabs>
            </w:pPr>
            <w:r w:rsidRPr="00970E6D">
              <w:t xml:space="preserve">Submissions of more than </w:t>
            </w:r>
            <w:r>
              <w:t>10</w:t>
            </w:r>
            <w:r w:rsidRPr="00970E6D">
              <w:t xml:space="preserve"> pages in length should include a summary section.</w:t>
            </w:r>
          </w:p>
        </w:tc>
      </w:tr>
      <w:tr w:rsidR="001B68B1" w:rsidRPr="00970E6D" w14:paraId="01100E97" w14:textId="77777777" w:rsidTr="00D95EAA">
        <w:tc>
          <w:tcPr>
            <w:tcW w:w="1605" w:type="pct"/>
            <w:tcBorders>
              <w:top w:val="single" w:sz="4" w:space="0" w:color="auto"/>
              <w:left w:val="single" w:sz="4" w:space="0" w:color="auto"/>
              <w:bottom w:val="single" w:sz="4" w:space="0" w:color="auto"/>
              <w:right w:val="single" w:sz="4" w:space="0" w:color="auto"/>
            </w:tcBorders>
          </w:tcPr>
          <w:p w14:paraId="0E0AA302" w14:textId="77777777" w:rsidR="001B68B1" w:rsidRPr="00970E6D" w:rsidRDefault="001B68B1" w:rsidP="00D95EAA">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14:paraId="491C2B83" w14:textId="2A756241" w:rsidR="001B68B1" w:rsidRPr="00CF1294" w:rsidRDefault="001B68B1" w:rsidP="00D95EAA">
            <w:pPr>
              <w:tabs>
                <w:tab w:val="clear" w:pos="567"/>
              </w:tabs>
            </w:pPr>
            <w:r w:rsidRPr="00CF1294">
              <w:t xml:space="preserve">It is the </w:t>
            </w:r>
            <w:r w:rsidR="00044540">
              <w:t>C</w:t>
            </w:r>
            <w:r w:rsidRPr="00CF1294">
              <w:t xml:space="preserve">ommission’s normal practice to make State submissions available on its website under the CC BY licence, allowing free use of content by third parties. </w:t>
            </w:r>
          </w:p>
          <w:p w14:paraId="58BE2BBC" w14:textId="77777777" w:rsidR="001B68B1" w:rsidRPr="00CF1294" w:rsidRDefault="001B68B1" w:rsidP="00D95EAA">
            <w:pPr>
              <w:tabs>
                <w:tab w:val="clear" w:pos="567"/>
              </w:tabs>
            </w:pPr>
            <w:r w:rsidRPr="00CF1294">
              <w:rPr>
                <w:noProof/>
                <w:lang w:eastAsia="en-AU"/>
              </w:rPr>
              <w:drawing>
                <wp:inline distT="0" distB="0" distL="0" distR="0" wp14:anchorId="3E3C02C8" wp14:editId="1F439590">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5"/>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12A0C1C3" w14:textId="46F39247" w:rsidR="001B68B1" w:rsidRPr="00CF1294" w:rsidRDefault="001B68B1" w:rsidP="00D95EAA">
            <w:pPr>
              <w:tabs>
                <w:tab w:val="clear" w:pos="567"/>
              </w:tabs>
            </w:pPr>
            <w:r w:rsidRPr="00CF1294">
              <w:t xml:space="preserve">Further information on the CC BY licence can be found </w:t>
            </w:r>
            <w:r w:rsidRPr="00EC79CF">
              <w:t xml:space="preserve">on the </w:t>
            </w:r>
            <w:hyperlink r:id="rId16" w:history="1">
              <w:r w:rsidRPr="00841145">
                <w:rPr>
                  <w:rStyle w:val="Hyperlink"/>
                </w:rPr>
                <w:t>Creative Commons website</w:t>
              </w:r>
            </w:hyperlink>
            <w:r w:rsidRPr="00EC79CF">
              <w:t xml:space="preserve"> </w:t>
            </w:r>
            <w:r>
              <w:t>(</w:t>
            </w:r>
            <w:r w:rsidRPr="00841145">
              <w:t>http://creativecommons.org</w:t>
            </w:r>
            <w:r>
              <w:t>).</w:t>
            </w:r>
            <w:r w:rsidRPr="00CF1294">
              <w:t xml:space="preserve"> </w:t>
            </w:r>
          </w:p>
          <w:p w14:paraId="3C360FFC" w14:textId="33A22F5F" w:rsidR="001B68B1" w:rsidRPr="00970E6D" w:rsidRDefault="001B68B1" w:rsidP="00C11FD1">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C11FD1">
              <w:t>C</w:t>
            </w:r>
            <w:r w:rsidRPr="00CF1294">
              <w:t>ommission’s website.</w:t>
            </w:r>
          </w:p>
        </w:tc>
      </w:tr>
    </w:tbl>
    <w:p w14:paraId="600C7ABD" w14:textId="77777777" w:rsidR="001B68B1" w:rsidRPr="00970E6D" w:rsidRDefault="001B68B1" w:rsidP="001B68B1">
      <w:pPr>
        <w:tabs>
          <w:tab w:val="clear" w:pos="567"/>
        </w:tabs>
        <w:sectPr w:rsidR="001B68B1" w:rsidRPr="00970E6D" w:rsidSect="00D95EAA">
          <w:headerReference w:type="first" r:id="rId17"/>
          <w:footerReference w:type="first" r:id="rId18"/>
          <w:pgSz w:w="11899" w:h="16838" w:code="9"/>
          <w:pgMar w:top="1701" w:right="1474" w:bottom="1701" w:left="1474" w:header="709" w:footer="709" w:gutter="0"/>
          <w:cols w:space="708"/>
          <w:vAlign w:val="bottom"/>
          <w:titlePg/>
          <w:docGrid w:linePitch="299"/>
        </w:sectPr>
      </w:pPr>
    </w:p>
    <w:p w14:paraId="59CD943A" w14:textId="77777777" w:rsidR="001B68B1" w:rsidRPr="00970E6D" w:rsidRDefault="001B68B1" w:rsidP="001B68B1">
      <w:pPr>
        <w:pStyle w:val="Heading1"/>
      </w:pPr>
      <w:r w:rsidRPr="00970E6D">
        <w:lastRenderedPageBreak/>
        <w:t>C</w:t>
      </w:r>
      <w:bookmarkEnd w:id="0"/>
      <w:bookmarkEnd w:id="1"/>
      <w:bookmarkEnd w:id="2"/>
      <w:bookmarkEnd w:id="3"/>
      <w:bookmarkEnd w:id="4"/>
      <w:bookmarkEnd w:id="5"/>
      <w:r>
        <w:t>ontents</w:t>
      </w:r>
    </w:p>
    <w:p w14:paraId="11F96084" w14:textId="77777777" w:rsidR="00422CFD" w:rsidRDefault="00905404">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1747965" w:history="1">
        <w:r w:rsidR="00422CFD" w:rsidRPr="00632D6C">
          <w:rPr>
            <w:rStyle w:val="Hyperlink"/>
            <w:noProof/>
          </w:rPr>
          <w:t>Justice</w:t>
        </w:r>
        <w:r w:rsidR="00422CFD">
          <w:rPr>
            <w:noProof/>
            <w:webHidden/>
          </w:rPr>
          <w:tab/>
        </w:r>
        <w:r w:rsidR="00422CFD">
          <w:rPr>
            <w:noProof/>
            <w:webHidden/>
          </w:rPr>
          <w:fldChar w:fldCharType="begin"/>
        </w:r>
        <w:r w:rsidR="00422CFD">
          <w:rPr>
            <w:noProof/>
            <w:webHidden/>
          </w:rPr>
          <w:instrText xml:space="preserve"> PAGEREF _Toc511747965 \h </w:instrText>
        </w:r>
        <w:r w:rsidR="00422CFD">
          <w:rPr>
            <w:noProof/>
            <w:webHidden/>
          </w:rPr>
        </w:r>
        <w:r w:rsidR="00422CFD">
          <w:rPr>
            <w:noProof/>
            <w:webHidden/>
          </w:rPr>
          <w:fldChar w:fldCharType="separate"/>
        </w:r>
        <w:r w:rsidR="00422CFD">
          <w:rPr>
            <w:noProof/>
            <w:webHidden/>
          </w:rPr>
          <w:t>1</w:t>
        </w:r>
        <w:r w:rsidR="00422CFD">
          <w:rPr>
            <w:noProof/>
            <w:webHidden/>
          </w:rPr>
          <w:fldChar w:fldCharType="end"/>
        </w:r>
      </w:hyperlink>
    </w:p>
    <w:p w14:paraId="26F85BA8" w14:textId="77777777" w:rsidR="00422CFD" w:rsidRDefault="007D28FC">
      <w:pPr>
        <w:pStyle w:val="TOC1"/>
        <w:rPr>
          <w:rFonts w:eastAsiaTheme="minorEastAsia"/>
          <w:b w:val="0"/>
          <w:bCs w:val="0"/>
          <w:caps w:val="0"/>
          <w:noProof/>
          <w:sz w:val="22"/>
          <w:szCs w:val="22"/>
          <w:lang w:eastAsia="en-AU"/>
        </w:rPr>
      </w:pPr>
      <w:hyperlink w:anchor="_Toc511747966" w:history="1">
        <w:r w:rsidR="00422CFD" w:rsidRPr="00632D6C">
          <w:rPr>
            <w:rStyle w:val="Hyperlink"/>
            <w:noProof/>
          </w:rPr>
          <w:t>2015 REVIEW APPROACH</w:t>
        </w:r>
        <w:r w:rsidR="00422CFD">
          <w:rPr>
            <w:noProof/>
            <w:webHidden/>
          </w:rPr>
          <w:tab/>
        </w:r>
        <w:r w:rsidR="00422CFD">
          <w:rPr>
            <w:noProof/>
            <w:webHidden/>
          </w:rPr>
          <w:fldChar w:fldCharType="begin"/>
        </w:r>
        <w:r w:rsidR="00422CFD">
          <w:rPr>
            <w:noProof/>
            <w:webHidden/>
          </w:rPr>
          <w:instrText xml:space="preserve"> PAGEREF _Toc511747966 \h </w:instrText>
        </w:r>
        <w:r w:rsidR="00422CFD">
          <w:rPr>
            <w:noProof/>
            <w:webHidden/>
          </w:rPr>
        </w:r>
        <w:r w:rsidR="00422CFD">
          <w:rPr>
            <w:noProof/>
            <w:webHidden/>
          </w:rPr>
          <w:fldChar w:fldCharType="separate"/>
        </w:r>
        <w:r w:rsidR="00422CFD">
          <w:rPr>
            <w:noProof/>
            <w:webHidden/>
          </w:rPr>
          <w:t>1</w:t>
        </w:r>
        <w:r w:rsidR="00422CFD">
          <w:rPr>
            <w:noProof/>
            <w:webHidden/>
          </w:rPr>
          <w:fldChar w:fldCharType="end"/>
        </w:r>
      </w:hyperlink>
    </w:p>
    <w:p w14:paraId="20E0FC3F" w14:textId="77777777" w:rsidR="00422CFD" w:rsidRDefault="007D28FC">
      <w:pPr>
        <w:pStyle w:val="TOC3"/>
        <w:rPr>
          <w:rFonts w:eastAsiaTheme="minorEastAsia"/>
          <w:iCs w:val="0"/>
          <w:noProof/>
          <w:sz w:val="22"/>
          <w:lang w:eastAsia="en-AU"/>
        </w:rPr>
      </w:pPr>
      <w:hyperlink w:anchor="_Toc511747967" w:history="1">
        <w:r w:rsidR="00422CFD" w:rsidRPr="00632D6C">
          <w:rPr>
            <w:rStyle w:val="Hyperlink"/>
            <w:noProof/>
          </w:rPr>
          <w:t>Services included in this category</w:t>
        </w:r>
        <w:r w:rsidR="00422CFD">
          <w:rPr>
            <w:noProof/>
            <w:webHidden/>
          </w:rPr>
          <w:tab/>
        </w:r>
        <w:r w:rsidR="00422CFD">
          <w:rPr>
            <w:noProof/>
            <w:webHidden/>
          </w:rPr>
          <w:fldChar w:fldCharType="begin"/>
        </w:r>
        <w:r w:rsidR="00422CFD">
          <w:rPr>
            <w:noProof/>
            <w:webHidden/>
          </w:rPr>
          <w:instrText xml:space="preserve"> PAGEREF _Toc511747967 \h </w:instrText>
        </w:r>
        <w:r w:rsidR="00422CFD">
          <w:rPr>
            <w:noProof/>
            <w:webHidden/>
          </w:rPr>
        </w:r>
        <w:r w:rsidR="00422CFD">
          <w:rPr>
            <w:noProof/>
            <w:webHidden/>
          </w:rPr>
          <w:fldChar w:fldCharType="separate"/>
        </w:r>
        <w:r w:rsidR="00422CFD">
          <w:rPr>
            <w:noProof/>
            <w:webHidden/>
          </w:rPr>
          <w:t>1</w:t>
        </w:r>
        <w:r w:rsidR="00422CFD">
          <w:rPr>
            <w:noProof/>
            <w:webHidden/>
          </w:rPr>
          <w:fldChar w:fldCharType="end"/>
        </w:r>
      </w:hyperlink>
    </w:p>
    <w:p w14:paraId="7239C9E9" w14:textId="77777777" w:rsidR="00422CFD" w:rsidRDefault="007D28FC">
      <w:pPr>
        <w:pStyle w:val="TOC3"/>
        <w:rPr>
          <w:rFonts w:eastAsiaTheme="minorEastAsia"/>
          <w:iCs w:val="0"/>
          <w:noProof/>
          <w:sz w:val="22"/>
          <w:lang w:eastAsia="en-AU"/>
        </w:rPr>
      </w:pPr>
      <w:hyperlink w:anchor="_Toc511747968" w:history="1">
        <w:r w:rsidR="00422CFD" w:rsidRPr="00632D6C">
          <w:rPr>
            <w:rStyle w:val="Hyperlink"/>
            <w:noProof/>
          </w:rPr>
          <w:t>Category and component expenses</w:t>
        </w:r>
        <w:r w:rsidR="00422CFD">
          <w:rPr>
            <w:noProof/>
            <w:webHidden/>
          </w:rPr>
          <w:tab/>
        </w:r>
        <w:r w:rsidR="00422CFD">
          <w:rPr>
            <w:noProof/>
            <w:webHidden/>
          </w:rPr>
          <w:fldChar w:fldCharType="begin"/>
        </w:r>
        <w:r w:rsidR="00422CFD">
          <w:rPr>
            <w:noProof/>
            <w:webHidden/>
          </w:rPr>
          <w:instrText xml:space="preserve"> PAGEREF _Toc511747968 \h </w:instrText>
        </w:r>
        <w:r w:rsidR="00422CFD">
          <w:rPr>
            <w:noProof/>
            <w:webHidden/>
          </w:rPr>
        </w:r>
        <w:r w:rsidR="00422CFD">
          <w:rPr>
            <w:noProof/>
            <w:webHidden/>
          </w:rPr>
          <w:fldChar w:fldCharType="separate"/>
        </w:r>
        <w:r w:rsidR="00422CFD">
          <w:rPr>
            <w:noProof/>
            <w:webHidden/>
          </w:rPr>
          <w:t>1</w:t>
        </w:r>
        <w:r w:rsidR="00422CFD">
          <w:rPr>
            <w:noProof/>
            <w:webHidden/>
          </w:rPr>
          <w:fldChar w:fldCharType="end"/>
        </w:r>
      </w:hyperlink>
    </w:p>
    <w:p w14:paraId="2E03E55C" w14:textId="77777777" w:rsidR="00422CFD" w:rsidRDefault="007D28FC">
      <w:pPr>
        <w:pStyle w:val="TOC3"/>
        <w:rPr>
          <w:rFonts w:eastAsiaTheme="minorEastAsia"/>
          <w:iCs w:val="0"/>
          <w:noProof/>
          <w:sz w:val="22"/>
          <w:lang w:eastAsia="en-AU"/>
        </w:rPr>
      </w:pPr>
      <w:hyperlink w:anchor="_Toc511747969" w:history="1">
        <w:r w:rsidR="00422CFD" w:rsidRPr="00632D6C">
          <w:rPr>
            <w:rStyle w:val="Hyperlink"/>
            <w:noProof/>
          </w:rPr>
          <w:t>Data sources and assessment methods</w:t>
        </w:r>
        <w:r w:rsidR="00422CFD">
          <w:rPr>
            <w:noProof/>
            <w:webHidden/>
          </w:rPr>
          <w:tab/>
        </w:r>
        <w:r w:rsidR="00422CFD">
          <w:rPr>
            <w:noProof/>
            <w:webHidden/>
          </w:rPr>
          <w:fldChar w:fldCharType="begin"/>
        </w:r>
        <w:r w:rsidR="00422CFD">
          <w:rPr>
            <w:noProof/>
            <w:webHidden/>
          </w:rPr>
          <w:instrText xml:space="preserve"> PAGEREF _Toc511747969 \h </w:instrText>
        </w:r>
        <w:r w:rsidR="00422CFD">
          <w:rPr>
            <w:noProof/>
            <w:webHidden/>
          </w:rPr>
        </w:r>
        <w:r w:rsidR="00422CFD">
          <w:rPr>
            <w:noProof/>
            <w:webHidden/>
          </w:rPr>
          <w:fldChar w:fldCharType="separate"/>
        </w:r>
        <w:r w:rsidR="00422CFD">
          <w:rPr>
            <w:noProof/>
            <w:webHidden/>
          </w:rPr>
          <w:t>1</w:t>
        </w:r>
        <w:r w:rsidR="00422CFD">
          <w:rPr>
            <w:noProof/>
            <w:webHidden/>
          </w:rPr>
          <w:fldChar w:fldCharType="end"/>
        </w:r>
      </w:hyperlink>
    </w:p>
    <w:p w14:paraId="6682BBAF" w14:textId="77777777" w:rsidR="00422CFD" w:rsidRDefault="007D28FC">
      <w:pPr>
        <w:pStyle w:val="TOC1"/>
        <w:rPr>
          <w:rFonts w:eastAsiaTheme="minorEastAsia"/>
          <w:b w:val="0"/>
          <w:bCs w:val="0"/>
          <w:caps w:val="0"/>
          <w:noProof/>
          <w:sz w:val="22"/>
          <w:szCs w:val="22"/>
          <w:lang w:eastAsia="en-AU"/>
        </w:rPr>
      </w:pPr>
      <w:hyperlink w:anchor="_Toc511747970" w:history="1">
        <w:r w:rsidR="00422CFD" w:rsidRPr="00632D6C">
          <w:rPr>
            <w:rStyle w:val="Hyperlink"/>
            <w:noProof/>
          </w:rPr>
          <w:t>ISSUES AND ANALYSIS</w:t>
        </w:r>
        <w:r w:rsidR="00422CFD">
          <w:rPr>
            <w:noProof/>
            <w:webHidden/>
          </w:rPr>
          <w:tab/>
        </w:r>
        <w:r w:rsidR="00422CFD">
          <w:rPr>
            <w:noProof/>
            <w:webHidden/>
          </w:rPr>
          <w:fldChar w:fldCharType="begin"/>
        </w:r>
        <w:r w:rsidR="00422CFD">
          <w:rPr>
            <w:noProof/>
            <w:webHidden/>
          </w:rPr>
          <w:instrText xml:space="preserve"> PAGEREF _Toc511747970 \h </w:instrText>
        </w:r>
        <w:r w:rsidR="00422CFD">
          <w:rPr>
            <w:noProof/>
            <w:webHidden/>
          </w:rPr>
        </w:r>
        <w:r w:rsidR="00422CFD">
          <w:rPr>
            <w:noProof/>
            <w:webHidden/>
          </w:rPr>
          <w:fldChar w:fldCharType="separate"/>
        </w:r>
        <w:r w:rsidR="00422CFD">
          <w:rPr>
            <w:noProof/>
            <w:webHidden/>
          </w:rPr>
          <w:t>6</w:t>
        </w:r>
        <w:r w:rsidR="00422CFD">
          <w:rPr>
            <w:noProof/>
            <w:webHidden/>
          </w:rPr>
          <w:fldChar w:fldCharType="end"/>
        </w:r>
      </w:hyperlink>
    </w:p>
    <w:p w14:paraId="40670A6E" w14:textId="77777777" w:rsidR="00422CFD" w:rsidRDefault="007D28FC">
      <w:pPr>
        <w:pStyle w:val="TOC3"/>
        <w:rPr>
          <w:rFonts w:eastAsiaTheme="minorEastAsia"/>
          <w:iCs w:val="0"/>
          <w:noProof/>
          <w:sz w:val="22"/>
          <w:lang w:eastAsia="en-AU"/>
        </w:rPr>
      </w:pPr>
      <w:hyperlink w:anchor="_Toc511747971" w:history="1">
        <w:r w:rsidR="00422CFD" w:rsidRPr="00632D6C">
          <w:rPr>
            <w:rStyle w:val="Hyperlink"/>
            <w:noProof/>
          </w:rPr>
          <w:t>Police</w:t>
        </w:r>
        <w:r w:rsidR="00422CFD">
          <w:rPr>
            <w:noProof/>
            <w:webHidden/>
          </w:rPr>
          <w:tab/>
        </w:r>
        <w:r w:rsidR="00422CFD">
          <w:rPr>
            <w:noProof/>
            <w:webHidden/>
          </w:rPr>
          <w:fldChar w:fldCharType="begin"/>
        </w:r>
        <w:r w:rsidR="00422CFD">
          <w:rPr>
            <w:noProof/>
            <w:webHidden/>
          </w:rPr>
          <w:instrText xml:space="preserve"> PAGEREF _Toc511747971 \h </w:instrText>
        </w:r>
        <w:r w:rsidR="00422CFD">
          <w:rPr>
            <w:noProof/>
            <w:webHidden/>
          </w:rPr>
        </w:r>
        <w:r w:rsidR="00422CFD">
          <w:rPr>
            <w:noProof/>
            <w:webHidden/>
          </w:rPr>
          <w:fldChar w:fldCharType="separate"/>
        </w:r>
        <w:r w:rsidR="00422CFD">
          <w:rPr>
            <w:noProof/>
            <w:webHidden/>
          </w:rPr>
          <w:t>6</w:t>
        </w:r>
        <w:r w:rsidR="00422CFD">
          <w:rPr>
            <w:noProof/>
            <w:webHidden/>
          </w:rPr>
          <w:fldChar w:fldCharType="end"/>
        </w:r>
      </w:hyperlink>
    </w:p>
    <w:p w14:paraId="4C080057" w14:textId="77777777" w:rsidR="00422CFD" w:rsidRDefault="007D28FC">
      <w:pPr>
        <w:pStyle w:val="TOC3"/>
        <w:rPr>
          <w:rFonts w:eastAsiaTheme="minorEastAsia"/>
          <w:iCs w:val="0"/>
          <w:noProof/>
          <w:sz w:val="22"/>
          <w:lang w:eastAsia="en-AU"/>
        </w:rPr>
      </w:pPr>
      <w:hyperlink w:anchor="_Toc511747972" w:history="1">
        <w:r w:rsidR="00422CFD" w:rsidRPr="00632D6C">
          <w:rPr>
            <w:rStyle w:val="Hyperlink"/>
            <w:noProof/>
          </w:rPr>
          <w:t>Courts and legal services</w:t>
        </w:r>
        <w:r w:rsidR="00422CFD">
          <w:rPr>
            <w:noProof/>
            <w:webHidden/>
          </w:rPr>
          <w:tab/>
        </w:r>
        <w:r w:rsidR="00422CFD">
          <w:rPr>
            <w:noProof/>
            <w:webHidden/>
          </w:rPr>
          <w:fldChar w:fldCharType="begin"/>
        </w:r>
        <w:r w:rsidR="00422CFD">
          <w:rPr>
            <w:noProof/>
            <w:webHidden/>
          </w:rPr>
          <w:instrText xml:space="preserve"> PAGEREF _Toc511747972 \h </w:instrText>
        </w:r>
        <w:r w:rsidR="00422CFD">
          <w:rPr>
            <w:noProof/>
            <w:webHidden/>
          </w:rPr>
        </w:r>
        <w:r w:rsidR="00422CFD">
          <w:rPr>
            <w:noProof/>
            <w:webHidden/>
          </w:rPr>
          <w:fldChar w:fldCharType="separate"/>
        </w:r>
        <w:r w:rsidR="00422CFD">
          <w:rPr>
            <w:noProof/>
            <w:webHidden/>
          </w:rPr>
          <w:t>10</w:t>
        </w:r>
        <w:r w:rsidR="00422CFD">
          <w:rPr>
            <w:noProof/>
            <w:webHidden/>
          </w:rPr>
          <w:fldChar w:fldCharType="end"/>
        </w:r>
      </w:hyperlink>
    </w:p>
    <w:p w14:paraId="6A01F666" w14:textId="77777777" w:rsidR="00422CFD" w:rsidRDefault="007D28FC">
      <w:pPr>
        <w:pStyle w:val="TOC3"/>
        <w:rPr>
          <w:rFonts w:eastAsiaTheme="minorEastAsia"/>
          <w:iCs w:val="0"/>
          <w:noProof/>
          <w:sz w:val="22"/>
          <w:lang w:eastAsia="en-AU"/>
        </w:rPr>
      </w:pPr>
      <w:hyperlink w:anchor="_Toc511747973" w:history="1">
        <w:r w:rsidR="00422CFD" w:rsidRPr="00632D6C">
          <w:rPr>
            <w:rStyle w:val="Hyperlink"/>
            <w:noProof/>
          </w:rPr>
          <w:t>Prisons</w:t>
        </w:r>
        <w:r w:rsidR="00422CFD">
          <w:rPr>
            <w:noProof/>
            <w:webHidden/>
          </w:rPr>
          <w:tab/>
        </w:r>
        <w:r w:rsidR="00422CFD">
          <w:rPr>
            <w:noProof/>
            <w:webHidden/>
          </w:rPr>
          <w:fldChar w:fldCharType="begin"/>
        </w:r>
        <w:r w:rsidR="00422CFD">
          <w:rPr>
            <w:noProof/>
            <w:webHidden/>
          </w:rPr>
          <w:instrText xml:space="preserve"> PAGEREF _Toc511747973 \h </w:instrText>
        </w:r>
        <w:r w:rsidR="00422CFD">
          <w:rPr>
            <w:noProof/>
            <w:webHidden/>
          </w:rPr>
        </w:r>
        <w:r w:rsidR="00422CFD">
          <w:rPr>
            <w:noProof/>
            <w:webHidden/>
          </w:rPr>
          <w:fldChar w:fldCharType="separate"/>
        </w:r>
        <w:r w:rsidR="00422CFD">
          <w:rPr>
            <w:noProof/>
            <w:webHidden/>
          </w:rPr>
          <w:t>13</w:t>
        </w:r>
        <w:r w:rsidR="00422CFD">
          <w:rPr>
            <w:noProof/>
            <w:webHidden/>
          </w:rPr>
          <w:fldChar w:fldCharType="end"/>
        </w:r>
      </w:hyperlink>
    </w:p>
    <w:p w14:paraId="68569D5D" w14:textId="77777777" w:rsidR="00422CFD" w:rsidRDefault="007D28FC">
      <w:pPr>
        <w:pStyle w:val="TOC3"/>
        <w:rPr>
          <w:rFonts w:eastAsiaTheme="minorEastAsia"/>
          <w:iCs w:val="0"/>
          <w:noProof/>
          <w:sz w:val="22"/>
          <w:lang w:eastAsia="en-AU"/>
        </w:rPr>
      </w:pPr>
      <w:hyperlink w:anchor="_Toc511747974" w:history="1">
        <w:r w:rsidR="00422CFD" w:rsidRPr="00632D6C">
          <w:rPr>
            <w:rStyle w:val="Hyperlink"/>
            <w:noProof/>
          </w:rPr>
          <w:t>User charges</w:t>
        </w:r>
        <w:r w:rsidR="00422CFD">
          <w:rPr>
            <w:noProof/>
            <w:webHidden/>
          </w:rPr>
          <w:tab/>
        </w:r>
        <w:r w:rsidR="00422CFD">
          <w:rPr>
            <w:noProof/>
            <w:webHidden/>
          </w:rPr>
          <w:fldChar w:fldCharType="begin"/>
        </w:r>
        <w:r w:rsidR="00422CFD">
          <w:rPr>
            <w:noProof/>
            <w:webHidden/>
          </w:rPr>
          <w:instrText xml:space="preserve"> PAGEREF _Toc511747974 \h </w:instrText>
        </w:r>
        <w:r w:rsidR="00422CFD">
          <w:rPr>
            <w:noProof/>
            <w:webHidden/>
          </w:rPr>
        </w:r>
        <w:r w:rsidR="00422CFD">
          <w:rPr>
            <w:noProof/>
            <w:webHidden/>
          </w:rPr>
          <w:fldChar w:fldCharType="separate"/>
        </w:r>
        <w:r w:rsidR="00422CFD">
          <w:rPr>
            <w:noProof/>
            <w:webHidden/>
          </w:rPr>
          <w:t>13</w:t>
        </w:r>
        <w:r w:rsidR="00422CFD">
          <w:rPr>
            <w:noProof/>
            <w:webHidden/>
          </w:rPr>
          <w:fldChar w:fldCharType="end"/>
        </w:r>
      </w:hyperlink>
    </w:p>
    <w:p w14:paraId="5DDFF1B8" w14:textId="77777777" w:rsidR="00422CFD" w:rsidRDefault="007D28FC">
      <w:pPr>
        <w:pStyle w:val="TOC3"/>
        <w:rPr>
          <w:rFonts w:eastAsiaTheme="minorEastAsia"/>
          <w:iCs w:val="0"/>
          <w:noProof/>
          <w:sz w:val="22"/>
          <w:lang w:eastAsia="en-AU"/>
        </w:rPr>
      </w:pPr>
      <w:hyperlink w:anchor="_Toc511747975" w:history="1">
        <w:r w:rsidR="00422CFD" w:rsidRPr="00632D6C">
          <w:rPr>
            <w:rStyle w:val="Hyperlink"/>
            <w:noProof/>
          </w:rPr>
          <w:t>Other issues considered</w:t>
        </w:r>
        <w:r w:rsidR="00422CFD">
          <w:rPr>
            <w:noProof/>
            <w:webHidden/>
          </w:rPr>
          <w:tab/>
        </w:r>
        <w:r w:rsidR="00422CFD">
          <w:rPr>
            <w:noProof/>
            <w:webHidden/>
          </w:rPr>
          <w:fldChar w:fldCharType="begin"/>
        </w:r>
        <w:r w:rsidR="00422CFD">
          <w:rPr>
            <w:noProof/>
            <w:webHidden/>
          </w:rPr>
          <w:instrText xml:space="preserve"> PAGEREF _Toc511747975 \h </w:instrText>
        </w:r>
        <w:r w:rsidR="00422CFD">
          <w:rPr>
            <w:noProof/>
            <w:webHidden/>
          </w:rPr>
        </w:r>
        <w:r w:rsidR="00422CFD">
          <w:rPr>
            <w:noProof/>
            <w:webHidden/>
          </w:rPr>
          <w:fldChar w:fldCharType="separate"/>
        </w:r>
        <w:r w:rsidR="00422CFD">
          <w:rPr>
            <w:noProof/>
            <w:webHidden/>
          </w:rPr>
          <w:t>14</w:t>
        </w:r>
        <w:r w:rsidR="00422CFD">
          <w:rPr>
            <w:noProof/>
            <w:webHidden/>
          </w:rPr>
          <w:fldChar w:fldCharType="end"/>
        </w:r>
      </w:hyperlink>
    </w:p>
    <w:p w14:paraId="73490020" w14:textId="77777777" w:rsidR="00422CFD" w:rsidRDefault="007D28FC">
      <w:pPr>
        <w:pStyle w:val="TOC1"/>
        <w:rPr>
          <w:rFonts w:eastAsiaTheme="minorEastAsia"/>
          <w:b w:val="0"/>
          <w:bCs w:val="0"/>
          <w:caps w:val="0"/>
          <w:noProof/>
          <w:sz w:val="22"/>
          <w:szCs w:val="22"/>
          <w:lang w:eastAsia="en-AU"/>
        </w:rPr>
      </w:pPr>
      <w:hyperlink w:anchor="_Toc511747976" w:history="1">
        <w:r w:rsidR="00422CFD" w:rsidRPr="00632D6C">
          <w:rPr>
            <w:rStyle w:val="Hyperlink"/>
            <w:noProof/>
          </w:rPr>
          <w:t>Conclusion and way forward</w:t>
        </w:r>
        <w:r w:rsidR="00422CFD">
          <w:rPr>
            <w:noProof/>
            <w:webHidden/>
          </w:rPr>
          <w:tab/>
        </w:r>
        <w:r w:rsidR="00422CFD">
          <w:rPr>
            <w:noProof/>
            <w:webHidden/>
          </w:rPr>
          <w:fldChar w:fldCharType="begin"/>
        </w:r>
        <w:r w:rsidR="00422CFD">
          <w:rPr>
            <w:noProof/>
            <w:webHidden/>
          </w:rPr>
          <w:instrText xml:space="preserve"> PAGEREF _Toc511747976 \h </w:instrText>
        </w:r>
        <w:r w:rsidR="00422CFD">
          <w:rPr>
            <w:noProof/>
            <w:webHidden/>
          </w:rPr>
        </w:r>
        <w:r w:rsidR="00422CFD">
          <w:rPr>
            <w:noProof/>
            <w:webHidden/>
          </w:rPr>
          <w:fldChar w:fldCharType="separate"/>
        </w:r>
        <w:r w:rsidR="00422CFD">
          <w:rPr>
            <w:noProof/>
            <w:webHidden/>
          </w:rPr>
          <w:t>15</w:t>
        </w:r>
        <w:r w:rsidR="00422CFD">
          <w:rPr>
            <w:noProof/>
            <w:webHidden/>
          </w:rPr>
          <w:fldChar w:fldCharType="end"/>
        </w:r>
      </w:hyperlink>
    </w:p>
    <w:p w14:paraId="5296B520" w14:textId="77777777" w:rsidR="00422CFD" w:rsidRDefault="007D28FC">
      <w:pPr>
        <w:pStyle w:val="TOC3"/>
        <w:rPr>
          <w:rFonts w:eastAsiaTheme="minorEastAsia"/>
          <w:iCs w:val="0"/>
          <w:noProof/>
          <w:sz w:val="22"/>
          <w:lang w:eastAsia="en-AU"/>
        </w:rPr>
      </w:pPr>
      <w:hyperlink w:anchor="_Toc511747977" w:history="1">
        <w:r w:rsidR="00422CFD" w:rsidRPr="00632D6C">
          <w:rPr>
            <w:rStyle w:val="Hyperlink"/>
            <w:noProof/>
          </w:rPr>
          <w:t>Proposed assessment structure</w:t>
        </w:r>
        <w:r w:rsidR="00422CFD">
          <w:rPr>
            <w:noProof/>
            <w:webHidden/>
          </w:rPr>
          <w:tab/>
        </w:r>
        <w:r w:rsidR="00422CFD">
          <w:rPr>
            <w:noProof/>
            <w:webHidden/>
          </w:rPr>
          <w:fldChar w:fldCharType="begin"/>
        </w:r>
        <w:r w:rsidR="00422CFD">
          <w:rPr>
            <w:noProof/>
            <w:webHidden/>
          </w:rPr>
          <w:instrText xml:space="preserve"> PAGEREF _Toc511747977 \h </w:instrText>
        </w:r>
        <w:r w:rsidR="00422CFD">
          <w:rPr>
            <w:noProof/>
            <w:webHidden/>
          </w:rPr>
        </w:r>
        <w:r w:rsidR="00422CFD">
          <w:rPr>
            <w:noProof/>
            <w:webHidden/>
          </w:rPr>
          <w:fldChar w:fldCharType="separate"/>
        </w:r>
        <w:r w:rsidR="00422CFD">
          <w:rPr>
            <w:noProof/>
            <w:webHidden/>
          </w:rPr>
          <w:t>15</w:t>
        </w:r>
        <w:r w:rsidR="00422CFD">
          <w:rPr>
            <w:noProof/>
            <w:webHidden/>
          </w:rPr>
          <w:fldChar w:fldCharType="end"/>
        </w:r>
      </w:hyperlink>
    </w:p>
    <w:p w14:paraId="7AAF5CDF" w14:textId="77777777" w:rsidR="00422CFD" w:rsidRDefault="007D28FC">
      <w:pPr>
        <w:pStyle w:val="TOC3"/>
        <w:rPr>
          <w:rFonts w:eastAsiaTheme="minorEastAsia"/>
          <w:iCs w:val="0"/>
          <w:noProof/>
          <w:sz w:val="22"/>
          <w:lang w:eastAsia="en-AU"/>
        </w:rPr>
      </w:pPr>
      <w:hyperlink w:anchor="_Toc511747978" w:history="1">
        <w:r w:rsidR="00422CFD" w:rsidRPr="00632D6C">
          <w:rPr>
            <w:rStyle w:val="Hyperlink"/>
            <w:noProof/>
          </w:rPr>
          <w:t>Data / information sought from States</w:t>
        </w:r>
        <w:r w:rsidR="00422CFD">
          <w:rPr>
            <w:noProof/>
            <w:webHidden/>
          </w:rPr>
          <w:tab/>
        </w:r>
        <w:r w:rsidR="00422CFD">
          <w:rPr>
            <w:noProof/>
            <w:webHidden/>
          </w:rPr>
          <w:fldChar w:fldCharType="begin"/>
        </w:r>
        <w:r w:rsidR="00422CFD">
          <w:rPr>
            <w:noProof/>
            <w:webHidden/>
          </w:rPr>
          <w:instrText xml:space="preserve"> PAGEREF _Toc511747978 \h </w:instrText>
        </w:r>
        <w:r w:rsidR="00422CFD">
          <w:rPr>
            <w:noProof/>
            <w:webHidden/>
          </w:rPr>
        </w:r>
        <w:r w:rsidR="00422CFD">
          <w:rPr>
            <w:noProof/>
            <w:webHidden/>
          </w:rPr>
          <w:fldChar w:fldCharType="separate"/>
        </w:r>
        <w:r w:rsidR="00422CFD">
          <w:rPr>
            <w:noProof/>
            <w:webHidden/>
          </w:rPr>
          <w:t>15</w:t>
        </w:r>
        <w:r w:rsidR="00422CFD">
          <w:rPr>
            <w:noProof/>
            <w:webHidden/>
          </w:rPr>
          <w:fldChar w:fldCharType="end"/>
        </w:r>
      </w:hyperlink>
    </w:p>
    <w:p w14:paraId="3EBC6C22" w14:textId="21038EFF" w:rsidR="001B68B1" w:rsidRPr="00970E6D" w:rsidRDefault="00905404" w:rsidP="001B68B1">
      <w:pPr>
        <w:tabs>
          <w:tab w:val="clear" w:pos="567"/>
        </w:tabs>
      </w:pPr>
      <w:r>
        <w:fldChar w:fldCharType="end"/>
      </w:r>
    </w:p>
    <w:p w14:paraId="5D8D1FE1" w14:textId="77777777" w:rsidR="001B68B1" w:rsidRPr="00970E6D" w:rsidRDefault="001B68B1" w:rsidP="001B68B1">
      <w:pPr>
        <w:tabs>
          <w:tab w:val="clear" w:pos="567"/>
        </w:tabs>
      </w:pPr>
    </w:p>
    <w:p w14:paraId="0A0CD82D" w14:textId="77777777" w:rsidR="001B68B1" w:rsidRPr="00970E6D" w:rsidRDefault="001B68B1" w:rsidP="001B68B1">
      <w:pPr>
        <w:tabs>
          <w:tab w:val="clear" w:pos="567"/>
        </w:tabs>
      </w:pPr>
    </w:p>
    <w:p w14:paraId="29CDFD3B" w14:textId="77777777" w:rsidR="001B68B1" w:rsidRPr="00970E6D" w:rsidRDefault="001B68B1" w:rsidP="001B68B1">
      <w:pPr>
        <w:tabs>
          <w:tab w:val="clear" w:pos="567"/>
        </w:tabs>
        <w:sectPr w:rsidR="001B68B1" w:rsidRPr="00970E6D" w:rsidSect="00D95EAA">
          <w:headerReference w:type="first" r:id="rId19"/>
          <w:footerReference w:type="first" r:id="rId20"/>
          <w:pgSz w:w="11899" w:h="16838" w:code="9"/>
          <w:pgMar w:top="1701" w:right="1474" w:bottom="1701" w:left="1474" w:header="709" w:footer="709" w:gutter="0"/>
          <w:pgNumType w:fmt="lowerRoman" w:start="1"/>
          <w:cols w:space="708"/>
          <w:titlePg/>
          <w:docGrid w:linePitch="299"/>
        </w:sectPr>
      </w:pPr>
    </w:p>
    <w:p w14:paraId="3CF7DF1D" w14:textId="77777777" w:rsidR="00C73291" w:rsidRDefault="00C73291">
      <w:pPr>
        <w:tabs>
          <w:tab w:val="clear" w:pos="567"/>
        </w:tabs>
        <w:spacing w:after="200" w:line="276" w:lineRule="auto"/>
        <w:rPr>
          <w:rFonts w:eastAsiaTheme="majorEastAsia" w:cstheme="majorBidi"/>
          <w:b/>
          <w:bCs/>
          <w:caps/>
          <w:color w:val="2C8558"/>
          <w:sz w:val="40"/>
          <w:szCs w:val="26"/>
        </w:rPr>
      </w:pPr>
      <w:r>
        <w:br w:type="page"/>
      </w:r>
    </w:p>
    <w:p w14:paraId="5E7893D4" w14:textId="0ABE2E03" w:rsidR="00F83306" w:rsidRDefault="00A904EB" w:rsidP="00F83306">
      <w:pPr>
        <w:pStyle w:val="Heading2"/>
      </w:pPr>
      <w:bookmarkStart w:id="15" w:name="_Toc508890575"/>
      <w:bookmarkStart w:id="16" w:name="_Toc511747965"/>
      <w:r>
        <w:lastRenderedPageBreak/>
        <w:t>Justice</w:t>
      </w:r>
      <w:bookmarkEnd w:id="15"/>
      <w:bookmarkEnd w:id="16"/>
    </w:p>
    <w:p w14:paraId="52CC0C39" w14:textId="77777777" w:rsidR="00F83306" w:rsidRPr="00F83306" w:rsidRDefault="00F83306" w:rsidP="00F83306">
      <w:pPr>
        <w:pStyle w:val="Heading3"/>
      </w:pPr>
      <w:bookmarkStart w:id="17" w:name="_Toc511747966"/>
      <w:r w:rsidRPr="00F83306">
        <w:t>2015 REVIEW APPROACH</w:t>
      </w:r>
      <w:bookmarkEnd w:id="17"/>
    </w:p>
    <w:p w14:paraId="15A12E60" w14:textId="45E0A88E" w:rsidR="00794AEB" w:rsidRDefault="00794AEB" w:rsidP="00794AEB">
      <w:pPr>
        <w:pStyle w:val="Heading4"/>
      </w:pPr>
      <w:bookmarkStart w:id="18" w:name="_Toc511747967"/>
      <w:r>
        <w:t>Services included in this category</w:t>
      </w:r>
      <w:bookmarkEnd w:id="18"/>
    </w:p>
    <w:p w14:paraId="591DBFF0" w14:textId="2F9DFEE0" w:rsidR="00735757" w:rsidRDefault="00794AEB" w:rsidP="00794AEB">
      <w:pPr>
        <w:pStyle w:val="CGCNumberedPara"/>
      </w:pPr>
      <w:r>
        <w:t xml:space="preserve">The </w:t>
      </w:r>
      <w:r w:rsidR="00D55E65">
        <w:t>J</w:t>
      </w:r>
      <w:r>
        <w:t xml:space="preserve">ustice category covers State spending on police, civil and criminal courts, </w:t>
      </w:r>
      <w:r w:rsidR="00A45DE6">
        <w:t xml:space="preserve">other legal services </w:t>
      </w:r>
      <w:r>
        <w:t>and corrective services.</w:t>
      </w:r>
      <w:r w:rsidR="00A45DE6">
        <w:t xml:space="preserve"> </w:t>
      </w:r>
    </w:p>
    <w:p w14:paraId="637CCD66" w14:textId="1BEC62A6" w:rsidR="00794AEB" w:rsidRDefault="00A45DE6" w:rsidP="00794AEB">
      <w:pPr>
        <w:pStyle w:val="CGCNumberedPara"/>
      </w:pPr>
      <w:r>
        <w:t xml:space="preserve">It covers most of the </w:t>
      </w:r>
      <w:r w:rsidR="00CA5751">
        <w:t xml:space="preserve">Government Finance Statistics (GFS) </w:t>
      </w:r>
      <w:r>
        <w:t xml:space="preserve">Government Purpose Classification </w:t>
      </w:r>
      <w:r w:rsidR="00D55E65">
        <w:t xml:space="preserve">(GPC) </w:t>
      </w:r>
      <w:r>
        <w:t xml:space="preserve">2 digit group </w:t>
      </w:r>
      <w:r>
        <w:rPr>
          <w:i/>
        </w:rPr>
        <w:t>Public o</w:t>
      </w:r>
      <w:r w:rsidRPr="00A45DE6">
        <w:rPr>
          <w:i/>
        </w:rPr>
        <w:t xml:space="preserve">rder and </w:t>
      </w:r>
      <w:r>
        <w:rPr>
          <w:i/>
        </w:rPr>
        <w:t>s</w:t>
      </w:r>
      <w:r w:rsidRPr="00A45DE6">
        <w:rPr>
          <w:i/>
        </w:rPr>
        <w:t>afety</w:t>
      </w:r>
      <w:r w:rsidR="00D55E65">
        <w:t xml:space="preserve">, with the exception of expenses relating to fire protection and </w:t>
      </w:r>
      <w:r w:rsidR="006B371A">
        <w:t xml:space="preserve">state </w:t>
      </w:r>
      <w:r w:rsidR="00D55E65">
        <w:t>emergency services (totalling about $3.8 billion in 2016</w:t>
      </w:r>
      <w:r w:rsidR="00D55E65">
        <w:noBreakHyphen/>
        <w:t>17). These services are assessed in the Other expenses category</w:t>
      </w:r>
      <w:r>
        <w:t xml:space="preserve">. </w:t>
      </w:r>
    </w:p>
    <w:p w14:paraId="7D4689C3" w14:textId="162009CF" w:rsidR="007E4DF5" w:rsidRPr="00794AEB" w:rsidRDefault="007E4DF5" w:rsidP="00794AEB">
      <w:pPr>
        <w:pStyle w:val="CGCNumberedPara"/>
      </w:pPr>
      <w:r>
        <w:t>User charges associated with justice services are assessed equal per capita (EPC) in the Other revenue category.</w:t>
      </w:r>
    </w:p>
    <w:p w14:paraId="67F3CC64" w14:textId="0EF508F3" w:rsidR="00794AEB" w:rsidRDefault="00794AEB" w:rsidP="00794AEB">
      <w:pPr>
        <w:pStyle w:val="Heading4"/>
      </w:pPr>
      <w:bookmarkStart w:id="19" w:name="_Toc511747968"/>
      <w:r>
        <w:t>Category and component expenses</w:t>
      </w:r>
      <w:bookmarkEnd w:id="19"/>
    </w:p>
    <w:p w14:paraId="78FDC93C" w14:textId="05DF8850" w:rsidR="00F83306" w:rsidRDefault="00910267" w:rsidP="00E07621">
      <w:pPr>
        <w:pStyle w:val="CGCNumberedPara"/>
      </w:pPr>
      <w:r>
        <w:t xml:space="preserve">States provide </w:t>
      </w:r>
      <w:r w:rsidR="00A904EB">
        <w:t xml:space="preserve">justice </w:t>
      </w:r>
      <w:r>
        <w:t xml:space="preserve">services including </w:t>
      </w:r>
      <w:r w:rsidR="00A904EB">
        <w:t xml:space="preserve">police, </w:t>
      </w:r>
      <w:r>
        <w:t xml:space="preserve">legal services including </w:t>
      </w:r>
      <w:r w:rsidR="00A904EB">
        <w:t>courts</w:t>
      </w:r>
      <w:r w:rsidR="0047529E">
        <w:t>,</w:t>
      </w:r>
      <w:r w:rsidR="00A904EB">
        <w:t xml:space="preserve"> and prisons. </w:t>
      </w:r>
      <w:r w:rsidR="001A6187">
        <w:t>States collectively spent $19</w:t>
      </w:r>
      <w:r>
        <w:t> </w:t>
      </w:r>
      <w:r w:rsidR="001A6187">
        <w:t>billion on justice services in 2016-17</w:t>
      </w:r>
      <w:r w:rsidR="00D55E65">
        <w:t>, with police services accounting for a little over half that total and the remainder relatively evenly split between courts and prisons</w:t>
      </w:r>
      <w:r w:rsidR="001A6187">
        <w:t>.</w:t>
      </w:r>
      <w:r>
        <w:t xml:space="preserve"> </w:t>
      </w:r>
      <w:r w:rsidR="001A6187">
        <w:t>This is show</w:t>
      </w:r>
      <w:r>
        <w:t>n</w:t>
      </w:r>
      <w:r w:rsidR="001A6187">
        <w:t xml:space="preserve"> in </w:t>
      </w:r>
      <w:r w:rsidR="001A6187">
        <w:fldChar w:fldCharType="begin"/>
      </w:r>
      <w:r w:rsidR="001A6187">
        <w:instrText xml:space="preserve"> REF _Ref505677157 \h </w:instrText>
      </w:r>
      <w:r w:rsidR="001A6187">
        <w:fldChar w:fldCharType="separate"/>
      </w:r>
      <w:r w:rsidR="00422CFD">
        <w:t xml:space="preserve">Table </w:t>
      </w:r>
      <w:r w:rsidR="00422CFD">
        <w:rPr>
          <w:noProof/>
        </w:rPr>
        <w:t>1</w:t>
      </w:r>
      <w:r w:rsidR="001A6187">
        <w:fldChar w:fldCharType="end"/>
      </w:r>
      <w:r w:rsidR="000A48F0">
        <w:t>.</w:t>
      </w:r>
    </w:p>
    <w:p w14:paraId="08941244" w14:textId="1B37E850" w:rsidR="008A568D" w:rsidRDefault="008A568D" w:rsidP="008A568D">
      <w:pPr>
        <w:pStyle w:val="Caption"/>
      </w:pPr>
      <w:bookmarkStart w:id="20" w:name="_Ref505677157"/>
      <w:r>
        <w:t xml:space="preserve">Table </w:t>
      </w:r>
      <w:r w:rsidR="007D28FC">
        <w:fldChar w:fldCharType="begin"/>
      </w:r>
      <w:r w:rsidR="007D28FC">
        <w:instrText xml:space="preserve"> SEQ Table \* ARABIC </w:instrText>
      </w:r>
      <w:r w:rsidR="007D28FC">
        <w:fldChar w:fldCharType="separate"/>
      </w:r>
      <w:r w:rsidR="00422CFD">
        <w:rPr>
          <w:noProof/>
        </w:rPr>
        <w:t>1</w:t>
      </w:r>
      <w:r w:rsidR="007D28FC">
        <w:rPr>
          <w:noProof/>
        </w:rPr>
        <w:fldChar w:fldCharType="end"/>
      </w:r>
      <w:bookmarkEnd w:id="20"/>
      <w:r>
        <w:tab/>
        <w:t>Justice expenses by component, 2016-17</w:t>
      </w:r>
    </w:p>
    <w:tbl>
      <w:tblPr>
        <w:tblW w:w="8940" w:type="dxa"/>
        <w:tblLook w:val="04A0" w:firstRow="1" w:lastRow="0" w:firstColumn="1" w:lastColumn="0" w:noHBand="0" w:noVBand="1"/>
      </w:tblPr>
      <w:tblGrid>
        <w:gridCol w:w="2340"/>
        <w:gridCol w:w="1580"/>
        <w:gridCol w:w="2142"/>
        <w:gridCol w:w="2878"/>
      </w:tblGrid>
      <w:tr w:rsidR="008A568D" w:rsidRPr="008A568D" w14:paraId="5B130DDB" w14:textId="77777777" w:rsidTr="005D26E4">
        <w:trPr>
          <w:trHeight w:val="555"/>
        </w:trPr>
        <w:tc>
          <w:tcPr>
            <w:tcW w:w="2340" w:type="dxa"/>
            <w:tcBorders>
              <w:top w:val="single" w:sz="4" w:space="0" w:color="auto"/>
              <w:left w:val="nil"/>
              <w:bottom w:val="single" w:sz="4" w:space="0" w:color="auto"/>
              <w:right w:val="nil"/>
            </w:tcBorders>
            <w:shd w:val="clear" w:color="auto" w:fill="auto"/>
            <w:noWrap/>
            <w:vAlign w:val="bottom"/>
            <w:hideMark/>
          </w:tcPr>
          <w:p w14:paraId="338D7599" w14:textId="77777777" w:rsidR="008A568D" w:rsidRPr="008A568D" w:rsidRDefault="008A568D" w:rsidP="008A568D">
            <w:pPr>
              <w:keepNext/>
              <w:tabs>
                <w:tab w:val="clear" w:pos="567"/>
              </w:tabs>
              <w:spacing w:after="0" w:line="240" w:lineRule="auto"/>
              <w:rPr>
                <w:rFonts w:ascii="Calibri" w:eastAsia="Times New Roman" w:hAnsi="Calibri" w:cs="Calibri"/>
                <w:sz w:val="20"/>
                <w:szCs w:val="20"/>
                <w:lang w:eastAsia="en-AU"/>
              </w:rPr>
            </w:pPr>
            <w:bookmarkStart w:id="21" w:name="RANGE!B51:E56"/>
            <w:r w:rsidRPr="008A568D">
              <w:rPr>
                <w:rFonts w:ascii="Calibri" w:eastAsia="Times New Roman" w:hAnsi="Calibri" w:cs="Calibri"/>
                <w:sz w:val="20"/>
                <w:szCs w:val="20"/>
                <w:lang w:eastAsia="en-AU"/>
              </w:rPr>
              <w:t> </w:t>
            </w:r>
            <w:bookmarkEnd w:id="21"/>
          </w:p>
        </w:tc>
        <w:tc>
          <w:tcPr>
            <w:tcW w:w="1580" w:type="dxa"/>
            <w:tcBorders>
              <w:top w:val="single" w:sz="4" w:space="0" w:color="auto"/>
              <w:left w:val="nil"/>
              <w:bottom w:val="single" w:sz="4" w:space="0" w:color="auto"/>
              <w:right w:val="nil"/>
            </w:tcBorders>
            <w:shd w:val="clear" w:color="auto" w:fill="auto"/>
            <w:noWrap/>
            <w:vAlign w:val="bottom"/>
            <w:hideMark/>
          </w:tcPr>
          <w:p w14:paraId="54E53F94" w14:textId="77777777" w:rsidR="008A568D" w:rsidRPr="008A568D" w:rsidRDefault="008A568D" w:rsidP="008A568D">
            <w:pPr>
              <w:keepNext/>
              <w:tabs>
                <w:tab w:val="clear" w:pos="567"/>
              </w:tabs>
              <w:spacing w:after="0" w:line="240" w:lineRule="auto"/>
              <w:jc w:val="right"/>
              <w:rPr>
                <w:rFonts w:ascii="Calibri" w:eastAsia="Times New Roman" w:hAnsi="Calibri" w:cs="Calibri"/>
                <w:sz w:val="20"/>
                <w:szCs w:val="20"/>
                <w:lang w:eastAsia="en-AU"/>
              </w:rPr>
            </w:pPr>
            <w:r w:rsidRPr="008A568D">
              <w:rPr>
                <w:rFonts w:ascii="Calibri" w:eastAsia="Times New Roman" w:hAnsi="Calibri" w:cs="Calibri"/>
                <w:sz w:val="20"/>
                <w:szCs w:val="20"/>
                <w:lang w:eastAsia="en-AU"/>
              </w:rPr>
              <w:t>Amount</w:t>
            </w:r>
          </w:p>
        </w:tc>
        <w:tc>
          <w:tcPr>
            <w:tcW w:w="2142" w:type="dxa"/>
            <w:tcBorders>
              <w:top w:val="single" w:sz="4" w:space="0" w:color="auto"/>
              <w:left w:val="nil"/>
              <w:bottom w:val="single" w:sz="4" w:space="0" w:color="auto"/>
              <w:right w:val="nil"/>
            </w:tcBorders>
            <w:shd w:val="clear" w:color="auto" w:fill="auto"/>
            <w:noWrap/>
            <w:vAlign w:val="bottom"/>
            <w:hideMark/>
          </w:tcPr>
          <w:p w14:paraId="79C4F82A" w14:textId="77777777" w:rsidR="008A568D" w:rsidRPr="008A568D" w:rsidRDefault="008A568D" w:rsidP="008A568D">
            <w:pPr>
              <w:keepNext/>
              <w:tabs>
                <w:tab w:val="clear" w:pos="567"/>
              </w:tabs>
              <w:spacing w:after="0" w:line="240" w:lineRule="auto"/>
              <w:jc w:val="right"/>
              <w:rPr>
                <w:rFonts w:ascii="Calibri" w:eastAsia="Times New Roman" w:hAnsi="Calibri" w:cs="Calibri"/>
                <w:sz w:val="20"/>
                <w:szCs w:val="20"/>
                <w:lang w:eastAsia="en-AU"/>
              </w:rPr>
            </w:pPr>
            <w:r w:rsidRPr="008A568D">
              <w:rPr>
                <w:rFonts w:ascii="Calibri" w:eastAsia="Times New Roman" w:hAnsi="Calibri" w:cs="Calibri"/>
                <w:sz w:val="20"/>
                <w:szCs w:val="20"/>
                <w:lang w:eastAsia="en-AU"/>
              </w:rPr>
              <w:t>Share</w:t>
            </w:r>
          </w:p>
        </w:tc>
        <w:tc>
          <w:tcPr>
            <w:tcW w:w="2878" w:type="dxa"/>
            <w:tcBorders>
              <w:top w:val="single" w:sz="4" w:space="0" w:color="auto"/>
              <w:left w:val="nil"/>
              <w:bottom w:val="single" w:sz="4" w:space="0" w:color="auto"/>
              <w:right w:val="nil"/>
            </w:tcBorders>
            <w:shd w:val="clear" w:color="auto" w:fill="auto"/>
            <w:vAlign w:val="bottom"/>
            <w:hideMark/>
          </w:tcPr>
          <w:p w14:paraId="14715693" w14:textId="78EC2B8A" w:rsidR="008A568D" w:rsidRPr="008A568D" w:rsidRDefault="00B6715E" w:rsidP="008A568D">
            <w:pPr>
              <w:keepNext/>
              <w:tabs>
                <w:tab w:val="clear" w:pos="567"/>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G</w:t>
            </w:r>
            <w:r w:rsidR="008A568D" w:rsidRPr="008A568D">
              <w:rPr>
                <w:rFonts w:ascii="Calibri" w:eastAsia="Times New Roman" w:hAnsi="Calibri" w:cs="Calibri"/>
                <w:sz w:val="20"/>
                <w:szCs w:val="20"/>
                <w:lang w:eastAsia="en-AU"/>
              </w:rPr>
              <w:t xml:space="preserve">rowth in spending </w:t>
            </w:r>
            <w:r w:rsidR="005D26E4">
              <w:rPr>
                <w:rFonts w:ascii="Calibri" w:eastAsia="Times New Roman" w:hAnsi="Calibri" w:cs="Calibri"/>
                <w:sz w:val="20"/>
                <w:szCs w:val="20"/>
                <w:lang w:eastAsia="en-AU"/>
              </w:rPr>
              <w:br/>
            </w:r>
            <w:r w:rsidR="008A568D" w:rsidRPr="008A568D">
              <w:rPr>
                <w:rFonts w:ascii="Calibri" w:eastAsia="Times New Roman" w:hAnsi="Calibri" w:cs="Calibri"/>
                <w:sz w:val="20"/>
                <w:szCs w:val="20"/>
                <w:lang w:eastAsia="en-AU"/>
              </w:rPr>
              <w:t>2013-14 to 2016-17</w:t>
            </w:r>
          </w:p>
        </w:tc>
      </w:tr>
      <w:tr w:rsidR="008A568D" w:rsidRPr="008A568D" w14:paraId="1678C71D" w14:textId="77777777" w:rsidTr="005D26E4">
        <w:trPr>
          <w:trHeight w:val="259"/>
        </w:trPr>
        <w:tc>
          <w:tcPr>
            <w:tcW w:w="2340" w:type="dxa"/>
            <w:tcBorders>
              <w:top w:val="nil"/>
              <w:left w:val="nil"/>
              <w:bottom w:val="nil"/>
              <w:right w:val="nil"/>
            </w:tcBorders>
            <w:shd w:val="clear" w:color="auto" w:fill="auto"/>
            <w:noWrap/>
            <w:vAlign w:val="bottom"/>
            <w:hideMark/>
          </w:tcPr>
          <w:p w14:paraId="05077D34" w14:textId="77777777" w:rsidR="008A568D" w:rsidRPr="008A568D" w:rsidRDefault="008A568D" w:rsidP="008A568D">
            <w:pPr>
              <w:keepNext/>
              <w:tabs>
                <w:tab w:val="clear" w:pos="567"/>
              </w:tabs>
              <w:spacing w:after="0" w:line="240" w:lineRule="auto"/>
              <w:jc w:val="right"/>
              <w:rPr>
                <w:rFonts w:ascii="Calibri" w:eastAsia="Times New Roman" w:hAnsi="Calibri" w:cs="Calibri"/>
                <w:sz w:val="20"/>
                <w:szCs w:val="20"/>
                <w:lang w:eastAsia="en-AU"/>
              </w:rPr>
            </w:pPr>
          </w:p>
        </w:tc>
        <w:tc>
          <w:tcPr>
            <w:tcW w:w="1580" w:type="dxa"/>
            <w:tcBorders>
              <w:top w:val="nil"/>
              <w:left w:val="nil"/>
              <w:bottom w:val="nil"/>
              <w:right w:val="nil"/>
            </w:tcBorders>
            <w:shd w:val="clear" w:color="auto" w:fill="auto"/>
            <w:noWrap/>
            <w:vAlign w:val="bottom"/>
            <w:hideMark/>
          </w:tcPr>
          <w:p w14:paraId="0B5AE3EC" w14:textId="77777777" w:rsidR="008A568D" w:rsidRPr="008A568D" w:rsidRDefault="008A568D" w:rsidP="008A568D">
            <w:pPr>
              <w:keepNext/>
              <w:tabs>
                <w:tab w:val="clear" w:pos="567"/>
              </w:tabs>
              <w:spacing w:after="0" w:line="240" w:lineRule="auto"/>
              <w:jc w:val="right"/>
              <w:rPr>
                <w:rFonts w:ascii="Calibri" w:eastAsia="Times New Roman" w:hAnsi="Calibri" w:cs="Calibri"/>
                <w:sz w:val="20"/>
                <w:szCs w:val="20"/>
                <w:lang w:eastAsia="en-AU"/>
              </w:rPr>
            </w:pPr>
            <w:r w:rsidRPr="008A568D">
              <w:rPr>
                <w:rFonts w:ascii="Calibri" w:eastAsia="Times New Roman" w:hAnsi="Calibri" w:cs="Calibri"/>
                <w:sz w:val="20"/>
                <w:szCs w:val="20"/>
                <w:lang w:eastAsia="en-AU"/>
              </w:rPr>
              <w:t>$m</w:t>
            </w:r>
          </w:p>
        </w:tc>
        <w:tc>
          <w:tcPr>
            <w:tcW w:w="2142" w:type="dxa"/>
            <w:tcBorders>
              <w:top w:val="nil"/>
              <w:left w:val="nil"/>
              <w:bottom w:val="nil"/>
              <w:right w:val="nil"/>
            </w:tcBorders>
            <w:shd w:val="clear" w:color="auto" w:fill="auto"/>
            <w:noWrap/>
            <w:vAlign w:val="bottom"/>
            <w:hideMark/>
          </w:tcPr>
          <w:p w14:paraId="38E698C5" w14:textId="77777777" w:rsidR="008A568D" w:rsidRPr="008A568D" w:rsidRDefault="008A568D" w:rsidP="008A568D">
            <w:pPr>
              <w:keepNext/>
              <w:tabs>
                <w:tab w:val="clear" w:pos="567"/>
              </w:tabs>
              <w:spacing w:after="0" w:line="240" w:lineRule="auto"/>
              <w:jc w:val="right"/>
              <w:rPr>
                <w:rFonts w:ascii="Calibri" w:eastAsia="Times New Roman" w:hAnsi="Calibri" w:cs="Calibri"/>
                <w:sz w:val="20"/>
                <w:szCs w:val="20"/>
                <w:lang w:eastAsia="en-AU"/>
              </w:rPr>
            </w:pPr>
            <w:r w:rsidRPr="008A568D">
              <w:rPr>
                <w:rFonts w:ascii="Calibri" w:eastAsia="Times New Roman" w:hAnsi="Calibri" w:cs="Calibri"/>
                <w:sz w:val="20"/>
                <w:szCs w:val="20"/>
                <w:lang w:eastAsia="en-AU"/>
              </w:rPr>
              <w:t>%</w:t>
            </w:r>
          </w:p>
        </w:tc>
        <w:tc>
          <w:tcPr>
            <w:tcW w:w="2878" w:type="dxa"/>
            <w:tcBorders>
              <w:top w:val="nil"/>
              <w:left w:val="nil"/>
              <w:bottom w:val="nil"/>
              <w:right w:val="nil"/>
            </w:tcBorders>
            <w:shd w:val="clear" w:color="auto" w:fill="auto"/>
            <w:noWrap/>
            <w:vAlign w:val="bottom"/>
            <w:hideMark/>
          </w:tcPr>
          <w:p w14:paraId="017F94B6" w14:textId="4AAE3870" w:rsidR="008A568D" w:rsidRPr="008A568D" w:rsidRDefault="00FC5918" w:rsidP="008A568D">
            <w:pPr>
              <w:keepNext/>
              <w:tabs>
                <w:tab w:val="clear" w:pos="567"/>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w:t>
            </w:r>
          </w:p>
        </w:tc>
      </w:tr>
      <w:tr w:rsidR="008A568D" w:rsidRPr="008A568D" w14:paraId="70ADD2E6" w14:textId="77777777" w:rsidTr="005D26E4">
        <w:trPr>
          <w:trHeight w:val="315"/>
        </w:trPr>
        <w:tc>
          <w:tcPr>
            <w:tcW w:w="2340" w:type="dxa"/>
            <w:tcBorders>
              <w:top w:val="nil"/>
              <w:left w:val="nil"/>
              <w:bottom w:val="nil"/>
              <w:right w:val="nil"/>
            </w:tcBorders>
            <w:shd w:val="clear" w:color="auto" w:fill="auto"/>
            <w:noWrap/>
            <w:vAlign w:val="bottom"/>
            <w:hideMark/>
          </w:tcPr>
          <w:p w14:paraId="327B5178" w14:textId="77777777" w:rsidR="008A568D" w:rsidRPr="008A568D" w:rsidRDefault="008A568D" w:rsidP="008A568D">
            <w:pPr>
              <w:keepNext/>
              <w:tabs>
                <w:tab w:val="clear" w:pos="567"/>
              </w:tabs>
              <w:spacing w:after="0" w:line="240" w:lineRule="auto"/>
              <w:rPr>
                <w:rFonts w:ascii="Calibri" w:eastAsia="Times New Roman" w:hAnsi="Calibri" w:cs="Calibri"/>
                <w:sz w:val="20"/>
                <w:szCs w:val="20"/>
                <w:lang w:eastAsia="en-AU"/>
              </w:rPr>
            </w:pPr>
            <w:r w:rsidRPr="008A568D">
              <w:rPr>
                <w:rFonts w:ascii="Calibri" w:eastAsia="Times New Roman" w:hAnsi="Calibri" w:cs="Calibri"/>
                <w:sz w:val="20"/>
                <w:szCs w:val="20"/>
                <w:lang w:eastAsia="en-AU"/>
              </w:rPr>
              <w:t>Police</w:t>
            </w:r>
          </w:p>
        </w:tc>
        <w:tc>
          <w:tcPr>
            <w:tcW w:w="1580" w:type="dxa"/>
            <w:tcBorders>
              <w:top w:val="nil"/>
              <w:left w:val="nil"/>
              <w:bottom w:val="nil"/>
              <w:right w:val="nil"/>
            </w:tcBorders>
            <w:shd w:val="clear" w:color="auto" w:fill="auto"/>
            <w:noWrap/>
            <w:vAlign w:val="bottom"/>
            <w:hideMark/>
          </w:tcPr>
          <w:p w14:paraId="3FF134D5" w14:textId="77777777" w:rsidR="008A568D" w:rsidRPr="008A568D" w:rsidRDefault="008A568D" w:rsidP="008A568D">
            <w:pPr>
              <w:keepNext/>
              <w:tabs>
                <w:tab w:val="clear" w:pos="567"/>
              </w:tabs>
              <w:spacing w:after="0" w:line="240" w:lineRule="auto"/>
              <w:jc w:val="right"/>
              <w:rPr>
                <w:rFonts w:ascii="Calibri" w:eastAsia="Times New Roman" w:hAnsi="Calibri" w:cs="Calibri"/>
                <w:sz w:val="20"/>
                <w:szCs w:val="20"/>
                <w:lang w:eastAsia="en-AU"/>
              </w:rPr>
            </w:pPr>
            <w:r w:rsidRPr="008A568D">
              <w:rPr>
                <w:rFonts w:ascii="Calibri" w:eastAsia="Times New Roman" w:hAnsi="Calibri" w:cs="Calibri"/>
                <w:sz w:val="20"/>
                <w:szCs w:val="20"/>
                <w:lang w:eastAsia="en-AU"/>
              </w:rPr>
              <w:t xml:space="preserve"> 10 323</w:t>
            </w:r>
          </w:p>
        </w:tc>
        <w:tc>
          <w:tcPr>
            <w:tcW w:w="2142" w:type="dxa"/>
            <w:tcBorders>
              <w:top w:val="nil"/>
              <w:left w:val="nil"/>
              <w:bottom w:val="nil"/>
              <w:right w:val="nil"/>
            </w:tcBorders>
            <w:shd w:val="clear" w:color="auto" w:fill="auto"/>
            <w:noWrap/>
            <w:vAlign w:val="bottom"/>
            <w:hideMark/>
          </w:tcPr>
          <w:p w14:paraId="2384B579" w14:textId="07D036FE" w:rsidR="008A568D" w:rsidRPr="008A568D" w:rsidRDefault="00910267" w:rsidP="008A568D">
            <w:pPr>
              <w:keepNext/>
              <w:tabs>
                <w:tab w:val="clear" w:pos="567"/>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w:t>
            </w:r>
            <w:r w:rsidR="008A568D" w:rsidRPr="008A568D">
              <w:rPr>
                <w:rFonts w:ascii="Calibri" w:eastAsia="Times New Roman" w:hAnsi="Calibri" w:cs="Calibri"/>
                <w:sz w:val="20"/>
                <w:szCs w:val="20"/>
                <w:lang w:eastAsia="en-AU"/>
              </w:rPr>
              <w:t>53</w:t>
            </w:r>
          </w:p>
        </w:tc>
        <w:tc>
          <w:tcPr>
            <w:tcW w:w="2878" w:type="dxa"/>
            <w:tcBorders>
              <w:top w:val="nil"/>
              <w:left w:val="nil"/>
              <w:bottom w:val="nil"/>
              <w:right w:val="nil"/>
            </w:tcBorders>
            <w:shd w:val="clear" w:color="auto" w:fill="auto"/>
            <w:noWrap/>
            <w:vAlign w:val="bottom"/>
            <w:hideMark/>
          </w:tcPr>
          <w:p w14:paraId="353295E9" w14:textId="2BD61E0D" w:rsidR="008A568D" w:rsidRPr="008A568D" w:rsidRDefault="00910267" w:rsidP="008A568D">
            <w:pPr>
              <w:keepNext/>
              <w:tabs>
                <w:tab w:val="clear" w:pos="567"/>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w:t>
            </w:r>
            <w:r w:rsidR="008A568D" w:rsidRPr="008A568D">
              <w:rPr>
                <w:rFonts w:ascii="Calibri" w:eastAsia="Times New Roman" w:hAnsi="Calibri" w:cs="Calibri"/>
                <w:sz w:val="20"/>
                <w:szCs w:val="20"/>
                <w:lang w:eastAsia="en-AU"/>
              </w:rPr>
              <w:t>15</w:t>
            </w:r>
          </w:p>
        </w:tc>
      </w:tr>
      <w:tr w:rsidR="008A568D" w:rsidRPr="008A568D" w14:paraId="3CB0560C" w14:textId="77777777" w:rsidTr="005D26E4">
        <w:trPr>
          <w:trHeight w:val="315"/>
        </w:trPr>
        <w:tc>
          <w:tcPr>
            <w:tcW w:w="2340" w:type="dxa"/>
            <w:tcBorders>
              <w:top w:val="nil"/>
              <w:left w:val="nil"/>
              <w:bottom w:val="nil"/>
              <w:right w:val="nil"/>
            </w:tcBorders>
            <w:shd w:val="clear" w:color="auto" w:fill="auto"/>
            <w:noWrap/>
            <w:vAlign w:val="bottom"/>
            <w:hideMark/>
          </w:tcPr>
          <w:p w14:paraId="5780B7CA" w14:textId="77777777" w:rsidR="008A568D" w:rsidRPr="008A568D" w:rsidRDefault="008A568D" w:rsidP="008A568D">
            <w:pPr>
              <w:keepNext/>
              <w:tabs>
                <w:tab w:val="clear" w:pos="567"/>
              </w:tabs>
              <w:spacing w:after="0" w:line="240" w:lineRule="auto"/>
              <w:rPr>
                <w:rFonts w:ascii="Calibri" w:eastAsia="Times New Roman" w:hAnsi="Calibri" w:cs="Calibri"/>
                <w:sz w:val="20"/>
                <w:szCs w:val="20"/>
                <w:lang w:eastAsia="en-AU"/>
              </w:rPr>
            </w:pPr>
            <w:r w:rsidRPr="008A568D">
              <w:rPr>
                <w:rFonts w:ascii="Calibri" w:eastAsia="Times New Roman" w:hAnsi="Calibri" w:cs="Calibri"/>
                <w:sz w:val="20"/>
                <w:szCs w:val="20"/>
                <w:lang w:eastAsia="en-AU"/>
              </w:rPr>
              <w:t>Courts</w:t>
            </w:r>
          </w:p>
        </w:tc>
        <w:tc>
          <w:tcPr>
            <w:tcW w:w="1580" w:type="dxa"/>
            <w:tcBorders>
              <w:top w:val="nil"/>
              <w:left w:val="nil"/>
              <w:bottom w:val="nil"/>
              <w:right w:val="nil"/>
            </w:tcBorders>
            <w:shd w:val="clear" w:color="auto" w:fill="auto"/>
            <w:noWrap/>
            <w:vAlign w:val="bottom"/>
            <w:hideMark/>
          </w:tcPr>
          <w:p w14:paraId="0017B281" w14:textId="77777777" w:rsidR="008A568D" w:rsidRPr="008A568D" w:rsidRDefault="008A568D" w:rsidP="008A568D">
            <w:pPr>
              <w:keepNext/>
              <w:tabs>
                <w:tab w:val="clear" w:pos="567"/>
              </w:tabs>
              <w:spacing w:after="0" w:line="240" w:lineRule="auto"/>
              <w:jc w:val="right"/>
              <w:rPr>
                <w:rFonts w:ascii="Calibri" w:eastAsia="Times New Roman" w:hAnsi="Calibri" w:cs="Calibri"/>
                <w:sz w:val="20"/>
                <w:szCs w:val="20"/>
                <w:lang w:eastAsia="en-AU"/>
              </w:rPr>
            </w:pPr>
            <w:r w:rsidRPr="008A568D">
              <w:rPr>
                <w:rFonts w:ascii="Calibri" w:eastAsia="Times New Roman" w:hAnsi="Calibri" w:cs="Calibri"/>
                <w:sz w:val="20"/>
                <w:szCs w:val="20"/>
                <w:lang w:eastAsia="en-AU"/>
              </w:rPr>
              <w:t xml:space="preserve"> 4 443</w:t>
            </w:r>
          </w:p>
        </w:tc>
        <w:tc>
          <w:tcPr>
            <w:tcW w:w="2142" w:type="dxa"/>
            <w:tcBorders>
              <w:top w:val="nil"/>
              <w:left w:val="nil"/>
              <w:bottom w:val="nil"/>
              <w:right w:val="nil"/>
            </w:tcBorders>
            <w:shd w:val="clear" w:color="auto" w:fill="auto"/>
            <w:noWrap/>
            <w:vAlign w:val="bottom"/>
            <w:hideMark/>
          </w:tcPr>
          <w:p w14:paraId="2827A47B" w14:textId="7FA1576D" w:rsidR="008A568D" w:rsidRPr="008A568D" w:rsidRDefault="00910267" w:rsidP="008A568D">
            <w:pPr>
              <w:keepNext/>
              <w:tabs>
                <w:tab w:val="clear" w:pos="567"/>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w:t>
            </w:r>
            <w:r w:rsidR="008A568D" w:rsidRPr="008A568D">
              <w:rPr>
                <w:rFonts w:ascii="Calibri" w:eastAsia="Times New Roman" w:hAnsi="Calibri" w:cs="Calibri"/>
                <w:sz w:val="20"/>
                <w:szCs w:val="20"/>
                <w:lang w:eastAsia="en-AU"/>
              </w:rPr>
              <w:t>23</w:t>
            </w:r>
          </w:p>
        </w:tc>
        <w:tc>
          <w:tcPr>
            <w:tcW w:w="2878" w:type="dxa"/>
            <w:tcBorders>
              <w:top w:val="nil"/>
              <w:left w:val="nil"/>
              <w:bottom w:val="nil"/>
              <w:right w:val="nil"/>
            </w:tcBorders>
            <w:shd w:val="clear" w:color="auto" w:fill="auto"/>
            <w:noWrap/>
            <w:vAlign w:val="bottom"/>
            <w:hideMark/>
          </w:tcPr>
          <w:p w14:paraId="13DDBD35" w14:textId="09ECAA93" w:rsidR="008A568D" w:rsidRPr="008A568D" w:rsidRDefault="00910267" w:rsidP="008A568D">
            <w:pPr>
              <w:keepNext/>
              <w:tabs>
                <w:tab w:val="clear" w:pos="567"/>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w:t>
            </w:r>
            <w:r w:rsidR="008A568D" w:rsidRPr="008A568D">
              <w:rPr>
                <w:rFonts w:ascii="Calibri" w:eastAsia="Times New Roman" w:hAnsi="Calibri" w:cs="Calibri"/>
                <w:sz w:val="20"/>
                <w:szCs w:val="20"/>
                <w:lang w:eastAsia="en-AU"/>
              </w:rPr>
              <w:t>18</w:t>
            </w:r>
          </w:p>
        </w:tc>
      </w:tr>
      <w:tr w:rsidR="008A568D" w:rsidRPr="008A568D" w14:paraId="3A1A41BE" w14:textId="77777777" w:rsidTr="005D26E4">
        <w:trPr>
          <w:trHeight w:val="315"/>
        </w:trPr>
        <w:tc>
          <w:tcPr>
            <w:tcW w:w="2340" w:type="dxa"/>
            <w:tcBorders>
              <w:top w:val="nil"/>
              <w:left w:val="nil"/>
              <w:bottom w:val="nil"/>
              <w:right w:val="nil"/>
            </w:tcBorders>
            <w:shd w:val="clear" w:color="auto" w:fill="auto"/>
            <w:noWrap/>
            <w:vAlign w:val="bottom"/>
            <w:hideMark/>
          </w:tcPr>
          <w:p w14:paraId="53E1E240" w14:textId="77777777" w:rsidR="008A568D" w:rsidRPr="008A568D" w:rsidRDefault="008A568D" w:rsidP="008A568D">
            <w:pPr>
              <w:keepNext/>
              <w:tabs>
                <w:tab w:val="clear" w:pos="567"/>
              </w:tabs>
              <w:spacing w:after="0" w:line="240" w:lineRule="auto"/>
              <w:rPr>
                <w:rFonts w:ascii="Calibri" w:eastAsia="Times New Roman" w:hAnsi="Calibri" w:cs="Calibri"/>
                <w:sz w:val="20"/>
                <w:szCs w:val="20"/>
                <w:lang w:eastAsia="en-AU"/>
              </w:rPr>
            </w:pPr>
            <w:r w:rsidRPr="008A568D">
              <w:rPr>
                <w:rFonts w:ascii="Calibri" w:eastAsia="Times New Roman" w:hAnsi="Calibri" w:cs="Calibri"/>
                <w:sz w:val="20"/>
                <w:szCs w:val="20"/>
                <w:lang w:eastAsia="en-AU"/>
              </w:rPr>
              <w:t>Prisons</w:t>
            </w:r>
          </w:p>
        </w:tc>
        <w:tc>
          <w:tcPr>
            <w:tcW w:w="1580" w:type="dxa"/>
            <w:tcBorders>
              <w:top w:val="nil"/>
              <w:left w:val="nil"/>
              <w:bottom w:val="nil"/>
              <w:right w:val="nil"/>
            </w:tcBorders>
            <w:shd w:val="clear" w:color="auto" w:fill="auto"/>
            <w:noWrap/>
            <w:vAlign w:val="bottom"/>
            <w:hideMark/>
          </w:tcPr>
          <w:p w14:paraId="1BB18D90" w14:textId="77777777" w:rsidR="008A568D" w:rsidRPr="008A568D" w:rsidRDefault="008A568D" w:rsidP="008A568D">
            <w:pPr>
              <w:keepNext/>
              <w:tabs>
                <w:tab w:val="clear" w:pos="567"/>
              </w:tabs>
              <w:spacing w:after="0" w:line="240" w:lineRule="auto"/>
              <w:jc w:val="right"/>
              <w:rPr>
                <w:rFonts w:ascii="Calibri" w:eastAsia="Times New Roman" w:hAnsi="Calibri" w:cs="Calibri"/>
                <w:sz w:val="20"/>
                <w:szCs w:val="20"/>
                <w:lang w:eastAsia="en-AU"/>
              </w:rPr>
            </w:pPr>
            <w:r w:rsidRPr="008A568D">
              <w:rPr>
                <w:rFonts w:ascii="Calibri" w:eastAsia="Times New Roman" w:hAnsi="Calibri" w:cs="Calibri"/>
                <w:sz w:val="20"/>
                <w:szCs w:val="20"/>
                <w:lang w:eastAsia="en-AU"/>
              </w:rPr>
              <w:t xml:space="preserve"> 4 540</w:t>
            </w:r>
          </w:p>
        </w:tc>
        <w:tc>
          <w:tcPr>
            <w:tcW w:w="2142" w:type="dxa"/>
            <w:tcBorders>
              <w:top w:val="nil"/>
              <w:left w:val="nil"/>
              <w:bottom w:val="nil"/>
              <w:right w:val="nil"/>
            </w:tcBorders>
            <w:shd w:val="clear" w:color="auto" w:fill="auto"/>
            <w:noWrap/>
            <w:vAlign w:val="bottom"/>
            <w:hideMark/>
          </w:tcPr>
          <w:p w14:paraId="05909EC3" w14:textId="769F2DB8" w:rsidR="008A568D" w:rsidRPr="008A568D" w:rsidRDefault="00910267" w:rsidP="008A568D">
            <w:pPr>
              <w:keepNext/>
              <w:tabs>
                <w:tab w:val="clear" w:pos="567"/>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w:t>
            </w:r>
            <w:r w:rsidR="008A568D" w:rsidRPr="008A568D">
              <w:rPr>
                <w:rFonts w:ascii="Calibri" w:eastAsia="Times New Roman" w:hAnsi="Calibri" w:cs="Calibri"/>
                <w:sz w:val="20"/>
                <w:szCs w:val="20"/>
                <w:lang w:eastAsia="en-AU"/>
              </w:rPr>
              <w:t>24</w:t>
            </w:r>
          </w:p>
        </w:tc>
        <w:tc>
          <w:tcPr>
            <w:tcW w:w="2878" w:type="dxa"/>
            <w:tcBorders>
              <w:top w:val="nil"/>
              <w:left w:val="nil"/>
              <w:bottom w:val="nil"/>
              <w:right w:val="nil"/>
            </w:tcBorders>
            <w:shd w:val="clear" w:color="auto" w:fill="auto"/>
            <w:noWrap/>
            <w:vAlign w:val="bottom"/>
            <w:hideMark/>
          </w:tcPr>
          <w:p w14:paraId="18276354" w14:textId="39DF8DF3" w:rsidR="008A568D" w:rsidRPr="008A568D" w:rsidRDefault="00910267" w:rsidP="008A568D">
            <w:pPr>
              <w:keepNext/>
              <w:tabs>
                <w:tab w:val="clear" w:pos="567"/>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w:t>
            </w:r>
            <w:r w:rsidR="008A568D" w:rsidRPr="008A568D">
              <w:rPr>
                <w:rFonts w:ascii="Calibri" w:eastAsia="Times New Roman" w:hAnsi="Calibri" w:cs="Calibri"/>
                <w:sz w:val="20"/>
                <w:szCs w:val="20"/>
                <w:lang w:eastAsia="en-AU"/>
              </w:rPr>
              <w:t>23</w:t>
            </w:r>
          </w:p>
        </w:tc>
      </w:tr>
      <w:tr w:rsidR="008A568D" w:rsidRPr="008A568D" w14:paraId="6E074537" w14:textId="77777777" w:rsidTr="005D26E4">
        <w:trPr>
          <w:trHeight w:val="315"/>
        </w:trPr>
        <w:tc>
          <w:tcPr>
            <w:tcW w:w="2340" w:type="dxa"/>
            <w:tcBorders>
              <w:top w:val="nil"/>
              <w:left w:val="nil"/>
              <w:bottom w:val="single" w:sz="4" w:space="0" w:color="auto"/>
              <w:right w:val="nil"/>
            </w:tcBorders>
            <w:shd w:val="clear" w:color="auto" w:fill="auto"/>
            <w:noWrap/>
            <w:vAlign w:val="bottom"/>
            <w:hideMark/>
          </w:tcPr>
          <w:p w14:paraId="1C58E0A8" w14:textId="77777777" w:rsidR="008A568D" w:rsidRPr="008A568D" w:rsidRDefault="008A568D" w:rsidP="008A568D">
            <w:pPr>
              <w:keepNext/>
              <w:tabs>
                <w:tab w:val="clear" w:pos="567"/>
              </w:tabs>
              <w:spacing w:after="0" w:line="240" w:lineRule="auto"/>
              <w:rPr>
                <w:rFonts w:ascii="Calibri" w:eastAsia="Times New Roman" w:hAnsi="Calibri" w:cs="Calibri"/>
                <w:sz w:val="20"/>
                <w:szCs w:val="20"/>
                <w:lang w:eastAsia="en-AU"/>
              </w:rPr>
            </w:pPr>
            <w:r w:rsidRPr="008A568D">
              <w:rPr>
                <w:rFonts w:ascii="Calibri" w:eastAsia="Times New Roman" w:hAnsi="Calibri" w:cs="Calibri"/>
                <w:sz w:val="20"/>
                <w:szCs w:val="20"/>
                <w:lang w:eastAsia="en-AU"/>
              </w:rPr>
              <w:t>Total</w:t>
            </w:r>
          </w:p>
        </w:tc>
        <w:tc>
          <w:tcPr>
            <w:tcW w:w="1580" w:type="dxa"/>
            <w:tcBorders>
              <w:top w:val="single" w:sz="4" w:space="0" w:color="auto"/>
              <w:left w:val="nil"/>
              <w:bottom w:val="single" w:sz="4" w:space="0" w:color="auto"/>
              <w:right w:val="nil"/>
            </w:tcBorders>
            <w:shd w:val="clear" w:color="auto" w:fill="auto"/>
            <w:noWrap/>
            <w:vAlign w:val="bottom"/>
            <w:hideMark/>
          </w:tcPr>
          <w:p w14:paraId="18AF3D36" w14:textId="77777777" w:rsidR="008A568D" w:rsidRPr="008A568D" w:rsidRDefault="008A568D" w:rsidP="008A568D">
            <w:pPr>
              <w:keepNext/>
              <w:tabs>
                <w:tab w:val="clear" w:pos="567"/>
              </w:tabs>
              <w:spacing w:after="0" w:line="240" w:lineRule="auto"/>
              <w:jc w:val="right"/>
              <w:rPr>
                <w:rFonts w:ascii="Calibri" w:eastAsia="Times New Roman" w:hAnsi="Calibri" w:cs="Calibri"/>
                <w:sz w:val="20"/>
                <w:szCs w:val="20"/>
                <w:lang w:eastAsia="en-AU"/>
              </w:rPr>
            </w:pPr>
            <w:r w:rsidRPr="008A568D">
              <w:rPr>
                <w:rFonts w:ascii="Calibri" w:eastAsia="Times New Roman" w:hAnsi="Calibri" w:cs="Calibri"/>
                <w:sz w:val="20"/>
                <w:szCs w:val="20"/>
                <w:lang w:eastAsia="en-AU"/>
              </w:rPr>
              <w:t xml:space="preserve"> 19 306</w:t>
            </w:r>
          </w:p>
        </w:tc>
        <w:tc>
          <w:tcPr>
            <w:tcW w:w="2142" w:type="dxa"/>
            <w:tcBorders>
              <w:top w:val="single" w:sz="4" w:space="0" w:color="auto"/>
              <w:left w:val="nil"/>
              <w:bottom w:val="single" w:sz="4" w:space="0" w:color="auto"/>
              <w:right w:val="nil"/>
            </w:tcBorders>
            <w:shd w:val="clear" w:color="auto" w:fill="auto"/>
            <w:noWrap/>
            <w:vAlign w:val="bottom"/>
            <w:hideMark/>
          </w:tcPr>
          <w:p w14:paraId="15CC1297" w14:textId="7B1814C8" w:rsidR="008A568D" w:rsidRPr="008A568D" w:rsidRDefault="00910267" w:rsidP="008A568D">
            <w:pPr>
              <w:keepNext/>
              <w:tabs>
                <w:tab w:val="clear" w:pos="567"/>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w:t>
            </w:r>
            <w:r w:rsidR="008A568D" w:rsidRPr="008A568D">
              <w:rPr>
                <w:rFonts w:ascii="Calibri" w:eastAsia="Times New Roman" w:hAnsi="Calibri" w:cs="Calibri"/>
                <w:sz w:val="20"/>
                <w:szCs w:val="20"/>
                <w:lang w:eastAsia="en-AU"/>
              </w:rPr>
              <w:t>100</w:t>
            </w:r>
          </w:p>
        </w:tc>
        <w:tc>
          <w:tcPr>
            <w:tcW w:w="2878" w:type="dxa"/>
            <w:tcBorders>
              <w:top w:val="single" w:sz="4" w:space="0" w:color="auto"/>
              <w:left w:val="nil"/>
              <w:bottom w:val="single" w:sz="4" w:space="0" w:color="auto"/>
              <w:right w:val="nil"/>
            </w:tcBorders>
            <w:shd w:val="clear" w:color="auto" w:fill="auto"/>
            <w:noWrap/>
            <w:vAlign w:val="bottom"/>
            <w:hideMark/>
          </w:tcPr>
          <w:p w14:paraId="50F1F9C1" w14:textId="3359B4D7" w:rsidR="008A568D" w:rsidRPr="008A568D" w:rsidRDefault="00910267" w:rsidP="008A568D">
            <w:pPr>
              <w:keepNext/>
              <w:tabs>
                <w:tab w:val="clear" w:pos="567"/>
              </w:tabs>
              <w:spacing w:after="0" w:line="240" w:lineRule="auto"/>
              <w:jc w:val="right"/>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 </w:t>
            </w:r>
            <w:r w:rsidR="008A568D" w:rsidRPr="008A568D">
              <w:rPr>
                <w:rFonts w:ascii="Calibri" w:eastAsia="Times New Roman" w:hAnsi="Calibri" w:cs="Calibri"/>
                <w:sz w:val="20"/>
                <w:szCs w:val="20"/>
                <w:lang w:eastAsia="en-AU"/>
              </w:rPr>
              <w:t>17</w:t>
            </w:r>
          </w:p>
        </w:tc>
      </w:tr>
    </w:tbl>
    <w:p w14:paraId="27F74299" w14:textId="68EE209A" w:rsidR="008A568D" w:rsidRDefault="005A76DD" w:rsidP="008A568D">
      <w:pPr>
        <w:pStyle w:val="CGCTableFootnote"/>
        <w:keepNext/>
      </w:pPr>
      <w:r>
        <w:t>Source:</w:t>
      </w:r>
      <w:r>
        <w:tab/>
        <w:t>Commission Calculations.</w:t>
      </w:r>
    </w:p>
    <w:p w14:paraId="6D55CE03" w14:textId="77777777" w:rsidR="001C78A6" w:rsidRDefault="001C78A6" w:rsidP="001C78A6">
      <w:pPr>
        <w:pStyle w:val="Heading4"/>
      </w:pPr>
      <w:bookmarkStart w:id="22" w:name="_Toc511747969"/>
      <w:r>
        <w:t>Data sources and assessment methods</w:t>
      </w:r>
      <w:bookmarkEnd w:id="22"/>
    </w:p>
    <w:p w14:paraId="0388D317" w14:textId="69D35407" w:rsidR="00C73291" w:rsidRDefault="00C73291" w:rsidP="00C73291">
      <w:pPr>
        <w:pStyle w:val="CGCNumberedPara"/>
      </w:pPr>
      <w:r>
        <w:t xml:space="preserve">The data sources and assessment methods used in the </w:t>
      </w:r>
      <w:r w:rsidR="000A48F0">
        <w:t>J</w:t>
      </w:r>
      <w:r>
        <w:t xml:space="preserve">ustice category are summarised in </w:t>
      </w:r>
      <w:r>
        <w:fldChar w:fldCharType="begin"/>
      </w:r>
      <w:r>
        <w:instrText xml:space="preserve"> REF _Ref508705179 \h </w:instrText>
      </w:r>
      <w:r>
        <w:fldChar w:fldCharType="separate"/>
      </w:r>
      <w:r w:rsidR="00422CFD">
        <w:t xml:space="preserve">Table </w:t>
      </w:r>
      <w:r w:rsidR="00422CFD">
        <w:rPr>
          <w:noProof/>
        </w:rPr>
        <w:t>2</w:t>
      </w:r>
      <w:r>
        <w:fldChar w:fldCharType="end"/>
      </w:r>
      <w:r>
        <w:t>, with more detail provided below.</w:t>
      </w:r>
    </w:p>
    <w:p w14:paraId="12735182" w14:textId="1A6A9524" w:rsidR="00F50075" w:rsidRDefault="00F50075">
      <w:pPr>
        <w:tabs>
          <w:tab w:val="clear" w:pos="567"/>
        </w:tabs>
        <w:spacing w:after="200" w:line="276" w:lineRule="auto"/>
      </w:pPr>
      <w:r>
        <w:br w:type="page"/>
      </w:r>
    </w:p>
    <w:p w14:paraId="176F925C" w14:textId="5691314D" w:rsidR="00F50075" w:rsidRDefault="00F50075" w:rsidP="00F50075">
      <w:pPr>
        <w:pStyle w:val="Caption"/>
      </w:pPr>
      <w:bookmarkStart w:id="23" w:name="_Ref508705179"/>
      <w:r>
        <w:t xml:space="preserve">Table </w:t>
      </w:r>
      <w:r w:rsidR="007D28FC">
        <w:fldChar w:fldCharType="begin"/>
      </w:r>
      <w:r w:rsidR="007D28FC">
        <w:instrText xml:space="preserve"> SEQ Table \* ARABIC </w:instrText>
      </w:r>
      <w:r w:rsidR="007D28FC">
        <w:fldChar w:fldCharType="separate"/>
      </w:r>
      <w:r w:rsidR="00422CFD">
        <w:rPr>
          <w:noProof/>
        </w:rPr>
        <w:t>2</w:t>
      </w:r>
      <w:r w:rsidR="007D28FC">
        <w:rPr>
          <w:noProof/>
        </w:rPr>
        <w:fldChar w:fldCharType="end"/>
      </w:r>
      <w:bookmarkEnd w:id="23"/>
      <w:r>
        <w:tab/>
      </w:r>
      <w:r w:rsidRPr="00F50075">
        <w:t xml:space="preserve">Justice socio-demographic </w:t>
      </w:r>
      <w:r w:rsidR="00FC5918">
        <w:t>d</w:t>
      </w:r>
      <w:r w:rsidRPr="00F50075">
        <w:t>ata sources, Update 2018</w:t>
      </w:r>
    </w:p>
    <w:tbl>
      <w:tblPr>
        <w:tblW w:w="8900" w:type="dxa"/>
        <w:tblInd w:w="93" w:type="dxa"/>
        <w:tblLook w:val="04A0" w:firstRow="1" w:lastRow="0" w:firstColumn="1" w:lastColumn="0" w:noHBand="0" w:noVBand="1"/>
      </w:tblPr>
      <w:tblGrid>
        <w:gridCol w:w="1980"/>
        <w:gridCol w:w="4800"/>
        <w:gridCol w:w="907"/>
        <w:gridCol w:w="1213"/>
      </w:tblGrid>
      <w:tr w:rsidR="00F50075" w:rsidRPr="00F50075" w14:paraId="1F10ED96" w14:textId="77777777" w:rsidTr="00F50075">
        <w:trPr>
          <w:trHeight w:val="555"/>
        </w:trPr>
        <w:tc>
          <w:tcPr>
            <w:tcW w:w="1980" w:type="dxa"/>
            <w:tcBorders>
              <w:top w:val="single" w:sz="8" w:space="0" w:color="auto"/>
              <w:left w:val="nil"/>
              <w:bottom w:val="single" w:sz="8" w:space="0" w:color="auto"/>
              <w:right w:val="nil"/>
            </w:tcBorders>
            <w:shd w:val="clear" w:color="auto" w:fill="auto"/>
            <w:noWrap/>
            <w:vAlign w:val="bottom"/>
            <w:hideMark/>
          </w:tcPr>
          <w:p w14:paraId="7905F7F3"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 </w:t>
            </w:r>
          </w:p>
        </w:tc>
        <w:tc>
          <w:tcPr>
            <w:tcW w:w="4800" w:type="dxa"/>
            <w:tcBorders>
              <w:top w:val="single" w:sz="8" w:space="0" w:color="auto"/>
              <w:left w:val="nil"/>
              <w:bottom w:val="single" w:sz="8" w:space="0" w:color="auto"/>
              <w:right w:val="nil"/>
            </w:tcBorders>
            <w:shd w:val="clear" w:color="auto" w:fill="auto"/>
            <w:noWrap/>
            <w:vAlign w:val="bottom"/>
            <w:hideMark/>
          </w:tcPr>
          <w:p w14:paraId="7506239B" w14:textId="7EA77505" w:rsidR="00F50075" w:rsidRPr="00F50075" w:rsidRDefault="00F50075" w:rsidP="00FC5918">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 xml:space="preserve">Data </w:t>
            </w:r>
            <w:r w:rsidR="00FC5918">
              <w:rPr>
                <w:rFonts w:ascii="Calibri" w:eastAsia="Times New Roman" w:hAnsi="Calibri" w:cs="Times New Roman"/>
                <w:color w:val="000000"/>
                <w:sz w:val="20"/>
                <w:szCs w:val="20"/>
                <w:lang w:eastAsia="en-AU"/>
              </w:rPr>
              <w:t>u</w:t>
            </w:r>
            <w:r w:rsidRPr="00F50075">
              <w:rPr>
                <w:rFonts w:ascii="Calibri" w:eastAsia="Times New Roman" w:hAnsi="Calibri" w:cs="Times New Roman"/>
                <w:color w:val="000000"/>
                <w:sz w:val="20"/>
                <w:szCs w:val="20"/>
                <w:lang w:eastAsia="en-AU"/>
              </w:rPr>
              <w:t>sed</w:t>
            </w:r>
          </w:p>
        </w:tc>
        <w:tc>
          <w:tcPr>
            <w:tcW w:w="900" w:type="dxa"/>
            <w:tcBorders>
              <w:top w:val="single" w:sz="8" w:space="0" w:color="auto"/>
              <w:left w:val="nil"/>
              <w:bottom w:val="single" w:sz="8" w:space="0" w:color="auto"/>
              <w:right w:val="nil"/>
            </w:tcBorders>
            <w:shd w:val="clear" w:color="auto" w:fill="auto"/>
            <w:vAlign w:val="bottom"/>
            <w:hideMark/>
          </w:tcPr>
          <w:p w14:paraId="0790D4BE" w14:textId="26C29844" w:rsidR="00F50075" w:rsidRPr="00F50075" w:rsidRDefault="00F50075" w:rsidP="00FC5918">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 xml:space="preserve">Data </w:t>
            </w:r>
            <w:r w:rsidR="00FC5918">
              <w:rPr>
                <w:rFonts w:ascii="Calibri" w:eastAsia="Times New Roman" w:hAnsi="Calibri" w:cs="Times New Roman"/>
                <w:color w:val="000000"/>
                <w:sz w:val="20"/>
                <w:szCs w:val="20"/>
                <w:lang w:eastAsia="en-AU"/>
              </w:rPr>
              <w:t>p</w:t>
            </w:r>
            <w:r w:rsidRPr="00F50075">
              <w:rPr>
                <w:rFonts w:ascii="Calibri" w:eastAsia="Times New Roman" w:hAnsi="Calibri" w:cs="Times New Roman"/>
                <w:color w:val="000000"/>
                <w:sz w:val="20"/>
                <w:szCs w:val="20"/>
                <w:lang w:eastAsia="en-AU"/>
              </w:rPr>
              <w:t>rovider</w:t>
            </w:r>
          </w:p>
        </w:tc>
        <w:tc>
          <w:tcPr>
            <w:tcW w:w="1220" w:type="dxa"/>
            <w:tcBorders>
              <w:top w:val="single" w:sz="8" w:space="0" w:color="auto"/>
              <w:left w:val="nil"/>
              <w:bottom w:val="single" w:sz="8" w:space="0" w:color="auto"/>
              <w:right w:val="nil"/>
            </w:tcBorders>
            <w:shd w:val="clear" w:color="auto" w:fill="auto"/>
            <w:vAlign w:val="bottom"/>
            <w:hideMark/>
          </w:tcPr>
          <w:p w14:paraId="5A3E31FF" w14:textId="77777777" w:rsidR="00F50075" w:rsidRPr="00F50075" w:rsidRDefault="00F50075" w:rsidP="006B371A">
            <w:pPr>
              <w:tabs>
                <w:tab w:val="clear" w:pos="567"/>
              </w:tabs>
              <w:spacing w:after="0" w:line="240" w:lineRule="auto"/>
              <w:jc w:val="right"/>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Most recent data</w:t>
            </w:r>
          </w:p>
        </w:tc>
      </w:tr>
      <w:tr w:rsidR="00F50075" w:rsidRPr="00F50075" w14:paraId="536CC7D5" w14:textId="77777777" w:rsidTr="00F50075">
        <w:trPr>
          <w:trHeight w:val="315"/>
        </w:trPr>
        <w:tc>
          <w:tcPr>
            <w:tcW w:w="1980" w:type="dxa"/>
            <w:tcBorders>
              <w:top w:val="nil"/>
              <w:left w:val="nil"/>
              <w:bottom w:val="nil"/>
              <w:right w:val="nil"/>
            </w:tcBorders>
            <w:shd w:val="clear" w:color="auto" w:fill="auto"/>
            <w:vAlign w:val="center"/>
            <w:hideMark/>
          </w:tcPr>
          <w:p w14:paraId="6777672F"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Police</w:t>
            </w:r>
          </w:p>
        </w:tc>
        <w:tc>
          <w:tcPr>
            <w:tcW w:w="4800" w:type="dxa"/>
            <w:tcBorders>
              <w:top w:val="nil"/>
              <w:left w:val="nil"/>
              <w:bottom w:val="nil"/>
              <w:right w:val="nil"/>
            </w:tcBorders>
            <w:shd w:val="clear" w:color="auto" w:fill="auto"/>
            <w:vAlign w:val="bottom"/>
            <w:hideMark/>
          </w:tcPr>
          <w:p w14:paraId="6ABE7227"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2"/>
                <w:lang w:eastAsia="en-AU"/>
              </w:rPr>
            </w:pPr>
          </w:p>
        </w:tc>
        <w:tc>
          <w:tcPr>
            <w:tcW w:w="900" w:type="dxa"/>
            <w:tcBorders>
              <w:top w:val="nil"/>
              <w:left w:val="nil"/>
              <w:bottom w:val="nil"/>
              <w:right w:val="nil"/>
            </w:tcBorders>
            <w:shd w:val="clear" w:color="auto" w:fill="auto"/>
            <w:vAlign w:val="bottom"/>
            <w:hideMark/>
          </w:tcPr>
          <w:p w14:paraId="272E3A94"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2"/>
                <w:lang w:eastAsia="en-AU"/>
              </w:rPr>
            </w:pPr>
          </w:p>
        </w:tc>
        <w:tc>
          <w:tcPr>
            <w:tcW w:w="1220" w:type="dxa"/>
            <w:tcBorders>
              <w:top w:val="nil"/>
              <w:left w:val="nil"/>
              <w:bottom w:val="nil"/>
              <w:right w:val="nil"/>
            </w:tcBorders>
            <w:shd w:val="clear" w:color="auto" w:fill="auto"/>
            <w:vAlign w:val="bottom"/>
            <w:hideMark/>
          </w:tcPr>
          <w:p w14:paraId="338A15A2"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2"/>
                <w:lang w:eastAsia="en-AU"/>
              </w:rPr>
            </w:pPr>
          </w:p>
        </w:tc>
      </w:tr>
      <w:tr w:rsidR="00F50075" w:rsidRPr="00F50075" w14:paraId="3F5E7003" w14:textId="77777777" w:rsidTr="00F50075">
        <w:trPr>
          <w:trHeight w:val="315"/>
        </w:trPr>
        <w:tc>
          <w:tcPr>
            <w:tcW w:w="1980" w:type="dxa"/>
            <w:tcBorders>
              <w:top w:val="nil"/>
              <w:left w:val="nil"/>
              <w:bottom w:val="nil"/>
              <w:right w:val="nil"/>
            </w:tcBorders>
            <w:shd w:val="clear" w:color="auto" w:fill="auto"/>
            <w:vAlign w:val="center"/>
            <w:hideMark/>
          </w:tcPr>
          <w:p w14:paraId="0F3B2A5F" w14:textId="77777777" w:rsidR="00F50075" w:rsidRPr="00F50075" w:rsidRDefault="00F50075" w:rsidP="00F50075">
            <w:pPr>
              <w:tabs>
                <w:tab w:val="clear" w:pos="567"/>
              </w:tabs>
              <w:spacing w:after="0" w:line="240" w:lineRule="auto"/>
              <w:ind w:firstLineChars="100" w:firstLine="200"/>
              <w:rPr>
                <w:rFonts w:ascii="Calibri" w:eastAsia="Times New Roman" w:hAnsi="Calibri" w:cs="Times New Roman"/>
                <w:i/>
                <w:iCs/>
                <w:color w:val="000000"/>
                <w:sz w:val="20"/>
                <w:szCs w:val="20"/>
                <w:lang w:eastAsia="en-AU"/>
              </w:rPr>
            </w:pPr>
            <w:r w:rsidRPr="00F50075">
              <w:rPr>
                <w:rFonts w:ascii="Calibri" w:eastAsia="Times New Roman" w:hAnsi="Calibri" w:cs="Times New Roman"/>
                <w:i/>
                <w:iCs/>
                <w:color w:val="000000"/>
                <w:sz w:val="20"/>
                <w:szCs w:val="20"/>
                <w:lang w:eastAsia="en-AU"/>
              </w:rPr>
              <w:t>SES</w:t>
            </w:r>
          </w:p>
        </w:tc>
        <w:tc>
          <w:tcPr>
            <w:tcW w:w="4800" w:type="dxa"/>
            <w:tcBorders>
              <w:top w:val="nil"/>
              <w:left w:val="nil"/>
              <w:bottom w:val="nil"/>
              <w:right w:val="nil"/>
            </w:tcBorders>
            <w:shd w:val="clear" w:color="auto" w:fill="auto"/>
            <w:vAlign w:val="center"/>
            <w:hideMark/>
          </w:tcPr>
          <w:p w14:paraId="6BD538E1" w14:textId="04A4FEE3" w:rsidR="00F50075" w:rsidRPr="00F50075" w:rsidRDefault="00F50075" w:rsidP="00573580">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 xml:space="preserve">Offender's postcode by </w:t>
            </w:r>
            <w:r w:rsidR="00573580">
              <w:rPr>
                <w:rFonts w:ascii="Calibri" w:eastAsia="Times New Roman" w:hAnsi="Calibri" w:cs="Times New Roman"/>
                <w:color w:val="000000"/>
                <w:sz w:val="20"/>
                <w:szCs w:val="20"/>
                <w:lang w:eastAsia="en-AU"/>
              </w:rPr>
              <w:t>I</w:t>
            </w:r>
            <w:r w:rsidRPr="00F50075">
              <w:rPr>
                <w:rFonts w:ascii="Calibri" w:eastAsia="Times New Roman" w:hAnsi="Calibri" w:cs="Times New Roman"/>
                <w:color w:val="000000"/>
                <w:sz w:val="20"/>
                <w:szCs w:val="20"/>
                <w:lang w:eastAsia="en-AU"/>
              </w:rPr>
              <w:t>ndigenous status (6 States)</w:t>
            </w:r>
          </w:p>
        </w:tc>
        <w:tc>
          <w:tcPr>
            <w:tcW w:w="900" w:type="dxa"/>
            <w:tcBorders>
              <w:top w:val="nil"/>
              <w:left w:val="nil"/>
              <w:bottom w:val="nil"/>
              <w:right w:val="nil"/>
            </w:tcBorders>
            <w:shd w:val="clear" w:color="auto" w:fill="auto"/>
            <w:vAlign w:val="center"/>
            <w:hideMark/>
          </w:tcPr>
          <w:p w14:paraId="6DF3FCAE"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States</w:t>
            </w:r>
          </w:p>
        </w:tc>
        <w:tc>
          <w:tcPr>
            <w:tcW w:w="1220" w:type="dxa"/>
            <w:tcBorders>
              <w:top w:val="nil"/>
              <w:left w:val="nil"/>
              <w:bottom w:val="nil"/>
              <w:right w:val="nil"/>
            </w:tcBorders>
            <w:shd w:val="clear" w:color="auto" w:fill="auto"/>
            <w:vAlign w:val="center"/>
            <w:hideMark/>
          </w:tcPr>
          <w:p w14:paraId="4431A39C" w14:textId="199D2CF5" w:rsidR="00F50075" w:rsidRPr="00F50075" w:rsidRDefault="000A48F0" w:rsidP="00F50075">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2012-</w:t>
            </w:r>
            <w:r w:rsidR="00F50075" w:rsidRPr="00F50075">
              <w:rPr>
                <w:rFonts w:ascii="Calibri" w:eastAsia="Times New Roman" w:hAnsi="Calibri" w:cs="Times New Roman"/>
                <w:color w:val="000000"/>
                <w:sz w:val="20"/>
                <w:szCs w:val="20"/>
                <w:lang w:eastAsia="en-AU"/>
              </w:rPr>
              <w:t>13</w:t>
            </w:r>
          </w:p>
        </w:tc>
      </w:tr>
      <w:tr w:rsidR="00F50075" w:rsidRPr="00F50075" w14:paraId="25340528" w14:textId="77777777" w:rsidTr="00F50075">
        <w:trPr>
          <w:trHeight w:val="315"/>
        </w:trPr>
        <w:tc>
          <w:tcPr>
            <w:tcW w:w="1980" w:type="dxa"/>
            <w:tcBorders>
              <w:top w:val="nil"/>
              <w:left w:val="nil"/>
              <w:bottom w:val="nil"/>
              <w:right w:val="nil"/>
            </w:tcBorders>
            <w:shd w:val="clear" w:color="auto" w:fill="auto"/>
            <w:vAlign w:val="center"/>
            <w:hideMark/>
          </w:tcPr>
          <w:p w14:paraId="24FC02DA" w14:textId="77777777" w:rsidR="00F50075" w:rsidRPr="00F50075" w:rsidRDefault="00F50075" w:rsidP="00F50075">
            <w:pPr>
              <w:tabs>
                <w:tab w:val="clear" w:pos="567"/>
              </w:tabs>
              <w:spacing w:after="0" w:line="240" w:lineRule="auto"/>
              <w:ind w:firstLineChars="100" w:firstLine="200"/>
              <w:rPr>
                <w:rFonts w:ascii="Calibri" w:eastAsia="Times New Roman" w:hAnsi="Calibri" w:cs="Times New Roman"/>
                <w:i/>
                <w:iCs/>
                <w:color w:val="000000"/>
                <w:sz w:val="20"/>
                <w:szCs w:val="20"/>
                <w:lang w:eastAsia="en-AU"/>
              </w:rPr>
            </w:pPr>
            <w:r w:rsidRPr="00F50075">
              <w:rPr>
                <w:rFonts w:ascii="Calibri" w:eastAsia="Times New Roman" w:hAnsi="Calibri" w:cs="Times New Roman"/>
                <w:i/>
                <w:iCs/>
                <w:color w:val="000000"/>
                <w:sz w:val="20"/>
                <w:szCs w:val="20"/>
                <w:lang w:eastAsia="en-AU"/>
              </w:rPr>
              <w:t>Indigenous Status</w:t>
            </w:r>
          </w:p>
        </w:tc>
        <w:tc>
          <w:tcPr>
            <w:tcW w:w="4800" w:type="dxa"/>
            <w:tcBorders>
              <w:top w:val="nil"/>
              <w:left w:val="nil"/>
              <w:bottom w:val="nil"/>
              <w:right w:val="nil"/>
            </w:tcBorders>
            <w:shd w:val="clear" w:color="auto" w:fill="auto"/>
            <w:vAlign w:val="center"/>
            <w:hideMark/>
          </w:tcPr>
          <w:p w14:paraId="73061DEA" w14:textId="7805EA0C" w:rsidR="00F50075" w:rsidRPr="00F50075" w:rsidRDefault="00573580" w:rsidP="00F50075">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Offender's postcode by I</w:t>
            </w:r>
            <w:r w:rsidR="00F50075" w:rsidRPr="00F50075">
              <w:rPr>
                <w:rFonts w:ascii="Calibri" w:eastAsia="Times New Roman" w:hAnsi="Calibri" w:cs="Times New Roman"/>
                <w:color w:val="000000"/>
                <w:sz w:val="20"/>
                <w:szCs w:val="20"/>
                <w:lang w:eastAsia="en-AU"/>
              </w:rPr>
              <w:t>ndigenous status (6 States)</w:t>
            </w:r>
          </w:p>
        </w:tc>
        <w:tc>
          <w:tcPr>
            <w:tcW w:w="900" w:type="dxa"/>
            <w:tcBorders>
              <w:top w:val="nil"/>
              <w:left w:val="nil"/>
              <w:bottom w:val="nil"/>
              <w:right w:val="nil"/>
            </w:tcBorders>
            <w:shd w:val="clear" w:color="auto" w:fill="auto"/>
            <w:vAlign w:val="center"/>
            <w:hideMark/>
          </w:tcPr>
          <w:p w14:paraId="4CB6871A"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States</w:t>
            </w:r>
          </w:p>
        </w:tc>
        <w:tc>
          <w:tcPr>
            <w:tcW w:w="1220" w:type="dxa"/>
            <w:tcBorders>
              <w:top w:val="nil"/>
              <w:left w:val="nil"/>
              <w:bottom w:val="nil"/>
              <w:right w:val="nil"/>
            </w:tcBorders>
            <w:shd w:val="clear" w:color="auto" w:fill="auto"/>
            <w:vAlign w:val="center"/>
            <w:hideMark/>
          </w:tcPr>
          <w:p w14:paraId="1169DC45" w14:textId="15E651AA" w:rsidR="00F50075" w:rsidRPr="00F50075" w:rsidRDefault="000A48F0" w:rsidP="00F50075">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2012-</w:t>
            </w:r>
            <w:r w:rsidR="00F50075" w:rsidRPr="00F50075">
              <w:rPr>
                <w:rFonts w:ascii="Calibri" w:eastAsia="Times New Roman" w:hAnsi="Calibri" w:cs="Times New Roman"/>
                <w:color w:val="000000"/>
                <w:sz w:val="20"/>
                <w:szCs w:val="20"/>
                <w:lang w:eastAsia="en-AU"/>
              </w:rPr>
              <w:t>13</w:t>
            </w:r>
          </w:p>
        </w:tc>
      </w:tr>
      <w:tr w:rsidR="00F50075" w:rsidRPr="00F50075" w14:paraId="7AE43E71" w14:textId="77777777" w:rsidTr="00F50075">
        <w:trPr>
          <w:trHeight w:val="315"/>
        </w:trPr>
        <w:tc>
          <w:tcPr>
            <w:tcW w:w="1980" w:type="dxa"/>
            <w:tcBorders>
              <w:top w:val="nil"/>
              <w:left w:val="nil"/>
              <w:bottom w:val="nil"/>
              <w:right w:val="nil"/>
            </w:tcBorders>
            <w:shd w:val="clear" w:color="auto" w:fill="auto"/>
            <w:vAlign w:val="center"/>
            <w:hideMark/>
          </w:tcPr>
          <w:p w14:paraId="57B68AF3" w14:textId="77777777" w:rsidR="00F50075" w:rsidRPr="00F50075" w:rsidRDefault="00F50075" w:rsidP="00F50075">
            <w:pPr>
              <w:tabs>
                <w:tab w:val="clear" w:pos="567"/>
              </w:tabs>
              <w:spacing w:after="0" w:line="240" w:lineRule="auto"/>
              <w:ind w:firstLineChars="100" w:firstLine="200"/>
              <w:rPr>
                <w:rFonts w:ascii="Calibri" w:eastAsia="Times New Roman" w:hAnsi="Calibri" w:cs="Times New Roman"/>
                <w:i/>
                <w:iCs/>
                <w:color w:val="000000"/>
                <w:sz w:val="20"/>
                <w:szCs w:val="20"/>
                <w:lang w:eastAsia="en-AU"/>
              </w:rPr>
            </w:pPr>
            <w:r w:rsidRPr="00F50075">
              <w:rPr>
                <w:rFonts w:ascii="Calibri" w:eastAsia="Times New Roman" w:hAnsi="Calibri" w:cs="Times New Roman"/>
                <w:i/>
                <w:iCs/>
                <w:color w:val="000000"/>
                <w:sz w:val="20"/>
                <w:szCs w:val="20"/>
                <w:lang w:eastAsia="en-AU"/>
              </w:rPr>
              <w:t>Age</w:t>
            </w:r>
          </w:p>
        </w:tc>
        <w:tc>
          <w:tcPr>
            <w:tcW w:w="4800" w:type="dxa"/>
            <w:tcBorders>
              <w:top w:val="nil"/>
              <w:left w:val="nil"/>
              <w:bottom w:val="single" w:sz="8" w:space="0" w:color="auto"/>
              <w:right w:val="nil"/>
            </w:tcBorders>
            <w:shd w:val="clear" w:color="auto" w:fill="auto"/>
            <w:vAlign w:val="center"/>
            <w:hideMark/>
          </w:tcPr>
          <w:p w14:paraId="10FD67B1" w14:textId="009148E2" w:rsidR="00F50075" w:rsidRPr="00F50075" w:rsidRDefault="00F50075" w:rsidP="003B13FC">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Age of persons taken into police custody</w:t>
            </w:r>
          </w:p>
        </w:tc>
        <w:tc>
          <w:tcPr>
            <w:tcW w:w="900" w:type="dxa"/>
            <w:tcBorders>
              <w:top w:val="nil"/>
              <w:left w:val="nil"/>
              <w:bottom w:val="single" w:sz="8" w:space="0" w:color="auto"/>
              <w:right w:val="nil"/>
            </w:tcBorders>
            <w:shd w:val="clear" w:color="auto" w:fill="auto"/>
            <w:vAlign w:val="center"/>
            <w:hideMark/>
          </w:tcPr>
          <w:p w14:paraId="647FBBDA"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AIC</w:t>
            </w:r>
          </w:p>
        </w:tc>
        <w:tc>
          <w:tcPr>
            <w:tcW w:w="1220" w:type="dxa"/>
            <w:tcBorders>
              <w:top w:val="nil"/>
              <w:left w:val="nil"/>
              <w:bottom w:val="single" w:sz="8" w:space="0" w:color="auto"/>
              <w:right w:val="nil"/>
            </w:tcBorders>
            <w:shd w:val="clear" w:color="auto" w:fill="auto"/>
            <w:vAlign w:val="center"/>
            <w:hideMark/>
          </w:tcPr>
          <w:p w14:paraId="13569023" w14:textId="77777777" w:rsidR="00F50075" w:rsidRPr="00F50075" w:rsidRDefault="00F50075" w:rsidP="00F50075">
            <w:pPr>
              <w:tabs>
                <w:tab w:val="clear" w:pos="567"/>
              </w:tabs>
              <w:spacing w:after="0" w:line="240" w:lineRule="auto"/>
              <w:jc w:val="right"/>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2007</w:t>
            </w:r>
          </w:p>
        </w:tc>
      </w:tr>
      <w:tr w:rsidR="00F50075" w:rsidRPr="00F50075" w14:paraId="0D9E270D" w14:textId="77777777" w:rsidTr="00F50075">
        <w:trPr>
          <w:trHeight w:val="315"/>
        </w:trPr>
        <w:tc>
          <w:tcPr>
            <w:tcW w:w="1980" w:type="dxa"/>
            <w:tcBorders>
              <w:top w:val="single" w:sz="4" w:space="0" w:color="auto"/>
              <w:left w:val="nil"/>
              <w:bottom w:val="nil"/>
              <w:right w:val="nil"/>
            </w:tcBorders>
            <w:shd w:val="clear" w:color="auto" w:fill="auto"/>
            <w:vAlign w:val="center"/>
            <w:hideMark/>
          </w:tcPr>
          <w:p w14:paraId="213C69F1"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Courts</w:t>
            </w:r>
          </w:p>
        </w:tc>
        <w:tc>
          <w:tcPr>
            <w:tcW w:w="4800" w:type="dxa"/>
            <w:tcBorders>
              <w:top w:val="nil"/>
              <w:left w:val="nil"/>
              <w:bottom w:val="nil"/>
              <w:right w:val="nil"/>
            </w:tcBorders>
            <w:shd w:val="clear" w:color="auto" w:fill="auto"/>
            <w:vAlign w:val="bottom"/>
            <w:hideMark/>
          </w:tcPr>
          <w:p w14:paraId="25B903D1"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2"/>
                <w:lang w:eastAsia="en-AU"/>
              </w:rPr>
            </w:pPr>
          </w:p>
        </w:tc>
        <w:tc>
          <w:tcPr>
            <w:tcW w:w="900" w:type="dxa"/>
            <w:tcBorders>
              <w:top w:val="nil"/>
              <w:left w:val="nil"/>
              <w:bottom w:val="nil"/>
              <w:right w:val="nil"/>
            </w:tcBorders>
            <w:shd w:val="clear" w:color="auto" w:fill="auto"/>
            <w:vAlign w:val="bottom"/>
            <w:hideMark/>
          </w:tcPr>
          <w:p w14:paraId="45D4246B"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2"/>
                <w:lang w:eastAsia="en-AU"/>
              </w:rPr>
            </w:pPr>
          </w:p>
        </w:tc>
        <w:tc>
          <w:tcPr>
            <w:tcW w:w="1220" w:type="dxa"/>
            <w:tcBorders>
              <w:top w:val="nil"/>
              <w:left w:val="nil"/>
              <w:bottom w:val="nil"/>
              <w:right w:val="nil"/>
            </w:tcBorders>
            <w:shd w:val="clear" w:color="auto" w:fill="auto"/>
            <w:vAlign w:val="bottom"/>
            <w:hideMark/>
          </w:tcPr>
          <w:p w14:paraId="7685FF40"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2"/>
                <w:lang w:eastAsia="en-AU"/>
              </w:rPr>
            </w:pPr>
          </w:p>
        </w:tc>
      </w:tr>
      <w:tr w:rsidR="00F50075" w:rsidRPr="00F50075" w14:paraId="1B2791A1" w14:textId="77777777" w:rsidTr="00F50075">
        <w:trPr>
          <w:trHeight w:val="555"/>
        </w:trPr>
        <w:tc>
          <w:tcPr>
            <w:tcW w:w="1980" w:type="dxa"/>
            <w:tcBorders>
              <w:top w:val="nil"/>
              <w:left w:val="nil"/>
              <w:bottom w:val="nil"/>
              <w:right w:val="nil"/>
            </w:tcBorders>
            <w:shd w:val="clear" w:color="auto" w:fill="auto"/>
            <w:vAlign w:val="center"/>
            <w:hideMark/>
          </w:tcPr>
          <w:p w14:paraId="074CC750" w14:textId="77777777" w:rsidR="00F50075" w:rsidRPr="00F50075" w:rsidRDefault="00F50075" w:rsidP="00F50075">
            <w:pPr>
              <w:tabs>
                <w:tab w:val="clear" w:pos="567"/>
              </w:tabs>
              <w:spacing w:after="0" w:line="240" w:lineRule="auto"/>
              <w:ind w:firstLineChars="100" w:firstLine="200"/>
              <w:rPr>
                <w:rFonts w:ascii="Calibri" w:eastAsia="Times New Roman" w:hAnsi="Calibri" w:cs="Times New Roman"/>
                <w:i/>
                <w:iCs/>
                <w:color w:val="000000"/>
                <w:sz w:val="20"/>
                <w:szCs w:val="20"/>
                <w:lang w:eastAsia="en-AU"/>
              </w:rPr>
            </w:pPr>
            <w:r w:rsidRPr="00F50075">
              <w:rPr>
                <w:rFonts w:ascii="Calibri" w:eastAsia="Times New Roman" w:hAnsi="Calibri" w:cs="Times New Roman"/>
                <w:i/>
                <w:iCs/>
                <w:color w:val="000000"/>
                <w:sz w:val="20"/>
                <w:szCs w:val="20"/>
                <w:lang w:eastAsia="en-AU"/>
              </w:rPr>
              <w:t>SES</w:t>
            </w:r>
          </w:p>
        </w:tc>
        <w:tc>
          <w:tcPr>
            <w:tcW w:w="4800" w:type="dxa"/>
            <w:tcBorders>
              <w:top w:val="nil"/>
              <w:left w:val="nil"/>
              <w:bottom w:val="nil"/>
              <w:right w:val="nil"/>
            </w:tcBorders>
            <w:shd w:val="clear" w:color="auto" w:fill="auto"/>
            <w:vAlign w:val="center"/>
            <w:hideMark/>
          </w:tcPr>
          <w:p w14:paraId="2786F446" w14:textId="55B5ECF0" w:rsidR="00F50075" w:rsidRPr="00F50075" w:rsidRDefault="00F50075" w:rsidP="00573580">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 xml:space="preserve">Suburb/postcode of adjudicated defendant by </w:t>
            </w:r>
            <w:r w:rsidR="00573580">
              <w:rPr>
                <w:rFonts w:ascii="Calibri" w:eastAsia="Times New Roman" w:hAnsi="Calibri" w:cs="Times New Roman"/>
                <w:color w:val="000000"/>
                <w:sz w:val="20"/>
                <w:szCs w:val="20"/>
                <w:lang w:eastAsia="en-AU"/>
              </w:rPr>
              <w:t>I</w:t>
            </w:r>
            <w:r w:rsidRPr="00F50075">
              <w:rPr>
                <w:rFonts w:ascii="Calibri" w:eastAsia="Times New Roman" w:hAnsi="Calibri" w:cs="Times New Roman"/>
                <w:color w:val="000000"/>
                <w:sz w:val="20"/>
                <w:szCs w:val="20"/>
                <w:lang w:eastAsia="en-AU"/>
              </w:rPr>
              <w:t>ndigenous status and age (NSW, QLD, SA &amp; NT only)</w:t>
            </w:r>
          </w:p>
        </w:tc>
        <w:tc>
          <w:tcPr>
            <w:tcW w:w="900" w:type="dxa"/>
            <w:tcBorders>
              <w:top w:val="nil"/>
              <w:left w:val="nil"/>
              <w:bottom w:val="nil"/>
              <w:right w:val="nil"/>
            </w:tcBorders>
            <w:shd w:val="clear" w:color="auto" w:fill="auto"/>
            <w:vAlign w:val="center"/>
            <w:hideMark/>
          </w:tcPr>
          <w:p w14:paraId="7F55DB59"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States</w:t>
            </w:r>
          </w:p>
        </w:tc>
        <w:tc>
          <w:tcPr>
            <w:tcW w:w="1220" w:type="dxa"/>
            <w:tcBorders>
              <w:top w:val="nil"/>
              <w:left w:val="nil"/>
              <w:bottom w:val="nil"/>
              <w:right w:val="nil"/>
            </w:tcBorders>
            <w:shd w:val="clear" w:color="auto" w:fill="auto"/>
            <w:vAlign w:val="center"/>
            <w:hideMark/>
          </w:tcPr>
          <w:p w14:paraId="1BCCCED5" w14:textId="16C6400C" w:rsidR="00F50075" w:rsidRPr="00F50075" w:rsidRDefault="000A48F0" w:rsidP="00F50075">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2012-</w:t>
            </w:r>
            <w:r w:rsidR="00F50075" w:rsidRPr="00F50075">
              <w:rPr>
                <w:rFonts w:ascii="Calibri" w:eastAsia="Times New Roman" w:hAnsi="Calibri" w:cs="Times New Roman"/>
                <w:color w:val="000000"/>
                <w:sz w:val="20"/>
                <w:szCs w:val="20"/>
                <w:lang w:eastAsia="en-AU"/>
              </w:rPr>
              <w:t>13</w:t>
            </w:r>
          </w:p>
        </w:tc>
      </w:tr>
      <w:tr w:rsidR="00F50075" w:rsidRPr="00F50075" w14:paraId="1BF253D4" w14:textId="77777777" w:rsidTr="00F50075">
        <w:trPr>
          <w:trHeight w:val="555"/>
        </w:trPr>
        <w:tc>
          <w:tcPr>
            <w:tcW w:w="1980" w:type="dxa"/>
            <w:tcBorders>
              <w:top w:val="nil"/>
              <w:left w:val="nil"/>
              <w:bottom w:val="nil"/>
              <w:right w:val="nil"/>
            </w:tcBorders>
            <w:shd w:val="clear" w:color="auto" w:fill="auto"/>
            <w:vAlign w:val="center"/>
            <w:hideMark/>
          </w:tcPr>
          <w:p w14:paraId="580A9591" w14:textId="77777777" w:rsidR="00F50075" w:rsidRPr="00F50075" w:rsidRDefault="00F50075" w:rsidP="00F50075">
            <w:pPr>
              <w:tabs>
                <w:tab w:val="clear" w:pos="567"/>
              </w:tabs>
              <w:spacing w:after="0" w:line="240" w:lineRule="auto"/>
              <w:ind w:firstLineChars="100" w:firstLine="200"/>
              <w:rPr>
                <w:rFonts w:ascii="Calibri" w:eastAsia="Times New Roman" w:hAnsi="Calibri" w:cs="Times New Roman"/>
                <w:i/>
                <w:iCs/>
                <w:color w:val="000000"/>
                <w:sz w:val="20"/>
                <w:szCs w:val="20"/>
                <w:lang w:eastAsia="en-AU"/>
              </w:rPr>
            </w:pPr>
            <w:r w:rsidRPr="00F50075">
              <w:rPr>
                <w:rFonts w:ascii="Calibri" w:eastAsia="Times New Roman" w:hAnsi="Calibri" w:cs="Times New Roman"/>
                <w:i/>
                <w:iCs/>
                <w:color w:val="000000"/>
                <w:sz w:val="20"/>
                <w:szCs w:val="20"/>
                <w:lang w:eastAsia="en-AU"/>
              </w:rPr>
              <w:t>Indigenous Status</w:t>
            </w:r>
          </w:p>
        </w:tc>
        <w:tc>
          <w:tcPr>
            <w:tcW w:w="4800" w:type="dxa"/>
            <w:tcBorders>
              <w:top w:val="nil"/>
              <w:left w:val="nil"/>
              <w:bottom w:val="nil"/>
              <w:right w:val="nil"/>
            </w:tcBorders>
            <w:shd w:val="clear" w:color="auto" w:fill="auto"/>
            <w:vAlign w:val="center"/>
            <w:hideMark/>
          </w:tcPr>
          <w:p w14:paraId="2918D1D7" w14:textId="189FD746"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 xml:space="preserve">Suburb/postcode of </w:t>
            </w:r>
            <w:r w:rsidR="00573580">
              <w:rPr>
                <w:rFonts w:ascii="Calibri" w:eastAsia="Times New Roman" w:hAnsi="Calibri" w:cs="Times New Roman"/>
                <w:color w:val="000000"/>
                <w:sz w:val="20"/>
                <w:szCs w:val="20"/>
                <w:lang w:eastAsia="en-AU"/>
              </w:rPr>
              <w:t>adjudicated defendant by I</w:t>
            </w:r>
            <w:r w:rsidRPr="00F50075">
              <w:rPr>
                <w:rFonts w:ascii="Calibri" w:eastAsia="Times New Roman" w:hAnsi="Calibri" w:cs="Times New Roman"/>
                <w:color w:val="000000"/>
                <w:sz w:val="20"/>
                <w:szCs w:val="20"/>
                <w:lang w:eastAsia="en-AU"/>
              </w:rPr>
              <w:t>ndigenous status and age (NSW, QLD, SA &amp; NT only)</w:t>
            </w:r>
          </w:p>
        </w:tc>
        <w:tc>
          <w:tcPr>
            <w:tcW w:w="900" w:type="dxa"/>
            <w:tcBorders>
              <w:top w:val="nil"/>
              <w:left w:val="nil"/>
              <w:bottom w:val="nil"/>
              <w:right w:val="nil"/>
            </w:tcBorders>
            <w:shd w:val="clear" w:color="auto" w:fill="auto"/>
            <w:vAlign w:val="center"/>
            <w:hideMark/>
          </w:tcPr>
          <w:p w14:paraId="3836E9BE"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States</w:t>
            </w:r>
          </w:p>
        </w:tc>
        <w:tc>
          <w:tcPr>
            <w:tcW w:w="1220" w:type="dxa"/>
            <w:tcBorders>
              <w:top w:val="nil"/>
              <w:left w:val="nil"/>
              <w:bottom w:val="nil"/>
              <w:right w:val="nil"/>
            </w:tcBorders>
            <w:shd w:val="clear" w:color="auto" w:fill="auto"/>
            <w:vAlign w:val="center"/>
            <w:hideMark/>
          </w:tcPr>
          <w:p w14:paraId="2DB1E030" w14:textId="19197CA5" w:rsidR="00F50075" w:rsidRPr="00F50075" w:rsidRDefault="000A48F0" w:rsidP="00F50075">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2012-</w:t>
            </w:r>
            <w:r w:rsidR="00F50075" w:rsidRPr="00F50075">
              <w:rPr>
                <w:rFonts w:ascii="Calibri" w:eastAsia="Times New Roman" w:hAnsi="Calibri" w:cs="Times New Roman"/>
                <w:color w:val="000000"/>
                <w:sz w:val="20"/>
                <w:szCs w:val="20"/>
                <w:lang w:eastAsia="en-AU"/>
              </w:rPr>
              <w:t>13</w:t>
            </w:r>
          </w:p>
        </w:tc>
      </w:tr>
      <w:tr w:rsidR="00F50075" w:rsidRPr="00F50075" w14:paraId="2FCB9C2C" w14:textId="77777777" w:rsidTr="00F50075">
        <w:trPr>
          <w:trHeight w:val="555"/>
        </w:trPr>
        <w:tc>
          <w:tcPr>
            <w:tcW w:w="1980" w:type="dxa"/>
            <w:tcBorders>
              <w:top w:val="nil"/>
              <w:left w:val="nil"/>
              <w:bottom w:val="single" w:sz="4" w:space="0" w:color="auto"/>
              <w:right w:val="nil"/>
            </w:tcBorders>
            <w:shd w:val="clear" w:color="auto" w:fill="auto"/>
            <w:vAlign w:val="center"/>
            <w:hideMark/>
          </w:tcPr>
          <w:p w14:paraId="3A869CF2" w14:textId="77777777" w:rsidR="00F50075" w:rsidRPr="00F50075" w:rsidRDefault="00F50075" w:rsidP="00F50075">
            <w:pPr>
              <w:tabs>
                <w:tab w:val="clear" w:pos="567"/>
              </w:tabs>
              <w:spacing w:after="0" w:line="240" w:lineRule="auto"/>
              <w:ind w:firstLineChars="100" w:firstLine="200"/>
              <w:rPr>
                <w:rFonts w:ascii="Calibri" w:eastAsia="Times New Roman" w:hAnsi="Calibri" w:cs="Times New Roman"/>
                <w:i/>
                <w:iCs/>
                <w:color w:val="000000"/>
                <w:sz w:val="20"/>
                <w:szCs w:val="20"/>
                <w:lang w:eastAsia="en-AU"/>
              </w:rPr>
            </w:pPr>
            <w:r w:rsidRPr="00F50075">
              <w:rPr>
                <w:rFonts w:ascii="Calibri" w:eastAsia="Times New Roman" w:hAnsi="Calibri" w:cs="Times New Roman"/>
                <w:i/>
                <w:iCs/>
                <w:color w:val="000000"/>
                <w:sz w:val="20"/>
                <w:szCs w:val="20"/>
                <w:lang w:eastAsia="en-AU"/>
              </w:rPr>
              <w:t>Age</w:t>
            </w:r>
          </w:p>
        </w:tc>
        <w:tc>
          <w:tcPr>
            <w:tcW w:w="4800" w:type="dxa"/>
            <w:tcBorders>
              <w:top w:val="nil"/>
              <w:left w:val="nil"/>
              <w:bottom w:val="single" w:sz="8" w:space="0" w:color="auto"/>
              <w:right w:val="nil"/>
            </w:tcBorders>
            <w:shd w:val="clear" w:color="auto" w:fill="auto"/>
            <w:vAlign w:val="center"/>
            <w:hideMark/>
          </w:tcPr>
          <w:p w14:paraId="593FBAD7"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Criminal Courts, Australia, Defendants finalised by sex and age</w:t>
            </w:r>
          </w:p>
        </w:tc>
        <w:tc>
          <w:tcPr>
            <w:tcW w:w="900" w:type="dxa"/>
            <w:tcBorders>
              <w:top w:val="nil"/>
              <w:left w:val="nil"/>
              <w:bottom w:val="single" w:sz="8" w:space="0" w:color="auto"/>
              <w:right w:val="nil"/>
            </w:tcBorders>
            <w:shd w:val="clear" w:color="auto" w:fill="auto"/>
            <w:vAlign w:val="center"/>
            <w:hideMark/>
          </w:tcPr>
          <w:p w14:paraId="7CEFBC84"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ABS</w:t>
            </w:r>
          </w:p>
        </w:tc>
        <w:tc>
          <w:tcPr>
            <w:tcW w:w="1220" w:type="dxa"/>
            <w:tcBorders>
              <w:top w:val="nil"/>
              <w:left w:val="nil"/>
              <w:bottom w:val="single" w:sz="8" w:space="0" w:color="auto"/>
              <w:right w:val="nil"/>
            </w:tcBorders>
            <w:shd w:val="clear" w:color="auto" w:fill="auto"/>
            <w:vAlign w:val="center"/>
            <w:hideMark/>
          </w:tcPr>
          <w:p w14:paraId="1420222C" w14:textId="77777777" w:rsidR="00F50075" w:rsidRPr="00F50075" w:rsidRDefault="00F50075" w:rsidP="00F50075">
            <w:pPr>
              <w:tabs>
                <w:tab w:val="clear" w:pos="567"/>
              </w:tabs>
              <w:spacing w:after="0" w:line="240" w:lineRule="auto"/>
              <w:jc w:val="right"/>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2015-16</w:t>
            </w:r>
          </w:p>
        </w:tc>
      </w:tr>
      <w:tr w:rsidR="00F50075" w:rsidRPr="00F50075" w14:paraId="051262DA" w14:textId="77777777" w:rsidTr="00F50075">
        <w:trPr>
          <w:trHeight w:val="315"/>
        </w:trPr>
        <w:tc>
          <w:tcPr>
            <w:tcW w:w="1980" w:type="dxa"/>
            <w:tcBorders>
              <w:top w:val="nil"/>
              <w:left w:val="nil"/>
              <w:bottom w:val="nil"/>
              <w:right w:val="nil"/>
            </w:tcBorders>
            <w:shd w:val="clear" w:color="auto" w:fill="auto"/>
            <w:vAlign w:val="center"/>
            <w:hideMark/>
          </w:tcPr>
          <w:p w14:paraId="31330194"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Adult Prisoners</w:t>
            </w:r>
          </w:p>
        </w:tc>
        <w:tc>
          <w:tcPr>
            <w:tcW w:w="4800" w:type="dxa"/>
            <w:tcBorders>
              <w:top w:val="nil"/>
              <w:left w:val="nil"/>
              <w:bottom w:val="nil"/>
              <w:right w:val="nil"/>
            </w:tcBorders>
            <w:shd w:val="clear" w:color="auto" w:fill="auto"/>
            <w:vAlign w:val="bottom"/>
            <w:hideMark/>
          </w:tcPr>
          <w:p w14:paraId="0CD04A15"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2"/>
                <w:lang w:eastAsia="en-AU"/>
              </w:rPr>
            </w:pPr>
          </w:p>
        </w:tc>
        <w:tc>
          <w:tcPr>
            <w:tcW w:w="900" w:type="dxa"/>
            <w:tcBorders>
              <w:top w:val="nil"/>
              <w:left w:val="nil"/>
              <w:bottom w:val="nil"/>
              <w:right w:val="nil"/>
            </w:tcBorders>
            <w:shd w:val="clear" w:color="auto" w:fill="auto"/>
            <w:vAlign w:val="bottom"/>
            <w:hideMark/>
          </w:tcPr>
          <w:p w14:paraId="2DB6CDC3"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2"/>
                <w:lang w:eastAsia="en-AU"/>
              </w:rPr>
            </w:pPr>
          </w:p>
        </w:tc>
        <w:tc>
          <w:tcPr>
            <w:tcW w:w="1220" w:type="dxa"/>
            <w:tcBorders>
              <w:top w:val="nil"/>
              <w:left w:val="nil"/>
              <w:bottom w:val="nil"/>
              <w:right w:val="nil"/>
            </w:tcBorders>
            <w:shd w:val="clear" w:color="auto" w:fill="auto"/>
            <w:vAlign w:val="bottom"/>
            <w:hideMark/>
          </w:tcPr>
          <w:p w14:paraId="59008C47"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2"/>
                <w:lang w:eastAsia="en-AU"/>
              </w:rPr>
            </w:pPr>
          </w:p>
        </w:tc>
      </w:tr>
      <w:tr w:rsidR="00F50075" w:rsidRPr="00F50075" w14:paraId="606A0D79" w14:textId="77777777" w:rsidTr="00F50075">
        <w:trPr>
          <w:trHeight w:val="315"/>
        </w:trPr>
        <w:tc>
          <w:tcPr>
            <w:tcW w:w="1980" w:type="dxa"/>
            <w:tcBorders>
              <w:top w:val="nil"/>
              <w:left w:val="nil"/>
              <w:bottom w:val="nil"/>
              <w:right w:val="nil"/>
            </w:tcBorders>
            <w:shd w:val="clear" w:color="auto" w:fill="auto"/>
            <w:vAlign w:val="center"/>
            <w:hideMark/>
          </w:tcPr>
          <w:p w14:paraId="2D66FD9E" w14:textId="77777777" w:rsidR="00F50075" w:rsidRPr="00F50075" w:rsidRDefault="00F50075" w:rsidP="00F50075">
            <w:pPr>
              <w:tabs>
                <w:tab w:val="clear" w:pos="567"/>
              </w:tabs>
              <w:spacing w:after="0" w:line="240" w:lineRule="auto"/>
              <w:ind w:firstLineChars="100" w:firstLine="200"/>
              <w:rPr>
                <w:rFonts w:ascii="Calibri" w:eastAsia="Times New Roman" w:hAnsi="Calibri" w:cs="Times New Roman"/>
                <w:i/>
                <w:iCs/>
                <w:color w:val="000000"/>
                <w:sz w:val="20"/>
                <w:szCs w:val="20"/>
                <w:lang w:eastAsia="en-AU"/>
              </w:rPr>
            </w:pPr>
            <w:r w:rsidRPr="00F50075">
              <w:rPr>
                <w:rFonts w:ascii="Calibri" w:eastAsia="Times New Roman" w:hAnsi="Calibri" w:cs="Times New Roman"/>
                <w:i/>
                <w:iCs/>
                <w:color w:val="000000"/>
                <w:sz w:val="20"/>
                <w:szCs w:val="20"/>
                <w:lang w:eastAsia="en-AU"/>
              </w:rPr>
              <w:t>SES</w:t>
            </w:r>
          </w:p>
        </w:tc>
        <w:tc>
          <w:tcPr>
            <w:tcW w:w="4800" w:type="dxa"/>
            <w:tcBorders>
              <w:top w:val="nil"/>
              <w:left w:val="nil"/>
              <w:bottom w:val="nil"/>
              <w:right w:val="nil"/>
            </w:tcBorders>
            <w:shd w:val="clear" w:color="auto" w:fill="auto"/>
            <w:vAlign w:val="center"/>
            <w:hideMark/>
          </w:tcPr>
          <w:p w14:paraId="631C679E"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Same as SES for courts data</w:t>
            </w:r>
          </w:p>
        </w:tc>
        <w:tc>
          <w:tcPr>
            <w:tcW w:w="900" w:type="dxa"/>
            <w:tcBorders>
              <w:top w:val="nil"/>
              <w:left w:val="nil"/>
              <w:bottom w:val="nil"/>
              <w:right w:val="nil"/>
            </w:tcBorders>
            <w:shd w:val="clear" w:color="auto" w:fill="auto"/>
            <w:vAlign w:val="center"/>
            <w:hideMark/>
          </w:tcPr>
          <w:p w14:paraId="53C014B4"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States</w:t>
            </w:r>
          </w:p>
        </w:tc>
        <w:tc>
          <w:tcPr>
            <w:tcW w:w="1220" w:type="dxa"/>
            <w:tcBorders>
              <w:top w:val="nil"/>
              <w:left w:val="nil"/>
              <w:bottom w:val="nil"/>
              <w:right w:val="nil"/>
            </w:tcBorders>
            <w:shd w:val="clear" w:color="auto" w:fill="auto"/>
            <w:vAlign w:val="center"/>
            <w:hideMark/>
          </w:tcPr>
          <w:p w14:paraId="0AE72458" w14:textId="0C7BD920" w:rsidR="00F50075" w:rsidRPr="00F50075" w:rsidRDefault="000A48F0" w:rsidP="00F50075">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2012-</w:t>
            </w:r>
            <w:r w:rsidR="00F50075" w:rsidRPr="00F50075">
              <w:rPr>
                <w:rFonts w:ascii="Calibri" w:eastAsia="Times New Roman" w:hAnsi="Calibri" w:cs="Times New Roman"/>
                <w:color w:val="000000"/>
                <w:sz w:val="20"/>
                <w:szCs w:val="20"/>
                <w:lang w:eastAsia="en-AU"/>
              </w:rPr>
              <w:t>13</w:t>
            </w:r>
          </w:p>
        </w:tc>
      </w:tr>
      <w:tr w:rsidR="00F50075" w:rsidRPr="00F50075" w14:paraId="381A980A" w14:textId="77777777" w:rsidTr="00F50075">
        <w:trPr>
          <w:trHeight w:val="315"/>
        </w:trPr>
        <w:tc>
          <w:tcPr>
            <w:tcW w:w="1980" w:type="dxa"/>
            <w:tcBorders>
              <w:top w:val="nil"/>
              <w:left w:val="nil"/>
              <w:bottom w:val="nil"/>
              <w:right w:val="nil"/>
            </w:tcBorders>
            <w:shd w:val="clear" w:color="auto" w:fill="auto"/>
            <w:vAlign w:val="center"/>
            <w:hideMark/>
          </w:tcPr>
          <w:p w14:paraId="5F93BC10" w14:textId="77777777" w:rsidR="00F50075" w:rsidRPr="00F50075" w:rsidRDefault="00F50075" w:rsidP="00F50075">
            <w:pPr>
              <w:tabs>
                <w:tab w:val="clear" w:pos="567"/>
              </w:tabs>
              <w:spacing w:after="0" w:line="240" w:lineRule="auto"/>
              <w:ind w:firstLineChars="100" w:firstLine="200"/>
              <w:rPr>
                <w:rFonts w:ascii="Calibri" w:eastAsia="Times New Roman" w:hAnsi="Calibri" w:cs="Times New Roman"/>
                <w:i/>
                <w:iCs/>
                <w:color w:val="000000"/>
                <w:sz w:val="20"/>
                <w:szCs w:val="20"/>
                <w:lang w:eastAsia="en-AU"/>
              </w:rPr>
            </w:pPr>
            <w:r w:rsidRPr="00F50075">
              <w:rPr>
                <w:rFonts w:ascii="Calibri" w:eastAsia="Times New Roman" w:hAnsi="Calibri" w:cs="Times New Roman"/>
                <w:i/>
                <w:iCs/>
                <w:color w:val="000000"/>
                <w:sz w:val="20"/>
                <w:szCs w:val="20"/>
                <w:lang w:eastAsia="en-AU"/>
              </w:rPr>
              <w:t>Indigenous Status</w:t>
            </w:r>
          </w:p>
        </w:tc>
        <w:tc>
          <w:tcPr>
            <w:tcW w:w="4800" w:type="dxa"/>
            <w:tcBorders>
              <w:top w:val="nil"/>
              <w:left w:val="nil"/>
              <w:bottom w:val="nil"/>
              <w:right w:val="nil"/>
            </w:tcBorders>
            <w:shd w:val="clear" w:color="auto" w:fill="auto"/>
            <w:vAlign w:val="center"/>
            <w:hideMark/>
          </w:tcPr>
          <w:p w14:paraId="41A29B3D"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Prisoners in Australia, Indigenous status by sex and age</w:t>
            </w:r>
          </w:p>
        </w:tc>
        <w:tc>
          <w:tcPr>
            <w:tcW w:w="900" w:type="dxa"/>
            <w:tcBorders>
              <w:top w:val="nil"/>
              <w:left w:val="nil"/>
              <w:bottom w:val="nil"/>
              <w:right w:val="nil"/>
            </w:tcBorders>
            <w:shd w:val="clear" w:color="auto" w:fill="auto"/>
            <w:vAlign w:val="center"/>
            <w:hideMark/>
          </w:tcPr>
          <w:p w14:paraId="162A3C71"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ABS</w:t>
            </w:r>
          </w:p>
        </w:tc>
        <w:tc>
          <w:tcPr>
            <w:tcW w:w="1220" w:type="dxa"/>
            <w:tcBorders>
              <w:top w:val="nil"/>
              <w:left w:val="nil"/>
              <w:bottom w:val="nil"/>
              <w:right w:val="nil"/>
            </w:tcBorders>
            <w:shd w:val="clear" w:color="auto" w:fill="auto"/>
            <w:vAlign w:val="center"/>
            <w:hideMark/>
          </w:tcPr>
          <w:p w14:paraId="6D5D8740" w14:textId="77777777" w:rsidR="00F50075" w:rsidRPr="00F50075" w:rsidRDefault="00F50075" w:rsidP="00F50075">
            <w:pPr>
              <w:tabs>
                <w:tab w:val="clear" w:pos="567"/>
              </w:tabs>
              <w:spacing w:after="0" w:line="240" w:lineRule="auto"/>
              <w:jc w:val="right"/>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2016-17</w:t>
            </w:r>
          </w:p>
        </w:tc>
      </w:tr>
      <w:tr w:rsidR="00F50075" w:rsidRPr="00F50075" w14:paraId="49300A2E" w14:textId="77777777" w:rsidTr="00F50075">
        <w:trPr>
          <w:trHeight w:val="315"/>
        </w:trPr>
        <w:tc>
          <w:tcPr>
            <w:tcW w:w="1980" w:type="dxa"/>
            <w:tcBorders>
              <w:top w:val="nil"/>
              <w:left w:val="nil"/>
              <w:bottom w:val="nil"/>
              <w:right w:val="nil"/>
            </w:tcBorders>
            <w:shd w:val="clear" w:color="auto" w:fill="auto"/>
            <w:vAlign w:val="center"/>
            <w:hideMark/>
          </w:tcPr>
          <w:p w14:paraId="6F477FC9" w14:textId="77777777" w:rsidR="00F50075" w:rsidRPr="00F50075" w:rsidRDefault="00F50075" w:rsidP="00F50075">
            <w:pPr>
              <w:tabs>
                <w:tab w:val="clear" w:pos="567"/>
              </w:tabs>
              <w:spacing w:after="0" w:line="240" w:lineRule="auto"/>
              <w:ind w:firstLineChars="100" w:firstLine="200"/>
              <w:rPr>
                <w:rFonts w:ascii="Calibri" w:eastAsia="Times New Roman" w:hAnsi="Calibri" w:cs="Times New Roman"/>
                <w:i/>
                <w:iCs/>
                <w:color w:val="000000"/>
                <w:sz w:val="20"/>
                <w:szCs w:val="20"/>
                <w:lang w:eastAsia="en-AU"/>
              </w:rPr>
            </w:pPr>
            <w:r w:rsidRPr="00F50075">
              <w:rPr>
                <w:rFonts w:ascii="Calibri" w:eastAsia="Times New Roman" w:hAnsi="Calibri" w:cs="Times New Roman"/>
                <w:i/>
                <w:iCs/>
                <w:color w:val="000000"/>
                <w:sz w:val="20"/>
                <w:szCs w:val="20"/>
                <w:lang w:eastAsia="en-AU"/>
              </w:rPr>
              <w:t>Age</w:t>
            </w:r>
          </w:p>
        </w:tc>
        <w:tc>
          <w:tcPr>
            <w:tcW w:w="4800" w:type="dxa"/>
            <w:tcBorders>
              <w:top w:val="nil"/>
              <w:left w:val="nil"/>
              <w:bottom w:val="nil"/>
              <w:right w:val="nil"/>
            </w:tcBorders>
            <w:shd w:val="clear" w:color="auto" w:fill="auto"/>
            <w:vAlign w:val="center"/>
            <w:hideMark/>
          </w:tcPr>
          <w:p w14:paraId="24FE3F27"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Prisoners in Australia, Indigenous status by sex and age</w:t>
            </w:r>
          </w:p>
        </w:tc>
        <w:tc>
          <w:tcPr>
            <w:tcW w:w="900" w:type="dxa"/>
            <w:tcBorders>
              <w:top w:val="nil"/>
              <w:left w:val="nil"/>
              <w:bottom w:val="nil"/>
              <w:right w:val="nil"/>
            </w:tcBorders>
            <w:shd w:val="clear" w:color="auto" w:fill="auto"/>
            <w:vAlign w:val="center"/>
            <w:hideMark/>
          </w:tcPr>
          <w:p w14:paraId="48C97BD5"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ABS</w:t>
            </w:r>
          </w:p>
        </w:tc>
        <w:tc>
          <w:tcPr>
            <w:tcW w:w="1220" w:type="dxa"/>
            <w:tcBorders>
              <w:top w:val="nil"/>
              <w:left w:val="nil"/>
              <w:bottom w:val="nil"/>
              <w:right w:val="nil"/>
            </w:tcBorders>
            <w:shd w:val="clear" w:color="auto" w:fill="auto"/>
            <w:vAlign w:val="center"/>
            <w:hideMark/>
          </w:tcPr>
          <w:p w14:paraId="74A06AD9" w14:textId="77777777" w:rsidR="00F50075" w:rsidRPr="00F50075" w:rsidRDefault="00F50075" w:rsidP="00F50075">
            <w:pPr>
              <w:tabs>
                <w:tab w:val="clear" w:pos="567"/>
              </w:tabs>
              <w:spacing w:after="0" w:line="240" w:lineRule="auto"/>
              <w:jc w:val="right"/>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2016-17</w:t>
            </w:r>
          </w:p>
        </w:tc>
      </w:tr>
      <w:tr w:rsidR="00F50075" w:rsidRPr="00F50075" w14:paraId="5C82E5ED" w14:textId="77777777" w:rsidTr="00F50075">
        <w:trPr>
          <w:trHeight w:val="315"/>
        </w:trPr>
        <w:tc>
          <w:tcPr>
            <w:tcW w:w="1980" w:type="dxa"/>
            <w:tcBorders>
              <w:top w:val="single" w:sz="4" w:space="0" w:color="auto"/>
              <w:left w:val="nil"/>
              <w:bottom w:val="nil"/>
              <w:right w:val="nil"/>
            </w:tcBorders>
            <w:shd w:val="clear" w:color="auto" w:fill="auto"/>
            <w:vAlign w:val="center"/>
            <w:hideMark/>
          </w:tcPr>
          <w:p w14:paraId="53037095"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Youth prisoners</w:t>
            </w:r>
          </w:p>
        </w:tc>
        <w:tc>
          <w:tcPr>
            <w:tcW w:w="4800" w:type="dxa"/>
            <w:tcBorders>
              <w:top w:val="single" w:sz="4" w:space="0" w:color="auto"/>
              <w:left w:val="nil"/>
              <w:bottom w:val="nil"/>
              <w:right w:val="nil"/>
            </w:tcBorders>
            <w:shd w:val="clear" w:color="auto" w:fill="auto"/>
            <w:vAlign w:val="center"/>
            <w:hideMark/>
          </w:tcPr>
          <w:p w14:paraId="4602F738"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 </w:t>
            </w:r>
          </w:p>
        </w:tc>
        <w:tc>
          <w:tcPr>
            <w:tcW w:w="900" w:type="dxa"/>
            <w:tcBorders>
              <w:top w:val="single" w:sz="4" w:space="0" w:color="auto"/>
              <w:left w:val="nil"/>
              <w:bottom w:val="nil"/>
              <w:right w:val="nil"/>
            </w:tcBorders>
            <w:shd w:val="clear" w:color="auto" w:fill="auto"/>
            <w:vAlign w:val="center"/>
            <w:hideMark/>
          </w:tcPr>
          <w:p w14:paraId="7AD2F92E"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 </w:t>
            </w:r>
          </w:p>
        </w:tc>
        <w:tc>
          <w:tcPr>
            <w:tcW w:w="1220" w:type="dxa"/>
            <w:tcBorders>
              <w:top w:val="single" w:sz="4" w:space="0" w:color="auto"/>
              <w:left w:val="nil"/>
              <w:bottom w:val="nil"/>
              <w:right w:val="nil"/>
            </w:tcBorders>
            <w:shd w:val="clear" w:color="auto" w:fill="auto"/>
            <w:vAlign w:val="center"/>
            <w:hideMark/>
          </w:tcPr>
          <w:p w14:paraId="0AAE51C0" w14:textId="77777777" w:rsidR="00F50075" w:rsidRPr="00F50075" w:rsidRDefault="00F50075" w:rsidP="00F50075">
            <w:pPr>
              <w:tabs>
                <w:tab w:val="clear" w:pos="567"/>
              </w:tabs>
              <w:spacing w:after="0" w:line="240" w:lineRule="auto"/>
              <w:jc w:val="right"/>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 </w:t>
            </w:r>
          </w:p>
        </w:tc>
      </w:tr>
      <w:tr w:rsidR="00F50075" w:rsidRPr="00F50075" w14:paraId="3770A513" w14:textId="77777777" w:rsidTr="00F50075">
        <w:trPr>
          <w:trHeight w:val="315"/>
        </w:trPr>
        <w:tc>
          <w:tcPr>
            <w:tcW w:w="1980" w:type="dxa"/>
            <w:tcBorders>
              <w:top w:val="nil"/>
              <w:left w:val="nil"/>
              <w:bottom w:val="nil"/>
              <w:right w:val="nil"/>
            </w:tcBorders>
            <w:shd w:val="clear" w:color="auto" w:fill="auto"/>
            <w:vAlign w:val="center"/>
            <w:hideMark/>
          </w:tcPr>
          <w:p w14:paraId="24BB9143" w14:textId="77777777" w:rsidR="00F50075" w:rsidRPr="00F50075" w:rsidRDefault="00F50075" w:rsidP="00F50075">
            <w:pPr>
              <w:tabs>
                <w:tab w:val="clear" w:pos="567"/>
              </w:tabs>
              <w:spacing w:after="0" w:line="240" w:lineRule="auto"/>
              <w:ind w:firstLineChars="100" w:firstLine="200"/>
              <w:rPr>
                <w:rFonts w:ascii="Calibri" w:eastAsia="Times New Roman" w:hAnsi="Calibri" w:cs="Times New Roman"/>
                <w:i/>
                <w:iCs/>
                <w:color w:val="000000"/>
                <w:sz w:val="20"/>
                <w:szCs w:val="20"/>
                <w:lang w:eastAsia="en-AU"/>
              </w:rPr>
            </w:pPr>
            <w:r w:rsidRPr="00F50075">
              <w:rPr>
                <w:rFonts w:ascii="Calibri" w:eastAsia="Times New Roman" w:hAnsi="Calibri" w:cs="Times New Roman"/>
                <w:i/>
                <w:iCs/>
                <w:color w:val="000000"/>
                <w:sz w:val="20"/>
                <w:szCs w:val="20"/>
                <w:lang w:eastAsia="en-AU"/>
              </w:rPr>
              <w:t>SES</w:t>
            </w:r>
          </w:p>
        </w:tc>
        <w:tc>
          <w:tcPr>
            <w:tcW w:w="4800" w:type="dxa"/>
            <w:tcBorders>
              <w:top w:val="nil"/>
              <w:left w:val="nil"/>
              <w:bottom w:val="nil"/>
              <w:right w:val="nil"/>
            </w:tcBorders>
            <w:shd w:val="clear" w:color="auto" w:fill="auto"/>
            <w:vAlign w:val="center"/>
            <w:hideMark/>
          </w:tcPr>
          <w:p w14:paraId="4AC07ADA"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Same as SES for courts data</w:t>
            </w:r>
          </w:p>
        </w:tc>
        <w:tc>
          <w:tcPr>
            <w:tcW w:w="900" w:type="dxa"/>
            <w:tcBorders>
              <w:top w:val="nil"/>
              <w:left w:val="nil"/>
              <w:bottom w:val="nil"/>
              <w:right w:val="nil"/>
            </w:tcBorders>
            <w:shd w:val="clear" w:color="auto" w:fill="auto"/>
            <w:vAlign w:val="center"/>
            <w:hideMark/>
          </w:tcPr>
          <w:p w14:paraId="5535C9EC"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States</w:t>
            </w:r>
          </w:p>
        </w:tc>
        <w:tc>
          <w:tcPr>
            <w:tcW w:w="1220" w:type="dxa"/>
            <w:tcBorders>
              <w:top w:val="nil"/>
              <w:left w:val="nil"/>
              <w:bottom w:val="nil"/>
              <w:right w:val="nil"/>
            </w:tcBorders>
            <w:shd w:val="clear" w:color="auto" w:fill="auto"/>
            <w:vAlign w:val="center"/>
            <w:hideMark/>
          </w:tcPr>
          <w:p w14:paraId="0B903C94" w14:textId="444D218C" w:rsidR="00F50075" w:rsidRPr="00F50075" w:rsidRDefault="000A48F0" w:rsidP="00F50075">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2012-</w:t>
            </w:r>
            <w:r w:rsidR="00F50075" w:rsidRPr="00F50075">
              <w:rPr>
                <w:rFonts w:ascii="Calibri" w:eastAsia="Times New Roman" w:hAnsi="Calibri" w:cs="Times New Roman"/>
                <w:color w:val="000000"/>
                <w:sz w:val="20"/>
                <w:szCs w:val="20"/>
                <w:lang w:eastAsia="en-AU"/>
              </w:rPr>
              <w:t>13</w:t>
            </w:r>
          </w:p>
        </w:tc>
      </w:tr>
      <w:tr w:rsidR="00F50075" w:rsidRPr="00F50075" w14:paraId="1A7F629B" w14:textId="77777777" w:rsidTr="00F50075">
        <w:trPr>
          <w:trHeight w:val="315"/>
        </w:trPr>
        <w:tc>
          <w:tcPr>
            <w:tcW w:w="1980" w:type="dxa"/>
            <w:tcBorders>
              <w:top w:val="nil"/>
              <w:left w:val="nil"/>
              <w:bottom w:val="nil"/>
              <w:right w:val="nil"/>
            </w:tcBorders>
            <w:shd w:val="clear" w:color="auto" w:fill="auto"/>
            <w:vAlign w:val="center"/>
            <w:hideMark/>
          </w:tcPr>
          <w:p w14:paraId="7779A34A" w14:textId="77777777" w:rsidR="00F50075" w:rsidRPr="00F50075" w:rsidRDefault="00F50075" w:rsidP="00F50075">
            <w:pPr>
              <w:tabs>
                <w:tab w:val="clear" w:pos="567"/>
              </w:tabs>
              <w:spacing w:after="0" w:line="240" w:lineRule="auto"/>
              <w:ind w:firstLineChars="100" w:firstLine="200"/>
              <w:rPr>
                <w:rFonts w:ascii="Calibri" w:eastAsia="Times New Roman" w:hAnsi="Calibri" w:cs="Times New Roman"/>
                <w:i/>
                <w:iCs/>
                <w:color w:val="000000"/>
                <w:sz w:val="20"/>
                <w:szCs w:val="20"/>
                <w:lang w:eastAsia="en-AU"/>
              </w:rPr>
            </w:pPr>
            <w:r w:rsidRPr="00F50075">
              <w:rPr>
                <w:rFonts w:ascii="Calibri" w:eastAsia="Times New Roman" w:hAnsi="Calibri" w:cs="Times New Roman"/>
                <w:i/>
                <w:iCs/>
                <w:color w:val="000000"/>
                <w:sz w:val="20"/>
                <w:szCs w:val="20"/>
                <w:lang w:eastAsia="en-AU"/>
              </w:rPr>
              <w:t>Indigenous Status</w:t>
            </w:r>
          </w:p>
        </w:tc>
        <w:tc>
          <w:tcPr>
            <w:tcW w:w="4800" w:type="dxa"/>
            <w:tcBorders>
              <w:top w:val="nil"/>
              <w:left w:val="nil"/>
              <w:bottom w:val="nil"/>
              <w:right w:val="nil"/>
            </w:tcBorders>
            <w:shd w:val="clear" w:color="auto" w:fill="auto"/>
            <w:vAlign w:val="center"/>
            <w:hideMark/>
          </w:tcPr>
          <w:p w14:paraId="107A4279" w14:textId="0C585FD8" w:rsidR="00F50075" w:rsidRPr="00F50075" w:rsidRDefault="00F50075" w:rsidP="00573580">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 xml:space="preserve">Young people in detention by sex and </w:t>
            </w:r>
            <w:r w:rsidR="00573580">
              <w:rPr>
                <w:rFonts w:ascii="Calibri" w:eastAsia="Times New Roman" w:hAnsi="Calibri" w:cs="Times New Roman"/>
                <w:color w:val="000000"/>
                <w:sz w:val="20"/>
                <w:szCs w:val="20"/>
                <w:lang w:eastAsia="en-AU"/>
              </w:rPr>
              <w:t>I</w:t>
            </w:r>
            <w:r w:rsidRPr="00F50075">
              <w:rPr>
                <w:rFonts w:ascii="Calibri" w:eastAsia="Times New Roman" w:hAnsi="Calibri" w:cs="Times New Roman"/>
                <w:color w:val="000000"/>
                <w:sz w:val="20"/>
                <w:szCs w:val="20"/>
                <w:lang w:eastAsia="en-AU"/>
              </w:rPr>
              <w:t>ndigenous status</w:t>
            </w:r>
          </w:p>
        </w:tc>
        <w:tc>
          <w:tcPr>
            <w:tcW w:w="900" w:type="dxa"/>
            <w:tcBorders>
              <w:top w:val="nil"/>
              <w:left w:val="nil"/>
              <w:bottom w:val="nil"/>
              <w:right w:val="nil"/>
            </w:tcBorders>
            <w:shd w:val="clear" w:color="auto" w:fill="auto"/>
            <w:vAlign w:val="center"/>
            <w:hideMark/>
          </w:tcPr>
          <w:p w14:paraId="3D54E7B6"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AIHW</w:t>
            </w:r>
          </w:p>
        </w:tc>
        <w:tc>
          <w:tcPr>
            <w:tcW w:w="1220" w:type="dxa"/>
            <w:tcBorders>
              <w:top w:val="nil"/>
              <w:left w:val="nil"/>
              <w:bottom w:val="nil"/>
              <w:right w:val="nil"/>
            </w:tcBorders>
            <w:shd w:val="clear" w:color="auto" w:fill="auto"/>
            <w:vAlign w:val="center"/>
            <w:hideMark/>
          </w:tcPr>
          <w:p w14:paraId="7D49FD17" w14:textId="77777777" w:rsidR="00F50075" w:rsidRPr="00F50075" w:rsidRDefault="00F50075" w:rsidP="00F50075">
            <w:pPr>
              <w:tabs>
                <w:tab w:val="clear" w:pos="567"/>
              </w:tabs>
              <w:spacing w:after="0" w:line="240" w:lineRule="auto"/>
              <w:jc w:val="right"/>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2015-16</w:t>
            </w:r>
          </w:p>
        </w:tc>
      </w:tr>
      <w:tr w:rsidR="00F50075" w:rsidRPr="00F50075" w14:paraId="12E024F8" w14:textId="77777777" w:rsidTr="00F50075">
        <w:trPr>
          <w:trHeight w:val="315"/>
        </w:trPr>
        <w:tc>
          <w:tcPr>
            <w:tcW w:w="1980" w:type="dxa"/>
            <w:tcBorders>
              <w:top w:val="nil"/>
              <w:left w:val="nil"/>
              <w:bottom w:val="single" w:sz="4" w:space="0" w:color="auto"/>
              <w:right w:val="nil"/>
            </w:tcBorders>
            <w:shd w:val="clear" w:color="auto" w:fill="auto"/>
            <w:vAlign w:val="center"/>
            <w:hideMark/>
          </w:tcPr>
          <w:p w14:paraId="23F6828B" w14:textId="77777777" w:rsidR="00F50075" w:rsidRPr="00F50075" w:rsidRDefault="00F50075" w:rsidP="00F50075">
            <w:pPr>
              <w:tabs>
                <w:tab w:val="clear" w:pos="567"/>
              </w:tabs>
              <w:spacing w:after="0" w:line="240" w:lineRule="auto"/>
              <w:ind w:firstLineChars="100" w:firstLine="200"/>
              <w:rPr>
                <w:rFonts w:ascii="Calibri" w:eastAsia="Times New Roman" w:hAnsi="Calibri" w:cs="Times New Roman"/>
                <w:i/>
                <w:iCs/>
                <w:color w:val="000000"/>
                <w:sz w:val="20"/>
                <w:szCs w:val="20"/>
                <w:lang w:eastAsia="en-AU"/>
              </w:rPr>
            </w:pPr>
            <w:r w:rsidRPr="00F50075">
              <w:rPr>
                <w:rFonts w:ascii="Calibri" w:eastAsia="Times New Roman" w:hAnsi="Calibri" w:cs="Times New Roman"/>
                <w:i/>
                <w:iCs/>
                <w:color w:val="000000"/>
                <w:sz w:val="20"/>
                <w:szCs w:val="20"/>
                <w:lang w:eastAsia="en-AU"/>
              </w:rPr>
              <w:t>Age</w:t>
            </w:r>
          </w:p>
        </w:tc>
        <w:tc>
          <w:tcPr>
            <w:tcW w:w="4800" w:type="dxa"/>
            <w:tcBorders>
              <w:top w:val="nil"/>
              <w:left w:val="nil"/>
              <w:bottom w:val="single" w:sz="4" w:space="0" w:color="auto"/>
              <w:right w:val="nil"/>
            </w:tcBorders>
            <w:shd w:val="clear" w:color="auto" w:fill="auto"/>
            <w:vAlign w:val="center"/>
            <w:hideMark/>
          </w:tcPr>
          <w:p w14:paraId="42FAC4BF" w14:textId="4D7D5BC3"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 xml:space="preserve">Young </w:t>
            </w:r>
            <w:r w:rsidR="00573580">
              <w:rPr>
                <w:rFonts w:ascii="Calibri" w:eastAsia="Times New Roman" w:hAnsi="Calibri" w:cs="Times New Roman"/>
                <w:color w:val="000000"/>
                <w:sz w:val="20"/>
                <w:szCs w:val="20"/>
                <w:lang w:eastAsia="en-AU"/>
              </w:rPr>
              <w:t>people in detention by sex and I</w:t>
            </w:r>
            <w:r w:rsidRPr="00F50075">
              <w:rPr>
                <w:rFonts w:ascii="Calibri" w:eastAsia="Times New Roman" w:hAnsi="Calibri" w:cs="Times New Roman"/>
                <w:color w:val="000000"/>
                <w:sz w:val="20"/>
                <w:szCs w:val="20"/>
                <w:lang w:eastAsia="en-AU"/>
              </w:rPr>
              <w:t>ndigenous status</w:t>
            </w:r>
          </w:p>
        </w:tc>
        <w:tc>
          <w:tcPr>
            <w:tcW w:w="900" w:type="dxa"/>
            <w:tcBorders>
              <w:top w:val="nil"/>
              <w:left w:val="nil"/>
              <w:bottom w:val="single" w:sz="4" w:space="0" w:color="auto"/>
              <w:right w:val="nil"/>
            </w:tcBorders>
            <w:shd w:val="clear" w:color="auto" w:fill="auto"/>
            <w:vAlign w:val="center"/>
            <w:hideMark/>
          </w:tcPr>
          <w:p w14:paraId="295A9A58" w14:textId="77777777" w:rsidR="00F50075" w:rsidRPr="00F50075" w:rsidRDefault="00F50075" w:rsidP="00F50075">
            <w:pPr>
              <w:tabs>
                <w:tab w:val="clear" w:pos="567"/>
              </w:tabs>
              <w:spacing w:after="0" w:line="240" w:lineRule="auto"/>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AIHW</w:t>
            </w:r>
          </w:p>
        </w:tc>
        <w:tc>
          <w:tcPr>
            <w:tcW w:w="1220" w:type="dxa"/>
            <w:tcBorders>
              <w:top w:val="nil"/>
              <w:left w:val="nil"/>
              <w:bottom w:val="single" w:sz="4" w:space="0" w:color="auto"/>
              <w:right w:val="nil"/>
            </w:tcBorders>
            <w:shd w:val="clear" w:color="auto" w:fill="auto"/>
            <w:vAlign w:val="center"/>
            <w:hideMark/>
          </w:tcPr>
          <w:p w14:paraId="13DFFC56" w14:textId="77777777" w:rsidR="00F50075" w:rsidRPr="00F50075" w:rsidRDefault="00F50075" w:rsidP="00F50075">
            <w:pPr>
              <w:tabs>
                <w:tab w:val="clear" w:pos="567"/>
              </w:tabs>
              <w:spacing w:after="0" w:line="240" w:lineRule="auto"/>
              <w:jc w:val="right"/>
              <w:rPr>
                <w:rFonts w:ascii="Calibri" w:eastAsia="Times New Roman" w:hAnsi="Calibri" w:cs="Times New Roman"/>
                <w:color w:val="000000"/>
                <w:sz w:val="20"/>
                <w:szCs w:val="20"/>
                <w:lang w:eastAsia="en-AU"/>
              </w:rPr>
            </w:pPr>
            <w:r w:rsidRPr="00F50075">
              <w:rPr>
                <w:rFonts w:ascii="Calibri" w:eastAsia="Times New Roman" w:hAnsi="Calibri" w:cs="Times New Roman"/>
                <w:color w:val="000000"/>
                <w:sz w:val="20"/>
                <w:szCs w:val="20"/>
                <w:lang w:eastAsia="en-AU"/>
              </w:rPr>
              <w:t>2015-16</w:t>
            </w:r>
          </w:p>
        </w:tc>
      </w:tr>
    </w:tbl>
    <w:p w14:paraId="53011A0D" w14:textId="59451DA9" w:rsidR="00737DFE" w:rsidRDefault="00737DFE" w:rsidP="00C43B6B">
      <w:pPr>
        <w:pStyle w:val="CGCTableFootnote"/>
      </w:pPr>
      <w:r>
        <w:t>Note:</w:t>
      </w:r>
      <w:r>
        <w:tab/>
        <w:t>SES is socio</w:t>
      </w:r>
      <w:r>
        <w:noBreakHyphen/>
        <w:t>economic status.</w:t>
      </w:r>
    </w:p>
    <w:p w14:paraId="4DB5FB06" w14:textId="0480A47D" w:rsidR="00C43B6B" w:rsidRDefault="00F50075" w:rsidP="00C43B6B">
      <w:pPr>
        <w:pStyle w:val="CGCTableFootnote"/>
      </w:pPr>
      <w:r>
        <w:t>S</w:t>
      </w:r>
      <w:r w:rsidR="00C43B6B">
        <w:t xml:space="preserve">ource: </w:t>
      </w:r>
      <w:r w:rsidR="00737DFE">
        <w:tab/>
      </w:r>
      <w:r w:rsidR="00C43B6B">
        <w:t>Commission decisions.</w:t>
      </w:r>
    </w:p>
    <w:p w14:paraId="42F01275" w14:textId="29B50866" w:rsidR="00C73291" w:rsidRDefault="00F91F28" w:rsidP="00C73291">
      <w:pPr>
        <w:pStyle w:val="Heading5"/>
      </w:pPr>
      <w:r>
        <w:t>Police a</w:t>
      </w:r>
      <w:r w:rsidR="00C73291">
        <w:t>ssessment</w:t>
      </w:r>
    </w:p>
    <w:p w14:paraId="0F00F843" w14:textId="2C443C1E" w:rsidR="00C73291" w:rsidRDefault="00C73291" w:rsidP="00C73291">
      <w:pPr>
        <w:pStyle w:val="CGCNumberedPara"/>
        <w:numPr>
          <w:ilvl w:val="1"/>
          <w:numId w:val="3"/>
        </w:numPr>
      </w:pPr>
      <w:r>
        <w:t xml:space="preserve">The current </w:t>
      </w:r>
      <w:r w:rsidRPr="00B414FA">
        <w:t>assessment</w:t>
      </w:r>
      <w:r>
        <w:t xml:space="preserve"> divides police service expenses between ‘community policing’ </w:t>
      </w:r>
      <w:r w:rsidRPr="006E3F3A">
        <w:t>and ‘specialised policing’.</w:t>
      </w:r>
      <w:r>
        <w:t xml:space="preserve"> </w:t>
      </w:r>
      <w:r w:rsidRPr="006E3F3A">
        <w:t xml:space="preserve">This split </w:t>
      </w:r>
      <w:r>
        <w:t>recognises</w:t>
      </w:r>
      <w:r w:rsidRPr="006E3F3A">
        <w:t xml:space="preserve"> that some police services are provided to the general community</w:t>
      </w:r>
      <w:r>
        <w:t xml:space="preserve"> while ‘demand’ for</w:t>
      </w:r>
      <w:r w:rsidRPr="006E3F3A">
        <w:t xml:space="preserve"> other services take</w:t>
      </w:r>
      <w:r w:rsidR="00FC5918">
        <w:t>s</w:t>
      </w:r>
      <w:r w:rsidRPr="006E3F3A">
        <w:t xml:space="preserve"> into account particular population groups</w:t>
      </w:r>
      <w:r w:rsidR="00FC5918">
        <w:t xml:space="preserve"> more</w:t>
      </w:r>
      <w:r w:rsidRPr="006E3F3A">
        <w:t xml:space="preserve"> likely to commit crime.</w:t>
      </w:r>
      <w:r w:rsidRPr="006E3F3A" w:rsidDel="00873392">
        <w:t xml:space="preserve"> </w:t>
      </w:r>
      <w:r w:rsidRPr="006E3F3A">
        <w:t>Using its judgment, the Commission has assumed that 50% of Police expenses are</w:t>
      </w:r>
      <w:r>
        <w:t xml:space="preserve"> for community policing, and 50% for specialised policing</w:t>
      </w:r>
      <w:r w:rsidR="002D75A5">
        <w:rPr>
          <w:rStyle w:val="FootnoteReference"/>
        </w:rPr>
        <w:footnoteReference w:id="1"/>
      </w:r>
      <w:r>
        <w:t xml:space="preserve">. </w:t>
      </w:r>
    </w:p>
    <w:p w14:paraId="3340C914" w14:textId="4A023D93" w:rsidR="00C73291" w:rsidRDefault="00C73291" w:rsidP="00C73291">
      <w:pPr>
        <w:pStyle w:val="CGCNumberedPara"/>
        <w:numPr>
          <w:ilvl w:val="1"/>
          <w:numId w:val="3"/>
        </w:numPr>
      </w:pPr>
      <w:r>
        <w:t xml:space="preserve">The socio-demographic composition </w:t>
      </w:r>
      <w:r w:rsidR="00737DFE">
        <w:t xml:space="preserve">(SDC) </w:t>
      </w:r>
      <w:r>
        <w:t xml:space="preserve">disability applies to specialised policing and recognises that police spend more time and resources on some population groups than others. The attributes used to differentiate the population are: </w:t>
      </w:r>
    </w:p>
    <w:p w14:paraId="576EDA95" w14:textId="29A21A0A" w:rsidR="00C73291" w:rsidRDefault="00C73291" w:rsidP="00C73291">
      <w:pPr>
        <w:pStyle w:val="CGCBulletlist"/>
        <w:numPr>
          <w:ilvl w:val="0"/>
          <w:numId w:val="1"/>
        </w:numPr>
        <w:tabs>
          <w:tab w:val="clear" w:pos="927"/>
        </w:tabs>
        <w:ind w:left="1134" w:hanging="567"/>
      </w:pPr>
      <w:r>
        <w:t xml:space="preserve">age (people aged 15-24, 25-44, 45-64 with those aged 0-14 and 65 or </w:t>
      </w:r>
      <w:r w:rsidR="00FC5918">
        <w:t xml:space="preserve">older </w:t>
      </w:r>
      <w:r>
        <w:t>assumed to have</w:t>
      </w:r>
      <w:r w:rsidR="00E8329C">
        <w:t xml:space="preserve"> negli</w:t>
      </w:r>
      <w:r w:rsidR="001D4BC3">
        <w:t>gi</w:t>
      </w:r>
      <w:r w:rsidR="00E8329C">
        <w:t>ble impact</w:t>
      </w:r>
      <w:r>
        <w:t xml:space="preserve"> on specialised policing</w:t>
      </w:r>
      <w:r w:rsidR="00E8329C">
        <w:t xml:space="preserve"> considering their much lower propensity to engage in criminal activity</w:t>
      </w:r>
      <w:r>
        <w:t>)</w:t>
      </w:r>
    </w:p>
    <w:p w14:paraId="52C4698F" w14:textId="5AE2A679" w:rsidR="00C73291" w:rsidRPr="00E072E4" w:rsidRDefault="00D55E65" w:rsidP="00C73291">
      <w:pPr>
        <w:pStyle w:val="CGCBulletlist"/>
        <w:numPr>
          <w:ilvl w:val="0"/>
          <w:numId w:val="1"/>
        </w:numPr>
        <w:tabs>
          <w:tab w:val="clear" w:pos="927"/>
        </w:tabs>
        <w:ind w:left="1134" w:hanging="567"/>
      </w:pPr>
      <w:r>
        <w:t>I</w:t>
      </w:r>
      <w:r w:rsidR="00C73291">
        <w:t>n</w:t>
      </w:r>
      <w:r w:rsidR="00C73291" w:rsidRPr="00E072E4">
        <w:t>dige</w:t>
      </w:r>
      <w:r w:rsidR="00C73291">
        <w:t xml:space="preserve">neity </w:t>
      </w:r>
    </w:p>
    <w:p w14:paraId="54126E36" w14:textId="00FF723C" w:rsidR="00C73291" w:rsidRDefault="00C73291" w:rsidP="00C73291">
      <w:pPr>
        <w:pStyle w:val="CGCBulletlist"/>
        <w:numPr>
          <w:ilvl w:val="0"/>
          <w:numId w:val="1"/>
        </w:numPr>
        <w:tabs>
          <w:tab w:val="clear" w:pos="927"/>
        </w:tabs>
        <w:ind w:left="1134" w:hanging="567"/>
      </w:pPr>
      <w:r>
        <w:t xml:space="preserve">socio-economic status (SES), measured using </w:t>
      </w:r>
      <w:r w:rsidR="00D55E65">
        <w:t xml:space="preserve">the </w:t>
      </w:r>
      <w:r>
        <w:t xml:space="preserve">Indigenous Relative Socio Economic Outcomes (IRSEO) </w:t>
      </w:r>
      <w:r w:rsidR="00D55E65">
        <w:t xml:space="preserve">index </w:t>
      </w:r>
      <w:r>
        <w:t xml:space="preserve">for the Indigenous population and </w:t>
      </w:r>
      <w:r w:rsidR="00D55E65">
        <w:t xml:space="preserve">the </w:t>
      </w:r>
      <w:r>
        <w:t>Non-Indigenous Socio-Economic Index for Areas (NISEIFA) for the non-Indigenous population.</w:t>
      </w:r>
    </w:p>
    <w:p w14:paraId="621AF099" w14:textId="3E0FF2E3" w:rsidR="00C73291" w:rsidRDefault="00C73291" w:rsidP="00C73291">
      <w:pPr>
        <w:pStyle w:val="CGCNumberedPara"/>
        <w:numPr>
          <w:ilvl w:val="1"/>
          <w:numId w:val="3"/>
        </w:numPr>
      </w:pPr>
      <w:r>
        <w:t>The extent to which different age groups are the subject of police services is measured using a 2007 national survey of people arrested and taken into custody by police. The effect of Indigenous status and location is measured using 2010-11 to 2012-13 State</w:t>
      </w:r>
      <w:r w:rsidR="003B13FC">
        <w:t>-</w:t>
      </w:r>
      <w:r>
        <w:t>provided data.</w:t>
      </w:r>
    </w:p>
    <w:p w14:paraId="3E8CF566" w14:textId="77777777" w:rsidR="00C73291" w:rsidRDefault="00C73291" w:rsidP="00C73291">
      <w:pPr>
        <w:pStyle w:val="CGCNumberedPara"/>
        <w:numPr>
          <w:ilvl w:val="1"/>
          <w:numId w:val="3"/>
        </w:numPr>
      </w:pPr>
      <w:r>
        <w:t xml:space="preserve">Community policing is delivered for all residents, not specifically targeted at law-breaking demographics. The use is therefore assessed equal per capita. </w:t>
      </w:r>
    </w:p>
    <w:p w14:paraId="40AF1F66" w14:textId="01D28A47" w:rsidR="00C73291" w:rsidRDefault="00C73291" w:rsidP="00C73291">
      <w:pPr>
        <w:pStyle w:val="CGCNumberedPara"/>
        <w:numPr>
          <w:ilvl w:val="1"/>
          <w:numId w:val="3"/>
        </w:numPr>
      </w:pPr>
      <w:r>
        <w:t xml:space="preserve">Wage costs, regional costs and service delivery scale factors are taken into account when assessing police expenses. Regional costs </w:t>
      </w:r>
      <w:r w:rsidR="00571EBB">
        <w:t>are</w:t>
      </w:r>
      <w:r>
        <w:t xml:space="preserve"> measured using police specific data.</w:t>
      </w:r>
    </w:p>
    <w:p w14:paraId="195461A0" w14:textId="50187FC3" w:rsidR="00C73291" w:rsidRDefault="00C73291" w:rsidP="00C73291">
      <w:pPr>
        <w:pStyle w:val="CGCNumberedPara"/>
        <w:numPr>
          <w:ilvl w:val="1"/>
          <w:numId w:val="3"/>
        </w:numPr>
      </w:pPr>
      <w:r w:rsidRPr="002A76F2">
        <w:t xml:space="preserve">A National </w:t>
      </w:r>
      <w:r w:rsidR="001D4BC3">
        <w:t>c</w:t>
      </w:r>
      <w:r w:rsidRPr="002A76F2">
        <w:t>apital factor is taken into account for the ACT recognising the higher than average wages paid to the Australian Federal Police, and noting that this expense is beyond the control of the ACT government.</w:t>
      </w:r>
    </w:p>
    <w:p w14:paraId="5531FB3C" w14:textId="511BFC85" w:rsidR="00C73291" w:rsidRPr="002A76F2" w:rsidRDefault="00C73291" w:rsidP="00C73291">
      <w:pPr>
        <w:pStyle w:val="CGCNumberedPara"/>
        <w:numPr>
          <w:ilvl w:val="1"/>
          <w:numId w:val="3"/>
        </w:numPr>
      </w:pPr>
      <w:r>
        <w:t xml:space="preserve">The results of this assessment </w:t>
      </w:r>
      <w:r w:rsidR="003F49DD">
        <w:t xml:space="preserve">are </w:t>
      </w:r>
      <w:r>
        <w:t xml:space="preserve">shown in </w:t>
      </w:r>
      <w:r>
        <w:fldChar w:fldCharType="begin"/>
      </w:r>
      <w:r>
        <w:instrText xml:space="preserve"> REF _Ref508356971 \h </w:instrText>
      </w:r>
      <w:r>
        <w:fldChar w:fldCharType="separate"/>
      </w:r>
      <w:r w:rsidR="00422CFD">
        <w:t xml:space="preserve">Table </w:t>
      </w:r>
      <w:r w:rsidR="00422CFD">
        <w:rPr>
          <w:noProof/>
        </w:rPr>
        <w:t>3</w:t>
      </w:r>
      <w:r>
        <w:fldChar w:fldCharType="end"/>
      </w:r>
      <w:r>
        <w:t>.</w:t>
      </w:r>
    </w:p>
    <w:p w14:paraId="79800AE7" w14:textId="7B86085D" w:rsidR="00C73291" w:rsidRDefault="00C73291" w:rsidP="00C73291">
      <w:pPr>
        <w:pStyle w:val="Caption"/>
      </w:pPr>
      <w:bookmarkStart w:id="24" w:name="_Ref508356971"/>
      <w:r>
        <w:t xml:space="preserve">Table </w:t>
      </w:r>
      <w:r w:rsidR="007D28FC">
        <w:fldChar w:fldCharType="begin"/>
      </w:r>
      <w:r w:rsidR="007D28FC">
        <w:instrText xml:space="preserve"> SEQ Table \* ARABIC </w:instrText>
      </w:r>
      <w:r w:rsidR="007D28FC">
        <w:fldChar w:fldCharType="separate"/>
      </w:r>
      <w:r w:rsidR="00422CFD">
        <w:rPr>
          <w:noProof/>
        </w:rPr>
        <w:t>3</w:t>
      </w:r>
      <w:r w:rsidR="007D28FC">
        <w:rPr>
          <w:noProof/>
        </w:rPr>
        <w:fldChar w:fldCharType="end"/>
      </w:r>
      <w:bookmarkEnd w:id="24"/>
      <w:r>
        <w:tab/>
      </w:r>
      <w:r w:rsidR="00571EBB">
        <w:t>Assessed</w:t>
      </w:r>
      <w:r>
        <w:t xml:space="preserve"> Police expenses, 2016-17</w:t>
      </w:r>
    </w:p>
    <w:tbl>
      <w:tblPr>
        <w:tblW w:w="8980" w:type="dxa"/>
        <w:tblInd w:w="108" w:type="dxa"/>
        <w:tblLook w:val="04A0" w:firstRow="1" w:lastRow="0" w:firstColumn="1" w:lastColumn="0" w:noHBand="0" w:noVBand="1"/>
      </w:tblPr>
      <w:tblGrid>
        <w:gridCol w:w="720"/>
        <w:gridCol w:w="940"/>
        <w:gridCol w:w="940"/>
        <w:gridCol w:w="940"/>
        <w:gridCol w:w="940"/>
        <w:gridCol w:w="820"/>
        <w:gridCol w:w="820"/>
        <w:gridCol w:w="820"/>
        <w:gridCol w:w="940"/>
        <w:gridCol w:w="1100"/>
      </w:tblGrid>
      <w:tr w:rsidR="00F57AA7" w:rsidRPr="00F57AA7" w14:paraId="72BC87C7" w14:textId="77777777" w:rsidTr="00F57AA7">
        <w:trPr>
          <w:trHeight w:val="379"/>
        </w:trPr>
        <w:tc>
          <w:tcPr>
            <w:tcW w:w="720" w:type="dxa"/>
            <w:tcBorders>
              <w:top w:val="single" w:sz="4" w:space="0" w:color="auto"/>
              <w:left w:val="nil"/>
              <w:bottom w:val="single" w:sz="4" w:space="0" w:color="auto"/>
              <w:right w:val="nil"/>
            </w:tcBorders>
            <w:shd w:val="clear" w:color="auto" w:fill="auto"/>
            <w:noWrap/>
            <w:vAlign w:val="center"/>
            <w:hideMark/>
          </w:tcPr>
          <w:p w14:paraId="5CAC4C16"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 </w:t>
            </w:r>
          </w:p>
        </w:tc>
        <w:tc>
          <w:tcPr>
            <w:tcW w:w="940" w:type="dxa"/>
            <w:tcBorders>
              <w:top w:val="single" w:sz="4" w:space="0" w:color="auto"/>
              <w:left w:val="nil"/>
              <w:bottom w:val="single" w:sz="4" w:space="0" w:color="auto"/>
              <w:right w:val="nil"/>
            </w:tcBorders>
            <w:shd w:val="clear" w:color="auto" w:fill="auto"/>
            <w:noWrap/>
            <w:vAlign w:val="center"/>
            <w:hideMark/>
          </w:tcPr>
          <w:p w14:paraId="58EFCE45"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NSW</w:t>
            </w:r>
          </w:p>
        </w:tc>
        <w:tc>
          <w:tcPr>
            <w:tcW w:w="940" w:type="dxa"/>
            <w:tcBorders>
              <w:top w:val="single" w:sz="4" w:space="0" w:color="auto"/>
              <w:left w:val="nil"/>
              <w:bottom w:val="single" w:sz="4" w:space="0" w:color="auto"/>
              <w:right w:val="nil"/>
            </w:tcBorders>
            <w:shd w:val="clear" w:color="auto" w:fill="auto"/>
            <w:noWrap/>
            <w:vAlign w:val="center"/>
            <w:hideMark/>
          </w:tcPr>
          <w:p w14:paraId="02C90496"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Vic</w:t>
            </w:r>
          </w:p>
        </w:tc>
        <w:tc>
          <w:tcPr>
            <w:tcW w:w="940" w:type="dxa"/>
            <w:tcBorders>
              <w:top w:val="single" w:sz="4" w:space="0" w:color="auto"/>
              <w:left w:val="nil"/>
              <w:bottom w:val="single" w:sz="4" w:space="0" w:color="auto"/>
              <w:right w:val="nil"/>
            </w:tcBorders>
            <w:shd w:val="clear" w:color="auto" w:fill="auto"/>
            <w:noWrap/>
            <w:vAlign w:val="center"/>
            <w:hideMark/>
          </w:tcPr>
          <w:p w14:paraId="74C1A7F6"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Qld</w:t>
            </w:r>
          </w:p>
        </w:tc>
        <w:tc>
          <w:tcPr>
            <w:tcW w:w="940" w:type="dxa"/>
            <w:tcBorders>
              <w:top w:val="single" w:sz="4" w:space="0" w:color="auto"/>
              <w:left w:val="nil"/>
              <w:bottom w:val="single" w:sz="4" w:space="0" w:color="auto"/>
              <w:right w:val="nil"/>
            </w:tcBorders>
            <w:shd w:val="clear" w:color="auto" w:fill="auto"/>
            <w:noWrap/>
            <w:vAlign w:val="center"/>
            <w:hideMark/>
          </w:tcPr>
          <w:p w14:paraId="44556E6C"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WA</w:t>
            </w:r>
          </w:p>
        </w:tc>
        <w:tc>
          <w:tcPr>
            <w:tcW w:w="820" w:type="dxa"/>
            <w:tcBorders>
              <w:top w:val="single" w:sz="4" w:space="0" w:color="auto"/>
              <w:left w:val="nil"/>
              <w:bottom w:val="single" w:sz="4" w:space="0" w:color="auto"/>
              <w:right w:val="nil"/>
            </w:tcBorders>
            <w:shd w:val="clear" w:color="auto" w:fill="auto"/>
            <w:noWrap/>
            <w:vAlign w:val="center"/>
            <w:hideMark/>
          </w:tcPr>
          <w:p w14:paraId="1C79FEED"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SA</w:t>
            </w:r>
          </w:p>
        </w:tc>
        <w:tc>
          <w:tcPr>
            <w:tcW w:w="820" w:type="dxa"/>
            <w:tcBorders>
              <w:top w:val="single" w:sz="4" w:space="0" w:color="auto"/>
              <w:left w:val="nil"/>
              <w:bottom w:val="single" w:sz="4" w:space="0" w:color="auto"/>
              <w:right w:val="nil"/>
            </w:tcBorders>
            <w:shd w:val="clear" w:color="auto" w:fill="auto"/>
            <w:noWrap/>
            <w:vAlign w:val="center"/>
            <w:hideMark/>
          </w:tcPr>
          <w:p w14:paraId="0F358DD6"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Tas</w:t>
            </w:r>
          </w:p>
        </w:tc>
        <w:tc>
          <w:tcPr>
            <w:tcW w:w="820" w:type="dxa"/>
            <w:tcBorders>
              <w:top w:val="single" w:sz="4" w:space="0" w:color="auto"/>
              <w:left w:val="nil"/>
              <w:bottom w:val="single" w:sz="4" w:space="0" w:color="auto"/>
              <w:right w:val="nil"/>
            </w:tcBorders>
            <w:shd w:val="clear" w:color="auto" w:fill="auto"/>
            <w:noWrap/>
            <w:vAlign w:val="center"/>
            <w:hideMark/>
          </w:tcPr>
          <w:p w14:paraId="148F0603"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ACT</w:t>
            </w:r>
          </w:p>
        </w:tc>
        <w:tc>
          <w:tcPr>
            <w:tcW w:w="940" w:type="dxa"/>
            <w:tcBorders>
              <w:top w:val="single" w:sz="4" w:space="0" w:color="auto"/>
              <w:left w:val="nil"/>
              <w:bottom w:val="single" w:sz="4" w:space="0" w:color="auto"/>
              <w:right w:val="nil"/>
            </w:tcBorders>
            <w:shd w:val="clear" w:color="auto" w:fill="auto"/>
            <w:noWrap/>
            <w:vAlign w:val="center"/>
            <w:hideMark/>
          </w:tcPr>
          <w:p w14:paraId="4DE66E91"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NT</w:t>
            </w:r>
          </w:p>
        </w:tc>
        <w:tc>
          <w:tcPr>
            <w:tcW w:w="1100" w:type="dxa"/>
            <w:tcBorders>
              <w:top w:val="single" w:sz="4" w:space="0" w:color="auto"/>
              <w:left w:val="nil"/>
              <w:bottom w:val="single" w:sz="4" w:space="0" w:color="auto"/>
              <w:right w:val="nil"/>
            </w:tcBorders>
            <w:shd w:val="clear" w:color="auto" w:fill="auto"/>
            <w:noWrap/>
            <w:vAlign w:val="center"/>
            <w:hideMark/>
          </w:tcPr>
          <w:p w14:paraId="1C2C8379"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Total</w:t>
            </w:r>
          </w:p>
        </w:tc>
      </w:tr>
      <w:tr w:rsidR="00F57AA7" w:rsidRPr="00F57AA7" w14:paraId="74EDC9AB" w14:textId="77777777" w:rsidTr="00F57AA7">
        <w:trPr>
          <w:trHeight w:val="315"/>
        </w:trPr>
        <w:tc>
          <w:tcPr>
            <w:tcW w:w="720" w:type="dxa"/>
            <w:tcBorders>
              <w:top w:val="nil"/>
              <w:left w:val="nil"/>
              <w:bottom w:val="nil"/>
              <w:right w:val="nil"/>
            </w:tcBorders>
            <w:shd w:val="clear" w:color="auto" w:fill="auto"/>
            <w:noWrap/>
            <w:vAlign w:val="bottom"/>
            <w:hideMark/>
          </w:tcPr>
          <w:p w14:paraId="45B1E0CB" w14:textId="77777777" w:rsidR="00F57AA7" w:rsidRPr="00F57AA7" w:rsidRDefault="00F57AA7" w:rsidP="00F57AA7">
            <w:pPr>
              <w:tabs>
                <w:tab w:val="clear" w:pos="567"/>
              </w:tabs>
              <w:spacing w:after="0" w:line="240" w:lineRule="auto"/>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$m</w:t>
            </w:r>
          </w:p>
        </w:tc>
        <w:tc>
          <w:tcPr>
            <w:tcW w:w="940" w:type="dxa"/>
            <w:tcBorders>
              <w:top w:val="nil"/>
              <w:left w:val="nil"/>
              <w:bottom w:val="nil"/>
              <w:right w:val="nil"/>
            </w:tcBorders>
            <w:shd w:val="clear" w:color="auto" w:fill="auto"/>
            <w:noWrap/>
            <w:vAlign w:val="bottom"/>
            <w:hideMark/>
          </w:tcPr>
          <w:p w14:paraId="54099D31"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bookmarkStart w:id="25" w:name="RANGE!B3:J4"/>
            <w:r w:rsidRPr="00F57AA7">
              <w:rPr>
                <w:rFonts w:ascii="Calibri" w:eastAsia="Times New Roman" w:hAnsi="Calibri" w:cs="Calibri"/>
                <w:sz w:val="20"/>
                <w:szCs w:val="20"/>
                <w:lang w:eastAsia="en-AU"/>
              </w:rPr>
              <w:t>3 197</w:t>
            </w:r>
            <w:bookmarkEnd w:id="25"/>
          </w:p>
        </w:tc>
        <w:tc>
          <w:tcPr>
            <w:tcW w:w="940" w:type="dxa"/>
            <w:tcBorders>
              <w:top w:val="nil"/>
              <w:left w:val="nil"/>
              <w:bottom w:val="nil"/>
              <w:right w:val="nil"/>
            </w:tcBorders>
            <w:shd w:val="clear" w:color="auto" w:fill="auto"/>
            <w:noWrap/>
            <w:vAlign w:val="bottom"/>
            <w:hideMark/>
          </w:tcPr>
          <w:p w14:paraId="0FE04BA7"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2 409</w:t>
            </w:r>
          </w:p>
        </w:tc>
        <w:tc>
          <w:tcPr>
            <w:tcW w:w="940" w:type="dxa"/>
            <w:tcBorders>
              <w:top w:val="nil"/>
              <w:left w:val="nil"/>
              <w:bottom w:val="nil"/>
              <w:right w:val="nil"/>
            </w:tcBorders>
            <w:shd w:val="clear" w:color="auto" w:fill="auto"/>
            <w:noWrap/>
            <w:vAlign w:val="bottom"/>
            <w:hideMark/>
          </w:tcPr>
          <w:p w14:paraId="2AC2F9E5"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2 161</w:t>
            </w:r>
          </w:p>
        </w:tc>
        <w:tc>
          <w:tcPr>
            <w:tcW w:w="940" w:type="dxa"/>
            <w:tcBorders>
              <w:top w:val="nil"/>
              <w:left w:val="nil"/>
              <w:bottom w:val="nil"/>
              <w:right w:val="nil"/>
            </w:tcBorders>
            <w:shd w:val="clear" w:color="auto" w:fill="auto"/>
            <w:noWrap/>
            <w:vAlign w:val="bottom"/>
            <w:hideMark/>
          </w:tcPr>
          <w:p w14:paraId="14F990D3"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1 180</w:t>
            </w:r>
          </w:p>
        </w:tc>
        <w:tc>
          <w:tcPr>
            <w:tcW w:w="820" w:type="dxa"/>
            <w:tcBorders>
              <w:top w:val="nil"/>
              <w:left w:val="nil"/>
              <w:bottom w:val="nil"/>
              <w:right w:val="nil"/>
            </w:tcBorders>
            <w:shd w:val="clear" w:color="auto" w:fill="auto"/>
            <w:noWrap/>
            <w:vAlign w:val="bottom"/>
            <w:hideMark/>
          </w:tcPr>
          <w:p w14:paraId="45359ED5"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724</w:t>
            </w:r>
          </w:p>
        </w:tc>
        <w:tc>
          <w:tcPr>
            <w:tcW w:w="820" w:type="dxa"/>
            <w:tcBorders>
              <w:top w:val="nil"/>
              <w:left w:val="nil"/>
              <w:bottom w:val="nil"/>
              <w:right w:val="nil"/>
            </w:tcBorders>
            <w:shd w:val="clear" w:color="auto" w:fill="auto"/>
            <w:noWrap/>
            <w:vAlign w:val="bottom"/>
            <w:hideMark/>
          </w:tcPr>
          <w:p w14:paraId="351B235A"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228</w:t>
            </w:r>
          </w:p>
        </w:tc>
        <w:tc>
          <w:tcPr>
            <w:tcW w:w="820" w:type="dxa"/>
            <w:tcBorders>
              <w:top w:val="nil"/>
              <w:left w:val="nil"/>
              <w:bottom w:val="nil"/>
              <w:right w:val="nil"/>
            </w:tcBorders>
            <w:shd w:val="clear" w:color="auto" w:fill="auto"/>
            <w:noWrap/>
            <w:vAlign w:val="bottom"/>
            <w:hideMark/>
          </w:tcPr>
          <w:p w14:paraId="6D280298"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159</w:t>
            </w:r>
          </w:p>
        </w:tc>
        <w:tc>
          <w:tcPr>
            <w:tcW w:w="940" w:type="dxa"/>
            <w:tcBorders>
              <w:top w:val="nil"/>
              <w:left w:val="nil"/>
              <w:bottom w:val="nil"/>
              <w:right w:val="nil"/>
            </w:tcBorders>
            <w:shd w:val="clear" w:color="auto" w:fill="auto"/>
            <w:noWrap/>
            <w:vAlign w:val="bottom"/>
            <w:hideMark/>
          </w:tcPr>
          <w:p w14:paraId="32F86553"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266</w:t>
            </w:r>
          </w:p>
        </w:tc>
        <w:tc>
          <w:tcPr>
            <w:tcW w:w="1100" w:type="dxa"/>
            <w:tcBorders>
              <w:top w:val="nil"/>
              <w:left w:val="nil"/>
              <w:bottom w:val="nil"/>
              <w:right w:val="nil"/>
            </w:tcBorders>
            <w:shd w:val="clear" w:color="auto" w:fill="auto"/>
            <w:noWrap/>
            <w:vAlign w:val="bottom"/>
            <w:hideMark/>
          </w:tcPr>
          <w:p w14:paraId="7E53EE66"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10 323</w:t>
            </w:r>
          </w:p>
        </w:tc>
      </w:tr>
      <w:tr w:rsidR="00F57AA7" w:rsidRPr="00F57AA7" w14:paraId="58FC1BC6" w14:textId="77777777" w:rsidTr="00F57AA7">
        <w:trPr>
          <w:trHeight w:val="315"/>
        </w:trPr>
        <w:tc>
          <w:tcPr>
            <w:tcW w:w="720" w:type="dxa"/>
            <w:tcBorders>
              <w:top w:val="nil"/>
              <w:left w:val="nil"/>
              <w:bottom w:val="single" w:sz="4" w:space="0" w:color="auto"/>
              <w:right w:val="nil"/>
            </w:tcBorders>
            <w:shd w:val="clear" w:color="auto" w:fill="auto"/>
            <w:noWrap/>
            <w:vAlign w:val="bottom"/>
            <w:hideMark/>
          </w:tcPr>
          <w:p w14:paraId="615EA6D2" w14:textId="77777777" w:rsidR="00F57AA7" w:rsidRPr="00F57AA7" w:rsidRDefault="00F57AA7" w:rsidP="00F57AA7">
            <w:pPr>
              <w:tabs>
                <w:tab w:val="clear" w:pos="567"/>
              </w:tabs>
              <w:spacing w:after="0" w:line="240" w:lineRule="auto"/>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$pc</w:t>
            </w:r>
          </w:p>
        </w:tc>
        <w:tc>
          <w:tcPr>
            <w:tcW w:w="940" w:type="dxa"/>
            <w:tcBorders>
              <w:top w:val="nil"/>
              <w:left w:val="nil"/>
              <w:bottom w:val="single" w:sz="4" w:space="0" w:color="auto"/>
              <w:right w:val="nil"/>
            </w:tcBorders>
            <w:shd w:val="clear" w:color="auto" w:fill="auto"/>
            <w:noWrap/>
            <w:vAlign w:val="bottom"/>
            <w:hideMark/>
          </w:tcPr>
          <w:p w14:paraId="0732B051"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410</w:t>
            </w:r>
          </w:p>
        </w:tc>
        <w:tc>
          <w:tcPr>
            <w:tcW w:w="940" w:type="dxa"/>
            <w:tcBorders>
              <w:top w:val="nil"/>
              <w:left w:val="nil"/>
              <w:bottom w:val="single" w:sz="4" w:space="0" w:color="auto"/>
              <w:right w:val="nil"/>
            </w:tcBorders>
            <w:shd w:val="clear" w:color="auto" w:fill="auto"/>
            <w:noWrap/>
            <w:vAlign w:val="bottom"/>
            <w:hideMark/>
          </w:tcPr>
          <w:p w14:paraId="3EA2C7BA"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386</w:t>
            </w:r>
          </w:p>
        </w:tc>
        <w:tc>
          <w:tcPr>
            <w:tcW w:w="940" w:type="dxa"/>
            <w:tcBorders>
              <w:top w:val="nil"/>
              <w:left w:val="nil"/>
              <w:bottom w:val="single" w:sz="4" w:space="0" w:color="auto"/>
              <w:right w:val="nil"/>
            </w:tcBorders>
            <w:shd w:val="clear" w:color="auto" w:fill="auto"/>
            <w:noWrap/>
            <w:vAlign w:val="bottom"/>
            <w:hideMark/>
          </w:tcPr>
          <w:p w14:paraId="05D4FC2C"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443</w:t>
            </w:r>
          </w:p>
        </w:tc>
        <w:tc>
          <w:tcPr>
            <w:tcW w:w="940" w:type="dxa"/>
            <w:tcBorders>
              <w:top w:val="nil"/>
              <w:left w:val="nil"/>
              <w:bottom w:val="single" w:sz="4" w:space="0" w:color="auto"/>
              <w:right w:val="nil"/>
            </w:tcBorders>
            <w:shd w:val="clear" w:color="auto" w:fill="auto"/>
            <w:noWrap/>
            <w:vAlign w:val="bottom"/>
            <w:hideMark/>
          </w:tcPr>
          <w:p w14:paraId="56DAD00B"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459</w:t>
            </w:r>
          </w:p>
        </w:tc>
        <w:tc>
          <w:tcPr>
            <w:tcW w:w="820" w:type="dxa"/>
            <w:tcBorders>
              <w:top w:val="nil"/>
              <w:left w:val="nil"/>
              <w:bottom w:val="single" w:sz="4" w:space="0" w:color="auto"/>
              <w:right w:val="nil"/>
            </w:tcBorders>
            <w:shd w:val="clear" w:color="auto" w:fill="auto"/>
            <w:noWrap/>
            <w:vAlign w:val="bottom"/>
            <w:hideMark/>
          </w:tcPr>
          <w:p w14:paraId="236C0858"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422</w:t>
            </w:r>
          </w:p>
        </w:tc>
        <w:tc>
          <w:tcPr>
            <w:tcW w:w="820" w:type="dxa"/>
            <w:tcBorders>
              <w:top w:val="nil"/>
              <w:left w:val="nil"/>
              <w:bottom w:val="single" w:sz="4" w:space="0" w:color="auto"/>
              <w:right w:val="nil"/>
            </w:tcBorders>
            <w:shd w:val="clear" w:color="auto" w:fill="auto"/>
            <w:noWrap/>
            <w:vAlign w:val="bottom"/>
            <w:hideMark/>
          </w:tcPr>
          <w:p w14:paraId="0288E35A"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438</w:t>
            </w:r>
          </w:p>
        </w:tc>
        <w:tc>
          <w:tcPr>
            <w:tcW w:w="820" w:type="dxa"/>
            <w:tcBorders>
              <w:top w:val="nil"/>
              <w:left w:val="nil"/>
              <w:bottom w:val="single" w:sz="4" w:space="0" w:color="auto"/>
              <w:right w:val="nil"/>
            </w:tcBorders>
            <w:shd w:val="clear" w:color="auto" w:fill="auto"/>
            <w:noWrap/>
            <w:vAlign w:val="bottom"/>
            <w:hideMark/>
          </w:tcPr>
          <w:p w14:paraId="58869CD4"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391</w:t>
            </w:r>
          </w:p>
        </w:tc>
        <w:tc>
          <w:tcPr>
            <w:tcW w:w="940" w:type="dxa"/>
            <w:tcBorders>
              <w:top w:val="nil"/>
              <w:left w:val="nil"/>
              <w:bottom w:val="single" w:sz="4" w:space="0" w:color="auto"/>
              <w:right w:val="nil"/>
            </w:tcBorders>
            <w:shd w:val="clear" w:color="auto" w:fill="auto"/>
            <w:noWrap/>
            <w:vAlign w:val="bottom"/>
            <w:hideMark/>
          </w:tcPr>
          <w:p w14:paraId="3F3B6682"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1 084</w:t>
            </w:r>
          </w:p>
        </w:tc>
        <w:tc>
          <w:tcPr>
            <w:tcW w:w="1100" w:type="dxa"/>
            <w:tcBorders>
              <w:top w:val="nil"/>
              <w:left w:val="nil"/>
              <w:bottom w:val="single" w:sz="4" w:space="0" w:color="auto"/>
              <w:right w:val="nil"/>
            </w:tcBorders>
            <w:shd w:val="clear" w:color="auto" w:fill="auto"/>
            <w:noWrap/>
            <w:vAlign w:val="bottom"/>
            <w:hideMark/>
          </w:tcPr>
          <w:p w14:paraId="64D84C83" w14:textId="77777777" w:rsidR="00F57AA7" w:rsidRPr="00F57AA7" w:rsidRDefault="00F57AA7" w:rsidP="00F57AA7">
            <w:pPr>
              <w:tabs>
                <w:tab w:val="clear" w:pos="567"/>
              </w:tabs>
              <w:spacing w:after="0" w:line="240" w:lineRule="auto"/>
              <w:jc w:val="right"/>
              <w:rPr>
                <w:rFonts w:ascii="Calibri" w:eastAsia="Times New Roman" w:hAnsi="Calibri" w:cs="Calibri"/>
                <w:sz w:val="20"/>
                <w:szCs w:val="20"/>
                <w:lang w:eastAsia="en-AU"/>
              </w:rPr>
            </w:pPr>
            <w:r w:rsidRPr="00F57AA7">
              <w:rPr>
                <w:rFonts w:ascii="Calibri" w:eastAsia="Times New Roman" w:hAnsi="Calibri" w:cs="Calibri"/>
                <w:sz w:val="20"/>
                <w:szCs w:val="20"/>
                <w:lang w:eastAsia="en-AU"/>
              </w:rPr>
              <w:t>423</w:t>
            </w:r>
          </w:p>
        </w:tc>
      </w:tr>
    </w:tbl>
    <w:p w14:paraId="71C740C1" w14:textId="17E64420" w:rsidR="00C73291" w:rsidRDefault="00F91F28" w:rsidP="009C20EF">
      <w:pPr>
        <w:pStyle w:val="CGCTableFootnote"/>
        <w:ind w:left="0" w:firstLine="0"/>
      </w:pPr>
      <w:r>
        <w:t>Source:</w:t>
      </w:r>
      <w:r>
        <w:tab/>
      </w:r>
      <w:r w:rsidR="001E2CEB">
        <w:t xml:space="preserve">Commission </w:t>
      </w:r>
      <w:r w:rsidR="00FC5918">
        <w:t>c</w:t>
      </w:r>
      <w:r w:rsidR="001E2CEB">
        <w:t>alculations</w:t>
      </w:r>
      <w:r>
        <w:t>.</w:t>
      </w:r>
    </w:p>
    <w:p w14:paraId="658A7C2C" w14:textId="26B2D995" w:rsidR="00905404" w:rsidRDefault="00C43B6B" w:rsidP="00C43B6B">
      <w:pPr>
        <w:pStyle w:val="Heading5"/>
      </w:pPr>
      <w:r>
        <w:t>C</w:t>
      </w:r>
      <w:r w:rsidR="00905404">
        <w:t>ourts assessment</w:t>
      </w:r>
    </w:p>
    <w:p w14:paraId="0CCA93C8" w14:textId="22D29391" w:rsidR="00905404" w:rsidRDefault="00905404" w:rsidP="00905404">
      <w:pPr>
        <w:pStyle w:val="CGCNumberedPara"/>
        <w:numPr>
          <w:ilvl w:val="1"/>
          <w:numId w:val="3"/>
        </w:numPr>
      </w:pPr>
      <w:r w:rsidRPr="00E00D2D">
        <w:t>Court</w:t>
      </w:r>
      <w:r>
        <w:t>s</w:t>
      </w:r>
      <w:r w:rsidR="003B13FC">
        <w:t>-</w:t>
      </w:r>
      <w:r>
        <w:t>assessed spending is divided into a 40:60 split between civil and criminal courts.</w:t>
      </w:r>
      <w:r w:rsidR="00573580">
        <w:t xml:space="preserve"> </w:t>
      </w:r>
      <w:r w:rsidR="007B0BA8">
        <w:t xml:space="preserve">This is based on the </w:t>
      </w:r>
      <w:r w:rsidR="00044540">
        <w:t>split published in the Productivity Commission’s Report on Government Services</w:t>
      </w:r>
      <w:r w:rsidR="00450C83">
        <w:t xml:space="preserve"> (RoGS)</w:t>
      </w:r>
      <w:r w:rsidR="00044540">
        <w:t xml:space="preserve">. </w:t>
      </w:r>
    </w:p>
    <w:p w14:paraId="5294136E" w14:textId="4E85314D" w:rsidR="00905404" w:rsidRDefault="00905404" w:rsidP="00905404">
      <w:pPr>
        <w:pStyle w:val="CGCNumberedPara"/>
        <w:numPr>
          <w:ilvl w:val="1"/>
          <w:numId w:val="3"/>
        </w:numPr>
      </w:pPr>
      <w:r>
        <w:t xml:space="preserve">Civil courts are assessed on an </w:t>
      </w:r>
      <w:r w:rsidR="00EE2F79">
        <w:t>equal per capita (</w:t>
      </w:r>
      <w:r>
        <w:t>EPC</w:t>
      </w:r>
      <w:r w:rsidR="00EE2F79">
        <w:t>)</w:t>
      </w:r>
      <w:r>
        <w:t xml:space="preserve"> basis in the absence of data to indicate differential use rates by different groups.</w:t>
      </w:r>
    </w:p>
    <w:p w14:paraId="15BA5082" w14:textId="579BD531" w:rsidR="00905404" w:rsidRDefault="00905404" w:rsidP="00905404">
      <w:pPr>
        <w:pStyle w:val="CGCNumberedPara"/>
        <w:numPr>
          <w:ilvl w:val="1"/>
          <w:numId w:val="3"/>
        </w:numPr>
      </w:pPr>
      <w:r>
        <w:t>The criminal courts assessment uses the same demographic groups as used in the police assessment:</w:t>
      </w:r>
    </w:p>
    <w:p w14:paraId="27AF5422" w14:textId="77777777" w:rsidR="00905404" w:rsidRDefault="00905404" w:rsidP="00905404">
      <w:pPr>
        <w:pStyle w:val="CGCBulletlist"/>
        <w:numPr>
          <w:ilvl w:val="0"/>
          <w:numId w:val="1"/>
        </w:numPr>
        <w:tabs>
          <w:tab w:val="clear" w:pos="927"/>
        </w:tabs>
        <w:ind w:left="1134" w:hanging="567"/>
      </w:pPr>
      <w:r>
        <w:t>the age profile is taken from ABS defendants data</w:t>
      </w:r>
    </w:p>
    <w:p w14:paraId="0C3B6C14" w14:textId="3F88B93C" w:rsidR="00905404" w:rsidRDefault="00905404" w:rsidP="00905404">
      <w:pPr>
        <w:pStyle w:val="CGCBulletlist"/>
        <w:numPr>
          <w:ilvl w:val="0"/>
          <w:numId w:val="1"/>
        </w:numPr>
        <w:tabs>
          <w:tab w:val="clear" w:pos="927"/>
        </w:tabs>
        <w:ind w:left="1134" w:hanging="567"/>
      </w:pPr>
      <w:r>
        <w:t>the Indigenous and SES profile is taken from 2010-11 to 2012-13 data</w:t>
      </w:r>
      <w:r w:rsidR="00FC5918">
        <w:t xml:space="preserve"> provided by</w:t>
      </w:r>
      <w:r>
        <w:t xml:space="preserve"> four States.</w:t>
      </w:r>
    </w:p>
    <w:p w14:paraId="5EADF8EE" w14:textId="56EA4809" w:rsidR="00905404" w:rsidRDefault="00905404" w:rsidP="00905404">
      <w:pPr>
        <w:pStyle w:val="CGCNumberedPara"/>
        <w:numPr>
          <w:ilvl w:val="1"/>
          <w:numId w:val="3"/>
        </w:numPr>
      </w:pPr>
      <w:r>
        <w:t xml:space="preserve">Wage costs are taken into account when assessing </w:t>
      </w:r>
      <w:r w:rsidR="001D4BC3">
        <w:t xml:space="preserve">court </w:t>
      </w:r>
      <w:r>
        <w:t>expenses.</w:t>
      </w:r>
    </w:p>
    <w:p w14:paraId="5333AF1B" w14:textId="2F0A672C" w:rsidR="00905404" w:rsidRDefault="00905404" w:rsidP="00905404">
      <w:pPr>
        <w:pStyle w:val="CGCNumberedPara"/>
        <w:numPr>
          <w:ilvl w:val="1"/>
          <w:numId w:val="3"/>
        </w:numPr>
      </w:pPr>
      <w:r>
        <w:t xml:space="preserve">An adjustment is made for the diseconomies of small scale associated with providing court services in small isolated communities. This </w:t>
      </w:r>
      <w:r w:rsidR="00571EBB">
        <w:t xml:space="preserve">disability </w:t>
      </w:r>
      <w:r>
        <w:t xml:space="preserve">is </w:t>
      </w:r>
      <w:r w:rsidR="00571EBB">
        <w:t>referred to</w:t>
      </w:r>
      <w:r>
        <w:t xml:space="preserve"> as </w:t>
      </w:r>
      <w:r w:rsidR="00FC5918">
        <w:t>‘</w:t>
      </w:r>
      <w:r>
        <w:t>service delivery scale</w:t>
      </w:r>
      <w:r w:rsidR="00FC5918">
        <w:t>’</w:t>
      </w:r>
      <w:r>
        <w:t xml:space="preserve"> and has been applied to 50% of court expenses to reflect that it applies to magistrates’ courts, but not to the higher courts which are located in the major cities and regional centres. </w:t>
      </w:r>
    </w:p>
    <w:p w14:paraId="32F1139F" w14:textId="1B65E74D" w:rsidR="00905404" w:rsidRDefault="00905404" w:rsidP="00905404">
      <w:pPr>
        <w:pStyle w:val="CGCNumberedPara"/>
      </w:pPr>
      <w:r>
        <w:t xml:space="preserve">A regional cost disability is applied to </w:t>
      </w:r>
      <w:r w:rsidR="00FC5918">
        <w:t>c</w:t>
      </w:r>
      <w:r>
        <w:t xml:space="preserve">ourt </w:t>
      </w:r>
      <w:r w:rsidR="00571EBB">
        <w:t>expenses</w:t>
      </w:r>
      <w:r>
        <w:t xml:space="preserve"> based on the regional cost gradient of police, discounted by 25% reflecting uncertainty about the appropriateness of extrapolating from police</w:t>
      </w:r>
      <w:r w:rsidR="007A61DC">
        <w:t xml:space="preserve"> data</w:t>
      </w:r>
      <w:r>
        <w:t xml:space="preserve"> to courts.</w:t>
      </w:r>
    </w:p>
    <w:p w14:paraId="081E0B38" w14:textId="6E0119DE" w:rsidR="00306785" w:rsidRDefault="00306785" w:rsidP="00306785">
      <w:pPr>
        <w:pStyle w:val="Caption"/>
      </w:pPr>
      <w:r>
        <w:t xml:space="preserve">Table </w:t>
      </w:r>
      <w:r w:rsidR="007D28FC">
        <w:fldChar w:fldCharType="begin"/>
      </w:r>
      <w:r w:rsidR="007D28FC">
        <w:instrText xml:space="preserve"> SEQ Table \* ARABIC </w:instrText>
      </w:r>
      <w:r w:rsidR="007D28FC">
        <w:fldChar w:fldCharType="separate"/>
      </w:r>
      <w:r w:rsidR="00422CFD">
        <w:rPr>
          <w:noProof/>
        </w:rPr>
        <w:t>4</w:t>
      </w:r>
      <w:r w:rsidR="007D28FC">
        <w:rPr>
          <w:noProof/>
        </w:rPr>
        <w:fldChar w:fldCharType="end"/>
      </w:r>
      <w:r>
        <w:tab/>
      </w:r>
      <w:r w:rsidR="00571EBB">
        <w:t>Assessed</w:t>
      </w:r>
      <w:r>
        <w:t xml:space="preserve"> Court expenses, 2016-17</w:t>
      </w:r>
    </w:p>
    <w:tbl>
      <w:tblPr>
        <w:tblW w:w="8980" w:type="dxa"/>
        <w:tblInd w:w="108" w:type="dxa"/>
        <w:tblLook w:val="04A0" w:firstRow="1" w:lastRow="0" w:firstColumn="1" w:lastColumn="0" w:noHBand="0" w:noVBand="1"/>
      </w:tblPr>
      <w:tblGrid>
        <w:gridCol w:w="720"/>
        <w:gridCol w:w="940"/>
        <w:gridCol w:w="940"/>
        <w:gridCol w:w="940"/>
        <w:gridCol w:w="940"/>
        <w:gridCol w:w="820"/>
        <w:gridCol w:w="820"/>
        <w:gridCol w:w="820"/>
        <w:gridCol w:w="940"/>
        <w:gridCol w:w="1100"/>
      </w:tblGrid>
      <w:tr w:rsidR="00EB57DC" w:rsidRPr="00EB57DC" w14:paraId="19F4E719" w14:textId="77777777" w:rsidTr="00EB57DC">
        <w:trPr>
          <w:trHeight w:val="379"/>
        </w:trPr>
        <w:tc>
          <w:tcPr>
            <w:tcW w:w="720" w:type="dxa"/>
            <w:tcBorders>
              <w:top w:val="single" w:sz="4" w:space="0" w:color="auto"/>
              <w:left w:val="nil"/>
              <w:bottom w:val="single" w:sz="4" w:space="0" w:color="auto"/>
              <w:right w:val="nil"/>
            </w:tcBorders>
            <w:shd w:val="clear" w:color="auto" w:fill="auto"/>
            <w:noWrap/>
            <w:vAlign w:val="center"/>
            <w:hideMark/>
          </w:tcPr>
          <w:p w14:paraId="1741D2F0"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 </w:t>
            </w:r>
          </w:p>
        </w:tc>
        <w:tc>
          <w:tcPr>
            <w:tcW w:w="940" w:type="dxa"/>
            <w:tcBorders>
              <w:top w:val="single" w:sz="4" w:space="0" w:color="auto"/>
              <w:left w:val="nil"/>
              <w:bottom w:val="single" w:sz="4" w:space="0" w:color="auto"/>
              <w:right w:val="nil"/>
            </w:tcBorders>
            <w:shd w:val="clear" w:color="auto" w:fill="auto"/>
            <w:noWrap/>
            <w:vAlign w:val="center"/>
            <w:hideMark/>
          </w:tcPr>
          <w:p w14:paraId="5345F676"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NSW</w:t>
            </w:r>
          </w:p>
        </w:tc>
        <w:tc>
          <w:tcPr>
            <w:tcW w:w="940" w:type="dxa"/>
            <w:tcBorders>
              <w:top w:val="single" w:sz="4" w:space="0" w:color="auto"/>
              <w:left w:val="nil"/>
              <w:bottom w:val="single" w:sz="4" w:space="0" w:color="auto"/>
              <w:right w:val="nil"/>
            </w:tcBorders>
            <w:shd w:val="clear" w:color="auto" w:fill="auto"/>
            <w:noWrap/>
            <w:vAlign w:val="center"/>
            <w:hideMark/>
          </w:tcPr>
          <w:p w14:paraId="3E0CEC54"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Vic</w:t>
            </w:r>
          </w:p>
        </w:tc>
        <w:tc>
          <w:tcPr>
            <w:tcW w:w="940" w:type="dxa"/>
            <w:tcBorders>
              <w:top w:val="single" w:sz="4" w:space="0" w:color="auto"/>
              <w:left w:val="nil"/>
              <w:bottom w:val="single" w:sz="4" w:space="0" w:color="auto"/>
              <w:right w:val="nil"/>
            </w:tcBorders>
            <w:shd w:val="clear" w:color="auto" w:fill="auto"/>
            <w:noWrap/>
            <w:vAlign w:val="center"/>
            <w:hideMark/>
          </w:tcPr>
          <w:p w14:paraId="10D315BB"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Qld</w:t>
            </w:r>
          </w:p>
        </w:tc>
        <w:tc>
          <w:tcPr>
            <w:tcW w:w="940" w:type="dxa"/>
            <w:tcBorders>
              <w:top w:val="single" w:sz="4" w:space="0" w:color="auto"/>
              <w:left w:val="nil"/>
              <w:bottom w:val="single" w:sz="4" w:space="0" w:color="auto"/>
              <w:right w:val="nil"/>
            </w:tcBorders>
            <w:shd w:val="clear" w:color="auto" w:fill="auto"/>
            <w:noWrap/>
            <w:vAlign w:val="center"/>
            <w:hideMark/>
          </w:tcPr>
          <w:p w14:paraId="0CF557CA"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WA</w:t>
            </w:r>
          </w:p>
        </w:tc>
        <w:tc>
          <w:tcPr>
            <w:tcW w:w="820" w:type="dxa"/>
            <w:tcBorders>
              <w:top w:val="single" w:sz="4" w:space="0" w:color="auto"/>
              <w:left w:val="nil"/>
              <w:bottom w:val="single" w:sz="4" w:space="0" w:color="auto"/>
              <w:right w:val="nil"/>
            </w:tcBorders>
            <w:shd w:val="clear" w:color="auto" w:fill="auto"/>
            <w:noWrap/>
            <w:vAlign w:val="center"/>
            <w:hideMark/>
          </w:tcPr>
          <w:p w14:paraId="3B35A458"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SA</w:t>
            </w:r>
          </w:p>
        </w:tc>
        <w:tc>
          <w:tcPr>
            <w:tcW w:w="820" w:type="dxa"/>
            <w:tcBorders>
              <w:top w:val="single" w:sz="4" w:space="0" w:color="auto"/>
              <w:left w:val="nil"/>
              <w:bottom w:val="single" w:sz="4" w:space="0" w:color="auto"/>
              <w:right w:val="nil"/>
            </w:tcBorders>
            <w:shd w:val="clear" w:color="auto" w:fill="auto"/>
            <w:noWrap/>
            <w:vAlign w:val="center"/>
            <w:hideMark/>
          </w:tcPr>
          <w:p w14:paraId="13EE9425"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Tas</w:t>
            </w:r>
          </w:p>
        </w:tc>
        <w:tc>
          <w:tcPr>
            <w:tcW w:w="820" w:type="dxa"/>
            <w:tcBorders>
              <w:top w:val="single" w:sz="4" w:space="0" w:color="auto"/>
              <w:left w:val="nil"/>
              <w:bottom w:val="single" w:sz="4" w:space="0" w:color="auto"/>
              <w:right w:val="nil"/>
            </w:tcBorders>
            <w:shd w:val="clear" w:color="auto" w:fill="auto"/>
            <w:noWrap/>
            <w:vAlign w:val="center"/>
            <w:hideMark/>
          </w:tcPr>
          <w:p w14:paraId="42B6108E"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ACT</w:t>
            </w:r>
          </w:p>
        </w:tc>
        <w:tc>
          <w:tcPr>
            <w:tcW w:w="940" w:type="dxa"/>
            <w:tcBorders>
              <w:top w:val="single" w:sz="4" w:space="0" w:color="auto"/>
              <w:left w:val="nil"/>
              <w:bottom w:val="single" w:sz="4" w:space="0" w:color="auto"/>
              <w:right w:val="nil"/>
            </w:tcBorders>
            <w:shd w:val="clear" w:color="auto" w:fill="auto"/>
            <w:noWrap/>
            <w:vAlign w:val="center"/>
            <w:hideMark/>
          </w:tcPr>
          <w:p w14:paraId="5DA5EB81"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NT</w:t>
            </w:r>
          </w:p>
        </w:tc>
        <w:tc>
          <w:tcPr>
            <w:tcW w:w="1100" w:type="dxa"/>
            <w:tcBorders>
              <w:top w:val="single" w:sz="4" w:space="0" w:color="auto"/>
              <w:left w:val="nil"/>
              <w:bottom w:val="single" w:sz="4" w:space="0" w:color="auto"/>
              <w:right w:val="nil"/>
            </w:tcBorders>
            <w:shd w:val="clear" w:color="auto" w:fill="auto"/>
            <w:noWrap/>
            <w:vAlign w:val="center"/>
            <w:hideMark/>
          </w:tcPr>
          <w:p w14:paraId="41489E7D"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Total</w:t>
            </w:r>
          </w:p>
        </w:tc>
      </w:tr>
      <w:tr w:rsidR="00EB57DC" w:rsidRPr="00EB57DC" w14:paraId="04E9742A" w14:textId="77777777" w:rsidTr="00EB57DC">
        <w:trPr>
          <w:trHeight w:val="315"/>
        </w:trPr>
        <w:tc>
          <w:tcPr>
            <w:tcW w:w="720" w:type="dxa"/>
            <w:tcBorders>
              <w:top w:val="nil"/>
              <w:left w:val="nil"/>
              <w:bottom w:val="nil"/>
              <w:right w:val="nil"/>
            </w:tcBorders>
            <w:shd w:val="clear" w:color="auto" w:fill="auto"/>
            <w:noWrap/>
            <w:vAlign w:val="bottom"/>
            <w:hideMark/>
          </w:tcPr>
          <w:p w14:paraId="63525AB5" w14:textId="77777777" w:rsidR="00EB57DC" w:rsidRPr="00EB57DC" w:rsidRDefault="00EB57DC" w:rsidP="00EB57DC">
            <w:pPr>
              <w:tabs>
                <w:tab w:val="clear" w:pos="567"/>
              </w:tabs>
              <w:spacing w:after="0" w:line="240" w:lineRule="auto"/>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$m</w:t>
            </w:r>
          </w:p>
        </w:tc>
        <w:tc>
          <w:tcPr>
            <w:tcW w:w="940" w:type="dxa"/>
            <w:tcBorders>
              <w:top w:val="nil"/>
              <w:left w:val="nil"/>
              <w:bottom w:val="nil"/>
              <w:right w:val="nil"/>
            </w:tcBorders>
            <w:shd w:val="clear" w:color="auto" w:fill="auto"/>
            <w:noWrap/>
            <w:vAlign w:val="bottom"/>
            <w:hideMark/>
          </w:tcPr>
          <w:p w14:paraId="696ECD89"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1 378</w:t>
            </w:r>
          </w:p>
        </w:tc>
        <w:tc>
          <w:tcPr>
            <w:tcW w:w="940" w:type="dxa"/>
            <w:tcBorders>
              <w:top w:val="nil"/>
              <w:left w:val="nil"/>
              <w:bottom w:val="nil"/>
              <w:right w:val="nil"/>
            </w:tcBorders>
            <w:shd w:val="clear" w:color="auto" w:fill="auto"/>
            <w:noWrap/>
            <w:vAlign w:val="bottom"/>
            <w:hideMark/>
          </w:tcPr>
          <w:p w14:paraId="5ACFDD4E"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1 030</w:t>
            </w:r>
          </w:p>
        </w:tc>
        <w:tc>
          <w:tcPr>
            <w:tcW w:w="940" w:type="dxa"/>
            <w:tcBorders>
              <w:top w:val="nil"/>
              <w:left w:val="nil"/>
              <w:bottom w:val="nil"/>
              <w:right w:val="nil"/>
            </w:tcBorders>
            <w:shd w:val="clear" w:color="auto" w:fill="auto"/>
            <w:noWrap/>
            <w:vAlign w:val="bottom"/>
            <w:hideMark/>
          </w:tcPr>
          <w:p w14:paraId="7369DFAF"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931</w:t>
            </w:r>
          </w:p>
        </w:tc>
        <w:tc>
          <w:tcPr>
            <w:tcW w:w="940" w:type="dxa"/>
            <w:tcBorders>
              <w:top w:val="nil"/>
              <w:left w:val="nil"/>
              <w:bottom w:val="nil"/>
              <w:right w:val="nil"/>
            </w:tcBorders>
            <w:shd w:val="clear" w:color="auto" w:fill="auto"/>
            <w:noWrap/>
            <w:vAlign w:val="bottom"/>
            <w:hideMark/>
          </w:tcPr>
          <w:p w14:paraId="3FB7416C"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508</w:t>
            </w:r>
          </w:p>
        </w:tc>
        <w:tc>
          <w:tcPr>
            <w:tcW w:w="820" w:type="dxa"/>
            <w:tcBorders>
              <w:top w:val="nil"/>
              <w:left w:val="nil"/>
              <w:bottom w:val="nil"/>
              <w:right w:val="nil"/>
            </w:tcBorders>
            <w:shd w:val="clear" w:color="auto" w:fill="auto"/>
            <w:noWrap/>
            <w:vAlign w:val="bottom"/>
            <w:hideMark/>
          </w:tcPr>
          <w:p w14:paraId="7455A805"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316</w:t>
            </w:r>
          </w:p>
        </w:tc>
        <w:tc>
          <w:tcPr>
            <w:tcW w:w="820" w:type="dxa"/>
            <w:tcBorders>
              <w:top w:val="nil"/>
              <w:left w:val="nil"/>
              <w:bottom w:val="nil"/>
              <w:right w:val="nil"/>
            </w:tcBorders>
            <w:shd w:val="clear" w:color="auto" w:fill="auto"/>
            <w:noWrap/>
            <w:vAlign w:val="bottom"/>
            <w:hideMark/>
          </w:tcPr>
          <w:p w14:paraId="151BB537"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98</w:t>
            </w:r>
          </w:p>
        </w:tc>
        <w:tc>
          <w:tcPr>
            <w:tcW w:w="820" w:type="dxa"/>
            <w:tcBorders>
              <w:top w:val="nil"/>
              <w:left w:val="nil"/>
              <w:bottom w:val="nil"/>
              <w:right w:val="nil"/>
            </w:tcBorders>
            <w:shd w:val="clear" w:color="auto" w:fill="auto"/>
            <w:noWrap/>
            <w:vAlign w:val="bottom"/>
            <w:hideMark/>
          </w:tcPr>
          <w:p w14:paraId="6303B9F2"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63</w:t>
            </w:r>
          </w:p>
        </w:tc>
        <w:tc>
          <w:tcPr>
            <w:tcW w:w="940" w:type="dxa"/>
            <w:tcBorders>
              <w:top w:val="nil"/>
              <w:left w:val="nil"/>
              <w:bottom w:val="nil"/>
              <w:right w:val="nil"/>
            </w:tcBorders>
            <w:shd w:val="clear" w:color="auto" w:fill="auto"/>
            <w:noWrap/>
            <w:vAlign w:val="bottom"/>
            <w:hideMark/>
          </w:tcPr>
          <w:p w14:paraId="2101773F"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119</w:t>
            </w:r>
          </w:p>
        </w:tc>
        <w:tc>
          <w:tcPr>
            <w:tcW w:w="1100" w:type="dxa"/>
            <w:tcBorders>
              <w:top w:val="nil"/>
              <w:left w:val="nil"/>
              <w:bottom w:val="nil"/>
              <w:right w:val="nil"/>
            </w:tcBorders>
            <w:shd w:val="clear" w:color="auto" w:fill="auto"/>
            <w:noWrap/>
            <w:vAlign w:val="bottom"/>
            <w:hideMark/>
          </w:tcPr>
          <w:p w14:paraId="504868CE" w14:textId="77777777" w:rsidR="00EB57DC" w:rsidRPr="00EB57DC" w:rsidRDefault="00EB57DC" w:rsidP="00EB57DC">
            <w:pPr>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4 443</w:t>
            </w:r>
          </w:p>
        </w:tc>
      </w:tr>
      <w:tr w:rsidR="000F7272" w:rsidRPr="00EB57DC" w14:paraId="437CA75F" w14:textId="77777777" w:rsidTr="00EB57DC">
        <w:trPr>
          <w:trHeight w:val="315"/>
        </w:trPr>
        <w:tc>
          <w:tcPr>
            <w:tcW w:w="720" w:type="dxa"/>
            <w:tcBorders>
              <w:top w:val="nil"/>
              <w:left w:val="nil"/>
              <w:bottom w:val="single" w:sz="4" w:space="0" w:color="auto"/>
              <w:right w:val="nil"/>
            </w:tcBorders>
            <w:shd w:val="clear" w:color="auto" w:fill="auto"/>
            <w:noWrap/>
            <w:vAlign w:val="bottom"/>
            <w:hideMark/>
          </w:tcPr>
          <w:p w14:paraId="0B1A341F" w14:textId="77777777" w:rsidR="000F7272" w:rsidRPr="00EB57DC" w:rsidRDefault="000F7272" w:rsidP="000F7272">
            <w:pPr>
              <w:tabs>
                <w:tab w:val="clear" w:pos="567"/>
              </w:tabs>
              <w:spacing w:after="0" w:line="240" w:lineRule="auto"/>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$pc</w:t>
            </w:r>
          </w:p>
        </w:tc>
        <w:tc>
          <w:tcPr>
            <w:tcW w:w="940" w:type="dxa"/>
            <w:tcBorders>
              <w:top w:val="nil"/>
              <w:left w:val="nil"/>
              <w:bottom w:val="single" w:sz="4" w:space="0" w:color="auto"/>
              <w:right w:val="nil"/>
            </w:tcBorders>
            <w:shd w:val="clear" w:color="auto" w:fill="auto"/>
            <w:noWrap/>
            <w:vAlign w:val="bottom"/>
            <w:hideMark/>
          </w:tcPr>
          <w:p w14:paraId="074E39F8" w14:textId="08EB301E" w:rsidR="000F7272" w:rsidRPr="00EB57DC" w:rsidRDefault="000F7272" w:rsidP="000F7272">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 xml:space="preserve">  177</w:t>
            </w:r>
          </w:p>
        </w:tc>
        <w:tc>
          <w:tcPr>
            <w:tcW w:w="940" w:type="dxa"/>
            <w:tcBorders>
              <w:top w:val="nil"/>
              <w:left w:val="nil"/>
              <w:bottom w:val="single" w:sz="4" w:space="0" w:color="auto"/>
              <w:right w:val="nil"/>
            </w:tcBorders>
            <w:shd w:val="clear" w:color="auto" w:fill="auto"/>
            <w:noWrap/>
            <w:vAlign w:val="bottom"/>
            <w:hideMark/>
          </w:tcPr>
          <w:p w14:paraId="5F12951E" w14:textId="72465E61" w:rsidR="000F7272" w:rsidRPr="00EB57DC" w:rsidRDefault="000F7272" w:rsidP="000F7272">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 xml:space="preserve">  165</w:t>
            </w:r>
          </w:p>
        </w:tc>
        <w:tc>
          <w:tcPr>
            <w:tcW w:w="940" w:type="dxa"/>
            <w:tcBorders>
              <w:top w:val="nil"/>
              <w:left w:val="nil"/>
              <w:bottom w:val="single" w:sz="4" w:space="0" w:color="auto"/>
              <w:right w:val="nil"/>
            </w:tcBorders>
            <w:shd w:val="clear" w:color="auto" w:fill="auto"/>
            <w:noWrap/>
            <w:vAlign w:val="bottom"/>
            <w:hideMark/>
          </w:tcPr>
          <w:p w14:paraId="66EF7850" w14:textId="569390F8" w:rsidR="000F7272" w:rsidRPr="00EB57DC" w:rsidRDefault="000F7272" w:rsidP="000F7272">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 xml:space="preserve">  191</w:t>
            </w:r>
          </w:p>
        </w:tc>
        <w:tc>
          <w:tcPr>
            <w:tcW w:w="940" w:type="dxa"/>
            <w:tcBorders>
              <w:top w:val="nil"/>
              <w:left w:val="nil"/>
              <w:bottom w:val="single" w:sz="4" w:space="0" w:color="auto"/>
              <w:right w:val="nil"/>
            </w:tcBorders>
            <w:shd w:val="clear" w:color="auto" w:fill="auto"/>
            <w:noWrap/>
            <w:vAlign w:val="bottom"/>
            <w:hideMark/>
          </w:tcPr>
          <w:p w14:paraId="0BE77BCB" w14:textId="46F946F7" w:rsidR="000F7272" w:rsidRPr="00EB57DC" w:rsidRDefault="000F7272" w:rsidP="000F7272">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 xml:space="preserve">  198</w:t>
            </w:r>
          </w:p>
        </w:tc>
        <w:tc>
          <w:tcPr>
            <w:tcW w:w="820" w:type="dxa"/>
            <w:tcBorders>
              <w:top w:val="nil"/>
              <w:left w:val="nil"/>
              <w:bottom w:val="single" w:sz="4" w:space="0" w:color="auto"/>
              <w:right w:val="nil"/>
            </w:tcBorders>
            <w:shd w:val="clear" w:color="auto" w:fill="auto"/>
            <w:noWrap/>
            <w:vAlign w:val="bottom"/>
            <w:hideMark/>
          </w:tcPr>
          <w:p w14:paraId="4A84CF58" w14:textId="613A1D47" w:rsidR="000F7272" w:rsidRPr="00EB57DC" w:rsidRDefault="000F7272" w:rsidP="000F7272">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 xml:space="preserve">  184</w:t>
            </w:r>
          </w:p>
        </w:tc>
        <w:tc>
          <w:tcPr>
            <w:tcW w:w="820" w:type="dxa"/>
            <w:tcBorders>
              <w:top w:val="nil"/>
              <w:left w:val="nil"/>
              <w:bottom w:val="single" w:sz="4" w:space="0" w:color="auto"/>
              <w:right w:val="nil"/>
            </w:tcBorders>
            <w:shd w:val="clear" w:color="auto" w:fill="auto"/>
            <w:noWrap/>
            <w:vAlign w:val="bottom"/>
            <w:hideMark/>
          </w:tcPr>
          <w:p w14:paraId="64135070" w14:textId="505C457D" w:rsidR="000F7272" w:rsidRPr="00EB57DC" w:rsidRDefault="000F7272" w:rsidP="000F7272">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 xml:space="preserve">  189</w:t>
            </w:r>
          </w:p>
        </w:tc>
        <w:tc>
          <w:tcPr>
            <w:tcW w:w="820" w:type="dxa"/>
            <w:tcBorders>
              <w:top w:val="nil"/>
              <w:left w:val="nil"/>
              <w:bottom w:val="single" w:sz="4" w:space="0" w:color="auto"/>
              <w:right w:val="nil"/>
            </w:tcBorders>
            <w:shd w:val="clear" w:color="auto" w:fill="auto"/>
            <w:noWrap/>
            <w:vAlign w:val="bottom"/>
            <w:hideMark/>
          </w:tcPr>
          <w:p w14:paraId="5401C0FD" w14:textId="58CE6E63" w:rsidR="000F7272" w:rsidRPr="00EB57DC" w:rsidRDefault="000F7272" w:rsidP="000F7272">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 xml:space="preserve">  154</w:t>
            </w:r>
          </w:p>
        </w:tc>
        <w:tc>
          <w:tcPr>
            <w:tcW w:w="940" w:type="dxa"/>
            <w:tcBorders>
              <w:top w:val="nil"/>
              <w:left w:val="nil"/>
              <w:bottom w:val="single" w:sz="4" w:space="0" w:color="auto"/>
              <w:right w:val="nil"/>
            </w:tcBorders>
            <w:shd w:val="clear" w:color="auto" w:fill="auto"/>
            <w:noWrap/>
            <w:vAlign w:val="bottom"/>
            <w:hideMark/>
          </w:tcPr>
          <w:p w14:paraId="62557DC1" w14:textId="42E9283C" w:rsidR="000F7272" w:rsidRPr="00EB57DC" w:rsidRDefault="000F7272" w:rsidP="000F7272">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 xml:space="preserve">  487</w:t>
            </w:r>
          </w:p>
        </w:tc>
        <w:tc>
          <w:tcPr>
            <w:tcW w:w="1100" w:type="dxa"/>
            <w:tcBorders>
              <w:top w:val="nil"/>
              <w:left w:val="nil"/>
              <w:bottom w:val="single" w:sz="4" w:space="0" w:color="auto"/>
              <w:right w:val="nil"/>
            </w:tcBorders>
            <w:shd w:val="clear" w:color="auto" w:fill="auto"/>
            <w:noWrap/>
            <w:vAlign w:val="bottom"/>
            <w:hideMark/>
          </w:tcPr>
          <w:p w14:paraId="04C638C6" w14:textId="31243515" w:rsidR="000F7272" w:rsidRPr="00EB57DC" w:rsidRDefault="000F7272" w:rsidP="000F7272">
            <w:pPr>
              <w:tabs>
                <w:tab w:val="clear" w:pos="567"/>
              </w:tabs>
              <w:spacing w:after="0" w:line="240" w:lineRule="auto"/>
              <w:jc w:val="right"/>
              <w:rPr>
                <w:rFonts w:ascii="Calibri" w:eastAsia="Times New Roman" w:hAnsi="Calibri" w:cs="Calibri"/>
                <w:sz w:val="20"/>
                <w:szCs w:val="20"/>
                <w:lang w:eastAsia="en-AU"/>
              </w:rPr>
            </w:pPr>
            <w:r>
              <w:rPr>
                <w:rFonts w:ascii="Calibri" w:hAnsi="Calibri" w:cs="Calibri"/>
                <w:sz w:val="20"/>
                <w:szCs w:val="20"/>
              </w:rPr>
              <w:t xml:space="preserve">  182</w:t>
            </w:r>
          </w:p>
        </w:tc>
      </w:tr>
    </w:tbl>
    <w:p w14:paraId="49502069" w14:textId="3C721E71" w:rsidR="001E2CEB" w:rsidRDefault="00F91F28" w:rsidP="001E2CEB">
      <w:pPr>
        <w:pStyle w:val="CGCTableFootnote"/>
        <w:ind w:left="0" w:firstLine="0"/>
      </w:pPr>
      <w:r>
        <w:t>Source:</w:t>
      </w:r>
      <w:r>
        <w:tab/>
      </w:r>
      <w:r w:rsidR="001E2CEB">
        <w:t xml:space="preserve">Commission </w:t>
      </w:r>
      <w:r w:rsidR="000B0518">
        <w:t>c</w:t>
      </w:r>
      <w:r w:rsidR="001E2CEB">
        <w:t>alculations</w:t>
      </w:r>
      <w:r>
        <w:t>.</w:t>
      </w:r>
    </w:p>
    <w:p w14:paraId="7C68A905" w14:textId="59C82994" w:rsidR="00306785" w:rsidRDefault="00306785" w:rsidP="00905404">
      <w:pPr>
        <w:pStyle w:val="Heading5"/>
      </w:pPr>
      <w:r>
        <w:t>Prison</w:t>
      </w:r>
      <w:r w:rsidR="00571EBB">
        <w:t>s</w:t>
      </w:r>
      <w:r>
        <w:t xml:space="preserve"> assessment</w:t>
      </w:r>
    </w:p>
    <w:p w14:paraId="56290DB7" w14:textId="798F7FB3" w:rsidR="00306785" w:rsidRDefault="00306785" w:rsidP="00306785">
      <w:pPr>
        <w:pStyle w:val="CGCNumberedPara"/>
        <w:numPr>
          <w:ilvl w:val="1"/>
          <w:numId w:val="3"/>
        </w:numPr>
      </w:pPr>
      <w:r>
        <w:t xml:space="preserve">Corrective </w:t>
      </w:r>
      <w:r w:rsidR="001D4BC3">
        <w:t>s</w:t>
      </w:r>
      <w:r>
        <w:t>ervices assessed spending focuses solely on</w:t>
      </w:r>
      <w:r w:rsidR="007A61DC">
        <w:t xml:space="preserve"> the</w:t>
      </w:r>
      <w:r>
        <w:t xml:space="preserve"> provision of prison services </w:t>
      </w:r>
      <w:r w:rsidR="007A61DC">
        <w:t>because</w:t>
      </w:r>
      <w:r>
        <w:t xml:space="preserve"> they make up the bulk of expenses within this component.</w:t>
      </w:r>
    </w:p>
    <w:p w14:paraId="00000AB6" w14:textId="77777777" w:rsidR="00306785" w:rsidRDefault="00306785" w:rsidP="00306785">
      <w:pPr>
        <w:pStyle w:val="CGCNumberedPara"/>
        <w:numPr>
          <w:ilvl w:val="1"/>
          <w:numId w:val="3"/>
        </w:numPr>
      </w:pPr>
      <w:r>
        <w:t xml:space="preserve">Use of prison services is considered to be influenced by different socio-economic and demographic populations. Use by age and Indigeneity is measured using ABS (for adult prisoners) and Australian Institute of Health and Welfare (AIHW) (for Juvenile prisoners) data. The effect of socio-economic status is taken from the measurement in the courts assessment. </w:t>
      </w:r>
    </w:p>
    <w:p w14:paraId="1CA7AACE" w14:textId="738F894E" w:rsidR="00306785" w:rsidRDefault="00306785" w:rsidP="00306785">
      <w:pPr>
        <w:pStyle w:val="CGCNumberedPara"/>
        <w:numPr>
          <w:ilvl w:val="1"/>
          <w:numId w:val="3"/>
        </w:numPr>
      </w:pPr>
      <w:r>
        <w:t xml:space="preserve">The differential effect of wage costs across States is taken into account in the assessment. As prisons tend to be located throughout a State, the regional costs disability is assessed. It is based on the regional cost gradient of police, discounted by 25% reflecting uncertainty about the appropriateness of extrapolating from police to </w:t>
      </w:r>
      <w:r w:rsidR="006563C0">
        <w:t>prisons</w:t>
      </w:r>
      <w:r>
        <w:t xml:space="preserve">. </w:t>
      </w:r>
    </w:p>
    <w:p w14:paraId="67506DA3" w14:textId="03E9554F" w:rsidR="00306785" w:rsidRDefault="00306785" w:rsidP="0047529E">
      <w:pPr>
        <w:pStyle w:val="Caption"/>
      </w:pPr>
      <w:r>
        <w:t xml:space="preserve">Table </w:t>
      </w:r>
      <w:r w:rsidR="007D28FC">
        <w:fldChar w:fldCharType="begin"/>
      </w:r>
      <w:r w:rsidR="007D28FC">
        <w:instrText xml:space="preserve"> SEQ Table \* ARABIC </w:instrText>
      </w:r>
      <w:r w:rsidR="007D28FC">
        <w:fldChar w:fldCharType="separate"/>
      </w:r>
      <w:r w:rsidR="00422CFD">
        <w:rPr>
          <w:noProof/>
        </w:rPr>
        <w:t>5</w:t>
      </w:r>
      <w:r w:rsidR="007D28FC">
        <w:rPr>
          <w:noProof/>
        </w:rPr>
        <w:fldChar w:fldCharType="end"/>
      </w:r>
      <w:r>
        <w:tab/>
      </w:r>
      <w:r w:rsidR="00571EBB">
        <w:t>Assessed</w:t>
      </w:r>
      <w:r>
        <w:t xml:space="preserve"> Prison expenses, 2016-17</w:t>
      </w:r>
    </w:p>
    <w:tbl>
      <w:tblPr>
        <w:tblW w:w="8980" w:type="dxa"/>
        <w:tblInd w:w="108" w:type="dxa"/>
        <w:tblLook w:val="04A0" w:firstRow="1" w:lastRow="0" w:firstColumn="1" w:lastColumn="0" w:noHBand="0" w:noVBand="1"/>
      </w:tblPr>
      <w:tblGrid>
        <w:gridCol w:w="720"/>
        <w:gridCol w:w="940"/>
        <w:gridCol w:w="940"/>
        <w:gridCol w:w="940"/>
        <w:gridCol w:w="940"/>
        <w:gridCol w:w="820"/>
        <w:gridCol w:w="820"/>
        <w:gridCol w:w="820"/>
        <w:gridCol w:w="940"/>
        <w:gridCol w:w="1100"/>
      </w:tblGrid>
      <w:tr w:rsidR="00EB57DC" w:rsidRPr="00EB57DC" w14:paraId="55A63A4E" w14:textId="77777777" w:rsidTr="00EB57DC">
        <w:trPr>
          <w:trHeight w:val="379"/>
        </w:trPr>
        <w:tc>
          <w:tcPr>
            <w:tcW w:w="720" w:type="dxa"/>
            <w:tcBorders>
              <w:top w:val="single" w:sz="4" w:space="0" w:color="auto"/>
              <w:left w:val="nil"/>
              <w:bottom w:val="single" w:sz="4" w:space="0" w:color="auto"/>
              <w:right w:val="nil"/>
            </w:tcBorders>
            <w:shd w:val="clear" w:color="auto" w:fill="auto"/>
            <w:noWrap/>
            <w:vAlign w:val="center"/>
            <w:hideMark/>
          </w:tcPr>
          <w:p w14:paraId="1D86A256"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 </w:t>
            </w:r>
          </w:p>
        </w:tc>
        <w:tc>
          <w:tcPr>
            <w:tcW w:w="940" w:type="dxa"/>
            <w:tcBorders>
              <w:top w:val="single" w:sz="4" w:space="0" w:color="auto"/>
              <w:left w:val="nil"/>
              <w:bottom w:val="single" w:sz="4" w:space="0" w:color="auto"/>
              <w:right w:val="nil"/>
            </w:tcBorders>
            <w:shd w:val="clear" w:color="auto" w:fill="auto"/>
            <w:noWrap/>
            <w:vAlign w:val="center"/>
            <w:hideMark/>
          </w:tcPr>
          <w:p w14:paraId="510E7C08"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NSW</w:t>
            </w:r>
          </w:p>
        </w:tc>
        <w:tc>
          <w:tcPr>
            <w:tcW w:w="940" w:type="dxa"/>
            <w:tcBorders>
              <w:top w:val="single" w:sz="4" w:space="0" w:color="auto"/>
              <w:left w:val="nil"/>
              <w:bottom w:val="single" w:sz="4" w:space="0" w:color="auto"/>
              <w:right w:val="nil"/>
            </w:tcBorders>
            <w:shd w:val="clear" w:color="auto" w:fill="auto"/>
            <w:noWrap/>
            <w:vAlign w:val="center"/>
            <w:hideMark/>
          </w:tcPr>
          <w:p w14:paraId="33B920FD"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Vic</w:t>
            </w:r>
          </w:p>
        </w:tc>
        <w:tc>
          <w:tcPr>
            <w:tcW w:w="940" w:type="dxa"/>
            <w:tcBorders>
              <w:top w:val="single" w:sz="4" w:space="0" w:color="auto"/>
              <w:left w:val="nil"/>
              <w:bottom w:val="single" w:sz="4" w:space="0" w:color="auto"/>
              <w:right w:val="nil"/>
            </w:tcBorders>
            <w:shd w:val="clear" w:color="auto" w:fill="auto"/>
            <w:noWrap/>
            <w:vAlign w:val="center"/>
            <w:hideMark/>
          </w:tcPr>
          <w:p w14:paraId="60335AD5"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Qld</w:t>
            </w:r>
          </w:p>
        </w:tc>
        <w:tc>
          <w:tcPr>
            <w:tcW w:w="940" w:type="dxa"/>
            <w:tcBorders>
              <w:top w:val="single" w:sz="4" w:space="0" w:color="auto"/>
              <w:left w:val="nil"/>
              <w:bottom w:val="single" w:sz="4" w:space="0" w:color="auto"/>
              <w:right w:val="nil"/>
            </w:tcBorders>
            <w:shd w:val="clear" w:color="auto" w:fill="auto"/>
            <w:noWrap/>
            <w:vAlign w:val="center"/>
            <w:hideMark/>
          </w:tcPr>
          <w:p w14:paraId="2D307DD0"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WA</w:t>
            </w:r>
          </w:p>
        </w:tc>
        <w:tc>
          <w:tcPr>
            <w:tcW w:w="820" w:type="dxa"/>
            <w:tcBorders>
              <w:top w:val="single" w:sz="4" w:space="0" w:color="auto"/>
              <w:left w:val="nil"/>
              <w:bottom w:val="single" w:sz="4" w:space="0" w:color="auto"/>
              <w:right w:val="nil"/>
            </w:tcBorders>
            <w:shd w:val="clear" w:color="auto" w:fill="auto"/>
            <w:noWrap/>
            <w:vAlign w:val="center"/>
            <w:hideMark/>
          </w:tcPr>
          <w:p w14:paraId="385765A3"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SA</w:t>
            </w:r>
          </w:p>
        </w:tc>
        <w:tc>
          <w:tcPr>
            <w:tcW w:w="820" w:type="dxa"/>
            <w:tcBorders>
              <w:top w:val="single" w:sz="4" w:space="0" w:color="auto"/>
              <w:left w:val="nil"/>
              <w:bottom w:val="single" w:sz="4" w:space="0" w:color="auto"/>
              <w:right w:val="nil"/>
            </w:tcBorders>
            <w:shd w:val="clear" w:color="auto" w:fill="auto"/>
            <w:noWrap/>
            <w:vAlign w:val="center"/>
            <w:hideMark/>
          </w:tcPr>
          <w:p w14:paraId="0BE2E639"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Tas</w:t>
            </w:r>
          </w:p>
        </w:tc>
        <w:tc>
          <w:tcPr>
            <w:tcW w:w="820" w:type="dxa"/>
            <w:tcBorders>
              <w:top w:val="single" w:sz="4" w:space="0" w:color="auto"/>
              <w:left w:val="nil"/>
              <w:bottom w:val="single" w:sz="4" w:space="0" w:color="auto"/>
              <w:right w:val="nil"/>
            </w:tcBorders>
            <w:shd w:val="clear" w:color="auto" w:fill="auto"/>
            <w:noWrap/>
            <w:vAlign w:val="center"/>
            <w:hideMark/>
          </w:tcPr>
          <w:p w14:paraId="1AA6E18A"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ACT</w:t>
            </w:r>
          </w:p>
        </w:tc>
        <w:tc>
          <w:tcPr>
            <w:tcW w:w="940" w:type="dxa"/>
            <w:tcBorders>
              <w:top w:val="single" w:sz="4" w:space="0" w:color="auto"/>
              <w:left w:val="nil"/>
              <w:bottom w:val="single" w:sz="4" w:space="0" w:color="auto"/>
              <w:right w:val="nil"/>
            </w:tcBorders>
            <w:shd w:val="clear" w:color="auto" w:fill="auto"/>
            <w:noWrap/>
            <w:vAlign w:val="center"/>
            <w:hideMark/>
          </w:tcPr>
          <w:p w14:paraId="0F2733E4"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NT</w:t>
            </w:r>
          </w:p>
        </w:tc>
        <w:tc>
          <w:tcPr>
            <w:tcW w:w="1100" w:type="dxa"/>
            <w:tcBorders>
              <w:top w:val="single" w:sz="4" w:space="0" w:color="auto"/>
              <w:left w:val="nil"/>
              <w:bottom w:val="single" w:sz="4" w:space="0" w:color="auto"/>
              <w:right w:val="nil"/>
            </w:tcBorders>
            <w:shd w:val="clear" w:color="auto" w:fill="auto"/>
            <w:noWrap/>
            <w:vAlign w:val="center"/>
            <w:hideMark/>
          </w:tcPr>
          <w:p w14:paraId="6DFE739D"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Total</w:t>
            </w:r>
          </w:p>
        </w:tc>
      </w:tr>
      <w:tr w:rsidR="00EB57DC" w:rsidRPr="00EB57DC" w14:paraId="30D333C8" w14:textId="77777777" w:rsidTr="00EB57DC">
        <w:trPr>
          <w:trHeight w:val="315"/>
        </w:trPr>
        <w:tc>
          <w:tcPr>
            <w:tcW w:w="720" w:type="dxa"/>
            <w:tcBorders>
              <w:top w:val="nil"/>
              <w:left w:val="nil"/>
              <w:bottom w:val="nil"/>
              <w:right w:val="nil"/>
            </w:tcBorders>
            <w:shd w:val="clear" w:color="auto" w:fill="auto"/>
            <w:noWrap/>
            <w:vAlign w:val="bottom"/>
            <w:hideMark/>
          </w:tcPr>
          <w:p w14:paraId="6517AE4E" w14:textId="77777777" w:rsidR="00EB57DC" w:rsidRPr="00EB57DC" w:rsidRDefault="00EB57DC" w:rsidP="0047529E">
            <w:pPr>
              <w:keepNext/>
              <w:tabs>
                <w:tab w:val="clear" w:pos="567"/>
              </w:tabs>
              <w:spacing w:after="0" w:line="240" w:lineRule="auto"/>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$m</w:t>
            </w:r>
          </w:p>
        </w:tc>
        <w:tc>
          <w:tcPr>
            <w:tcW w:w="940" w:type="dxa"/>
            <w:tcBorders>
              <w:top w:val="nil"/>
              <w:left w:val="nil"/>
              <w:bottom w:val="nil"/>
              <w:right w:val="nil"/>
            </w:tcBorders>
            <w:shd w:val="clear" w:color="auto" w:fill="auto"/>
            <w:noWrap/>
            <w:vAlign w:val="bottom"/>
            <w:hideMark/>
          </w:tcPr>
          <w:p w14:paraId="5886DCB9"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1 369</w:t>
            </w:r>
          </w:p>
        </w:tc>
        <w:tc>
          <w:tcPr>
            <w:tcW w:w="940" w:type="dxa"/>
            <w:tcBorders>
              <w:top w:val="nil"/>
              <w:left w:val="nil"/>
              <w:bottom w:val="nil"/>
              <w:right w:val="nil"/>
            </w:tcBorders>
            <w:shd w:val="clear" w:color="auto" w:fill="auto"/>
            <w:noWrap/>
            <w:vAlign w:val="bottom"/>
            <w:hideMark/>
          </w:tcPr>
          <w:p w14:paraId="48CE7EBF"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905</w:t>
            </w:r>
          </w:p>
        </w:tc>
        <w:tc>
          <w:tcPr>
            <w:tcW w:w="940" w:type="dxa"/>
            <w:tcBorders>
              <w:top w:val="nil"/>
              <w:left w:val="nil"/>
              <w:bottom w:val="nil"/>
              <w:right w:val="nil"/>
            </w:tcBorders>
            <w:shd w:val="clear" w:color="auto" w:fill="auto"/>
            <w:noWrap/>
            <w:vAlign w:val="bottom"/>
            <w:hideMark/>
          </w:tcPr>
          <w:p w14:paraId="34E1418D"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1 005</w:t>
            </w:r>
          </w:p>
        </w:tc>
        <w:tc>
          <w:tcPr>
            <w:tcW w:w="940" w:type="dxa"/>
            <w:tcBorders>
              <w:top w:val="nil"/>
              <w:left w:val="nil"/>
              <w:bottom w:val="nil"/>
              <w:right w:val="nil"/>
            </w:tcBorders>
            <w:shd w:val="clear" w:color="auto" w:fill="auto"/>
            <w:noWrap/>
            <w:vAlign w:val="bottom"/>
            <w:hideMark/>
          </w:tcPr>
          <w:p w14:paraId="409C81BC"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559</w:t>
            </w:r>
          </w:p>
        </w:tc>
        <w:tc>
          <w:tcPr>
            <w:tcW w:w="820" w:type="dxa"/>
            <w:tcBorders>
              <w:top w:val="nil"/>
              <w:left w:val="nil"/>
              <w:bottom w:val="nil"/>
              <w:right w:val="nil"/>
            </w:tcBorders>
            <w:shd w:val="clear" w:color="auto" w:fill="auto"/>
            <w:noWrap/>
            <w:vAlign w:val="bottom"/>
            <w:hideMark/>
          </w:tcPr>
          <w:p w14:paraId="4F29D606"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313</w:t>
            </w:r>
          </w:p>
        </w:tc>
        <w:tc>
          <w:tcPr>
            <w:tcW w:w="820" w:type="dxa"/>
            <w:tcBorders>
              <w:top w:val="nil"/>
              <w:left w:val="nil"/>
              <w:bottom w:val="nil"/>
              <w:right w:val="nil"/>
            </w:tcBorders>
            <w:shd w:val="clear" w:color="auto" w:fill="auto"/>
            <w:noWrap/>
            <w:vAlign w:val="bottom"/>
            <w:hideMark/>
          </w:tcPr>
          <w:p w14:paraId="13047E06"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102</w:t>
            </w:r>
          </w:p>
        </w:tc>
        <w:tc>
          <w:tcPr>
            <w:tcW w:w="820" w:type="dxa"/>
            <w:tcBorders>
              <w:top w:val="nil"/>
              <w:left w:val="nil"/>
              <w:bottom w:val="nil"/>
              <w:right w:val="nil"/>
            </w:tcBorders>
            <w:shd w:val="clear" w:color="auto" w:fill="auto"/>
            <w:noWrap/>
            <w:vAlign w:val="bottom"/>
            <w:hideMark/>
          </w:tcPr>
          <w:p w14:paraId="2E63577D"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55</w:t>
            </w:r>
          </w:p>
        </w:tc>
        <w:tc>
          <w:tcPr>
            <w:tcW w:w="940" w:type="dxa"/>
            <w:tcBorders>
              <w:top w:val="nil"/>
              <w:left w:val="nil"/>
              <w:bottom w:val="nil"/>
              <w:right w:val="nil"/>
            </w:tcBorders>
            <w:shd w:val="clear" w:color="auto" w:fill="auto"/>
            <w:noWrap/>
            <w:vAlign w:val="bottom"/>
            <w:hideMark/>
          </w:tcPr>
          <w:p w14:paraId="34202FCD"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232</w:t>
            </w:r>
          </w:p>
        </w:tc>
        <w:tc>
          <w:tcPr>
            <w:tcW w:w="1100" w:type="dxa"/>
            <w:tcBorders>
              <w:top w:val="nil"/>
              <w:left w:val="nil"/>
              <w:bottom w:val="nil"/>
              <w:right w:val="nil"/>
            </w:tcBorders>
            <w:shd w:val="clear" w:color="auto" w:fill="auto"/>
            <w:noWrap/>
            <w:vAlign w:val="bottom"/>
            <w:hideMark/>
          </w:tcPr>
          <w:p w14:paraId="51D699B2"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4 540</w:t>
            </w:r>
          </w:p>
        </w:tc>
      </w:tr>
      <w:tr w:rsidR="00EB57DC" w:rsidRPr="00EB57DC" w14:paraId="156E3ACB" w14:textId="77777777" w:rsidTr="00EB57DC">
        <w:trPr>
          <w:trHeight w:val="315"/>
        </w:trPr>
        <w:tc>
          <w:tcPr>
            <w:tcW w:w="720" w:type="dxa"/>
            <w:tcBorders>
              <w:top w:val="nil"/>
              <w:left w:val="nil"/>
              <w:bottom w:val="single" w:sz="4" w:space="0" w:color="auto"/>
              <w:right w:val="nil"/>
            </w:tcBorders>
            <w:shd w:val="clear" w:color="auto" w:fill="auto"/>
            <w:noWrap/>
            <w:vAlign w:val="bottom"/>
            <w:hideMark/>
          </w:tcPr>
          <w:p w14:paraId="31764BA2" w14:textId="77777777" w:rsidR="00EB57DC" w:rsidRPr="00EB57DC" w:rsidRDefault="00EB57DC" w:rsidP="0047529E">
            <w:pPr>
              <w:keepNext/>
              <w:tabs>
                <w:tab w:val="clear" w:pos="567"/>
              </w:tabs>
              <w:spacing w:after="0" w:line="240" w:lineRule="auto"/>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$pc</w:t>
            </w:r>
          </w:p>
        </w:tc>
        <w:tc>
          <w:tcPr>
            <w:tcW w:w="940" w:type="dxa"/>
            <w:tcBorders>
              <w:top w:val="nil"/>
              <w:left w:val="nil"/>
              <w:bottom w:val="single" w:sz="4" w:space="0" w:color="auto"/>
              <w:right w:val="nil"/>
            </w:tcBorders>
            <w:shd w:val="clear" w:color="auto" w:fill="auto"/>
            <w:noWrap/>
            <w:vAlign w:val="bottom"/>
            <w:hideMark/>
          </w:tcPr>
          <w:p w14:paraId="224066BC"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176</w:t>
            </w:r>
          </w:p>
        </w:tc>
        <w:tc>
          <w:tcPr>
            <w:tcW w:w="940" w:type="dxa"/>
            <w:tcBorders>
              <w:top w:val="nil"/>
              <w:left w:val="nil"/>
              <w:bottom w:val="single" w:sz="4" w:space="0" w:color="auto"/>
              <w:right w:val="nil"/>
            </w:tcBorders>
            <w:shd w:val="clear" w:color="auto" w:fill="auto"/>
            <w:noWrap/>
            <w:vAlign w:val="bottom"/>
            <w:hideMark/>
          </w:tcPr>
          <w:p w14:paraId="1BB20ED2"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145</w:t>
            </w:r>
          </w:p>
        </w:tc>
        <w:tc>
          <w:tcPr>
            <w:tcW w:w="940" w:type="dxa"/>
            <w:tcBorders>
              <w:top w:val="nil"/>
              <w:left w:val="nil"/>
              <w:bottom w:val="single" w:sz="4" w:space="0" w:color="auto"/>
              <w:right w:val="nil"/>
            </w:tcBorders>
            <w:shd w:val="clear" w:color="auto" w:fill="auto"/>
            <w:noWrap/>
            <w:vAlign w:val="bottom"/>
            <w:hideMark/>
          </w:tcPr>
          <w:p w14:paraId="18EF3D92"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206</w:t>
            </w:r>
          </w:p>
        </w:tc>
        <w:tc>
          <w:tcPr>
            <w:tcW w:w="940" w:type="dxa"/>
            <w:tcBorders>
              <w:top w:val="nil"/>
              <w:left w:val="nil"/>
              <w:bottom w:val="single" w:sz="4" w:space="0" w:color="auto"/>
              <w:right w:val="nil"/>
            </w:tcBorders>
            <w:shd w:val="clear" w:color="auto" w:fill="auto"/>
            <w:noWrap/>
            <w:vAlign w:val="bottom"/>
            <w:hideMark/>
          </w:tcPr>
          <w:p w14:paraId="2D19D51E"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218</w:t>
            </w:r>
          </w:p>
        </w:tc>
        <w:tc>
          <w:tcPr>
            <w:tcW w:w="820" w:type="dxa"/>
            <w:tcBorders>
              <w:top w:val="nil"/>
              <w:left w:val="nil"/>
              <w:bottom w:val="single" w:sz="4" w:space="0" w:color="auto"/>
              <w:right w:val="nil"/>
            </w:tcBorders>
            <w:shd w:val="clear" w:color="auto" w:fill="auto"/>
            <w:noWrap/>
            <w:vAlign w:val="bottom"/>
            <w:hideMark/>
          </w:tcPr>
          <w:p w14:paraId="5311B9E3"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182</w:t>
            </w:r>
          </w:p>
        </w:tc>
        <w:tc>
          <w:tcPr>
            <w:tcW w:w="820" w:type="dxa"/>
            <w:tcBorders>
              <w:top w:val="nil"/>
              <w:left w:val="nil"/>
              <w:bottom w:val="single" w:sz="4" w:space="0" w:color="auto"/>
              <w:right w:val="nil"/>
            </w:tcBorders>
            <w:shd w:val="clear" w:color="auto" w:fill="auto"/>
            <w:noWrap/>
            <w:vAlign w:val="bottom"/>
            <w:hideMark/>
          </w:tcPr>
          <w:p w14:paraId="6A151912"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197</w:t>
            </w:r>
          </w:p>
        </w:tc>
        <w:tc>
          <w:tcPr>
            <w:tcW w:w="820" w:type="dxa"/>
            <w:tcBorders>
              <w:top w:val="nil"/>
              <w:left w:val="nil"/>
              <w:bottom w:val="single" w:sz="4" w:space="0" w:color="auto"/>
              <w:right w:val="nil"/>
            </w:tcBorders>
            <w:shd w:val="clear" w:color="auto" w:fill="auto"/>
            <w:noWrap/>
            <w:vAlign w:val="bottom"/>
            <w:hideMark/>
          </w:tcPr>
          <w:p w14:paraId="466FBF0D"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135</w:t>
            </w:r>
          </w:p>
        </w:tc>
        <w:tc>
          <w:tcPr>
            <w:tcW w:w="940" w:type="dxa"/>
            <w:tcBorders>
              <w:top w:val="nil"/>
              <w:left w:val="nil"/>
              <w:bottom w:val="single" w:sz="4" w:space="0" w:color="auto"/>
              <w:right w:val="nil"/>
            </w:tcBorders>
            <w:shd w:val="clear" w:color="auto" w:fill="auto"/>
            <w:noWrap/>
            <w:vAlign w:val="bottom"/>
            <w:hideMark/>
          </w:tcPr>
          <w:p w14:paraId="480124B2"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945</w:t>
            </w:r>
          </w:p>
        </w:tc>
        <w:tc>
          <w:tcPr>
            <w:tcW w:w="1100" w:type="dxa"/>
            <w:tcBorders>
              <w:top w:val="nil"/>
              <w:left w:val="nil"/>
              <w:bottom w:val="single" w:sz="4" w:space="0" w:color="auto"/>
              <w:right w:val="nil"/>
            </w:tcBorders>
            <w:shd w:val="clear" w:color="auto" w:fill="auto"/>
            <w:noWrap/>
            <w:vAlign w:val="bottom"/>
            <w:hideMark/>
          </w:tcPr>
          <w:p w14:paraId="6EE9ABBC" w14:textId="77777777" w:rsidR="00EB57DC" w:rsidRPr="00EB57DC" w:rsidRDefault="00EB57DC" w:rsidP="0047529E">
            <w:pPr>
              <w:keepNext/>
              <w:tabs>
                <w:tab w:val="clear" w:pos="567"/>
              </w:tabs>
              <w:spacing w:after="0" w:line="240" w:lineRule="auto"/>
              <w:jc w:val="right"/>
              <w:rPr>
                <w:rFonts w:ascii="Calibri" w:eastAsia="Times New Roman" w:hAnsi="Calibri" w:cs="Calibri"/>
                <w:sz w:val="20"/>
                <w:szCs w:val="20"/>
                <w:lang w:eastAsia="en-AU"/>
              </w:rPr>
            </w:pPr>
            <w:r w:rsidRPr="00EB57DC">
              <w:rPr>
                <w:rFonts w:ascii="Calibri" w:eastAsia="Times New Roman" w:hAnsi="Calibri" w:cs="Calibri"/>
                <w:sz w:val="20"/>
                <w:szCs w:val="20"/>
                <w:lang w:eastAsia="en-AU"/>
              </w:rPr>
              <w:t>186</w:t>
            </w:r>
          </w:p>
        </w:tc>
      </w:tr>
    </w:tbl>
    <w:p w14:paraId="52AA3526" w14:textId="0F79F8BB" w:rsidR="001E2CEB" w:rsidRDefault="00F91F28" w:rsidP="0047529E">
      <w:pPr>
        <w:pStyle w:val="CGCTableFootnote"/>
        <w:keepNext/>
        <w:ind w:left="0" w:firstLine="0"/>
      </w:pPr>
      <w:r>
        <w:t>Source:</w:t>
      </w:r>
      <w:r>
        <w:tab/>
      </w:r>
      <w:r w:rsidR="001E2CEB">
        <w:t xml:space="preserve">Commission </w:t>
      </w:r>
      <w:r w:rsidR="000B0518">
        <w:t>c</w:t>
      </w:r>
      <w:r w:rsidR="001E2CEB">
        <w:t>alculations</w:t>
      </w:r>
      <w:r>
        <w:t>.</w:t>
      </w:r>
    </w:p>
    <w:p w14:paraId="1230C018" w14:textId="77777777" w:rsidR="00E95FA3" w:rsidRPr="0078274C" w:rsidRDefault="00E95FA3" w:rsidP="00905404">
      <w:pPr>
        <w:pStyle w:val="Heading5"/>
      </w:pPr>
      <w:r w:rsidRPr="0078274C">
        <w:t>Investment and depreciation</w:t>
      </w:r>
    </w:p>
    <w:p w14:paraId="73461F26" w14:textId="77777777" w:rsidR="00F83306" w:rsidRPr="0078274C" w:rsidRDefault="00553BEA" w:rsidP="00F83306">
      <w:pPr>
        <w:pStyle w:val="CGCNumberedPara"/>
      </w:pPr>
      <w:r w:rsidRPr="0078274C">
        <w:t xml:space="preserve">Investment in and depreciation of justice infrastructure is assessed using the recurrent category socio-demographic disabilities, with adjustments for service delivery scale. The wages and regional costs factors are not included in the calculation of capital needs. </w:t>
      </w:r>
    </w:p>
    <w:p w14:paraId="6425EB1D" w14:textId="77777777" w:rsidR="00E07621" w:rsidRDefault="00E07621" w:rsidP="00905404">
      <w:pPr>
        <w:pStyle w:val="Heading5"/>
      </w:pPr>
      <w:r>
        <w:t>GST distribution</w:t>
      </w:r>
    </w:p>
    <w:p w14:paraId="1DB9B08C" w14:textId="3F311709" w:rsidR="005E062F" w:rsidRDefault="003D78DE" w:rsidP="005E062F">
      <w:pPr>
        <w:pStyle w:val="CGCNumberedPara"/>
      </w:pPr>
      <w:r>
        <w:fldChar w:fldCharType="begin"/>
      </w:r>
      <w:r>
        <w:instrText xml:space="preserve"> REF _Ref506388923 \h </w:instrText>
      </w:r>
      <w:r>
        <w:fldChar w:fldCharType="separate"/>
      </w:r>
      <w:r w:rsidR="00422CFD">
        <w:t xml:space="preserve">Table </w:t>
      </w:r>
      <w:r w:rsidR="00422CFD">
        <w:rPr>
          <w:noProof/>
        </w:rPr>
        <w:t>6</w:t>
      </w:r>
      <w:r>
        <w:fldChar w:fldCharType="end"/>
      </w:r>
      <w:r>
        <w:t xml:space="preserve"> s</w:t>
      </w:r>
      <w:r w:rsidR="005E062F">
        <w:t xml:space="preserve">hows the redistribution of GST implied from the 2018 Update. The </w:t>
      </w:r>
      <w:r w:rsidR="001B68A2">
        <w:t>J</w:t>
      </w:r>
      <w:r w:rsidR="005E062F">
        <w:t>ustice assessment redistributes $</w:t>
      </w:r>
      <w:r w:rsidR="00823BA3">
        <w:t xml:space="preserve">976 </w:t>
      </w:r>
      <w:r w:rsidR="005E062F">
        <w:t>million</w:t>
      </w:r>
      <w:r w:rsidR="00573580">
        <w:t>, primarily to S</w:t>
      </w:r>
      <w:r w:rsidR="00823BA3">
        <w:t xml:space="preserve">tates with </w:t>
      </w:r>
      <w:r w:rsidR="000B0518">
        <w:t xml:space="preserve">a </w:t>
      </w:r>
      <w:r w:rsidR="00823BA3">
        <w:t xml:space="preserve">high proportion of the Indigenous population, especially the more disadvantaged Indigenous population, and States with remote populations. </w:t>
      </w:r>
    </w:p>
    <w:p w14:paraId="77B6ABBF" w14:textId="37A22C08" w:rsidR="005E062F" w:rsidRDefault="005E062F" w:rsidP="005E062F">
      <w:pPr>
        <w:pStyle w:val="Caption"/>
      </w:pPr>
      <w:bookmarkStart w:id="26" w:name="_Ref506388923"/>
      <w:r>
        <w:t xml:space="preserve">Table </w:t>
      </w:r>
      <w:r w:rsidR="007D28FC">
        <w:fldChar w:fldCharType="begin"/>
      </w:r>
      <w:r w:rsidR="007D28FC">
        <w:instrText xml:space="preserve"> SEQ Table \* ARABIC </w:instrText>
      </w:r>
      <w:r w:rsidR="007D28FC">
        <w:fldChar w:fldCharType="separate"/>
      </w:r>
      <w:r w:rsidR="00422CFD">
        <w:rPr>
          <w:noProof/>
        </w:rPr>
        <w:t>6</w:t>
      </w:r>
      <w:r w:rsidR="007D28FC">
        <w:rPr>
          <w:noProof/>
        </w:rPr>
        <w:fldChar w:fldCharType="end"/>
      </w:r>
      <w:bookmarkEnd w:id="26"/>
      <w:r>
        <w:tab/>
        <w:t xml:space="preserve">Redistribution of GST </w:t>
      </w:r>
      <w:r w:rsidR="002C755B">
        <w:t xml:space="preserve">in </w:t>
      </w:r>
      <w:r>
        <w:t xml:space="preserve">Justice </w:t>
      </w:r>
      <w:r w:rsidR="006563C0">
        <w:t>a</w:t>
      </w:r>
      <w:r>
        <w:t>ssessment,</w:t>
      </w:r>
      <w:r w:rsidR="00EB57DC">
        <w:t xml:space="preserve"> </w:t>
      </w:r>
      <w:r w:rsidR="006563C0">
        <w:t xml:space="preserve">2018 </w:t>
      </w:r>
      <w:r w:rsidR="00EB57DC">
        <w:t>Update</w:t>
      </w:r>
      <w:r>
        <w:t xml:space="preserve"> </w:t>
      </w:r>
    </w:p>
    <w:tbl>
      <w:tblPr>
        <w:tblW w:w="9000" w:type="dxa"/>
        <w:tblLook w:val="04A0" w:firstRow="1" w:lastRow="0" w:firstColumn="1" w:lastColumn="0" w:noHBand="0" w:noVBand="1"/>
      </w:tblPr>
      <w:tblGrid>
        <w:gridCol w:w="2320"/>
        <w:gridCol w:w="780"/>
        <w:gridCol w:w="760"/>
        <w:gridCol w:w="700"/>
        <w:gridCol w:w="760"/>
        <w:gridCol w:w="640"/>
        <w:gridCol w:w="680"/>
        <w:gridCol w:w="700"/>
        <w:gridCol w:w="760"/>
        <w:gridCol w:w="900"/>
      </w:tblGrid>
      <w:tr w:rsidR="005E062F" w:rsidRPr="005E062F" w14:paraId="701BA5DB" w14:textId="77777777" w:rsidTr="005E062F">
        <w:trPr>
          <w:trHeight w:val="379"/>
        </w:trPr>
        <w:tc>
          <w:tcPr>
            <w:tcW w:w="2320" w:type="dxa"/>
            <w:tcBorders>
              <w:top w:val="single" w:sz="4" w:space="0" w:color="auto"/>
              <w:left w:val="nil"/>
              <w:bottom w:val="single" w:sz="4" w:space="0" w:color="auto"/>
              <w:right w:val="nil"/>
            </w:tcBorders>
            <w:shd w:val="clear" w:color="auto" w:fill="auto"/>
            <w:noWrap/>
            <w:vAlign w:val="center"/>
            <w:hideMark/>
          </w:tcPr>
          <w:p w14:paraId="35E7A3C4"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bookmarkStart w:id="27" w:name="RANGE!A11:J19"/>
            <w:r w:rsidRPr="005E062F">
              <w:rPr>
                <w:rFonts w:ascii="Calibri" w:eastAsia="Times New Roman" w:hAnsi="Calibri" w:cs="Calibri"/>
                <w:sz w:val="20"/>
                <w:szCs w:val="20"/>
                <w:lang w:eastAsia="en-AU"/>
              </w:rPr>
              <w:t> </w:t>
            </w:r>
            <w:bookmarkEnd w:id="27"/>
          </w:p>
        </w:tc>
        <w:tc>
          <w:tcPr>
            <w:tcW w:w="780" w:type="dxa"/>
            <w:tcBorders>
              <w:top w:val="single" w:sz="4" w:space="0" w:color="auto"/>
              <w:left w:val="nil"/>
              <w:bottom w:val="single" w:sz="4" w:space="0" w:color="auto"/>
              <w:right w:val="nil"/>
            </w:tcBorders>
            <w:shd w:val="clear" w:color="auto" w:fill="auto"/>
            <w:noWrap/>
            <w:vAlign w:val="center"/>
            <w:hideMark/>
          </w:tcPr>
          <w:p w14:paraId="128266E7"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14:paraId="2FB27772"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14:paraId="6C9D2DD9"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14:paraId="64F4CB13"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WA</w:t>
            </w:r>
          </w:p>
        </w:tc>
        <w:tc>
          <w:tcPr>
            <w:tcW w:w="640" w:type="dxa"/>
            <w:tcBorders>
              <w:top w:val="single" w:sz="4" w:space="0" w:color="auto"/>
              <w:left w:val="nil"/>
              <w:bottom w:val="single" w:sz="4" w:space="0" w:color="auto"/>
              <w:right w:val="nil"/>
            </w:tcBorders>
            <w:shd w:val="clear" w:color="auto" w:fill="auto"/>
            <w:noWrap/>
            <w:vAlign w:val="center"/>
            <w:hideMark/>
          </w:tcPr>
          <w:p w14:paraId="1E1F91D0"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SA</w:t>
            </w:r>
          </w:p>
        </w:tc>
        <w:tc>
          <w:tcPr>
            <w:tcW w:w="680" w:type="dxa"/>
            <w:tcBorders>
              <w:top w:val="single" w:sz="4" w:space="0" w:color="auto"/>
              <w:left w:val="nil"/>
              <w:bottom w:val="single" w:sz="4" w:space="0" w:color="auto"/>
              <w:right w:val="nil"/>
            </w:tcBorders>
            <w:shd w:val="clear" w:color="auto" w:fill="auto"/>
            <w:noWrap/>
            <w:vAlign w:val="center"/>
            <w:hideMark/>
          </w:tcPr>
          <w:p w14:paraId="3C29A058"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Tas</w:t>
            </w:r>
          </w:p>
        </w:tc>
        <w:tc>
          <w:tcPr>
            <w:tcW w:w="700" w:type="dxa"/>
            <w:tcBorders>
              <w:top w:val="single" w:sz="4" w:space="0" w:color="auto"/>
              <w:left w:val="nil"/>
              <w:bottom w:val="single" w:sz="4" w:space="0" w:color="auto"/>
              <w:right w:val="nil"/>
            </w:tcBorders>
            <w:shd w:val="clear" w:color="auto" w:fill="auto"/>
            <w:noWrap/>
            <w:vAlign w:val="center"/>
            <w:hideMark/>
          </w:tcPr>
          <w:p w14:paraId="23F92A42"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ACT</w:t>
            </w:r>
          </w:p>
        </w:tc>
        <w:tc>
          <w:tcPr>
            <w:tcW w:w="760" w:type="dxa"/>
            <w:tcBorders>
              <w:top w:val="single" w:sz="4" w:space="0" w:color="auto"/>
              <w:left w:val="nil"/>
              <w:bottom w:val="single" w:sz="4" w:space="0" w:color="auto"/>
              <w:right w:val="nil"/>
            </w:tcBorders>
            <w:shd w:val="clear" w:color="auto" w:fill="auto"/>
            <w:noWrap/>
            <w:vAlign w:val="center"/>
            <w:hideMark/>
          </w:tcPr>
          <w:p w14:paraId="28D6FB19"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NT</w:t>
            </w:r>
          </w:p>
        </w:tc>
        <w:tc>
          <w:tcPr>
            <w:tcW w:w="900" w:type="dxa"/>
            <w:tcBorders>
              <w:top w:val="single" w:sz="4" w:space="0" w:color="auto"/>
              <w:left w:val="nil"/>
              <w:bottom w:val="single" w:sz="4" w:space="0" w:color="auto"/>
              <w:right w:val="nil"/>
            </w:tcBorders>
            <w:shd w:val="clear" w:color="auto" w:fill="auto"/>
            <w:noWrap/>
            <w:vAlign w:val="center"/>
            <w:hideMark/>
          </w:tcPr>
          <w:p w14:paraId="5A6BAEBE"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Redist</w:t>
            </w:r>
          </w:p>
        </w:tc>
      </w:tr>
      <w:tr w:rsidR="005E062F" w:rsidRPr="005E062F" w14:paraId="254BD555" w14:textId="77777777" w:rsidTr="005E062F">
        <w:trPr>
          <w:trHeight w:val="259"/>
        </w:trPr>
        <w:tc>
          <w:tcPr>
            <w:tcW w:w="2320" w:type="dxa"/>
            <w:tcBorders>
              <w:top w:val="nil"/>
              <w:left w:val="nil"/>
              <w:bottom w:val="nil"/>
              <w:right w:val="nil"/>
            </w:tcBorders>
            <w:shd w:val="clear" w:color="auto" w:fill="auto"/>
            <w:noWrap/>
            <w:vAlign w:val="bottom"/>
            <w:hideMark/>
          </w:tcPr>
          <w:p w14:paraId="6FB6C5E8"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p>
        </w:tc>
        <w:tc>
          <w:tcPr>
            <w:tcW w:w="780" w:type="dxa"/>
            <w:tcBorders>
              <w:top w:val="nil"/>
              <w:left w:val="nil"/>
              <w:bottom w:val="nil"/>
              <w:right w:val="nil"/>
            </w:tcBorders>
            <w:shd w:val="clear" w:color="auto" w:fill="auto"/>
            <w:noWrap/>
            <w:vAlign w:val="bottom"/>
            <w:hideMark/>
          </w:tcPr>
          <w:p w14:paraId="51D33F27"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$m</w:t>
            </w:r>
          </w:p>
        </w:tc>
        <w:tc>
          <w:tcPr>
            <w:tcW w:w="760" w:type="dxa"/>
            <w:tcBorders>
              <w:top w:val="nil"/>
              <w:left w:val="nil"/>
              <w:bottom w:val="nil"/>
              <w:right w:val="nil"/>
            </w:tcBorders>
            <w:shd w:val="clear" w:color="auto" w:fill="auto"/>
            <w:noWrap/>
            <w:vAlign w:val="bottom"/>
            <w:hideMark/>
          </w:tcPr>
          <w:p w14:paraId="302AAE56"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$m</w:t>
            </w:r>
          </w:p>
        </w:tc>
        <w:tc>
          <w:tcPr>
            <w:tcW w:w="700" w:type="dxa"/>
            <w:tcBorders>
              <w:top w:val="nil"/>
              <w:left w:val="nil"/>
              <w:bottom w:val="nil"/>
              <w:right w:val="nil"/>
            </w:tcBorders>
            <w:shd w:val="clear" w:color="auto" w:fill="auto"/>
            <w:noWrap/>
            <w:vAlign w:val="bottom"/>
            <w:hideMark/>
          </w:tcPr>
          <w:p w14:paraId="706ED3AF"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$m</w:t>
            </w:r>
          </w:p>
        </w:tc>
        <w:tc>
          <w:tcPr>
            <w:tcW w:w="760" w:type="dxa"/>
            <w:tcBorders>
              <w:top w:val="nil"/>
              <w:left w:val="nil"/>
              <w:bottom w:val="nil"/>
              <w:right w:val="nil"/>
            </w:tcBorders>
            <w:shd w:val="clear" w:color="auto" w:fill="auto"/>
            <w:noWrap/>
            <w:vAlign w:val="bottom"/>
            <w:hideMark/>
          </w:tcPr>
          <w:p w14:paraId="66BBD47C"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$m</w:t>
            </w:r>
          </w:p>
        </w:tc>
        <w:tc>
          <w:tcPr>
            <w:tcW w:w="640" w:type="dxa"/>
            <w:tcBorders>
              <w:top w:val="nil"/>
              <w:left w:val="nil"/>
              <w:bottom w:val="nil"/>
              <w:right w:val="nil"/>
            </w:tcBorders>
            <w:shd w:val="clear" w:color="auto" w:fill="auto"/>
            <w:noWrap/>
            <w:vAlign w:val="bottom"/>
            <w:hideMark/>
          </w:tcPr>
          <w:p w14:paraId="4ED39940"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$m</w:t>
            </w:r>
          </w:p>
        </w:tc>
        <w:tc>
          <w:tcPr>
            <w:tcW w:w="680" w:type="dxa"/>
            <w:tcBorders>
              <w:top w:val="nil"/>
              <w:left w:val="nil"/>
              <w:bottom w:val="nil"/>
              <w:right w:val="nil"/>
            </w:tcBorders>
            <w:shd w:val="clear" w:color="auto" w:fill="auto"/>
            <w:noWrap/>
            <w:vAlign w:val="bottom"/>
            <w:hideMark/>
          </w:tcPr>
          <w:p w14:paraId="26AAFDEC"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$m</w:t>
            </w:r>
          </w:p>
        </w:tc>
        <w:tc>
          <w:tcPr>
            <w:tcW w:w="700" w:type="dxa"/>
            <w:tcBorders>
              <w:top w:val="nil"/>
              <w:left w:val="nil"/>
              <w:bottom w:val="nil"/>
              <w:right w:val="nil"/>
            </w:tcBorders>
            <w:shd w:val="clear" w:color="auto" w:fill="auto"/>
            <w:noWrap/>
            <w:vAlign w:val="bottom"/>
            <w:hideMark/>
          </w:tcPr>
          <w:p w14:paraId="08DC2021"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$m</w:t>
            </w:r>
          </w:p>
        </w:tc>
        <w:tc>
          <w:tcPr>
            <w:tcW w:w="760" w:type="dxa"/>
            <w:tcBorders>
              <w:top w:val="nil"/>
              <w:left w:val="nil"/>
              <w:bottom w:val="nil"/>
              <w:right w:val="nil"/>
            </w:tcBorders>
            <w:shd w:val="clear" w:color="auto" w:fill="auto"/>
            <w:noWrap/>
            <w:vAlign w:val="bottom"/>
            <w:hideMark/>
          </w:tcPr>
          <w:p w14:paraId="7FC939D9"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$m</w:t>
            </w:r>
          </w:p>
        </w:tc>
        <w:tc>
          <w:tcPr>
            <w:tcW w:w="900" w:type="dxa"/>
            <w:tcBorders>
              <w:top w:val="nil"/>
              <w:left w:val="nil"/>
              <w:bottom w:val="nil"/>
              <w:right w:val="nil"/>
            </w:tcBorders>
            <w:shd w:val="clear" w:color="auto" w:fill="auto"/>
            <w:noWrap/>
            <w:vAlign w:val="bottom"/>
            <w:hideMark/>
          </w:tcPr>
          <w:p w14:paraId="65BD2BF2"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$m</w:t>
            </w:r>
          </w:p>
        </w:tc>
      </w:tr>
      <w:tr w:rsidR="005E062F" w:rsidRPr="005E062F" w14:paraId="66BD4E20" w14:textId="77777777" w:rsidTr="005E062F">
        <w:trPr>
          <w:trHeight w:val="315"/>
        </w:trPr>
        <w:tc>
          <w:tcPr>
            <w:tcW w:w="2320" w:type="dxa"/>
            <w:tcBorders>
              <w:top w:val="nil"/>
              <w:left w:val="nil"/>
              <w:bottom w:val="nil"/>
              <w:right w:val="nil"/>
            </w:tcBorders>
            <w:shd w:val="clear" w:color="auto" w:fill="auto"/>
            <w:vAlign w:val="bottom"/>
            <w:hideMark/>
          </w:tcPr>
          <w:p w14:paraId="6943DF5D" w14:textId="77777777" w:rsidR="005E062F" w:rsidRPr="005E062F" w:rsidRDefault="005E062F" w:rsidP="005E062F">
            <w:pPr>
              <w:tabs>
                <w:tab w:val="clear" w:pos="567"/>
              </w:tabs>
              <w:spacing w:after="0" w:line="240" w:lineRule="auto"/>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Police</w:t>
            </w:r>
          </w:p>
        </w:tc>
        <w:tc>
          <w:tcPr>
            <w:tcW w:w="780" w:type="dxa"/>
            <w:tcBorders>
              <w:top w:val="nil"/>
              <w:left w:val="nil"/>
              <w:bottom w:val="nil"/>
              <w:right w:val="nil"/>
            </w:tcBorders>
            <w:shd w:val="clear" w:color="auto" w:fill="auto"/>
            <w:noWrap/>
            <w:vAlign w:val="bottom"/>
            <w:hideMark/>
          </w:tcPr>
          <w:p w14:paraId="6BDCE98B"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-111</w:t>
            </w:r>
          </w:p>
        </w:tc>
        <w:tc>
          <w:tcPr>
            <w:tcW w:w="760" w:type="dxa"/>
            <w:tcBorders>
              <w:top w:val="nil"/>
              <w:left w:val="nil"/>
              <w:bottom w:val="nil"/>
              <w:right w:val="nil"/>
            </w:tcBorders>
            <w:shd w:val="clear" w:color="auto" w:fill="auto"/>
            <w:noWrap/>
            <w:vAlign w:val="bottom"/>
            <w:hideMark/>
          </w:tcPr>
          <w:p w14:paraId="14F875E1"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-266</w:t>
            </w:r>
          </w:p>
        </w:tc>
        <w:tc>
          <w:tcPr>
            <w:tcW w:w="700" w:type="dxa"/>
            <w:tcBorders>
              <w:top w:val="nil"/>
              <w:left w:val="nil"/>
              <w:bottom w:val="nil"/>
              <w:right w:val="nil"/>
            </w:tcBorders>
            <w:shd w:val="clear" w:color="auto" w:fill="auto"/>
            <w:noWrap/>
            <w:vAlign w:val="bottom"/>
            <w:hideMark/>
          </w:tcPr>
          <w:p w14:paraId="1ACF004C"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104</w:t>
            </w:r>
          </w:p>
        </w:tc>
        <w:tc>
          <w:tcPr>
            <w:tcW w:w="760" w:type="dxa"/>
            <w:tcBorders>
              <w:top w:val="nil"/>
              <w:left w:val="nil"/>
              <w:bottom w:val="nil"/>
              <w:right w:val="nil"/>
            </w:tcBorders>
            <w:shd w:val="clear" w:color="auto" w:fill="auto"/>
            <w:noWrap/>
            <w:vAlign w:val="bottom"/>
            <w:hideMark/>
          </w:tcPr>
          <w:p w14:paraId="124B28FF"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111</w:t>
            </w:r>
          </w:p>
        </w:tc>
        <w:tc>
          <w:tcPr>
            <w:tcW w:w="640" w:type="dxa"/>
            <w:tcBorders>
              <w:top w:val="nil"/>
              <w:left w:val="nil"/>
              <w:bottom w:val="nil"/>
              <w:right w:val="nil"/>
            </w:tcBorders>
            <w:shd w:val="clear" w:color="auto" w:fill="auto"/>
            <w:noWrap/>
            <w:vAlign w:val="bottom"/>
            <w:hideMark/>
          </w:tcPr>
          <w:p w14:paraId="687079C1"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-8</w:t>
            </w:r>
          </w:p>
        </w:tc>
        <w:tc>
          <w:tcPr>
            <w:tcW w:w="680" w:type="dxa"/>
            <w:tcBorders>
              <w:top w:val="nil"/>
              <w:left w:val="nil"/>
              <w:bottom w:val="nil"/>
              <w:right w:val="nil"/>
            </w:tcBorders>
            <w:shd w:val="clear" w:color="auto" w:fill="auto"/>
            <w:noWrap/>
            <w:vAlign w:val="bottom"/>
            <w:hideMark/>
          </w:tcPr>
          <w:p w14:paraId="3DFBC704"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9</w:t>
            </w:r>
          </w:p>
        </w:tc>
        <w:tc>
          <w:tcPr>
            <w:tcW w:w="700" w:type="dxa"/>
            <w:tcBorders>
              <w:top w:val="nil"/>
              <w:left w:val="nil"/>
              <w:bottom w:val="nil"/>
              <w:right w:val="nil"/>
            </w:tcBorders>
            <w:shd w:val="clear" w:color="auto" w:fill="auto"/>
            <w:noWrap/>
            <w:vAlign w:val="bottom"/>
            <w:hideMark/>
          </w:tcPr>
          <w:p w14:paraId="7F0EBF7D"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-11</w:t>
            </w:r>
          </w:p>
        </w:tc>
        <w:tc>
          <w:tcPr>
            <w:tcW w:w="760" w:type="dxa"/>
            <w:tcBorders>
              <w:top w:val="nil"/>
              <w:left w:val="nil"/>
              <w:bottom w:val="nil"/>
              <w:right w:val="nil"/>
            </w:tcBorders>
            <w:shd w:val="clear" w:color="auto" w:fill="auto"/>
            <w:noWrap/>
            <w:vAlign w:val="bottom"/>
            <w:hideMark/>
          </w:tcPr>
          <w:p w14:paraId="73D512D9"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172</w:t>
            </w:r>
          </w:p>
        </w:tc>
        <w:tc>
          <w:tcPr>
            <w:tcW w:w="900" w:type="dxa"/>
            <w:tcBorders>
              <w:top w:val="nil"/>
              <w:left w:val="nil"/>
              <w:bottom w:val="nil"/>
              <w:right w:val="nil"/>
            </w:tcBorders>
            <w:shd w:val="clear" w:color="auto" w:fill="auto"/>
            <w:noWrap/>
            <w:vAlign w:val="bottom"/>
            <w:hideMark/>
          </w:tcPr>
          <w:p w14:paraId="5040F329"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397</w:t>
            </w:r>
          </w:p>
        </w:tc>
      </w:tr>
      <w:tr w:rsidR="005E062F" w:rsidRPr="005E062F" w14:paraId="11664F16" w14:textId="77777777" w:rsidTr="005E062F">
        <w:trPr>
          <w:trHeight w:val="315"/>
        </w:trPr>
        <w:tc>
          <w:tcPr>
            <w:tcW w:w="2320" w:type="dxa"/>
            <w:tcBorders>
              <w:top w:val="nil"/>
              <w:left w:val="nil"/>
              <w:bottom w:val="nil"/>
              <w:right w:val="nil"/>
            </w:tcBorders>
            <w:shd w:val="clear" w:color="auto" w:fill="auto"/>
            <w:vAlign w:val="bottom"/>
            <w:hideMark/>
          </w:tcPr>
          <w:p w14:paraId="076B007D" w14:textId="77777777" w:rsidR="005E062F" w:rsidRPr="005E062F" w:rsidRDefault="005E062F" w:rsidP="005E062F">
            <w:pPr>
              <w:tabs>
                <w:tab w:val="clear" w:pos="567"/>
              </w:tabs>
              <w:spacing w:after="0" w:line="240" w:lineRule="auto"/>
              <w:rPr>
                <w:rFonts w:ascii="Calibri" w:eastAsia="Times New Roman" w:hAnsi="Calibri" w:cs="Calibri"/>
                <w:color w:val="000000"/>
                <w:sz w:val="20"/>
                <w:szCs w:val="20"/>
                <w:lang w:eastAsia="en-AU"/>
              </w:rPr>
            </w:pPr>
            <w:r w:rsidRPr="005E062F">
              <w:rPr>
                <w:rFonts w:ascii="Calibri" w:eastAsia="Times New Roman" w:hAnsi="Calibri" w:cs="Calibri"/>
                <w:color w:val="000000"/>
                <w:sz w:val="20"/>
                <w:szCs w:val="20"/>
                <w:lang w:eastAsia="en-AU"/>
              </w:rPr>
              <w:t>Courts</w:t>
            </w:r>
          </w:p>
        </w:tc>
        <w:tc>
          <w:tcPr>
            <w:tcW w:w="780" w:type="dxa"/>
            <w:tcBorders>
              <w:top w:val="nil"/>
              <w:left w:val="nil"/>
              <w:bottom w:val="nil"/>
              <w:right w:val="nil"/>
            </w:tcBorders>
            <w:shd w:val="clear" w:color="000000" w:fill="FFFFFF"/>
            <w:vAlign w:val="bottom"/>
            <w:hideMark/>
          </w:tcPr>
          <w:p w14:paraId="2EFE6D3D"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-46</w:t>
            </w:r>
          </w:p>
        </w:tc>
        <w:tc>
          <w:tcPr>
            <w:tcW w:w="760" w:type="dxa"/>
            <w:tcBorders>
              <w:top w:val="nil"/>
              <w:left w:val="nil"/>
              <w:bottom w:val="nil"/>
              <w:right w:val="nil"/>
            </w:tcBorders>
            <w:shd w:val="clear" w:color="000000" w:fill="FFFFFF"/>
            <w:vAlign w:val="bottom"/>
            <w:hideMark/>
          </w:tcPr>
          <w:p w14:paraId="71B18EFB"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-121</w:t>
            </w:r>
          </w:p>
        </w:tc>
        <w:tc>
          <w:tcPr>
            <w:tcW w:w="700" w:type="dxa"/>
            <w:tcBorders>
              <w:top w:val="nil"/>
              <w:left w:val="nil"/>
              <w:bottom w:val="nil"/>
              <w:right w:val="nil"/>
            </w:tcBorders>
            <w:shd w:val="clear" w:color="000000" w:fill="FFFFFF"/>
            <w:vAlign w:val="bottom"/>
            <w:hideMark/>
          </w:tcPr>
          <w:p w14:paraId="43C71A83"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47</w:t>
            </w:r>
          </w:p>
        </w:tc>
        <w:tc>
          <w:tcPr>
            <w:tcW w:w="760" w:type="dxa"/>
            <w:tcBorders>
              <w:top w:val="nil"/>
              <w:left w:val="nil"/>
              <w:bottom w:val="nil"/>
              <w:right w:val="nil"/>
            </w:tcBorders>
            <w:shd w:val="clear" w:color="000000" w:fill="FFFFFF"/>
            <w:vAlign w:val="bottom"/>
            <w:hideMark/>
          </w:tcPr>
          <w:p w14:paraId="4850D9A6"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48</w:t>
            </w:r>
          </w:p>
        </w:tc>
        <w:tc>
          <w:tcPr>
            <w:tcW w:w="640" w:type="dxa"/>
            <w:tcBorders>
              <w:top w:val="nil"/>
              <w:left w:val="nil"/>
              <w:bottom w:val="nil"/>
              <w:right w:val="nil"/>
            </w:tcBorders>
            <w:shd w:val="clear" w:color="000000" w:fill="FFFFFF"/>
            <w:vAlign w:val="bottom"/>
            <w:hideMark/>
          </w:tcPr>
          <w:p w14:paraId="60BA88C6"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w:t>
            </w:r>
          </w:p>
        </w:tc>
        <w:tc>
          <w:tcPr>
            <w:tcW w:w="680" w:type="dxa"/>
            <w:tcBorders>
              <w:top w:val="nil"/>
              <w:left w:val="nil"/>
              <w:bottom w:val="nil"/>
              <w:right w:val="nil"/>
            </w:tcBorders>
            <w:shd w:val="clear" w:color="000000" w:fill="FFFFFF"/>
            <w:vAlign w:val="bottom"/>
            <w:hideMark/>
          </w:tcPr>
          <w:p w14:paraId="6F1DFB1A"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4</w:t>
            </w:r>
          </w:p>
        </w:tc>
        <w:tc>
          <w:tcPr>
            <w:tcW w:w="700" w:type="dxa"/>
            <w:tcBorders>
              <w:top w:val="nil"/>
              <w:left w:val="nil"/>
              <w:bottom w:val="nil"/>
              <w:right w:val="nil"/>
            </w:tcBorders>
            <w:shd w:val="clear" w:color="000000" w:fill="FFFFFF"/>
            <w:vAlign w:val="bottom"/>
            <w:hideMark/>
          </w:tcPr>
          <w:p w14:paraId="6C371937"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-13</w:t>
            </w:r>
          </w:p>
        </w:tc>
        <w:tc>
          <w:tcPr>
            <w:tcW w:w="760" w:type="dxa"/>
            <w:tcBorders>
              <w:top w:val="nil"/>
              <w:left w:val="nil"/>
              <w:bottom w:val="nil"/>
              <w:right w:val="nil"/>
            </w:tcBorders>
            <w:shd w:val="clear" w:color="000000" w:fill="FFFFFF"/>
            <w:vAlign w:val="bottom"/>
            <w:hideMark/>
          </w:tcPr>
          <w:p w14:paraId="18CF4E17"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80</w:t>
            </w:r>
          </w:p>
        </w:tc>
        <w:tc>
          <w:tcPr>
            <w:tcW w:w="900" w:type="dxa"/>
            <w:tcBorders>
              <w:top w:val="nil"/>
              <w:left w:val="nil"/>
              <w:bottom w:val="nil"/>
              <w:right w:val="nil"/>
            </w:tcBorders>
            <w:shd w:val="clear" w:color="000000" w:fill="FFFFFF"/>
            <w:vAlign w:val="bottom"/>
            <w:hideMark/>
          </w:tcPr>
          <w:p w14:paraId="63F38C9D"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180</w:t>
            </w:r>
          </w:p>
        </w:tc>
      </w:tr>
      <w:tr w:rsidR="005E062F" w:rsidRPr="005E062F" w14:paraId="3B18DCBF" w14:textId="77777777" w:rsidTr="005E062F">
        <w:trPr>
          <w:trHeight w:val="315"/>
        </w:trPr>
        <w:tc>
          <w:tcPr>
            <w:tcW w:w="2320" w:type="dxa"/>
            <w:tcBorders>
              <w:top w:val="nil"/>
              <w:left w:val="nil"/>
              <w:bottom w:val="nil"/>
              <w:right w:val="nil"/>
            </w:tcBorders>
            <w:shd w:val="clear" w:color="auto" w:fill="auto"/>
            <w:noWrap/>
            <w:vAlign w:val="bottom"/>
            <w:hideMark/>
          </w:tcPr>
          <w:p w14:paraId="1CF4AFA0" w14:textId="77777777" w:rsidR="005E062F" w:rsidRPr="005E062F" w:rsidRDefault="005E062F" w:rsidP="005E062F">
            <w:pPr>
              <w:tabs>
                <w:tab w:val="clear" w:pos="567"/>
              </w:tabs>
              <w:spacing w:after="0" w:line="240" w:lineRule="auto"/>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Prisons</w:t>
            </w:r>
          </w:p>
        </w:tc>
        <w:tc>
          <w:tcPr>
            <w:tcW w:w="780" w:type="dxa"/>
            <w:tcBorders>
              <w:top w:val="nil"/>
              <w:left w:val="nil"/>
              <w:bottom w:val="single" w:sz="4" w:space="0" w:color="auto"/>
              <w:right w:val="nil"/>
            </w:tcBorders>
            <w:shd w:val="clear" w:color="000000" w:fill="FFFFFF"/>
            <w:noWrap/>
            <w:vAlign w:val="bottom"/>
            <w:hideMark/>
          </w:tcPr>
          <w:p w14:paraId="72023C2D"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-86</w:t>
            </w:r>
          </w:p>
        </w:tc>
        <w:tc>
          <w:tcPr>
            <w:tcW w:w="760" w:type="dxa"/>
            <w:tcBorders>
              <w:top w:val="nil"/>
              <w:left w:val="nil"/>
              <w:bottom w:val="single" w:sz="4" w:space="0" w:color="auto"/>
              <w:right w:val="nil"/>
            </w:tcBorders>
            <w:shd w:val="clear" w:color="000000" w:fill="FFFFFF"/>
            <w:noWrap/>
            <w:vAlign w:val="bottom"/>
            <w:hideMark/>
          </w:tcPr>
          <w:p w14:paraId="5ACB8D3F"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-283</w:t>
            </w:r>
          </w:p>
        </w:tc>
        <w:tc>
          <w:tcPr>
            <w:tcW w:w="700" w:type="dxa"/>
            <w:tcBorders>
              <w:top w:val="nil"/>
              <w:left w:val="nil"/>
              <w:bottom w:val="single" w:sz="4" w:space="0" w:color="auto"/>
              <w:right w:val="nil"/>
            </w:tcBorders>
            <w:shd w:val="clear" w:color="000000" w:fill="FFFFFF"/>
            <w:noWrap/>
            <w:vAlign w:val="bottom"/>
            <w:hideMark/>
          </w:tcPr>
          <w:p w14:paraId="4DF69050"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106</w:t>
            </w:r>
          </w:p>
        </w:tc>
        <w:tc>
          <w:tcPr>
            <w:tcW w:w="760" w:type="dxa"/>
            <w:tcBorders>
              <w:top w:val="nil"/>
              <w:left w:val="nil"/>
              <w:bottom w:val="single" w:sz="4" w:space="0" w:color="auto"/>
              <w:right w:val="nil"/>
            </w:tcBorders>
            <w:shd w:val="clear" w:color="000000" w:fill="FFFFFF"/>
            <w:noWrap/>
            <w:vAlign w:val="bottom"/>
            <w:hideMark/>
          </w:tcPr>
          <w:p w14:paraId="070B3285"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93</w:t>
            </w:r>
          </w:p>
        </w:tc>
        <w:tc>
          <w:tcPr>
            <w:tcW w:w="640" w:type="dxa"/>
            <w:tcBorders>
              <w:top w:val="nil"/>
              <w:left w:val="nil"/>
              <w:bottom w:val="single" w:sz="4" w:space="0" w:color="auto"/>
              <w:right w:val="nil"/>
            </w:tcBorders>
            <w:shd w:val="clear" w:color="000000" w:fill="FFFFFF"/>
            <w:noWrap/>
            <w:vAlign w:val="bottom"/>
            <w:hideMark/>
          </w:tcPr>
          <w:p w14:paraId="539DC98B"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-9</w:t>
            </w:r>
          </w:p>
        </w:tc>
        <w:tc>
          <w:tcPr>
            <w:tcW w:w="680" w:type="dxa"/>
            <w:tcBorders>
              <w:top w:val="nil"/>
              <w:left w:val="nil"/>
              <w:bottom w:val="single" w:sz="4" w:space="0" w:color="auto"/>
              <w:right w:val="nil"/>
            </w:tcBorders>
            <w:shd w:val="clear" w:color="000000" w:fill="FFFFFF"/>
            <w:noWrap/>
            <w:vAlign w:val="bottom"/>
            <w:hideMark/>
          </w:tcPr>
          <w:p w14:paraId="6749C04C"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6</w:t>
            </w:r>
          </w:p>
        </w:tc>
        <w:tc>
          <w:tcPr>
            <w:tcW w:w="700" w:type="dxa"/>
            <w:tcBorders>
              <w:top w:val="nil"/>
              <w:left w:val="nil"/>
              <w:bottom w:val="single" w:sz="4" w:space="0" w:color="auto"/>
              <w:right w:val="nil"/>
            </w:tcBorders>
            <w:shd w:val="clear" w:color="000000" w:fill="FFFFFF"/>
            <w:noWrap/>
            <w:vAlign w:val="bottom"/>
            <w:hideMark/>
          </w:tcPr>
          <w:p w14:paraId="1363058B"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-23</w:t>
            </w:r>
          </w:p>
        </w:tc>
        <w:tc>
          <w:tcPr>
            <w:tcW w:w="760" w:type="dxa"/>
            <w:tcBorders>
              <w:top w:val="nil"/>
              <w:left w:val="nil"/>
              <w:bottom w:val="single" w:sz="4" w:space="0" w:color="auto"/>
              <w:right w:val="nil"/>
            </w:tcBorders>
            <w:shd w:val="clear" w:color="000000" w:fill="FFFFFF"/>
            <w:noWrap/>
            <w:vAlign w:val="bottom"/>
            <w:hideMark/>
          </w:tcPr>
          <w:p w14:paraId="58D8687B"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196</w:t>
            </w:r>
          </w:p>
        </w:tc>
        <w:tc>
          <w:tcPr>
            <w:tcW w:w="900" w:type="dxa"/>
            <w:tcBorders>
              <w:top w:val="nil"/>
              <w:left w:val="nil"/>
              <w:bottom w:val="single" w:sz="4" w:space="0" w:color="auto"/>
              <w:right w:val="nil"/>
            </w:tcBorders>
            <w:shd w:val="clear" w:color="000000" w:fill="FFFFFF"/>
            <w:noWrap/>
            <w:vAlign w:val="bottom"/>
            <w:hideMark/>
          </w:tcPr>
          <w:p w14:paraId="012D1F5D"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401</w:t>
            </w:r>
          </w:p>
        </w:tc>
      </w:tr>
      <w:tr w:rsidR="005E062F" w:rsidRPr="005E062F" w14:paraId="046FD8DA" w14:textId="77777777" w:rsidTr="005E062F">
        <w:trPr>
          <w:trHeight w:val="315"/>
        </w:trPr>
        <w:tc>
          <w:tcPr>
            <w:tcW w:w="2320" w:type="dxa"/>
            <w:tcBorders>
              <w:top w:val="nil"/>
              <w:left w:val="nil"/>
              <w:bottom w:val="single" w:sz="4" w:space="0" w:color="auto"/>
              <w:right w:val="nil"/>
            </w:tcBorders>
            <w:shd w:val="clear" w:color="auto" w:fill="auto"/>
            <w:noWrap/>
            <w:vAlign w:val="bottom"/>
            <w:hideMark/>
          </w:tcPr>
          <w:p w14:paraId="43D95A70" w14:textId="77777777" w:rsidR="005E062F" w:rsidRPr="005E062F" w:rsidRDefault="005E062F" w:rsidP="005E062F">
            <w:pPr>
              <w:tabs>
                <w:tab w:val="clear" w:pos="567"/>
              </w:tabs>
              <w:spacing w:after="0" w:line="240" w:lineRule="auto"/>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Total Justice</w:t>
            </w:r>
          </w:p>
        </w:tc>
        <w:tc>
          <w:tcPr>
            <w:tcW w:w="780" w:type="dxa"/>
            <w:tcBorders>
              <w:top w:val="nil"/>
              <w:left w:val="nil"/>
              <w:bottom w:val="single" w:sz="4" w:space="0" w:color="auto"/>
              <w:right w:val="nil"/>
            </w:tcBorders>
            <w:shd w:val="clear" w:color="000000" w:fill="FFFFFF"/>
            <w:vAlign w:val="bottom"/>
            <w:hideMark/>
          </w:tcPr>
          <w:p w14:paraId="046F51D5"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-243</w:t>
            </w:r>
          </w:p>
        </w:tc>
        <w:tc>
          <w:tcPr>
            <w:tcW w:w="760" w:type="dxa"/>
            <w:tcBorders>
              <w:top w:val="nil"/>
              <w:left w:val="nil"/>
              <w:bottom w:val="single" w:sz="4" w:space="0" w:color="auto"/>
              <w:right w:val="nil"/>
            </w:tcBorders>
            <w:shd w:val="clear" w:color="000000" w:fill="FFFFFF"/>
            <w:vAlign w:val="bottom"/>
            <w:hideMark/>
          </w:tcPr>
          <w:p w14:paraId="3DA3155F"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-670</w:t>
            </w:r>
          </w:p>
        </w:tc>
        <w:tc>
          <w:tcPr>
            <w:tcW w:w="700" w:type="dxa"/>
            <w:tcBorders>
              <w:top w:val="nil"/>
              <w:left w:val="nil"/>
              <w:bottom w:val="single" w:sz="4" w:space="0" w:color="auto"/>
              <w:right w:val="nil"/>
            </w:tcBorders>
            <w:shd w:val="clear" w:color="000000" w:fill="FFFFFF"/>
            <w:vAlign w:val="bottom"/>
            <w:hideMark/>
          </w:tcPr>
          <w:p w14:paraId="3477B1CF"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257</w:t>
            </w:r>
          </w:p>
        </w:tc>
        <w:tc>
          <w:tcPr>
            <w:tcW w:w="760" w:type="dxa"/>
            <w:tcBorders>
              <w:top w:val="nil"/>
              <w:left w:val="nil"/>
              <w:bottom w:val="single" w:sz="4" w:space="0" w:color="auto"/>
              <w:right w:val="nil"/>
            </w:tcBorders>
            <w:shd w:val="clear" w:color="000000" w:fill="FFFFFF"/>
            <w:vAlign w:val="bottom"/>
            <w:hideMark/>
          </w:tcPr>
          <w:p w14:paraId="6EED12EF"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252</w:t>
            </w:r>
          </w:p>
        </w:tc>
        <w:tc>
          <w:tcPr>
            <w:tcW w:w="640" w:type="dxa"/>
            <w:tcBorders>
              <w:top w:val="nil"/>
              <w:left w:val="nil"/>
              <w:bottom w:val="single" w:sz="4" w:space="0" w:color="auto"/>
              <w:right w:val="nil"/>
            </w:tcBorders>
            <w:shd w:val="clear" w:color="000000" w:fill="FFFFFF"/>
            <w:vAlign w:val="bottom"/>
            <w:hideMark/>
          </w:tcPr>
          <w:p w14:paraId="17FC58A2"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-17</w:t>
            </w:r>
          </w:p>
        </w:tc>
        <w:tc>
          <w:tcPr>
            <w:tcW w:w="680" w:type="dxa"/>
            <w:tcBorders>
              <w:top w:val="nil"/>
              <w:left w:val="nil"/>
              <w:bottom w:val="single" w:sz="4" w:space="0" w:color="auto"/>
              <w:right w:val="nil"/>
            </w:tcBorders>
            <w:shd w:val="clear" w:color="000000" w:fill="FFFFFF"/>
            <w:vAlign w:val="bottom"/>
            <w:hideMark/>
          </w:tcPr>
          <w:p w14:paraId="46E0F16E"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19</w:t>
            </w:r>
          </w:p>
        </w:tc>
        <w:tc>
          <w:tcPr>
            <w:tcW w:w="700" w:type="dxa"/>
            <w:tcBorders>
              <w:top w:val="nil"/>
              <w:left w:val="nil"/>
              <w:bottom w:val="single" w:sz="4" w:space="0" w:color="auto"/>
              <w:right w:val="nil"/>
            </w:tcBorders>
            <w:shd w:val="clear" w:color="000000" w:fill="FFFFFF"/>
            <w:vAlign w:val="bottom"/>
            <w:hideMark/>
          </w:tcPr>
          <w:p w14:paraId="3E9AD3BD"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-47</w:t>
            </w:r>
          </w:p>
        </w:tc>
        <w:tc>
          <w:tcPr>
            <w:tcW w:w="760" w:type="dxa"/>
            <w:tcBorders>
              <w:top w:val="nil"/>
              <w:left w:val="nil"/>
              <w:bottom w:val="single" w:sz="4" w:space="0" w:color="auto"/>
              <w:right w:val="nil"/>
            </w:tcBorders>
            <w:shd w:val="clear" w:color="000000" w:fill="FFFFFF"/>
            <w:vAlign w:val="bottom"/>
            <w:hideMark/>
          </w:tcPr>
          <w:p w14:paraId="54B9DE23"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448</w:t>
            </w:r>
          </w:p>
        </w:tc>
        <w:tc>
          <w:tcPr>
            <w:tcW w:w="900" w:type="dxa"/>
            <w:tcBorders>
              <w:top w:val="nil"/>
              <w:left w:val="nil"/>
              <w:bottom w:val="single" w:sz="4" w:space="0" w:color="auto"/>
              <w:right w:val="nil"/>
            </w:tcBorders>
            <w:shd w:val="clear" w:color="000000" w:fill="FFFFFF"/>
            <w:vAlign w:val="bottom"/>
            <w:hideMark/>
          </w:tcPr>
          <w:p w14:paraId="798BD4CE"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977</w:t>
            </w:r>
          </w:p>
        </w:tc>
      </w:tr>
      <w:tr w:rsidR="005E062F" w:rsidRPr="005E062F" w14:paraId="5717FE77" w14:textId="77777777" w:rsidTr="005E062F">
        <w:trPr>
          <w:trHeight w:val="259"/>
        </w:trPr>
        <w:tc>
          <w:tcPr>
            <w:tcW w:w="2320" w:type="dxa"/>
            <w:tcBorders>
              <w:top w:val="nil"/>
              <w:left w:val="nil"/>
              <w:bottom w:val="nil"/>
              <w:right w:val="nil"/>
            </w:tcBorders>
            <w:shd w:val="clear" w:color="auto" w:fill="auto"/>
            <w:noWrap/>
            <w:vAlign w:val="bottom"/>
            <w:hideMark/>
          </w:tcPr>
          <w:p w14:paraId="51DED9F8"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p>
        </w:tc>
        <w:tc>
          <w:tcPr>
            <w:tcW w:w="780" w:type="dxa"/>
            <w:tcBorders>
              <w:top w:val="nil"/>
              <w:left w:val="nil"/>
              <w:bottom w:val="nil"/>
              <w:right w:val="nil"/>
            </w:tcBorders>
            <w:shd w:val="clear" w:color="auto" w:fill="auto"/>
            <w:noWrap/>
            <w:vAlign w:val="bottom"/>
            <w:hideMark/>
          </w:tcPr>
          <w:p w14:paraId="6D5CD077"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$pc</w:t>
            </w:r>
          </w:p>
        </w:tc>
        <w:tc>
          <w:tcPr>
            <w:tcW w:w="760" w:type="dxa"/>
            <w:tcBorders>
              <w:top w:val="nil"/>
              <w:left w:val="nil"/>
              <w:bottom w:val="nil"/>
              <w:right w:val="nil"/>
            </w:tcBorders>
            <w:shd w:val="clear" w:color="auto" w:fill="auto"/>
            <w:noWrap/>
            <w:vAlign w:val="bottom"/>
            <w:hideMark/>
          </w:tcPr>
          <w:p w14:paraId="1CB6491D"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$pc</w:t>
            </w:r>
          </w:p>
        </w:tc>
        <w:tc>
          <w:tcPr>
            <w:tcW w:w="700" w:type="dxa"/>
            <w:tcBorders>
              <w:top w:val="nil"/>
              <w:left w:val="nil"/>
              <w:bottom w:val="nil"/>
              <w:right w:val="nil"/>
            </w:tcBorders>
            <w:shd w:val="clear" w:color="auto" w:fill="auto"/>
            <w:noWrap/>
            <w:vAlign w:val="bottom"/>
            <w:hideMark/>
          </w:tcPr>
          <w:p w14:paraId="181F95F5"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$pc</w:t>
            </w:r>
          </w:p>
        </w:tc>
        <w:tc>
          <w:tcPr>
            <w:tcW w:w="760" w:type="dxa"/>
            <w:tcBorders>
              <w:top w:val="nil"/>
              <w:left w:val="nil"/>
              <w:bottom w:val="nil"/>
              <w:right w:val="nil"/>
            </w:tcBorders>
            <w:shd w:val="clear" w:color="auto" w:fill="auto"/>
            <w:noWrap/>
            <w:vAlign w:val="bottom"/>
            <w:hideMark/>
          </w:tcPr>
          <w:p w14:paraId="0EC8A93B"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$pc</w:t>
            </w:r>
          </w:p>
        </w:tc>
        <w:tc>
          <w:tcPr>
            <w:tcW w:w="640" w:type="dxa"/>
            <w:tcBorders>
              <w:top w:val="nil"/>
              <w:left w:val="nil"/>
              <w:bottom w:val="nil"/>
              <w:right w:val="nil"/>
            </w:tcBorders>
            <w:shd w:val="clear" w:color="auto" w:fill="auto"/>
            <w:noWrap/>
            <w:vAlign w:val="bottom"/>
            <w:hideMark/>
          </w:tcPr>
          <w:p w14:paraId="4310EC03"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$pc</w:t>
            </w:r>
          </w:p>
        </w:tc>
        <w:tc>
          <w:tcPr>
            <w:tcW w:w="680" w:type="dxa"/>
            <w:tcBorders>
              <w:top w:val="nil"/>
              <w:left w:val="nil"/>
              <w:bottom w:val="nil"/>
              <w:right w:val="nil"/>
            </w:tcBorders>
            <w:shd w:val="clear" w:color="auto" w:fill="auto"/>
            <w:noWrap/>
            <w:vAlign w:val="bottom"/>
            <w:hideMark/>
          </w:tcPr>
          <w:p w14:paraId="7B3B160A"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$pc</w:t>
            </w:r>
          </w:p>
        </w:tc>
        <w:tc>
          <w:tcPr>
            <w:tcW w:w="700" w:type="dxa"/>
            <w:tcBorders>
              <w:top w:val="nil"/>
              <w:left w:val="nil"/>
              <w:bottom w:val="nil"/>
              <w:right w:val="nil"/>
            </w:tcBorders>
            <w:shd w:val="clear" w:color="auto" w:fill="auto"/>
            <w:noWrap/>
            <w:vAlign w:val="bottom"/>
            <w:hideMark/>
          </w:tcPr>
          <w:p w14:paraId="24C96D81"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$pc</w:t>
            </w:r>
          </w:p>
        </w:tc>
        <w:tc>
          <w:tcPr>
            <w:tcW w:w="760" w:type="dxa"/>
            <w:tcBorders>
              <w:top w:val="nil"/>
              <w:left w:val="nil"/>
              <w:bottom w:val="nil"/>
              <w:right w:val="nil"/>
            </w:tcBorders>
            <w:shd w:val="clear" w:color="auto" w:fill="auto"/>
            <w:noWrap/>
            <w:vAlign w:val="bottom"/>
            <w:hideMark/>
          </w:tcPr>
          <w:p w14:paraId="5E7AA8AE"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$pc</w:t>
            </w:r>
          </w:p>
        </w:tc>
        <w:tc>
          <w:tcPr>
            <w:tcW w:w="900" w:type="dxa"/>
            <w:tcBorders>
              <w:top w:val="nil"/>
              <w:left w:val="nil"/>
              <w:bottom w:val="nil"/>
              <w:right w:val="nil"/>
            </w:tcBorders>
            <w:shd w:val="clear" w:color="auto" w:fill="auto"/>
            <w:noWrap/>
            <w:vAlign w:val="bottom"/>
            <w:hideMark/>
          </w:tcPr>
          <w:p w14:paraId="22A60B9B"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$pc</w:t>
            </w:r>
          </w:p>
        </w:tc>
      </w:tr>
      <w:tr w:rsidR="005E062F" w:rsidRPr="005E062F" w14:paraId="33BA7548" w14:textId="77777777" w:rsidTr="005E062F">
        <w:trPr>
          <w:trHeight w:val="315"/>
        </w:trPr>
        <w:tc>
          <w:tcPr>
            <w:tcW w:w="2320" w:type="dxa"/>
            <w:tcBorders>
              <w:top w:val="nil"/>
              <w:left w:val="nil"/>
              <w:bottom w:val="nil"/>
              <w:right w:val="nil"/>
            </w:tcBorders>
            <w:shd w:val="clear" w:color="auto" w:fill="auto"/>
            <w:noWrap/>
            <w:vAlign w:val="bottom"/>
            <w:hideMark/>
          </w:tcPr>
          <w:p w14:paraId="4E8A0E2B" w14:textId="77777777" w:rsidR="005E062F" w:rsidRPr="005E062F" w:rsidRDefault="005E062F" w:rsidP="005E062F">
            <w:pPr>
              <w:tabs>
                <w:tab w:val="clear" w:pos="567"/>
              </w:tabs>
              <w:spacing w:after="0" w:line="240" w:lineRule="auto"/>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Police</w:t>
            </w:r>
          </w:p>
        </w:tc>
        <w:tc>
          <w:tcPr>
            <w:tcW w:w="780" w:type="dxa"/>
            <w:tcBorders>
              <w:top w:val="nil"/>
              <w:left w:val="nil"/>
              <w:bottom w:val="nil"/>
              <w:right w:val="nil"/>
            </w:tcBorders>
            <w:shd w:val="clear" w:color="000000" w:fill="FFFFFF"/>
            <w:noWrap/>
            <w:vAlign w:val="bottom"/>
            <w:hideMark/>
          </w:tcPr>
          <w:p w14:paraId="214E79E4"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-14</w:t>
            </w:r>
          </w:p>
        </w:tc>
        <w:tc>
          <w:tcPr>
            <w:tcW w:w="760" w:type="dxa"/>
            <w:tcBorders>
              <w:top w:val="nil"/>
              <w:left w:val="nil"/>
              <w:bottom w:val="nil"/>
              <w:right w:val="nil"/>
            </w:tcBorders>
            <w:shd w:val="clear" w:color="000000" w:fill="FFFFFF"/>
            <w:noWrap/>
            <w:vAlign w:val="bottom"/>
            <w:hideMark/>
          </w:tcPr>
          <w:p w14:paraId="5AA6D361"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-41</w:t>
            </w:r>
          </w:p>
        </w:tc>
        <w:tc>
          <w:tcPr>
            <w:tcW w:w="700" w:type="dxa"/>
            <w:tcBorders>
              <w:top w:val="nil"/>
              <w:left w:val="nil"/>
              <w:bottom w:val="nil"/>
              <w:right w:val="nil"/>
            </w:tcBorders>
            <w:shd w:val="clear" w:color="000000" w:fill="FFFFFF"/>
            <w:noWrap/>
            <w:vAlign w:val="bottom"/>
            <w:hideMark/>
          </w:tcPr>
          <w:p w14:paraId="4D0808E1"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21</w:t>
            </w:r>
          </w:p>
        </w:tc>
        <w:tc>
          <w:tcPr>
            <w:tcW w:w="760" w:type="dxa"/>
            <w:tcBorders>
              <w:top w:val="nil"/>
              <w:left w:val="nil"/>
              <w:bottom w:val="nil"/>
              <w:right w:val="nil"/>
            </w:tcBorders>
            <w:shd w:val="clear" w:color="000000" w:fill="FFFFFF"/>
            <w:noWrap/>
            <w:vAlign w:val="bottom"/>
            <w:hideMark/>
          </w:tcPr>
          <w:p w14:paraId="48497502"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42</w:t>
            </w:r>
          </w:p>
        </w:tc>
        <w:tc>
          <w:tcPr>
            <w:tcW w:w="640" w:type="dxa"/>
            <w:tcBorders>
              <w:top w:val="nil"/>
              <w:left w:val="nil"/>
              <w:bottom w:val="nil"/>
              <w:right w:val="nil"/>
            </w:tcBorders>
            <w:shd w:val="clear" w:color="000000" w:fill="FFFFFF"/>
            <w:noWrap/>
            <w:vAlign w:val="bottom"/>
            <w:hideMark/>
          </w:tcPr>
          <w:p w14:paraId="451A9C54"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-5</w:t>
            </w:r>
          </w:p>
        </w:tc>
        <w:tc>
          <w:tcPr>
            <w:tcW w:w="680" w:type="dxa"/>
            <w:tcBorders>
              <w:top w:val="nil"/>
              <w:left w:val="nil"/>
              <w:bottom w:val="nil"/>
              <w:right w:val="nil"/>
            </w:tcBorders>
            <w:shd w:val="clear" w:color="000000" w:fill="FFFFFF"/>
            <w:noWrap/>
            <w:vAlign w:val="bottom"/>
            <w:hideMark/>
          </w:tcPr>
          <w:p w14:paraId="28EC0AC0"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17</w:t>
            </w:r>
          </w:p>
        </w:tc>
        <w:tc>
          <w:tcPr>
            <w:tcW w:w="700" w:type="dxa"/>
            <w:tcBorders>
              <w:top w:val="nil"/>
              <w:left w:val="nil"/>
              <w:bottom w:val="nil"/>
              <w:right w:val="nil"/>
            </w:tcBorders>
            <w:shd w:val="clear" w:color="000000" w:fill="FFFFFF"/>
            <w:noWrap/>
            <w:vAlign w:val="bottom"/>
            <w:hideMark/>
          </w:tcPr>
          <w:p w14:paraId="02651F20"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-27</w:t>
            </w:r>
          </w:p>
        </w:tc>
        <w:tc>
          <w:tcPr>
            <w:tcW w:w="760" w:type="dxa"/>
            <w:tcBorders>
              <w:top w:val="nil"/>
              <w:left w:val="nil"/>
              <w:bottom w:val="nil"/>
              <w:right w:val="nil"/>
            </w:tcBorders>
            <w:shd w:val="clear" w:color="000000" w:fill="FFFFFF"/>
            <w:noWrap/>
            <w:vAlign w:val="bottom"/>
            <w:hideMark/>
          </w:tcPr>
          <w:p w14:paraId="7C67CB04"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700</w:t>
            </w:r>
          </w:p>
        </w:tc>
        <w:tc>
          <w:tcPr>
            <w:tcW w:w="900" w:type="dxa"/>
            <w:tcBorders>
              <w:top w:val="nil"/>
              <w:left w:val="nil"/>
              <w:bottom w:val="nil"/>
              <w:right w:val="nil"/>
            </w:tcBorders>
            <w:shd w:val="clear" w:color="000000" w:fill="FFFFFF"/>
            <w:noWrap/>
            <w:vAlign w:val="bottom"/>
            <w:hideMark/>
          </w:tcPr>
          <w:p w14:paraId="34E441BB"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16</w:t>
            </w:r>
          </w:p>
        </w:tc>
      </w:tr>
      <w:tr w:rsidR="005E062F" w:rsidRPr="005E062F" w14:paraId="00A05945" w14:textId="77777777" w:rsidTr="005E062F">
        <w:trPr>
          <w:trHeight w:val="315"/>
        </w:trPr>
        <w:tc>
          <w:tcPr>
            <w:tcW w:w="2320" w:type="dxa"/>
            <w:tcBorders>
              <w:top w:val="nil"/>
              <w:left w:val="nil"/>
              <w:bottom w:val="nil"/>
              <w:right w:val="nil"/>
            </w:tcBorders>
            <w:shd w:val="clear" w:color="auto" w:fill="auto"/>
            <w:noWrap/>
            <w:vAlign w:val="bottom"/>
            <w:hideMark/>
          </w:tcPr>
          <w:p w14:paraId="1332168A" w14:textId="77777777" w:rsidR="005E062F" w:rsidRPr="005E062F" w:rsidRDefault="005E062F" w:rsidP="005E062F">
            <w:pPr>
              <w:tabs>
                <w:tab w:val="clear" w:pos="567"/>
              </w:tabs>
              <w:spacing w:after="0" w:line="240" w:lineRule="auto"/>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Courts</w:t>
            </w:r>
          </w:p>
        </w:tc>
        <w:tc>
          <w:tcPr>
            <w:tcW w:w="780" w:type="dxa"/>
            <w:tcBorders>
              <w:top w:val="nil"/>
              <w:left w:val="nil"/>
              <w:bottom w:val="nil"/>
              <w:right w:val="nil"/>
            </w:tcBorders>
            <w:shd w:val="clear" w:color="000000" w:fill="FFFFFF"/>
            <w:noWrap/>
            <w:vAlign w:val="bottom"/>
            <w:hideMark/>
          </w:tcPr>
          <w:p w14:paraId="03975546"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-6</w:t>
            </w:r>
          </w:p>
        </w:tc>
        <w:tc>
          <w:tcPr>
            <w:tcW w:w="760" w:type="dxa"/>
            <w:tcBorders>
              <w:top w:val="nil"/>
              <w:left w:val="nil"/>
              <w:bottom w:val="nil"/>
              <w:right w:val="nil"/>
            </w:tcBorders>
            <w:shd w:val="clear" w:color="000000" w:fill="FFFFFF"/>
            <w:noWrap/>
            <w:vAlign w:val="bottom"/>
            <w:hideMark/>
          </w:tcPr>
          <w:p w14:paraId="5FAF0730"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-19</w:t>
            </w:r>
          </w:p>
        </w:tc>
        <w:tc>
          <w:tcPr>
            <w:tcW w:w="700" w:type="dxa"/>
            <w:tcBorders>
              <w:top w:val="nil"/>
              <w:left w:val="nil"/>
              <w:bottom w:val="nil"/>
              <w:right w:val="nil"/>
            </w:tcBorders>
            <w:shd w:val="clear" w:color="000000" w:fill="FFFFFF"/>
            <w:noWrap/>
            <w:vAlign w:val="bottom"/>
            <w:hideMark/>
          </w:tcPr>
          <w:p w14:paraId="58B3B572"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9</w:t>
            </w:r>
          </w:p>
        </w:tc>
        <w:tc>
          <w:tcPr>
            <w:tcW w:w="760" w:type="dxa"/>
            <w:tcBorders>
              <w:top w:val="nil"/>
              <w:left w:val="nil"/>
              <w:bottom w:val="nil"/>
              <w:right w:val="nil"/>
            </w:tcBorders>
            <w:shd w:val="clear" w:color="000000" w:fill="FFFFFF"/>
            <w:noWrap/>
            <w:vAlign w:val="bottom"/>
            <w:hideMark/>
          </w:tcPr>
          <w:p w14:paraId="0144BDAB"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18</w:t>
            </w:r>
          </w:p>
        </w:tc>
        <w:tc>
          <w:tcPr>
            <w:tcW w:w="640" w:type="dxa"/>
            <w:tcBorders>
              <w:top w:val="nil"/>
              <w:left w:val="nil"/>
              <w:bottom w:val="nil"/>
              <w:right w:val="nil"/>
            </w:tcBorders>
            <w:shd w:val="clear" w:color="000000" w:fill="FFFFFF"/>
            <w:noWrap/>
            <w:vAlign w:val="bottom"/>
            <w:hideMark/>
          </w:tcPr>
          <w:p w14:paraId="452D0823"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w:t>
            </w:r>
          </w:p>
        </w:tc>
        <w:tc>
          <w:tcPr>
            <w:tcW w:w="680" w:type="dxa"/>
            <w:tcBorders>
              <w:top w:val="nil"/>
              <w:left w:val="nil"/>
              <w:bottom w:val="nil"/>
              <w:right w:val="nil"/>
            </w:tcBorders>
            <w:shd w:val="clear" w:color="000000" w:fill="FFFFFF"/>
            <w:noWrap/>
            <w:vAlign w:val="bottom"/>
            <w:hideMark/>
          </w:tcPr>
          <w:p w14:paraId="6B9DF756"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7</w:t>
            </w:r>
          </w:p>
        </w:tc>
        <w:tc>
          <w:tcPr>
            <w:tcW w:w="700" w:type="dxa"/>
            <w:tcBorders>
              <w:top w:val="nil"/>
              <w:left w:val="nil"/>
              <w:bottom w:val="nil"/>
              <w:right w:val="nil"/>
            </w:tcBorders>
            <w:shd w:val="clear" w:color="000000" w:fill="FFFFFF"/>
            <w:noWrap/>
            <w:vAlign w:val="bottom"/>
            <w:hideMark/>
          </w:tcPr>
          <w:p w14:paraId="262694A1"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-31</w:t>
            </w:r>
          </w:p>
        </w:tc>
        <w:tc>
          <w:tcPr>
            <w:tcW w:w="760" w:type="dxa"/>
            <w:tcBorders>
              <w:top w:val="nil"/>
              <w:left w:val="nil"/>
              <w:bottom w:val="nil"/>
              <w:right w:val="nil"/>
            </w:tcBorders>
            <w:shd w:val="clear" w:color="000000" w:fill="FFFFFF"/>
            <w:noWrap/>
            <w:vAlign w:val="bottom"/>
            <w:hideMark/>
          </w:tcPr>
          <w:p w14:paraId="3120BE07"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324</w:t>
            </w:r>
          </w:p>
        </w:tc>
        <w:tc>
          <w:tcPr>
            <w:tcW w:w="900" w:type="dxa"/>
            <w:tcBorders>
              <w:top w:val="nil"/>
              <w:left w:val="nil"/>
              <w:bottom w:val="nil"/>
              <w:right w:val="nil"/>
            </w:tcBorders>
            <w:shd w:val="clear" w:color="000000" w:fill="FFFFFF"/>
            <w:noWrap/>
            <w:vAlign w:val="bottom"/>
            <w:hideMark/>
          </w:tcPr>
          <w:p w14:paraId="5026EEB4"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7</w:t>
            </w:r>
          </w:p>
        </w:tc>
      </w:tr>
      <w:tr w:rsidR="005E062F" w:rsidRPr="005E062F" w14:paraId="2277C0E1" w14:textId="77777777" w:rsidTr="005E062F">
        <w:trPr>
          <w:trHeight w:val="315"/>
        </w:trPr>
        <w:tc>
          <w:tcPr>
            <w:tcW w:w="2320" w:type="dxa"/>
            <w:tcBorders>
              <w:top w:val="nil"/>
              <w:left w:val="nil"/>
              <w:bottom w:val="nil"/>
              <w:right w:val="nil"/>
            </w:tcBorders>
            <w:shd w:val="clear" w:color="auto" w:fill="auto"/>
            <w:noWrap/>
            <w:vAlign w:val="bottom"/>
            <w:hideMark/>
          </w:tcPr>
          <w:p w14:paraId="228D526F" w14:textId="77777777" w:rsidR="005E062F" w:rsidRPr="005E062F" w:rsidRDefault="005E062F" w:rsidP="005E062F">
            <w:pPr>
              <w:tabs>
                <w:tab w:val="clear" w:pos="567"/>
              </w:tabs>
              <w:spacing w:after="0" w:line="240" w:lineRule="auto"/>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Prisons</w:t>
            </w:r>
          </w:p>
        </w:tc>
        <w:tc>
          <w:tcPr>
            <w:tcW w:w="780" w:type="dxa"/>
            <w:tcBorders>
              <w:top w:val="nil"/>
              <w:left w:val="nil"/>
              <w:bottom w:val="single" w:sz="4" w:space="0" w:color="auto"/>
              <w:right w:val="nil"/>
            </w:tcBorders>
            <w:shd w:val="clear" w:color="000000" w:fill="FFFFFF"/>
            <w:noWrap/>
            <w:vAlign w:val="bottom"/>
            <w:hideMark/>
          </w:tcPr>
          <w:p w14:paraId="22A01FCE"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-11</w:t>
            </w:r>
          </w:p>
        </w:tc>
        <w:tc>
          <w:tcPr>
            <w:tcW w:w="760" w:type="dxa"/>
            <w:tcBorders>
              <w:top w:val="nil"/>
              <w:left w:val="nil"/>
              <w:bottom w:val="single" w:sz="4" w:space="0" w:color="auto"/>
              <w:right w:val="nil"/>
            </w:tcBorders>
            <w:shd w:val="clear" w:color="000000" w:fill="FFFFFF"/>
            <w:noWrap/>
            <w:vAlign w:val="bottom"/>
            <w:hideMark/>
          </w:tcPr>
          <w:p w14:paraId="73F0D8A5"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-44</w:t>
            </w:r>
          </w:p>
        </w:tc>
        <w:tc>
          <w:tcPr>
            <w:tcW w:w="700" w:type="dxa"/>
            <w:tcBorders>
              <w:top w:val="nil"/>
              <w:left w:val="nil"/>
              <w:bottom w:val="single" w:sz="4" w:space="0" w:color="auto"/>
              <w:right w:val="nil"/>
            </w:tcBorders>
            <w:shd w:val="clear" w:color="000000" w:fill="FFFFFF"/>
            <w:noWrap/>
            <w:vAlign w:val="bottom"/>
            <w:hideMark/>
          </w:tcPr>
          <w:p w14:paraId="79B419FA"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21</w:t>
            </w:r>
          </w:p>
        </w:tc>
        <w:tc>
          <w:tcPr>
            <w:tcW w:w="760" w:type="dxa"/>
            <w:tcBorders>
              <w:top w:val="nil"/>
              <w:left w:val="nil"/>
              <w:bottom w:val="single" w:sz="4" w:space="0" w:color="auto"/>
              <w:right w:val="nil"/>
            </w:tcBorders>
            <w:shd w:val="clear" w:color="000000" w:fill="FFFFFF"/>
            <w:noWrap/>
            <w:vAlign w:val="bottom"/>
            <w:hideMark/>
          </w:tcPr>
          <w:p w14:paraId="0D5580F0"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35</w:t>
            </w:r>
          </w:p>
        </w:tc>
        <w:tc>
          <w:tcPr>
            <w:tcW w:w="640" w:type="dxa"/>
            <w:tcBorders>
              <w:top w:val="nil"/>
              <w:left w:val="nil"/>
              <w:bottom w:val="single" w:sz="4" w:space="0" w:color="auto"/>
              <w:right w:val="nil"/>
            </w:tcBorders>
            <w:shd w:val="clear" w:color="000000" w:fill="FFFFFF"/>
            <w:noWrap/>
            <w:vAlign w:val="bottom"/>
            <w:hideMark/>
          </w:tcPr>
          <w:p w14:paraId="24402712"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-5</w:t>
            </w:r>
          </w:p>
        </w:tc>
        <w:tc>
          <w:tcPr>
            <w:tcW w:w="680" w:type="dxa"/>
            <w:tcBorders>
              <w:top w:val="nil"/>
              <w:left w:val="nil"/>
              <w:bottom w:val="single" w:sz="4" w:space="0" w:color="auto"/>
              <w:right w:val="nil"/>
            </w:tcBorders>
            <w:shd w:val="clear" w:color="000000" w:fill="FFFFFF"/>
            <w:noWrap/>
            <w:vAlign w:val="bottom"/>
            <w:hideMark/>
          </w:tcPr>
          <w:p w14:paraId="4C2793A3"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12</w:t>
            </w:r>
          </w:p>
        </w:tc>
        <w:tc>
          <w:tcPr>
            <w:tcW w:w="700" w:type="dxa"/>
            <w:tcBorders>
              <w:top w:val="nil"/>
              <w:left w:val="nil"/>
              <w:bottom w:val="single" w:sz="4" w:space="0" w:color="auto"/>
              <w:right w:val="nil"/>
            </w:tcBorders>
            <w:shd w:val="clear" w:color="000000" w:fill="FFFFFF"/>
            <w:noWrap/>
            <w:vAlign w:val="bottom"/>
            <w:hideMark/>
          </w:tcPr>
          <w:p w14:paraId="2557B39A"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-54</w:t>
            </w:r>
          </w:p>
        </w:tc>
        <w:tc>
          <w:tcPr>
            <w:tcW w:w="760" w:type="dxa"/>
            <w:tcBorders>
              <w:top w:val="nil"/>
              <w:left w:val="nil"/>
              <w:bottom w:val="single" w:sz="4" w:space="0" w:color="auto"/>
              <w:right w:val="nil"/>
            </w:tcBorders>
            <w:shd w:val="clear" w:color="000000" w:fill="FFFFFF"/>
            <w:noWrap/>
            <w:vAlign w:val="bottom"/>
            <w:hideMark/>
          </w:tcPr>
          <w:p w14:paraId="3091D730"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797</w:t>
            </w:r>
          </w:p>
        </w:tc>
        <w:tc>
          <w:tcPr>
            <w:tcW w:w="900" w:type="dxa"/>
            <w:tcBorders>
              <w:top w:val="nil"/>
              <w:left w:val="nil"/>
              <w:bottom w:val="single" w:sz="4" w:space="0" w:color="auto"/>
              <w:right w:val="nil"/>
            </w:tcBorders>
            <w:shd w:val="clear" w:color="000000" w:fill="FFFFFF"/>
            <w:noWrap/>
            <w:vAlign w:val="bottom"/>
            <w:hideMark/>
          </w:tcPr>
          <w:p w14:paraId="65F927C6"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16</w:t>
            </w:r>
          </w:p>
        </w:tc>
      </w:tr>
      <w:tr w:rsidR="005E062F" w:rsidRPr="005E062F" w14:paraId="0F4EFCF2" w14:textId="77777777" w:rsidTr="005E062F">
        <w:trPr>
          <w:trHeight w:val="315"/>
        </w:trPr>
        <w:tc>
          <w:tcPr>
            <w:tcW w:w="2320" w:type="dxa"/>
            <w:tcBorders>
              <w:top w:val="nil"/>
              <w:left w:val="nil"/>
              <w:bottom w:val="single" w:sz="4" w:space="0" w:color="auto"/>
              <w:right w:val="nil"/>
            </w:tcBorders>
            <w:shd w:val="clear" w:color="auto" w:fill="auto"/>
            <w:noWrap/>
            <w:vAlign w:val="bottom"/>
            <w:hideMark/>
          </w:tcPr>
          <w:p w14:paraId="672F4B6E" w14:textId="77777777" w:rsidR="005E062F" w:rsidRPr="005E062F" w:rsidRDefault="005E062F" w:rsidP="005E062F">
            <w:pPr>
              <w:tabs>
                <w:tab w:val="clear" w:pos="567"/>
              </w:tabs>
              <w:spacing w:after="0" w:line="240" w:lineRule="auto"/>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Total Justice</w:t>
            </w:r>
          </w:p>
        </w:tc>
        <w:tc>
          <w:tcPr>
            <w:tcW w:w="780" w:type="dxa"/>
            <w:tcBorders>
              <w:top w:val="nil"/>
              <w:left w:val="nil"/>
              <w:bottom w:val="single" w:sz="4" w:space="0" w:color="auto"/>
              <w:right w:val="nil"/>
            </w:tcBorders>
            <w:shd w:val="clear" w:color="000000" w:fill="FFFFFF"/>
            <w:noWrap/>
            <w:vAlign w:val="bottom"/>
            <w:hideMark/>
          </w:tcPr>
          <w:p w14:paraId="1C6DB70B"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-30</w:t>
            </w:r>
          </w:p>
        </w:tc>
        <w:tc>
          <w:tcPr>
            <w:tcW w:w="760" w:type="dxa"/>
            <w:tcBorders>
              <w:top w:val="nil"/>
              <w:left w:val="nil"/>
              <w:bottom w:val="single" w:sz="4" w:space="0" w:color="auto"/>
              <w:right w:val="nil"/>
            </w:tcBorders>
            <w:shd w:val="clear" w:color="000000" w:fill="FFFFFF"/>
            <w:noWrap/>
            <w:vAlign w:val="bottom"/>
            <w:hideMark/>
          </w:tcPr>
          <w:p w14:paraId="3813F30B"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-103</w:t>
            </w:r>
          </w:p>
        </w:tc>
        <w:tc>
          <w:tcPr>
            <w:tcW w:w="700" w:type="dxa"/>
            <w:tcBorders>
              <w:top w:val="nil"/>
              <w:left w:val="nil"/>
              <w:bottom w:val="single" w:sz="4" w:space="0" w:color="auto"/>
              <w:right w:val="nil"/>
            </w:tcBorders>
            <w:shd w:val="clear" w:color="000000" w:fill="FFFFFF"/>
            <w:noWrap/>
            <w:vAlign w:val="bottom"/>
            <w:hideMark/>
          </w:tcPr>
          <w:p w14:paraId="705FC2DC"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51</w:t>
            </w:r>
          </w:p>
        </w:tc>
        <w:tc>
          <w:tcPr>
            <w:tcW w:w="760" w:type="dxa"/>
            <w:tcBorders>
              <w:top w:val="nil"/>
              <w:left w:val="nil"/>
              <w:bottom w:val="single" w:sz="4" w:space="0" w:color="auto"/>
              <w:right w:val="nil"/>
            </w:tcBorders>
            <w:shd w:val="clear" w:color="000000" w:fill="FFFFFF"/>
            <w:noWrap/>
            <w:vAlign w:val="bottom"/>
            <w:hideMark/>
          </w:tcPr>
          <w:p w14:paraId="24C37845"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96</w:t>
            </w:r>
          </w:p>
        </w:tc>
        <w:tc>
          <w:tcPr>
            <w:tcW w:w="640" w:type="dxa"/>
            <w:tcBorders>
              <w:top w:val="nil"/>
              <w:left w:val="nil"/>
              <w:bottom w:val="single" w:sz="4" w:space="0" w:color="auto"/>
              <w:right w:val="nil"/>
            </w:tcBorders>
            <w:shd w:val="clear" w:color="000000" w:fill="FFFFFF"/>
            <w:noWrap/>
            <w:vAlign w:val="bottom"/>
            <w:hideMark/>
          </w:tcPr>
          <w:p w14:paraId="79E9BCC4"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-10</w:t>
            </w:r>
          </w:p>
        </w:tc>
        <w:tc>
          <w:tcPr>
            <w:tcW w:w="680" w:type="dxa"/>
            <w:tcBorders>
              <w:top w:val="nil"/>
              <w:left w:val="nil"/>
              <w:bottom w:val="single" w:sz="4" w:space="0" w:color="auto"/>
              <w:right w:val="nil"/>
            </w:tcBorders>
            <w:shd w:val="clear" w:color="000000" w:fill="FFFFFF"/>
            <w:noWrap/>
            <w:vAlign w:val="bottom"/>
            <w:hideMark/>
          </w:tcPr>
          <w:p w14:paraId="16FB92E8"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36</w:t>
            </w:r>
          </w:p>
        </w:tc>
        <w:tc>
          <w:tcPr>
            <w:tcW w:w="700" w:type="dxa"/>
            <w:tcBorders>
              <w:top w:val="nil"/>
              <w:left w:val="nil"/>
              <w:bottom w:val="single" w:sz="4" w:space="0" w:color="auto"/>
              <w:right w:val="nil"/>
            </w:tcBorders>
            <w:shd w:val="clear" w:color="000000" w:fill="FFFFFF"/>
            <w:noWrap/>
            <w:vAlign w:val="bottom"/>
            <w:hideMark/>
          </w:tcPr>
          <w:p w14:paraId="4C3F90BE"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-112</w:t>
            </w:r>
          </w:p>
        </w:tc>
        <w:tc>
          <w:tcPr>
            <w:tcW w:w="760" w:type="dxa"/>
            <w:tcBorders>
              <w:top w:val="nil"/>
              <w:left w:val="nil"/>
              <w:bottom w:val="single" w:sz="4" w:space="0" w:color="auto"/>
              <w:right w:val="nil"/>
            </w:tcBorders>
            <w:shd w:val="clear" w:color="000000" w:fill="FFFFFF"/>
            <w:noWrap/>
            <w:vAlign w:val="bottom"/>
            <w:hideMark/>
          </w:tcPr>
          <w:p w14:paraId="3DA0A749"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1 820</w:t>
            </w:r>
          </w:p>
        </w:tc>
        <w:tc>
          <w:tcPr>
            <w:tcW w:w="900" w:type="dxa"/>
            <w:tcBorders>
              <w:top w:val="nil"/>
              <w:left w:val="nil"/>
              <w:bottom w:val="single" w:sz="4" w:space="0" w:color="auto"/>
              <w:right w:val="nil"/>
            </w:tcBorders>
            <w:shd w:val="clear" w:color="000000" w:fill="FFFFFF"/>
            <w:noWrap/>
            <w:vAlign w:val="bottom"/>
            <w:hideMark/>
          </w:tcPr>
          <w:p w14:paraId="573E6253" w14:textId="77777777" w:rsidR="005E062F" w:rsidRPr="005E062F" w:rsidRDefault="005E062F" w:rsidP="005E062F">
            <w:pPr>
              <w:tabs>
                <w:tab w:val="clear" w:pos="567"/>
              </w:tabs>
              <w:spacing w:after="0" w:line="240" w:lineRule="auto"/>
              <w:jc w:val="right"/>
              <w:rPr>
                <w:rFonts w:ascii="Calibri" w:eastAsia="Times New Roman" w:hAnsi="Calibri" w:cs="Calibri"/>
                <w:sz w:val="20"/>
                <w:szCs w:val="20"/>
                <w:lang w:eastAsia="en-AU"/>
              </w:rPr>
            </w:pPr>
            <w:r w:rsidRPr="005E062F">
              <w:rPr>
                <w:rFonts w:ascii="Calibri" w:eastAsia="Times New Roman" w:hAnsi="Calibri" w:cs="Calibri"/>
                <w:sz w:val="20"/>
                <w:szCs w:val="20"/>
                <w:lang w:eastAsia="en-AU"/>
              </w:rPr>
              <w:t>39</w:t>
            </w:r>
          </w:p>
        </w:tc>
      </w:tr>
    </w:tbl>
    <w:p w14:paraId="644A8DE1" w14:textId="069FB28E" w:rsidR="008A568D" w:rsidRDefault="005E062F" w:rsidP="00D95EAA">
      <w:pPr>
        <w:pStyle w:val="CGCTableFootnote"/>
      </w:pPr>
      <w:r>
        <w:t>Source:</w:t>
      </w:r>
      <w:r w:rsidR="00F91F28">
        <w:tab/>
      </w:r>
      <w:r w:rsidR="001E2CEB">
        <w:t>Commission calculation</w:t>
      </w:r>
      <w:r w:rsidR="00F91F28">
        <w:t>s.</w:t>
      </w:r>
    </w:p>
    <w:p w14:paraId="392D19AE" w14:textId="77777777" w:rsidR="00905404" w:rsidRDefault="00905404">
      <w:pPr>
        <w:tabs>
          <w:tab w:val="clear" w:pos="567"/>
        </w:tabs>
        <w:spacing w:after="200" w:line="276" w:lineRule="auto"/>
        <w:rPr>
          <w:rFonts w:eastAsiaTheme="majorEastAsia" w:cstheme="majorBidi"/>
          <w:b/>
          <w:bCs/>
          <w:caps/>
          <w:color w:val="2C8558"/>
          <w:sz w:val="32"/>
        </w:rPr>
      </w:pPr>
      <w:r>
        <w:br w:type="page"/>
      </w:r>
    </w:p>
    <w:p w14:paraId="1B31D2E6" w14:textId="739513FF" w:rsidR="00F83306" w:rsidRDefault="00F83306" w:rsidP="00F83306">
      <w:pPr>
        <w:pStyle w:val="Heading3"/>
      </w:pPr>
      <w:bookmarkStart w:id="28" w:name="_Toc511747970"/>
      <w:r>
        <w:t>ISSUES AND ANALYSIS</w:t>
      </w:r>
      <w:bookmarkEnd w:id="28"/>
    </w:p>
    <w:p w14:paraId="61747315" w14:textId="77777777" w:rsidR="00F83306" w:rsidRDefault="00D846D6" w:rsidP="00F83306">
      <w:pPr>
        <w:pStyle w:val="Heading4"/>
      </w:pPr>
      <w:bookmarkStart w:id="29" w:name="_Toc511747971"/>
      <w:r>
        <w:t>Police</w:t>
      </w:r>
      <w:bookmarkEnd w:id="29"/>
    </w:p>
    <w:p w14:paraId="013BF0E4" w14:textId="543B1A89" w:rsidR="00905404" w:rsidRDefault="00905404" w:rsidP="005D26E4">
      <w:pPr>
        <w:pStyle w:val="CGCNumberedPara"/>
      </w:pPr>
      <w:r>
        <w:t xml:space="preserve">The current assessment divides police expenses into those targeting criminal activity, and those targeting community policing. This division </w:t>
      </w:r>
      <w:r w:rsidR="005713A3">
        <w:t>was set in the 2010 Review, when the Commission said “In these circumstances we have to use judgment … Until more definitive data become available on police resourcing, we have decided that we will assess half of police expenses on the basis of State population and half on the basis of population adjusted for factors linked to the cost of crime.”</w:t>
      </w:r>
    </w:p>
    <w:p w14:paraId="77C0F3BC" w14:textId="299A5D34" w:rsidR="005713A3" w:rsidRDefault="005713A3" w:rsidP="005D26E4">
      <w:pPr>
        <w:pStyle w:val="CGCNumberedPara"/>
      </w:pPr>
      <w:r>
        <w:t>Western Australia and the Northern Territory have expressed concerns with the Commission’s judgment, claiming that significantly more than 50% of police resources are dedicated to crime.</w:t>
      </w:r>
    </w:p>
    <w:p w14:paraId="7503AF0F" w14:textId="0E6B0CDB" w:rsidR="00EF0EB8" w:rsidRDefault="005713A3" w:rsidP="005713A3">
      <w:pPr>
        <w:pStyle w:val="CGCNumberedPara"/>
      </w:pPr>
      <w:r>
        <w:t>States have also raised concerns with the use of dated data, as the assessment uses data from a 2007 survey (see</w:t>
      </w:r>
      <w:r w:rsidR="00706936">
        <w:t xml:space="preserve"> </w:t>
      </w:r>
      <w:r w:rsidR="00706936">
        <w:fldChar w:fldCharType="begin"/>
      </w:r>
      <w:r w:rsidR="00706936">
        <w:instrText xml:space="preserve"> REF _Ref508705179 \h </w:instrText>
      </w:r>
      <w:r w:rsidR="00706936">
        <w:fldChar w:fldCharType="separate"/>
      </w:r>
      <w:r w:rsidR="00422CFD">
        <w:t xml:space="preserve">Table </w:t>
      </w:r>
      <w:r w:rsidR="00422CFD">
        <w:rPr>
          <w:noProof/>
        </w:rPr>
        <w:t>2</w:t>
      </w:r>
      <w:r w:rsidR="00706936">
        <w:fldChar w:fldCharType="end"/>
      </w:r>
      <w:r>
        <w:t xml:space="preserve">). These survey data are only used </w:t>
      </w:r>
      <w:r w:rsidR="00EF0EB8">
        <w:t>to estimate use rate</w:t>
      </w:r>
      <w:r w:rsidR="000A48F0">
        <w:t>s</w:t>
      </w:r>
      <w:r w:rsidR="00EF0EB8">
        <w:t xml:space="preserve"> for different age</w:t>
      </w:r>
      <w:r w:rsidR="002C755B">
        <w:t xml:space="preserve"> groups</w:t>
      </w:r>
      <w:r w:rsidR="000A48F0">
        <w:t>.</w:t>
      </w:r>
      <w:r>
        <w:t xml:space="preserve"> Indigeneity and SES are taken from more recent State data</w:t>
      </w:r>
      <w:r w:rsidR="00EF0EB8">
        <w:t xml:space="preserve">. </w:t>
      </w:r>
      <w:r>
        <w:t xml:space="preserve">Staff are concerned </w:t>
      </w:r>
      <w:r w:rsidR="00571EBB">
        <w:t>that</w:t>
      </w:r>
      <w:r w:rsidR="000B0518">
        <w:t>,</w:t>
      </w:r>
      <w:r w:rsidR="00571EBB">
        <w:t xml:space="preserve"> </w:t>
      </w:r>
      <w:r w:rsidR="0036049C">
        <w:t>by the 2020 Review</w:t>
      </w:r>
      <w:r w:rsidR="000B0518">
        <w:t>,</w:t>
      </w:r>
      <w:r w:rsidR="0036049C">
        <w:t xml:space="preserve"> </w:t>
      </w:r>
      <w:r w:rsidR="00571EBB">
        <w:t xml:space="preserve">the age data </w:t>
      </w:r>
      <w:r w:rsidR="0036049C">
        <w:t xml:space="preserve">will be sufficiently dated </w:t>
      </w:r>
      <w:r w:rsidR="00571EBB">
        <w:t xml:space="preserve">that it casts doubt on the continuing </w:t>
      </w:r>
      <w:r w:rsidR="0036049C">
        <w:t>reliability</w:t>
      </w:r>
      <w:r w:rsidR="00571EBB">
        <w:t xml:space="preserve"> of merging the </w:t>
      </w:r>
      <w:r w:rsidR="0036049C">
        <w:t xml:space="preserve">age and Indigenous and SES </w:t>
      </w:r>
      <w:r w:rsidR="00571EBB">
        <w:t>data</w:t>
      </w:r>
      <w:r w:rsidR="0036049C">
        <w:t xml:space="preserve">sets. </w:t>
      </w:r>
      <w:r w:rsidR="00226796">
        <w:t xml:space="preserve">To better identify </w:t>
      </w:r>
      <w:r w:rsidR="005D09E8">
        <w:t>the effect of age on crime</w:t>
      </w:r>
      <w:r w:rsidR="000B0518">
        <w:t>,</w:t>
      </w:r>
      <w:r w:rsidR="007828A0">
        <w:t xml:space="preserve"> </w:t>
      </w:r>
      <w:r w:rsidR="0036049C">
        <w:t xml:space="preserve">staff consider the Commission </w:t>
      </w:r>
      <w:r w:rsidR="007828A0">
        <w:t>require</w:t>
      </w:r>
      <w:r w:rsidR="0036049C">
        <w:t>s</w:t>
      </w:r>
      <w:r w:rsidR="007828A0">
        <w:t xml:space="preserve"> </w:t>
      </w:r>
      <w:r w:rsidR="00226796">
        <w:t xml:space="preserve">data where age is cross-classified with </w:t>
      </w:r>
      <w:r w:rsidR="005D09E8">
        <w:t>other socio-demographic</w:t>
      </w:r>
      <w:r w:rsidR="003E22ED">
        <w:t xml:space="preserve"> </w:t>
      </w:r>
      <w:r w:rsidR="00226796">
        <w:t>information.</w:t>
      </w:r>
    </w:p>
    <w:p w14:paraId="11143FB7" w14:textId="49ED8001" w:rsidR="0099044F" w:rsidRDefault="003C0D91" w:rsidP="003C0D91">
      <w:pPr>
        <w:pStyle w:val="CGCNumberedPara"/>
      </w:pPr>
      <w:r>
        <w:t>There have also been concerns raised that offender numbers are not necessarily a good guide to resource use, as different types of offences require different levels of investigation and other resources</w:t>
      </w:r>
      <w:r w:rsidR="0000193F">
        <w:t>.</w:t>
      </w:r>
      <w:r w:rsidR="00573580">
        <w:t xml:space="preserve"> </w:t>
      </w:r>
      <w:r w:rsidR="0000193F">
        <w:t>Additionally,</w:t>
      </w:r>
      <w:r>
        <w:t xml:space="preserve"> </w:t>
      </w:r>
      <w:r w:rsidR="000A48F0">
        <w:t>o</w:t>
      </w:r>
      <w:r w:rsidR="00952B8B">
        <w:t>ffender rates do</w:t>
      </w:r>
      <w:r w:rsidR="00ED46DC">
        <w:t xml:space="preserve"> not</w:t>
      </w:r>
      <w:r w:rsidR="00952B8B">
        <w:t xml:space="preserve"> account </w:t>
      </w:r>
      <w:r w:rsidR="00ED46DC">
        <w:t xml:space="preserve">for </w:t>
      </w:r>
      <w:r w:rsidR="00952B8B">
        <w:t>other criminal-related services police provide that do not result in a person being taken into custody.</w:t>
      </w:r>
    </w:p>
    <w:p w14:paraId="76968C9B" w14:textId="285D7F56" w:rsidR="00ED46DC" w:rsidRDefault="0099044F" w:rsidP="003C0D91">
      <w:pPr>
        <w:pStyle w:val="CGCNumberedPara"/>
      </w:pPr>
      <w:r>
        <w:t xml:space="preserve">While </w:t>
      </w:r>
      <w:r w:rsidR="0036049C">
        <w:t>staff</w:t>
      </w:r>
      <w:r>
        <w:t xml:space="preserve"> consider the current assessment to b</w:t>
      </w:r>
      <w:r w:rsidR="001477DE">
        <w:t>e relatively reliable, in this R</w:t>
      </w:r>
      <w:r>
        <w:t xml:space="preserve">eview we </w:t>
      </w:r>
      <w:r w:rsidR="000B0518">
        <w:t>aim</w:t>
      </w:r>
      <w:r>
        <w:t xml:space="preserve"> to find a </w:t>
      </w:r>
      <w:r w:rsidR="0036049C">
        <w:t xml:space="preserve">revised </w:t>
      </w:r>
      <w:r>
        <w:t xml:space="preserve">method which reduces </w:t>
      </w:r>
      <w:r w:rsidR="000A48F0">
        <w:t xml:space="preserve">any </w:t>
      </w:r>
      <w:r>
        <w:t xml:space="preserve">potential biases introduced </w:t>
      </w:r>
      <w:r w:rsidR="000B0518">
        <w:t xml:space="preserve">by </w:t>
      </w:r>
      <w:r>
        <w:t xml:space="preserve">the above issues </w:t>
      </w:r>
      <w:r w:rsidR="000B0518">
        <w:t xml:space="preserve">to </w:t>
      </w:r>
      <w:r>
        <w:t xml:space="preserve">the current approach. </w:t>
      </w:r>
    </w:p>
    <w:p w14:paraId="193BF325" w14:textId="0CAF34F1" w:rsidR="00483747" w:rsidRDefault="00483747" w:rsidP="00483747">
      <w:pPr>
        <w:pStyle w:val="Heading5"/>
      </w:pPr>
      <w:r>
        <w:t>Assess</w:t>
      </w:r>
      <w:r w:rsidR="005D26E4">
        <w:t>ed</w:t>
      </w:r>
      <w:r>
        <w:t xml:space="preserve"> number of </w:t>
      </w:r>
      <w:r w:rsidR="0000193F">
        <w:t>offences</w:t>
      </w:r>
    </w:p>
    <w:p w14:paraId="2BEBA04B" w14:textId="7A949DF9" w:rsidR="00483747" w:rsidRDefault="00483747" w:rsidP="00483747">
      <w:pPr>
        <w:pStyle w:val="CGCNumberedPara"/>
        <w:numPr>
          <w:ilvl w:val="1"/>
          <w:numId w:val="3"/>
        </w:numPr>
      </w:pPr>
      <w:r>
        <w:t>The number of offen</w:t>
      </w:r>
      <w:r w:rsidR="0000193F">
        <w:t>c</w:t>
      </w:r>
      <w:r>
        <w:t xml:space="preserve">es for each State is assessed </w:t>
      </w:r>
      <w:r w:rsidR="0000193F">
        <w:t xml:space="preserve">based on the offender’s </w:t>
      </w:r>
      <w:r w:rsidR="00814428">
        <w:t>I</w:t>
      </w:r>
      <w:r>
        <w:t xml:space="preserve">ndigeneity, </w:t>
      </w:r>
      <w:r w:rsidR="00B85F0B">
        <w:t>age</w:t>
      </w:r>
      <w:r w:rsidR="000B0518">
        <w:t>,</w:t>
      </w:r>
      <w:r w:rsidR="00B85F0B">
        <w:t xml:space="preserve"> and the </w:t>
      </w:r>
      <w:r w:rsidR="005D26E4">
        <w:t>remoteness</w:t>
      </w:r>
      <w:r w:rsidR="00B85F0B">
        <w:t xml:space="preserve"> and</w:t>
      </w:r>
      <w:r w:rsidR="005D26E4">
        <w:t xml:space="preserve"> </w:t>
      </w:r>
      <w:r>
        <w:t xml:space="preserve">socio-economic status </w:t>
      </w:r>
      <w:r w:rsidR="00B85F0B">
        <w:t>based on their residential address</w:t>
      </w:r>
      <w:r>
        <w:t>.</w:t>
      </w:r>
    </w:p>
    <w:p w14:paraId="09712C86" w14:textId="1F36CB7D" w:rsidR="00483747" w:rsidRDefault="00483747" w:rsidP="00483747">
      <w:pPr>
        <w:pStyle w:val="CGCNumberedPara"/>
        <w:numPr>
          <w:ilvl w:val="1"/>
          <w:numId w:val="3"/>
        </w:numPr>
      </w:pPr>
      <w:r>
        <w:t xml:space="preserve">Indigenous offence rates are </w:t>
      </w:r>
      <w:r w:rsidR="002C755B">
        <w:t xml:space="preserve">nine </w:t>
      </w:r>
      <w:r>
        <w:t>times that of the non-Indigenous population and are a significant factor in estimating offen</w:t>
      </w:r>
      <w:r w:rsidR="0000193F">
        <w:t>c</w:t>
      </w:r>
      <w:r>
        <w:t>e numbers</w:t>
      </w:r>
      <w:r w:rsidR="002C755B">
        <w:rPr>
          <w:rStyle w:val="FootnoteReference"/>
        </w:rPr>
        <w:footnoteReference w:id="2"/>
      </w:r>
      <w:r>
        <w:t>.</w:t>
      </w:r>
      <w:r w:rsidR="005D26E4">
        <w:t xml:space="preserve"> Differences in offen</w:t>
      </w:r>
      <w:r w:rsidR="0000193F">
        <w:t>ce</w:t>
      </w:r>
      <w:r w:rsidR="005D26E4">
        <w:t xml:space="preserve"> rates by socio-economic status are also very significant, as shown in </w:t>
      </w:r>
      <w:r w:rsidR="005D26E4">
        <w:fldChar w:fldCharType="begin"/>
      </w:r>
      <w:r w:rsidR="005D26E4">
        <w:instrText xml:space="preserve"> REF _Ref508098302 \h </w:instrText>
      </w:r>
      <w:r w:rsidR="005D26E4">
        <w:fldChar w:fldCharType="separate"/>
      </w:r>
      <w:r w:rsidR="00422CFD">
        <w:t xml:space="preserve">Figure </w:t>
      </w:r>
      <w:r w:rsidR="00422CFD">
        <w:rPr>
          <w:noProof/>
        </w:rPr>
        <w:t>1</w:t>
      </w:r>
      <w:r w:rsidR="005D26E4">
        <w:fldChar w:fldCharType="end"/>
      </w:r>
      <w:r w:rsidR="005D26E4">
        <w:t>.</w:t>
      </w:r>
    </w:p>
    <w:p w14:paraId="0BD2C085" w14:textId="0C93E4B0" w:rsidR="005D26E4" w:rsidRDefault="005D26E4" w:rsidP="005D26E4">
      <w:pPr>
        <w:pStyle w:val="Caption"/>
        <w:ind w:left="0" w:firstLine="0"/>
      </w:pPr>
      <w:bookmarkStart w:id="30" w:name="_Ref508098302"/>
      <w:r>
        <w:t xml:space="preserve">Figure </w:t>
      </w:r>
      <w:r w:rsidR="007D28FC">
        <w:fldChar w:fldCharType="begin"/>
      </w:r>
      <w:r w:rsidR="007D28FC">
        <w:instrText xml:space="preserve"> SEQ Figure \* </w:instrText>
      </w:r>
      <w:r w:rsidR="007D28FC">
        <w:instrText xml:space="preserve">ARABIC </w:instrText>
      </w:r>
      <w:r w:rsidR="007D28FC">
        <w:fldChar w:fldCharType="separate"/>
      </w:r>
      <w:r w:rsidR="00422CFD">
        <w:rPr>
          <w:noProof/>
        </w:rPr>
        <w:t>1</w:t>
      </w:r>
      <w:r w:rsidR="007D28FC">
        <w:rPr>
          <w:noProof/>
        </w:rPr>
        <w:fldChar w:fldCharType="end"/>
      </w:r>
      <w:bookmarkEnd w:id="30"/>
      <w:r>
        <w:tab/>
        <w:t>Non-Indigenous offen</w:t>
      </w:r>
      <w:r w:rsidR="0000193F">
        <w:t>ce</w:t>
      </w:r>
      <w:r>
        <w:t xml:space="preserve"> rate, 2016-17</w:t>
      </w:r>
    </w:p>
    <w:p w14:paraId="2F3059ED" w14:textId="77777777" w:rsidR="005D26E4" w:rsidRDefault="005D26E4" w:rsidP="005D26E4">
      <w:pPr>
        <w:pStyle w:val="ListParagraph"/>
        <w:ind w:left="0"/>
      </w:pPr>
      <w:r w:rsidRPr="001C11A4">
        <w:rPr>
          <w:noProof/>
          <w:lang w:eastAsia="en-AU"/>
        </w:rPr>
        <w:drawing>
          <wp:inline distT="0" distB="0" distL="0" distR="0" wp14:anchorId="4D97C5BE" wp14:editId="25F4004A">
            <wp:extent cx="5610225" cy="3638550"/>
            <wp:effectExtent l="0" t="0" r="9525" b="0"/>
            <wp:docPr id="7" name="Picture 7" descr="This figure shows the 2016-17 Non-Indigenous offence rate for each NISEIFA quintle for each State and for Total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0225" cy="3638550"/>
                    </a:xfrm>
                    <a:prstGeom prst="rect">
                      <a:avLst/>
                    </a:prstGeom>
                    <a:noFill/>
                    <a:ln>
                      <a:noFill/>
                    </a:ln>
                  </pic:spPr>
                </pic:pic>
              </a:graphicData>
            </a:graphic>
          </wp:inline>
        </w:drawing>
      </w:r>
    </w:p>
    <w:p w14:paraId="1A11D052" w14:textId="153C6952" w:rsidR="00A44A25" w:rsidRDefault="00A44A25" w:rsidP="005D26E4">
      <w:pPr>
        <w:pStyle w:val="CGCTableFootnote"/>
        <w:ind w:left="0" w:firstLine="0"/>
      </w:pPr>
      <w:r>
        <w:t xml:space="preserve">Note: </w:t>
      </w:r>
      <w:r>
        <w:tab/>
      </w:r>
      <w:r w:rsidR="00B83EF1">
        <w:t>V</w:t>
      </w:r>
      <w:r>
        <w:t xml:space="preserve">ictoria and Queensland data </w:t>
      </w:r>
      <w:r w:rsidR="00414C26">
        <w:t xml:space="preserve">have not </w:t>
      </w:r>
      <w:r>
        <w:t xml:space="preserve">yet </w:t>
      </w:r>
      <w:r w:rsidR="00414C26">
        <w:t xml:space="preserve">been </w:t>
      </w:r>
      <w:r>
        <w:t>analysed</w:t>
      </w:r>
      <w:r w:rsidR="00414C26">
        <w:t>.</w:t>
      </w:r>
    </w:p>
    <w:p w14:paraId="053ABC5D" w14:textId="60379833" w:rsidR="00B83EF1" w:rsidRPr="00B83EF1" w:rsidRDefault="00B83EF1" w:rsidP="00B83EF1">
      <w:pPr>
        <w:pStyle w:val="CGCTableFootnote"/>
      </w:pPr>
      <w:r>
        <w:tab/>
        <w:t>Irregular results for ACT and NT partially relate to the small population base of non-Indigenous persons i</w:t>
      </w:r>
      <w:r w:rsidR="001477DE">
        <w:t>n</w:t>
      </w:r>
      <w:r>
        <w:t xml:space="preserve"> disadvantaged areas.</w:t>
      </w:r>
    </w:p>
    <w:p w14:paraId="273DE04D" w14:textId="3690FCE2" w:rsidR="005D26E4" w:rsidRDefault="005D26E4" w:rsidP="005D26E4">
      <w:pPr>
        <w:pStyle w:val="CGCTableFootnote"/>
        <w:ind w:left="0" w:firstLine="0"/>
      </w:pPr>
      <w:r>
        <w:t>Source:</w:t>
      </w:r>
      <w:r w:rsidR="00A44A25">
        <w:tab/>
      </w:r>
      <w:r>
        <w:t>Commission calculation using State provided data.</w:t>
      </w:r>
    </w:p>
    <w:p w14:paraId="14C3C553" w14:textId="08F5E904" w:rsidR="0087729F" w:rsidRDefault="0087729F" w:rsidP="004E29C5">
      <w:pPr>
        <w:pStyle w:val="CGCNumberedPara"/>
      </w:pPr>
      <w:r>
        <w:t>These data are based on place of residence of</w:t>
      </w:r>
      <w:r w:rsidR="0000193F">
        <w:t xml:space="preserve"> person</w:t>
      </w:r>
      <w:r w:rsidR="00793C43">
        <w:t>s</w:t>
      </w:r>
      <w:r w:rsidR="0000193F">
        <w:t xml:space="preserve"> who committed the offence</w:t>
      </w:r>
      <w:r>
        <w:t xml:space="preserve">, not the place of the offence, as the socio-economic status of the offender relates to where the person lives. </w:t>
      </w:r>
    </w:p>
    <w:p w14:paraId="3133AB2F" w14:textId="1E5ED889" w:rsidR="004E29C5" w:rsidRDefault="004E29C5" w:rsidP="004E29C5">
      <w:pPr>
        <w:pStyle w:val="CGCNumberedPara"/>
      </w:pPr>
      <w:r>
        <w:t>Using these data it is possib</w:t>
      </w:r>
      <w:r w:rsidR="00896817">
        <w:t>le to calculate assessed offen</w:t>
      </w:r>
      <w:r w:rsidR="0000193F">
        <w:t xml:space="preserve">ces </w:t>
      </w:r>
      <w:r>
        <w:t xml:space="preserve">in each State. The exact specifications of this model have not yet been </w:t>
      </w:r>
      <w:r w:rsidR="000A48F0">
        <w:t>determined</w:t>
      </w:r>
      <w:r>
        <w:t xml:space="preserve">. </w:t>
      </w:r>
    </w:p>
    <w:p w14:paraId="2005B891" w14:textId="78753F99" w:rsidR="00483747" w:rsidRDefault="00483747" w:rsidP="00483747">
      <w:pPr>
        <w:pStyle w:val="Heading5"/>
      </w:pPr>
      <w:r>
        <w:t xml:space="preserve">Costs per </w:t>
      </w:r>
      <w:r w:rsidR="0000193F">
        <w:t>offence</w:t>
      </w:r>
    </w:p>
    <w:p w14:paraId="16865271" w14:textId="0A7FE20A" w:rsidR="00483747" w:rsidRDefault="00483747" w:rsidP="00483747">
      <w:pPr>
        <w:pStyle w:val="CGCNumberedPara"/>
        <w:numPr>
          <w:ilvl w:val="1"/>
          <w:numId w:val="3"/>
        </w:numPr>
      </w:pPr>
      <w:r>
        <w:t>Police costs data were requested from every State at a station administrative level</w:t>
      </w:r>
      <w:r w:rsidR="00910267">
        <w:t xml:space="preserve">. </w:t>
      </w:r>
      <w:r w:rsidR="004E29C5">
        <w:t>Centralised costs, such as those for regions, districts or State</w:t>
      </w:r>
      <w:r w:rsidR="000B0518">
        <w:t>-</w:t>
      </w:r>
      <w:r w:rsidR="004E29C5">
        <w:t>wide</w:t>
      </w:r>
      <w:r w:rsidR="000B0518">
        <w:t xml:space="preserve">, </w:t>
      </w:r>
      <w:r>
        <w:t xml:space="preserve">were </w:t>
      </w:r>
      <w:r w:rsidR="004E29C5">
        <w:t>allocated to the finest level of cost unit for each State in proportion to expenses or staff that were available at that level.</w:t>
      </w:r>
    </w:p>
    <w:p w14:paraId="282B7C4E" w14:textId="19D49600" w:rsidR="00205719" w:rsidRDefault="000A48F0" w:rsidP="00483747">
      <w:pPr>
        <w:pStyle w:val="CGCNumberedPara"/>
        <w:numPr>
          <w:ilvl w:val="1"/>
          <w:numId w:val="3"/>
        </w:numPr>
      </w:pPr>
      <w:r>
        <w:t>States also provided data on o</w:t>
      </w:r>
      <w:r w:rsidR="00483747">
        <w:t>ffence</w:t>
      </w:r>
      <w:r w:rsidR="004E29C5">
        <w:t xml:space="preserve">s committed in </w:t>
      </w:r>
      <w:r w:rsidR="00483747">
        <w:t>each of these police administrative units</w:t>
      </w:r>
      <w:r w:rsidR="00910267">
        <w:t xml:space="preserve">. </w:t>
      </w:r>
      <w:r w:rsidR="00483747">
        <w:t xml:space="preserve">From </w:t>
      </w:r>
      <w:r w:rsidR="00AB7102">
        <w:t>these</w:t>
      </w:r>
      <w:r w:rsidR="00483747">
        <w:t xml:space="preserve"> a cost per offence was calculated</w:t>
      </w:r>
      <w:r w:rsidR="00205719">
        <w:t xml:space="preserve">. </w:t>
      </w:r>
    </w:p>
    <w:p w14:paraId="6B99A044" w14:textId="2FE6C477" w:rsidR="00205719" w:rsidRDefault="00B85F0B" w:rsidP="00483747">
      <w:pPr>
        <w:pStyle w:val="CGCNumberedPara"/>
        <w:numPr>
          <w:ilvl w:val="1"/>
          <w:numId w:val="3"/>
        </w:numPr>
      </w:pPr>
      <w:r>
        <w:t xml:space="preserve">The </w:t>
      </w:r>
      <w:r w:rsidR="00205719">
        <w:t>definition</w:t>
      </w:r>
      <w:r>
        <w:t xml:space="preserve"> of offence used in both </w:t>
      </w:r>
      <w:r w:rsidR="002C2F68">
        <w:t xml:space="preserve">assessing the number of offences </w:t>
      </w:r>
      <w:r>
        <w:t>and</w:t>
      </w:r>
      <w:r w:rsidR="002C2F68">
        <w:t xml:space="preserve"> assessing</w:t>
      </w:r>
      <w:r>
        <w:t xml:space="preserve"> the cost per offence are the same. However, the attributes of that offence </w:t>
      </w:r>
      <w:r w:rsidR="00205719">
        <w:t xml:space="preserve">that are </w:t>
      </w:r>
      <w:r>
        <w:t xml:space="preserve">analysed differ. In the assessed number of offences, </w:t>
      </w:r>
      <w:r w:rsidR="00617CE0">
        <w:t>staff</w:t>
      </w:r>
      <w:r>
        <w:t xml:space="preserve"> use the </w:t>
      </w:r>
      <w:r w:rsidR="00205719">
        <w:t xml:space="preserve">remoteness and </w:t>
      </w:r>
      <w:r>
        <w:t>SES status of the area the offender lived</w:t>
      </w:r>
      <w:r w:rsidR="00205719">
        <w:t>. I</w:t>
      </w:r>
      <w:r>
        <w:t xml:space="preserve">n the cost per offence, </w:t>
      </w:r>
      <w:r w:rsidR="00617CE0">
        <w:t xml:space="preserve">we use </w:t>
      </w:r>
      <w:r>
        <w:t xml:space="preserve">the attributes of the area where the offence </w:t>
      </w:r>
      <w:r w:rsidR="00205719">
        <w:t xml:space="preserve">actually </w:t>
      </w:r>
      <w:r>
        <w:t xml:space="preserve">occurred. </w:t>
      </w:r>
    </w:p>
    <w:p w14:paraId="3A1582A2" w14:textId="518FEAA9" w:rsidR="00483747" w:rsidRDefault="005D26E4" w:rsidP="00483747">
      <w:pPr>
        <w:pStyle w:val="CGCNumberedPara"/>
        <w:numPr>
          <w:ilvl w:val="1"/>
          <w:numId w:val="3"/>
        </w:numPr>
      </w:pPr>
      <w:r>
        <w:t xml:space="preserve">The variation in cost per offence across New South Wales is shown in </w:t>
      </w:r>
      <w:r>
        <w:fldChar w:fldCharType="begin"/>
      </w:r>
      <w:r>
        <w:instrText xml:space="preserve"> REF _Ref508122021 \h </w:instrText>
      </w:r>
      <w:r>
        <w:fldChar w:fldCharType="separate"/>
      </w:r>
      <w:r w:rsidR="00422CFD">
        <w:t xml:space="preserve">Figure </w:t>
      </w:r>
      <w:r w:rsidR="00422CFD">
        <w:rPr>
          <w:noProof/>
        </w:rPr>
        <w:t>2</w:t>
      </w:r>
      <w:r>
        <w:fldChar w:fldCharType="end"/>
      </w:r>
      <w:r>
        <w:t>. A number of features are evident from this map.</w:t>
      </w:r>
    </w:p>
    <w:p w14:paraId="5DBADE6E" w14:textId="0B8B3EF7" w:rsidR="005D26E4" w:rsidRDefault="005D26E4" w:rsidP="005D26E4">
      <w:pPr>
        <w:pStyle w:val="CGCBulletlist"/>
      </w:pPr>
      <w:r>
        <w:t xml:space="preserve">Costs </w:t>
      </w:r>
      <w:r w:rsidR="00AB7102">
        <w:t xml:space="preserve">per offence </w:t>
      </w:r>
      <w:r>
        <w:t>in remote areas are generally higher than in more accessible areas.</w:t>
      </w:r>
    </w:p>
    <w:p w14:paraId="35ABC664" w14:textId="62E76B08" w:rsidR="005D26E4" w:rsidRDefault="005D26E4" w:rsidP="005D26E4">
      <w:pPr>
        <w:pStyle w:val="CGCBulletlist"/>
      </w:pPr>
      <w:r>
        <w:t>Costs in affluent suburbs of Sydney are very high, presumably reflecting a level of community policing but relatively low levels of crime.</w:t>
      </w:r>
    </w:p>
    <w:p w14:paraId="3BACD700" w14:textId="17A905E1" w:rsidR="005D26E4" w:rsidRDefault="005D26E4" w:rsidP="005D26E4">
      <w:pPr>
        <w:pStyle w:val="Caption"/>
        <w:ind w:left="0" w:firstLine="0"/>
      </w:pPr>
      <w:bookmarkStart w:id="31" w:name="_Ref508122021"/>
      <w:r>
        <w:t xml:space="preserve">Figure </w:t>
      </w:r>
      <w:r w:rsidR="007D28FC">
        <w:fldChar w:fldCharType="begin"/>
      </w:r>
      <w:r w:rsidR="007D28FC">
        <w:instrText xml:space="preserve"> SEQ Figure \* ARABIC </w:instrText>
      </w:r>
      <w:r w:rsidR="007D28FC">
        <w:fldChar w:fldCharType="separate"/>
      </w:r>
      <w:r w:rsidR="00422CFD">
        <w:rPr>
          <w:noProof/>
        </w:rPr>
        <w:t>2</w:t>
      </w:r>
      <w:r w:rsidR="007D28FC">
        <w:rPr>
          <w:noProof/>
        </w:rPr>
        <w:fldChar w:fldCharType="end"/>
      </w:r>
      <w:bookmarkEnd w:id="31"/>
      <w:r>
        <w:tab/>
        <w:t>Cost per offence,</w:t>
      </w:r>
      <w:r w:rsidR="002C2F68">
        <w:t xml:space="preserve"> New South Wales,</w:t>
      </w:r>
      <w:r>
        <w:t xml:space="preserve"> 2016-17</w:t>
      </w:r>
    </w:p>
    <w:p w14:paraId="70C0EB65" w14:textId="1AED7B50" w:rsidR="005D26E4" w:rsidRDefault="005D26E4" w:rsidP="005D26E4">
      <w:pPr>
        <w:pStyle w:val="ListParagraph"/>
        <w:ind w:left="0"/>
      </w:pPr>
      <w:r>
        <w:rPr>
          <w:noProof/>
          <w:lang w:eastAsia="en-AU"/>
        </w:rPr>
        <w:drawing>
          <wp:inline distT="0" distB="0" distL="0" distR="0" wp14:anchorId="34137E13" wp14:editId="23127874">
            <wp:extent cx="5683885" cy="3927475"/>
            <wp:effectExtent l="0" t="0" r="0" b="0"/>
            <wp:docPr id="8" name="Picture 8" descr="This figure is a map of NSW showing cost per offence for different regions of New South Wales,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t per district layout.png"/>
                    <pic:cNvPicPr/>
                  </pic:nvPicPr>
                  <pic:blipFill>
                    <a:blip r:embed="rId22">
                      <a:extLst>
                        <a:ext uri="{28A0092B-C50C-407E-A947-70E740481C1C}">
                          <a14:useLocalDpi xmlns:a14="http://schemas.microsoft.com/office/drawing/2010/main" val="0"/>
                        </a:ext>
                      </a:extLst>
                    </a:blip>
                    <a:stretch>
                      <a:fillRect/>
                    </a:stretch>
                  </pic:blipFill>
                  <pic:spPr>
                    <a:xfrm>
                      <a:off x="0" y="0"/>
                      <a:ext cx="5683885" cy="3927475"/>
                    </a:xfrm>
                    <a:prstGeom prst="rect">
                      <a:avLst/>
                    </a:prstGeom>
                  </pic:spPr>
                </pic:pic>
              </a:graphicData>
            </a:graphic>
          </wp:inline>
        </w:drawing>
      </w:r>
    </w:p>
    <w:p w14:paraId="08D87816" w14:textId="77777777" w:rsidR="001E2CEB" w:rsidRDefault="001E2CEB" w:rsidP="001E2CEB">
      <w:pPr>
        <w:pStyle w:val="CGCTableFootnote"/>
        <w:ind w:left="0" w:firstLine="0"/>
      </w:pPr>
      <w:r>
        <w:t>Source:</w:t>
      </w:r>
      <w:r>
        <w:tab/>
        <w:t>Commission calculation using State provided data.</w:t>
      </w:r>
    </w:p>
    <w:p w14:paraId="49973E0D" w14:textId="246F5BC4" w:rsidR="00483747" w:rsidRDefault="000A48F0" w:rsidP="00483747">
      <w:pPr>
        <w:pStyle w:val="CGCNumberedPara"/>
        <w:numPr>
          <w:ilvl w:val="1"/>
          <w:numId w:val="3"/>
        </w:numPr>
      </w:pPr>
      <w:r>
        <w:t>E</w:t>
      </w:r>
      <w:r w:rsidR="00483747">
        <w:t xml:space="preserve">ach of these administrative units were reviewed for remoteness, </w:t>
      </w:r>
      <w:r w:rsidR="00D84746">
        <w:t>I</w:t>
      </w:r>
      <w:r w:rsidR="00483747">
        <w:t>ndigeneity, socio-economic status and population size to determine if any of these characteristics had a bearing on cost per offen</w:t>
      </w:r>
      <w:r w:rsidR="00626B8C">
        <w:t>ce</w:t>
      </w:r>
      <w:r w:rsidR="00483747">
        <w:t xml:space="preserve"> between the different administrative units.</w:t>
      </w:r>
      <w:r w:rsidR="0087729F">
        <w:t xml:space="preserve"> </w:t>
      </w:r>
      <w:r w:rsidR="0047529E">
        <w:t>T</w:t>
      </w:r>
      <w:r w:rsidR="0087729F">
        <w:t>he socio-demographic attributes of the area, such as Indigeneity, are b</w:t>
      </w:r>
      <w:r>
        <w:t>ased on the resident</w:t>
      </w:r>
      <w:r w:rsidR="0087729F">
        <w:t xml:space="preserve"> population. </w:t>
      </w:r>
    </w:p>
    <w:p w14:paraId="15A52296" w14:textId="291DA400" w:rsidR="004E29C5" w:rsidRDefault="00617CE0" w:rsidP="004E29C5">
      <w:pPr>
        <w:pStyle w:val="CGCNumberedPara"/>
      </w:pPr>
      <w:r>
        <w:t>D</w:t>
      </w:r>
      <w:r w:rsidR="004E29C5">
        <w:t xml:space="preserve">ata from New South Wales, Western Australia and the Northern Territory, </w:t>
      </w:r>
      <w:r>
        <w:t>show</w:t>
      </w:r>
      <w:r w:rsidR="004E29C5">
        <w:t xml:space="preserve"> three significant relationships: </w:t>
      </w:r>
    </w:p>
    <w:p w14:paraId="796B28E2" w14:textId="32064BF6" w:rsidR="00483747" w:rsidRDefault="004E29C5" w:rsidP="004E29C5">
      <w:pPr>
        <w:pStyle w:val="CGCBulletlist"/>
      </w:pPr>
      <w:r>
        <w:t xml:space="preserve">the </w:t>
      </w:r>
      <w:r w:rsidR="00483747">
        <w:t xml:space="preserve">higher </w:t>
      </w:r>
      <w:r>
        <w:t xml:space="preserve">the </w:t>
      </w:r>
      <w:r w:rsidR="00483747">
        <w:t xml:space="preserve">proportion of </w:t>
      </w:r>
      <w:r w:rsidR="00022D84">
        <w:t>I</w:t>
      </w:r>
      <w:r w:rsidR="00483747">
        <w:t xml:space="preserve">ndigenous persons in an area </w:t>
      </w:r>
      <w:r>
        <w:t xml:space="preserve">the </w:t>
      </w:r>
      <w:r w:rsidR="00483747">
        <w:t>lower the cost per offence</w:t>
      </w:r>
    </w:p>
    <w:p w14:paraId="4981D138" w14:textId="2B22B866" w:rsidR="004E29C5" w:rsidRDefault="00483747" w:rsidP="00483747">
      <w:pPr>
        <w:pStyle w:val="CGCBulletlist"/>
        <w:numPr>
          <w:ilvl w:val="0"/>
          <w:numId w:val="1"/>
        </w:numPr>
        <w:tabs>
          <w:tab w:val="clear" w:pos="927"/>
        </w:tabs>
        <w:ind w:left="1134" w:hanging="567"/>
      </w:pPr>
      <w:r>
        <w:t>the cost per offence increase</w:t>
      </w:r>
      <w:r w:rsidR="004E29C5">
        <w:t>s</w:t>
      </w:r>
      <w:r>
        <w:t xml:space="preserve"> with remoteness</w:t>
      </w:r>
    </w:p>
    <w:p w14:paraId="2BF235C6" w14:textId="4ACA4DD3" w:rsidR="00BD02C2" w:rsidRDefault="000B0518" w:rsidP="004E29C5">
      <w:pPr>
        <w:pStyle w:val="CGCBulletlist"/>
        <w:numPr>
          <w:ilvl w:val="0"/>
          <w:numId w:val="1"/>
        </w:numPr>
        <w:tabs>
          <w:tab w:val="clear" w:pos="927"/>
        </w:tabs>
        <w:ind w:left="1134" w:hanging="567"/>
      </w:pPr>
      <w:r>
        <w:t>a</w:t>
      </w:r>
      <w:r w:rsidR="00BD02C2">
        <w:t xml:space="preserve">dministrative areas with large populations have a lower cost per offence than those with small populations. </w:t>
      </w:r>
    </w:p>
    <w:p w14:paraId="44D9C737" w14:textId="5F2F791C" w:rsidR="00BD02C2" w:rsidRPr="0047529E" w:rsidRDefault="00022D84" w:rsidP="0047529E">
      <w:pPr>
        <w:pStyle w:val="CGCNumberedPara"/>
      </w:pPr>
      <w:r w:rsidRPr="0047529E">
        <w:t xml:space="preserve">The data from these States </w:t>
      </w:r>
      <w:r w:rsidR="00BD02C2" w:rsidRPr="0047529E">
        <w:t>suggest that</w:t>
      </w:r>
      <w:r w:rsidRPr="0047529E">
        <w:t xml:space="preserve">, subject to </w:t>
      </w:r>
      <w:r w:rsidR="00C73291" w:rsidRPr="0047529E">
        <w:t xml:space="preserve">variations </w:t>
      </w:r>
      <w:r w:rsidRPr="0047529E">
        <w:t xml:space="preserve">due to </w:t>
      </w:r>
      <w:r w:rsidR="00C73291" w:rsidRPr="0047529E">
        <w:t>remoteness and population size, t</w:t>
      </w:r>
      <w:r w:rsidR="00BD02C2" w:rsidRPr="0047529E">
        <w:t xml:space="preserve">he cost per </w:t>
      </w:r>
      <w:r w:rsidR="00C73291" w:rsidRPr="0047529E">
        <w:t xml:space="preserve">Indigenous offence </w:t>
      </w:r>
      <w:r w:rsidR="00BD02C2" w:rsidRPr="0047529E">
        <w:t xml:space="preserve">is only half </w:t>
      </w:r>
      <w:r w:rsidR="00C73291" w:rsidRPr="0047529E">
        <w:t>the cost per non-Indigenous offence</w:t>
      </w:r>
      <w:r w:rsidR="00BD02C2" w:rsidRPr="0047529E">
        <w:t xml:space="preserve">. </w:t>
      </w:r>
      <w:r w:rsidRPr="0047529E">
        <w:t xml:space="preserve">That is, </w:t>
      </w:r>
      <w:r w:rsidR="000A48F0" w:rsidRPr="0047529E">
        <w:t xml:space="preserve">while the Indigenous offence rate is 9 times higher than the non-Indigenous offence rate, </w:t>
      </w:r>
      <w:r w:rsidR="00FC3722" w:rsidRPr="0047529E">
        <w:t xml:space="preserve">total </w:t>
      </w:r>
      <w:r w:rsidR="00BD02C2" w:rsidRPr="0047529E">
        <w:t>police spending</w:t>
      </w:r>
      <w:r w:rsidR="00FC3722" w:rsidRPr="0047529E">
        <w:t xml:space="preserve"> </w:t>
      </w:r>
      <w:r w:rsidR="00C93C38" w:rsidRPr="0047529E">
        <w:t xml:space="preserve">per capita for the Indigenous population </w:t>
      </w:r>
      <w:r w:rsidR="00FC3722" w:rsidRPr="0047529E">
        <w:t>is</w:t>
      </w:r>
      <w:r w:rsidR="00BD02C2" w:rsidRPr="0047529E">
        <w:t xml:space="preserve"> </w:t>
      </w:r>
      <w:r w:rsidRPr="0047529E">
        <w:t xml:space="preserve">only </w:t>
      </w:r>
      <w:r w:rsidR="00BD02C2" w:rsidRPr="0047529E">
        <w:t xml:space="preserve">around 4.5 times that </w:t>
      </w:r>
      <w:r w:rsidR="00C93C38" w:rsidRPr="0047529E">
        <w:t xml:space="preserve">of the </w:t>
      </w:r>
      <w:r w:rsidR="00BD02C2" w:rsidRPr="0047529E">
        <w:t xml:space="preserve">non-Indigenous </w:t>
      </w:r>
      <w:r w:rsidR="00C93C38" w:rsidRPr="0047529E">
        <w:t>population</w:t>
      </w:r>
      <w:r w:rsidR="00BD02C2" w:rsidRPr="0047529E">
        <w:t xml:space="preserve">. </w:t>
      </w:r>
      <w:r w:rsidRPr="0047529E">
        <w:t>However, data from other States will need to be incorporated before the relationship can be fully determined.</w:t>
      </w:r>
    </w:p>
    <w:p w14:paraId="1BF8EB9E" w14:textId="016916A6" w:rsidR="00BD02C2" w:rsidRDefault="00BD02C2" w:rsidP="004E29C5">
      <w:pPr>
        <w:pStyle w:val="CGCNumberedPara"/>
      </w:pPr>
      <w:bookmarkStart w:id="32" w:name="_Ref508881372"/>
      <w:r>
        <w:t xml:space="preserve">In addition to </w:t>
      </w:r>
      <w:r w:rsidR="00C73291">
        <w:t>developing an Indigenous cost weight</w:t>
      </w:r>
      <w:r>
        <w:t>, staff consider that a regional cost assessment can be developed from the data on increasing costs with remoteness, and a service delivery scale assessment can be developed from the relationship with population size.</w:t>
      </w:r>
      <w:bookmarkEnd w:id="32"/>
      <w:r>
        <w:t xml:space="preserve"> </w:t>
      </w:r>
    </w:p>
    <w:p w14:paraId="621671F8" w14:textId="091EDFDB" w:rsidR="00483747" w:rsidRDefault="00022D84" w:rsidP="0087729F">
      <w:pPr>
        <w:pStyle w:val="Heading5"/>
      </w:pPr>
      <w:r>
        <w:t>Proposed approach</w:t>
      </w:r>
    </w:p>
    <w:p w14:paraId="66033773" w14:textId="447D0144" w:rsidR="00044540" w:rsidRDefault="00044540" w:rsidP="00483747">
      <w:pPr>
        <w:pStyle w:val="CGCNumberedPara"/>
        <w:numPr>
          <w:ilvl w:val="1"/>
          <w:numId w:val="3"/>
        </w:numPr>
      </w:pPr>
      <w:r>
        <w:t>The assessed number of offences makes</w:t>
      </w:r>
      <w:r w:rsidR="00BF3F82">
        <w:t xml:space="preserve"> possible</w:t>
      </w:r>
      <w:r>
        <w:t xml:space="preserve"> an SDC based calculation of the relative level of services provided in each State. This use</w:t>
      </w:r>
      <w:r w:rsidR="00793C43">
        <w:t>-</w:t>
      </w:r>
      <w:r>
        <w:t xml:space="preserve">based assessment </w:t>
      </w:r>
      <w:r w:rsidR="00BF3F82">
        <w:t xml:space="preserve">can </w:t>
      </w:r>
      <w:r>
        <w:t xml:space="preserve">then </w:t>
      </w:r>
      <w:r w:rsidR="00BF3F82">
        <w:t xml:space="preserve">be </w:t>
      </w:r>
      <w:r>
        <w:t>adjusted using the cost per offence to allow for different costs in different regional areas and for Indigenous and non-Indigenous offenders.</w:t>
      </w:r>
    </w:p>
    <w:p w14:paraId="7D160924" w14:textId="4D0E260F" w:rsidR="00552426" w:rsidRDefault="00511E93" w:rsidP="00483747">
      <w:pPr>
        <w:pStyle w:val="CGCNumberedPara"/>
        <w:numPr>
          <w:ilvl w:val="1"/>
          <w:numId w:val="3"/>
        </w:numPr>
      </w:pPr>
      <w:r>
        <w:t>The advantage of this approach</w:t>
      </w:r>
      <w:r w:rsidR="00F779BC">
        <w:t xml:space="preserve"> is that </w:t>
      </w:r>
      <w:r w:rsidR="00552426">
        <w:t xml:space="preserve">it </w:t>
      </w:r>
      <w:r w:rsidR="0087729F">
        <w:t>remove</w:t>
      </w:r>
      <w:r w:rsidR="00552426">
        <w:t>s</w:t>
      </w:r>
      <w:r w:rsidR="0087729F">
        <w:t xml:space="preserve"> the reliance on a </w:t>
      </w:r>
      <w:r w:rsidR="00BF3F82">
        <w:t>judgment-</w:t>
      </w:r>
      <w:r w:rsidR="0087729F">
        <w:t>based estimate of the split between community and specialised policing</w:t>
      </w:r>
      <w:r w:rsidR="00F779BC">
        <w:t xml:space="preserve"> as the idea of community policing is inherently captured within the model</w:t>
      </w:r>
      <w:r w:rsidR="00044540">
        <w:t>.</w:t>
      </w:r>
      <w:r w:rsidR="0011375B">
        <w:t xml:space="preserve"> </w:t>
      </w:r>
    </w:p>
    <w:p w14:paraId="21798A53" w14:textId="5E8274CB" w:rsidR="0011375B" w:rsidRDefault="0011375B" w:rsidP="00483747">
      <w:pPr>
        <w:pStyle w:val="CGCNumberedPara"/>
        <w:numPr>
          <w:ilvl w:val="1"/>
          <w:numId w:val="3"/>
        </w:numPr>
      </w:pPr>
      <w:r>
        <w:t xml:space="preserve">The low cost per offence in areas with large Indigenous populations is likely to at least partially reflect that community policing is a smaller proportion of the overall policing task in such areas. </w:t>
      </w:r>
    </w:p>
    <w:p w14:paraId="6516378D" w14:textId="1334C2E4" w:rsidR="00483747" w:rsidRDefault="0011375B" w:rsidP="00977165">
      <w:pPr>
        <w:pStyle w:val="CGCNumberedPara"/>
      </w:pPr>
      <w:r>
        <w:t xml:space="preserve">There is some evidence that certain types of crime, such as domestic violence, are more prevalent in certain types of areas and those crimes are more expensive to police. The proposed approach has the potential to capture such differences, although this influence cannot be separately identified. </w:t>
      </w:r>
    </w:p>
    <w:p w14:paraId="3A258EF7" w14:textId="62D1695D" w:rsidR="00552426" w:rsidRDefault="00770F76" w:rsidP="00770F76">
      <w:pPr>
        <w:pStyle w:val="CGCNumberedPara"/>
      </w:pPr>
      <w:r>
        <w:t>It is not yet clear that the proposed approach can result in a reliable assessment</w:t>
      </w:r>
      <w:r w:rsidR="00450C83">
        <w:t xml:space="preserve">, as staff have not yet fully analysed State data. </w:t>
      </w:r>
    </w:p>
    <w:p w14:paraId="11607D5B" w14:textId="0BD1E8B4" w:rsidR="00770F76" w:rsidRPr="00C21EF9" w:rsidRDefault="00352185" w:rsidP="00770F76">
      <w:pPr>
        <w:pStyle w:val="CGCNumberedPara"/>
      </w:pPr>
      <w:r>
        <w:t>In the event that</w:t>
      </w:r>
      <w:r w:rsidR="00450C83">
        <w:t xml:space="preserve"> </w:t>
      </w:r>
      <w:r w:rsidR="00552426">
        <w:t>the proposed approach cannot result in a reliable assessment</w:t>
      </w:r>
      <w:r w:rsidR="00770F76">
        <w:t>, staff expect to recommend the Commission retain the current approach, possibly with some relatively minor modifications</w:t>
      </w:r>
      <w:r w:rsidR="00984F28">
        <w:t xml:space="preserve"> such as removing the 2007 custody survey, and obtaining all socio-demographic data from a single source. Remoteness may also be included as a socio-demographic variable. </w:t>
      </w:r>
    </w:p>
    <w:tbl>
      <w:tblPr>
        <w:tblW w:w="0" w:type="auto"/>
        <w:tblInd w:w="108" w:type="dxa"/>
        <w:shd w:val="clear" w:color="auto" w:fill="D9F3E6"/>
        <w:tblLook w:val="04A0" w:firstRow="1" w:lastRow="0" w:firstColumn="1" w:lastColumn="0" w:noHBand="0" w:noVBand="1"/>
      </w:tblPr>
      <w:tblGrid>
        <w:gridCol w:w="8931"/>
      </w:tblGrid>
      <w:tr w:rsidR="00B7517F" w:rsidRPr="00E674AF" w14:paraId="4662FA89" w14:textId="77777777" w:rsidTr="00D95EAA">
        <w:tc>
          <w:tcPr>
            <w:tcW w:w="8931" w:type="dxa"/>
            <w:shd w:val="clear" w:color="auto" w:fill="D9F3E6"/>
          </w:tcPr>
          <w:p w14:paraId="250BEB71" w14:textId="1330C3A9" w:rsidR="00B7517F" w:rsidRPr="00E674AF" w:rsidRDefault="00B7517F" w:rsidP="00770F76">
            <w:pPr>
              <w:pStyle w:val="CGCTableHeading"/>
            </w:pPr>
            <w:r w:rsidRPr="00B7517F">
              <w:t>Staff propose to recommend the Commission:</w:t>
            </w:r>
          </w:p>
          <w:p w14:paraId="15E9D37C" w14:textId="2A4AB848" w:rsidR="00DB37C3" w:rsidRPr="00E674AF" w:rsidRDefault="00842A85" w:rsidP="00CF73B5">
            <w:pPr>
              <w:pStyle w:val="CGCBulletlist"/>
              <w:numPr>
                <w:ilvl w:val="0"/>
                <w:numId w:val="1"/>
              </w:numPr>
              <w:tabs>
                <w:tab w:val="clear" w:pos="927"/>
                <w:tab w:val="clear" w:pos="1134"/>
              </w:tabs>
              <w:ind w:left="1134" w:hanging="567"/>
            </w:pPr>
            <w:r>
              <w:t>f</w:t>
            </w:r>
            <w:r w:rsidR="000A48F0">
              <w:t xml:space="preserve">urther develop a model incorporating </w:t>
            </w:r>
            <w:r w:rsidR="00CF73B5">
              <w:t>s</w:t>
            </w:r>
            <w:r w:rsidR="000A48F0">
              <w:t xml:space="preserve">ocio-demographic drivers of offences and geographic based model of cost per offence. </w:t>
            </w:r>
          </w:p>
        </w:tc>
      </w:tr>
    </w:tbl>
    <w:p w14:paraId="5E324657" w14:textId="16F2833E" w:rsidR="00B7517F" w:rsidRDefault="00D846D6" w:rsidP="00B7517F">
      <w:pPr>
        <w:pStyle w:val="Heading4"/>
      </w:pPr>
      <w:bookmarkStart w:id="33" w:name="_Toc511747972"/>
      <w:r>
        <w:t>Courts</w:t>
      </w:r>
      <w:r w:rsidR="007E4312">
        <w:t xml:space="preserve"> and </w:t>
      </w:r>
      <w:r w:rsidR="00C93C38">
        <w:t>legal s</w:t>
      </w:r>
      <w:r w:rsidR="007E4312">
        <w:t>ervices</w:t>
      </w:r>
      <w:bookmarkEnd w:id="33"/>
    </w:p>
    <w:p w14:paraId="49C15903" w14:textId="77777777" w:rsidR="00945D4C" w:rsidRDefault="002D46D8" w:rsidP="00F27DB5">
      <w:pPr>
        <w:pStyle w:val="Heading5"/>
      </w:pPr>
      <w:r>
        <w:t xml:space="preserve">Elements within </w:t>
      </w:r>
      <w:r w:rsidR="00945D4C">
        <w:t>the legal cluster</w:t>
      </w:r>
    </w:p>
    <w:p w14:paraId="1980A707" w14:textId="19DF98C5" w:rsidR="00F14753" w:rsidRDefault="00942A25" w:rsidP="0078274C">
      <w:pPr>
        <w:pStyle w:val="CGCNumberedPara"/>
      </w:pPr>
      <w:r>
        <w:t>W</w:t>
      </w:r>
      <w:r w:rsidR="0009375E">
        <w:t xml:space="preserve">hile GFS assigns $4.1 billion of spending </w:t>
      </w:r>
      <w:r>
        <w:t xml:space="preserve">to </w:t>
      </w:r>
      <w:r w:rsidR="0009375E">
        <w:t xml:space="preserve">Law Courts and Legal </w:t>
      </w:r>
      <w:r>
        <w:t>services,</w:t>
      </w:r>
      <w:r w:rsidR="0009375E">
        <w:t xml:space="preserve"> </w:t>
      </w:r>
      <w:r w:rsidR="00450C83">
        <w:t xml:space="preserve">RoGS </w:t>
      </w:r>
      <w:r w:rsidR="0009375E">
        <w:t xml:space="preserve">estimates that only $1.5 billion is spent on </w:t>
      </w:r>
      <w:r w:rsidR="00CD28A0">
        <w:t>c</w:t>
      </w:r>
      <w:r w:rsidR="0009375E">
        <w:t xml:space="preserve">riminal and </w:t>
      </w:r>
      <w:r w:rsidR="00CD28A0">
        <w:t>c</w:t>
      </w:r>
      <w:r w:rsidR="0009375E">
        <w:t xml:space="preserve">ivil </w:t>
      </w:r>
      <w:r w:rsidR="00CD28A0">
        <w:t>c</w:t>
      </w:r>
      <w:r w:rsidR="0009375E">
        <w:t>ourts</w:t>
      </w:r>
      <w:r w:rsidR="00910267">
        <w:t xml:space="preserve">. </w:t>
      </w:r>
      <w:r>
        <w:t xml:space="preserve">The current approach uses </w:t>
      </w:r>
      <w:r w:rsidR="00CD28A0">
        <w:t>data from</w:t>
      </w:r>
      <w:r w:rsidR="006178FE">
        <w:t xml:space="preserve"> </w:t>
      </w:r>
      <w:r w:rsidR="00CD28A0">
        <w:t>RoGS</w:t>
      </w:r>
      <w:r w:rsidR="006178FE">
        <w:t xml:space="preserve"> </w:t>
      </w:r>
      <w:r w:rsidR="00CD28A0">
        <w:t xml:space="preserve">to estimate </w:t>
      </w:r>
      <w:r>
        <w:t xml:space="preserve">that 60% of the $1.5 billion court expenses are </w:t>
      </w:r>
      <w:r w:rsidR="00CD28A0">
        <w:t>attributable</w:t>
      </w:r>
      <w:r>
        <w:t xml:space="preserve"> to criminal courts and extrapolates this to the $4.1 billion spending </w:t>
      </w:r>
      <w:r w:rsidR="002D46D8">
        <w:t xml:space="preserve">which </w:t>
      </w:r>
      <w:r w:rsidR="000A48F0">
        <w:t xml:space="preserve">as well as </w:t>
      </w:r>
      <w:r w:rsidR="002D46D8">
        <w:t xml:space="preserve">criminal and civil </w:t>
      </w:r>
      <w:r>
        <w:t>courts</w:t>
      </w:r>
      <w:r w:rsidR="002D46D8">
        <w:t xml:space="preserve">, </w:t>
      </w:r>
      <w:r w:rsidR="000A48F0">
        <w:t xml:space="preserve">also includes </w:t>
      </w:r>
      <w:r w:rsidR="0009375E">
        <w:t>legal aid, public prosecution, crown solicitors and defenders, law reform commission</w:t>
      </w:r>
      <w:r w:rsidR="00C11FD1">
        <w:t>s</w:t>
      </w:r>
      <w:r w:rsidR="0009375E">
        <w:t xml:space="preserve">, </w:t>
      </w:r>
      <w:r w:rsidR="002D46D8">
        <w:t>anti-</w:t>
      </w:r>
      <w:r w:rsidR="0009375E">
        <w:t>corruption agencies, public trustees, registrars, tribunals and licensing authorities</w:t>
      </w:r>
      <w:r w:rsidR="00910267">
        <w:t xml:space="preserve">. </w:t>
      </w:r>
    </w:p>
    <w:p w14:paraId="6C0E0590" w14:textId="2E41AC06" w:rsidR="00A56AE1" w:rsidRDefault="00A56AE1" w:rsidP="00F14753">
      <w:pPr>
        <w:pStyle w:val="CGCNumberedPara"/>
      </w:pPr>
      <w:r>
        <w:t xml:space="preserve">Prosecution and </w:t>
      </w:r>
      <w:r w:rsidR="007E025E">
        <w:t>l</w:t>
      </w:r>
      <w:r>
        <w:t xml:space="preserve">egal </w:t>
      </w:r>
      <w:r w:rsidR="007E025E">
        <w:t>a</w:t>
      </w:r>
      <w:r>
        <w:t xml:space="preserve">id work primarily relates to the work of criminal courts. Therefore it is reasonable that this portion of legal costs be assessed on a disability basis in a similar manner to criminal courts. GFS data only allows for separate identification of prosecution and legal aid expenses where these are provided by separate agencies. </w:t>
      </w:r>
    </w:p>
    <w:p w14:paraId="445DE021" w14:textId="25606610" w:rsidR="00A56AE1" w:rsidRDefault="00E02D05" w:rsidP="00F14753">
      <w:pPr>
        <w:pStyle w:val="CGCNumberedPara"/>
      </w:pPr>
      <w:r w:rsidRPr="00087C08">
        <w:t>In 2016-17, direct spending on criminal courts represented 2</w:t>
      </w:r>
      <w:r w:rsidR="00984F28" w:rsidRPr="00087C08">
        <w:t>3</w:t>
      </w:r>
      <w:r w:rsidRPr="00087C08">
        <w:t>% of total State spending on legal services</w:t>
      </w:r>
      <w:r w:rsidR="00A56AE1" w:rsidRPr="00087C08">
        <w:t xml:space="preserve">. GFS data </w:t>
      </w:r>
      <w:r w:rsidR="00266D41" w:rsidRPr="00087C08">
        <w:t>are</w:t>
      </w:r>
      <w:r w:rsidR="00A56AE1" w:rsidRPr="00087C08">
        <w:t xml:space="preserve"> available on spending on agencies which provide support to the criminal court system. </w:t>
      </w:r>
      <w:r w:rsidR="00984F28" w:rsidRPr="00087C08">
        <w:t>Together these represent about 50% of total legal service expenses</w:t>
      </w:r>
      <w:r w:rsidR="00087C08">
        <w:t xml:space="preserve">, </w:t>
      </w:r>
      <w:r w:rsidR="00AA51AB">
        <w:t xml:space="preserve">as </w:t>
      </w:r>
      <w:r w:rsidR="00087C08">
        <w:t xml:space="preserve">shown in </w:t>
      </w:r>
      <w:r w:rsidR="00087C08">
        <w:fldChar w:fldCharType="begin"/>
      </w:r>
      <w:r w:rsidR="00087C08">
        <w:instrText xml:space="preserve"> REF _Ref508897772 \h </w:instrText>
      </w:r>
      <w:r w:rsidR="00087C08">
        <w:fldChar w:fldCharType="separate"/>
      </w:r>
      <w:r w:rsidR="00422CFD">
        <w:t xml:space="preserve">Table </w:t>
      </w:r>
      <w:r w:rsidR="00422CFD">
        <w:rPr>
          <w:noProof/>
        </w:rPr>
        <w:t>7</w:t>
      </w:r>
      <w:r w:rsidR="00087C08">
        <w:fldChar w:fldCharType="end"/>
      </w:r>
      <w:r w:rsidR="00984F28" w:rsidRPr="00087C08">
        <w:t>. However, n</w:t>
      </w:r>
      <w:r w:rsidR="006514CD" w:rsidRPr="00087C08">
        <w:t xml:space="preserve">ot all States provide legal aid </w:t>
      </w:r>
      <w:r w:rsidR="00984F28" w:rsidRPr="00087C08">
        <w:t xml:space="preserve">and </w:t>
      </w:r>
      <w:r w:rsidR="006178FE">
        <w:t>public prosecution services</w:t>
      </w:r>
      <w:r w:rsidR="006178FE" w:rsidRPr="00087C08">
        <w:t xml:space="preserve"> </w:t>
      </w:r>
      <w:r w:rsidR="006514CD" w:rsidRPr="00087C08">
        <w:t>through an independent agency</w:t>
      </w:r>
      <w:r w:rsidR="00087C08">
        <w:t xml:space="preserve"> (which are those expenses captured in the GFS)</w:t>
      </w:r>
      <w:r w:rsidR="00984F28" w:rsidRPr="00087C08">
        <w:t>. A</w:t>
      </w:r>
      <w:r w:rsidRPr="00087C08">
        <w:t xml:space="preserve">ssuming those </w:t>
      </w:r>
      <w:r w:rsidR="00AA51AB">
        <w:t xml:space="preserve">States </w:t>
      </w:r>
      <w:r w:rsidRPr="00087C08">
        <w:t xml:space="preserve">that do not </w:t>
      </w:r>
      <w:r w:rsidR="00AA51AB">
        <w:t xml:space="preserve">provide independent agencies </w:t>
      </w:r>
      <w:r w:rsidRPr="00087C08">
        <w:t xml:space="preserve">spend a similar amount </w:t>
      </w:r>
      <w:r w:rsidR="006178FE">
        <w:t>on these functions</w:t>
      </w:r>
      <w:r w:rsidR="006178FE" w:rsidRPr="00087C08">
        <w:t xml:space="preserve"> </w:t>
      </w:r>
      <w:r w:rsidRPr="00087C08">
        <w:t xml:space="preserve">as those that do, legal aid </w:t>
      </w:r>
      <w:r w:rsidR="00984F28" w:rsidRPr="00087C08">
        <w:t xml:space="preserve">would </w:t>
      </w:r>
      <w:r w:rsidR="00087C08">
        <w:t xml:space="preserve">increase to </w:t>
      </w:r>
      <w:r w:rsidR="00984F28" w:rsidRPr="00087C08">
        <w:t>20</w:t>
      </w:r>
      <w:r w:rsidRPr="00087C08">
        <w:t>% of l</w:t>
      </w:r>
      <w:r w:rsidR="00AA51AB">
        <w:t xml:space="preserve">egal </w:t>
      </w:r>
      <w:r w:rsidRPr="00087C08">
        <w:t>service</w:t>
      </w:r>
      <w:r w:rsidR="00AA51AB">
        <w:t>s</w:t>
      </w:r>
      <w:r w:rsidRPr="00087C08">
        <w:t xml:space="preserve"> expen</w:t>
      </w:r>
      <w:r w:rsidR="00AA51AB">
        <w:t>ses</w:t>
      </w:r>
      <w:r w:rsidRPr="00087C08">
        <w:t xml:space="preserve">, and </w:t>
      </w:r>
      <w:r w:rsidR="00AB7102">
        <w:t>d</w:t>
      </w:r>
      <w:r w:rsidRPr="00087C08">
        <w:t xml:space="preserve">irectors of </w:t>
      </w:r>
      <w:r w:rsidR="00AB7102">
        <w:t>p</w:t>
      </w:r>
      <w:r w:rsidRPr="00087C08">
        <w:t xml:space="preserve">ublic </w:t>
      </w:r>
      <w:r w:rsidR="00AB7102">
        <w:t>p</w:t>
      </w:r>
      <w:r w:rsidRPr="00087C08">
        <w:t>rosecutions</w:t>
      </w:r>
      <w:r w:rsidR="006514CD" w:rsidRPr="00087C08">
        <w:t xml:space="preserve"> </w:t>
      </w:r>
      <w:r w:rsidR="00087C08">
        <w:t>to</w:t>
      </w:r>
      <w:r w:rsidR="00984F28" w:rsidRPr="00087C08">
        <w:t xml:space="preserve"> 9%. </w:t>
      </w:r>
      <w:r w:rsidRPr="00087C08">
        <w:t>T</w:t>
      </w:r>
      <w:r w:rsidR="006514CD" w:rsidRPr="00087C08">
        <w:t>ogether</w:t>
      </w:r>
      <w:r w:rsidR="00984F28" w:rsidRPr="00087C08">
        <w:t xml:space="preserve">, </w:t>
      </w:r>
      <w:r w:rsidR="00087C08">
        <w:t>staff</w:t>
      </w:r>
      <w:r w:rsidR="00984F28" w:rsidRPr="00087C08">
        <w:t xml:space="preserve"> estimate that</w:t>
      </w:r>
      <w:r w:rsidR="00573580" w:rsidRPr="00087C08">
        <w:t xml:space="preserve"> </w:t>
      </w:r>
      <w:r w:rsidR="006514CD" w:rsidRPr="00087C08">
        <w:t>criminal courts and supporting services</w:t>
      </w:r>
      <w:r w:rsidR="00087C08">
        <w:t>, including those police department expenses separately identified as legal services expenses,</w:t>
      </w:r>
      <w:r w:rsidR="006514CD" w:rsidRPr="00087C08">
        <w:t xml:space="preserve"> </w:t>
      </w:r>
      <w:r w:rsidR="00AA51AB">
        <w:t xml:space="preserve">represent </w:t>
      </w:r>
      <w:r w:rsidR="006514CD" w:rsidRPr="00087C08">
        <w:t>a</w:t>
      </w:r>
      <w:r w:rsidR="00AA51AB">
        <w:t>bout</w:t>
      </w:r>
      <w:r w:rsidR="006514CD" w:rsidRPr="00087C08">
        <w:t xml:space="preserve"> </w:t>
      </w:r>
      <w:r w:rsidR="00984F28" w:rsidRPr="00087C08">
        <w:t>57</w:t>
      </w:r>
      <w:r w:rsidR="006514CD" w:rsidRPr="00087C08">
        <w:t>% of total law court and legal services</w:t>
      </w:r>
      <w:r w:rsidR="00AA51AB">
        <w:t xml:space="preserve"> expenses.</w:t>
      </w:r>
      <w:r w:rsidR="00AA51AB">
        <w:rPr>
          <w:rStyle w:val="FootnoteReference"/>
        </w:rPr>
        <w:footnoteReference w:id="3"/>
      </w:r>
      <w:r w:rsidR="00AA51AB">
        <w:t xml:space="preserve"> S</w:t>
      </w:r>
      <w:r w:rsidRPr="00087C08">
        <w:t xml:space="preserve">taff </w:t>
      </w:r>
      <w:r w:rsidR="006178FE">
        <w:t>believe that</w:t>
      </w:r>
      <w:r w:rsidR="006178FE" w:rsidRPr="00087C08">
        <w:t xml:space="preserve"> </w:t>
      </w:r>
      <w:r w:rsidR="00AA51AB">
        <w:t xml:space="preserve">this suggests that </w:t>
      </w:r>
      <w:r w:rsidR="00AA51AB" w:rsidRPr="00087C08">
        <w:t>the differential assessment</w:t>
      </w:r>
      <w:r w:rsidR="00503E93">
        <w:t>/EPC</w:t>
      </w:r>
      <w:r w:rsidR="00AA51AB" w:rsidRPr="00087C08">
        <w:t xml:space="preserve"> </w:t>
      </w:r>
      <w:r w:rsidR="00AA51AB">
        <w:t>proportions (</w:t>
      </w:r>
      <w:r w:rsidR="00503E93">
        <w:t>6</w:t>
      </w:r>
      <w:r w:rsidR="00AA51AB">
        <w:t>0:</w:t>
      </w:r>
      <w:r w:rsidR="00503E93">
        <w:t>4</w:t>
      </w:r>
      <w:r w:rsidR="00AA51AB">
        <w:t>0 respectively)</w:t>
      </w:r>
      <w:r w:rsidR="00AA51AB" w:rsidRPr="00087C08">
        <w:t xml:space="preserve"> </w:t>
      </w:r>
      <w:r w:rsidR="00AA51AB">
        <w:t>need</w:t>
      </w:r>
      <w:r w:rsidR="00AA51AB" w:rsidRPr="00087C08">
        <w:t xml:space="preserve"> not change from </w:t>
      </w:r>
      <w:r w:rsidR="00AA51AB">
        <w:t xml:space="preserve">those applied in </w:t>
      </w:r>
      <w:r w:rsidR="00AA51AB" w:rsidRPr="00087C08">
        <w:t>the 2015 Review</w:t>
      </w:r>
      <w:r w:rsidR="00557174" w:rsidRPr="00087C08">
        <w:t xml:space="preserve">. </w:t>
      </w:r>
    </w:p>
    <w:p w14:paraId="3A2C6AFF" w14:textId="5511867C" w:rsidR="00E1516D" w:rsidRDefault="00E1516D" w:rsidP="00E1516D">
      <w:pPr>
        <w:pStyle w:val="CGCNumberedPara"/>
      </w:pPr>
      <w:r>
        <w:t xml:space="preserve">Staff propose the ‘Courts component’ be renamed the ‘Legal Services component’, to better describe the range of services provided. </w:t>
      </w:r>
    </w:p>
    <w:p w14:paraId="23BA95E4" w14:textId="2887357F" w:rsidR="00984F28" w:rsidRDefault="00984F28" w:rsidP="00984F28">
      <w:pPr>
        <w:pStyle w:val="Caption"/>
      </w:pPr>
      <w:bookmarkStart w:id="34" w:name="_Ref508897772"/>
      <w:r>
        <w:t xml:space="preserve">Table </w:t>
      </w:r>
      <w:r w:rsidR="007D28FC">
        <w:fldChar w:fldCharType="begin"/>
      </w:r>
      <w:r w:rsidR="007D28FC">
        <w:instrText xml:space="preserve"> SEQ Table \* ARABIC </w:instrText>
      </w:r>
      <w:r w:rsidR="007D28FC">
        <w:fldChar w:fldCharType="separate"/>
      </w:r>
      <w:r w:rsidR="00422CFD">
        <w:rPr>
          <w:noProof/>
        </w:rPr>
        <w:t>7</w:t>
      </w:r>
      <w:r w:rsidR="007D28FC">
        <w:rPr>
          <w:noProof/>
        </w:rPr>
        <w:fldChar w:fldCharType="end"/>
      </w:r>
      <w:bookmarkEnd w:id="34"/>
      <w:r>
        <w:tab/>
        <w:t>State spending on criminal related legal services</w:t>
      </w:r>
      <w:r w:rsidR="009C20EF">
        <w:t>, 2016-17</w:t>
      </w:r>
    </w:p>
    <w:tbl>
      <w:tblPr>
        <w:tblW w:w="8875" w:type="dxa"/>
        <w:tblLayout w:type="fixed"/>
        <w:tblCellMar>
          <w:left w:w="0" w:type="dxa"/>
          <w:right w:w="0" w:type="dxa"/>
        </w:tblCellMar>
        <w:tblLook w:val="04A0" w:firstRow="1" w:lastRow="0" w:firstColumn="1" w:lastColumn="0" w:noHBand="0" w:noVBand="1"/>
      </w:tblPr>
      <w:tblGrid>
        <w:gridCol w:w="2860"/>
        <w:gridCol w:w="615"/>
        <w:gridCol w:w="520"/>
        <w:gridCol w:w="600"/>
        <w:gridCol w:w="600"/>
        <w:gridCol w:w="600"/>
        <w:gridCol w:w="600"/>
        <w:gridCol w:w="600"/>
        <w:gridCol w:w="600"/>
        <w:gridCol w:w="640"/>
        <w:gridCol w:w="640"/>
      </w:tblGrid>
      <w:tr w:rsidR="00984F28" w:rsidRPr="00984F28" w14:paraId="4FB8F204" w14:textId="77777777" w:rsidTr="00984F28">
        <w:trPr>
          <w:trHeight w:val="379"/>
        </w:trPr>
        <w:tc>
          <w:tcPr>
            <w:tcW w:w="2860" w:type="dxa"/>
            <w:tcBorders>
              <w:top w:val="single" w:sz="4" w:space="0" w:color="auto"/>
              <w:left w:val="nil"/>
              <w:bottom w:val="single" w:sz="4" w:space="0" w:color="auto"/>
              <w:right w:val="nil"/>
            </w:tcBorders>
            <w:shd w:val="clear" w:color="auto" w:fill="auto"/>
            <w:noWrap/>
            <w:vAlign w:val="center"/>
            <w:hideMark/>
          </w:tcPr>
          <w:p w14:paraId="39292970" w14:textId="77777777" w:rsidR="00984F28" w:rsidRPr="00984F28" w:rsidRDefault="00984F28" w:rsidP="00984F28">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bookmarkStart w:id="35" w:name="RANGE!A3:J10"/>
            <w:bookmarkStart w:id="36" w:name="RANGE!A3:J9"/>
            <w:bookmarkEnd w:id="35"/>
            <w:r w:rsidRPr="00984F28">
              <w:rPr>
                <w:rFonts w:ascii="Calibri" w:eastAsia="Times New Roman" w:hAnsi="Calibri" w:cs="Times New Roman"/>
                <w:color w:val="000000"/>
                <w:sz w:val="20"/>
                <w:szCs w:val="20"/>
                <w:lang w:eastAsia="en-AU"/>
              </w:rPr>
              <w:t> </w:t>
            </w:r>
            <w:bookmarkEnd w:id="36"/>
          </w:p>
        </w:tc>
        <w:tc>
          <w:tcPr>
            <w:tcW w:w="615" w:type="dxa"/>
            <w:tcBorders>
              <w:top w:val="single" w:sz="4" w:space="0" w:color="auto"/>
              <w:left w:val="nil"/>
              <w:bottom w:val="single" w:sz="4" w:space="0" w:color="auto"/>
              <w:right w:val="nil"/>
            </w:tcBorders>
            <w:shd w:val="clear" w:color="auto" w:fill="auto"/>
            <w:noWrap/>
            <w:vAlign w:val="center"/>
            <w:hideMark/>
          </w:tcPr>
          <w:p w14:paraId="7B277B76"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NSW</w:t>
            </w:r>
          </w:p>
        </w:tc>
        <w:tc>
          <w:tcPr>
            <w:tcW w:w="520" w:type="dxa"/>
            <w:tcBorders>
              <w:top w:val="single" w:sz="4" w:space="0" w:color="auto"/>
              <w:left w:val="nil"/>
              <w:bottom w:val="single" w:sz="4" w:space="0" w:color="auto"/>
              <w:right w:val="nil"/>
            </w:tcBorders>
            <w:shd w:val="clear" w:color="auto" w:fill="auto"/>
            <w:noWrap/>
            <w:vAlign w:val="center"/>
            <w:hideMark/>
          </w:tcPr>
          <w:p w14:paraId="34B84C8A"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Vic</w:t>
            </w:r>
          </w:p>
        </w:tc>
        <w:tc>
          <w:tcPr>
            <w:tcW w:w="600" w:type="dxa"/>
            <w:tcBorders>
              <w:top w:val="single" w:sz="4" w:space="0" w:color="auto"/>
              <w:left w:val="nil"/>
              <w:bottom w:val="single" w:sz="4" w:space="0" w:color="auto"/>
              <w:right w:val="nil"/>
            </w:tcBorders>
            <w:shd w:val="clear" w:color="auto" w:fill="auto"/>
            <w:noWrap/>
            <w:vAlign w:val="center"/>
            <w:hideMark/>
          </w:tcPr>
          <w:p w14:paraId="1D5D088D"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Qld</w:t>
            </w:r>
          </w:p>
        </w:tc>
        <w:tc>
          <w:tcPr>
            <w:tcW w:w="600" w:type="dxa"/>
            <w:tcBorders>
              <w:top w:val="single" w:sz="4" w:space="0" w:color="auto"/>
              <w:left w:val="nil"/>
              <w:bottom w:val="single" w:sz="4" w:space="0" w:color="auto"/>
              <w:right w:val="nil"/>
            </w:tcBorders>
            <w:shd w:val="clear" w:color="auto" w:fill="auto"/>
            <w:noWrap/>
            <w:vAlign w:val="center"/>
            <w:hideMark/>
          </w:tcPr>
          <w:p w14:paraId="151DC877"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WA</w:t>
            </w:r>
          </w:p>
        </w:tc>
        <w:tc>
          <w:tcPr>
            <w:tcW w:w="600" w:type="dxa"/>
            <w:tcBorders>
              <w:top w:val="single" w:sz="4" w:space="0" w:color="auto"/>
              <w:left w:val="nil"/>
              <w:bottom w:val="single" w:sz="4" w:space="0" w:color="auto"/>
              <w:right w:val="nil"/>
            </w:tcBorders>
            <w:shd w:val="clear" w:color="auto" w:fill="auto"/>
            <w:noWrap/>
            <w:vAlign w:val="center"/>
            <w:hideMark/>
          </w:tcPr>
          <w:p w14:paraId="32A03C65"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SA</w:t>
            </w:r>
          </w:p>
        </w:tc>
        <w:tc>
          <w:tcPr>
            <w:tcW w:w="600" w:type="dxa"/>
            <w:tcBorders>
              <w:top w:val="single" w:sz="4" w:space="0" w:color="auto"/>
              <w:left w:val="nil"/>
              <w:bottom w:val="single" w:sz="4" w:space="0" w:color="auto"/>
              <w:right w:val="nil"/>
            </w:tcBorders>
            <w:shd w:val="clear" w:color="auto" w:fill="auto"/>
            <w:noWrap/>
            <w:vAlign w:val="center"/>
            <w:hideMark/>
          </w:tcPr>
          <w:p w14:paraId="4839CD40"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Tas</w:t>
            </w:r>
          </w:p>
        </w:tc>
        <w:tc>
          <w:tcPr>
            <w:tcW w:w="600" w:type="dxa"/>
            <w:tcBorders>
              <w:top w:val="single" w:sz="4" w:space="0" w:color="auto"/>
              <w:left w:val="nil"/>
              <w:bottom w:val="single" w:sz="4" w:space="0" w:color="auto"/>
              <w:right w:val="nil"/>
            </w:tcBorders>
            <w:shd w:val="clear" w:color="auto" w:fill="auto"/>
            <w:noWrap/>
            <w:vAlign w:val="center"/>
            <w:hideMark/>
          </w:tcPr>
          <w:p w14:paraId="6C83F2EE"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ACT</w:t>
            </w:r>
          </w:p>
        </w:tc>
        <w:tc>
          <w:tcPr>
            <w:tcW w:w="600" w:type="dxa"/>
            <w:tcBorders>
              <w:top w:val="single" w:sz="4" w:space="0" w:color="auto"/>
              <w:left w:val="nil"/>
              <w:bottom w:val="single" w:sz="4" w:space="0" w:color="auto"/>
              <w:right w:val="nil"/>
            </w:tcBorders>
            <w:shd w:val="clear" w:color="auto" w:fill="auto"/>
            <w:noWrap/>
            <w:vAlign w:val="center"/>
            <w:hideMark/>
          </w:tcPr>
          <w:p w14:paraId="1D0B76C5"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NT</w:t>
            </w:r>
          </w:p>
        </w:tc>
        <w:tc>
          <w:tcPr>
            <w:tcW w:w="640" w:type="dxa"/>
            <w:tcBorders>
              <w:top w:val="single" w:sz="4" w:space="0" w:color="auto"/>
              <w:left w:val="nil"/>
              <w:bottom w:val="single" w:sz="4" w:space="0" w:color="auto"/>
              <w:right w:val="nil"/>
            </w:tcBorders>
            <w:shd w:val="clear" w:color="auto" w:fill="auto"/>
            <w:noWrap/>
            <w:vAlign w:val="center"/>
            <w:hideMark/>
          </w:tcPr>
          <w:p w14:paraId="5BD82308"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Total</w:t>
            </w:r>
          </w:p>
        </w:tc>
        <w:tc>
          <w:tcPr>
            <w:tcW w:w="640" w:type="dxa"/>
            <w:tcBorders>
              <w:top w:val="single" w:sz="4" w:space="0" w:color="auto"/>
              <w:left w:val="nil"/>
              <w:bottom w:val="nil"/>
              <w:right w:val="nil"/>
            </w:tcBorders>
            <w:shd w:val="clear" w:color="auto" w:fill="auto"/>
            <w:noWrap/>
            <w:vAlign w:val="center"/>
            <w:hideMark/>
          </w:tcPr>
          <w:p w14:paraId="0DC4BDFB"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Total</w:t>
            </w:r>
          </w:p>
        </w:tc>
      </w:tr>
      <w:tr w:rsidR="00984F28" w:rsidRPr="00984F28" w14:paraId="3D1BFF97" w14:textId="77777777" w:rsidTr="00984F28">
        <w:trPr>
          <w:trHeight w:val="259"/>
        </w:trPr>
        <w:tc>
          <w:tcPr>
            <w:tcW w:w="2860" w:type="dxa"/>
            <w:tcBorders>
              <w:top w:val="nil"/>
              <w:left w:val="nil"/>
              <w:bottom w:val="nil"/>
              <w:right w:val="nil"/>
            </w:tcBorders>
            <w:shd w:val="clear" w:color="auto" w:fill="auto"/>
            <w:noWrap/>
            <w:vAlign w:val="bottom"/>
            <w:hideMark/>
          </w:tcPr>
          <w:p w14:paraId="05296743" w14:textId="77777777" w:rsidR="00984F28" w:rsidRPr="00984F28" w:rsidRDefault="00984F28" w:rsidP="00984F28">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615" w:type="dxa"/>
            <w:tcBorders>
              <w:top w:val="nil"/>
              <w:left w:val="nil"/>
              <w:bottom w:val="nil"/>
              <w:right w:val="nil"/>
            </w:tcBorders>
            <w:shd w:val="clear" w:color="auto" w:fill="auto"/>
            <w:noWrap/>
            <w:vAlign w:val="bottom"/>
            <w:hideMark/>
          </w:tcPr>
          <w:p w14:paraId="206B26B8"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$pc</w:t>
            </w:r>
          </w:p>
        </w:tc>
        <w:tc>
          <w:tcPr>
            <w:tcW w:w="520" w:type="dxa"/>
            <w:tcBorders>
              <w:top w:val="nil"/>
              <w:left w:val="nil"/>
              <w:bottom w:val="nil"/>
              <w:right w:val="nil"/>
            </w:tcBorders>
            <w:shd w:val="clear" w:color="auto" w:fill="auto"/>
            <w:noWrap/>
            <w:vAlign w:val="bottom"/>
            <w:hideMark/>
          </w:tcPr>
          <w:p w14:paraId="49B92F38"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$pc</w:t>
            </w:r>
          </w:p>
        </w:tc>
        <w:tc>
          <w:tcPr>
            <w:tcW w:w="600" w:type="dxa"/>
            <w:tcBorders>
              <w:top w:val="nil"/>
              <w:left w:val="nil"/>
              <w:bottom w:val="nil"/>
              <w:right w:val="nil"/>
            </w:tcBorders>
            <w:shd w:val="clear" w:color="auto" w:fill="auto"/>
            <w:noWrap/>
            <w:vAlign w:val="bottom"/>
            <w:hideMark/>
          </w:tcPr>
          <w:p w14:paraId="60555108"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$pc</w:t>
            </w:r>
          </w:p>
        </w:tc>
        <w:tc>
          <w:tcPr>
            <w:tcW w:w="600" w:type="dxa"/>
            <w:tcBorders>
              <w:top w:val="nil"/>
              <w:left w:val="nil"/>
              <w:bottom w:val="nil"/>
              <w:right w:val="nil"/>
            </w:tcBorders>
            <w:shd w:val="clear" w:color="auto" w:fill="auto"/>
            <w:noWrap/>
            <w:vAlign w:val="bottom"/>
            <w:hideMark/>
          </w:tcPr>
          <w:p w14:paraId="44128A01"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$pc</w:t>
            </w:r>
          </w:p>
        </w:tc>
        <w:tc>
          <w:tcPr>
            <w:tcW w:w="600" w:type="dxa"/>
            <w:tcBorders>
              <w:top w:val="nil"/>
              <w:left w:val="nil"/>
              <w:bottom w:val="nil"/>
              <w:right w:val="nil"/>
            </w:tcBorders>
            <w:shd w:val="clear" w:color="auto" w:fill="auto"/>
            <w:noWrap/>
            <w:vAlign w:val="bottom"/>
            <w:hideMark/>
          </w:tcPr>
          <w:p w14:paraId="164529FF"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$pc</w:t>
            </w:r>
          </w:p>
        </w:tc>
        <w:tc>
          <w:tcPr>
            <w:tcW w:w="600" w:type="dxa"/>
            <w:tcBorders>
              <w:top w:val="nil"/>
              <w:left w:val="nil"/>
              <w:bottom w:val="nil"/>
              <w:right w:val="nil"/>
            </w:tcBorders>
            <w:shd w:val="clear" w:color="auto" w:fill="auto"/>
            <w:noWrap/>
            <w:vAlign w:val="bottom"/>
            <w:hideMark/>
          </w:tcPr>
          <w:p w14:paraId="7668E91C"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$pc</w:t>
            </w:r>
          </w:p>
        </w:tc>
        <w:tc>
          <w:tcPr>
            <w:tcW w:w="600" w:type="dxa"/>
            <w:tcBorders>
              <w:top w:val="nil"/>
              <w:left w:val="nil"/>
              <w:bottom w:val="nil"/>
              <w:right w:val="nil"/>
            </w:tcBorders>
            <w:shd w:val="clear" w:color="auto" w:fill="auto"/>
            <w:noWrap/>
            <w:vAlign w:val="bottom"/>
            <w:hideMark/>
          </w:tcPr>
          <w:p w14:paraId="31C3D055"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$pc</w:t>
            </w:r>
          </w:p>
        </w:tc>
        <w:tc>
          <w:tcPr>
            <w:tcW w:w="600" w:type="dxa"/>
            <w:tcBorders>
              <w:top w:val="nil"/>
              <w:left w:val="nil"/>
              <w:bottom w:val="nil"/>
              <w:right w:val="nil"/>
            </w:tcBorders>
            <w:shd w:val="clear" w:color="auto" w:fill="auto"/>
            <w:noWrap/>
            <w:vAlign w:val="bottom"/>
            <w:hideMark/>
          </w:tcPr>
          <w:p w14:paraId="401C1BC7"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$pc</w:t>
            </w:r>
          </w:p>
        </w:tc>
        <w:tc>
          <w:tcPr>
            <w:tcW w:w="640" w:type="dxa"/>
            <w:tcBorders>
              <w:top w:val="nil"/>
              <w:left w:val="nil"/>
              <w:bottom w:val="nil"/>
              <w:right w:val="nil"/>
            </w:tcBorders>
            <w:shd w:val="clear" w:color="auto" w:fill="auto"/>
            <w:noWrap/>
            <w:vAlign w:val="bottom"/>
            <w:hideMark/>
          </w:tcPr>
          <w:p w14:paraId="11628566"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$pc</w:t>
            </w:r>
          </w:p>
        </w:tc>
        <w:tc>
          <w:tcPr>
            <w:tcW w:w="640" w:type="dxa"/>
            <w:tcBorders>
              <w:top w:val="single" w:sz="4" w:space="0" w:color="auto"/>
              <w:left w:val="nil"/>
              <w:bottom w:val="nil"/>
              <w:right w:val="nil"/>
            </w:tcBorders>
            <w:shd w:val="clear" w:color="auto" w:fill="auto"/>
            <w:noWrap/>
            <w:vAlign w:val="bottom"/>
            <w:hideMark/>
          </w:tcPr>
          <w:p w14:paraId="0BA4674F" w14:textId="77777777" w:rsidR="00984F28" w:rsidRPr="00984F28" w:rsidRDefault="00984F28"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w:t>
            </w:r>
          </w:p>
        </w:tc>
      </w:tr>
      <w:tr w:rsidR="00984F28" w:rsidRPr="00984F28" w14:paraId="2EBE4329" w14:textId="77777777" w:rsidTr="00984F28">
        <w:trPr>
          <w:trHeight w:val="315"/>
        </w:trPr>
        <w:tc>
          <w:tcPr>
            <w:tcW w:w="2860" w:type="dxa"/>
            <w:tcBorders>
              <w:top w:val="nil"/>
              <w:left w:val="nil"/>
              <w:bottom w:val="nil"/>
              <w:right w:val="nil"/>
            </w:tcBorders>
            <w:shd w:val="clear" w:color="auto" w:fill="auto"/>
            <w:vAlign w:val="bottom"/>
            <w:hideMark/>
          </w:tcPr>
          <w:p w14:paraId="76291F0A" w14:textId="77777777" w:rsidR="00984F28" w:rsidRPr="00984F28" w:rsidRDefault="00984F28" w:rsidP="00984F2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Criminal courts (a)</w:t>
            </w:r>
          </w:p>
        </w:tc>
        <w:tc>
          <w:tcPr>
            <w:tcW w:w="615" w:type="dxa"/>
            <w:tcBorders>
              <w:top w:val="nil"/>
              <w:left w:val="nil"/>
              <w:bottom w:val="nil"/>
              <w:right w:val="nil"/>
            </w:tcBorders>
            <w:shd w:val="clear" w:color="auto" w:fill="auto"/>
            <w:noWrap/>
            <w:vAlign w:val="bottom"/>
            <w:hideMark/>
          </w:tcPr>
          <w:p w14:paraId="2298C503" w14:textId="30E0DD88"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31</w:t>
            </w:r>
          </w:p>
        </w:tc>
        <w:tc>
          <w:tcPr>
            <w:tcW w:w="520" w:type="dxa"/>
            <w:tcBorders>
              <w:top w:val="nil"/>
              <w:left w:val="nil"/>
              <w:bottom w:val="nil"/>
              <w:right w:val="nil"/>
            </w:tcBorders>
            <w:shd w:val="clear" w:color="auto" w:fill="auto"/>
            <w:noWrap/>
            <w:vAlign w:val="bottom"/>
            <w:hideMark/>
          </w:tcPr>
          <w:p w14:paraId="59CAB9AA" w14:textId="73AFAF2A"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36</w:t>
            </w:r>
          </w:p>
        </w:tc>
        <w:tc>
          <w:tcPr>
            <w:tcW w:w="600" w:type="dxa"/>
            <w:tcBorders>
              <w:top w:val="nil"/>
              <w:left w:val="nil"/>
              <w:bottom w:val="nil"/>
              <w:right w:val="nil"/>
            </w:tcBorders>
            <w:shd w:val="clear" w:color="auto" w:fill="auto"/>
            <w:noWrap/>
            <w:vAlign w:val="bottom"/>
            <w:hideMark/>
          </w:tcPr>
          <w:p w14:paraId="514183BA" w14:textId="59B9F7A4"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34</w:t>
            </w:r>
          </w:p>
        </w:tc>
        <w:tc>
          <w:tcPr>
            <w:tcW w:w="600" w:type="dxa"/>
            <w:tcBorders>
              <w:top w:val="nil"/>
              <w:left w:val="nil"/>
              <w:bottom w:val="nil"/>
              <w:right w:val="nil"/>
            </w:tcBorders>
            <w:shd w:val="clear" w:color="auto" w:fill="auto"/>
            <w:noWrap/>
            <w:vAlign w:val="bottom"/>
            <w:hideMark/>
          </w:tcPr>
          <w:p w14:paraId="59674FA9" w14:textId="13D43448"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51</w:t>
            </w:r>
          </w:p>
        </w:tc>
        <w:tc>
          <w:tcPr>
            <w:tcW w:w="600" w:type="dxa"/>
            <w:tcBorders>
              <w:top w:val="nil"/>
              <w:left w:val="nil"/>
              <w:bottom w:val="nil"/>
              <w:right w:val="nil"/>
            </w:tcBorders>
            <w:shd w:val="clear" w:color="auto" w:fill="auto"/>
            <w:noWrap/>
            <w:vAlign w:val="bottom"/>
            <w:hideMark/>
          </w:tcPr>
          <w:p w14:paraId="6B67DF1B" w14:textId="0384FB7A"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44</w:t>
            </w:r>
          </w:p>
        </w:tc>
        <w:tc>
          <w:tcPr>
            <w:tcW w:w="600" w:type="dxa"/>
            <w:tcBorders>
              <w:top w:val="nil"/>
              <w:left w:val="nil"/>
              <w:bottom w:val="nil"/>
              <w:right w:val="nil"/>
            </w:tcBorders>
            <w:shd w:val="clear" w:color="auto" w:fill="auto"/>
            <w:noWrap/>
            <w:vAlign w:val="bottom"/>
            <w:hideMark/>
          </w:tcPr>
          <w:p w14:paraId="0AE7116A" w14:textId="5D57EC3C"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34</w:t>
            </w:r>
          </w:p>
        </w:tc>
        <w:tc>
          <w:tcPr>
            <w:tcW w:w="600" w:type="dxa"/>
            <w:tcBorders>
              <w:top w:val="nil"/>
              <w:left w:val="nil"/>
              <w:bottom w:val="nil"/>
              <w:right w:val="nil"/>
            </w:tcBorders>
            <w:shd w:val="clear" w:color="auto" w:fill="auto"/>
            <w:noWrap/>
            <w:vAlign w:val="bottom"/>
            <w:hideMark/>
          </w:tcPr>
          <w:p w14:paraId="5D93B3B2" w14:textId="4A93D969"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44</w:t>
            </w:r>
          </w:p>
        </w:tc>
        <w:tc>
          <w:tcPr>
            <w:tcW w:w="600" w:type="dxa"/>
            <w:tcBorders>
              <w:top w:val="nil"/>
              <w:left w:val="nil"/>
              <w:bottom w:val="nil"/>
              <w:right w:val="nil"/>
            </w:tcBorders>
            <w:shd w:val="clear" w:color="auto" w:fill="auto"/>
            <w:noWrap/>
            <w:vAlign w:val="bottom"/>
            <w:hideMark/>
          </w:tcPr>
          <w:p w14:paraId="0661A99B" w14:textId="2788152D"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123</w:t>
            </w:r>
          </w:p>
        </w:tc>
        <w:tc>
          <w:tcPr>
            <w:tcW w:w="640" w:type="dxa"/>
            <w:tcBorders>
              <w:top w:val="nil"/>
              <w:left w:val="nil"/>
              <w:bottom w:val="nil"/>
              <w:right w:val="nil"/>
            </w:tcBorders>
            <w:shd w:val="clear" w:color="auto" w:fill="auto"/>
            <w:noWrap/>
            <w:vAlign w:val="bottom"/>
            <w:hideMark/>
          </w:tcPr>
          <w:p w14:paraId="6BB44F09" w14:textId="7F72490E"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37</w:t>
            </w:r>
          </w:p>
        </w:tc>
        <w:tc>
          <w:tcPr>
            <w:tcW w:w="640" w:type="dxa"/>
            <w:tcBorders>
              <w:top w:val="nil"/>
              <w:left w:val="nil"/>
              <w:bottom w:val="nil"/>
              <w:right w:val="nil"/>
            </w:tcBorders>
            <w:shd w:val="clear" w:color="auto" w:fill="auto"/>
            <w:noWrap/>
            <w:vAlign w:val="bottom"/>
            <w:hideMark/>
          </w:tcPr>
          <w:p w14:paraId="7F490127" w14:textId="25D1E2AF"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23</w:t>
            </w:r>
          </w:p>
        </w:tc>
      </w:tr>
      <w:tr w:rsidR="00984F28" w:rsidRPr="00984F28" w14:paraId="1046EEDE" w14:textId="77777777" w:rsidTr="00984F28">
        <w:trPr>
          <w:trHeight w:val="315"/>
        </w:trPr>
        <w:tc>
          <w:tcPr>
            <w:tcW w:w="2860" w:type="dxa"/>
            <w:tcBorders>
              <w:top w:val="nil"/>
              <w:left w:val="nil"/>
              <w:bottom w:val="nil"/>
              <w:right w:val="nil"/>
            </w:tcBorders>
            <w:shd w:val="clear" w:color="auto" w:fill="auto"/>
            <w:vAlign w:val="bottom"/>
            <w:hideMark/>
          </w:tcPr>
          <w:p w14:paraId="54233776" w14:textId="77777777" w:rsidR="00984F28" w:rsidRPr="00984F28" w:rsidRDefault="00984F28" w:rsidP="00984F2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Legal aid</w:t>
            </w:r>
          </w:p>
        </w:tc>
        <w:tc>
          <w:tcPr>
            <w:tcW w:w="615" w:type="dxa"/>
            <w:tcBorders>
              <w:top w:val="nil"/>
              <w:left w:val="nil"/>
              <w:bottom w:val="nil"/>
              <w:right w:val="nil"/>
            </w:tcBorders>
            <w:shd w:val="clear" w:color="auto" w:fill="auto"/>
            <w:vAlign w:val="bottom"/>
            <w:hideMark/>
          </w:tcPr>
          <w:p w14:paraId="66139337" w14:textId="79AD7B02"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35</w:t>
            </w:r>
          </w:p>
        </w:tc>
        <w:tc>
          <w:tcPr>
            <w:tcW w:w="520" w:type="dxa"/>
            <w:tcBorders>
              <w:top w:val="nil"/>
              <w:left w:val="nil"/>
              <w:bottom w:val="nil"/>
              <w:right w:val="nil"/>
            </w:tcBorders>
            <w:shd w:val="clear" w:color="auto" w:fill="auto"/>
            <w:vAlign w:val="bottom"/>
            <w:hideMark/>
          </w:tcPr>
          <w:p w14:paraId="18038DA8" w14:textId="2E0F79DF"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30</w:t>
            </w:r>
          </w:p>
        </w:tc>
        <w:tc>
          <w:tcPr>
            <w:tcW w:w="600" w:type="dxa"/>
            <w:tcBorders>
              <w:top w:val="nil"/>
              <w:left w:val="nil"/>
              <w:bottom w:val="nil"/>
              <w:right w:val="nil"/>
            </w:tcBorders>
            <w:shd w:val="clear" w:color="auto" w:fill="auto"/>
            <w:vAlign w:val="bottom"/>
            <w:hideMark/>
          </w:tcPr>
          <w:p w14:paraId="5B5E365A" w14:textId="71A50D0D"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28</w:t>
            </w:r>
          </w:p>
        </w:tc>
        <w:tc>
          <w:tcPr>
            <w:tcW w:w="600" w:type="dxa"/>
            <w:tcBorders>
              <w:top w:val="nil"/>
              <w:left w:val="nil"/>
              <w:bottom w:val="nil"/>
              <w:right w:val="nil"/>
            </w:tcBorders>
            <w:shd w:val="clear" w:color="auto" w:fill="auto"/>
            <w:vAlign w:val="bottom"/>
            <w:hideMark/>
          </w:tcPr>
          <w:p w14:paraId="4858101C" w14:textId="644CD471"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31</w:t>
            </w:r>
          </w:p>
        </w:tc>
        <w:tc>
          <w:tcPr>
            <w:tcW w:w="600" w:type="dxa"/>
            <w:tcBorders>
              <w:top w:val="nil"/>
              <w:left w:val="nil"/>
              <w:bottom w:val="nil"/>
              <w:right w:val="nil"/>
            </w:tcBorders>
            <w:shd w:val="clear" w:color="auto" w:fill="auto"/>
            <w:vAlign w:val="bottom"/>
            <w:hideMark/>
          </w:tcPr>
          <w:p w14:paraId="756ECDD9" w14:textId="63BBEBC9"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0</w:t>
            </w:r>
          </w:p>
        </w:tc>
        <w:tc>
          <w:tcPr>
            <w:tcW w:w="600" w:type="dxa"/>
            <w:tcBorders>
              <w:top w:val="nil"/>
              <w:left w:val="nil"/>
              <w:bottom w:val="nil"/>
              <w:right w:val="nil"/>
            </w:tcBorders>
            <w:shd w:val="clear" w:color="auto" w:fill="auto"/>
            <w:vAlign w:val="bottom"/>
            <w:hideMark/>
          </w:tcPr>
          <w:p w14:paraId="36DBE935" w14:textId="7D888711"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0</w:t>
            </w:r>
          </w:p>
        </w:tc>
        <w:tc>
          <w:tcPr>
            <w:tcW w:w="600" w:type="dxa"/>
            <w:tcBorders>
              <w:top w:val="nil"/>
              <w:left w:val="nil"/>
              <w:bottom w:val="nil"/>
              <w:right w:val="nil"/>
            </w:tcBorders>
            <w:shd w:val="clear" w:color="auto" w:fill="auto"/>
            <w:vAlign w:val="bottom"/>
            <w:hideMark/>
          </w:tcPr>
          <w:p w14:paraId="2D8E54F8" w14:textId="47D87C16"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34</w:t>
            </w:r>
          </w:p>
        </w:tc>
        <w:tc>
          <w:tcPr>
            <w:tcW w:w="600" w:type="dxa"/>
            <w:tcBorders>
              <w:top w:val="nil"/>
              <w:left w:val="nil"/>
              <w:bottom w:val="nil"/>
              <w:right w:val="nil"/>
            </w:tcBorders>
            <w:shd w:val="clear" w:color="auto" w:fill="auto"/>
            <w:vAlign w:val="bottom"/>
            <w:hideMark/>
          </w:tcPr>
          <w:p w14:paraId="485E8935" w14:textId="04BE3CE1"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58</w:t>
            </w:r>
          </w:p>
        </w:tc>
        <w:tc>
          <w:tcPr>
            <w:tcW w:w="640" w:type="dxa"/>
            <w:tcBorders>
              <w:top w:val="nil"/>
              <w:left w:val="nil"/>
              <w:bottom w:val="nil"/>
              <w:right w:val="nil"/>
            </w:tcBorders>
            <w:shd w:val="clear" w:color="auto" w:fill="auto"/>
            <w:vAlign w:val="bottom"/>
            <w:hideMark/>
          </w:tcPr>
          <w:p w14:paraId="6DC28B4C" w14:textId="42D50F6F"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29</w:t>
            </w:r>
          </w:p>
        </w:tc>
        <w:tc>
          <w:tcPr>
            <w:tcW w:w="640" w:type="dxa"/>
            <w:tcBorders>
              <w:top w:val="nil"/>
              <w:left w:val="nil"/>
              <w:bottom w:val="nil"/>
              <w:right w:val="nil"/>
            </w:tcBorders>
            <w:shd w:val="clear" w:color="auto" w:fill="auto"/>
            <w:vAlign w:val="bottom"/>
            <w:hideMark/>
          </w:tcPr>
          <w:p w14:paraId="5B66C2AB" w14:textId="5D9E71A0"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18</w:t>
            </w:r>
          </w:p>
        </w:tc>
      </w:tr>
      <w:tr w:rsidR="00984F28" w:rsidRPr="00984F28" w14:paraId="50379399" w14:textId="77777777" w:rsidTr="00984F28">
        <w:trPr>
          <w:trHeight w:val="315"/>
        </w:trPr>
        <w:tc>
          <w:tcPr>
            <w:tcW w:w="2860" w:type="dxa"/>
            <w:tcBorders>
              <w:top w:val="nil"/>
              <w:left w:val="nil"/>
              <w:bottom w:val="nil"/>
              <w:right w:val="nil"/>
            </w:tcBorders>
            <w:shd w:val="clear" w:color="auto" w:fill="auto"/>
            <w:vAlign w:val="bottom"/>
            <w:hideMark/>
          </w:tcPr>
          <w:p w14:paraId="0C467ED6" w14:textId="697156A6" w:rsidR="00984F28" w:rsidRPr="00984F28" w:rsidRDefault="00984F28" w:rsidP="00E1516D">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 xml:space="preserve">Director of </w:t>
            </w:r>
            <w:r w:rsidR="00E1516D">
              <w:rPr>
                <w:rFonts w:ascii="Calibri" w:eastAsia="Times New Roman" w:hAnsi="Calibri" w:cs="Times New Roman"/>
                <w:color w:val="000000"/>
                <w:sz w:val="20"/>
                <w:szCs w:val="20"/>
                <w:lang w:eastAsia="en-AU"/>
              </w:rPr>
              <w:t>p</w:t>
            </w:r>
            <w:r w:rsidRPr="00984F28">
              <w:rPr>
                <w:rFonts w:ascii="Calibri" w:eastAsia="Times New Roman" w:hAnsi="Calibri" w:cs="Times New Roman"/>
                <w:color w:val="000000"/>
                <w:sz w:val="20"/>
                <w:szCs w:val="20"/>
                <w:lang w:eastAsia="en-AU"/>
              </w:rPr>
              <w:t xml:space="preserve">ublic </w:t>
            </w:r>
            <w:r w:rsidR="00E1516D">
              <w:rPr>
                <w:rFonts w:ascii="Calibri" w:eastAsia="Times New Roman" w:hAnsi="Calibri" w:cs="Times New Roman"/>
                <w:color w:val="000000"/>
                <w:sz w:val="20"/>
                <w:szCs w:val="20"/>
                <w:lang w:eastAsia="en-AU"/>
              </w:rPr>
              <w:t>p</w:t>
            </w:r>
            <w:r w:rsidRPr="00984F28">
              <w:rPr>
                <w:rFonts w:ascii="Calibri" w:eastAsia="Times New Roman" w:hAnsi="Calibri" w:cs="Times New Roman"/>
                <w:color w:val="000000"/>
                <w:sz w:val="20"/>
                <w:szCs w:val="20"/>
                <w:lang w:eastAsia="en-AU"/>
              </w:rPr>
              <w:t>rosecutions</w:t>
            </w:r>
          </w:p>
        </w:tc>
        <w:tc>
          <w:tcPr>
            <w:tcW w:w="615" w:type="dxa"/>
            <w:tcBorders>
              <w:top w:val="nil"/>
              <w:left w:val="nil"/>
              <w:bottom w:val="nil"/>
              <w:right w:val="nil"/>
            </w:tcBorders>
            <w:shd w:val="clear" w:color="auto" w:fill="auto"/>
            <w:vAlign w:val="bottom"/>
            <w:hideMark/>
          </w:tcPr>
          <w:p w14:paraId="077C9676" w14:textId="3B2DF984"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15</w:t>
            </w:r>
          </w:p>
        </w:tc>
        <w:tc>
          <w:tcPr>
            <w:tcW w:w="520" w:type="dxa"/>
            <w:tcBorders>
              <w:top w:val="nil"/>
              <w:left w:val="nil"/>
              <w:bottom w:val="nil"/>
              <w:right w:val="nil"/>
            </w:tcBorders>
            <w:shd w:val="clear" w:color="auto" w:fill="auto"/>
            <w:vAlign w:val="bottom"/>
            <w:hideMark/>
          </w:tcPr>
          <w:p w14:paraId="51A4E19E" w14:textId="08ACDC1D"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0</w:t>
            </w:r>
          </w:p>
        </w:tc>
        <w:tc>
          <w:tcPr>
            <w:tcW w:w="600" w:type="dxa"/>
            <w:tcBorders>
              <w:top w:val="nil"/>
              <w:left w:val="nil"/>
              <w:bottom w:val="nil"/>
              <w:right w:val="nil"/>
            </w:tcBorders>
            <w:shd w:val="clear" w:color="auto" w:fill="auto"/>
            <w:vAlign w:val="bottom"/>
            <w:hideMark/>
          </w:tcPr>
          <w:p w14:paraId="3D703F71" w14:textId="66BE2B9E"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0</w:t>
            </w:r>
          </w:p>
        </w:tc>
        <w:tc>
          <w:tcPr>
            <w:tcW w:w="600" w:type="dxa"/>
            <w:tcBorders>
              <w:top w:val="nil"/>
              <w:left w:val="nil"/>
              <w:bottom w:val="nil"/>
              <w:right w:val="nil"/>
            </w:tcBorders>
            <w:shd w:val="clear" w:color="auto" w:fill="auto"/>
            <w:vAlign w:val="bottom"/>
            <w:hideMark/>
          </w:tcPr>
          <w:p w14:paraId="163EB21D" w14:textId="16666B9E"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16</w:t>
            </w:r>
          </w:p>
        </w:tc>
        <w:tc>
          <w:tcPr>
            <w:tcW w:w="600" w:type="dxa"/>
            <w:tcBorders>
              <w:top w:val="nil"/>
              <w:left w:val="nil"/>
              <w:bottom w:val="nil"/>
              <w:right w:val="nil"/>
            </w:tcBorders>
            <w:shd w:val="clear" w:color="auto" w:fill="auto"/>
            <w:vAlign w:val="bottom"/>
            <w:hideMark/>
          </w:tcPr>
          <w:p w14:paraId="7E43B0C3" w14:textId="1FF6008A"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0</w:t>
            </w:r>
          </w:p>
        </w:tc>
        <w:tc>
          <w:tcPr>
            <w:tcW w:w="600" w:type="dxa"/>
            <w:tcBorders>
              <w:top w:val="nil"/>
              <w:left w:val="nil"/>
              <w:bottom w:val="nil"/>
              <w:right w:val="nil"/>
            </w:tcBorders>
            <w:shd w:val="clear" w:color="auto" w:fill="auto"/>
            <w:vAlign w:val="bottom"/>
            <w:hideMark/>
          </w:tcPr>
          <w:p w14:paraId="05E12BD2" w14:textId="4A8C6C5B"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13</w:t>
            </w:r>
          </w:p>
        </w:tc>
        <w:tc>
          <w:tcPr>
            <w:tcW w:w="600" w:type="dxa"/>
            <w:tcBorders>
              <w:top w:val="nil"/>
              <w:left w:val="nil"/>
              <w:bottom w:val="nil"/>
              <w:right w:val="nil"/>
            </w:tcBorders>
            <w:shd w:val="clear" w:color="auto" w:fill="auto"/>
            <w:vAlign w:val="bottom"/>
            <w:hideMark/>
          </w:tcPr>
          <w:p w14:paraId="2A5AB7E2" w14:textId="3C357F70"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0</w:t>
            </w:r>
          </w:p>
        </w:tc>
        <w:tc>
          <w:tcPr>
            <w:tcW w:w="600" w:type="dxa"/>
            <w:tcBorders>
              <w:top w:val="nil"/>
              <w:left w:val="nil"/>
              <w:bottom w:val="nil"/>
              <w:right w:val="nil"/>
            </w:tcBorders>
            <w:shd w:val="clear" w:color="auto" w:fill="auto"/>
            <w:vAlign w:val="bottom"/>
            <w:hideMark/>
          </w:tcPr>
          <w:p w14:paraId="754D3376" w14:textId="1D54093B"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0</w:t>
            </w:r>
          </w:p>
        </w:tc>
        <w:tc>
          <w:tcPr>
            <w:tcW w:w="640" w:type="dxa"/>
            <w:tcBorders>
              <w:top w:val="nil"/>
              <w:left w:val="nil"/>
              <w:bottom w:val="nil"/>
              <w:right w:val="nil"/>
            </w:tcBorders>
            <w:shd w:val="clear" w:color="auto" w:fill="auto"/>
            <w:vAlign w:val="bottom"/>
            <w:hideMark/>
          </w:tcPr>
          <w:p w14:paraId="2DBC3852" w14:textId="098ADB3D"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7</w:t>
            </w:r>
          </w:p>
        </w:tc>
        <w:tc>
          <w:tcPr>
            <w:tcW w:w="640" w:type="dxa"/>
            <w:tcBorders>
              <w:top w:val="nil"/>
              <w:left w:val="nil"/>
              <w:bottom w:val="nil"/>
              <w:right w:val="nil"/>
            </w:tcBorders>
            <w:shd w:val="clear" w:color="auto" w:fill="auto"/>
            <w:vAlign w:val="bottom"/>
            <w:hideMark/>
          </w:tcPr>
          <w:p w14:paraId="28C95E68" w14:textId="2066218E"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4</w:t>
            </w:r>
          </w:p>
        </w:tc>
      </w:tr>
      <w:tr w:rsidR="00984F28" w:rsidRPr="00984F28" w14:paraId="7C3A392E" w14:textId="77777777" w:rsidTr="00984F28">
        <w:trPr>
          <w:trHeight w:val="315"/>
        </w:trPr>
        <w:tc>
          <w:tcPr>
            <w:tcW w:w="2860" w:type="dxa"/>
            <w:tcBorders>
              <w:top w:val="nil"/>
              <w:left w:val="nil"/>
              <w:bottom w:val="nil"/>
              <w:right w:val="nil"/>
            </w:tcBorders>
            <w:shd w:val="clear" w:color="auto" w:fill="auto"/>
            <w:vAlign w:val="bottom"/>
            <w:hideMark/>
          </w:tcPr>
          <w:p w14:paraId="7F2629EC" w14:textId="77777777" w:rsidR="00984F28" w:rsidRPr="00984F28" w:rsidRDefault="00984F28" w:rsidP="00984F2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Police</w:t>
            </w:r>
          </w:p>
        </w:tc>
        <w:tc>
          <w:tcPr>
            <w:tcW w:w="615" w:type="dxa"/>
            <w:tcBorders>
              <w:top w:val="nil"/>
              <w:left w:val="nil"/>
              <w:bottom w:val="nil"/>
              <w:right w:val="nil"/>
            </w:tcBorders>
            <w:shd w:val="clear" w:color="auto" w:fill="auto"/>
            <w:vAlign w:val="bottom"/>
            <w:hideMark/>
          </w:tcPr>
          <w:p w14:paraId="76233EAA" w14:textId="1CF96FA7"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1</w:t>
            </w:r>
          </w:p>
        </w:tc>
        <w:tc>
          <w:tcPr>
            <w:tcW w:w="520" w:type="dxa"/>
            <w:tcBorders>
              <w:top w:val="nil"/>
              <w:left w:val="nil"/>
              <w:bottom w:val="nil"/>
              <w:right w:val="nil"/>
            </w:tcBorders>
            <w:shd w:val="clear" w:color="auto" w:fill="auto"/>
            <w:vAlign w:val="bottom"/>
            <w:hideMark/>
          </w:tcPr>
          <w:p w14:paraId="4127EA62" w14:textId="2E1C8A03"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0</w:t>
            </w:r>
          </w:p>
        </w:tc>
        <w:tc>
          <w:tcPr>
            <w:tcW w:w="600" w:type="dxa"/>
            <w:tcBorders>
              <w:top w:val="nil"/>
              <w:left w:val="nil"/>
              <w:bottom w:val="nil"/>
              <w:right w:val="nil"/>
            </w:tcBorders>
            <w:shd w:val="clear" w:color="auto" w:fill="auto"/>
            <w:vAlign w:val="bottom"/>
            <w:hideMark/>
          </w:tcPr>
          <w:p w14:paraId="3357775C" w14:textId="4A6F4D37"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0</w:t>
            </w:r>
          </w:p>
        </w:tc>
        <w:tc>
          <w:tcPr>
            <w:tcW w:w="600" w:type="dxa"/>
            <w:tcBorders>
              <w:top w:val="nil"/>
              <w:left w:val="nil"/>
              <w:bottom w:val="nil"/>
              <w:right w:val="nil"/>
            </w:tcBorders>
            <w:shd w:val="clear" w:color="auto" w:fill="auto"/>
            <w:vAlign w:val="bottom"/>
            <w:hideMark/>
          </w:tcPr>
          <w:p w14:paraId="3D8AE262" w14:textId="2F58BB04"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55</w:t>
            </w:r>
          </w:p>
        </w:tc>
        <w:tc>
          <w:tcPr>
            <w:tcW w:w="600" w:type="dxa"/>
            <w:tcBorders>
              <w:top w:val="nil"/>
              <w:left w:val="nil"/>
              <w:bottom w:val="nil"/>
              <w:right w:val="nil"/>
            </w:tcBorders>
            <w:shd w:val="clear" w:color="auto" w:fill="auto"/>
            <w:vAlign w:val="bottom"/>
            <w:hideMark/>
          </w:tcPr>
          <w:p w14:paraId="141B9AE7" w14:textId="46B6C19F"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0</w:t>
            </w:r>
          </w:p>
        </w:tc>
        <w:tc>
          <w:tcPr>
            <w:tcW w:w="600" w:type="dxa"/>
            <w:tcBorders>
              <w:top w:val="nil"/>
              <w:left w:val="nil"/>
              <w:bottom w:val="nil"/>
              <w:right w:val="nil"/>
            </w:tcBorders>
            <w:shd w:val="clear" w:color="auto" w:fill="auto"/>
            <w:vAlign w:val="bottom"/>
            <w:hideMark/>
          </w:tcPr>
          <w:p w14:paraId="02124678" w14:textId="3F23A739"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0</w:t>
            </w:r>
          </w:p>
        </w:tc>
        <w:tc>
          <w:tcPr>
            <w:tcW w:w="600" w:type="dxa"/>
            <w:tcBorders>
              <w:top w:val="nil"/>
              <w:left w:val="nil"/>
              <w:bottom w:val="nil"/>
              <w:right w:val="nil"/>
            </w:tcBorders>
            <w:shd w:val="clear" w:color="auto" w:fill="auto"/>
            <w:vAlign w:val="bottom"/>
            <w:hideMark/>
          </w:tcPr>
          <w:p w14:paraId="12262610" w14:textId="2EDEC76A"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0</w:t>
            </w:r>
          </w:p>
        </w:tc>
        <w:tc>
          <w:tcPr>
            <w:tcW w:w="600" w:type="dxa"/>
            <w:tcBorders>
              <w:top w:val="nil"/>
              <w:left w:val="nil"/>
              <w:bottom w:val="nil"/>
              <w:right w:val="nil"/>
            </w:tcBorders>
            <w:shd w:val="clear" w:color="auto" w:fill="auto"/>
            <w:vAlign w:val="bottom"/>
            <w:hideMark/>
          </w:tcPr>
          <w:p w14:paraId="5C8EFDB1" w14:textId="452CB269"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176</w:t>
            </w:r>
          </w:p>
        </w:tc>
        <w:tc>
          <w:tcPr>
            <w:tcW w:w="640" w:type="dxa"/>
            <w:tcBorders>
              <w:top w:val="nil"/>
              <w:left w:val="nil"/>
              <w:bottom w:val="nil"/>
              <w:right w:val="nil"/>
            </w:tcBorders>
            <w:shd w:val="clear" w:color="auto" w:fill="auto"/>
            <w:vAlign w:val="bottom"/>
            <w:hideMark/>
          </w:tcPr>
          <w:p w14:paraId="74A763E3" w14:textId="0B4C4EBF"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8</w:t>
            </w:r>
          </w:p>
        </w:tc>
        <w:tc>
          <w:tcPr>
            <w:tcW w:w="640" w:type="dxa"/>
            <w:tcBorders>
              <w:top w:val="nil"/>
              <w:left w:val="nil"/>
              <w:bottom w:val="nil"/>
              <w:right w:val="nil"/>
            </w:tcBorders>
            <w:shd w:val="clear" w:color="auto" w:fill="auto"/>
            <w:vAlign w:val="bottom"/>
            <w:hideMark/>
          </w:tcPr>
          <w:p w14:paraId="54AFED94" w14:textId="55106FCE"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5</w:t>
            </w:r>
          </w:p>
        </w:tc>
      </w:tr>
      <w:tr w:rsidR="00984F28" w:rsidRPr="00984F28" w14:paraId="41E6A573" w14:textId="77777777" w:rsidTr="00984F28">
        <w:trPr>
          <w:trHeight w:val="315"/>
        </w:trPr>
        <w:tc>
          <w:tcPr>
            <w:tcW w:w="2860" w:type="dxa"/>
            <w:tcBorders>
              <w:top w:val="nil"/>
              <w:left w:val="nil"/>
              <w:bottom w:val="nil"/>
              <w:right w:val="nil"/>
            </w:tcBorders>
            <w:shd w:val="clear" w:color="auto" w:fill="auto"/>
            <w:vAlign w:val="bottom"/>
            <w:hideMark/>
          </w:tcPr>
          <w:p w14:paraId="60B0818F" w14:textId="77777777" w:rsidR="00984F28" w:rsidRPr="00984F28" w:rsidRDefault="00984F28" w:rsidP="00984F2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Total criminal related</w:t>
            </w:r>
          </w:p>
        </w:tc>
        <w:tc>
          <w:tcPr>
            <w:tcW w:w="615" w:type="dxa"/>
            <w:tcBorders>
              <w:top w:val="nil"/>
              <w:left w:val="nil"/>
              <w:bottom w:val="nil"/>
              <w:right w:val="nil"/>
            </w:tcBorders>
            <w:shd w:val="clear" w:color="auto" w:fill="auto"/>
            <w:vAlign w:val="bottom"/>
            <w:hideMark/>
          </w:tcPr>
          <w:p w14:paraId="6E6741DC" w14:textId="65D0D984"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82</w:t>
            </w:r>
          </w:p>
        </w:tc>
        <w:tc>
          <w:tcPr>
            <w:tcW w:w="520" w:type="dxa"/>
            <w:tcBorders>
              <w:top w:val="nil"/>
              <w:left w:val="nil"/>
              <w:bottom w:val="nil"/>
              <w:right w:val="nil"/>
            </w:tcBorders>
            <w:shd w:val="clear" w:color="auto" w:fill="auto"/>
            <w:vAlign w:val="bottom"/>
            <w:hideMark/>
          </w:tcPr>
          <w:p w14:paraId="0A5678E1" w14:textId="7827C88B"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66</w:t>
            </w:r>
          </w:p>
        </w:tc>
        <w:tc>
          <w:tcPr>
            <w:tcW w:w="600" w:type="dxa"/>
            <w:tcBorders>
              <w:top w:val="nil"/>
              <w:left w:val="nil"/>
              <w:bottom w:val="nil"/>
              <w:right w:val="nil"/>
            </w:tcBorders>
            <w:shd w:val="clear" w:color="auto" w:fill="auto"/>
            <w:vAlign w:val="bottom"/>
            <w:hideMark/>
          </w:tcPr>
          <w:p w14:paraId="32680F34" w14:textId="154A5A7D"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63</w:t>
            </w:r>
          </w:p>
        </w:tc>
        <w:tc>
          <w:tcPr>
            <w:tcW w:w="600" w:type="dxa"/>
            <w:tcBorders>
              <w:top w:val="nil"/>
              <w:left w:val="nil"/>
              <w:bottom w:val="nil"/>
              <w:right w:val="nil"/>
            </w:tcBorders>
            <w:shd w:val="clear" w:color="auto" w:fill="auto"/>
            <w:vAlign w:val="bottom"/>
            <w:hideMark/>
          </w:tcPr>
          <w:p w14:paraId="5D1C11F5" w14:textId="16B740BF"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153</w:t>
            </w:r>
          </w:p>
        </w:tc>
        <w:tc>
          <w:tcPr>
            <w:tcW w:w="600" w:type="dxa"/>
            <w:tcBorders>
              <w:top w:val="nil"/>
              <w:left w:val="nil"/>
              <w:bottom w:val="nil"/>
              <w:right w:val="nil"/>
            </w:tcBorders>
            <w:shd w:val="clear" w:color="auto" w:fill="auto"/>
            <w:vAlign w:val="bottom"/>
            <w:hideMark/>
          </w:tcPr>
          <w:p w14:paraId="18E9DC91" w14:textId="5B4E76C0"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44</w:t>
            </w:r>
          </w:p>
        </w:tc>
        <w:tc>
          <w:tcPr>
            <w:tcW w:w="600" w:type="dxa"/>
            <w:tcBorders>
              <w:top w:val="nil"/>
              <w:left w:val="nil"/>
              <w:bottom w:val="nil"/>
              <w:right w:val="nil"/>
            </w:tcBorders>
            <w:shd w:val="clear" w:color="auto" w:fill="auto"/>
            <w:vAlign w:val="bottom"/>
            <w:hideMark/>
          </w:tcPr>
          <w:p w14:paraId="5EBF641E" w14:textId="7847EC94"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47</w:t>
            </w:r>
          </w:p>
        </w:tc>
        <w:tc>
          <w:tcPr>
            <w:tcW w:w="600" w:type="dxa"/>
            <w:tcBorders>
              <w:top w:val="nil"/>
              <w:left w:val="nil"/>
              <w:bottom w:val="nil"/>
              <w:right w:val="nil"/>
            </w:tcBorders>
            <w:shd w:val="clear" w:color="auto" w:fill="auto"/>
            <w:vAlign w:val="bottom"/>
            <w:hideMark/>
          </w:tcPr>
          <w:p w14:paraId="6F70AAA3" w14:textId="5F85E39E"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78</w:t>
            </w:r>
          </w:p>
        </w:tc>
        <w:tc>
          <w:tcPr>
            <w:tcW w:w="600" w:type="dxa"/>
            <w:tcBorders>
              <w:top w:val="nil"/>
              <w:left w:val="nil"/>
              <w:bottom w:val="nil"/>
              <w:right w:val="nil"/>
            </w:tcBorders>
            <w:shd w:val="clear" w:color="auto" w:fill="auto"/>
            <w:vAlign w:val="bottom"/>
            <w:hideMark/>
          </w:tcPr>
          <w:p w14:paraId="504F23F4" w14:textId="6C9687BD"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357</w:t>
            </w:r>
          </w:p>
        </w:tc>
        <w:tc>
          <w:tcPr>
            <w:tcW w:w="640" w:type="dxa"/>
            <w:tcBorders>
              <w:top w:val="nil"/>
              <w:left w:val="nil"/>
              <w:bottom w:val="nil"/>
              <w:right w:val="nil"/>
            </w:tcBorders>
            <w:shd w:val="clear" w:color="auto" w:fill="auto"/>
            <w:vAlign w:val="bottom"/>
            <w:hideMark/>
          </w:tcPr>
          <w:p w14:paraId="0723217C" w14:textId="77CE8C9E"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81</w:t>
            </w:r>
          </w:p>
        </w:tc>
        <w:tc>
          <w:tcPr>
            <w:tcW w:w="640" w:type="dxa"/>
            <w:tcBorders>
              <w:top w:val="nil"/>
              <w:left w:val="nil"/>
              <w:bottom w:val="nil"/>
              <w:right w:val="nil"/>
            </w:tcBorders>
            <w:shd w:val="clear" w:color="auto" w:fill="auto"/>
            <w:vAlign w:val="bottom"/>
            <w:hideMark/>
          </w:tcPr>
          <w:p w14:paraId="69C83D5A" w14:textId="5D7D2CBB"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50</w:t>
            </w:r>
          </w:p>
        </w:tc>
      </w:tr>
      <w:tr w:rsidR="00984F28" w:rsidRPr="00984F28" w14:paraId="6D95601A" w14:textId="77777777" w:rsidTr="00984F28">
        <w:trPr>
          <w:trHeight w:val="315"/>
        </w:trPr>
        <w:tc>
          <w:tcPr>
            <w:tcW w:w="2860" w:type="dxa"/>
            <w:tcBorders>
              <w:top w:val="nil"/>
              <w:left w:val="nil"/>
              <w:bottom w:val="single" w:sz="4" w:space="0" w:color="auto"/>
              <w:right w:val="nil"/>
            </w:tcBorders>
            <w:shd w:val="clear" w:color="auto" w:fill="auto"/>
            <w:vAlign w:val="bottom"/>
            <w:hideMark/>
          </w:tcPr>
          <w:p w14:paraId="4865FB01" w14:textId="77777777" w:rsidR="00984F28" w:rsidRPr="00984F28" w:rsidRDefault="00984F28" w:rsidP="00984F2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984F28">
              <w:rPr>
                <w:rFonts w:ascii="Calibri" w:eastAsia="Times New Roman" w:hAnsi="Calibri" w:cs="Times New Roman"/>
                <w:color w:val="000000"/>
                <w:sz w:val="20"/>
                <w:szCs w:val="20"/>
                <w:lang w:eastAsia="en-AU"/>
              </w:rPr>
              <w:t>Total legal services (b)</w:t>
            </w:r>
          </w:p>
        </w:tc>
        <w:tc>
          <w:tcPr>
            <w:tcW w:w="615" w:type="dxa"/>
            <w:tcBorders>
              <w:top w:val="single" w:sz="4" w:space="0" w:color="auto"/>
              <w:left w:val="nil"/>
              <w:bottom w:val="single" w:sz="4" w:space="0" w:color="auto"/>
              <w:right w:val="nil"/>
            </w:tcBorders>
            <w:shd w:val="clear" w:color="auto" w:fill="auto"/>
            <w:vAlign w:val="bottom"/>
            <w:hideMark/>
          </w:tcPr>
          <w:p w14:paraId="0B5B211F" w14:textId="04D98731"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140</w:t>
            </w:r>
          </w:p>
        </w:tc>
        <w:tc>
          <w:tcPr>
            <w:tcW w:w="520" w:type="dxa"/>
            <w:tcBorders>
              <w:top w:val="single" w:sz="4" w:space="0" w:color="auto"/>
              <w:left w:val="nil"/>
              <w:bottom w:val="single" w:sz="4" w:space="0" w:color="auto"/>
              <w:right w:val="nil"/>
            </w:tcBorders>
            <w:shd w:val="clear" w:color="auto" w:fill="auto"/>
            <w:vAlign w:val="bottom"/>
            <w:hideMark/>
          </w:tcPr>
          <w:p w14:paraId="421247E0" w14:textId="7F9431BD"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96</w:t>
            </w:r>
          </w:p>
        </w:tc>
        <w:tc>
          <w:tcPr>
            <w:tcW w:w="600" w:type="dxa"/>
            <w:tcBorders>
              <w:top w:val="single" w:sz="4" w:space="0" w:color="auto"/>
              <w:left w:val="nil"/>
              <w:bottom w:val="single" w:sz="4" w:space="0" w:color="auto"/>
              <w:right w:val="nil"/>
            </w:tcBorders>
            <w:shd w:val="clear" w:color="auto" w:fill="auto"/>
            <w:vAlign w:val="bottom"/>
            <w:hideMark/>
          </w:tcPr>
          <w:p w14:paraId="525C3D42" w14:textId="43DC1D43"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152</w:t>
            </w:r>
          </w:p>
        </w:tc>
        <w:tc>
          <w:tcPr>
            <w:tcW w:w="600" w:type="dxa"/>
            <w:tcBorders>
              <w:top w:val="single" w:sz="4" w:space="0" w:color="auto"/>
              <w:left w:val="nil"/>
              <w:bottom w:val="single" w:sz="4" w:space="0" w:color="auto"/>
              <w:right w:val="nil"/>
            </w:tcBorders>
            <w:shd w:val="clear" w:color="auto" w:fill="auto"/>
            <w:vAlign w:val="bottom"/>
            <w:hideMark/>
          </w:tcPr>
          <w:p w14:paraId="37A6E17F" w14:textId="6C2F35B6"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288</w:t>
            </w:r>
          </w:p>
        </w:tc>
        <w:tc>
          <w:tcPr>
            <w:tcW w:w="600" w:type="dxa"/>
            <w:tcBorders>
              <w:top w:val="single" w:sz="4" w:space="0" w:color="auto"/>
              <w:left w:val="nil"/>
              <w:bottom w:val="single" w:sz="4" w:space="0" w:color="auto"/>
              <w:right w:val="nil"/>
            </w:tcBorders>
            <w:shd w:val="clear" w:color="auto" w:fill="auto"/>
            <w:vAlign w:val="bottom"/>
            <w:hideMark/>
          </w:tcPr>
          <w:p w14:paraId="18259AC8" w14:textId="3234C1D8"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266</w:t>
            </w:r>
          </w:p>
        </w:tc>
        <w:tc>
          <w:tcPr>
            <w:tcW w:w="600" w:type="dxa"/>
            <w:tcBorders>
              <w:top w:val="single" w:sz="4" w:space="0" w:color="auto"/>
              <w:left w:val="nil"/>
              <w:bottom w:val="single" w:sz="4" w:space="0" w:color="auto"/>
              <w:right w:val="nil"/>
            </w:tcBorders>
            <w:shd w:val="clear" w:color="auto" w:fill="auto"/>
            <w:vAlign w:val="bottom"/>
            <w:hideMark/>
          </w:tcPr>
          <w:p w14:paraId="75AFB5BB" w14:textId="13416077"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172</w:t>
            </w:r>
          </w:p>
        </w:tc>
        <w:tc>
          <w:tcPr>
            <w:tcW w:w="600" w:type="dxa"/>
            <w:tcBorders>
              <w:top w:val="single" w:sz="4" w:space="0" w:color="auto"/>
              <w:left w:val="nil"/>
              <w:bottom w:val="single" w:sz="4" w:space="0" w:color="auto"/>
              <w:right w:val="nil"/>
            </w:tcBorders>
            <w:shd w:val="clear" w:color="auto" w:fill="auto"/>
            <w:vAlign w:val="bottom"/>
            <w:hideMark/>
          </w:tcPr>
          <w:p w14:paraId="70DBC748" w14:textId="6215E050"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224</w:t>
            </w:r>
          </w:p>
        </w:tc>
        <w:tc>
          <w:tcPr>
            <w:tcW w:w="600" w:type="dxa"/>
            <w:tcBorders>
              <w:top w:val="single" w:sz="4" w:space="0" w:color="auto"/>
              <w:left w:val="nil"/>
              <w:bottom w:val="single" w:sz="4" w:space="0" w:color="auto"/>
              <w:right w:val="nil"/>
            </w:tcBorders>
            <w:shd w:val="clear" w:color="auto" w:fill="auto"/>
            <w:vAlign w:val="bottom"/>
            <w:hideMark/>
          </w:tcPr>
          <w:p w14:paraId="3A791B34" w14:textId="7AFB5653"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603</w:t>
            </w:r>
          </w:p>
        </w:tc>
        <w:tc>
          <w:tcPr>
            <w:tcW w:w="640" w:type="dxa"/>
            <w:tcBorders>
              <w:top w:val="single" w:sz="4" w:space="0" w:color="auto"/>
              <w:left w:val="nil"/>
              <w:bottom w:val="single" w:sz="4" w:space="0" w:color="auto"/>
              <w:right w:val="nil"/>
            </w:tcBorders>
            <w:shd w:val="clear" w:color="auto" w:fill="auto"/>
            <w:vAlign w:val="bottom"/>
            <w:hideMark/>
          </w:tcPr>
          <w:p w14:paraId="53157215" w14:textId="64E9A2E6"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162</w:t>
            </w:r>
          </w:p>
        </w:tc>
        <w:tc>
          <w:tcPr>
            <w:tcW w:w="640" w:type="dxa"/>
            <w:tcBorders>
              <w:top w:val="single" w:sz="4" w:space="0" w:color="auto"/>
              <w:left w:val="nil"/>
              <w:bottom w:val="single" w:sz="4" w:space="0" w:color="auto"/>
              <w:right w:val="nil"/>
            </w:tcBorders>
            <w:shd w:val="clear" w:color="auto" w:fill="auto"/>
            <w:vAlign w:val="bottom"/>
            <w:hideMark/>
          </w:tcPr>
          <w:p w14:paraId="78C66173" w14:textId="7F01C38F" w:rsidR="00984F28" w:rsidRPr="00984F28" w:rsidRDefault="00573580" w:rsidP="00984F28">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 </w:t>
            </w:r>
            <w:r w:rsidR="00984F28" w:rsidRPr="00984F28">
              <w:rPr>
                <w:rFonts w:ascii="Calibri" w:eastAsia="Times New Roman" w:hAnsi="Calibri" w:cs="Times New Roman"/>
                <w:color w:val="000000"/>
                <w:sz w:val="20"/>
                <w:szCs w:val="20"/>
                <w:lang w:eastAsia="en-AU"/>
              </w:rPr>
              <w:t>100</w:t>
            </w:r>
          </w:p>
        </w:tc>
      </w:tr>
    </w:tbl>
    <w:p w14:paraId="12DE511E" w14:textId="1646158C" w:rsidR="009C20EF" w:rsidRDefault="00907CAE" w:rsidP="00907CAE">
      <w:pPr>
        <w:pStyle w:val="CGCTableFootnote"/>
      </w:pPr>
      <w:r>
        <w:t>(a)</w:t>
      </w:r>
      <w:r w:rsidR="00984F28">
        <w:t xml:space="preserve"> </w:t>
      </w:r>
      <w:r w:rsidR="00984F28">
        <w:tab/>
        <w:t>Criminal court expenses sourced from</w:t>
      </w:r>
      <w:r w:rsidR="00CD28A0">
        <w:t xml:space="preserve"> RoGS</w:t>
      </w:r>
      <w:r w:rsidR="00984F28">
        <w:t>, all other data taken from ABS, GFS.</w:t>
      </w:r>
    </w:p>
    <w:p w14:paraId="1B4BE849" w14:textId="19B55CC0" w:rsidR="00907CAE" w:rsidRPr="00907CAE" w:rsidRDefault="00907CAE" w:rsidP="00907CAE">
      <w:pPr>
        <w:pStyle w:val="CGCTableFootnote"/>
      </w:pPr>
      <w:r>
        <w:t>(b)</w:t>
      </w:r>
      <w:r>
        <w:tab/>
        <w:t>Excluded legal services paid by central authorities, such as superannuation authority, as these are thought to proportionally affect both criminal and non-criminal related spending.</w:t>
      </w:r>
    </w:p>
    <w:p w14:paraId="5B077FCD" w14:textId="357791F7" w:rsidR="009C20EF" w:rsidRDefault="009C20EF" w:rsidP="00907CAE">
      <w:pPr>
        <w:pStyle w:val="CGCTableFootnote"/>
      </w:pPr>
      <w:r>
        <w:t>Source:</w:t>
      </w:r>
      <w:r>
        <w:tab/>
        <w:t>Productivity Commission, Report on Government Services, 2018</w:t>
      </w:r>
      <w:r w:rsidR="007E025E">
        <w:t>.</w:t>
      </w:r>
    </w:p>
    <w:p w14:paraId="5D5E2331" w14:textId="3EC5DE35" w:rsidR="00984F28" w:rsidRDefault="009C20EF" w:rsidP="00907CAE">
      <w:pPr>
        <w:pStyle w:val="CGCTableFootnote"/>
      </w:pPr>
      <w:r>
        <w:tab/>
      </w:r>
      <w:r w:rsidR="001E2CEB">
        <w:t>State provided data</w:t>
      </w:r>
      <w:r w:rsidR="007E025E">
        <w:t>.</w:t>
      </w:r>
    </w:p>
    <w:p w14:paraId="4D6FCCC4" w14:textId="77777777" w:rsidR="00EE2F79" w:rsidRDefault="00EE2F79" w:rsidP="00EE2F79">
      <w:pPr>
        <w:pStyle w:val="Heading5"/>
      </w:pPr>
      <w:r>
        <w:t>Civil Court use drivers</w:t>
      </w:r>
    </w:p>
    <w:p w14:paraId="550F4FF2" w14:textId="3C986A5F" w:rsidR="00EE2F79" w:rsidRDefault="00EE2F79" w:rsidP="00EE2F79">
      <w:pPr>
        <w:pStyle w:val="CGCNumberedPara"/>
      </w:pPr>
      <w:r>
        <w:t>Staff have observed substantial differences between States in the number of finalisations per 100,000 people in civil court</w:t>
      </w:r>
      <w:r w:rsidR="006178FE">
        <w:t>s</w:t>
      </w:r>
      <w:r>
        <w:t>. We currently have no information on whether States have disabilities th</w:t>
      </w:r>
      <w:r w:rsidR="006178FE">
        <w:t>at</w:t>
      </w:r>
      <w:r>
        <w:t xml:space="preserve"> may drive these differences or whether policy choices are responsible. </w:t>
      </w:r>
    </w:p>
    <w:p w14:paraId="477AE176" w14:textId="286D6220" w:rsidR="00EE2F79" w:rsidRDefault="00EE2F79" w:rsidP="00EE2F79">
      <w:pPr>
        <w:pStyle w:val="CGCNumberedPara"/>
      </w:pPr>
      <w:r>
        <w:t>While it would be desirable to know if disabilities exist</w:t>
      </w:r>
      <w:r w:rsidR="006178FE">
        <w:t>,</w:t>
      </w:r>
      <w:r>
        <w:t xml:space="preserve"> there </w:t>
      </w:r>
      <w:r w:rsidR="005B5F33">
        <w:t>are</w:t>
      </w:r>
      <w:r>
        <w:t xml:space="preserve"> currently no data to support such research</w:t>
      </w:r>
      <w:r w:rsidR="005B5F33">
        <w:t>,</w:t>
      </w:r>
      <w:r>
        <w:t xml:space="preserve"> as information </w:t>
      </w:r>
      <w:r w:rsidR="006178FE">
        <w:t xml:space="preserve">on </w:t>
      </w:r>
      <w:r>
        <w:t xml:space="preserve">socio-demographic characteristics of civil court litigants and defenders are not collected. </w:t>
      </w:r>
      <w:r w:rsidR="006178FE">
        <w:t>Accordingly</w:t>
      </w:r>
      <w:r>
        <w:t xml:space="preserve"> staff intend to recommend a continuance of an EPC assessment for civil courts. </w:t>
      </w:r>
    </w:p>
    <w:p w14:paraId="7F859657" w14:textId="384F7F44" w:rsidR="00275BF3" w:rsidRDefault="00A56AE1" w:rsidP="00266D41">
      <w:pPr>
        <w:pStyle w:val="CGCNumberedPara"/>
      </w:pPr>
      <w:r>
        <w:t>Staff propose to recommend the remaining expenditure</w:t>
      </w:r>
      <w:r w:rsidR="006178FE">
        <w:t xml:space="preserve"> (</w:t>
      </w:r>
      <w:r>
        <w:t>including</w:t>
      </w:r>
      <w:r w:rsidR="00573580">
        <w:t xml:space="preserve"> </w:t>
      </w:r>
      <w:r>
        <w:t>Attorneys</w:t>
      </w:r>
      <w:r w:rsidR="006178FE">
        <w:t>-</w:t>
      </w:r>
      <w:r>
        <w:t>General</w:t>
      </w:r>
      <w:r w:rsidR="006178FE">
        <w:t>’</w:t>
      </w:r>
      <w:r>
        <w:t>s offices, birth, deaths and marriage registrars, law reform commissions and tribunals</w:t>
      </w:r>
      <w:r w:rsidR="006178FE">
        <w:t>)</w:t>
      </w:r>
      <w:r>
        <w:t xml:space="preserve"> should </w:t>
      </w:r>
      <w:r w:rsidR="00EE2F79">
        <w:t xml:space="preserve">also </w:t>
      </w:r>
      <w:r>
        <w:t xml:space="preserve">be assessed </w:t>
      </w:r>
      <w:r w:rsidR="00EE2F79">
        <w:t>on an EPC basis.</w:t>
      </w:r>
      <w:r>
        <w:t xml:space="preserve"> </w:t>
      </w:r>
      <w:r w:rsidR="00EE2F79">
        <w:t>For simplicity, these expenses could be grouped with the civil courts expenses and assessed collectively EPC.</w:t>
      </w:r>
      <w:r w:rsidR="00503E93">
        <w:t xml:space="preserve"> Together these expenses represent about 40% of legal services expenses. </w:t>
      </w:r>
      <w:r w:rsidR="00EE2F79">
        <w:t xml:space="preserve"> </w:t>
      </w:r>
    </w:p>
    <w:p w14:paraId="7CE2D31E" w14:textId="589AE9A5" w:rsidR="00C90EA8" w:rsidRDefault="00C90EA8" w:rsidP="00C90EA8">
      <w:pPr>
        <w:pStyle w:val="Heading5"/>
      </w:pPr>
      <w:r>
        <w:t>SDC Assessment of Criminal Court</w:t>
      </w:r>
      <w:r w:rsidR="00737DFE">
        <w:t>s</w:t>
      </w:r>
    </w:p>
    <w:p w14:paraId="24CA1EC2" w14:textId="58C87228" w:rsidR="00C90EA8" w:rsidRDefault="00C90EA8" w:rsidP="00C90EA8">
      <w:pPr>
        <w:pStyle w:val="CGCNumberedPara"/>
      </w:pPr>
      <w:r>
        <w:t xml:space="preserve">Staff propose to retain the SDC assessment of </w:t>
      </w:r>
      <w:r w:rsidR="00842A85">
        <w:t xml:space="preserve">expenses for </w:t>
      </w:r>
      <w:r>
        <w:t xml:space="preserve">criminal courts, </w:t>
      </w:r>
      <w:r w:rsidR="005D7C63">
        <w:t xml:space="preserve">and that the same disabilities should also apply to </w:t>
      </w:r>
      <w:r>
        <w:t>the pub</w:t>
      </w:r>
      <w:r w:rsidR="00842A85">
        <w:t>l</w:t>
      </w:r>
      <w:r>
        <w:t xml:space="preserve">ic prosecution and legal aid elements of the </w:t>
      </w:r>
      <w:r w:rsidR="00E1516D">
        <w:t>l</w:t>
      </w:r>
      <w:r>
        <w:t xml:space="preserve">egal </w:t>
      </w:r>
      <w:r w:rsidR="002E6F2B">
        <w:t>c</w:t>
      </w:r>
      <w:r>
        <w:t>luster</w:t>
      </w:r>
      <w:r w:rsidR="00910267">
        <w:t xml:space="preserve">. </w:t>
      </w:r>
      <w:r>
        <w:t>Th</w:t>
      </w:r>
      <w:r w:rsidR="005D7C63">
        <w:t>e</w:t>
      </w:r>
      <w:r>
        <w:t xml:space="preserve"> </w:t>
      </w:r>
      <w:r w:rsidR="005D7C63">
        <w:t>relevant characteristics</w:t>
      </w:r>
      <w:r>
        <w:t xml:space="preserve"> include </w:t>
      </w:r>
      <w:r w:rsidR="00D253FB">
        <w:t xml:space="preserve">Indigenous status, SES and age. While annual </w:t>
      </w:r>
      <w:r>
        <w:t xml:space="preserve">age and </w:t>
      </w:r>
      <w:r w:rsidR="00D84746">
        <w:t>I</w:t>
      </w:r>
      <w:r>
        <w:t xml:space="preserve">ndigeneity </w:t>
      </w:r>
      <w:r w:rsidR="00282573">
        <w:t xml:space="preserve">data are </w:t>
      </w:r>
      <w:r w:rsidR="00D253FB">
        <w:t xml:space="preserve">available from the ABS, all three variables are available from States. Staff consider the complexity and assumptions involved in partially updating this assessment </w:t>
      </w:r>
      <w:r w:rsidR="002E6F2B">
        <w:t xml:space="preserve">are </w:t>
      </w:r>
      <w:r w:rsidR="00D253FB">
        <w:t>not warranted, a</w:t>
      </w:r>
      <w:r w:rsidR="00896817">
        <w:t>nd propose</w:t>
      </w:r>
      <w:r w:rsidR="0087578B">
        <w:t xml:space="preserve"> only</w:t>
      </w:r>
      <w:r w:rsidR="00896817">
        <w:t xml:space="preserve"> using </w:t>
      </w:r>
      <w:r w:rsidR="0087578B">
        <w:t>rates derived from</w:t>
      </w:r>
      <w:r w:rsidR="00896817">
        <w:t xml:space="preserve"> State data</w:t>
      </w:r>
      <w:r w:rsidR="0087578B">
        <w:t xml:space="preserve"> that match a Census year</w:t>
      </w:r>
      <w:r w:rsidR="00205719">
        <w:t>.</w:t>
      </w:r>
      <w:r w:rsidR="0087578B">
        <w:t xml:space="preserve"> These rates, derived on a </w:t>
      </w:r>
      <w:r w:rsidR="003816AB">
        <w:t xml:space="preserve">five-yearly </w:t>
      </w:r>
      <w:r w:rsidR="0087578B">
        <w:t>basis, would be incorporated annually to n</w:t>
      </w:r>
      <w:r w:rsidR="00557174">
        <w:t>ew population data</w:t>
      </w:r>
      <w:r w:rsidR="0087578B">
        <w:t>.</w:t>
      </w:r>
      <w:r w:rsidR="00557174">
        <w:t xml:space="preserve"> At the time of the 2021 Census, which may result in significant changes to Indigenous identification patterns, staff would propose a new data request be sent to States.</w:t>
      </w:r>
    </w:p>
    <w:p w14:paraId="024AAC36" w14:textId="173C050A" w:rsidR="00414C26" w:rsidRDefault="00414C26" w:rsidP="00414C26">
      <w:pPr>
        <w:pStyle w:val="CGCNumberedPara"/>
      </w:pPr>
      <w:r>
        <w:t xml:space="preserve">While Indigenous people </w:t>
      </w:r>
      <w:r w:rsidR="00450C83">
        <w:t xml:space="preserve">are defendants in court at a higher rate </w:t>
      </w:r>
      <w:r w:rsidR="00371596">
        <w:t>than non</w:t>
      </w:r>
      <w:r w:rsidR="00371596">
        <w:noBreakHyphen/>
        <w:t>Indig</w:t>
      </w:r>
      <w:r w:rsidR="00450C83">
        <w:t>e</w:t>
      </w:r>
      <w:r w:rsidR="00371596">
        <w:t xml:space="preserve">nous people, this </w:t>
      </w:r>
      <w:r w:rsidR="00450C83">
        <w:t xml:space="preserve">difference </w:t>
      </w:r>
      <w:r w:rsidR="00371596">
        <w:t xml:space="preserve">is greater </w:t>
      </w:r>
      <w:r w:rsidR="00450C83">
        <w:t xml:space="preserve">in </w:t>
      </w:r>
      <w:r w:rsidR="002E6F2B">
        <w:t>m</w:t>
      </w:r>
      <w:r>
        <w:t xml:space="preserve">agistrate’s courts than in </w:t>
      </w:r>
      <w:r w:rsidR="002E6F2B">
        <w:t>h</w:t>
      </w:r>
      <w:r w:rsidR="00371596">
        <w:t xml:space="preserve">igher </w:t>
      </w:r>
      <w:r>
        <w:t>courts</w:t>
      </w:r>
      <w:r w:rsidR="00910267">
        <w:t xml:space="preserve">. </w:t>
      </w:r>
      <w:r>
        <w:t xml:space="preserve">However, the cost per finalisation in </w:t>
      </w:r>
      <w:r w:rsidR="00675D95">
        <w:t>m</w:t>
      </w:r>
      <w:r>
        <w:t xml:space="preserve">agistrates’ </w:t>
      </w:r>
      <w:r w:rsidR="00675D95">
        <w:t>c</w:t>
      </w:r>
      <w:r>
        <w:t>ourt</w:t>
      </w:r>
      <w:r w:rsidR="00675D95">
        <w:t>s</w:t>
      </w:r>
      <w:r>
        <w:t xml:space="preserve"> is one-twentieth that of the </w:t>
      </w:r>
      <w:r w:rsidR="00675D95">
        <w:t>h</w:t>
      </w:r>
      <w:r>
        <w:t xml:space="preserve">igher </w:t>
      </w:r>
      <w:r w:rsidR="00675D95">
        <w:t>c</w:t>
      </w:r>
      <w:r>
        <w:t>ourts</w:t>
      </w:r>
      <w:r w:rsidR="00910267">
        <w:t xml:space="preserve">. </w:t>
      </w:r>
      <w:r>
        <w:t xml:space="preserve">By examining the SDC characteristics of defendants who use the various courts, in conjunction with the costs of those courts, it is possible to produce a cost weight for different socio-demographic groups across all </w:t>
      </w:r>
      <w:r w:rsidR="002E6F2B">
        <w:t>c</w:t>
      </w:r>
      <w:r>
        <w:t xml:space="preserve">riminal </w:t>
      </w:r>
      <w:r w:rsidR="002E6F2B">
        <w:t>c</w:t>
      </w:r>
      <w:r>
        <w:t>ourts</w:t>
      </w:r>
      <w:r w:rsidR="00910267">
        <w:t xml:space="preserve">. </w:t>
      </w:r>
      <w:r>
        <w:t>Initial results, based on four States with available information, found that a</w:t>
      </w:r>
      <w:r w:rsidR="00A71EFF">
        <w:t xml:space="preserve"> matter involving a</w:t>
      </w:r>
      <w:r>
        <w:t xml:space="preserve">n Indigenous person in the </w:t>
      </w:r>
      <w:r w:rsidR="00675D95">
        <w:t>c</w:t>
      </w:r>
      <w:r>
        <w:t xml:space="preserve">riminal </w:t>
      </w:r>
      <w:r w:rsidR="00675D95">
        <w:t>c</w:t>
      </w:r>
      <w:r>
        <w:t>ourt system cost</w:t>
      </w:r>
      <w:r w:rsidR="008F2275">
        <w:t>s</w:t>
      </w:r>
      <w:r>
        <w:t xml:space="preserve"> 15% less than </w:t>
      </w:r>
      <w:r w:rsidR="00A71EFF">
        <w:t xml:space="preserve">one involving a </w:t>
      </w:r>
      <w:r>
        <w:t>non-Indigenous defendant.</w:t>
      </w:r>
    </w:p>
    <w:p w14:paraId="683AF5F5" w14:textId="782A8549" w:rsidR="00ED6492" w:rsidRPr="003816AB" w:rsidRDefault="00ED6492" w:rsidP="00ED6492">
      <w:pPr>
        <w:pStyle w:val="CGCNumberedPara"/>
        <w:numPr>
          <w:ilvl w:val="1"/>
          <w:numId w:val="3"/>
        </w:numPr>
      </w:pPr>
      <w:r w:rsidRPr="003816AB">
        <w:t xml:space="preserve">However, for traffic and related offences, there is little available data on the Indigenous status of the defendants. These offences make up nearly 40% of cases in the magistrate’s court. </w:t>
      </w:r>
    </w:p>
    <w:p w14:paraId="38FA9870" w14:textId="77777777" w:rsidR="00ED6492" w:rsidRPr="003816AB" w:rsidRDefault="00ED6492" w:rsidP="00ED6492">
      <w:pPr>
        <w:pStyle w:val="CGCNumberedPara"/>
        <w:numPr>
          <w:ilvl w:val="1"/>
          <w:numId w:val="3"/>
        </w:numPr>
      </w:pPr>
      <w:r w:rsidRPr="003816AB">
        <w:t>Many traffic offences do not result in a court appearance, court appearances are likely to relate to:</w:t>
      </w:r>
    </w:p>
    <w:p w14:paraId="00B6D1C4" w14:textId="77777777" w:rsidR="00ED6492" w:rsidRPr="003816AB" w:rsidRDefault="00ED6492" w:rsidP="00ED6492">
      <w:pPr>
        <w:pStyle w:val="CGCBulletlist"/>
        <w:numPr>
          <w:ilvl w:val="0"/>
          <w:numId w:val="1"/>
        </w:numPr>
        <w:tabs>
          <w:tab w:val="clear" w:pos="927"/>
        </w:tabs>
        <w:ind w:left="1134" w:hanging="567"/>
      </w:pPr>
      <w:r w:rsidRPr="003816AB">
        <w:t xml:space="preserve">certain types of offence, </w:t>
      </w:r>
    </w:p>
    <w:p w14:paraId="0099EDDA" w14:textId="77777777" w:rsidR="00ED6492" w:rsidRPr="003816AB" w:rsidRDefault="00ED6492" w:rsidP="00ED6492">
      <w:pPr>
        <w:pStyle w:val="CGCBulletlist"/>
        <w:numPr>
          <w:ilvl w:val="0"/>
          <w:numId w:val="1"/>
        </w:numPr>
        <w:tabs>
          <w:tab w:val="clear" w:pos="927"/>
        </w:tabs>
        <w:ind w:left="1134" w:hanging="567"/>
      </w:pPr>
      <w:r w:rsidRPr="003816AB">
        <w:t>refusal to pay fines</w:t>
      </w:r>
    </w:p>
    <w:p w14:paraId="2C4666AA" w14:textId="77777777" w:rsidR="00ED6492" w:rsidRPr="003816AB" w:rsidRDefault="00ED6492" w:rsidP="00ED6492">
      <w:pPr>
        <w:pStyle w:val="CGCBulletlist"/>
        <w:numPr>
          <w:ilvl w:val="0"/>
          <w:numId w:val="1"/>
        </w:numPr>
        <w:tabs>
          <w:tab w:val="clear" w:pos="927"/>
        </w:tabs>
        <w:ind w:left="1134" w:hanging="567"/>
      </w:pPr>
      <w:r w:rsidRPr="003816AB">
        <w:t xml:space="preserve">arguing outcomes, for example to not to suspend their license. </w:t>
      </w:r>
    </w:p>
    <w:p w14:paraId="23DD5C04" w14:textId="33EC2DA4" w:rsidR="00ED6492" w:rsidRPr="003816AB" w:rsidRDefault="00ED6492" w:rsidP="00ED6492">
      <w:pPr>
        <w:pStyle w:val="CGCNumberedPara"/>
        <w:numPr>
          <w:ilvl w:val="1"/>
          <w:numId w:val="3"/>
        </w:numPr>
      </w:pPr>
      <w:r w:rsidRPr="003816AB">
        <w:t xml:space="preserve">Whether these defendants are disproportionately Indigenous or not has a significant effect on the overall relative cost of Indigenous and non-Indigenous defendants. If </w:t>
      </w:r>
      <w:r w:rsidR="00617CE0">
        <w:t xml:space="preserve">the assessment </w:t>
      </w:r>
      <w:r w:rsidRPr="003816AB">
        <w:t>were to impute Indigenous status using the assumption that the Indigenous proportion of traffic and related magistrate’s court defendants is the same as all other offences, Indigenous defendants for all courts would cost 10% less than non-Indigenous defendants on average. However, if Indigenous persons were in court for these offences in the same proportion as their share of the total population, their average cost would be 20% higher than their non-Indigenous counterparts. Given the uncertainty with the available data, staff intend recommending the Commission not introduce a cost-weight measure into the courts assessment.</w:t>
      </w:r>
    </w:p>
    <w:p w14:paraId="460C3B16" w14:textId="7CD221AA" w:rsidR="00AC3DDC" w:rsidRDefault="005D7C63" w:rsidP="00AC3DDC">
      <w:pPr>
        <w:pStyle w:val="CGCNumberedPara"/>
      </w:pPr>
      <w:r>
        <w:t>I</w:t>
      </w:r>
      <w:r w:rsidR="00AC3DDC">
        <w:t xml:space="preserve">ndigenous status not being collected in some States for </w:t>
      </w:r>
      <w:r w:rsidR="00ED6492">
        <w:t xml:space="preserve">traffic related </w:t>
      </w:r>
      <w:r w:rsidR="00E1516D">
        <w:t xml:space="preserve">court appearances has implications for </w:t>
      </w:r>
      <w:r w:rsidR="00AC3DDC">
        <w:t>making a comprehensive SDC assessment of courts.</w:t>
      </w:r>
      <w:r w:rsidR="00573580">
        <w:t xml:space="preserve"> </w:t>
      </w:r>
      <w:r w:rsidR="00AC3DDC">
        <w:t>According to ABS data, available for four States, the rate of Indigenous def</w:t>
      </w:r>
      <w:r w:rsidR="00573580">
        <w:t>endants is 7 times that of non-I</w:t>
      </w:r>
      <w:r w:rsidR="00AC3DDC">
        <w:t>ndigenous defendants. However</w:t>
      </w:r>
      <w:r w:rsidR="00ED6492">
        <w:t>,</w:t>
      </w:r>
      <w:r w:rsidR="00AC3DDC">
        <w:t xml:space="preserve"> this rate applies to</w:t>
      </w:r>
      <w:r w:rsidR="00176FEC">
        <w:t xml:space="preserve"> only</w:t>
      </w:r>
      <w:r w:rsidR="00AC3DDC">
        <w:t xml:space="preserve"> 60% of defendants.</w:t>
      </w:r>
      <w:r w:rsidR="00573580">
        <w:t xml:space="preserve"> It is unknown if I</w:t>
      </w:r>
      <w:r w:rsidR="00AC3DDC">
        <w:t xml:space="preserve">ndigenous persons are similarly over-represented for </w:t>
      </w:r>
      <w:r w:rsidR="00176FEC">
        <w:t xml:space="preserve">the remaining </w:t>
      </w:r>
      <w:r w:rsidR="00AC3DDC">
        <w:t>offences.</w:t>
      </w:r>
      <w:r w:rsidR="00573580">
        <w:t xml:space="preserve"> </w:t>
      </w:r>
    </w:p>
    <w:p w14:paraId="2DD78233" w14:textId="1DD5E851" w:rsidR="008F2275" w:rsidRDefault="00AC3DDC" w:rsidP="00414C26">
      <w:pPr>
        <w:pStyle w:val="CGCNumberedPara"/>
      </w:pPr>
      <w:r>
        <w:t>Updated defendants data from the States are required to update SES, age and Indigeneity profiles. In requesting the data</w:t>
      </w:r>
      <w:r w:rsidR="00675D95">
        <w:t>,</w:t>
      </w:r>
      <w:r>
        <w:t xml:space="preserve"> staff will ask for a split between traffic and other offences. Staff will assess any available data on Indigenous status of traffic and offence defendants before determining the most appropriate treatment of these offences.</w:t>
      </w:r>
      <w:r w:rsidR="00573580">
        <w:t xml:space="preserve"> </w:t>
      </w:r>
    </w:p>
    <w:p w14:paraId="1B43F548" w14:textId="77777777" w:rsidR="00D846D6" w:rsidRDefault="00D846D6" w:rsidP="00D846D6">
      <w:pPr>
        <w:pStyle w:val="NoSpacing"/>
      </w:pPr>
    </w:p>
    <w:tbl>
      <w:tblPr>
        <w:tblW w:w="0" w:type="auto"/>
        <w:tblInd w:w="108" w:type="dxa"/>
        <w:shd w:val="clear" w:color="auto" w:fill="D9F3E6"/>
        <w:tblLook w:val="04A0" w:firstRow="1" w:lastRow="0" w:firstColumn="1" w:lastColumn="0" w:noHBand="0" w:noVBand="1"/>
      </w:tblPr>
      <w:tblGrid>
        <w:gridCol w:w="8843"/>
      </w:tblGrid>
      <w:tr w:rsidR="00D846D6" w:rsidRPr="00E674AF" w14:paraId="4C4AA209" w14:textId="77777777" w:rsidTr="00D846D6">
        <w:tc>
          <w:tcPr>
            <w:tcW w:w="8843" w:type="dxa"/>
            <w:shd w:val="clear" w:color="auto" w:fill="D9F3E6"/>
          </w:tcPr>
          <w:p w14:paraId="19257C63" w14:textId="239FC472" w:rsidR="00D846D6" w:rsidRPr="00E674AF" w:rsidRDefault="00D846D6" w:rsidP="00D95EAA">
            <w:r w:rsidRPr="00B7517F">
              <w:t>Staff propose to recommend the Commission:</w:t>
            </w:r>
          </w:p>
          <w:p w14:paraId="4E21A267" w14:textId="600FE20C" w:rsidR="00E23B2C" w:rsidRDefault="00842A85" w:rsidP="00D95EAA">
            <w:pPr>
              <w:pStyle w:val="CGCBulletlist"/>
              <w:numPr>
                <w:ilvl w:val="0"/>
                <w:numId w:val="1"/>
              </w:numPr>
              <w:tabs>
                <w:tab w:val="clear" w:pos="927"/>
                <w:tab w:val="clear" w:pos="1134"/>
              </w:tabs>
              <w:ind w:left="1134" w:hanging="567"/>
            </w:pPr>
            <w:r>
              <w:t>d</w:t>
            </w:r>
            <w:r w:rsidR="00E23B2C">
              <w:t xml:space="preserve">ivide legal service expenses into those associated with criminal matters and all other legal services </w:t>
            </w:r>
          </w:p>
          <w:p w14:paraId="349718D0" w14:textId="61B346CF" w:rsidR="005B5F33" w:rsidRDefault="00842A85" w:rsidP="00414C26">
            <w:pPr>
              <w:pStyle w:val="CGCBulletlist"/>
              <w:numPr>
                <w:ilvl w:val="0"/>
                <w:numId w:val="1"/>
              </w:numPr>
              <w:tabs>
                <w:tab w:val="clear" w:pos="927"/>
                <w:tab w:val="clear" w:pos="1134"/>
              </w:tabs>
              <w:ind w:left="1134" w:hanging="567"/>
            </w:pPr>
            <w:r>
              <w:t>a</w:t>
            </w:r>
            <w:r w:rsidR="00E23B2C">
              <w:t xml:space="preserve">ssess criminal legal matters using </w:t>
            </w:r>
            <w:r w:rsidR="005B5F33">
              <w:t xml:space="preserve">use rates based upon </w:t>
            </w:r>
            <w:r w:rsidR="00E23B2C">
              <w:t xml:space="preserve">State data on </w:t>
            </w:r>
            <w:r w:rsidR="005B5F33">
              <w:t xml:space="preserve">the </w:t>
            </w:r>
            <w:r w:rsidR="00E23B2C">
              <w:t>Indigenous status, SES and age</w:t>
            </w:r>
            <w:r w:rsidR="005B5F33">
              <w:t xml:space="preserve"> characteristics of criminal court defendants</w:t>
            </w:r>
          </w:p>
          <w:p w14:paraId="336BDEAF" w14:textId="48B61CBA" w:rsidR="00E566C9" w:rsidRPr="00E674AF" w:rsidRDefault="00842A85" w:rsidP="00842A85">
            <w:pPr>
              <w:pStyle w:val="CGCBulletlist"/>
              <w:numPr>
                <w:ilvl w:val="0"/>
                <w:numId w:val="1"/>
              </w:numPr>
              <w:tabs>
                <w:tab w:val="clear" w:pos="927"/>
                <w:tab w:val="clear" w:pos="1134"/>
              </w:tabs>
              <w:ind w:left="1134" w:hanging="567"/>
            </w:pPr>
            <w:r>
              <w:t>n</w:t>
            </w:r>
            <w:r w:rsidR="005B5F33">
              <w:t>ot apply any cost</w:t>
            </w:r>
            <w:r w:rsidR="005B5F33">
              <w:noBreakHyphen/>
              <w:t>weights to population groups</w:t>
            </w:r>
            <w:r w:rsidR="00E23B2C">
              <w:t xml:space="preserve">. </w:t>
            </w:r>
          </w:p>
        </w:tc>
      </w:tr>
    </w:tbl>
    <w:p w14:paraId="79D9EB67" w14:textId="77777777" w:rsidR="00D846D6" w:rsidRDefault="00D846D6" w:rsidP="00D846D6">
      <w:pPr>
        <w:pStyle w:val="Heading4"/>
      </w:pPr>
      <w:bookmarkStart w:id="37" w:name="_Toc511747973"/>
      <w:r>
        <w:t>Prisons</w:t>
      </w:r>
      <w:bookmarkEnd w:id="37"/>
    </w:p>
    <w:p w14:paraId="3828D91C" w14:textId="1886888D" w:rsidR="00D846D6" w:rsidRDefault="00FA2C8F" w:rsidP="00D846D6">
      <w:pPr>
        <w:pStyle w:val="CGCNumberedPara"/>
      </w:pPr>
      <w:r>
        <w:t>Staff consider the prison assessment captures the appropriate range of drivers</w:t>
      </w:r>
      <w:r w:rsidR="00910267">
        <w:t xml:space="preserve">. </w:t>
      </w:r>
      <w:r>
        <w:t>While it does not take in</w:t>
      </w:r>
      <w:r w:rsidR="00675D95">
        <w:t>to</w:t>
      </w:r>
      <w:r>
        <w:t xml:space="preserve"> account non-custodial corrective services, </w:t>
      </w:r>
      <w:r w:rsidR="00282573">
        <w:t>staff regard this</w:t>
      </w:r>
      <w:r>
        <w:t xml:space="preserve"> as </w:t>
      </w:r>
      <w:r w:rsidR="00282573">
        <w:t xml:space="preserve">reasonable </w:t>
      </w:r>
      <w:r>
        <w:t>as prisons make up</w:t>
      </w:r>
      <w:r w:rsidR="00C14230">
        <w:t xml:space="preserve"> 85%</w:t>
      </w:r>
      <w:r w:rsidR="00BC5453">
        <w:rPr>
          <w:rStyle w:val="FootnoteReference"/>
        </w:rPr>
        <w:footnoteReference w:id="4"/>
      </w:r>
      <w:r>
        <w:t xml:space="preserve"> of </w:t>
      </w:r>
      <w:r w:rsidR="00675D95">
        <w:t>c</w:t>
      </w:r>
      <w:r>
        <w:t>orrective services</w:t>
      </w:r>
      <w:r w:rsidR="0023491E">
        <w:t xml:space="preserve"> net operating expenditure</w:t>
      </w:r>
      <w:r w:rsidR="00282573">
        <w:t xml:space="preserve">, and </w:t>
      </w:r>
      <w:r>
        <w:t xml:space="preserve">the socio-demographic </w:t>
      </w:r>
      <w:r w:rsidR="00E23B2C">
        <w:t xml:space="preserve">profile of </w:t>
      </w:r>
      <w:r>
        <w:t>custodial and non-custodial</w:t>
      </w:r>
      <w:r w:rsidR="0023491E">
        <w:t xml:space="preserve"> offenders</w:t>
      </w:r>
      <w:r>
        <w:t xml:space="preserve"> are </w:t>
      </w:r>
      <w:r w:rsidR="00282573">
        <w:t>unlikely to be materially different</w:t>
      </w:r>
      <w:r>
        <w:t>.</w:t>
      </w:r>
    </w:p>
    <w:p w14:paraId="121DE968" w14:textId="17422109" w:rsidR="00FA2C8F" w:rsidRDefault="008F2275" w:rsidP="00D846D6">
      <w:pPr>
        <w:pStyle w:val="CGCNumberedPara"/>
      </w:pPr>
      <w:r>
        <w:t>D</w:t>
      </w:r>
      <w:r w:rsidR="00FA2C8F">
        <w:t xml:space="preserve">ata for the age and </w:t>
      </w:r>
      <w:r w:rsidR="00D84746">
        <w:t>I</w:t>
      </w:r>
      <w:r w:rsidR="00FA2C8F">
        <w:t xml:space="preserve">ndigeneity drivers are available annually and </w:t>
      </w:r>
      <w:r w:rsidR="00617CE0">
        <w:t>staff</w:t>
      </w:r>
      <w:r w:rsidR="00FA2C8F">
        <w:t xml:space="preserve"> regard </w:t>
      </w:r>
      <w:r w:rsidR="00282573">
        <w:t>these</w:t>
      </w:r>
      <w:r w:rsidR="00FA2C8F">
        <w:t xml:space="preserve"> data as high quality.</w:t>
      </w:r>
    </w:p>
    <w:p w14:paraId="208FF348" w14:textId="7010519E" w:rsidR="00FA2C8F" w:rsidRDefault="00FA2C8F" w:rsidP="00D846D6">
      <w:pPr>
        <w:pStyle w:val="CGCNumberedPara"/>
      </w:pPr>
      <w:r>
        <w:t xml:space="preserve">Data for SES drivers is less </w:t>
      </w:r>
      <w:r w:rsidR="00E23B2C">
        <w:t xml:space="preserve">readily </w:t>
      </w:r>
      <w:r>
        <w:t>available</w:t>
      </w:r>
      <w:r w:rsidR="00910267">
        <w:t xml:space="preserve">. </w:t>
      </w:r>
      <w:r w:rsidR="00E23B2C">
        <w:t xml:space="preserve">Staff propose to continue the 2015 approach of using </w:t>
      </w:r>
      <w:r w:rsidR="00EE1623">
        <w:t xml:space="preserve">the SES profile of </w:t>
      </w:r>
      <w:r w:rsidR="00E23B2C">
        <w:t>c</w:t>
      </w:r>
      <w:r>
        <w:t>riminal defendants adjudicated as a proxy</w:t>
      </w:r>
      <w:r w:rsidR="002B10F3">
        <w:t xml:space="preserve"> for prison data</w:t>
      </w:r>
      <w:r w:rsidR="00910267">
        <w:t xml:space="preserve">. </w:t>
      </w:r>
      <w:r w:rsidR="002B10F3">
        <w:t xml:space="preserve">While this is not </w:t>
      </w:r>
      <w:r w:rsidR="00573580">
        <w:t>ideal, only available for four S</w:t>
      </w:r>
      <w:r w:rsidR="002B10F3">
        <w:t>tates</w:t>
      </w:r>
      <w:r w:rsidR="00EE1623">
        <w:t>,</w:t>
      </w:r>
      <w:r w:rsidR="002B10F3">
        <w:t xml:space="preserve"> and can only be updated infrequently (requiring a data request to States)</w:t>
      </w:r>
      <w:r w:rsidR="00CB2E43">
        <w:t>,</w:t>
      </w:r>
      <w:r w:rsidR="002B10F3">
        <w:t xml:space="preserve"> it remains the best measure of SES drivers </w:t>
      </w:r>
      <w:r w:rsidR="00617CE0">
        <w:t>available</w:t>
      </w:r>
      <w:r w:rsidR="002B10F3">
        <w:t>.</w:t>
      </w:r>
    </w:p>
    <w:p w14:paraId="2329D56A" w14:textId="0D78DA40" w:rsidR="00557174" w:rsidRPr="00842A85" w:rsidRDefault="00557174" w:rsidP="00D846D6">
      <w:pPr>
        <w:pStyle w:val="CGCNumberedPara"/>
      </w:pPr>
      <w:r w:rsidRPr="00842A85">
        <w:t xml:space="preserve">The courts assessment comes from a single integrated data source, State data. In the interests of simplicity, staff consider it unnecessary to update this annually and make it a composite dataset. However for prisons, the SES is sourced from courts, while age and Indigenous status are sourced from ABS and AIHW data. Therefore the prisons assessment is based on a composite dataset. Updating this annually with new prisons data does not </w:t>
      </w:r>
      <w:r w:rsidR="00842A85">
        <w:t xml:space="preserve">unduly </w:t>
      </w:r>
      <w:r w:rsidRPr="00842A85">
        <w:t xml:space="preserve">add complexity to the assessment. </w:t>
      </w:r>
    </w:p>
    <w:p w14:paraId="4D74C2FC" w14:textId="77777777" w:rsidR="00D846D6" w:rsidRDefault="00D846D6" w:rsidP="00D846D6">
      <w:pPr>
        <w:pStyle w:val="NoSpacing"/>
      </w:pPr>
    </w:p>
    <w:tbl>
      <w:tblPr>
        <w:tblW w:w="0" w:type="auto"/>
        <w:tblInd w:w="108" w:type="dxa"/>
        <w:shd w:val="clear" w:color="auto" w:fill="D9F3E6"/>
        <w:tblLook w:val="04A0" w:firstRow="1" w:lastRow="0" w:firstColumn="1" w:lastColumn="0" w:noHBand="0" w:noVBand="1"/>
      </w:tblPr>
      <w:tblGrid>
        <w:gridCol w:w="8931"/>
      </w:tblGrid>
      <w:tr w:rsidR="00D846D6" w:rsidRPr="00E674AF" w14:paraId="740ABE4D" w14:textId="77777777" w:rsidTr="00D95EAA">
        <w:tc>
          <w:tcPr>
            <w:tcW w:w="8931" w:type="dxa"/>
            <w:shd w:val="clear" w:color="auto" w:fill="D9F3E6"/>
          </w:tcPr>
          <w:p w14:paraId="13690F5F" w14:textId="77777777" w:rsidR="00D846D6" w:rsidRPr="00E674AF" w:rsidRDefault="00D846D6" w:rsidP="00D95EAA">
            <w:r w:rsidRPr="00B7517F">
              <w:t>Staff propose to recommend the Commission:</w:t>
            </w:r>
          </w:p>
          <w:p w14:paraId="407F707A" w14:textId="3D0B1081" w:rsidR="00D846D6" w:rsidRPr="00E674AF" w:rsidRDefault="00842A85" w:rsidP="00842A85">
            <w:pPr>
              <w:pStyle w:val="CGCBulletlist"/>
              <w:numPr>
                <w:ilvl w:val="0"/>
                <w:numId w:val="1"/>
              </w:numPr>
              <w:tabs>
                <w:tab w:val="clear" w:pos="927"/>
                <w:tab w:val="clear" w:pos="1134"/>
              </w:tabs>
              <w:ind w:left="1134" w:hanging="567"/>
            </w:pPr>
            <w:r>
              <w:t>r</w:t>
            </w:r>
            <w:r w:rsidR="00601BBD">
              <w:t xml:space="preserve">etain the 2015 </w:t>
            </w:r>
            <w:r w:rsidR="00CB60BF">
              <w:t xml:space="preserve">Review </w:t>
            </w:r>
            <w:r w:rsidR="00601BBD">
              <w:t>method used to assess Prisons</w:t>
            </w:r>
            <w:r w:rsidR="00DC59B8">
              <w:t>.</w:t>
            </w:r>
          </w:p>
        </w:tc>
      </w:tr>
    </w:tbl>
    <w:p w14:paraId="5B3382D6" w14:textId="77777777" w:rsidR="00E07621" w:rsidRDefault="00E07621" w:rsidP="00B7517F">
      <w:pPr>
        <w:pStyle w:val="Heading4"/>
      </w:pPr>
      <w:bookmarkStart w:id="38" w:name="_Toc511747974"/>
      <w:r>
        <w:t>User charges</w:t>
      </w:r>
      <w:bookmarkEnd w:id="38"/>
    </w:p>
    <w:p w14:paraId="74B95BAE" w14:textId="78410BE0" w:rsidR="008F2275" w:rsidRDefault="00782781" w:rsidP="008F2275">
      <w:pPr>
        <w:pStyle w:val="CGCNumberedPara"/>
      </w:pPr>
      <w:r>
        <w:t xml:space="preserve">According to GFS figures, States raised </w:t>
      </w:r>
      <w:r w:rsidR="00956971">
        <w:t>$1.6 billion in user cha</w:t>
      </w:r>
      <w:r w:rsidR="00675D95">
        <w:t>rges</w:t>
      </w:r>
      <w:r w:rsidR="00956971">
        <w:t xml:space="preserve"> in the justice sector</w:t>
      </w:r>
      <w:r w:rsidR="00910267">
        <w:t xml:space="preserve">. </w:t>
      </w:r>
      <w:r w:rsidR="00995FA7">
        <w:t xml:space="preserve">As </w:t>
      </w:r>
      <w:r w:rsidR="00995FA7">
        <w:fldChar w:fldCharType="begin"/>
      </w:r>
      <w:r w:rsidR="00995FA7">
        <w:instrText xml:space="preserve"> REF _Ref508358553 \h </w:instrText>
      </w:r>
      <w:r w:rsidR="00995FA7">
        <w:fldChar w:fldCharType="separate"/>
      </w:r>
      <w:r w:rsidR="00422CFD">
        <w:t xml:space="preserve">Table </w:t>
      </w:r>
      <w:r w:rsidR="00422CFD">
        <w:rPr>
          <w:noProof/>
        </w:rPr>
        <w:t>8</w:t>
      </w:r>
      <w:r w:rsidR="00995FA7">
        <w:fldChar w:fldCharType="end"/>
      </w:r>
      <w:r w:rsidR="00995FA7">
        <w:t xml:space="preserve"> shows, t</w:t>
      </w:r>
      <w:r w:rsidR="00956971">
        <w:t>wo-thirds of this was from the Law courts and legal services component</w:t>
      </w:r>
      <w:r w:rsidR="00995FA7">
        <w:t xml:space="preserve">. </w:t>
      </w:r>
      <w:r w:rsidR="008F2275">
        <w:t xml:space="preserve">The court charges are largely related to civil court rather than criminal court cases, and also </w:t>
      </w:r>
      <w:r w:rsidR="008F2275" w:rsidRPr="00995FA7">
        <w:t>include significant revenue from other legal services, such as probate and registration systems. Cost recovery services provided by police include policing services at special events; transport escorts; control of traffic for film and television shoots; and a wide variety of information services</w:t>
      </w:r>
      <w:r w:rsidR="008F2275" w:rsidRPr="00995FA7">
        <w:rPr>
          <w:rStyle w:val="FootnoteReference"/>
        </w:rPr>
        <w:footnoteReference w:id="5"/>
      </w:r>
      <w:r w:rsidR="008F2275" w:rsidRPr="00995FA7">
        <w:t>.</w:t>
      </w:r>
      <w:r w:rsidR="008F2275">
        <w:t xml:space="preserve"> Staff consider that an EPC assessment is the most appropriate driver of all justice user charges. As such, we propose to continue the 2015 approach of including justice user charges with other revenue.</w:t>
      </w:r>
    </w:p>
    <w:p w14:paraId="7B1FDA46" w14:textId="17E01FEC" w:rsidR="00D91607" w:rsidRDefault="00D91607" w:rsidP="00DB4F65">
      <w:pPr>
        <w:pStyle w:val="Caption"/>
        <w:ind w:left="0" w:firstLine="0"/>
      </w:pPr>
      <w:bookmarkStart w:id="39" w:name="_Ref508358553"/>
      <w:r>
        <w:t xml:space="preserve">Table </w:t>
      </w:r>
      <w:r w:rsidR="007D28FC">
        <w:fldChar w:fldCharType="begin"/>
      </w:r>
      <w:r w:rsidR="007D28FC">
        <w:instrText xml:space="preserve"> SEQ Table \* ARABIC </w:instrText>
      </w:r>
      <w:r w:rsidR="007D28FC">
        <w:fldChar w:fldCharType="separate"/>
      </w:r>
      <w:r w:rsidR="00422CFD">
        <w:rPr>
          <w:noProof/>
        </w:rPr>
        <w:t>8</w:t>
      </w:r>
      <w:r w:rsidR="007D28FC">
        <w:rPr>
          <w:noProof/>
        </w:rPr>
        <w:fldChar w:fldCharType="end"/>
      </w:r>
      <w:bookmarkEnd w:id="39"/>
      <w:r>
        <w:tab/>
        <w:t xml:space="preserve">GFS </w:t>
      </w:r>
      <w:r w:rsidR="00675D95">
        <w:t>u</w:t>
      </w:r>
      <w:r>
        <w:t xml:space="preserve">ser </w:t>
      </w:r>
      <w:r w:rsidR="00675D95">
        <w:t>c</w:t>
      </w:r>
      <w:r>
        <w:t>harges, 2015-16</w:t>
      </w:r>
    </w:p>
    <w:tbl>
      <w:tblPr>
        <w:tblW w:w="8940" w:type="dxa"/>
        <w:tblLook w:val="04A0" w:firstRow="1" w:lastRow="0" w:firstColumn="1" w:lastColumn="0" w:noHBand="0" w:noVBand="1"/>
      </w:tblPr>
      <w:tblGrid>
        <w:gridCol w:w="5240"/>
        <w:gridCol w:w="3700"/>
      </w:tblGrid>
      <w:tr w:rsidR="00956971" w:rsidRPr="00956971" w14:paraId="706013CB" w14:textId="77777777" w:rsidTr="00956971">
        <w:trPr>
          <w:trHeight w:val="315"/>
        </w:trPr>
        <w:tc>
          <w:tcPr>
            <w:tcW w:w="5240" w:type="dxa"/>
            <w:tcBorders>
              <w:top w:val="single" w:sz="4" w:space="0" w:color="auto"/>
              <w:left w:val="nil"/>
              <w:bottom w:val="single" w:sz="4" w:space="0" w:color="auto"/>
              <w:right w:val="nil"/>
            </w:tcBorders>
            <w:shd w:val="clear" w:color="auto" w:fill="auto"/>
            <w:noWrap/>
            <w:vAlign w:val="bottom"/>
            <w:hideMark/>
          </w:tcPr>
          <w:p w14:paraId="1005AEF6" w14:textId="77777777" w:rsidR="00956971" w:rsidRPr="00956971" w:rsidRDefault="00956971" w:rsidP="00956971">
            <w:pPr>
              <w:tabs>
                <w:tab w:val="clear" w:pos="567"/>
              </w:tabs>
              <w:spacing w:after="0" w:line="240" w:lineRule="auto"/>
              <w:rPr>
                <w:rFonts w:ascii="Calibri" w:eastAsia="Times New Roman" w:hAnsi="Calibri" w:cs="Calibri"/>
                <w:color w:val="000000"/>
                <w:sz w:val="20"/>
                <w:szCs w:val="20"/>
                <w:lang w:eastAsia="en-AU"/>
              </w:rPr>
            </w:pPr>
            <w:bookmarkStart w:id="40" w:name="RANGE!A13:B18"/>
            <w:r w:rsidRPr="00956971">
              <w:rPr>
                <w:rFonts w:ascii="Calibri" w:eastAsia="Times New Roman" w:hAnsi="Calibri" w:cs="Calibri"/>
                <w:color w:val="000000"/>
                <w:sz w:val="20"/>
                <w:szCs w:val="20"/>
                <w:lang w:eastAsia="en-AU"/>
              </w:rPr>
              <w:t>GPC Name</w:t>
            </w:r>
            <w:bookmarkEnd w:id="40"/>
          </w:p>
        </w:tc>
        <w:tc>
          <w:tcPr>
            <w:tcW w:w="3700" w:type="dxa"/>
            <w:tcBorders>
              <w:top w:val="single" w:sz="4" w:space="0" w:color="auto"/>
              <w:left w:val="nil"/>
              <w:bottom w:val="single" w:sz="4" w:space="0" w:color="auto"/>
              <w:right w:val="nil"/>
            </w:tcBorders>
            <w:shd w:val="clear" w:color="auto" w:fill="auto"/>
            <w:noWrap/>
            <w:vAlign w:val="bottom"/>
            <w:hideMark/>
          </w:tcPr>
          <w:p w14:paraId="4515CCD6" w14:textId="62015AB9" w:rsidR="00956971" w:rsidRPr="00956971" w:rsidRDefault="00956971" w:rsidP="00675D95">
            <w:pPr>
              <w:tabs>
                <w:tab w:val="clear" w:pos="567"/>
              </w:tabs>
              <w:spacing w:after="0" w:line="240" w:lineRule="auto"/>
              <w:jc w:val="right"/>
              <w:rPr>
                <w:rFonts w:ascii="Calibri" w:eastAsia="Times New Roman" w:hAnsi="Calibri" w:cs="Calibri"/>
                <w:color w:val="000000"/>
                <w:sz w:val="20"/>
                <w:szCs w:val="20"/>
                <w:lang w:eastAsia="en-AU"/>
              </w:rPr>
            </w:pPr>
            <w:r w:rsidRPr="00956971">
              <w:rPr>
                <w:rFonts w:ascii="Calibri" w:eastAsia="Times New Roman" w:hAnsi="Calibri" w:cs="Calibri"/>
                <w:color w:val="000000"/>
                <w:sz w:val="20"/>
                <w:szCs w:val="20"/>
                <w:lang w:eastAsia="en-AU"/>
              </w:rPr>
              <w:t xml:space="preserve">User </w:t>
            </w:r>
            <w:r w:rsidR="00675D95">
              <w:rPr>
                <w:rFonts w:ascii="Calibri" w:eastAsia="Times New Roman" w:hAnsi="Calibri" w:cs="Calibri"/>
                <w:color w:val="000000"/>
                <w:sz w:val="20"/>
                <w:szCs w:val="20"/>
                <w:lang w:eastAsia="en-AU"/>
              </w:rPr>
              <w:t>c</w:t>
            </w:r>
            <w:r w:rsidRPr="00956971">
              <w:rPr>
                <w:rFonts w:ascii="Calibri" w:eastAsia="Times New Roman" w:hAnsi="Calibri" w:cs="Calibri"/>
                <w:color w:val="000000"/>
                <w:sz w:val="20"/>
                <w:szCs w:val="20"/>
                <w:lang w:eastAsia="en-AU"/>
              </w:rPr>
              <w:t>harges</w:t>
            </w:r>
          </w:p>
        </w:tc>
      </w:tr>
      <w:tr w:rsidR="00956971" w:rsidRPr="00956971" w14:paraId="6362BA6E" w14:textId="77777777" w:rsidTr="00956971">
        <w:trPr>
          <w:trHeight w:val="259"/>
        </w:trPr>
        <w:tc>
          <w:tcPr>
            <w:tcW w:w="5240" w:type="dxa"/>
            <w:tcBorders>
              <w:top w:val="nil"/>
              <w:left w:val="nil"/>
              <w:bottom w:val="nil"/>
              <w:right w:val="nil"/>
            </w:tcBorders>
            <w:shd w:val="clear" w:color="auto" w:fill="auto"/>
            <w:noWrap/>
            <w:vAlign w:val="bottom"/>
            <w:hideMark/>
          </w:tcPr>
          <w:p w14:paraId="30E43BB9" w14:textId="77777777" w:rsidR="00956971" w:rsidRPr="00956971" w:rsidRDefault="00956971" w:rsidP="00956971">
            <w:pPr>
              <w:tabs>
                <w:tab w:val="clear" w:pos="567"/>
              </w:tabs>
              <w:spacing w:after="0" w:line="240" w:lineRule="auto"/>
              <w:jc w:val="right"/>
              <w:rPr>
                <w:rFonts w:ascii="Calibri" w:eastAsia="Times New Roman" w:hAnsi="Calibri" w:cs="Calibri"/>
                <w:color w:val="000000"/>
                <w:sz w:val="20"/>
                <w:szCs w:val="20"/>
                <w:lang w:eastAsia="en-AU"/>
              </w:rPr>
            </w:pPr>
          </w:p>
        </w:tc>
        <w:tc>
          <w:tcPr>
            <w:tcW w:w="3700" w:type="dxa"/>
            <w:tcBorders>
              <w:top w:val="nil"/>
              <w:left w:val="nil"/>
              <w:bottom w:val="nil"/>
              <w:right w:val="nil"/>
            </w:tcBorders>
            <w:shd w:val="clear" w:color="auto" w:fill="auto"/>
            <w:noWrap/>
            <w:vAlign w:val="bottom"/>
            <w:hideMark/>
          </w:tcPr>
          <w:p w14:paraId="3ED3EE1E" w14:textId="5ACF24A1" w:rsidR="00956971" w:rsidRPr="00956971" w:rsidRDefault="00956971" w:rsidP="00675D95">
            <w:pPr>
              <w:tabs>
                <w:tab w:val="clear" w:pos="567"/>
              </w:tabs>
              <w:spacing w:after="0" w:line="240" w:lineRule="auto"/>
              <w:jc w:val="right"/>
              <w:rPr>
                <w:rFonts w:ascii="Calibri" w:eastAsia="Times New Roman" w:hAnsi="Calibri" w:cs="Calibri"/>
                <w:color w:val="000000"/>
                <w:sz w:val="20"/>
                <w:szCs w:val="20"/>
                <w:lang w:eastAsia="en-AU"/>
              </w:rPr>
            </w:pPr>
            <w:r w:rsidRPr="00956971">
              <w:rPr>
                <w:rFonts w:ascii="Calibri" w:eastAsia="Times New Roman" w:hAnsi="Calibri" w:cs="Calibri"/>
                <w:color w:val="000000"/>
                <w:sz w:val="20"/>
                <w:szCs w:val="20"/>
                <w:lang w:eastAsia="en-AU"/>
              </w:rPr>
              <w:t>$ m</w:t>
            </w:r>
          </w:p>
        </w:tc>
      </w:tr>
      <w:tr w:rsidR="00956971" w:rsidRPr="00956971" w14:paraId="3C9D0658" w14:textId="77777777" w:rsidTr="00956971">
        <w:trPr>
          <w:trHeight w:val="315"/>
        </w:trPr>
        <w:tc>
          <w:tcPr>
            <w:tcW w:w="5240" w:type="dxa"/>
            <w:tcBorders>
              <w:top w:val="nil"/>
              <w:left w:val="nil"/>
              <w:bottom w:val="nil"/>
              <w:right w:val="nil"/>
            </w:tcBorders>
            <w:shd w:val="clear" w:color="auto" w:fill="auto"/>
            <w:noWrap/>
            <w:vAlign w:val="bottom"/>
            <w:hideMark/>
          </w:tcPr>
          <w:p w14:paraId="5D96FD61" w14:textId="77777777" w:rsidR="00956971" w:rsidRPr="00956971" w:rsidRDefault="00956971" w:rsidP="00956971">
            <w:pPr>
              <w:tabs>
                <w:tab w:val="clear" w:pos="567"/>
              </w:tabs>
              <w:spacing w:after="0" w:line="240" w:lineRule="auto"/>
              <w:rPr>
                <w:rFonts w:ascii="Calibri" w:eastAsia="Times New Roman" w:hAnsi="Calibri" w:cs="Calibri"/>
                <w:color w:val="000000"/>
                <w:sz w:val="20"/>
                <w:szCs w:val="20"/>
                <w:lang w:eastAsia="en-AU"/>
              </w:rPr>
            </w:pPr>
            <w:r w:rsidRPr="00956971">
              <w:rPr>
                <w:rFonts w:ascii="Calibri" w:eastAsia="Times New Roman" w:hAnsi="Calibri" w:cs="Calibri"/>
                <w:color w:val="000000"/>
                <w:sz w:val="20"/>
                <w:szCs w:val="20"/>
                <w:lang w:eastAsia="en-AU"/>
              </w:rPr>
              <w:t>Law courts and legal services</w:t>
            </w:r>
          </w:p>
        </w:tc>
        <w:tc>
          <w:tcPr>
            <w:tcW w:w="3700" w:type="dxa"/>
            <w:tcBorders>
              <w:top w:val="nil"/>
              <w:left w:val="nil"/>
              <w:bottom w:val="nil"/>
              <w:right w:val="nil"/>
            </w:tcBorders>
            <w:shd w:val="clear" w:color="auto" w:fill="auto"/>
            <w:noWrap/>
            <w:vAlign w:val="bottom"/>
            <w:hideMark/>
          </w:tcPr>
          <w:p w14:paraId="04834FE7" w14:textId="77777777" w:rsidR="00956971" w:rsidRPr="00956971" w:rsidRDefault="00956971" w:rsidP="00956971">
            <w:pPr>
              <w:tabs>
                <w:tab w:val="clear" w:pos="567"/>
              </w:tabs>
              <w:spacing w:after="0" w:line="240" w:lineRule="auto"/>
              <w:jc w:val="right"/>
              <w:rPr>
                <w:rFonts w:ascii="Calibri" w:eastAsia="Times New Roman" w:hAnsi="Calibri" w:cs="Calibri"/>
                <w:color w:val="000000"/>
                <w:sz w:val="20"/>
                <w:szCs w:val="20"/>
                <w:lang w:eastAsia="en-AU"/>
              </w:rPr>
            </w:pPr>
            <w:r w:rsidRPr="00956971">
              <w:rPr>
                <w:rFonts w:ascii="Calibri" w:eastAsia="Times New Roman" w:hAnsi="Calibri" w:cs="Calibri"/>
                <w:color w:val="000000"/>
                <w:sz w:val="20"/>
                <w:szCs w:val="20"/>
                <w:lang w:eastAsia="en-AU"/>
              </w:rPr>
              <w:t xml:space="preserve"> 1 004</w:t>
            </w:r>
          </w:p>
        </w:tc>
      </w:tr>
      <w:tr w:rsidR="00956971" w:rsidRPr="00956971" w14:paraId="61AC5EEB" w14:textId="77777777" w:rsidTr="00956971">
        <w:trPr>
          <w:trHeight w:val="315"/>
        </w:trPr>
        <w:tc>
          <w:tcPr>
            <w:tcW w:w="5240" w:type="dxa"/>
            <w:tcBorders>
              <w:top w:val="nil"/>
              <w:left w:val="nil"/>
              <w:bottom w:val="nil"/>
              <w:right w:val="nil"/>
            </w:tcBorders>
            <w:shd w:val="clear" w:color="auto" w:fill="auto"/>
            <w:noWrap/>
            <w:vAlign w:val="bottom"/>
            <w:hideMark/>
          </w:tcPr>
          <w:p w14:paraId="6F092500" w14:textId="77777777" w:rsidR="00956971" w:rsidRPr="00956971" w:rsidRDefault="00956971" w:rsidP="00956971">
            <w:pPr>
              <w:tabs>
                <w:tab w:val="clear" w:pos="567"/>
              </w:tabs>
              <w:spacing w:after="0" w:line="240" w:lineRule="auto"/>
              <w:rPr>
                <w:rFonts w:ascii="Calibri" w:eastAsia="Times New Roman" w:hAnsi="Calibri" w:cs="Calibri"/>
                <w:color w:val="000000"/>
                <w:sz w:val="20"/>
                <w:szCs w:val="20"/>
                <w:lang w:eastAsia="en-AU"/>
              </w:rPr>
            </w:pPr>
            <w:r w:rsidRPr="00956971">
              <w:rPr>
                <w:rFonts w:ascii="Calibri" w:eastAsia="Times New Roman" w:hAnsi="Calibri" w:cs="Calibri"/>
                <w:color w:val="000000"/>
                <w:sz w:val="20"/>
                <w:szCs w:val="20"/>
                <w:lang w:eastAsia="en-AU"/>
              </w:rPr>
              <w:t>Police services</w:t>
            </w:r>
          </w:p>
        </w:tc>
        <w:tc>
          <w:tcPr>
            <w:tcW w:w="3700" w:type="dxa"/>
            <w:tcBorders>
              <w:top w:val="nil"/>
              <w:left w:val="nil"/>
              <w:bottom w:val="nil"/>
              <w:right w:val="nil"/>
            </w:tcBorders>
            <w:shd w:val="clear" w:color="auto" w:fill="auto"/>
            <w:noWrap/>
            <w:vAlign w:val="bottom"/>
            <w:hideMark/>
          </w:tcPr>
          <w:p w14:paraId="4CDD5255" w14:textId="1AFBDD02" w:rsidR="00956971" w:rsidRPr="00956971" w:rsidRDefault="00573580" w:rsidP="00956971">
            <w:pPr>
              <w:tabs>
                <w:tab w:val="clear" w:pos="567"/>
              </w:tabs>
              <w:spacing w:after="0" w:line="240" w:lineRule="auto"/>
              <w:jc w:val="right"/>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w:t>
            </w:r>
            <w:r w:rsidR="00956971" w:rsidRPr="00956971">
              <w:rPr>
                <w:rFonts w:ascii="Calibri" w:eastAsia="Times New Roman" w:hAnsi="Calibri" w:cs="Calibri"/>
                <w:color w:val="000000"/>
                <w:sz w:val="20"/>
                <w:szCs w:val="20"/>
                <w:lang w:eastAsia="en-AU"/>
              </w:rPr>
              <w:t>482</w:t>
            </w:r>
          </w:p>
        </w:tc>
      </w:tr>
      <w:tr w:rsidR="00956971" w:rsidRPr="00956971" w14:paraId="729B5A53" w14:textId="77777777" w:rsidTr="00956971">
        <w:trPr>
          <w:trHeight w:val="315"/>
        </w:trPr>
        <w:tc>
          <w:tcPr>
            <w:tcW w:w="5240" w:type="dxa"/>
            <w:tcBorders>
              <w:top w:val="nil"/>
              <w:left w:val="nil"/>
              <w:bottom w:val="nil"/>
              <w:right w:val="nil"/>
            </w:tcBorders>
            <w:shd w:val="clear" w:color="auto" w:fill="auto"/>
            <w:noWrap/>
            <w:vAlign w:val="bottom"/>
            <w:hideMark/>
          </w:tcPr>
          <w:p w14:paraId="2CC2479F" w14:textId="77777777" w:rsidR="00956971" w:rsidRPr="00956971" w:rsidRDefault="00956971" w:rsidP="00956971">
            <w:pPr>
              <w:tabs>
                <w:tab w:val="clear" w:pos="567"/>
              </w:tabs>
              <w:spacing w:after="0" w:line="240" w:lineRule="auto"/>
              <w:rPr>
                <w:rFonts w:ascii="Calibri" w:eastAsia="Times New Roman" w:hAnsi="Calibri" w:cs="Calibri"/>
                <w:color w:val="000000"/>
                <w:sz w:val="20"/>
                <w:szCs w:val="20"/>
                <w:lang w:eastAsia="en-AU"/>
              </w:rPr>
            </w:pPr>
            <w:r w:rsidRPr="00956971">
              <w:rPr>
                <w:rFonts w:ascii="Calibri" w:eastAsia="Times New Roman" w:hAnsi="Calibri" w:cs="Calibri"/>
                <w:color w:val="000000"/>
                <w:sz w:val="20"/>
                <w:szCs w:val="20"/>
                <w:lang w:eastAsia="en-AU"/>
              </w:rPr>
              <w:t>Prisons and corrective services</w:t>
            </w:r>
          </w:p>
        </w:tc>
        <w:tc>
          <w:tcPr>
            <w:tcW w:w="3700" w:type="dxa"/>
            <w:tcBorders>
              <w:top w:val="nil"/>
              <w:left w:val="nil"/>
              <w:bottom w:val="nil"/>
              <w:right w:val="nil"/>
            </w:tcBorders>
            <w:shd w:val="clear" w:color="auto" w:fill="auto"/>
            <w:noWrap/>
            <w:vAlign w:val="bottom"/>
            <w:hideMark/>
          </w:tcPr>
          <w:p w14:paraId="344267F8" w14:textId="6CA5F115" w:rsidR="00956971" w:rsidRPr="00956971" w:rsidRDefault="00573580" w:rsidP="00956971">
            <w:pPr>
              <w:tabs>
                <w:tab w:val="clear" w:pos="567"/>
              </w:tabs>
              <w:spacing w:after="0" w:line="240" w:lineRule="auto"/>
              <w:jc w:val="right"/>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 </w:t>
            </w:r>
            <w:r w:rsidR="00956971" w:rsidRPr="00956971">
              <w:rPr>
                <w:rFonts w:ascii="Calibri" w:eastAsia="Times New Roman" w:hAnsi="Calibri" w:cs="Calibri"/>
                <w:color w:val="000000"/>
                <w:sz w:val="20"/>
                <w:szCs w:val="20"/>
                <w:lang w:eastAsia="en-AU"/>
              </w:rPr>
              <w:t>122</w:t>
            </w:r>
          </w:p>
        </w:tc>
      </w:tr>
      <w:tr w:rsidR="00956971" w:rsidRPr="00956971" w14:paraId="19E6D661" w14:textId="77777777" w:rsidTr="00956971">
        <w:trPr>
          <w:trHeight w:val="315"/>
        </w:trPr>
        <w:tc>
          <w:tcPr>
            <w:tcW w:w="5240" w:type="dxa"/>
            <w:tcBorders>
              <w:top w:val="nil"/>
              <w:left w:val="nil"/>
              <w:bottom w:val="single" w:sz="4" w:space="0" w:color="auto"/>
              <w:right w:val="nil"/>
            </w:tcBorders>
            <w:shd w:val="clear" w:color="auto" w:fill="auto"/>
            <w:noWrap/>
            <w:vAlign w:val="bottom"/>
            <w:hideMark/>
          </w:tcPr>
          <w:p w14:paraId="4CE51C0F" w14:textId="77777777" w:rsidR="00956971" w:rsidRPr="00956971" w:rsidRDefault="00956971" w:rsidP="00956971">
            <w:pPr>
              <w:tabs>
                <w:tab w:val="clear" w:pos="567"/>
              </w:tabs>
              <w:spacing w:after="0" w:line="240" w:lineRule="auto"/>
              <w:rPr>
                <w:rFonts w:ascii="Calibri" w:eastAsia="Times New Roman" w:hAnsi="Calibri" w:cs="Calibri"/>
                <w:color w:val="000000"/>
                <w:sz w:val="20"/>
                <w:szCs w:val="20"/>
                <w:lang w:eastAsia="en-AU"/>
              </w:rPr>
            </w:pPr>
            <w:r w:rsidRPr="00956971">
              <w:rPr>
                <w:rFonts w:ascii="Calibri" w:eastAsia="Times New Roman" w:hAnsi="Calibri" w:cs="Calibri"/>
                <w:color w:val="000000"/>
                <w:sz w:val="20"/>
                <w:szCs w:val="20"/>
                <w:lang w:eastAsia="en-AU"/>
              </w:rPr>
              <w:t>Total Justice</w:t>
            </w:r>
          </w:p>
        </w:tc>
        <w:tc>
          <w:tcPr>
            <w:tcW w:w="3700" w:type="dxa"/>
            <w:tcBorders>
              <w:top w:val="nil"/>
              <w:left w:val="nil"/>
              <w:bottom w:val="single" w:sz="4" w:space="0" w:color="auto"/>
              <w:right w:val="nil"/>
            </w:tcBorders>
            <w:shd w:val="clear" w:color="auto" w:fill="auto"/>
            <w:noWrap/>
            <w:vAlign w:val="bottom"/>
            <w:hideMark/>
          </w:tcPr>
          <w:p w14:paraId="0C7259AC" w14:textId="77777777" w:rsidR="00956971" w:rsidRPr="00956971" w:rsidRDefault="00956971" w:rsidP="00956971">
            <w:pPr>
              <w:tabs>
                <w:tab w:val="clear" w:pos="567"/>
              </w:tabs>
              <w:spacing w:after="0" w:line="240" w:lineRule="auto"/>
              <w:jc w:val="right"/>
              <w:rPr>
                <w:rFonts w:ascii="Calibri" w:eastAsia="Times New Roman" w:hAnsi="Calibri" w:cs="Calibri"/>
                <w:color w:val="000000"/>
                <w:sz w:val="20"/>
                <w:szCs w:val="20"/>
                <w:lang w:eastAsia="en-AU"/>
              </w:rPr>
            </w:pPr>
            <w:r w:rsidRPr="00956971">
              <w:rPr>
                <w:rFonts w:ascii="Calibri" w:eastAsia="Times New Roman" w:hAnsi="Calibri" w:cs="Calibri"/>
                <w:color w:val="000000"/>
                <w:sz w:val="20"/>
                <w:szCs w:val="20"/>
                <w:lang w:eastAsia="en-AU"/>
              </w:rPr>
              <w:t xml:space="preserve"> 1 609</w:t>
            </w:r>
          </w:p>
        </w:tc>
      </w:tr>
    </w:tbl>
    <w:p w14:paraId="6BF57586" w14:textId="6118BBAC" w:rsidR="001E2CEB" w:rsidRDefault="001E2CEB" w:rsidP="001E2CEB">
      <w:pPr>
        <w:pStyle w:val="CGCTableFootnote"/>
      </w:pPr>
      <w:r>
        <w:t>Source:</w:t>
      </w:r>
      <w:r>
        <w:tab/>
        <w:t>State provided data</w:t>
      </w:r>
      <w:r w:rsidR="007E025E">
        <w:t>.</w:t>
      </w:r>
    </w:p>
    <w:p w14:paraId="78C8F65A" w14:textId="160C2BB5" w:rsidR="00B7517F" w:rsidRDefault="00B7517F" w:rsidP="00B7517F">
      <w:pPr>
        <w:pStyle w:val="Heading4"/>
      </w:pPr>
      <w:bookmarkStart w:id="41" w:name="_Toc511747975"/>
      <w:r>
        <w:t>Other issues considered</w:t>
      </w:r>
      <w:bookmarkEnd w:id="41"/>
      <w:r w:rsidR="00E07621">
        <w:t xml:space="preserve"> </w:t>
      </w:r>
    </w:p>
    <w:p w14:paraId="645F3DAE" w14:textId="22E41071" w:rsidR="00995FA7" w:rsidRDefault="00E34013" w:rsidP="00B7517F">
      <w:pPr>
        <w:pStyle w:val="CGCNumberedPara"/>
      </w:pPr>
      <w:r>
        <w:t xml:space="preserve">Staff propose to recommend the retention of </w:t>
      </w:r>
      <w:r w:rsidR="00995FA7">
        <w:t xml:space="preserve">the wages </w:t>
      </w:r>
      <w:r w:rsidR="007E4DF5">
        <w:t>adjustment</w:t>
      </w:r>
      <w:r w:rsidR="00842A85">
        <w:t>,</w:t>
      </w:r>
      <w:r w:rsidR="00995FA7">
        <w:t xml:space="preserve"> </w:t>
      </w:r>
      <w:r w:rsidR="007E4DF5">
        <w:t xml:space="preserve">recognising </w:t>
      </w:r>
      <w:r w:rsidR="00995FA7">
        <w:t xml:space="preserve">that some States </w:t>
      </w:r>
      <w:r w:rsidR="007E4DF5">
        <w:t>face</w:t>
      </w:r>
      <w:r w:rsidR="00995FA7">
        <w:t xml:space="preserve"> higher wage</w:t>
      </w:r>
      <w:r w:rsidR="007E4DF5">
        <w:t xml:space="preserve"> pressure</w:t>
      </w:r>
      <w:r w:rsidR="00995FA7">
        <w:t>s than others.</w:t>
      </w:r>
    </w:p>
    <w:p w14:paraId="0F2E5319" w14:textId="732E89F1" w:rsidR="00557174" w:rsidRDefault="00557174" w:rsidP="00B7517F">
      <w:pPr>
        <w:pStyle w:val="CGCNumberedPara"/>
      </w:pPr>
      <w:r>
        <w:t xml:space="preserve">Regional costs and SDS will be retained, </w:t>
      </w:r>
      <w:r w:rsidR="00CB2E43">
        <w:t xml:space="preserve">although </w:t>
      </w:r>
      <w:r>
        <w:t>the method of calculation for police</w:t>
      </w:r>
      <w:r w:rsidR="00CB2E43">
        <w:t xml:space="preserve"> services</w:t>
      </w:r>
      <w:r>
        <w:t xml:space="preserve"> is still being developed, as noted in paragraph </w:t>
      </w:r>
      <w:r>
        <w:fldChar w:fldCharType="begin"/>
      </w:r>
      <w:r>
        <w:instrText xml:space="preserve"> REF _Ref508881372 \r \h </w:instrText>
      </w:r>
      <w:r>
        <w:fldChar w:fldCharType="separate"/>
      </w:r>
      <w:r w:rsidR="00422CFD">
        <w:t>40</w:t>
      </w:r>
      <w:r>
        <w:fldChar w:fldCharType="end"/>
      </w:r>
      <w:r>
        <w:t xml:space="preserve">. Staff propose to continue to extrapolate to courts and prisons as was done in the 2015 Review. </w:t>
      </w:r>
    </w:p>
    <w:p w14:paraId="1F194141" w14:textId="061D88E2" w:rsidR="00B7517F" w:rsidRDefault="00BB1DE4" w:rsidP="008E73FA">
      <w:pPr>
        <w:pStyle w:val="CGCNumberedPara"/>
      </w:pPr>
      <w:r>
        <w:t xml:space="preserve">Staff </w:t>
      </w:r>
      <w:r w:rsidR="00114E65">
        <w:t xml:space="preserve">Draft Assessment Paper </w:t>
      </w:r>
      <w:r w:rsidR="00995FA7" w:rsidRPr="00114E65">
        <w:rPr>
          <w:i/>
        </w:rPr>
        <w:t>CGC 2018-01/2</w:t>
      </w:r>
      <w:r w:rsidR="00F52FDC">
        <w:rPr>
          <w:i/>
        </w:rPr>
        <w:t>5</w:t>
      </w:r>
      <w:r w:rsidR="00995FA7" w:rsidRPr="00114E65">
        <w:rPr>
          <w:i/>
        </w:rPr>
        <w:t>-S</w:t>
      </w:r>
      <w:r w:rsidR="00114E65" w:rsidRPr="00114E65">
        <w:rPr>
          <w:i/>
        </w:rPr>
        <w:t>,</w:t>
      </w:r>
      <w:r w:rsidR="00995FA7" w:rsidRPr="00114E65">
        <w:rPr>
          <w:i/>
        </w:rPr>
        <w:t xml:space="preserve"> Other disabilities</w:t>
      </w:r>
      <w:r w:rsidR="00995FA7" w:rsidRPr="00995FA7">
        <w:t xml:space="preserve"> describes the assessment of a national capital allowance for police services, reflecting the higher salaries paid to </w:t>
      </w:r>
      <w:r w:rsidR="008E73FA">
        <w:t>Australian Federal Police (</w:t>
      </w:r>
      <w:r w:rsidR="00995FA7" w:rsidRPr="00995FA7">
        <w:t>AFP</w:t>
      </w:r>
      <w:r w:rsidR="008E73FA">
        <w:t>)</w:t>
      </w:r>
      <w:r w:rsidR="00995FA7" w:rsidRPr="00995FA7">
        <w:t xml:space="preserve"> staff than staff of State police forces. </w:t>
      </w:r>
      <w:r w:rsidR="00995FA7">
        <w:t>Staff propose to retain this assessment</w:t>
      </w:r>
      <w:r w:rsidR="007E4DF5">
        <w:t xml:space="preserve"> and fully incorporate it into the Justice services category assessment</w:t>
      </w:r>
      <w:r w:rsidR="008E73FA">
        <w:t xml:space="preserve">. </w:t>
      </w:r>
    </w:p>
    <w:tbl>
      <w:tblPr>
        <w:tblW w:w="0" w:type="auto"/>
        <w:tblInd w:w="108" w:type="dxa"/>
        <w:shd w:val="clear" w:color="auto" w:fill="D9F3E6"/>
        <w:tblLook w:val="04A0" w:firstRow="1" w:lastRow="0" w:firstColumn="1" w:lastColumn="0" w:noHBand="0" w:noVBand="1"/>
      </w:tblPr>
      <w:tblGrid>
        <w:gridCol w:w="8931"/>
      </w:tblGrid>
      <w:tr w:rsidR="00B7517F" w:rsidRPr="00E674AF" w14:paraId="760E2BB2" w14:textId="77777777" w:rsidTr="00D95EAA">
        <w:tc>
          <w:tcPr>
            <w:tcW w:w="8931" w:type="dxa"/>
            <w:shd w:val="clear" w:color="auto" w:fill="D9F3E6"/>
          </w:tcPr>
          <w:p w14:paraId="26E9125D" w14:textId="2A8C7B53" w:rsidR="00B7517F" w:rsidRPr="00E674AF" w:rsidRDefault="00B7517F" w:rsidP="00D95EAA">
            <w:r w:rsidRPr="00B7517F">
              <w:t>Staff propose to recommend the Commission:</w:t>
            </w:r>
          </w:p>
          <w:p w14:paraId="679DC49C" w14:textId="6BD842FE" w:rsidR="008E73FA" w:rsidRDefault="008E73FA" w:rsidP="00E566C9">
            <w:pPr>
              <w:pStyle w:val="CGCBulletlist"/>
              <w:numPr>
                <w:ilvl w:val="0"/>
                <w:numId w:val="1"/>
              </w:numPr>
              <w:tabs>
                <w:tab w:val="clear" w:pos="927"/>
                <w:tab w:val="clear" w:pos="1134"/>
              </w:tabs>
              <w:ind w:left="1134" w:hanging="567"/>
            </w:pPr>
            <w:r>
              <w:t xml:space="preserve">apply the wage costs assessment in the </w:t>
            </w:r>
            <w:r w:rsidR="001B68A2">
              <w:t>J</w:t>
            </w:r>
            <w:r>
              <w:t>ustice category</w:t>
            </w:r>
          </w:p>
          <w:p w14:paraId="0F8C757B" w14:textId="6C84E8BF" w:rsidR="00CF73B5" w:rsidRDefault="00CF73B5" w:rsidP="00E566C9">
            <w:pPr>
              <w:pStyle w:val="CGCBulletlist"/>
              <w:numPr>
                <w:ilvl w:val="0"/>
                <w:numId w:val="1"/>
              </w:numPr>
              <w:tabs>
                <w:tab w:val="clear" w:pos="927"/>
                <w:tab w:val="clear" w:pos="1134"/>
              </w:tabs>
              <w:ind w:left="1134" w:hanging="567"/>
            </w:pPr>
            <w:r>
              <w:t xml:space="preserve">retain the 2015 Review </w:t>
            </w:r>
            <w:r w:rsidR="00CB60BF">
              <w:t>method for regional costs and service delivery scale</w:t>
            </w:r>
          </w:p>
          <w:p w14:paraId="567232A8" w14:textId="5DF820D6" w:rsidR="00B7517F" w:rsidRPr="00E674AF" w:rsidRDefault="008E73FA" w:rsidP="00F83781">
            <w:pPr>
              <w:pStyle w:val="CGCBulletlist"/>
              <w:numPr>
                <w:ilvl w:val="0"/>
                <w:numId w:val="1"/>
              </w:numPr>
              <w:tabs>
                <w:tab w:val="clear" w:pos="927"/>
                <w:tab w:val="clear" w:pos="1134"/>
              </w:tabs>
              <w:ind w:left="1134" w:hanging="567"/>
            </w:pPr>
            <w:r>
              <w:t>assess</w:t>
            </w:r>
            <w:r w:rsidR="00F83781">
              <w:t xml:space="preserve"> the influence of </w:t>
            </w:r>
            <w:r w:rsidR="00422CFD">
              <w:t xml:space="preserve">the use of </w:t>
            </w:r>
            <w:r>
              <w:t>AFP officers by the ACT</w:t>
            </w:r>
            <w:r w:rsidR="00F83781">
              <w:t xml:space="preserve"> on police expenses</w:t>
            </w:r>
            <w:r>
              <w:t xml:space="preserve">. </w:t>
            </w:r>
          </w:p>
        </w:tc>
      </w:tr>
    </w:tbl>
    <w:p w14:paraId="19740496" w14:textId="4D9B48BC" w:rsidR="00B7517F" w:rsidRDefault="00B7517F" w:rsidP="00C70498">
      <w:pPr>
        <w:pStyle w:val="Heading3"/>
      </w:pPr>
      <w:bookmarkStart w:id="42" w:name="_Toc511747976"/>
      <w:r>
        <w:t>Conclusion and way forward</w:t>
      </w:r>
      <w:bookmarkEnd w:id="42"/>
    </w:p>
    <w:p w14:paraId="12E0A9D7" w14:textId="77777777" w:rsidR="00B7517F" w:rsidRDefault="00B7517F" w:rsidP="00992572">
      <w:pPr>
        <w:pStyle w:val="Heading4"/>
      </w:pPr>
      <w:bookmarkStart w:id="43" w:name="_Toc511747977"/>
      <w:r>
        <w:t>Proposed assessment structure</w:t>
      </w:r>
      <w:bookmarkEnd w:id="43"/>
    </w:p>
    <w:p w14:paraId="4FE04B30" w14:textId="77777777" w:rsidR="00B7517F" w:rsidRDefault="00B7517F" w:rsidP="00B7517F">
      <w:pPr>
        <w:pStyle w:val="CGCNumberedPara"/>
      </w:pPr>
      <w:r>
        <w:t xml:space="preserve">Staff propose the following assessment structure for this category in the 2020 Review. </w:t>
      </w:r>
    </w:p>
    <w:p w14:paraId="6AB13F1C" w14:textId="2FE4D7C0" w:rsidR="00B7517F" w:rsidRDefault="00B7517F" w:rsidP="00D95EAA">
      <w:pPr>
        <w:pStyle w:val="CGCTableHeading"/>
      </w:pPr>
      <w:r>
        <w:t xml:space="preserve">Table </w:t>
      </w:r>
      <w:r w:rsidR="007D28FC">
        <w:fldChar w:fldCharType="begin"/>
      </w:r>
      <w:r w:rsidR="007D28FC">
        <w:instrText xml:space="preserve"> SEQ Table \* ARABIC </w:instrText>
      </w:r>
      <w:r w:rsidR="007D28FC">
        <w:fldChar w:fldCharType="separate"/>
      </w:r>
      <w:r w:rsidR="00422CFD">
        <w:rPr>
          <w:noProof/>
        </w:rPr>
        <w:t>9</w:t>
      </w:r>
      <w:r w:rsidR="007D28FC">
        <w:rPr>
          <w:noProof/>
        </w:rPr>
        <w:fldChar w:fldCharType="end"/>
      </w:r>
      <w:r>
        <w:tab/>
      </w:r>
      <w:r w:rsidRPr="00B7517F">
        <w:t xml:space="preserve">Proposed </w:t>
      </w:r>
      <w:r w:rsidR="009264F7">
        <w:t>Justice</w:t>
      </w:r>
      <w:r w:rsidRPr="00B7517F">
        <w:t xml:space="preserve"> category structure</w:t>
      </w:r>
    </w:p>
    <w:tbl>
      <w:tblPr>
        <w:tblW w:w="5000" w:type="pct"/>
        <w:tblCellMar>
          <w:left w:w="85" w:type="dxa"/>
          <w:right w:w="85" w:type="dxa"/>
        </w:tblCellMar>
        <w:tblLook w:val="0000" w:firstRow="0" w:lastRow="0" w:firstColumn="0" w:lastColumn="0" w:noHBand="0" w:noVBand="0"/>
      </w:tblPr>
      <w:tblGrid>
        <w:gridCol w:w="1301"/>
        <w:gridCol w:w="1587"/>
        <w:gridCol w:w="6233"/>
      </w:tblGrid>
      <w:tr w:rsidR="00B7517F" w:rsidRPr="004537EA" w14:paraId="48B729AF" w14:textId="77777777" w:rsidTr="00A25B09">
        <w:tc>
          <w:tcPr>
            <w:tcW w:w="713" w:type="pct"/>
            <w:tcBorders>
              <w:top w:val="single" w:sz="6" w:space="0" w:color="auto"/>
              <w:bottom w:val="single" w:sz="6" w:space="0" w:color="auto"/>
            </w:tcBorders>
            <w:vAlign w:val="bottom"/>
          </w:tcPr>
          <w:p w14:paraId="2CCF0ABC" w14:textId="77777777" w:rsidR="00B7517F" w:rsidRPr="004537EA" w:rsidRDefault="00134594" w:rsidP="00134594">
            <w:pPr>
              <w:pStyle w:val="TableColHeadings"/>
              <w:jc w:val="left"/>
              <w:rPr>
                <w:rFonts w:cstheme="minorHAnsi"/>
              </w:rPr>
            </w:pPr>
            <w:r w:rsidRPr="00134594">
              <w:rPr>
                <w:rFonts w:cstheme="minorHAnsi"/>
              </w:rPr>
              <w:t>Component</w:t>
            </w:r>
          </w:p>
        </w:tc>
        <w:tc>
          <w:tcPr>
            <w:tcW w:w="870" w:type="pct"/>
            <w:tcBorders>
              <w:top w:val="single" w:sz="6" w:space="0" w:color="auto"/>
              <w:bottom w:val="single" w:sz="6" w:space="0" w:color="auto"/>
            </w:tcBorders>
            <w:vAlign w:val="bottom"/>
          </w:tcPr>
          <w:p w14:paraId="1DDBA7EA" w14:textId="77777777" w:rsidR="00B7517F" w:rsidRPr="004537EA" w:rsidRDefault="00134594" w:rsidP="00134594">
            <w:pPr>
              <w:pStyle w:val="TableColHeadings"/>
              <w:jc w:val="left"/>
              <w:rPr>
                <w:rFonts w:cstheme="minorHAnsi"/>
              </w:rPr>
            </w:pPr>
            <w:r w:rsidRPr="00134594">
              <w:rPr>
                <w:rFonts w:cstheme="minorHAnsi"/>
              </w:rPr>
              <w:t>Disability</w:t>
            </w:r>
          </w:p>
        </w:tc>
        <w:tc>
          <w:tcPr>
            <w:tcW w:w="3417" w:type="pct"/>
            <w:tcBorders>
              <w:top w:val="single" w:sz="6" w:space="0" w:color="auto"/>
              <w:bottom w:val="single" w:sz="6" w:space="0" w:color="auto"/>
            </w:tcBorders>
            <w:vAlign w:val="bottom"/>
          </w:tcPr>
          <w:p w14:paraId="0EC578C7" w14:textId="77777777" w:rsidR="00B7517F" w:rsidRPr="004537EA" w:rsidRDefault="00134594" w:rsidP="00134594">
            <w:pPr>
              <w:pStyle w:val="TableColHeadings"/>
              <w:jc w:val="left"/>
              <w:rPr>
                <w:rFonts w:cstheme="minorHAnsi"/>
              </w:rPr>
            </w:pPr>
            <w:r w:rsidRPr="00134594">
              <w:rPr>
                <w:rFonts w:cstheme="minorHAnsi"/>
              </w:rPr>
              <w:t>Influence measured by disability</w:t>
            </w:r>
          </w:p>
        </w:tc>
      </w:tr>
      <w:tr w:rsidR="00B7517F" w:rsidRPr="004537EA" w14:paraId="5BD3A333" w14:textId="77777777" w:rsidTr="00A25B09">
        <w:tc>
          <w:tcPr>
            <w:tcW w:w="713" w:type="pct"/>
            <w:tcMar>
              <w:top w:w="0" w:type="dxa"/>
              <w:bottom w:w="0" w:type="dxa"/>
            </w:tcMar>
          </w:tcPr>
          <w:p w14:paraId="35C6EBAD" w14:textId="74F0A0F6" w:rsidR="00B7517F" w:rsidRPr="004537EA" w:rsidRDefault="00793C43" w:rsidP="008E73FA">
            <w:pPr>
              <w:pStyle w:val="TableRowUnits"/>
              <w:jc w:val="left"/>
              <w:rPr>
                <w:rFonts w:cstheme="minorHAnsi"/>
              </w:rPr>
            </w:pPr>
            <w:r>
              <w:rPr>
                <w:rFonts w:cstheme="minorHAnsi"/>
              </w:rPr>
              <w:t xml:space="preserve">1. </w:t>
            </w:r>
            <w:r w:rsidR="00125C6A">
              <w:rPr>
                <w:rFonts w:cstheme="minorHAnsi"/>
              </w:rPr>
              <w:t>Police</w:t>
            </w:r>
          </w:p>
        </w:tc>
        <w:tc>
          <w:tcPr>
            <w:tcW w:w="870" w:type="pct"/>
            <w:tcMar>
              <w:top w:w="0" w:type="dxa"/>
              <w:bottom w:w="0" w:type="dxa"/>
            </w:tcMar>
          </w:tcPr>
          <w:p w14:paraId="2B4C222B" w14:textId="77777777" w:rsidR="00B7517F" w:rsidRPr="008F2275" w:rsidRDefault="00125C6A" w:rsidP="008E73FA">
            <w:pPr>
              <w:pStyle w:val="TableRowUnits"/>
              <w:jc w:val="left"/>
              <w:rPr>
                <w:rFonts w:cstheme="minorHAnsi"/>
              </w:rPr>
            </w:pPr>
            <w:r w:rsidRPr="008F2275">
              <w:rPr>
                <w:rFonts w:cstheme="minorHAnsi"/>
              </w:rPr>
              <w:t>SDC</w:t>
            </w:r>
          </w:p>
        </w:tc>
        <w:tc>
          <w:tcPr>
            <w:tcW w:w="3417" w:type="pct"/>
            <w:tcMar>
              <w:top w:w="0" w:type="dxa"/>
              <w:bottom w:w="0" w:type="dxa"/>
            </w:tcMar>
          </w:tcPr>
          <w:p w14:paraId="22C788B1" w14:textId="1D8175F5" w:rsidR="00B7517F" w:rsidRPr="008F2275" w:rsidRDefault="00982AF4" w:rsidP="00F83781">
            <w:pPr>
              <w:pStyle w:val="TableRowUnits"/>
              <w:jc w:val="left"/>
              <w:rPr>
                <w:rFonts w:cstheme="minorHAnsi"/>
              </w:rPr>
            </w:pPr>
            <w:r w:rsidRPr="008F2275">
              <w:rPr>
                <w:rFonts w:cstheme="minorHAnsi"/>
              </w:rPr>
              <w:t>Recognises that Indigen</w:t>
            </w:r>
            <w:r w:rsidR="00F83781" w:rsidRPr="008F2275">
              <w:rPr>
                <w:rFonts w:cstheme="minorHAnsi"/>
              </w:rPr>
              <w:t>ous</w:t>
            </w:r>
            <w:r w:rsidRPr="008F2275">
              <w:rPr>
                <w:rFonts w:cstheme="minorHAnsi"/>
              </w:rPr>
              <w:t>, low SES and remote</w:t>
            </w:r>
            <w:r w:rsidR="00F83781" w:rsidRPr="008F2275">
              <w:rPr>
                <w:rFonts w:cstheme="minorHAnsi"/>
              </w:rPr>
              <w:t xml:space="preserve"> populations </w:t>
            </w:r>
            <w:r w:rsidRPr="008F2275">
              <w:rPr>
                <w:rFonts w:cstheme="minorHAnsi"/>
              </w:rPr>
              <w:t xml:space="preserve">affect the use and cost of providing </w:t>
            </w:r>
            <w:r w:rsidR="00F83781" w:rsidRPr="008F2275">
              <w:rPr>
                <w:rFonts w:cstheme="minorHAnsi"/>
              </w:rPr>
              <w:t xml:space="preserve">police </w:t>
            </w:r>
            <w:r w:rsidRPr="008F2275">
              <w:rPr>
                <w:rFonts w:cstheme="minorHAnsi"/>
              </w:rPr>
              <w:t>services.</w:t>
            </w:r>
          </w:p>
        </w:tc>
      </w:tr>
      <w:tr w:rsidR="00134594" w:rsidRPr="004537EA" w14:paraId="00826F41" w14:textId="77777777" w:rsidTr="00A25B09">
        <w:tc>
          <w:tcPr>
            <w:tcW w:w="713" w:type="pct"/>
          </w:tcPr>
          <w:p w14:paraId="6128BE82" w14:textId="77777777" w:rsidR="00134594" w:rsidRPr="004537EA" w:rsidRDefault="00134594" w:rsidP="008E73FA">
            <w:pPr>
              <w:pStyle w:val="CGCTableStub"/>
              <w:rPr>
                <w:rFonts w:cstheme="minorHAnsi"/>
              </w:rPr>
            </w:pPr>
          </w:p>
        </w:tc>
        <w:tc>
          <w:tcPr>
            <w:tcW w:w="870" w:type="pct"/>
          </w:tcPr>
          <w:p w14:paraId="7321590A" w14:textId="77777777" w:rsidR="00134594" w:rsidRPr="008F2275" w:rsidRDefault="00F831FF" w:rsidP="008E73FA">
            <w:pPr>
              <w:pStyle w:val="TableRowNormal"/>
              <w:jc w:val="left"/>
              <w:rPr>
                <w:rFonts w:cstheme="minorHAnsi"/>
              </w:rPr>
            </w:pPr>
            <w:r w:rsidRPr="008F2275">
              <w:rPr>
                <w:rFonts w:cstheme="minorHAnsi"/>
              </w:rPr>
              <w:t>Wages</w:t>
            </w:r>
          </w:p>
        </w:tc>
        <w:tc>
          <w:tcPr>
            <w:tcW w:w="3417" w:type="pct"/>
          </w:tcPr>
          <w:p w14:paraId="6161D056" w14:textId="77777777" w:rsidR="00134594" w:rsidRPr="008F2275" w:rsidRDefault="00F831FF" w:rsidP="008E73FA">
            <w:pPr>
              <w:pStyle w:val="TableRowNormal"/>
              <w:jc w:val="left"/>
              <w:rPr>
                <w:rFonts w:cstheme="minorHAnsi"/>
              </w:rPr>
            </w:pPr>
            <w:r w:rsidRPr="008F2275">
              <w:rPr>
                <w:rFonts w:cstheme="minorHAnsi"/>
              </w:rPr>
              <w:t>Recognises the differences in the cost of labour between States</w:t>
            </w:r>
          </w:p>
        </w:tc>
      </w:tr>
      <w:tr w:rsidR="008E328E" w:rsidRPr="004537EA" w14:paraId="6D118C37" w14:textId="77777777" w:rsidTr="00A25B09">
        <w:tc>
          <w:tcPr>
            <w:tcW w:w="713" w:type="pct"/>
          </w:tcPr>
          <w:p w14:paraId="26F2B554" w14:textId="77777777" w:rsidR="008E328E" w:rsidRPr="004537EA" w:rsidRDefault="008E328E" w:rsidP="008E73FA">
            <w:pPr>
              <w:pStyle w:val="CGCTableStub"/>
              <w:rPr>
                <w:rFonts w:cstheme="minorHAnsi"/>
              </w:rPr>
            </w:pPr>
          </w:p>
        </w:tc>
        <w:tc>
          <w:tcPr>
            <w:tcW w:w="870" w:type="pct"/>
          </w:tcPr>
          <w:p w14:paraId="48233181" w14:textId="60120810" w:rsidR="008E328E" w:rsidRPr="008F2275" w:rsidRDefault="008E328E" w:rsidP="00675D95">
            <w:pPr>
              <w:pStyle w:val="TableRowNormal"/>
              <w:jc w:val="left"/>
              <w:rPr>
                <w:rFonts w:cstheme="minorHAnsi"/>
              </w:rPr>
            </w:pPr>
            <w:r w:rsidRPr="008F2275">
              <w:rPr>
                <w:rFonts w:cstheme="minorHAnsi"/>
              </w:rPr>
              <w:t xml:space="preserve">Regional </w:t>
            </w:r>
            <w:r w:rsidR="00675D95">
              <w:rPr>
                <w:rFonts w:cstheme="minorHAnsi"/>
              </w:rPr>
              <w:t>c</w:t>
            </w:r>
            <w:r w:rsidRPr="008F2275">
              <w:rPr>
                <w:rFonts w:cstheme="minorHAnsi"/>
              </w:rPr>
              <w:t>osts</w:t>
            </w:r>
          </w:p>
        </w:tc>
        <w:tc>
          <w:tcPr>
            <w:tcW w:w="3417" w:type="pct"/>
          </w:tcPr>
          <w:p w14:paraId="092F0CFA" w14:textId="5DF4D97E" w:rsidR="008E328E" w:rsidRPr="008F2275" w:rsidRDefault="008E328E" w:rsidP="00F83781">
            <w:pPr>
              <w:pStyle w:val="TableRowNormal"/>
              <w:jc w:val="left"/>
              <w:rPr>
                <w:rFonts w:cstheme="minorHAnsi"/>
              </w:rPr>
            </w:pPr>
            <w:r w:rsidRPr="008F2275">
              <w:rPr>
                <w:rFonts w:cstheme="minorHAnsi"/>
              </w:rPr>
              <w:t>Recognises the costs of delivering services can vary between regions.</w:t>
            </w:r>
          </w:p>
        </w:tc>
      </w:tr>
      <w:tr w:rsidR="00134594" w:rsidRPr="004537EA" w14:paraId="421466C9" w14:textId="77777777" w:rsidTr="00A25B09">
        <w:tc>
          <w:tcPr>
            <w:tcW w:w="713" w:type="pct"/>
          </w:tcPr>
          <w:p w14:paraId="553CF910" w14:textId="77777777" w:rsidR="00134594" w:rsidRPr="004537EA" w:rsidRDefault="00134594" w:rsidP="008E73FA">
            <w:pPr>
              <w:pStyle w:val="CGCTableStub"/>
              <w:rPr>
                <w:rFonts w:cstheme="minorHAnsi"/>
              </w:rPr>
            </w:pPr>
          </w:p>
        </w:tc>
        <w:tc>
          <w:tcPr>
            <w:tcW w:w="870" w:type="pct"/>
          </w:tcPr>
          <w:p w14:paraId="1F2BC7FC" w14:textId="77777777" w:rsidR="00134594" w:rsidRPr="008F2275" w:rsidRDefault="00F831FF" w:rsidP="008E73FA">
            <w:pPr>
              <w:pStyle w:val="TableRowNormal"/>
              <w:jc w:val="left"/>
              <w:rPr>
                <w:rFonts w:cstheme="minorHAnsi"/>
              </w:rPr>
            </w:pPr>
            <w:r w:rsidRPr="008F2275">
              <w:rPr>
                <w:rFonts w:cstheme="minorHAnsi"/>
              </w:rPr>
              <w:t>Service delivery scale</w:t>
            </w:r>
          </w:p>
        </w:tc>
        <w:tc>
          <w:tcPr>
            <w:tcW w:w="3417" w:type="pct"/>
          </w:tcPr>
          <w:p w14:paraId="6DA3DAF9" w14:textId="77777777" w:rsidR="00134594" w:rsidRPr="008F2275" w:rsidRDefault="00F831FF" w:rsidP="008E73FA">
            <w:pPr>
              <w:pStyle w:val="TableRowNormal"/>
              <w:jc w:val="left"/>
              <w:rPr>
                <w:rFonts w:cstheme="minorHAnsi"/>
              </w:rPr>
            </w:pPr>
            <w:r w:rsidRPr="008F2275">
              <w:rPr>
                <w:rFonts w:cstheme="minorHAnsi"/>
              </w:rPr>
              <w:t>Recognises the diseconomies of small station</w:t>
            </w:r>
            <w:r w:rsidR="00982AF4" w:rsidRPr="008F2275">
              <w:rPr>
                <w:rFonts w:cstheme="minorHAnsi"/>
              </w:rPr>
              <w:t>s</w:t>
            </w:r>
            <w:r w:rsidRPr="008F2275">
              <w:rPr>
                <w:rFonts w:cstheme="minorHAnsi"/>
              </w:rPr>
              <w:t xml:space="preserve"> in small isolated communities.</w:t>
            </w:r>
          </w:p>
        </w:tc>
      </w:tr>
      <w:tr w:rsidR="00B7517F" w:rsidRPr="004537EA" w14:paraId="130248D8" w14:textId="77777777" w:rsidTr="00A25B09">
        <w:tc>
          <w:tcPr>
            <w:tcW w:w="713" w:type="pct"/>
            <w:tcBorders>
              <w:top w:val="single" w:sz="4" w:space="0" w:color="auto"/>
            </w:tcBorders>
          </w:tcPr>
          <w:p w14:paraId="2432A5A3" w14:textId="06C2A6E0" w:rsidR="00B7517F" w:rsidRPr="004537EA" w:rsidRDefault="00793C43" w:rsidP="008E73FA">
            <w:pPr>
              <w:pStyle w:val="CGCTableStub"/>
              <w:rPr>
                <w:rFonts w:cstheme="minorHAnsi"/>
              </w:rPr>
            </w:pPr>
            <w:r>
              <w:rPr>
                <w:rFonts w:cstheme="minorHAnsi"/>
              </w:rPr>
              <w:t xml:space="preserve">2. </w:t>
            </w:r>
            <w:r w:rsidR="00EE1623">
              <w:rPr>
                <w:rFonts w:cstheme="minorHAnsi"/>
              </w:rPr>
              <w:t xml:space="preserve">Criminal </w:t>
            </w:r>
            <w:r>
              <w:rPr>
                <w:rFonts w:cstheme="minorHAnsi"/>
              </w:rPr>
              <w:t xml:space="preserve">  </w:t>
            </w:r>
            <w:r w:rsidR="00F831FF">
              <w:rPr>
                <w:rFonts w:cstheme="minorHAnsi"/>
              </w:rPr>
              <w:t>Courts</w:t>
            </w:r>
          </w:p>
        </w:tc>
        <w:tc>
          <w:tcPr>
            <w:tcW w:w="870" w:type="pct"/>
            <w:tcBorders>
              <w:top w:val="single" w:sz="4" w:space="0" w:color="auto"/>
            </w:tcBorders>
          </w:tcPr>
          <w:p w14:paraId="46092433" w14:textId="77777777" w:rsidR="00B7517F" w:rsidRPr="004537EA" w:rsidRDefault="002C5FB0" w:rsidP="008E73FA">
            <w:pPr>
              <w:pStyle w:val="TableRowNormal"/>
              <w:jc w:val="left"/>
              <w:rPr>
                <w:rFonts w:cstheme="minorHAnsi"/>
              </w:rPr>
            </w:pPr>
            <w:r>
              <w:rPr>
                <w:rFonts w:cstheme="minorHAnsi"/>
              </w:rPr>
              <w:t>SDC</w:t>
            </w:r>
          </w:p>
        </w:tc>
        <w:tc>
          <w:tcPr>
            <w:tcW w:w="3417" w:type="pct"/>
            <w:tcBorders>
              <w:top w:val="single" w:sz="4" w:space="0" w:color="auto"/>
            </w:tcBorders>
          </w:tcPr>
          <w:p w14:paraId="67BE8507" w14:textId="44F90C1F" w:rsidR="00B7517F" w:rsidRPr="004537EA" w:rsidRDefault="00F83781" w:rsidP="00F83781">
            <w:pPr>
              <w:pStyle w:val="TableRowNormal"/>
              <w:jc w:val="left"/>
              <w:rPr>
                <w:rFonts w:cstheme="minorHAnsi"/>
              </w:rPr>
            </w:pPr>
            <w:r>
              <w:rPr>
                <w:rFonts w:cstheme="minorHAnsi"/>
              </w:rPr>
              <w:t>Recognises that Indigenous, low SES and remote populations have different use patterns for criminal courts and related services.</w:t>
            </w:r>
          </w:p>
        </w:tc>
      </w:tr>
      <w:tr w:rsidR="00134594" w:rsidRPr="004537EA" w14:paraId="5F0FF8C1" w14:textId="77777777" w:rsidTr="00A25B09">
        <w:tc>
          <w:tcPr>
            <w:tcW w:w="713" w:type="pct"/>
          </w:tcPr>
          <w:p w14:paraId="59B13E24" w14:textId="77777777" w:rsidR="00134594" w:rsidRPr="004537EA" w:rsidRDefault="00134594" w:rsidP="008E73FA">
            <w:pPr>
              <w:pStyle w:val="CGCTableStub"/>
              <w:rPr>
                <w:rFonts w:cstheme="minorHAnsi"/>
              </w:rPr>
            </w:pPr>
          </w:p>
        </w:tc>
        <w:tc>
          <w:tcPr>
            <w:tcW w:w="870" w:type="pct"/>
          </w:tcPr>
          <w:p w14:paraId="7FA9C357" w14:textId="77777777" w:rsidR="00134594" w:rsidRPr="004537EA" w:rsidRDefault="002C5FB0" w:rsidP="008E73FA">
            <w:pPr>
              <w:pStyle w:val="TableRowNormal"/>
              <w:jc w:val="left"/>
              <w:rPr>
                <w:rFonts w:cstheme="minorHAnsi"/>
              </w:rPr>
            </w:pPr>
            <w:r>
              <w:rPr>
                <w:rFonts w:cstheme="minorHAnsi"/>
              </w:rPr>
              <w:t>Wage</w:t>
            </w:r>
          </w:p>
        </w:tc>
        <w:tc>
          <w:tcPr>
            <w:tcW w:w="3417" w:type="pct"/>
          </w:tcPr>
          <w:p w14:paraId="2EB7DFC3" w14:textId="77777777" w:rsidR="00134594" w:rsidRPr="004537EA" w:rsidRDefault="002C5FB0" w:rsidP="008E73FA">
            <w:pPr>
              <w:pStyle w:val="TableRowNormal"/>
              <w:jc w:val="left"/>
              <w:rPr>
                <w:rFonts w:cstheme="minorHAnsi"/>
              </w:rPr>
            </w:pPr>
            <w:r>
              <w:rPr>
                <w:rFonts w:cstheme="minorHAnsi"/>
              </w:rPr>
              <w:t>Recognises the difference in the cost of labour between States</w:t>
            </w:r>
            <w:r w:rsidR="00EE1623">
              <w:rPr>
                <w:rFonts w:cstheme="minorHAnsi"/>
              </w:rPr>
              <w:t>.</w:t>
            </w:r>
          </w:p>
        </w:tc>
      </w:tr>
      <w:tr w:rsidR="001D55B7" w:rsidRPr="004537EA" w14:paraId="136A5E54" w14:textId="77777777" w:rsidTr="00A25B09">
        <w:tc>
          <w:tcPr>
            <w:tcW w:w="713" w:type="pct"/>
          </w:tcPr>
          <w:p w14:paraId="02C6F7CE" w14:textId="77777777" w:rsidR="001D55B7" w:rsidRPr="004537EA" w:rsidRDefault="001D55B7" w:rsidP="008E73FA">
            <w:pPr>
              <w:pStyle w:val="CGCTableStub"/>
              <w:rPr>
                <w:rFonts w:cstheme="minorHAnsi"/>
              </w:rPr>
            </w:pPr>
          </w:p>
        </w:tc>
        <w:tc>
          <w:tcPr>
            <w:tcW w:w="870" w:type="pct"/>
          </w:tcPr>
          <w:p w14:paraId="261D5EB2" w14:textId="0E83191D" w:rsidR="001D55B7" w:rsidRDefault="001D55B7" w:rsidP="008E73FA">
            <w:pPr>
              <w:pStyle w:val="TableRowNormal"/>
              <w:jc w:val="left"/>
              <w:rPr>
                <w:rFonts w:cstheme="minorHAnsi"/>
              </w:rPr>
            </w:pPr>
            <w:r>
              <w:rPr>
                <w:rFonts w:cstheme="minorHAnsi"/>
              </w:rPr>
              <w:t xml:space="preserve">Regional </w:t>
            </w:r>
            <w:r w:rsidR="00675D95">
              <w:rPr>
                <w:rFonts w:cstheme="minorHAnsi"/>
              </w:rPr>
              <w:t>c</w:t>
            </w:r>
            <w:r>
              <w:rPr>
                <w:rFonts w:cstheme="minorHAnsi"/>
              </w:rPr>
              <w:t>osts</w:t>
            </w:r>
          </w:p>
        </w:tc>
        <w:tc>
          <w:tcPr>
            <w:tcW w:w="3417" w:type="pct"/>
          </w:tcPr>
          <w:p w14:paraId="4FC6A9BC" w14:textId="15489B7B" w:rsidR="001D55B7" w:rsidRPr="004537EA" w:rsidRDefault="00460F3E" w:rsidP="00F83781">
            <w:pPr>
              <w:pStyle w:val="TableRowNormal"/>
              <w:jc w:val="left"/>
              <w:rPr>
                <w:rFonts w:cstheme="minorHAnsi"/>
              </w:rPr>
            </w:pPr>
            <w:r>
              <w:rPr>
                <w:rFonts w:cstheme="minorHAnsi"/>
              </w:rPr>
              <w:t>Recognises the cost of delive</w:t>
            </w:r>
            <w:r w:rsidR="00E566C9">
              <w:rPr>
                <w:rFonts w:cstheme="minorHAnsi"/>
              </w:rPr>
              <w:t>ring service can vary between r</w:t>
            </w:r>
            <w:r>
              <w:rPr>
                <w:rFonts w:cstheme="minorHAnsi"/>
              </w:rPr>
              <w:t>egions.</w:t>
            </w:r>
          </w:p>
        </w:tc>
      </w:tr>
      <w:tr w:rsidR="00134594" w:rsidRPr="004537EA" w14:paraId="1BC6BEEB" w14:textId="77777777" w:rsidTr="00A25B09">
        <w:tc>
          <w:tcPr>
            <w:tcW w:w="713" w:type="pct"/>
            <w:tcBorders>
              <w:bottom w:val="single" w:sz="4" w:space="0" w:color="auto"/>
            </w:tcBorders>
          </w:tcPr>
          <w:p w14:paraId="72B16580" w14:textId="77777777" w:rsidR="00134594" w:rsidRPr="004537EA" w:rsidRDefault="00134594" w:rsidP="008E73FA">
            <w:pPr>
              <w:pStyle w:val="CGCTableStub"/>
              <w:rPr>
                <w:rFonts w:cstheme="minorHAnsi"/>
              </w:rPr>
            </w:pPr>
          </w:p>
        </w:tc>
        <w:tc>
          <w:tcPr>
            <w:tcW w:w="870" w:type="pct"/>
            <w:tcBorders>
              <w:bottom w:val="single" w:sz="4" w:space="0" w:color="auto"/>
            </w:tcBorders>
          </w:tcPr>
          <w:p w14:paraId="1A8FC70E" w14:textId="77777777" w:rsidR="00134594" w:rsidRPr="004537EA" w:rsidRDefault="00EF6EBD" w:rsidP="008E73FA">
            <w:pPr>
              <w:pStyle w:val="TableRowNormal"/>
              <w:jc w:val="left"/>
              <w:rPr>
                <w:rFonts w:cstheme="minorHAnsi"/>
              </w:rPr>
            </w:pPr>
            <w:r>
              <w:rPr>
                <w:rFonts w:cstheme="minorHAnsi"/>
              </w:rPr>
              <w:t>Service delivery scale</w:t>
            </w:r>
          </w:p>
        </w:tc>
        <w:tc>
          <w:tcPr>
            <w:tcW w:w="3417" w:type="pct"/>
            <w:tcBorders>
              <w:bottom w:val="single" w:sz="4" w:space="0" w:color="auto"/>
            </w:tcBorders>
          </w:tcPr>
          <w:p w14:paraId="18D418C3" w14:textId="41BF665E" w:rsidR="00134594" w:rsidRPr="004537EA" w:rsidRDefault="00145B82" w:rsidP="008E73FA">
            <w:pPr>
              <w:pStyle w:val="TableRowNormal"/>
              <w:jc w:val="left"/>
              <w:rPr>
                <w:rFonts w:cstheme="minorHAnsi"/>
              </w:rPr>
            </w:pPr>
            <w:r>
              <w:rPr>
                <w:rFonts w:cstheme="minorHAnsi"/>
              </w:rPr>
              <w:t>Recognises the diseconomies of magistrate</w:t>
            </w:r>
            <w:r w:rsidR="00A00D3B">
              <w:rPr>
                <w:rFonts w:cstheme="minorHAnsi"/>
              </w:rPr>
              <w:t>’s court</w:t>
            </w:r>
            <w:r w:rsidR="00675D95">
              <w:rPr>
                <w:rFonts w:cstheme="minorHAnsi"/>
              </w:rPr>
              <w:t>s</w:t>
            </w:r>
            <w:r w:rsidR="00A00D3B">
              <w:rPr>
                <w:rFonts w:cstheme="minorHAnsi"/>
              </w:rPr>
              <w:t xml:space="preserve"> in small and regional </w:t>
            </w:r>
            <w:r>
              <w:rPr>
                <w:rFonts w:cstheme="minorHAnsi"/>
              </w:rPr>
              <w:t>communities</w:t>
            </w:r>
            <w:r w:rsidR="00910267">
              <w:rPr>
                <w:rFonts w:cstheme="minorHAnsi"/>
              </w:rPr>
              <w:t xml:space="preserve">. </w:t>
            </w:r>
            <w:r w:rsidR="00460F3E">
              <w:rPr>
                <w:rFonts w:cstheme="minorHAnsi"/>
              </w:rPr>
              <w:t xml:space="preserve">This is not considered relevant to higher courts as cases tend to be heard in major cities and regional centres. </w:t>
            </w:r>
          </w:p>
        </w:tc>
      </w:tr>
      <w:tr w:rsidR="00EE1623" w:rsidRPr="004537EA" w14:paraId="3547B3D2" w14:textId="77777777" w:rsidTr="00A25B09">
        <w:tc>
          <w:tcPr>
            <w:tcW w:w="713" w:type="pct"/>
          </w:tcPr>
          <w:p w14:paraId="3296FB30" w14:textId="6FCBF146" w:rsidR="00EE1623" w:rsidRPr="004537EA" w:rsidRDefault="00793C43" w:rsidP="008E73FA">
            <w:pPr>
              <w:pStyle w:val="CGCTableStub"/>
              <w:rPr>
                <w:rFonts w:cstheme="minorHAnsi"/>
              </w:rPr>
            </w:pPr>
            <w:r>
              <w:rPr>
                <w:rFonts w:cstheme="minorHAnsi"/>
              </w:rPr>
              <w:t xml:space="preserve">3. </w:t>
            </w:r>
            <w:r w:rsidR="00EE1623">
              <w:rPr>
                <w:rFonts w:cstheme="minorHAnsi"/>
              </w:rPr>
              <w:t>Other legal services</w:t>
            </w:r>
          </w:p>
        </w:tc>
        <w:tc>
          <w:tcPr>
            <w:tcW w:w="870" w:type="pct"/>
          </w:tcPr>
          <w:p w14:paraId="652F34A8" w14:textId="77777777" w:rsidR="00EE1623" w:rsidRDefault="00EE1623" w:rsidP="008E73FA">
            <w:pPr>
              <w:pStyle w:val="TableRowNormal"/>
              <w:jc w:val="left"/>
              <w:rPr>
                <w:rFonts w:cstheme="minorHAnsi"/>
              </w:rPr>
            </w:pPr>
            <w:r>
              <w:rPr>
                <w:rFonts w:cstheme="minorHAnsi"/>
              </w:rPr>
              <w:t>EPC</w:t>
            </w:r>
          </w:p>
        </w:tc>
        <w:tc>
          <w:tcPr>
            <w:tcW w:w="3417" w:type="pct"/>
          </w:tcPr>
          <w:p w14:paraId="5F03F12A" w14:textId="007CC7E6" w:rsidR="00EE1623" w:rsidRDefault="008E73FA" w:rsidP="008E73FA">
            <w:pPr>
              <w:pStyle w:val="TableRowNormal"/>
              <w:jc w:val="left"/>
              <w:rPr>
                <w:rFonts w:cstheme="minorHAnsi"/>
              </w:rPr>
            </w:pPr>
            <w:r>
              <w:rPr>
                <w:rFonts w:cstheme="minorHAnsi"/>
              </w:rPr>
              <w:t xml:space="preserve">Recognises that civil court and other legal services are provided to the whole community. </w:t>
            </w:r>
          </w:p>
        </w:tc>
      </w:tr>
      <w:tr w:rsidR="008E73FA" w:rsidRPr="004537EA" w14:paraId="38981D98" w14:textId="77777777" w:rsidTr="00A25B09">
        <w:tc>
          <w:tcPr>
            <w:tcW w:w="713" w:type="pct"/>
            <w:tcBorders>
              <w:bottom w:val="single" w:sz="4" w:space="0" w:color="auto"/>
            </w:tcBorders>
          </w:tcPr>
          <w:p w14:paraId="1ACA57C8" w14:textId="77777777" w:rsidR="008E73FA" w:rsidRDefault="008E73FA" w:rsidP="008E73FA">
            <w:pPr>
              <w:pStyle w:val="CGCTableStub"/>
              <w:rPr>
                <w:rFonts w:cstheme="minorHAnsi"/>
              </w:rPr>
            </w:pPr>
          </w:p>
        </w:tc>
        <w:tc>
          <w:tcPr>
            <w:tcW w:w="870" w:type="pct"/>
            <w:tcBorders>
              <w:bottom w:val="single" w:sz="4" w:space="0" w:color="auto"/>
            </w:tcBorders>
          </w:tcPr>
          <w:p w14:paraId="5F965AFD" w14:textId="77777777" w:rsidR="008E73FA" w:rsidRDefault="008E73FA" w:rsidP="008E73FA">
            <w:pPr>
              <w:pStyle w:val="TableRowNormal"/>
              <w:jc w:val="left"/>
              <w:rPr>
                <w:rFonts w:cstheme="minorHAnsi"/>
              </w:rPr>
            </w:pPr>
            <w:r>
              <w:rPr>
                <w:rFonts w:cstheme="minorHAnsi"/>
              </w:rPr>
              <w:t>Wage costs</w:t>
            </w:r>
          </w:p>
        </w:tc>
        <w:tc>
          <w:tcPr>
            <w:tcW w:w="3417" w:type="pct"/>
            <w:tcBorders>
              <w:bottom w:val="single" w:sz="4" w:space="0" w:color="auto"/>
            </w:tcBorders>
          </w:tcPr>
          <w:p w14:paraId="262D72C1" w14:textId="01D5323F" w:rsidR="008E73FA" w:rsidRDefault="008E73FA" w:rsidP="008E73FA">
            <w:pPr>
              <w:pStyle w:val="TableRowNormal"/>
              <w:jc w:val="left"/>
              <w:rPr>
                <w:rFonts w:cstheme="minorHAnsi"/>
              </w:rPr>
            </w:pPr>
            <w:r>
              <w:rPr>
                <w:rFonts w:cstheme="minorHAnsi"/>
              </w:rPr>
              <w:t>Recognises the difference in the cost of labour between States.</w:t>
            </w:r>
          </w:p>
        </w:tc>
      </w:tr>
      <w:tr w:rsidR="008E73FA" w:rsidRPr="004537EA" w14:paraId="10708380" w14:textId="77777777" w:rsidTr="00A25B09">
        <w:tc>
          <w:tcPr>
            <w:tcW w:w="713" w:type="pct"/>
            <w:tcBorders>
              <w:top w:val="single" w:sz="4" w:space="0" w:color="auto"/>
            </w:tcBorders>
          </w:tcPr>
          <w:p w14:paraId="3EB434FF" w14:textId="5B1B042B" w:rsidR="008E73FA" w:rsidRPr="004537EA" w:rsidRDefault="00793C43" w:rsidP="008E73FA">
            <w:pPr>
              <w:pStyle w:val="CGCTableStub"/>
              <w:rPr>
                <w:rFonts w:cstheme="minorHAnsi"/>
              </w:rPr>
            </w:pPr>
            <w:r>
              <w:rPr>
                <w:rFonts w:cstheme="minorHAnsi"/>
              </w:rPr>
              <w:t xml:space="preserve">4. </w:t>
            </w:r>
            <w:r w:rsidR="008E73FA">
              <w:rPr>
                <w:rFonts w:cstheme="minorHAnsi"/>
              </w:rPr>
              <w:t>Prisons</w:t>
            </w:r>
          </w:p>
        </w:tc>
        <w:tc>
          <w:tcPr>
            <w:tcW w:w="870" w:type="pct"/>
            <w:tcBorders>
              <w:top w:val="single" w:sz="4" w:space="0" w:color="auto"/>
            </w:tcBorders>
          </w:tcPr>
          <w:p w14:paraId="2262003E" w14:textId="77777777" w:rsidR="008E73FA" w:rsidRPr="004537EA" w:rsidRDefault="008E73FA" w:rsidP="008E73FA">
            <w:pPr>
              <w:pStyle w:val="TableRowNormal"/>
              <w:jc w:val="left"/>
              <w:rPr>
                <w:rFonts w:cstheme="minorHAnsi"/>
              </w:rPr>
            </w:pPr>
            <w:r>
              <w:rPr>
                <w:rFonts w:cstheme="minorHAnsi"/>
              </w:rPr>
              <w:t>SDC</w:t>
            </w:r>
          </w:p>
        </w:tc>
        <w:tc>
          <w:tcPr>
            <w:tcW w:w="3417" w:type="pct"/>
            <w:tcBorders>
              <w:top w:val="single" w:sz="4" w:space="0" w:color="auto"/>
            </w:tcBorders>
          </w:tcPr>
          <w:p w14:paraId="24B009B1" w14:textId="400123E6" w:rsidR="008E73FA" w:rsidRPr="004537EA" w:rsidRDefault="00F83781" w:rsidP="00F83781">
            <w:pPr>
              <w:pStyle w:val="TableRowNormal"/>
              <w:jc w:val="left"/>
              <w:rPr>
                <w:rFonts w:cstheme="minorHAnsi"/>
              </w:rPr>
            </w:pPr>
            <w:r>
              <w:rPr>
                <w:rFonts w:cstheme="minorHAnsi"/>
              </w:rPr>
              <w:t>Recognises that Indigenous, low SES and remote populations have different rates of incarceration in prison.</w:t>
            </w:r>
          </w:p>
        </w:tc>
      </w:tr>
      <w:tr w:rsidR="008E73FA" w:rsidRPr="004537EA" w14:paraId="5522E069" w14:textId="77777777" w:rsidTr="00A25B09">
        <w:tc>
          <w:tcPr>
            <w:tcW w:w="713" w:type="pct"/>
          </w:tcPr>
          <w:p w14:paraId="477181D1" w14:textId="77777777" w:rsidR="008E73FA" w:rsidRPr="004537EA" w:rsidRDefault="008E73FA" w:rsidP="008E73FA">
            <w:pPr>
              <w:pStyle w:val="CGCTableStub"/>
              <w:rPr>
                <w:rFonts w:cstheme="minorHAnsi"/>
              </w:rPr>
            </w:pPr>
          </w:p>
        </w:tc>
        <w:tc>
          <w:tcPr>
            <w:tcW w:w="870" w:type="pct"/>
          </w:tcPr>
          <w:p w14:paraId="688E113B" w14:textId="77777777" w:rsidR="008E73FA" w:rsidRDefault="008E73FA" w:rsidP="008E73FA">
            <w:pPr>
              <w:pStyle w:val="TableRowNormal"/>
              <w:jc w:val="left"/>
              <w:rPr>
                <w:rFonts w:cstheme="minorHAnsi"/>
              </w:rPr>
            </w:pPr>
            <w:r>
              <w:rPr>
                <w:rFonts w:cstheme="minorHAnsi"/>
              </w:rPr>
              <w:t>Wages</w:t>
            </w:r>
          </w:p>
        </w:tc>
        <w:tc>
          <w:tcPr>
            <w:tcW w:w="3417" w:type="pct"/>
          </w:tcPr>
          <w:p w14:paraId="2D37EA43" w14:textId="77777777" w:rsidR="008E73FA" w:rsidRPr="004537EA" w:rsidRDefault="008E73FA" w:rsidP="008E73FA">
            <w:pPr>
              <w:pStyle w:val="TableRowNormal"/>
              <w:jc w:val="left"/>
              <w:rPr>
                <w:rFonts w:cstheme="minorHAnsi"/>
              </w:rPr>
            </w:pPr>
            <w:r>
              <w:rPr>
                <w:rFonts w:cstheme="minorHAnsi"/>
              </w:rPr>
              <w:t>Recognises the difference in the cost of labour between States</w:t>
            </w:r>
          </w:p>
        </w:tc>
      </w:tr>
      <w:tr w:rsidR="008E73FA" w:rsidRPr="004537EA" w14:paraId="5ACDF4D7" w14:textId="77777777" w:rsidTr="00A25B09">
        <w:tc>
          <w:tcPr>
            <w:tcW w:w="713" w:type="pct"/>
            <w:tcBorders>
              <w:bottom w:val="single" w:sz="6" w:space="0" w:color="auto"/>
            </w:tcBorders>
          </w:tcPr>
          <w:p w14:paraId="3607EE58" w14:textId="77777777" w:rsidR="008E73FA" w:rsidRPr="004537EA" w:rsidRDefault="008E73FA" w:rsidP="008E73FA">
            <w:pPr>
              <w:pStyle w:val="CGCTableStub"/>
              <w:rPr>
                <w:rFonts w:cstheme="minorHAnsi"/>
              </w:rPr>
            </w:pPr>
          </w:p>
        </w:tc>
        <w:tc>
          <w:tcPr>
            <w:tcW w:w="870" w:type="pct"/>
            <w:tcBorders>
              <w:bottom w:val="single" w:sz="6" w:space="0" w:color="auto"/>
            </w:tcBorders>
          </w:tcPr>
          <w:p w14:paraId="694F6368" w14:textId="3020FE71" w:rsidR="008E73FA" w:rsidRPr="004537EA" w:rsidRDefault="008E73FA" w:rsidP="008E73FA">
            <w:pPr>
              <w:pStyle w:val="TableRowNormal"/>
              <w:jc w:val="left"/>
              <w:rPr>
                <w:rFonts w:cstheme="minorHAnsi"/>
              </w:rPr>
            </w:pPr>
            <w:r>
              <w:rPr>
                <w:rFonts w:cstheme="minorHAnsi"/>
              </w:rPr>
              <w:t xml:space="preserve">Regional </w:t>
            </w:r>
            <w:r w:rsidR="00675D95">
              <w:rPr>
                <w:rFonts w:cstheme="minorHAnsi"/>
              </w:rPr>
              <w:t>c</w:t>
            </w:r>
            <w:r>
              <w:rPr>
                <w:rFonts w:cstheme="minorHAnsi"/>
              </w:rPr>
              <w:t>osts</w:t>
            </w:r>
          </w:p>
        </w:tc>
        <w:tc>
          <w:tcPr>
            <w:tcW w:w="3417" w:type="pct"/>
            <w:tcBorders>
              <w:bottom w:val="single" w:sz="6" w:space="0" w:color="auto"/>
            </w:tcBorders>
          </w:tcPr>
          <w:p w14:paraId="25A58AE3" w14:textId="77777777" w:rsidR="008E73FA" w:rsidRPr="004537EA" w:rsidRDefault="008E73FA" w:rsidP="008E73FA">
            <w:pPr>
              <w:pStyle w:val="TableRowNormal"/>
              <w:jc w:val="left"/>
              <w:rPr>
                <w:rFonts w:cstheme="minorHAnsi"/>
              </w:rPr>
            </w:pPr>
            <w:r>
              <w:rPr>
                <w:rFonts w:cstheme="minorHAnsi"/>
              </w:rPr>
              <w:t>Recognises that prisons are located throughout a State and the cost of delivering services can vary between regions.</w:t>
            </w:r>
          </w:p>
        </w:tc>
      </w:tr>
    </w:tbl>
    <w:p w14:paraId="7C1E3E19" w14:textId="77777777" w:rsidR="00E07621" w:rsidRDefault="00E07621" w:rsidP="00992572">
      <w:pPr>
        <w:pStyle w:val="Heading4"/>
      </w:pPr>
      <w:bookmarkStart w:id="44" w:name="_Toc511747978"/>
      <w:r>
        <w:t>Data / information sought from States</w:t>
      </w:r>
      <w:bookmarkEnd w:id="44"/>
    </w:p>
    <w:bookmarkEnd w:id="6"/>
    <w:bookmarkEnd w:id="7"/>
    <w:bookmarkEnd w:id="8"/>
    <w:bookmarkEnd w:id="9"/>
    <w:bookmarkEnd w:id="10"/>
    <w:bookmarkEnd w:id="11"/>
    <w:bookmarkEnd w:id="12"/>
    <w:bookmarkEnd w:id="13"/>
    <w:p w14:paraId="2F4138EC" w14:textId="1371FE9D" w:rsidR="00470574" w:rsidRDefault="00470574" w:rsidP="00E07621">
      <w:pPr>
        <w:pStyle w:val="CGCNumberedPara"/>
      </w:pPr>
      <w:r>
        <w:t>Data that have already been requested from States</w:t>
      </w:r>
      <w:r w:rsidR="00CB2E43">
        <w:t>:</w:t>
      </w:r>
    </w:p>
    <w:p w14:paraId="743188AD" w14:textId="1DDAB676" w:rsidR="00E07621" w:rsidRDefault="00C44D09" w:rsidP="00470574">
      <w:pPr>
        <w:pStyle w:val="CGCBulletlist"/>
      </w:pPr>
      <w:r>
        <w:t>o</w:t>
      </w:r>
      <w:r w:rsidR="00470574">
        <w:t xml:space="preserve">ffender data by suburb, </w:t>
      </w:r>
      <w:r w:rsidR="00D253FB">
        <w:t xml:space="preserve">Indigenous </w:t>
      </w:r>
      <w:r w:rsidR="00470574">
        <w:t>status and age</w:t>
      </w:r>
    </w:p>
    <w:p w14:paraId="2B5557F9" w14:textId="253E3773" w:rsidR="00470574" w:rsidRDefault="00C44D09" w:rsidP="00470574">
      <w:pPr>
        <w:pStyle w:val="CGCBulletlist"/>
      </w:pPr>
      <w:r>
        <w:t>o</w:t>
      </w:r>
      <w:r w:rsidR="00470574">
        <w:t>ffence data by suburbs</w:t>
      </w:r>
    </w:p>
    <w:p w14:paraId="041CC081" w14:textId="50D233F6" w:rsidR="00470574" w:rsidRDefault="00C44D09" w:rsidP="00470574">
      <w:pPr>
        <w:pStyle w:val="CGCBulletlist"/>
      </w:pPr>
      <w:r>
        <w:t>p</w:t>
      </w:r>
      <w:r w:rsidR="00470574">
        <w:t>olice costs data</w:t>
      </w:r>
    </w:p>
    <w:p w14:paraId="5E11CE8E" w14:textId="2318B5DA" w:rsidR="00470574" w:rsidRPr="000A4608" w:rsidRDefault="00557174" w:rsidP="00E07621">
      <w:pPr>
        <w:pStyle w:val="CGCNumberedPara"/>
      </w:pPr>
      <w:r w:rsidRPr="000A4608">
        <w:t xml:space="preserve">Court data </w:t>
      </w:r>
      <w:r w:rsidR="00CB2E43">
        <w:t xml:space="preserve">requests </w:t>
      </w:r>
      <w:r w:rsidRPr="000A4608">
        <w:t xml:space="preserve">will be </w:t>
      </w:r>
      <w:r w:rsidR="00CB2E43">
        <w:t xml:space="preserve">sent out at the end of May, seeking data returns </w:t>
      </w:r>
      <w:r w:rsidRPr="000A4608">
        <w:t xml:space="preserve">by the end of July 2018. Data will be </w:t>
      </w:r>
      <w:r w:rsidR="00CB2E43">
        <w:t>sought</w:t>
      </w:r>
      <w:r w:rsidR="00CB2E43" w:rsidRPr="000A4608">
        <w:t xml:space="preserve"> </w:t>
      </w:r>
      <w:r w:rsidRPr="000A4608">
        <w:t xml:space="preserve">on: </w:t>
      </w:r>
    </w:p>
    <w:p w14:paraId="3F70691C" w14:textId="432775B8" w:rsidR="00A00D3B" w:rsidRDefault="00470574" w:rsidP="00734AFD">
      <w:pPr>
        <w:pStyle w:val="CGCBulletlist"/>
      </w:pPr>
      <w:r w:rsidRPr="000A4608">
        <w:t>Defendants finalised by suburb</w:t>
      </w:r>
      <w:r w:rsidR="00D253FB" w:rsidRPr="000A4608">
        <w:t xml:space="preserve">, Indigenous </w:t>
      </w:r>
      <w:r w:rsidRPr="000A4608">
        <w:t>status</w:t>
      </w:r>
      <w:r w:rsidR="00D253FB" w:rsidRPr="000A4608">
        <w:t xml:space="preserve"> and age</w:t>
      </w:r>
      <w:r w:rsidR="00557174" w:rsidRPr="000A4608">
        <w:t xml:space="preserve"> split by traffic and other offences. </w:t>
      </w:r>
    </w:p>
    <w:sectPr w:rsidR="00A00D3B" w:rsidSect="00A57783">
      <w:footerReference w:type="default" r:id="rId23"/>
      <w:footerReference w:type="first" r:id="rId24"/>
      <w:type w:val="continuous"/>
      <w:pgSz w:w="11899" w:h="16838" w:code="9"/>
      <w:pgMar w:top="1701" w:right="1474" w:bottom="1701" w:left="1474" w:header="709" w:footer="709"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2B3A7" w14:textId="77777777" w:rsidR="00F52FDC" w:rsidRDefault="00F52FDC">
      <w:r>
        <w:separator/>
      </w:r>
    </w:p>
  </w:endnote>
  <w:endnote w:type="continuationSeparator" w:id="0">
    <w:p w14:paraId="1D1B02F7" w14:textId="77777777" w:rsidR="00F52FDC" w:rsidRDefault="00F5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195A8" w14:textId="77777777" w:rsidR="00EB2CCB" w:rsidRDefault="00EB2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AFD9F" w14:textId="77777777" w:rsidR="00F52FDC" w:rsidRPr="00875C0F" w:rsidRDefault="00F52FDC" w:rsidP="00D95EA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D7473" w14:textId="77777777" w:rsidR="00EB2CCB" w:rsidRDefault="00EB2C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965303"/>
      <w:docPartObj>
        <w:docPartGallery w:val="Page Numbers (Bottom of Page)"/>
        <w:docPartUnique/>
      </w:docPartObj>
    </w:sdtPr>
    <w:sdtEndPr/>
    <w:sdtContent>
      <w:p w14:paraId="787AB57A" w14:textId="77777777" w:rsidR="00F52FDC" w:rsidRPr="00875C0F" w:rsidRDefault="007D28FC" w:rsidP="00D95EAA">
        <w:pPr>
          <w:pStyle w:val="Footer"/>
          <w:jc w:val="right"/>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8F04A" w14:textId="61496C94" w:rsidR="00F52FDC" w:rsidRPr="00875C0F" w:rsidRDefault="00F52FDC" w:rsidP="00D95EAA">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97D1" w14:textId="6DB778B0" w:rsidR="00F52FDC" w:rsidRPr="0011178C" w:rsidRDefault="00F52FDC" w:rsidP="003929D2">
    <w:pPr>
      <w:pStyle w:val="Footer"/>
      <w:jc w:val="right"/>
    </w:pPr>
    <w:r>
      <w:fldChar w:fldCharType="begin"/>
    </w:r>
    <w:r>
      <w:instrText xml:space="preserve"> PAGE  \* Arabic  \* MERGEFORMAT </w:instrText>
    </w:r>
    <w:r>
      <w:fldChar w:fldCharType="separate"/>
    </w:r>
    <w:r w:rsidR="00BB1DE4">
      <w:rPr>
        <w:noProof/>
      </w:rPr>
      <w:t>14</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6507" w14:textId="6CAC3A2B" w:rsidR="00F52FDC" w:rsidRPr="007E487F" w:rsidRDefault="00F52FDC" w:rsidP="00DC0F02">
    <w:pPr>
      <w:pStyle w:val="Footer"/>
      <w:tabs>
        <w:tab w:val="right" w:pos="8931"/>
      </w:tabs>
      <w:rPr>
        <w:sz w:val="20"/>
        <w:szCs w:val="20"/>
      </w:rPr>
    </w:pPr>
    <w:r>
      <w:rPr>
        <w:sz w:val="20"/>
        <w:szCs w:val="20"/>
      </w:rPr>
      <w:fldChar w:fldCharType="begin"/>
    </w:r>
    <w:r>
      <w:rPr>
        <w:sz w:val="20"/>
        <w:szCs w:val="20"/>
      </w:rPr>
      <w:instrText xml:space="preserve"> FILENAME \p </w:instrText>
    </w:r>
    <w:r>
      <w:rPr>
        <w:sz w:val="20"/>
        <w:szCs w:val="20"/>
      </w:rPr>
      <w:fldChar w:fldCharType="separate"/>
    </w:r>
    <w:r w:rsidR="007D28FC">
      <w:rPr>
        <w:noProof/>
        <w:sz w:val="20"/>
        <w:szCs w:val="20"/>
      </w:rPr>
      <w:t>I:\R2020\Draft assessment papers April 2018\Final version for web\2018-01-16-S Draft assessment paper - Justice.docx</w:t>
    </w:r>
    <w:r>
      <w:rPr>
        <w:sz w:val="20"/>
        <w:szCs w:val="20"/>
      </w:rPr>
      <w:fldChar w:fldCharType="end"/>
    </w:r>
    <w:r>
      <w:rPr>
        <w:sz w:val="20"/>
        <w:szCs w:val="20"/>
      </w:rPr>
      <w:tab/>
    </w:r>
    <w:r>
      <w:rPr>
        <w:sz w:val="20"/>
        <w:szCs w:val="20"/>
      </w:rP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9A04C" w14:textId="77777777" w:rsidR="00F52FDC" w:rsidRDefault="00F52FDC">
      <w:r>
        <w:separator/>
      </w:r>
    </w:p>
  </w:footnote>
  <w:footnote w:type="continuationSeparator" w:id="0">
    <w:p w14:paraId="68FD6BD8" w14:textId="77777777" w:rsidR="00F52FDC" w:rsidRDefault="00F52FDC">
      <w:r>
        <w:continuationSeparator/>
      </w:r>
    </w:p>
  </w:footnote>
  <w:footnote w:id="1">
    <w:p w14:paraId="390FF3C2" w14:textId="5D49F9C8" w:rsidR="00F52FDC" w:rsidRDefault="00F52FDC">
      <w:pPr>
        <w:pStyle w:val="FootnoteText"/>
      </w:pPr>
      <w:r>
        <w:rPr>
          <w:rStyle w:val="FootnoteReference"/>
        </w:rPr>
        <w:footnoteRef/>
      </w:r>
      <w:r>
        <w:t xml:space="preserve"> </w:t>
      </w:r>
      <w:r>
        <w:tab/>
        <w:t xml:space="preserve">As outlined in the </w:t>
      </w:r>
      <w:r>
        <w:rPr>
          <w:i/>
        </w:rPr>
        <w:t xml:space="preserve">Report on GST Revenue Sharing Relativities, 2015 Review </w:t>
      </w:r>
      <w:r w:rsidRPr="00896817">
        <w:t>t</w:t>
      </w:r>
      <w:r>
        <w:t>his split was arrived at by examining State budget papers and Police services annual reports. Where information about Police activities was available, it varied across States from 30:70 (community: specialised) in Western Australia, to about 70:30 in Tasmania, with an average of 55:45. With no clear evidence to base a move away from the 2010 Review position, the Commission retained splitting expenses equally between community and specialised policing.</w:t>
      </w:r>
    </w:p>
  </w:footnote>
  <w:footnote w:id="2">
    <w:p w14:paraId="16F9C8CD" w14:textId="7544D9A5" w:rsidR="00F52FDC" w:rsidRDefault="00F52FDC">
      <w:pPr>
        <w:pStyle w:val="FootnoteText"/>
      </w:pPr>
      <w:r>
        <w:rPr>
          <w:rStyle w:val="FootnoteReference"/>
        </w:rPr>
        <w:footnoteRef/>
      </w:r>
      <w:r>
        <w:t xml:space="preserve"> </w:t>
      </w:r>
      <w:r>
        <w:tab/>
        <w:t>Commission calculations using State provided data.</w:t>
      </w:r>
    </w:p>
  </w:footnote>
  <w:footnote w:id="3">
    <w:p w14:paraId="4D583E70" w14:textId="6A1E8789" w:rsidR="00F52FDC" w:rsidRDefault="00F52FDC">
      <w:pPr>
        <w:pStyle w:val="FootnoteText"/>
      </w:pPr>
      <w:r>
        <w:rPr>
          <w:rStyle w:val="FootnoteReference"/>
        </w:rPr>
        <w:footnoteRef/>
      </w:r>
      <w:r>
        <w:t xml:space="preserve"> </w:t>
      </w:r>
      <w:r>
        <w:tab/>
      </w:r>
      <w:r w:rsidRPr="00087C08">
        <w:t xml:space="preserve">Police department expenses not </w:t>
      </w:r>
      <w:r>
        <w:t xml:space="preserve">separately identified as </w:t>
      </w:r>
      <w:r w:rsidRPr="00087C08">
        <w:t>legal services are differentially assessed within police services.</w:t>
      </w:r>
    </w:p>
  </w:footnote>
  <w:footnote w:id="4">
    <w:p w14:paraId="40162E1B" w14:textId="0D05DB59" w:rsidR="00F52FDC" w:rsidRDefault="00F52FDC">
      <w:pPr>
        <w:pStyle w:val="FootnoteText"/>
      </w:pPr>
      <w:r>
        <w:rPr>
          <w:rStyle w:val="FootnoteReference"/>
        </w:rPr>
        <w:footnoteRef/>
      </w:r>
      <w:r>
        <w:t xml:space="preserve"> Productivity Commission, Report on Government Services, 2018, Chapter 8.</w:t>
      </w:r>
    </w:p>
  </w:footnote>
  <w:footnote w:id="5">
    <w:p w14:paraId="05FF177A" w14:textId="77777777" w:rsidR="00F52FDC" w:rsidRDefault="00F52FDC" w:rsidP="008F2275">
      <w:pPr>
        <w:pStyle w:val="FootnoteText"/>
      </w:pPr>
      <w:r>
        <w:rPr>
          <w:rStyle w:val="FootnoteReference"/>
        </w:rPr>
        <w:footnoteRef/>
      </w:r>
      <w:r>
        <w:t xml:space="preserve"> </w:t>
      </w:r>
      <w:r w:rsidRPr="00995FA7">
        <w:t>https://www.police.nsw.gov.au/online_services/user_charges_user_pays_policing_services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473BF" w14:textId="77777777" w:rsidR="00EB2CCB" w:rsidRDefault="00EB2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3E5EA" w14:textId="77777777" w:rsidR="00EB2CCB" w:rsidRDefault="00EB2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2560A" w14:textId="77777777" w:rsidR="00EB2CCB" w:rsidRDefault="00EB2C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8C65" w14:textId="77777777" w:rsidR="00F52FDC" w:rsidRDefault="00F52F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081E" w14:textId="77777777" w:rsidR="00F52FDC" w:rsidRDefault="00F52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690820"/>
    <w:multiLevelType w:val="hybridMultilevel"/>
    <w:tmpl w:val="E4B23C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F73E29"/>
    <w:multiLevelType w:val="hybridMultilevel"/>
    <w:tmpl w:val="BD4CB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822BCB"/>
    <w:multiLevelType w:val="hybridMultilevel"/>
    <w:tmpl w:val="6B5E7A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8" w15:restartNumberingAfterBreak="0">
    <w:nsid w:val="71B469A6"/>
    <w:multiLevelType w:val="hybridMultilevel"/>
    <w:tmpl w:val="AA8C4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1"/>
  </w:num>
  <w:num w:numId="4">
    <w:abstractNumId w:val="19"/>
  </w:num>
  <w:num w:numId="5">
    <w:abstractNumId w:val="19"/>
  </w:num>
  <w:num w:numId="6">
    <w:abstractNumId w:val="4"/>
  </w:num>
  <w:num w:numId="7">
    <w:abstractNumId w:val="4"/>
  </w:num>
  <w:num w:numId="8">
    <w:abstractNumId w:val="4"/>
  </w:num>
  <w:num w:numId="9">
    <w:abstractNumId w:val="4"/>
  </w:num>
  <w:num w:numId="10">
    <w:abstractNumId w:val="17"/>
  </w:num>
  <w:num w:numId="11">
    <w:abstractNumId w:val="5"/>
  </w:num>
  <w:num w:numId="12">
    <w:abstractNumId w:val="1"/>
  </w:num>
  <w:num w:numId="13">
    <w:abstractNumId w:val="19"/>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5"/>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7"/>
  </w:num>
  <w:num w:numId="32">
    <w:abstractNumId w:val="1"/>
  </w:num>
  <w:num w:numId="33">
    <w:abstractNumId w:val="5"/>
  </w:num>
  <w:num w:numId="34">
    <w:abstractNumId w:val="19"/>
  </w:num>
  <w:num w:numId="35">
    <w:abstractNumId w:val="9"/>
  </w:num>
  <w:num w:numId="36">
    <w:abstractNumId w:val="17"/>
  </w:num>
  <w:num w:numId="37">
    <w:abstractNumId w:val="1"/>
  </w:num>
  <w:num w:numId="38">
    <w:abstractNumId w:val="5"/>
  </w:num>
  <w:num w:numId="39">
    <w:abstractNumId w:val="19"/>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6"/>
  </w:num>
  <w:num w:numId="44">
    <w:abstractNumId w:val="1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06"/>
    <w:rsid w:val="0000193F"/>
    <w:rsid w:val="00016778"/>
    <w:rsid w:val="00016FE0"/>
    <w:rsid w:val="00022D84"/>
    <w:rsid w:val="00022EA9"/>
    <w:rsid w:val="00024745"/>
    <w:rsid w:val="00024CDB"/>
    <w:rsid w:val="0002533B"/>
    <w:rsid w:val="000312F3"/>
    <w:rsid w:val="00032F41"/>
    <w:rsid w:val="00040765"/>
    <w:rsid w:val="0004123E"/>
    <w:rsid w:val="00041748"/>
    <w:rsid w:val="00041E84"/>
    <w:rsid w:val="000424EA"/>
    <w:rsid w:val="00044540"/>
    <w:rsid w:val="00053910"/>
    <w:rsid w:val="00056373"/>
    <w:rsid w:val="00061111"/>
    <w:rsid w:val="000624BB"/>
    <w:rsid w:val="000648E8"/>
    <w:rsid w:val="00085CCC"/>
    <w:rsid w:val="00087C08"/>
    <w:rsid w:val="00092A75"/>
    <w:rsid w:val="0009375E"/>
    <w:rsid w:val="00093796"/>
    <w:rsid w:val="00095266"/>
    <w:rsid w:val="000A3280"/>
    <w:rsid w:val="000A3898"/>
    <w:rsid w:val="000A4608"/>
    <w:rsid w:val="000A48F0"/>
    <w:rsid w:val="000A52A1"/>
    <w:rsid w:val="000A6100"/>
    <w:rsid w:val="000B0518"/>
    <w:rsid w:val="000B2942"/>
    <w:rsid w:val="000B3557"/>
    <w:rsid w:val="000B64E3"/>
    <w:rsid w:val="000B7E38"/>
    <w:rsid w:val="000D1354"/>
    <w:rsid w:val="000D7C54"/>
    <w:rsid w:val="000E0210"/>
    <w:rsid w:val="000E1B4E"/>
    <w:rsid w:val="000E6AA5"/>
    <w:rsid w:val="000E7F56"/>
    <w:rsid w:val="000F1CDA"/>
    <w:rsid w:val="000F1D9A"/>
    <w:rsid w:val="000F7272"/>
    <w:rsid w:val="001039C2"/>
    <w:rsid w:val="001040AD"/>
    <w:rsid w:val="0011178C"/>
    <w:rsid w:val="00112CF0"/>
    <w:rsid w:val="0011375B"/>
    <w:rsid w:val="00114E65"/>
    <w:rsid w:val="001211AB"/>
    <w:rsid w:val="001218B8"/>
    <w:rsid w:val="001233A1"/>
    <w:rsid w:val="00124ED1"/>
    <w:rsid w:val="00125C6A"/>
    <w:rsid w:val="00134594"/>
    <w:rsid w:val="00136497"/>
    <w:rsid w:val="00141BD1"/>
    <w:rsid w:val="001441DA"/>
    <w:rsid w:val="0014569F"/>
    <w:rsid w:val="00145B82"/>
    <w:rsid w:val="001462A2"/>
    <w:rsid w:val="00147115"/>
    <w:rsid w:val="001477CE"/>
    <w:rsid w:val="001477DE"/>
    <w:rsid w:val="0016723A"/>
    <w:rsid w:val="00170DC9"/>
    <w:rsid w:val="00171A05"/>
    <w:rsid w:val="00172F3A"/>
    <w:rsid w:val="001730FD"/>
    <w:rsid w:val="00173798"/>
    <w:rsid w:val="00173BE6"/>
    <w:rsid w:val="00173E72"/>
    <w:rsid w:val="00176FEC"/>
    <w:rsid w:val="001807C0"/>
    <w:rsid w:val="001811DE"/>
    <w:rsid w:val="00187145"/>
    <w:rsid w:val="00191FEE"/>
    <w:rsid w:val="001A228F"/>
    <w:rsid w:val="001A4336"/>
    <w:rsid w:val="001A6187"/>
    <w:rsid w:val="001B0110"/>
    <w:rsid w:val="001B3048"/>
    <w:rsid w:val="001B68A2"/>
    <w:rsid w:val="001B68B1"/>
    <w:rsid w:val="001B696E"/>
    <w:rsid w:val="001B6A56"/>
    <w:rsid w:val="001B7B2C"/>
    <w:rsid w:val="001C469B"/>
    <w:rsid w:val="001C6A71"/>
    <w:rsid w:val="001C78A6"/>
    <w:rsid w:val="001D4BC3"/>
    <w:rsid w:val="001D55B7"/>
    <w:rsid w:val="001D638B"/>
    <w:rsid w:val="001D6DFA"/>
    <w:rsid w:val="001E2CEB"/>
    <w:rsid w:val="001E6180"/>
    <w:rsid w:val="001E674B"/>
    <w:rsid w:val="001E68FC"/>
    <w:rsid w:val="001E72B6"/>
    <w:rsid w:val="001F4F5A"/>
    <w:rsid w:val="001F64B5"/>
    <w:rsid w:val="00204026"/>
    <w:rsid w:val="00205719"/>
    <w:rsid w:val="002117B2"/>
    <w:rsid w:val="00212948"/>
    <w:rsid w:val="00217839"/>
    <w:rsid w:val="00223995"/>
    <w:rsid w:val="002247A4"/>
    <w:rsid w:val="00225A3B"/>
    <w:rsid w:val="00226796"/>
    <w:rsid w:val="0023081D"/>
    <w:rsid w:val="0023329C"/>
    <w:rsid w:val="0023393F"/>
    <w:rsid w:val="0023491E"/>
    <w:rsid w:val="00235D6A"/>
    <w:rsid w:val="00236DC0"/>
    <w:rsid w:val="002373A2"/>
    <w:rsid w:val="00242517"/>
    <w:rsid w:val="0024260B"/>
    <w:rsid w:val="0024401F"/>
    <w:rsid w:val="002444A4"/>
    <w:rsid w:val="0024569B"/>
    <w:rsid w:val="00255B5A"/>
    <w:rsid w:val="00257CCE"/>
    <w:rsid w:val="002618E9"/>
    <w:rsid w:val="00266D41"/>
    <w:rsid w:val="002671A2"/>
    <w:rsid w:val="00267496"/>
    <w:rsid w:val="00275B68"/>
    <w:rsid w:val="00275BF3"/>
    <w:rsid w:val="00282573"/>
    <w:rsid w:val="002845EA"/>
    <w:rsid w:val="00285767"/>
    <w:rsid w:val="00286EBE"/>
    <w:rsid w:val="00287274"/>
    <w:rsid w:val="00295B70"/>
    <w:rsid w:val="002A2A08"/>
    <w:rsid w:val="002A2D93"/>
    <w:rsid w:val="002A4E42"/>
    <w:rsid w:val="002A76F2"/>
    <w:rsid w:val="002A77C3"/>
    <w:rsid w:val="002B10B0"/>
    <w:rsid w:val="002B10F3"/>
    <w:rsid w:val="002B163C"/>
    <w:rsid w:val="002B169C"/>
    <w:rsid w:val="002B6EFD"/>
    <w:rsid w:val="002B6F33"/>
    <w:rsid w:val="002B79F0"/>
    <w:rsid w:val="002B7F3E"/>
    <w:rsid w:val="002C1D9C"/>
    <w:rsid w:val="002C2F68"/>
    <w:rsid w:val="002C366F"/>
    <w:rsid w:val="002C4CA9"/>
    <w:rsid w:val="002C5FB0"/>
    <w:rsid w:val="002C755B"/>
    <w:rsid w:val="002D2270"/>
    <w:rsid w:val="002D46D8"/>
    <w:rsid w:val="002D5724"/>
    <w:rsid w:val="002D75A5"/>
    <w:rsid w:val="002E25A8"/>
    <w:rsid w:val="002E6F2B"/>
    <w:rsid w:val="002F04DE"/>
    <w:rsid w:val="002F1CD3"/>
    <w:rsid w:val="002F3211"/>
    <w:rsid w:val="002F430B"/>
    <w:rsid w:val="002F6E28"/>
    <w:rsid w:val="002F7E68"/>
    <w:rsid w:val="00302E5E"/>
    <w:rsid w:val="00305111"/>
    <w:rsid w:val="00306785"/>
    <w:rsid w:val="00307DEF"/>
    <w:rsid w:val="00311D33"/>
    <w:rsid w:val="00313664"/>
    <w:rsid w:val="00314F90"/>
    <w:rsid w:val="00322A83"/>
    <w:rsid w:val="00324298"/>
    <w:rsid w:val="00324722"/>
    <w:rsid w:val="0033102E"/>
    <w:rsid w:val="00331401"/>
    <w:rsid w:val="00333234"/>
    <w:rsid w:val="00335ED1"/>
    <w:rsid w:val="00337EF8"/>
    <w:rsid w:val="00342A60"/>
    <w:rsid w:val="0034379D"/>
    <w:rsid w:val="0034646D"/>
    <w:rsid w:val="00347BE5"/>
    <w:rsid w:val="00352185"/>
    <w:rsid w:val="003522E0"/>
    <w:rsid w:val="0035267F"/>
    <w:rsid w:val="0035580D"/>
    <w:rsid w:val="0036049C"/>
    <w:rsid w:val="003639FB"/>
    <w:rsid w:val="00363BF7"/>
    <w:rsid w:val="00371596"/>
    <w:rsid w:val="003816AB"/>
    <w:rsid w:val="00382AE5"/>
    <w:rsid w:val="003929D2"/>
    <w:rsid w:val="00393E3E"/>
    <w:rsid w:val="00393FA5"/>
    <w:rsid w:val="003A27BB"/>
    <w:rsid w:val="003B13FC"/>
    <w:rsid w:val="003B673D"/>
    <w:rsid w:val="003C0D91"/>
    <w:rsid w:val="003C2577"/>
    <w:rsid w:val="003C4448"/>
    <w:rsid w:val="003D22D2"/>
    <w:rsid w:val="003D3D91"/>
    <w:rsid w:val="003D4708"/>
    <w:rsid w:val="003D477A"/>
    <w:rsid w:val="003D78DE"/>
    <w:rsid w:val="003E22ED"/>
    <w:rsid w:val="003E3788"/>
    <w:rsid w:val="003E5199"/>
    <w:rsid w:val="003E6615"/>
    <w:rsid w:val="003E79F9"/>
    <w:rsid w:val="003F12E9"/>
    <w:rsid w:val="003F49DD"/>
    <w:rsid w:val="003F59F4"/>
    <w:rsid w:val="003F798A"/>
    <w:rsid w:val="00402806"/>
    <w:rsid w:val="00404DCD"/>
    <w:rsid w:val="004077D6"/>
    <w:rsid w:val="004121E7"/>
    <w:rsid w:val="00414C26"/>
    <w:rsid w:val="00414E51"/>
    <w:rsid w:val="00417088"/>
    <w:rsid w:val="00417D3C"/>
    <w:rsid w:val="00420F04"/>
    <w:rsid w:val="00422CFD"/>
    <w:rsid w:val="00423099"/>
    <w:rsid w:val="00424E79"/>
    <w:rsid w:val="00425414"/>
    <w:rsid w:val="0042661C"/>
    <w:rsid w:val="004274B3"/>
    <w:rsid w:val="00443EC1"/>
    <w:rsid w:val="00450C83"/>
    <w:rsid w:val="00453264"/>
    <w:rsid w:val="00460F3E"/>
    <w:rsid w:val="00462B54"/>
    <w:rsid w:val="00463064"/>
    <w:rsid w:val="00463944"/>
    <w:rsid w:val="00470574"/>
    <w:rsid w:val="00472461"/>
    <w:rsid w:val="0047529E"/>
    <w:rsid w:val="004809B8"/>
    <w:rsid w:val="004821B9"/>
    <w:rsid w:val="00483747"/>
    <w:rsid w:val="00484F3B"/>
    <w:rsid w:val="00485BF5"/>
    <w:rsid w:val="00491D88"/>
    <w:rsid w:val="0049605C"/>
    <w:rsid w:val="004965F7"/>
    <w:rsid w:val="004A7048"/>
    <w:rsid w:val="004B0A0A"/>
    <w:rsid w:val="004B1C4B"/>
    <w:rsid w:val="004B5190"/>
    <w:rsid w:val="004B60CB"/>
    <w:rsid w:val="004C1CB5"/>
    <w:rsid w:val="004E29C5"/>
    <w:rsid w:val="004E4393"/>
    <w:rsid w:val="004E659D"/>
    <w:rsid w:val="004E769A"/>
    <w:rsid w:val="004F644B"/>
    <w:rsid w:val="004F7641"/>
    <w:rsid w:val="00500ACD"/>
    <w:rsid w:val="00500DC5"/>
    <w:rsid w:val="00503E93"/>
    <w:rsid w:val="00504061"/>
    <w:rsid w:val="00505BAE"/>
    <w:rsid w:val="00506956"/>
    <w:rsid w:val="00507373"/>
    <w:rsid w:val="00511E93"/>
    <w:rsid w:val="00515380"/>
    <w:rsid w:val="005176CA"/>
    <w:rsid w:val="00532D10"/>
    <w:rsid w:val="00536E68"/>
    <w:rsid w:val="00537A77"/>
    <w:rsid w:val="00541A14"/>
    <w:rsid w:val="00543F9C"/>
    <w:rsid w:val="00546D39"/>
    <w:rsid w:val="00550C7C"/>
    <w:rsid w:val="00550E84"/>
    <w:rsid w:val="00551368"/>
    <w:rsid w:val="00552426"/>
    <w:rsid w:val="00553BEA"/>
    <w:rsid w:val="00557174"/>
    <w:rsid w:val="005577B0"/>
    <w:rsid w:val="00562084"/>
    <w:rsid w:val="00570EED"/>
    <w:rsid w:val="005713A3"/>
    <w:rsid w:val="005716FC"/>
    <w:rsid w:val="00571EBB"/>
    <w:rsid w:val="00573580"/>
    <w:rsid w:val="00575DEF"/>
    <w:rsid w:val="00576161"/>
    <w:rsid w:val="00583A33"/>
    <w:rsid w:val="005867D2"/>
    <w:rsid w:val="0059209F"/>
    <w:rsid w:val="00592B45"/>
    <w:rsid w:val="005963CC"/>
    <w:rsid w:val="00596E19"/>
    <w:rsid w:val="005A241E"/>
    <w:rsid w:val="005A6FED"/>
    <w:rsid w:val="005A76DD"/>
    <w:rsid w:val="005B1BC4"/>
    <w:rsid w:val="005B5F33"/>
    <w:rsid w:val="005B6894"/>
    <w:rsid w:val="005B7121"/>
    <w:rsid w:val="005C13B2"/>
    <w:rsid w:val="005C1950"/>
    <w:rsid w:val="005C27E3"/>
    <w:rsid w:val="005C37CB"/>
    <w:rsid w:val="005C459C"/>
    <w:rsid w:val="005D09E8"/>
    <w:rsid w:val="005D1A9F"/>
    <w:rsid w:val="005D26E4"/>
    <w:rsid w:val="005D52FA"/>
    <w:rsid w:val="005D6217"/>
    <w:rsid w:val="005D782A"/>
    <w:rsid w:val="005D7C63"/>
    <w:rsid w:val="005E062F"/>
    <w:rsid w:val="005E266F"/>
    <w:rsid w:val="005E5734"/>
    <w:rsid w:val="005E73CE"/>
    <w:rsid w:val="005F07DC"/>
    <w:rsid w:val="005F64FB"/>
    <w:rsid w:val="005F6AFF"/>
    <w:rsid w:val="00601825"/>
    <w:rsid w:val="00601BBD"/>
    <w:rsid w:val="0060251E"/>
    <w:rsid w:val="00602DDE"/>
    <w:rsid w:val="00605BB3"/>
    <w:rsid w:val="00611737"/>
    <w:rsid w:val="00612B9B"/>
    <w:rsid w:val="00614DE8"/>
    <w:rsid w:val="006178FE"/>
    <w:rsid w:val="00617CE0"/>
    <w:rsid w:val="00622388"/>
    <w:rsid w:val="00622669"/>
    <w:rsid w:val="00622FE1"/>
    <w:rsid w:val="00625CE5"/>
    <w:rsid w:val="00626B8C"/>
    <w:rsid w:val="00635027"/>
    <w:rsid w:val="00644A7B"/>
    <w:rsid w:val="006514CD"/>
    <w:rsid w:val="006541D7"/>
    <w:rsid w:val="006556D9"/>
    <w:rsid w:val="006563C0"/>
    <w:rsid w:val="00661715"/>
    <w:rsid w:val="00661C46"/>
    <w:rsid w:val="006652D3"/>
    <w:rsid w:val="00667CF3"/>
    <w:rsid w:val="00675D95"/>
    <w:rsid w:val="006769C4"/>
    <w:rsid w:val="00677627"/>
    <w:rsid w:val="00677BD5"/>
    <w:rsid w:val="0068025E"/>
    <w:rsid w:val="00686403"/>
    <w:rsid w:val="00693C87"/>
    <w:rsid w:val="006A05C7"/>
    <w:rsid w:val="006A607B"/>
    <w:rsid w:val="006A6E27"/>
    <w:rsid w:val="006A72B0"/>
    <w:rsid w:val="006B371A"/>
    <w:rsid w:val="006B3E4D"/>
    <w:rsid w:val="006B4FC3"/>
    <w:rsid w:val="006C52B9"/>
    <w:rsid w:val="006D081C"/>
    <w:rsid w:val="006D1DFE"/>
    <w:rsid w:val="006D22BF"/>
    <w:rsid w:val="006E6BC2"/>
    <w:rsid w:val="006E77BB"/>
    <w:rsid w:val="0070150E"/>
    <w:rsid w:val="00703A8D"/>
    <w:rsid w:val="007054C6"/>
    <w:rsid w:val="00705DB8"/>
    <w:rsid w:val="00706936"/>
    <w:rsid w:val="00713225"/>
    <w:rsid w:val="0072512A"/>
    <w:rsid w:val="00731EE6"/>
    <w:rsid w:val="00734AFD"/>
    <w:rsid w:val="007355A6"/>
    <w:rsid w:val="00735757"/>
    <w:rsid w:val="00737DFE"/>
    <w:rsid w:val="00740A71"/>
    <w:rsid w:val="007477C5"/>
    <w:rsid w:val="00747938"/>
    <w:rsid w:val="007558EF"/>
    <w:rsid w:val="00756850"/>
    <w:rsid w:val="00762803"/>
    <w:rsid w:val="00762AFB"/>
    <w:rsid w:val="00765BA8"/>
    <w:rsid w:val="00766007"/>
    <w:rsid w:val="00770A26"/>
    <w:rsid w:val="00770F76"/>
    <w:rsid w:val="0078274C"/>
    <w:rsid w:val="00782781"/>
    <w:rsid w:val="007828A0"/>
    <w:rsid w:val="007858AE"/>
    <w:rsid w:val="00793C43"/>
    <w:rsid w:val="00794AEB"/>
    <w:rsid w:val="007A115B"/>
    <w:rsid w:val="007A1364"/>
    <w:rsid w:val="007A24A0"/>
    <w:rsid w:val="007A4AB2"/>
    <w:rsid w:val="007A5E68"/>
    <w:rsid w:val="007A61DC"/>
    <w:rsid w:val="007A7305"/>
    <w:rsid w:val="007B0BA8"/>
    <w:rsid w:val="007B1BF7"/>
    <w:rsid w:val="007C404B"/>
    <w:rsid w:val="007C4558"/>
    <w:rsid w:val="007C4BAE"/>
    <w:rsid w:val="007C6F2E"/>
    <w:rsid w:val="007D1D3B"/>
    <w:rsid w:val="007D28FC"/>
    <w:rsid w:val="007D5960"/>
    <w:rsid w:val="007E025E"/>
    <w:rsid w:val="007E114E"/>
    <w:rsid w:val="007E4312"/>
    <w:rsid w:val="007E487F"/>
    <w:rsid w:val="007E4B2D"/>
    <w:rsid w:val="007E4DF5"/>
    <w:rsid w:val="007E587D"/>
    <w:rsid w:val="007E6757"/>
    <w:rsid w:val="007E71E9"/>
    <w:rsid w:val="007F1873"/>
    <w:rsid w:val="007F1D06"/>
    <w:rsid w:val="007F4968"/>
    <w:rsid w:val="008010D7"/>
    <w:rsid w:val="00803443"/>
    <w:rsid w:val="00805B7E"/>
    <w:rsid w:val="0080680D"/>
    <w:rsid w:val="00812C05"/>
    <w:rsid w:val="0081322A"/>
    <w:rsid w:val="00814428"/>
    <w:rsid w:val="008162AB"/>
    <w:rsid w:val="00823BA3"/>
    <w:rsid w:val="00842A85"/>
    <w:rsid w:val="00843E6F"/>
    <w:rsid w:val="00846E4A"/>
    <w:rsid w:val="00851A72"/>
    <w:rsid w:val="00851AF5"/>
    <w:rsid w:val="00851FB5"/>
    <w:rsid w:val="00854DAA"/>
    <w:rsid w:val="00863CD2"/>
    <w:rsid w:val="008647DE"/>
    <w:rsid w:val="00864B95"/>
    <w:rsid w:val="0087578B"/>
    <w:rsid w:val="0087729F"/>
    <w:rsid w:val="008800D3"/>
    <w:rsid w:val="008851B7"/>
    <w:rsid w:val="00886782"/>
    <w:rsid w:val="00886CDD"/>
    <w:rsid w:val="0089120D"/>
    <w:rsid w:val="0089214D"/>
    <w:rsid w:val="00893BDF"/>
    <w:rsid w:val="00893C0D"/>
    <w:rsid w:val="0089454B"/>
    <w:rsid w:val="00896817"/>
    <w:rsid w:val="008A20DA"/>
    <w:rsid w:val="008A568D"/>
    <w:rsid w:val="008B5C8F"/>
    <w:rsid w:val="008B5F16"/>
    <w:rsid w:val="008B6BD8"/>
    <w:rsid w:val="008B7722"/>
    <w:rsid w:val="008C0E5C"/>
    <w:rsid w:val="008D348B"/>
    <w:rsid w:val="008E2BE4"/>
    <w:rsid w:val="008E328E"/>
    <w:rsid w:val="008E66A1"/>
    <w:rsid w:val="008E6B4E"/>
    <w:rsid w:val="008E73FA"/>
    <w:rsid w:val="008E7970"/>
    <w:rsid w:val="008E7C34"/>
    <w:rsid w:val="008F0C36"/>
    <w:rsid w:val="008F2275"/>
    <w:rsid w:val="008F377B"/>
    <w:rsid w:val="00905404"/>
    <w:rsid w:val="00907CAE"/>
    <w:rsid w:val="00910267"/>
    <w:rsid w:val="00912464"/>
    <w:rsid w:val="00915512"/>
    <w:rsid w:val="009233CC"/>
    <w:rsid w:val="009240D8"/>
    <w:rsid w:val="0092523D"/>
    <w:rsid w:val="009264F7"/>
    <w:rsid w:val="009360D7"/>
    <w:rsid w:val="009362C9"/>
    <w:rsid w:val="00942387"/>
    <w:rsid w:val="00942A25"/>
    <w:rsid w:val="00945D4C"/>
    <w:rsid w:val="0094626F"/>
    <w:rsid w:val="009462D2"/>
    <w:rsid w:val="0095133E"/>
    <w:rsid w:val="0095248D"/>
    <w:rsid w:val="00952B8B"/>
    <w:rsid w:val="00956971"/>
    <w:rsid w:val="00962896"/>
    <w:rsid w:val="009652D5"/>
    <w:rsid w:val="00966C19"/>
    <w:rsid w:val="009677F8"/>
    <w:rsid w:val="00971146"/>
    <w:rsid w:val="00972A9A"/>
    <w:rsid w:val="00977165"/>
    <w:rsid w:val="00982AF4"/>
    <w:rsid w:val="00984F28"/>
    <w:rsid w:val="0099044F"/>
    <w:rsid w:val="00991675"/>
    <w:rsid w:val="00992008"/>
    <w:rsid w:val="00992572"/>
    <w:rsid w:val="00995FA7"/>
    <w:rsid w:val="00996409"/>
    <w:rsid w:val="00996D00"/>
    <w:rsid w:val="009A03DC"/>
    <w:rsid w:val="009A3763"/>
    <w:rsid w:val="009A6CF3"/>
    <w:rsid w:val="009A77A5"/>
    <w:rsid w:val="009B43BF"/>
    <w:rsid w:val="009B4A2D"/>
    <w:rsid w:val="009B5A07"/>
    <w:rsid w:val="009C1E0B"/>
    <w:rsid w:val="009C20EF"/>
    <w:rsid w:val="009D2756"/>
    <w:rsid w:val="009D3D3A"/>
    <w:rsid w:val="009D545A"/>
    <w:rsid w:val="009D6D44"/>
    <w:rsid w:val="009E22FA"/>
    <w:rsid w:val="009E4744"/>
    <w:rsid w:val="009E4EC9"/>
    <w:rsid w:val="009E5D5A"/>
    <w:rsid w:val="009F2262"/>
    <w:rsid w:val="009F4ADA"/>
    <w:rsid w:val="009F5DD6"/>
    <w:rsid w:val="009F6A0D"/>
    <w:rsid w:val="00A00D3B"/>
    <w:rsid w:val="00A07991"/>
    <w:rsid w:val="00A10CDE"/>
    <w:rsid w:val="00A1680D"/>
    <w:rsid w:val="00A23AB0"/>
    <w:rsid w:val="00A25B09"/>
    <w:rsid w:val="00A266C5"/>
    <w:rsid w:val="00A30836"/>
    <w:rsid w:val="00A309C6"/>
    <w:rsid w:val="00A319A4"/>
    <w:rsid w:val="00A32E4E"/>
    <w:rsid w:val="00A44A25"/>
    <w:rsid w:val="00A45DE6"/>
    <w:rsid w:val="00A505DE"/>
    <w:rsid w:val="00A5327C"/>
    <w:rsid w:val="00A56367"/>
    <w:rsid w:val="00A56AE1"/>
    <w:rsid w:val="00A5721C"/>
    <w:rsid w:val="00A57783"/>
    <w:rsid w:val="00A60E23"/>
    <w:rsid w:val="00A67913"/>
    <w:rsid w:val="00A71EFF"/>
    <w:rsid w:val="00A72494"/>
    <w:rsid w:val="00A75CD5"/>
    <w:rsid w:val="00A81A94"/>
    <w:rsid w:val="00A85D0F"/>
    <w:rsid w:val="00A904EB"/>
    <w:rsid w:val="00A9681E"/>
    <w:rsid w:val="00AA007A"/>
    <w:rsid w:val="00AA31D0"/>
    <w:rsid w:val="00AA35B4"/>
    <w:rsid w:val="00AA51AB"/>
    <w:rsid w:val="00AB073E"/>
    <w:rsid w:val="00AB0F23"/>
    <w:rsid w:val="00AB182B"/>
    <w:rsid w:val="00AB1A13"/>
    <w:rsid w:val="00AB4E9F"/>
    <w:rsid w:val="00AB7102"/>
    <w:rsid w:val="00AC210F"/>
    <w:rsid w:val="00AC319E"/>
    <w:rsid w:val="00AC3DDC"/>
    <w:rsid w:val="00AD5EC1"/>
    <w:rsid w:val="00AE298F"/>
    <w:rsid w:val="00AE3A1E"/>
    <w:rsid w:val="00AE734F"/>
    <w:rsid w:val="00AF2656"/>
    <w:rsid w:val="00AF6110"/>
    <w:rsid w:val="00AF6AC6"/>
    <w:rsid w:val="00B00611"/>
    <w:rsid w:val="00B02DDC"/>
    <w:rsid w:val="00B04354"/>
    <w:rsid w:val="00B2172B"/>
    <w:rsid w:val="00B249FC"/>
    <w:rsid w:val="00B317E7"/>
    <w:rsid w:val="00B33A57"/>
    <w:rsid w:val="00B34083"/>
    <w:rsid w:val="00B37728"/>
    <w:rsid w:val="00B41CCF"/>
    <w:rsid w:val="00B45C64"/>
    <w:rsid w:val="00B46A32"/>
    <w:rsid w:val="00B46B29"/>
    <w:rsid w:val="00B53547"/>
    <w:rsid w:val="00B53597"/>
    <w:rsid w:val="00B55D3E"/>
    <w:rsid w:val="00B62590"/>
    <w:rsid w:val="00B6715E"/>
    <w:rsid w:val="00B6729F"/>
    <w:rsid w:val="00B706E2"/>
    <w:rsid w:val="00B7517F"/>
    <w:rsid w:val="00B7654A"/>
    <w:rsid w:val="00B8201D"/>
    <w:rsid w:val="00B82627"/>
    <w:rsid w:val="00B83EF1"/>
    <w:rsid w:val="00B85F0B"/>
    <w:rsid w:val="00B879EF"/>
    <w:rsid w:val="00B90AA7"/>
    <w:rsid w:val="00B913BA"/>
    <w:rsid w:val="00B9198F"/>
    <w:rsid w:val="00B94335"/>
    <w:rsid w:val="00B94643"/>
    <w:rsid w:val="00BA2C63"/>
    <w:rsid w:val="00BA38F6"/>
    <w:rsid w:val="00BA5CC0"/>
    <w:rsid w:val="00BA65E5"/>
    <w:rsid w:val="00BB09DF"/>
    <w:rsid w:val="00BB1DE4"/>
    <w:rsid w:val="00BB3FC5"/>
    <w:rsid w:val="00BC11A6"/>
    <w:rsid w:val="00BC2B3B"/>
    <w:rsid w:val="00BC4579"/>
    <w:rsid w:val="00BC5453"/>
    <w:rsid w:val="00BC5C96"/>
    <w:rsid w:val="00BD02C2"/>
    <w:rsid w:val="00BD3D24"/>
    <w:rsid w:val="00BE08AB"/>
    <w:rsid w:val="00BE374D"/>
    <w:rsid w:val="00BE418D"/>
    <w:rsid w:val="00BF1D5D"/>
    <w:rsid w:val="00BF3F82"/>
    <w:rsid w:val="00C0018A"/>
    <w:rsid w:val="00C00905"/>
    <w:rsid w:val="00C035B5"/>
    <w:rsid w:val="00C06B69"/>
    <w:rsid w:val="00C07C48"/>
    <w:rsid w:val="00C10A63"/>
    <w:rsid w:val="00C11ABD"/>
    <w:rsid w:val="00C11FD1"/>
    <w:rsid w:val="00C14230"/>
    <w:rsid w:val="00C14FB2"/>
    <w:rsid w:val="00C176AC"/>
    <w:rsid w:val="00C21EF9"/>
    <w:rsid w:val="00C222F7"/>
    <w:rsid w:val="00C24839"/>
    <w:rsid w:val="00C25443"/>
    <w:rsid w:val="00C27C23"/>
    <w:rsid w:val="00C32834"/>
    <w:rsid w:val="00C41C84"/>
    <w:rsid w:val="00C43B6B"/>
    <w:rsid w:val="00C44D09"/>
    <w:rsid w:val="00C45FC2"/>
    <w:rsid w:val="00C554D4"/>
    <w:rsid w:val="00C56D05"/>
    <w:rsid w:val="00C606C3"/>
    <w:rsid w:val="00C61B02"/>
    <w:rsid w:val="00C61F1C"/>
    <w:rsid w:val="00C64EB3"/>
    <w:rsid w:val="00C70498"/>
    <w:rsid w:val="00C719A2"/>
    <w:rsid w:val="00C72165"/>
    <w:rsid w:val="00C73291"/>
    <w:rsid w:val="00C83041"/>
    <w:rsid w:val="00C90B42"/>
    <w:rsid w:val="00C90EA8"/>
    <w:rsid w:val="00C93C38"/>
    <w:rsid w:val="00C9475D"/>
    <w:rsid w:val="00C95056"/>
    <w:rsid w:val="00C951FD"/>
    <w:rsid w:val="00CA5751"/>
    <w:rsid w:val="00CA7F28"/>
    <w:rsid w:val="00CB0768"/>
    <w:rsid w:val="00CB131F"/>
    <w:rsid w:val="00CB2E43"/>
    <w:rsid w:val="00CB4DCD"/>
    <w:rsid w:val="00CB4F2D"/>
    <w:rsid w:val="00CB60BF"/>
    <w:rsid w:val="00CC1690"/>
    <w:rsid w:val="00CC665A"/>
    <w:rsid w:val="00CD28A0"/>
    <w:rsid w:val="00CD31DC"/>
    <w:rsid w:val="00CD6323"/>
    <w:rsid w:val="00CD64E7"/>
    <w:rsid w:val="00CE04A0"/>
    <w:rsid w:val="00CE33AB"/>
    <w:rsid w:val="00CE34DC"/>
    <w:rsid w:val="00CF73B5"/>
    <w:rsid w:val="00D07FB4"/>
    <w:rsid w:val="00D115C4"/>
    <w:rsid w:val="00D21FA8"/>
    <w:rsid w:val="00D236B7"/>
    <w:rsid w:val="00D23E48"/>
    <w:rsid w:val="00D244BE"/>
    <w:rsid w:val="00D253FB"/>
    <w:rsid w:val="00D354D2"/>
    <w:rsid w:val="00D43096"/>
    <w:rsid w:val="00D43578"/>
    <w:rsid w:val="00D46AB2"/>
    <w:rsid w:val="00D47815"/>
    <w:rsid w:val="00D55E65"/>
    <w:rsid w:val="00D6060E"/>
    <w:rsid w:val="00D640CA"/>
    <w:rsid w:val="00D656EB"/>
    <w:rsid w:val="00D676B3"/>
    <w:rsid w:val="00D771FD"/>
    <w:rsid w:val="00D7796D"/>
    <w:rsid w:val="00D81B18"/>
    <w:rsid w:val="00D83541"/>
    <w:rsid w:val="00D846D6"/>
    <w:rsid w:val="00D84746"/>
    <w:rsid w:val="00D9107A"/>
    <w:rsid w:val="00D91607"/>
    <w:rsid w:val="00D93A16"/>
    <w:rsid w:val="00D9496D"/>
    <w:rsid w:val="00D95EAA"/>
    <w:rsid w:val="00DA0768"/>
    <w:rsid w:val="00DA161A"/>
    <w:rsid w:val="00DA5A94"/>
    <w:rsid w:val="00DB2355"/>
    <w:rsid w:val="00DB32EF"/>
    <w:rsid w:val="00DB37C3"/>
    <w:rsid w:val="00DB3BB4"/>
    <w:rsid w:val="00DB4F65"/>
    <w:rsid w:val="00DC0F02"/>
    <w:rsid w:val="00DC0F8D"/>
    <w:rsid w:val="00DC2284"/>
    <w:rsid w:val="00DC3CA4"/>
    <w:rsid w:val="00DC59B8"/>
    <w:rsid w:val="00DD69FE"/>
    <w:rsid w:val="00DD7975"/>
    <w:rsid w:val="00DE1C0E"/>
    <w:rsid w:val="00DE44F4"/>
    <w:rsid w:val="00DE4578"/>
    <w:rsid w:val="00DE622D"/>
    <w:rsid w:val="00DF04EE"/>
    <w:rsid w:val="00DF3E35"/>
    <w:rsid w:val="00E02D05"/>
    <w:rsid w:val="00E03ED5"/>
    <w:rsid w:val="00E06243"/>
    <w:rsid w:val="00E07169"/>
    <w:rsid w:val="00E07621"/>
    <w:rsid w:val="00E11E13"/>
    <w:rsid w:val="00E123A6"/>
    <w:rsid w:val="00E1516D"/>
    <w:rsid w:val="00E162A4"/>
    <w:rsid w:val="00E16394"/>
    <w:rsid w:val="00E1688C"/>
    <w:rsid w:val="00E22665"/>
    <w:rsid w:val="00E23B2C"/>
    <w:rsid w:val="00E30499"/>
    <w:rsid w:val="00E30B51"/>
    <w:rsid w:val="00E324BB"/>
    <w:rsid w:val="00E34013"/>
    <w:rsid w:val="00E377E8"/>
    <w:rsid w:val="00E413BE"/>
    <w:rsid w:val="00E42394"/>
    <w:rsid w:val="00E43464"/>
    <w:rsid w:val="00E47A69"/>
    <w:rsid w:val="00E560BD"/>
    <w:rsid w:val="00E566C9"/>
    <w:rsid w:val="00E571BB"/>
    <w:rsid w:val="00E74435"/>
    <w:rsid w:val="00E758AD"/>
    <w:rsid w:val="00E77D4E"/>
    <w:rsid w:val="00E820A7"/>
    <w:rsid w:val="00E8329C"/>
    <w:rsid w:val="00E86B48"/>
    <w:rsid w:val="00E91860"/>
    <w:rsid w:val="00E954B7"/>
    <w:rsid w:val="00E95FA3"/>
    <w:rsid w:val="00E96FDB"/>
    <w:rsid w:val="00EA107B"/>
    <w:rsid w:val="00EB2CCB"/>
    <w:rsid w:val="00EB4A21"/>
    <w:rsid w:val="00EB57DC"/>
    <w:rsid w:val="00EB6D31"/>
    <w:rsid w:val="00EC06CC"/>
    <w:rsid w:val="00EC16F1"/>
    <w:rsid w:val="00ED012F"/>
    <w:rsid w:val="00ED05D6"/>
    <w:rsid w:val="00ED0C6F"/>
    <w:rsid w:val="00ED2FCC"/>
    <w:rsid w:val="00ED46DC"/>
    <w:rsid w:val="00ED6492"/>
    <w:rsid w:val="00ED7826"/>
    <w:rsid w:val="00EE1623"/>
    <w:rsid w:val="00EE2F79"/>
    <w:rsid w:val="00EE5F75"/>
    <w:rsid w:val="00EF0EB8"/>
    <w:rsid w:val="00EF2722"/>
    <w:rsid w:val="00EF6805"/>
    <w:rsid w:val="00EF6EBD"/>
    <w:rsid w:val="00F00508"/>
    <w:rsid w:val="00F01E52"/>
    <w:rsid w:val="00F042DC"/>
    <w:rsid w:val="00F04309"/>
    <w:rsid w:val="00F07099"/>
    <w:rsid w:val="00F105EA"/>
    <w:rsid w:val="00F11117"/>
    <w:rsid w:val="00F12541"/>
    <w:rsid w:val="00F14753"/>
    <w:rsid w:val="00F20FB8"/>
    <w:rsid w:val="00F22035"/>
    <w:rsid w:val="00F22D18"/>
    <w:rsid w:val="00F27DB5"/>
    <w:rsid w:val="00F3031B"/>
    <w:rsid w:val="00F30F96"/>
    <w:rsid w:val="00F36C87"/>
    <w:rsid w:val="00F40384"/>
    <w:rsid w:val="00F46927"/>
    <w:rsid w:val="00F50075"/>
    <w:rsid w:val="00F52FDC"/>
    <w:rsid w:val="00F533CE"/>
    <w:rsid w:val="00F534AB"/>
    <w:rsid w:val="00F542E6"/>
    <w:rsid w:val="00F55854"/>
    <w:rsid w:val="00F56813"/>
    <w:rsid w:val="00F57AA7"/>
    <w:rsid w:val="00F70110"/>
    <w:rsid w:val="00F711DA"/>
    <w:rsid w:val="00F72C93"/>
    <w:rsid w:val="00F75369"/>
    <w:rsid w:val="00F779BC"/>
    <w:rsid w:val="00F80A88"/>
    <w:rsid w:val="00F820D1"/>
    <w:rsid w:val="00F823F5"/>
    <w:rsid w:val="00F831FF"/>
    <w:rsid w:val="00F83306"/>
    <w:rsid w:val="00F83781"/>
    <w:rsid w:val="00F9170D"/>
    <w:rsid w:val="00F91F28"/>
    <w:rsid w:val="00F920EB"/>
    <w:rsid w:val="00F94368"/>
    <w:rsid w:val="00F9494C"/>
    <w:rsid w:val="00FA15C8"/>
    <w:rsid w:val="00FA2C8F"/>
    <w:rsid w:val="00FA2D86"/>
    <w:rsid w:val="00FA348C"/>
    <w:rsid w:val="00FB0AD8"/>
    <w:rsid w:val="00FB4DBB"/>
    <w:rsid w:val="00FC3722"/>
    <w:rsid w:val="00FC5918"/>
    <w:rsid w:val="00FE2C17"/>
    <w:rsid w:val="00FF072F"/>
    <w:rsid w:val="00FF1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4C4D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E42394"/>
    <w:rPr>
      <w:sz w:val="24"/>
      <w:szCs w:val="20"/>
    </w:rPr>
  </w:style>
  <w:style w:type="character" w:customStyle="1" w:styleId="CGCParaNoChar">
    <w:name w:val="CGC Para No Char"/>
    <w:aliases w:val="CGC Numbered Para Char"/>
    <w:basedOn w:val="DefaultParagraphFont"/>
    <w:link w:val="CGCNumberedPara"/>
    <w:rsid w:val="00E423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8863">
      <w:bodyDiv w:val="1"/>
      <w:marLeft w:val="0"/>
      <w:marRight w:val="0"/>
      <w:marTop w:val="0"/>
      <w:marBottom w:val="0"/>
      <w:divBdr>
        <w:top w:val="none" w:sz="0" w:space="0" w:color="auto"/>
        <w:left w:val="none" w:sz="0" w:space="0" w:color="auto"/>
        <w:bottom w:val="none" w:sz="0" w:space="0" w:color="auto"/>
        <w:right w:val="none" w:sz="0" w:space="0" w:color="auto"/>
      </w:divBdr>
    </w:div>
    <w:div w:id="246773239">
      <w:bodyDiv w:val="1"/>
      <w:marLeft w:val="0"/>
      <w:marRight w:val="0"/>
      <w:marTop w:val="0"/>
      <w:marBottom w:val="0"/>
      <w:divBdr>
        <w:top w:val="none" w:sz="0" w:space="0" w:color="auto"/>
        <w:left w:val="none" w:sz="0" w:space="0" w:color="auto"/>
        <w:bottom w:val="none" w:sz="0" w:space="0" w:color="auto"/>
        <w:right w:val="none" w:sz="0" w:space="0" w:color="auto"/>
      </w:divBdr>
    </w:div>
    <w:div w:id="274142681">
      <w:bodyDiv w:val="1"/>
      <w:marLeft w:val="0"/>
      <w:marRight w:val="0"/>
      <w:marTop w:val="0"/>
      <w:marBottom w:val="0"/>
      <w:divBdr>
        <w:top w:val="none" w:sz="0" w:space="0" w:color="auto"/>
        <w:left w:val="none" w:sz="0" w:space="0" w:color="auto"/>
        <w:bottom w:val="none" w:sz="0" w:space="0" w:color="auto"/>
        <w:right w:val="none" w:sz="0" w:space="0" w:color="auto"/>
      </w:divBdr>
    </w:div>
    <w:div w:id="332077110">
      <w:bodyDiv w:val="1"/>
      <w:marLeft w:val="0"/>
      <w:marRight w:val="0"/>
      <w:marTop w:val="0"/>
      <w:marBottom w:val="0"/>
      <w:divBdr>
        <w:top w:val="none" w:sz="0" w:space="0" w:color="auto"/>
        <w:left w:val="none" w:sz="0" w:space="0" w:color="auto"/>
        <w:bottom w:val="none" w:sz="0" w:space="0" w:color="auto"/>
        <w:right w:val="none" w:sz="0" w:space="0" w:color="auto"/>
      </w:divBdr>
    </w:div>
    <w:div w:id="375392014">
      <w:bodyDiv w:val="1"/>
      <w:marLeft w:val="0"/>
      <w:marRight w:val="0"/>
      <w:marTop w:val="0"/>
      <w:marBottom w:val="0"/>
      <w:divBdr>
        <w:top w:val="none" w:sz="0" w:space="0" w:color="auto"/>
        <w:left w:val="none" w:sz="0" w:space="0" w:color="auto"/>
        <w:bottom w:val="none" w:sz="0" w:space="0" w:color="auto"/>
        <w:right w:val="none" w:sz="0" w:space="0" w:color="auto"/>
      </w:divBdr>
    </w:div>
    <w:div w:id="410781065">
      <w:bodyDiv w:val="1"/>
      <w:marLeft w:val="0"/>
      <w:marRight w:val="0"/>
      <w:marTop w:val="0"/>
      <w:marBottom w:val="0"/>
      <w:divBdr>
        <w:top w:val="none" w:sz="0" w:space="0" w:color="auto"/>
        <w:left w:val="none" w:sz="0" w:space="0" w:color="auto"/>
        <w:bottom w:val="none" w:sz="0" w:space="0" w:color="auto"/>
        <w:right w:val="none" w:sz="0" w:space="0" w:color="auto"/>
      </w:divBdr>
    </w:div>
    <w:div w:id="494419882">
      <w:bodyDiv w:val="1"/>
      <w:marLeft w:val="0"/>
      <w:marRight w:val="0"/>
      <w:marTop w:val="0"/>
      <w:marBottom w:val="0"/>
      <w:divBdr>
        <w:top w:val="none" w:sz="0" w:space="0" w:color="auto"/>
        <w:left w:val="none" w:sz="0" w:space="0" w:color="auto"/>
        <w:bottom w:val="none" w:sz="0" w:space="0" w:color="auto"/>
        <w:right w:val="none" w:sz="0" w:space="0" w:color="auto"/>
      </w:divBdr>
    </w:div>
    <w:div w:id="517623698">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21575021">
      <w:bodyDiv w:val="1"/>
      <w:marLeft w:val="0"/>
      <w:marRight w:val="0"/>
      <w:marTop w:val="0"/>
      <w:marBottom w:val="0"/>
      <w:divBdr>
        <w:top w:val="none" w:sz="0" w:space="0" w:color="auto"/>
        <w:left w:val="none" w:sz="0" w:space="0" w:color="auto"/>
        <w:bottom w:val="none" w:sz="0" w:space="0" w:color="auto"/>
        <w:right w:val="none" w:sz="0" w:space="0" w:color="auto"/>
      </w:divBdr>
    </w:div>
    <w:div w:id="651100751">
      <w:bodyDiv w:val="1"/>
      <w:marLeft w:val="0"/>
      <w:marRight w:val="0"/>
      <w:marTop w:val="0"/>
      <w:marBottom w:val="0"/>
      <w:divBdr>
        <w:top w:val="none" w:sz="0" w:space="0" w:color="auto"/>
        <w:left w:val="none" w:sz="0" w:space="0" w:color="auto"/>
        <w:bottom w:val="none" w:sz="0" w:space="0" w:color="auto"/>
        <w:right w:val="none" w:sz="0" w:space="0" w:color="auto"/>
      </w:divBdr>
    </w:div>
    <w:div w:id="705645796">
      <w:bodyDiv w:val="1"/>
      <w:marLeft w:val="0"/>
      <w:marRight w:val="0"/>
      <w:marTop w:val="0"/>
      <w:marBottom w:val="0"/>
      <w:divBdr>
        <w:top w:val="none" w:sz="0" w:space="0" w:color="auto"/>
        <w:left w:val="none" w:sz="0" w:space="0" w:color="auto"/>
        <w:bottom w:val="none" w:sz="0" w:space="0" w:color="auto"/>
        <w:right w:val="none" w:sz="0" w:space="0" w:color="auto"/>
      </w:divBdr>
    </w:div>
    <w:div w:id="813448464">
      <w:bodyDiv w:val="1"/>
      <w:marLeft w:val="0"/>
      <w:marRight w:val="0"/>
      <w:marTop w:val="0"/>
      <w:marBottom w:val="0"/>
      <w:divBdr>
        <w:top w:val="none" w:sz="0" w:space="0" w:color="auto"/>
        <w:left w:val="none" w:sz="0" w:space="0" w:color="auto"/>
        <w:bottom w:val="none" w:sz="0" w:space="0" w:color="auto"/>
        <w:right w:val="none" w:sz="0" w:space="0" w:color="auto"/>
      </w:divBdr>
    </w:div>
    <w:div w:id="886599516">
      <w:bodyDiv w:val="1"/>
      <w:marLeft w:val="0"/>
      <w:marRight w:val="0"/>
      <w:marTop w:val="0"/>
      <w:marBottom w:val="0"/>
      <w:divBdr>
        <w:top w:val="none" w:sz="0" w:space="0" w:color="auto"/>
        <w:left w:val="none" w:sz="0" w:space="0" w:color="auto"/>
        <w:bottom w:val="none" w:sz="0" w:space="0" w:color="auto"/>
        <w:right w:val="none" w:sz="0" w:space="0" w:color="auto"/>
      </w:divBdr>
    </w:div>
    <w:div w:id="904725834">
      <w:bodyDiv w:val="1"/>
      <w:marLeft w:val="0"/>
      <w:marRight w:val="0"/>
      <w:marTop w:val="0"/>
      <w:marBottom w:val="0"/>
      <w:divBdr>
        <w:top w:val="none" w:sz="0" w:space="0" w:color="auto"/>
        <w:left w:val="none" w:sz="0" w:space="0" w:color="auto"/>
        <w:bottom w:val="none" w:sz="0" w:space="0" w:color="auto"/>
        <w:right w:val="none" w:sz="0" w:space="0" w:color="auto"/>
      </w:divBdr>
    </w:div>
    <w:div w:id="919565337">
      <w:bodyDiv w:val="1"/>
      <w:marLeft w:val="0"/>
      <w:marRight w:val="0"/>
      <w:marTop w:val="0"/>
      <w:marBottom w:val="0"/>
      <w:divBdr>
        <w:top w:val="none" w:sz="0" w:space="0" w:color="auto"/>
        <w:left w:val="none" w:sz="0" w:space="0" w:color="auto"/>
        <w:bottom w:val="none" w:sz="0" w:space="0" w:color="auto"/>
        <w:right w:val="none" w:sz="0" w:space="0" w:color="auto"/>
      </w:divBdr>
    </w:div>
    <w:div w:id="929432089">
      <w:bodyDiv w:val="1"/>
      <w:marLeft w:val="0"/>
      <w:marRight w:val="0"/>
      <w:marTop w:val="0"/>
      <w:marBottom w:val="0"/>
      <w:divBdr>
        <w:top w:val="none" w:sz="0" w:space="0" w:color="auto"/>
        <w:left w:val="none" w:sz="0" w:space="0" w:color="auto"/>
        <w:bottom w:val="none" w:sz="0" w:space="0" w:color="auto"/>
        <w:right w:val="none" w:sz="0" w:space="0" w:color="auto"/>
      </w:divBdr>
    </w:div>
    <w:div w:id="970860664">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33063905">
      <w:bodyDiv w:val="1"/>
      <w:marLeft w:val="0"/>
      <w:marRight w:val="0"/>
      <w:marTop w:val="0"/>
      <w:marBottom w:val="0"/>
      <w:divBdr>
        <w:top w:val="none" w:sz="0" w:space="0" w:color="auto"/>
        <w:left w:val="none" w:sz="0" w:space="0" w:color="auto"/>
        <w:bottom w:val="none" w:sz="0" w:space="0" w:color="auto"/>
        <w:right w:val="none" w:sz="0" w:space="0" w:color="auto"/>
      </w:divBdr>
    </w:div>
    <w:div w:id="1138450721">
      <w:bodyDiv w:val="1"/>
      <w:marLeft w:val="0"/>
      <w:marRight w:val="0"/>
      <w:marTop w:val="0"/>
      <w:marBottom w:val="0"/>
      <w:divBdr>
        <w:top w:val="none" w:sz="0" w:space="0" w:color="auto"/>
        <w:left w:val="none" w:sz="0" w:space="0" w:color="auto"/>
        <w:bottom w:val="none" w:sz="0" w:space="0" w:color="auto"/>
        <w:right w:val="none" w:sz="0" w:space="0" w:color="auto"/>
      </w:divBdr>
    </w:div>
    <w:div w:id="1150486308">
      <w:bodyDiv w:val="1"/>
      <w:marLeft w:val="0"/>
      <w:marRight w:val="0"/>
      <w:marTop w:val="0"/>
      <w:marBottom w:val="0"/>
      <w:divBdr>
        <w:top w:val="none" w:sz="0" w:space="0" w:color="auto"/>
        <w:left w:val="none" w:sz="0" w:space="0" w:color="auto"/>
        <w:bottom w:val="none" w:sz="0" w:space="0" w:color="auto"/>
        <w:right w:val="none" w:sz="0" w:space="0" w:color="auto"/>
      </w:divBdr>
    </w:div>
    <w:div w:id="1230648241">
      <w:bodyDiv w:val="1"/>
      <w:marLeft w:val="0"/>
      <w:marRight w:val="0"/>
      <w:marTop w:val="0"/>
      <w:marBottom w:val="0"/>
      <w:divBdr>
        <w:top w:val="none" w:sz="0" w:space="0" w:color="auto"/>
        <w:left w:val="none" w:sz="0" w:space="0" w:color="auto"/>
        <w:bottom w:val="none" w:sz="0" w:space="0" w:color="auto"/>
        <w:right w:val="none" w:sz="0" w:space="0" w:color="auto"/>
      </w:divBdr>
    </w:div>
    <w:div w:id="1270358248">
      <w:bodyDiv w:val="1"/>
      <w:marLeft w:val="0"/>
      <w:marRight w:val="0"/>
      <w:marTop w:val="0"/>
      <w:marBottom w:val="0"/>
      <w:divBdr>
        <w:top w:val="none" w:sz="0" w:space="0" w:color="auto"/>
        <w:left w:val="none" w:sz="0" w:space="0" w:color="auto"/>
        <w:bottom w:val="none" w:sz="0" w:space="0" w:color="auto"/>
        <w:right w:val="none" w:sz="0" w:space="0" w:color="auto"/>
      </w:divBdr>
    </w:div>
    <w:div w:id="1416826802">
      <w:bodyDiv w:val="1"/>
      <w:marLeft w:val="0"/>
      <w:marRight w:val="0"/>
      <w:marTop w:val="0"/>
      <w:marBottom w:val="0"/>
      <w:divBdr>
        <w:top w:val="none" w:sz="0" w:space="0" w:color="auto"/>
        <w:left w:val="none" w:sz="0" w:space="0" w:color="auto"/>
        <w:bottom w:val="none" w:sz="0" w:space="0" w:color="auto"/>
        <w:right w:val="none" w:sz="0" w:space="0" w:color="auto"/>
      </w:divBdr>
    </w:div>
    <w:div w:id="1453524499">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18543528">
      <w:bodyDiv w:val="1"/>
      <w:marLeft w:val="0"/>
      <w:marRight w:val="0"/>
      <w:marTop w:val="0"/>
      <w:marBottom w:val="0"/>
      <w:divBdr>
        <w:top w:val="none" w:sz="0" w:space="0" w:color="auto"/>
        <w:left w:val="none" w:sz="0" w:space="0" w:color="auto"/>
        <w:bottom w:val="none" w:sz="0" w:space="0" w:color="auto"/>
        <w:right w:val="none" w:sz="0" w:space="0" w:color="auto"/>
      </w:divBdr>
    </w:div>
    <w:div w:id="1576815126">
      <w:bodyDiv w:val="1"/>
      <w:marLeft w:val="0"/>
      <w:marRight w:val="0"/>
      <w:marTop w:val="0"/>
      <w:marBottom w:val="0"/>
      <w:divBdr>
        <w:top w:val="none" w:sz="0" w:space="0" w:color="auto"/>
        <w:left w:val="none" w:sz="0" w:space="0" w:color="auto"/>
        <w:bottom w:val="none" w:sz="0" w:space="0" w:color="auto"/>
        <w:right w:val="none" w:sz="0" w:space="0" w:color="auto"/>
      </w:divBdr>
    </w:div>
    <w:div w:id="1711297053">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05850355">
      <w:bodyDiv w:val="1"/>
      <w:marLeft w:val="0"/>
      <w:marRight w:val="0"/>
      <w:marTop w:val="0"/>
      <w:marBottom w:val="0"/>
      <w:divBdr>
        <w:top w:val="none" w:sz="0" w:space="0" w:color="auto"/>
        <w:left w:val="none" w:sz="0" w:space="0" w:color="auto"/>
        <w:bottom w:val="none" w:sz="0" w:space="0" w:color="auto"/>
        <w:right w:val="none" w:sz="0" w:space="0" w:color="auto"/>
      </w:divBdr>
    </w:div>
    <w:div w:id="1809283064">
      <w:bodyDiv w:val="1"/>
      <w:marLeft w:val="0"/>
      <w:marRight w:val="0"/>
      <w:marTop w:val="0"/>
      <w:marBottom w:val="0"/>
      <w:divBdr>
        <w:top w:val="none" w:sz="0" w:space="0" w:color="auto"/>
        <w:left w:val="none" w:sz="0" w:space="0" w:color="auto"/>
        <w:bottom w:val="none" w:sz="0" w:space="0" w:color="auto"/>
        <w:right w:val="none" w:sz="0" w:space="0" w:color="auto"/>
      </w:divBdr>
    </w:div>
    <w:div w:id="1909800514">
      <w:bodyDiv w:val="1"/>
      <w:marLeft w:val="0"/>
      <w:marRight w:val="0"/>
      <w:marTop w:val="0"/>
      <w:marBottom w:val="0"/>
      <w:divBdr>
        <w:top w:val="none" w:sz="0" w:space="0" w:color="auto"/>
        <w:left w:val="none" w:sz="0" w:space="0" w:color="auto"/>
        <w:bottom w:val="none" w:sz="0" w:space="0" w:color="auto"/>
        <w:right w:val="none" w:sz="0" w:space="0" w:color="auto"/>
      </w:divBdr>
    </w:div>
    <w:div w:id="2078628507">
      <w:bodyDiv w:val="1"/>
      <w:marLeft w:val="0"/>
      <w:marRight w:val="0"/>
      <w:marTop w:val="0"/>
      <w:marBottom w:val="0"/>
      <w:divBdr>
        <w:top w:val="none" w:sz="0" w:space="0" w:color="auto"/>
        <w:left w:val="none" w:sz="0" w:space="0" w:color="auto"/>
        <w:bottom w:val="none" w:sz="0" w:space="0" w:color="auto"/>
        <w:right w:val="none" w:sz="0" w:space="0" w:color="auto"/>
      </w:divBdr>
    </w:div>
    <w:div w:id="20996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reativecommons.org/licenses/by/3.0"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ecretary@cgc.gov.au"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4845</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2018-04-18T01:03:00Z</dcterms:created>
  <dcterms:modified xsi:type="dcterms:W3CDTF">2018-04-24T04:26:00Z</dcterms:modified>
</cp:coreProperties>
</file>