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7B1D6A" w14:textId="77777777" w:rsidR="005F43DC" w:rsidRPr="00970E6D" w:rsidRDefault="005F43DC" w:rsidP="005F43DC">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bookmarkStart w:id="6" w:name="_Toc106707725"/>
      <w:bookmarkStart w:id="7" w:name="_Toc155675935"/>
      <w:bookmarkStart w:id="8" w:name="_Toc174415770"/>
      <w:bookmarkStart w:id="9" w:name="_Toc174415844"/>
      <w:bookmarkStart w:id="10" w:name="_Toc174415935"/>
      <w:bookmarkStart w:id="11" w:name="_Toc174416620"/>
      <w:bookmarkStart w:id="12" w:name="_Toc174416662"/>
      <w:bookmarkStart w:id="13" w:name="_Toc174416675"/>
      <w:r w:rsidRPr="00970E6D">
        <w:rPr>
          <w:noProof/>
          <w:lang w:eastAsia="en-AU"/>
        </w:rPr>
        <w:drawing>
          <wp:inline distT="0" distB="0" distL="0" distR="0" wp14:anchorId="05EA60E3" wp14:editId="0B938669">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8"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14:paraId="5B243FCD" w14:textId="77777777" w:rsidR="005F43DC" w:rsidRPr="00970E6D" w:rsidRDefault="005F43DC" w:rsidP="005F43DC">
      <w:pPr>
        <w:tabs>
          <w:tab w:val="clear" w:pos="567"/>
        </w:tabs>
        <w:jc w:val="center"/>
        <w:rPr>
          <w:b/>
          <w:sz w:val="40"/>
          <w:szCs w:val="40"/>
        </w:rPr>
      </w:pPr>
    </w:p>
    <w:p w14:paraId="18B08294" w14:textId="77777777" w:rsidR="005F43DC" w:rsidRPr="00970E6D" w:rsidRDefault="005F43DC" w:rsidP="005F43DC">
      <w:pPr>
        <w:tabs>
          <w:tab w:val="clear" w:pos="567"/>
        </w:tabs>
        <w:jc w:val="center"/>
        <w:rPr>
          <w:b/>
          <w:sz w:val="40"/>
          <w:szCs w:val="40"/>
        </w:rPr>
      </w:pPr>
    </w:p>
    <w:p w14:paraId="468E18D8" w14:textId="77777777" w:rsidR="005F43DC" w:rsidRPr="00970E6D" w:rsidRDefault="005F43DC" w:rsidP="005F43DC">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14:paraId="545BEF55" w14:textId="77777777" w:rsidR="005F43DC" w:rsidRPr="00970E6D" w:rsidRDefault="005F43DC" w:rsidP="005F43DC">
      <w:pPr>
        <w:tabs>
          <w:tab w:val="clear" w:pos="567"/>
        </w:tabs>
        <w:jc w:val="center"/>
        <w:rPr>
          <w:b/>
          <w:sz w:val="40"/>
          <w:szCs w:val="40"/>
        </w:rPr>
      </w:pPr>
    </w:p>
    <w:p w14:paraId="65F97A0D" w14:textId="77777777" w:rsidR="005F43DC" w:rsidRPr="00970E6D" w:rsidRDefault="005F43DC" w:rsidP="005F43DC">
      <w:pPr>
        <w:tabs>
          <w:tab w:val="clear" w:pos="567"/>
        </w:tabs>
        <w:jc w:val="center"/>
        <w:rPr>
          <w:b/>
          <w:sz w:val="40"/>
          <w:szCs w:val="40"/>
        </w:rPr>
      </w:pPr>
    </w:p>
    <w:p w14:paraId="2ECC2D53" w14:textId="77777777" w:rsidR="005F43DC" w:rsidRPr="00970E6D" w:rsidRDefault="005F43DC" w:rsidP="005F43DC">
      <w:pPr>
        <w:tabs>
          <w:tab w:val="clear" w:pos="567"/>
        </w:tabs>
        <w:jc w:val="center"/>
        <w:rPr>
          <w:b/>
          <w:sz w:val="40"/>
          <w:szCs w:val="40"/>
        </w:rPr>
      </w:pPr>
    </w:p>
    <w:p w14:paraId="69F39281" w14:textId="77777777" w:rsidR="005F43DC" w:rsidRPr="00970E6D" w:rsidRDefault="005F43DC" w:rsidP="005F43DC">
      <w:pPr>
        <w:tabs>
          <w:tab w:val="clear" w:pos="567"/>
        </w:tabs>
        <w:jc w:val="center"/>
        <w:rPr>
          <w:b/>
          <w:sz w:val="40"/>
          <w:szCs w:val="40"/>
        </w:rPr>
      </w:pPr>
    </w:p>
    <w:p w14:paraId="40485866" w14:textId="77777777" w:rsidR="005F43DC" w:rsidRPr="008E032B" w:rsidRDefault="008E032B" w:rsidP="005F43DC">
      <w:pPr>
        <w:tabs>
          <w:tab w:val="clear" w:pos="567"/>
        </w:tabs>
        <w:jc w:val="center"/>
        <w:rPr>
          <w:b/>
          <w:sz w:val="40"/>
          <w:szCs w:val="40"/>
        </w:rPr>
      </w:pPr>
      <w:r>
        <w:rPr>
          <w:b/>
          <w:sz w:val="40"/>
          <w:szCs w:val="40"/>
        </w:rPr>
        <w:t>ROADS</w:t>
      </w:r>
    </w:p>
    <w:p w14:paraId="32740C5C" w14:textId="77777777" w:rsidR="005F43DC" w:rsidRPr="00970E6D" w:rsidRDefault="005F43DC" w:rsidP="005F43DC">
      <w:pPr>
        <w:tabs>
          <w:tab w:val="clear" w:pos="567"/>
        </w:tabs>
        <w:jc w:val="center"/>
        <w:rPr>
          <w:b/>
          <w:sz w:val="40"/>
          <w:szCs w:val="40"/>
        </w:rPr>
      </w:pPr>
    </w:p>
    <w:p w14:paraId="290AEDF4" w14:textId="77777777" w:rsidR="005F43DC" w:rsidRPr="00970E6D" w:rsidRDefault="005F43DC" w:rsidP="005F43DC">
      <w:pPr>
        <w:tabs>
          <w:tab w:val="clear" w:pos="567"/>
        </w:tabs>
        <w:jc w:val="center"/>
        <w:rPr>
          <w:b/>
          <w:sz w:val="40"/>
          <w:szCs w:val="40"/>
        </w:rPr>
      </w:pPr>
    </w:p>
    <w:p w14:paraId="23577CE3" w14:textId="77777777" w:rsidR="005F43DC" w:rsidRPr="00970E6D" w:rsidRDefault="005F43DC" w:rsidP="005F43DC">
      <w:pPr>
        <w:tabs>
          <w:tab w:val="clear" w:pos="567"/>
        </w:tabs>
        <w:jc w:val="center"/>
        <w:rPr>
          <w:b/>
          <w:sz w:val="40"/>
          <w:szCs w:val="40"/>
        </w:rPr>
      </w:pPr>
    </w:p>
    <w:p w14:paraId="6E5EE2BC" w14:textId="77777777" w:rsidR="005F43DC" w:rsidRPr="00970E6D" w:rsidRDefault="005F43DC" w:rsidP="005F43DC">
      <w:pPr>
        <w:tabs>
          <w:tab w:val="clear" w:pos="567"/>
        </w:tabs>
        <w:jc w:val="center"/>
        <w:rPr>
          <w:b/>
          <w:sz w:val="40"/>
          <w:szCs w:val="40"/>
        </w:rPr>
      </w:pPr>
    </w:p>
    <w:p w14:paraId="492D3112" w14:textId="51C0583B" w:rsidR="005F43DC" w:rsidRPr="00970E6D" w:rsidRDefault="00F15459" w:rsidP="005F43DC">
      <w:pPr>
        <w:tabs>
          <w:tab w:val="clear" w:pos="567"/>
        </w:tabs>
        <w:jc w:val="center"/>
        <w:rPr>
          <w:b/>
          <w:sz w:val="40"/>
          <w:szCs w:val="40"/>
        </w:rPr>
      </w:pPr>
      <w:r>
        <w:rPr>
          <w:b/>
          <w:sz w:val="40"/>
          <w:szCs w:val="40"/>
        </w:rPr>
        <w:t xml:space="preserve">STAFF </w:t>
      </w:r>
      <w:r w:rsidR="005F43DC">
        <w:rPr>
          <w:b/>
          <w:sz w:val="40"/>
          <w:szCs w:val="40"/>
        </w:rPr>
        <w:t>DRAFT ASSESSMENT PAPER</w:t>
      </w:r>
      <w:r w:rsidR="005F43DC">
        <w:rPr>
          <w:b/>
          <w:sz w:val="40"/>
          <w:szCs w:val="40"/>
        </w:rPr>
        <w:br/>
        <w:t>CGC 20</w:t>
      </w:r>
      <w:r w:rsidR="005F43DC" w:rsidRPr="00970E6D">
        <w:rPr>
          <w:b/>
          <w:sz w:val="40"/>
          <w:szCs w:val="40"/>
        </w:rPr>
        <w:t>1</w:t>
      </w:r>
      <w:r w:rsidR="005F43DC">
        <w:rPr>
          <w:b/>
          <w:sz w:val="40"/>
          <w:szCs w:val="40"/>
        </w:rPr>
        <w:t>8</w:t>
      </w:r>
      <w:r w:rsidR="005F43DC" w:rsidRPr="00970E6D">
        <w:rPr>
          <w:b/>
          <w:sz w:val="40"/>
          <w:szCs w:val="40"/>
        </w:rPr>
        <w:t>-</w:t>
      </w:r>
      <w:r w:rsidR="005F43DC">
        <w:rPr>
          <w:b/>
          <w:sz w:val="40"/>
          <w:szCs w:val="40"/>
        </w:rPr>
        <w:t>01/</w:t>
      </w:r>
      <w:r w:rsidR="00B12CA7">
        <w:rPr>
          <w:b/>
          <w:sz w:val="40"/>
          <w:szCs w:val="40"/>
        </w:rPr>
        <w:t>1</w:t>
      </w:r>
      <w:r w:rsidR="00636FCA">
        <w:rPr>
          <w:b/>
          <w:sz w:val="40"/>
          <w:szCs w:val="40"/>
        </w:rPr>
        <w:t>7</w:t>
      </w:r>
      <w:r w:rsidR="005F43DC">
        <w:rPr>
          <w:b/>
          <w:sz w:val="40"/>
          <w:szCs w:val="40"/>
        </w:rPr>
        <w:t>-S</w:t>
      </w:r>
    </w:p>
    <w:p w14:paraId="65C0533B" w14:textId="77777777" w:rsidR="005F43DC" w:rsidRPr="00970E6D" w:rsidRDefault="005F43DC" w:rsidP="005F43DC">
      <w:pPr>
        <w:tabs>
          <w:tab w:val="clear" w:pos="567"/>
        </w:tabs>
        <w:jc w:val="center"/>
        <w:rPr>
          <w:b/>
          <w:sz w:val="40"/>
          <w:szCs w:val="40"/>
        </w:rPr>
      </w:pPr>
    </w:p>
    <w:p w14:paraId="1E45FA84" w14:textId="77777777" w:rsidR="005F43DC" w:rsidRPr="00970E6D" w:rsidRDefault="005F43DC" w:rsidP="005F43DC">
      <w:pPr>
        <w:tabs>
          <w:tab w:val="clear" w:pos="567"/>
        </w:tabs>
        <w:jc w:val="center"/>
        <w:rPr>
          <w:b/>
          <w:sz w:val="40"/>
          <w:szCs w:val="40"/>
        </w:rPr>
      </w:pPr>
    </w:p>
    <w:p w14:paraId="7DA86BFF" w14:textId="77777777" w:rsidR="005F43DC" w:rsidRPr="00970E6D" w:rsidRDefault="005F43DC" w:rsidP="005F43DC">
      <w:pPr>
        <w:tabs>
          <w:tab w:val="clear" w:pos="567"/>
        </w:tabs>
        <w:jc w:val="center"/>
        <w:rPr>
          <w:b/>
          <w:sz w:val="40"/>
          <w:szCs w:val="40"/>
        </w:rPr>
      </w:pPr>
    </w:p>
    <w:p w14:paraId="414411DE" w14:textId="77777777" w:rsidR="005F43DC" w:rsidRPr="00970E6D" w:rsidRDefault="005F43DC" w:rsidP="005F43DC">
      <w:pPr>
        <w:tabs>
          <w:tab w:val="clear" w:pos="567"/>
        </w:tabs>
        <w:jc w:val="center"/>
        <w:rPr>
          <w:sz w:val="40"/>
          <w:szCs w:val="40"/>
        </w:rPr>
      </w:pPr>
    </w:p>
    <w:p w14:paraId="6B6E51C7" w14:textId="77777777" w:rsidR="005F43DC" w:rsidRPr="00970E6D" w:rsidRDefault="005F43DC" w:rsidP="005F43DC">
      <w:pPr>
        <w:tabs>
          <w:tab w:val="clear" w:pos="567"/>
        </w:tabs>
        <w:jc w:val="right"/>
        <w:rPr>
          <w:b/>
          <w:sz w:val="28"/>
          <w:szCs w:val="28"/>
        </w:rPr>
      </w:pPr>
      <w:r>
        <w:rPr>
          <w:b/>
          <w:sz w:val="28"/>
          <w:szCs w:val="28"/>
        </w:rPr>
        <w:t>APRIL 2018</w:t>
      </w:r>
    </w:p>
    <w:p w14:paraId="02444139" w14:textId="77777777" w:rsidR="005F43DC" w:rsidRPr="00970E6D" w:rsidRDefault="005F43DC" w:rsidP="005F43DC">
      <w:pPr>
        <w:tabs>
          <w:tab w:val="clear" w:pos="567"/>
        </w:tabs>
      </w:pPr>
    </w:p>
    <w:p w14:paraId="0F86D9FD" w14:textId="77777777" w:rsidR="005F43DC" w:rsidRPr="00970E6D" w:rsidRDefault="005F43DC" w:rsidP="005F43DC">
      <w:pPr>
        <w:tabs>
          <w:tab w:val="clear" w:pos="567"/>
        </w:tabs>
        <w:sectPr w:rsidR="005F43DC" w:rsidRPr="00970E6D" w:rsidSect="00C11694">
          <w:footerReference w:type="default" r:id="rId9"/>
          <w:footerReference w:type="first" r:id="rId10"/>
          <w:pgSz w:w="11899" w:h="16838" w:code="9"/>
          <w:pgMar w:top="1701" w:right="1474" w:bottom="1701" w:left="1474" w:header="709" w:footer="709" w:gutter="0"/>
          <w:cols w:space="708"/>
          <w:titlePg/>
          <w:docGrid w:linePitch="299"/>
        </w:sectPr>
      </w:pPr>
    </w:p>
    <w:p w14:paraId="54A91677" w14:textId="77777777" w:rsidR="005F43DC" w:rsidRPr="00970E6D" w:rsidRDefault="005F43DC" w:rsidP="005F43DC">
      <w:pPr>
        <w:tabs>
          <w:tab w:val="clear" w:pos="567"/>
        </w:tabs>
      </w:pPr>
    </w:p>
    <w:tbl>
      <w:tblPr>
        <w:tblStyle w:val="TableGrid"/>
        <w:tblW w:w="5000" w:type="pct"/>
        <w:tblLook w:val="01E0" w:firstRow="1" w:lastRow="1" w:firstColumn="1" w:lastColumn="1" w:noHBand="0" w:noVBand="0"/>
      </w:tblPr>
      <w:tblGrid>
        <w:gridCol w:w="2943"/>
        <w:gridCol w:w="6224"/>
      </w:tblGrid>
      <w:tr w:rsidR="005F43DC" w:rsidRPr="00970E6D" w14:paraId="3FFC6E5C" w14:textId="77777777" w:rsidTr="00C11694">
        <w:tc>
          <w:tcPr>
            <w:tcW w:w="1605" w:type="pct"/>
            <w:tcBorders>
              <w:top w:val="single" w:sz="4" w:space="0" w:color="auto"/>
              <w:left w:val="single" w:sz="4" w:space="0" w:color="auto"/>
              <w:bottom w:val="single" w:sz="4" w:space="0" w:color="auto"/>
              <w:right w:val="single" w:sz="4" w:space="0" w:color="auto"/>
            </w:tcBorders>
          </w:tcPr>
          <w:p w14:paraId="75CFC6EB" w14:textId="77777777" w:rsidR="005F43DC" w:rsidRPr="00970E6D" w:rsidRDefault="005F43DC" w:rsidP="00C11694">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14:paraId="3F0F1098" w14:textId="724B3109" w:rsidR="005F43DC" w:rsidRPr="00970E6D" w:rsidRDefault="00F4765D" w:rsidP="005F43DC">
            <w:pPr>
              <w:tabs>
                <w:tab w:val="clear" w:pos="567"/>
              </w:tabs>
            </w:pPr>
            <w:r>
              <w:t>20 April</w:t>
            </w:r>
            <w:r w:rsidR="005F43DC" w:rsidRPr="00970E6D">
              <w:t xml:space="preserve"> 20</w:t>
            </w:r>
            <w:r w:rsidR="005F43DC">
              <w:t>18</w:t>
            </w:r>
          </w:p>
        </w:tc>
      </w:tr>
      <w:tr w:rsidR="005F43DC" w:rsidRPr="00970E6D" w14:paraId="3B10E198" w14:textId="77777777" w:rsidTr="00C11694">
        <w:tc>
          <w:tcPr>
            <w:tcW w:w="1605" w:type="pct"/>
            <w:tcBorders>
              <w:top w:val="single" w:sz="4" w:space="0" w:color="auto"/>
              <w:left w:val="single" w:sz="4" w:space="0" w:color="auto"/>
              <w:bottom w:val="single" w:sz="4" w:space="0" w:color="auto"/>
              <w:right w:val="single" w:sz="4" w:space="0" w:color="auto"/>
            </w:tcBorders>
          </w:tcPr>
          <w:p w14:paraId="5222A2C7" w14:textId="77777777" w:rsidR="005F43DC" w:rsidRPr="00970E6D" w:rsidRDefault="005F43DC" w:rsidP="00C11694">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14:paraId="15CB8097" w14:textId="77777777" w:rsidR="005F43DC" w:rsidRPr="00970E6D" w:rsidRDefault="008E032B" w:rsidP="008E032B">
            <w:pPr>
              <w:tabs>
                <w:tab w:val="clear" w:pos="567"/>
              </w:tabs>
            </w:pPr>
            <w:r>
              <w:t>Kathleen Morris</w:t>
            </w:r>
            <w:r w:rsidR="005F43DC" w:rsidRPr="00970E6D">
              <w:t xml:space="preserve">, </w:t>
            </w:r>
            <w:r>
              <w:t>(02) 6229 8863</w:t>
            </w:r>
            <w:r w:rsidR="005F43DC" w:rsidRPr="00970E6D">
              <w:t xml:space="preserve">, </w:t>
            </w:r>
            <w:hyperlink r:id="rId11" w:history="1">
              <w:r w:rsidR="00FE296F" w:rsidRPr="00CF3787">
                <w:rPr>
                  <w:rStyle w:val="Hyperlink"/>
                </w:rPr>
                <w:t>kathleen.morris@cgc.gov.au</w:t>
              </w:r>
            </w:hyperlink>
          </w:p>
        </w:tc>
      </w:tr>
      <w:tr w:rsidR="005F43DC" w:rsidRPr="00970E6D" w14:paraId="60D4C37A" w14:textId="77777777" w:rsidTr="00C11694">
        <w:tc>
          <w:tcPr>
            <w:tcW w:w="1605" w:type="pct"/>
            <w:tcBorders>
              <w:top w:val="single" w:sz="4" w:space="0" w:color="auto"/>
              <w:left w:val="single" w:sz="4" w:space="0" w:color="auto"/>
              <w:bottom w:val="single" w:sz="4" w:space="0" w:color="auto"/>
              <w:right w:val="single" w:sz="4" w:space="0" w:color="auto"/>
            </w:tcBorders>
          </w:tcPr>
          <w:p w14:paraId="11AB5BAA" w14:textId="77777777" w:rsidR="005F43DC" w:rsidRPr="00970E6D" w:rsidRDefault="005F43DC" w:rsidP="00C11694">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14:paraId="7C925DA4" w14:textId="77777777" w:rsidR="00F4765D" w:rsidRDefault="00F4765D" w:rsidP="00C11694">
            <w:pPr>
              <w:tabs>
                <w:tab w:val="clear" w:pos="567"/>
              </w:tabs>
            </w:pPr>
            <w:r>
              <w:t>31 August 2018</w:t>
            </w:r>
            <w:r w:rsidR="005F43DC" w:rsidRPr="00970E6D">
              <w:t xml:space="preserve">.  </w:t>
            </w:r>
          </w:p>
          <w:p w14:paraId="75E83B42" w14:textId="161F5E35" w:rsidR="005F43DC" w:rsidRPr="00970E6D" w:rsidRDefault="005F43DC" w:rsidP="00C11694">
            <w:pPr>
              <w:tabs>
                <w:tab w:val="clear" w:pos="567"/>
              </w:tabs>
            </w:pPr>
            <w:r w:rsidRPr="00970E6D">
              <w:t xml:space="preserve">Submissions should be emailed in Word format to </w:t>
            </w:r>
            <w:hyperlink r:id="rId12" w:history="1">
              <w:r w:rsidRPr="00970E6D">
                <w:rPr>
                  <w:rStyle w:val="Hyperlink"/>
                </w:rPr>
                <w:t>secretary@cgc.gov.au</w:t>
              </w:r>
            </w:hyperlink>
            <w:r w:rsidRPr="00970E6D">
              <w:t xml:space="preserve"> .</w:t>
            </w:r>
          </w:p>
          <w:p w14:paraId="69363D26" w14:textId="77777777" w:rsidR="005F43DC" w:rsidRPr="00970E6D" w:rsidRDefault="005F43DC" w:rsidP="00C11694">
            <w:pPr>
              <w:tabs>
                <w:tab w:val="clear" w:pos="567"/>
              </w:tabs>
            </w:pPr>
            <w:r w:rsidRPr="00970E6D">
              <w:t xml:space="preserve">Submissions of more than </w:t>
            </w:r>
            <w:r>
              <w:t>10</w:t>
            </w:r>
            <w:r w:rsidRPr="00970E6D">
              <w:t xml:space="preserve"> pages in length should include a summary section.</w:t>
            </w:r>
          </w:p>
        </w:tc>
      </w:tr>
      <w:tr w:rsidR="005F43DC" w:rsidRPr="00970E6D" w14:paraId="7B245AF0" w14:textId="77777777" w:rsidTr="00C11694">
        <w:tc>
          <w:tcPr>
            <w:tcW w:w="1605" w:type="pct"/>
            <w:tcBorders>
              <w:top w:val="single" w:sz="4" w:space="0" w:color="auto"/>
              <w:left w:val="single" w:sz="4" w:space="0" w:color="auto"/>
              <w:bottom w:val="single" w:sz="4" w:space="0" w:color="auto"/>
              <w:right w:val="single" w:sz="4" w:space="0" w:color="auto"/>
            </w:tcBorders>
          </w:tcPr>
          <w:p w14:paraId="5D5C1601" w14:textId="36D96F7A" w:rsidR="005F43DC" w:rsidRPr="00970E6D" w:rsidRDefault="005F43DC" w:rsidP="00C11694">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14:paraId="30C519C7" w14:textId="77777777" w:rsidR="005F43DC" w:rsidRPr="00CF1294" w:rsidRDefault="005F43DC" w:rsidP="00C11694">
            <w:pPr>
              <w:tabs>
                <w:tab w:val="clear" w:pos="567"/>
              </w:tabs>
            </w:pPr>
            <w:r w:rsidRPr="00CF1294">
              <w:t xml:space="preserve">It is the </w:t>
            </w:r>
            <w:r w:rsidR="00FE296F">
              <w:t>C</w:t>
            </w:r>
            <w:r w:rsidRPr="00CF1294">
              <w:t xml:space="preserve">ommission’s normal practice to make State submissions available on its website under the CC BY licence, allowing free use of content by third parties. </w:t>
            </w:r>
          </w:p>
          <w:p w14:paraId="147AB2F9" w14:textId="77777777" w:rsidR="005F43DC" w:rsidRPr="00CF1294" w:rsidRDefault="005F43DC" w:rsidP="00C11694">
            <w:pPr>
              <w:tabs>
                <w:tab w:val="clear" w:pos="567"/>
              </w:tabs>
            </w:pPr>
            <w:r w:rsidRPr="00CF1294">
              <w:rPr>
                <w:noProof/>
                <w:lang w:eastAsia="en-AU"/>
              </w:rPr>
              <w:drawing>
                <wp:inline distT="0" distB="0" distL="0" distR="0" wp14:anchorId="3598287C" wp14:editId="2955FBAF">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3"/>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4230BF77" w14:textId="77777777" w:rsidR="005F43DC" w:rsidRPr="00CF1294" w:rsidRDefault="005F43DC" w:rsidP="00C11694">
            <w:pPr>
              <w:tabs>
                <w:tab w:val="clear" w:pos="567"/>
              </w:tabs>
            </w:pPr>
            <w:r w:rsidRPr="00CF1294">
              <w:t xml:space="preserve">Further information on the CC BY licence can be found </w:t>
            </w:r>
            <w:r w:rsidRPr="00EC79CF">
              <w:t xml:space="preserve">on the </w:t>
            </w:r>
            <w:hyperlink r:id="rId14" w:history="1">
              <w:r w:rsidRPr="00841145">
                <w:rPr>
                  <w:rStyle w:val="Hyperlink"/>
                </w:rPr>
                <w:t>Creative Commons website</w:t>
              </w:r>
            </w:hyperlink>
            <w:r w:rsidRPr="00EC79CF">
              <w:t xml:space="preserve"> </w:t>
            </w:r>
            <w:r>
              <w:t>(</w:t>
            </w:r>
            <w:r w:rsidRPr="00841145">
              <w:t>http://creativecommons.org</w:t>
            </w:r>
            <w:r>
              <w:t>).</w:t>
            </w:r>
            <w:r w:rsidRPr="00CF1294">
              <w:t xml:space="preserve"> </w:t>
            </w:r>
          </w:p>
          <w:p w14:paraId="632E1D3B" w14:textId="77777777" w:rsidR="005F43DC" w:rsidRPr="00970E6D" w:rsidRDefault="005F43DC" w:rsidP="00C11694">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FE296F">
              <w:t>C</w:t>
            </w:r>
            <w:r w:rsidRPr="00CF1294">
              <w:t>ommission’s website.</w:t>
            </w:r>
          </w:p>
        </w:tc>
      </w:tr>
    </w:tbl>
    <w:p w14:paraId="3CC1A8B7" w14:textId="77777777" w:rsidR="005F43DC" w:rsidRPr="00970E6D" w:rsidRDefault="005F43DC" w:rsidP="005F43DC">
      <w:pPr>
        <w:tabs>
          <w:tab w:val="clear" w:pos="567"/>
        </w:tabs>
        <w:sectPr w:rsidR="005F43DC" w:rsidRPr="00970E6D" w:rsidSect="00C11694">
          <w:headerReference w:type="first" r:id="rId15"/>
          <w:footerReference w:type="first" r:id="rId16"/>
          <w:pgSz w:w="11899" w:h="16838" w:code="9"/>
          <w:pgMar w:top="1701" w:right="1474" w:bottom="1701" w:left="1474" w:header="709" w:footer="709" w:gutter="0"/>
          <w:cols w:space="708"/>
          <w:vAlign w:val="bottom"/>
          <w:titlePg/>
          <w:docGrid w:linePitch="299"/>
        </w:sectPr>
      </w:pPr>
    </w:p>
    <w:p w14:paraId="6C725450" w14:textId="77777777" w:rsidR="005F43DC" w:rsidRPr="00970E6D" w:rsidRDefault="005F43DC" w:rsidP="005F43DC">
      <w:pPr>
        <w:pStyle w:val="Heading1"/>
      </w:pPr>
      <w:r w:rsidRPr="00970E6D">
        <w:lastRenderedPageBreak/>
        <w:t>C</w:t>
      </w:r>
      <w:bookmarkEnd w:id="0"/>
      <w:bookmarkEnd w:id="1"/>
      <w:bookmarkEnd w:id="2"/>
      <w:bookmarkEnd w:id="3"/>
      <w:bookmarkEnd w:id="4"/>
      <w:bookmarkEnd w:id="5"/>
      <w:r>
        <w:t>ontents</w:t>
      </w:r>
    </w:p>
    <w:p w14:paraId="7919671D" w14:textId="77777777" w:rsidR="005F43DC" w:rsidRPr="00970E6D" w:rsidRDefault="005F43DC" w:rsidP="005F43DC">
      <w:pPr>
        <w:tabs>
          <w:tab w:val="clear" w:pos="567"/>
        </w:tabs>
      </w:pPr>
    </w:p>
    <w:p w14:paraId="0A018097" w14:textId="77777777" w:rsidR="00D15183" w:rsidRDefault="00A0542F" w:rsidP="00D15183">
      <w:pPr>
        <w:pStyle w:val="TOC1"/>
        <w:rPr>
          <w:noProof/>
        </w:rPr>
      </w:pPr>
      <w:r>
        <w:fldChar w:fldCharType="begin"/>
      </w:r>
      <w:r>
        <w:instrText xml:space="preserve"> TOC \f \h \z \u \t "Heading 2,1,Heading 3,1,Heading 4,3" </w:instrText>
      </w:r>
      <w:r>
        <w:fldChar w:fldCharType="separate"/>
      </w:r>
      <w:r w:rsidR="00D15183">
        <w:rPr>
          <w:noProof/>
        </w:rPr>
        <w:fldChar w:fldCharType="begin"/>
      </w:r>
      <w:r w:rsidR="00D15183">
        <w:rPr>
          <w:noProof/>
        </w:rPr>
        <w:instrText xml:space="preserve"> TOC \f \h \z \u \t "Heading 2,1,Heading 3,1,Heading 4,3" </w:instrText>
      </w:r>
      <w:r w:rsidR="00D15183">
        <w:rPr>
          <w:noProof/>
        </w:rPr>
        <w:fldChar w:fldCharType="separate"/>
      </w:r>
    </w:p>
    <w:p w14:paraId="76AEE796" w14:textId="77777777" w:rsidR="00D15183" w:rsidRDefault="00AB6D29" w:rsidP="00D15183">
      <w:pPr>
        <w:pStyle w:val="TOC1"/>
        <w:rPr>
          <w:rFonts w:eastAsiaTheme="minorEastAsia"/>
          <w:b w:val="0"/>
          <w:bCs w:val="0"/>
          <w:caps w:val="0"/>
          <w:noProof/>
          <w:sz w:val="22"/>
          <w:szCs w:val="22"/>
          <w:lang w:eastAsia="en-AU"/>
        </w:rPr>
      </w:pPr>
      <w:hyperlink w:anchor="_Toc511380283" w:history="1">
        <w:r w:rsidR="00D15183" w:rsidRPr="00F66D6F">
          <w:rPr>
            <w:rStyle w:val="Hyperlink"/>
            <w:noProof/>
          </w:rPr>
          <w:t>Roads</w:t>
        </w:r>
        <w:r w:rsidR="00D15183">
          <w:rPr>
            <w:noProof/>
            <w:webHidden/>
          </w:rPr>
          <w:tab/>
        </w:r>
        <w:r w:rsidR="00D15183">
          <w:rPr>
            <w:noProof/>
            <w:webHidden/>
          </w:rPr>
          <w:fldChar w:fldCharType="begin"/>
        </w:r>
        <w:r w:rsidR="00D15183">
          <w:rPr>
            <w:noProof/>
            <w:webHidden/>
          </w:rPr>
          <w:instrText xml:space="preserve"> PAGEREF _Toc511380283 \h </w:instrText>
        </w:r>
        <w:r w:rsidR="00D15183">
          <w:rPr>
            <w:noProof/>
            <w:webHidden/>
          </w:rPr>
        </w:r>
        <w:r w:rsidR="00D15183">
          <w:rPr>
            <w:noProof/>
            <w:webHidden/>
          </w:rPr>
          <w:fldChar w:fldCharType="separate"/>
        </w:r>
        <w:r w:rsidR="004B3502">
          <w:rPr>
            <w:noProof/>
            <w:webHidden/>
          </w:rPr>
          <w:t>1</w:t>
        </w:r>
        <w:r w:rsidR="00D15183">
          <w:rPr>
            <w:noProof/>
            <w:webHidden/>
          </w:rPr>
          <w:fldChar w:fldCharType="end"/>
        </w:r>
      </w:hyperlink>
    </w:p>
    <w:p w14:paraId="2EF75151" w14:textId="77777777" w:rsidR="00D15183" w:rsidRDefault="00AB6D29" w:rsidP="00D15183">
      <w:pPr>
        <w:pStyle w:val="TOC1"/>
        <w:rPr>
          <w:rFonts w:eastAsiaTheme="minorEastAsia"/>
          <w:b w:val="0"/>
          <w:bCs w:val="0"/>
          <w:caps w:val="0"/>
          <w:noProof/>
          <w:sz w:val="22"/>
          <w:szCs w:val="22"/>
          <w:lang w:eastAsia="en-AU"/>
        </w:rPr>
      </w:pPr>
      <w:hyperlink w:anchor="_Toc511380284" w:history="1">
        <w:r w:rsidR="00D15183" w:rsidRPr="00F66D6F">
          <w:rPr>
            <w:rStyle w:val="Hyperlink"/>
            <w:noProof/>
          </w:rPr>
          <w:t>2015 Review Approach</w:t>
        </w:r>
        <w:r w:rsidR="00D15183">
          <w:rPr>
            <w:noProof/>
            <w:webHidden/>
          </w:rPr>
          <w:tab/>
        </w:r>
        <w:r w:rsidR="00D15183">
          <w:rPr>
            <w:noProof/>
            <w:webHidden/>
          </w:rPr>
          <w:fldChar w:fldCharType="begin"/>
        </w:r>
        <w:r w:rsidR="00D15183">
          <w:rPr>
            <w:noProof/>
            <w:webHidden/>
          </w:rPr>
          <w:instrText xml:space="preserve"> PAGEREF _Toc511380284 \h </w:instrText>
        </w:r>
        <w:r w:rsidR="00D15183">
          <w:rPr>
            <w:noProof/>
            <w:webHidden/>
          </w:rPr>
        </w:r>
        <w:r w:rsidR="00D15183">
          <w:rPr>
            <w:noProof/>
            <w:webHidden/>
          </w:rPr>
          <w:fldChar w:fldCharType="separate"/>
        </w:r>
        <w:r w:rsidR="004B3502">
          <w:rPr>
            <w:noProof/>
            <w:webHidden/>
          </w:rPr>
          <w:t>1</w:t>
        </w:r>
        <w:r w:rsidR="00D15183">
          <w:rPr>
            <w:noProof/>
            <w:webHidden/>
          </w:rPr>
          <w:fldChar w:fldCharType="end"/>
        </w:r>
      </w:hyperlink>
    </w:p>
    <w:p w14:paraId="60F75296" w14:textId="77777777" w:rsidR="00D15183" w:rsidRDefault="00AB6D29" w:rsidP="00D15183">
      <w:pPr>
        <w:pStyle w:val="TOC3"/>
        <w:rPr>
          <w:rFonts w:eastAsiaTheme="minorEastAsia"/>
          <w:iCs w:val="0"/>
          <w:noProof/>
          <w:sz w:val="22"/>
          <w:lang w:eastAsia="en-AU"/>
        </w:rPr>
      </w:pPr>
      <w:hyperlink w:anchor="_Toc511380285" w:history="1">
        <w:r w:rsidR="00D15183" w:rsidRPr="00F66D6F">
          <w:rPr>
            <w:rStyle w:val="Hyperlink"/>
            <w:noProof/>
          </w:rPr>
          <w:t>Services included in this category</w:t>
        </w:r>
        <w:r w:rsidR="00D15183">
          <w:rPr>
            <w:noProof/>
            <w:webHidden/>
          </w:rPr>
          <w:tab/>
        </w:r>
        <w:r w:rsidR="00D15183">
          <w:rPr>
            <w:noProof/>
            <w:webHidden/>
          </w:rPr>
          <w:fldChar w:fldCharType="begin"/>
        </w:r>
        <w:r w:rsidR="00D15183">
          <w:rPr>
            <w:noProof/>
            <w:webHidden/>
          </w:rPr>
          <w:instrText xml:space="preserve"> PAGEREF _Toc511380285 \h </w:instrText>
        </w:r>
        <w:r w:rsidR="00D15183">
          <w:rPr>
            <w:noProof/>
            <w:webHidden/>
          </w:rPr>
        </w:r>
        <w:r w:rsidR="00D15183">
          <w:rPr>
            <w:noProof/>
            <w:webHidden/>
          </w:rPr>
          <w:fldChar w:fldCharType="separate"/>
        </w:r>
        <w:r w:rsidR="004B3502">
          <w:rPr>
            <w:noProof/>
            <w:webHidden/>
          </w:rPr>
          <w:t>1</w:t>
        </w:r>
        <w:r w:rsidR="00D15183">
          <w:rPr>
            <w:noProof/>
            <w:webHidden/>
          </w:rPr>
          <w:fldChar w:fldCharType="end"/>
        </w:r>
      </w:hyperlink>
    </w:p>
    <w:p w14:paraId="0B282D3F" w14:textId="77777777" w:rsidR="00D15183" w:rsidRDefault="00AB6D29" w:rsidP="00D15183">
      <w:pPr>
        <w:pStyle w:val="TOC3"/>
        <w:rPr>
          <w:rFonts w:eastAsiaTheme="minorEastAsia"/>
          <w:iCs w:val="0"/>
          <w:noProof/>
          <w:sz w:val="22"/>
          <w:lang w:eastAsia="en-AU"/>
        </w:rPr>
      </w:pPr>
      <w:hyperlink w:anchor="_Toc511380286" w:history="1">
        <w:r w:rsidR="00D15183" w:rsidRPr="00F66D6F">
          <w:rPr>
            <w:rStyle w:val="Hyperlink"/>
            <w:noProof/>
          </w:rPr>
          <w:t>Category and component expenses</w:t>
        </w:r>
        <w:r w:rsidR="00D15183">
          <w:rPr>
            <w:noProof/>
            <w:webHidden/>
          </w:rPr>
          <w:tab/>
        </w:r>
        <w:r w:rsidR="00D15183">
          <w:rPr>
            <w:noProof/>
            <w:webHidden/>
          </w:rPr>
          <w:fldChar w:fldCharType="begin"/>
        </w:r>
        <w:r w:rsidR="00D15183">
          <w:rPr>
            <w:noProof/>
            <w:webHidden/>
          </w:rPr>
          <w:instrText xml:space="preserve"> PAGEREF _Toc511380286 \h </w:instrText>
        </w:r>
        <w:r w:rsidR="00D15183">
          <w:rPr>
            <w:noProof/>
            <w:webHidden/>
          </w:rPr>
        </w:r>
        <w:r w:rsidR="00D15183">
          <w:rPr>
            <w:noProof/>
            <w:webHidden/>
          </w:rPr>
          <w:fldChar w:fldCharType="separate"/>
        </w:r>
        <w:r w:rsidR="004B3502">
          <w:rPr>
            <w:noProof/>
            <w:webHidden/>
          </w:rPr>
          <w:t>1</w:t>
        </w:r>
        <w:r w:rsidR="00D15183">
          <w:rPr>
            <w:noProof/>
            <w:webHidden/>
          </w:rPr>
          <w:fldChar w:fldCharType="end"/>
        </w:r>
      </w:hyperlink>
    </w:p>
    <w:p w14:paraId="1F5C7AD1" w14:textId="77777777" w:rsidR="00D15183" w:rsidRDefault="00AB6D29" w:rsidP="00D15183">
      <w:pPr>
        <w:pStyle w:val="TOC3"/>
        <w:rPr>
          <w:rFonts w:eastAsiaTheme="minorEastAsia"/>
          <w:iCs w:val="0"/>
          <w:noProof/>
          <w:sz w:val="22"/>
          <w:lang w:eastAsia="en-AU"/>
        </w:rPr>
      </w:pPr>
      <w:hyperlink w:anchor="_Toc511380287" w:history="1">
        <w:r w:rsidR="00D15183" w:rsidRPr="00F66D6F">
          <w:rPr>
            <w:rStyle w:val="Hyperlink"/>
            <w:noProof/>
          </w:rPr>
          <w:t>The roads task</w:t>
        </w:r>
        <w:r w:rsidR="00D15183">
          <w:rPr>
            <w:noProof/>
            <w:webHidden/>
          </w:rPr>
          <w:tab/>
        </w:r>
        <w:r w:rsidR="00D15183">
          <w:rPr>
            <w:noProof/>
            <w:webHidden/>
          </w:rPr>
          <w:fldChar w:fldCharType="begin"/>
        </w:r>
        <w:r w:rsidR="00D15183">
          <w:rPr>
            <w:noProof/>
            <w:webHidden/>
          </w:rPr>
          <w:instrText xml:space="preserve"> PAGEREF _Toc511380287 \h </w:instrText>
        </w:r>
        <w:r w:rsidR="00D15183">
          <w:rPr>
            <w:noProof/>
            <w:webHidden/>
          </w:rPr>
        </w:r>
        <w:r w:rsidR="00D15183">
          <w:rPr>
            <w:noProof/>
            <w:webHidden/>
          </w:rPr>
          <w:fldChar w:fldCharType="separate"/>
        </w:r>
        <w:r w:rsidR="004B3502">
          <w:rPr>
            <w:noProof/>
            <w:webHidden/>
          </w:rPr>
          <w:t>2</w:t>
        </w:r>
        <w:r w:rsidR="00D15183">
          <w:rPr>
            <w:noProof/>
            <w:webHidden/>
          </w:rPr>
          <w:fldChar w:fldCharType="end"/>
        </w:r>
      </w:hyperlink>
    </w:p>
    <w:p w14:paraId="39E06EDB" w14:textId="77777777" w:rsidR="00D15183" w:rsidRDefault="00AB6D29" w:rsidP="00D15183">
      <w:pPr>
        <w:pStyle w:val="TOC3"/>
        <w:rPr>
          <w:rFonts w:eastAsiaTheme="minorEastAsia"/>
          <w:iCs w:val="0"/>
          <w:noProof/>
          <w:sz w:val="22"/>
          <w:lang w:eastAsia="en-AU"/>
        </w:rPr>
      </w:pPr>
      <w:hyperlink w:anchor="_Toc511380288" w:history="1">
        <w:r w:rsidR="00D15183" w:rsidRPr="00F66D6F">
          <w:rPr>
            <w:rStyle w:val="Hyperlink"/>
            <w:noProof/>
          </w:rPr>
          <w:t>Data sources and assessment methods</w:t>
        </w:r>
        <w:r w:rsidR="00D15183">
          <w:rPr>
            <w:noProof/>
            <w:webHidden/>
          </w:rPr>
          <w:tab/>
        </w:r>
        <w:r w:rsidR="00D15183">
          <w:rPr>
            <w:noProof/>
            <w:webHidden/>
          </w:rPr>
          <w:fldChar w:fldCharType="begin"/>
        </w:r>
        <w:r w:rsidR="00D15183">
          <w:rPr>
            <w:noProof/>
            <w:webHidden/>
          </w:rPr>
          <w:instrText xml:space="preserve"> PAGEREF _Toc511380288 \h </w:instrText>
        </w:r>
        <w:r w:rsidR="00D15183">
          <w:rPr>
            <w:noProof/>
            <w:webHidden/>
          </w:rPr>
        </w:r>
        <w:r w:rsidR="00D15183">
          <w:rPr>
            <w:noProof/>
            <w:webHidden/>
          </w:rPr>
          <w:fldChar w:fldCharType="separate"/>
        </w:r>
        <w:r w:rsidR="004B3502">
          <w:rPr>
            <w:noProof/>
            <w:webHidden/>
          </w:rPr>
          <w:t>3</w:t>
        </w:r>
        <w:r w:rsidR="00D15183">
          <w:rPr>
            <w:noProof/>
            <w:webHidden/>
          </w:rPr>
          <w:fldChar w:fldCharType="end"/>
        </w:r>
      </w:hyperlink>
    </w:p>
    <w:p w14:paraId="7209939C" w14:textId="77777777" w:rsidR="00D15183" w:rsidRDefault="00AB6D29" w:rsidP="00D15183">
      <w:pPr>
        <w:pStyle w:val="TOC3"/>
        <w:rPr>
          <w:rFonts w:eastAsiaTheme="minorEastAsia"/>
          <w:iCs w:val="0"/>
          <w:noProof/>
          <w:sz w:val="22"/>
          <w:lang w:eastAsia="en-AU"/>
        </w:rPr>
      </w:pPr>
      <w:hyperlink w:anchor="_Toc511380289" w:history="1">
        <w:r w:rsidR="00D15183" w:rsidRPr="00F66D6F">
          <w:rPr>
            <w:rStyle w:val="Hyperlink"/>
            <w:noProof/>
          </w:rPr>
          <w:t>GST redistribution</w:t>
        </w:r>
        <w:r w:rsidR="00D15183">
          <w:rPr>
            <w:noProof/>
            <w:webHidden/>
          </w:rPr>
          <w:tab/>
        </w:r>
        <w:r w:rsidR="00D15183">
          <w:rPr>
            <w:noProof/>
            <w:webHidden/>
          </w:rPr>
          <w:fldChar w:fldCharType="begin"/>
        </w:r>
        <w:r w:rsidR="00D15183">
          <w:rPr>
            <w:noProof/>
            <w:webHidden/>
          </w:rPr>
          <w:instrText xml:space="preserve"> PAGEREF _Toc511380289 \h </w:instrText>
        </w:r>
        <w:r w:rsidR="00D15183">
          <w:rPr>
            <w:noProof/>
            <w:webHidden/>
          </w:rPr>
        </w:r>
        <w:r w:rsidR="00D15183">
          <w:rPr>
            <w:noProof/>
            <w:webHidden/>
          </w:rPr>
          <w:fldChar w:fldCharType="separate"/>
        </w:r>
        <w:r w:rsidR="004B3502">
          <w:rPr>
            <w:noProof/>
            <w:webHidden/>
          </w:rPr>
          <w:t>8</w:t>
        </w:r>
        <w:r w:rsidR="00D15183">
          <w:rPr>
            <w:noProof/>
            <w:webHidden/>
          </w:rPr>
          <w:fldChar w:fldCharType="end"/>
        </w:r>
      </w:hyperlink>
    </w:p>
    <w:p w14:paraId="7470AF85" w14:textId="77777777" w:rsidR="00D15183" w:rsidRDefault="00AB6D29" w:rsidP="00D15183">
      <w:pPr>
        <w:pStyle w:val="TOC1"/>
        <w:rPr>
          <w:rFonts w:eastAsiaTheme="minorEastAsia"/>
          <w:b w:val="0"/>
          <w:bCs w:val="0"/>
          <w:caps w:val="0"/>
          <w:noProof/>
          <w:sz w:val="22"/>
          <w:szCs w:val="22"/>
          <w:lang w:eastAsia="en-AU"/>
        </w:rPr>
      </w:pPr>
      <w:hyperlink w:anchor="_Toc511380290" w:history="1">
        <w:r w:rsidR="00D15183" w:rsidRPr="00F66D6F">
          <w:rPr>
            <w:rStyle w:val="Hyperlink"/>
            <w:noProof/>
          </w:rPr>
          <w:t>Issues and analysis</w:t>
        </w:r>
        <w:r w:rsidR="00D15183">
          <w:rPr>
            <w:noProof/>
            <w:webHidden/>
          </w:rPr>
          <w:tab/>
        </w:r>
        <w:r w:rsidR="00D15183">
          <w:rPr>
            <w:noProof/>
            <w:webHidden/>
          </w:rPr>
          <w:fldChar w:fldCharType="begin"/>
        </w:r>
        <w:r w:rsidR="00D15183">
          <w:rPr>
            <w:noProof/>
            <w:webHidden/>
          </w:rPr>
          <w:instrText xml:space="preserve"> PAGEREF _Toc511380290 \h </w:instrText>
        </w:r>
        <w:r w:rsidR="00D15183">
          <w:rPr>
            <w:noProof/>
            <w:webHidden/>
          </w:rPr>
        </w:r>
        <w:r w:rsidR="00D15183">
          <w:rPr>
            <w:noProof/>
            <w:webHidden/>
          </w:rPr>
          <w:fldChar w:fldCharType="separate"/>
        </w:r>
        <w:r w:rsidR="004B3502">
          <w:rPr>
            <w:noProof/>
            <w:webHidden/>
          </w:rPr>
          <w:t>8</w:t>
        </w:r>
        <w:r w:rsidR="00D15183">
          <w:rPr>
            <w:noProof/>
            <w:webHidden/>
          </w:rPr>
          <w:fldChar w:fldCharType="end"/>
        </w:r>
      </w:hyperlink>
    </w:p>
    <w:p w14:paraId="220A783B" w14:textId="77777777" w:rsidR="00D15183" w:rsidRDefault="00AB6D29" w:rsidP="00D15183">
      <w:pPr>
        <w:pStyle w:val="TOC3"/>
        <w:rPr>
          <w:rFonts w:eastAsiaTheme="minorEastAsia"/>
          <w:iCs w:val="0"/>
          <w:noProof/>
          <w:sz w:val="22"/>
          <w:lang w:eastAsia="en-AU"/>
        </w:rPr>
      </w:pPr>
      <w:hyperlink w:anchor="_Toc511380291" w:history="1">
        <w:r w:rsidR="00D15183" w:rsidRPr="00F66D6F">
          <w:rPr>
            <w:rStyle w:val="Hyperlink"/>
            <w:noProof/>
          </w:rPr>
          <w:t>Rural road length</w:t>
        </w:r>
        <w:r w:rsidR="00D15183">
          <w:rPr>
            <w:noProof/>
            <w:webHidden/>
          </w:rPr>
          <w:tab/>
        </w:r>
        <w:r w:rsidR="00D15183">
          <w:rPr>
            <w:noProof/>
            <w:webHidden/>
          </w:rPr>
          <w:fldChar w:fldCharType="begin"/>
        </w:r>
        <w:r w:rsidR="00D15183">
          <w:rPr>
            <w:noProof/>
            <w:webHidden/>
          </w:rPr>
          <w:instrText xml:space="preserve"> PAGEREF _Toc511380291 \h </w:instrText>
        </w:r>
        <w:r w:rsidR="00D15183">
          <w:rPr>
            <w:noProof/>
            <w:webHidden/>
          </w:rPr>
        </w:r>
        <w:r w:rsidR="00D15183">
          <w:rPr>
            <w:noProof/>
            <w:webHidden/>
          </w:rPr>
          <w:fldChar w:fldCharType="separate"/>
        </w:r>
        <w:r w:rsidR="004B3502">
          <w:rPr>
            <w:noProof/>
            <w:webHidden/>
          </w:rPr>
          <w:t>9</w:t>
        </w:r>
        <w:r w:rsidR="00D15183">
          <w:rPr>
            <w:noProof/>
            <w:webHidden/>
          </w:rPr>
          <w:fldChar w:fldCharType="end"/>
        </w:r>
      </w:hyperlink>
    </w:p>
    <w:p w14:paraId="06B32D1A" w14:textId="77777777" w:rsidR="00D15183" w:rsidRDefault="00AB6D29" w:rsidP="00D15183">
      <w:pPr>
        <w:pStyle w:val="TOC3"/>
        <w:rPr>
          <w:rFonts w:eastAsiaTheme="minorEastAsia"/>
          <w:iCs w:val="0"/>
          <w:noProof/>
          <w:sz w:val="22"/>
          <w:lang w:eastAsia="en-AU"/>
        </w:rPr>
      </w:pPr>
      <w:hyperlink w:anchor="_Toc511380292" w:history="1">
        <w:r w:rsidR="00D15183" w:rsidRPr="00F66D6F">
          <w:rPr>
            <w:rStyle w:val="Hyperlink"/>
            <w:noProof/>
          </w:rPr>
          <w:t>Urban road length</w:t>
        </w:r>
        <w:r w:rsidR="00D15183">
          <w:rPr>
            <w:noProof/>
            <w:webHidden/>
          </w:rPr>
          <w:tab/>
        </w:r>
        <w:r w:rsidR="00D15183">
          <w:rPr>
            <w:noProof/>
            <w:webHidden/>
          </w:rPr>
          <w:fldChar w:fldCharType="begin"/>
        </w:r>
        <w:r w:rsidR="00D15183">
          <w:rPr>
            <w:noProof/>
            <w:webHidden/>
          </w:rPr>
          <w:instrText xml:space="preserve"> PAGEREF _Toc511380292 \h </w:instrText>
        </w:r>
        <w:r w:rsidR="00D15183">
          <w:rPr>
            <w:noProof/>
            <w:webHidden/>
          </w:rPr>
        </w:r>
        <w:r w:rsidR="00D15183">
          <w:rPr>
            <w:noProof/>
            <w:webHidden/>
          </w:rPr>
          <w:fldChar w:fldCharType="separate"/>
        </w:r>
        <w:r w:rsidR="004B3502">
          <w:rPr>
            <w:noProof/>
            <w:webHidden/>
          </w:rPr>
          <w:t>13</w:t>
        </w:r>
        <w:r w:rsidR="00D15183">
          <w:rPr>
            <w:noProof/>
            <w:webHidden/>
          </w:rPr>
          <w:fldChar w:fldCharType="end"/>
        </w:r>
      </w:hyperlink>
    </w:p>
    <w:p w14:paraId="22D604BB" w14:textId="77777777" w:rsidR="00D15183" w:rsidRDefault="00AB6D29" w:rsidP="00D15183">
      <w:pPr>
        <w:pStyle w:val="TOC3"/>
        <w:rPr>
          <w:rFonts w:eastAsiaTheme="minorEastAsia"/>
          <w:iCs w:val="0"/>
          <w:noProof/>
          <w:sz w:val="22"/>
          <w:lang w:eastAsia="en-AU"/>
        </w:rPr>
      </w:pPr>
      <w:hyperlink w:anchor="_Toc511380293" w:history="1">
        <w:r w:rsidR="00D15183" w:rsidRPr="00F66D6F">
          <w:rPr>
            <w:rStyle w:val="Hyperlink"/>
            <w:noProof/>
          </w:rPr>
          <w:t>Local road length</w:t>
        </w:r>
        <w:r w:rsidR="00D15183">
          <w:rPr>
            <w:noProof/>
            <w:webHidden/>
          </w:rPr>
          <w:tab/>
        </w:r>
        <w:r w:rsidR="00D15183">
          <w:rPr>
            <w:noProof/>
            <w:webHidden/>
          </w:rPr>
          <w:fldChar w:fldCharType="begin"/>
        </w:r>
        <w:r w:rsidR="00D15183">
          <w:rPr>
            <w:noProof/>
            <w:webHidden/>
          </w:rPr>
          <w:instrText xml:space="preserve"> PAGEREF _Toc511380293 \h </w:instrText>
        </w:r>
        <w:r w:rsidR="00D15183">
          <w:rPr>
            <w:noProof/>
            <w:webHidden/>
          </w:rPr>
        </w:r>
        <w:r w:rsidR="00D15183">
          <w:rPr>
            <w:noProof/>
            <w:webHidden/>
          </w:rPr>
          <w:fldChar w:fldCharType="separate"/>
        </w:r>
        <w:r w:rsidR="004B3502">
          <w:rPr>
            <w:noProof/>
            <w:webHidden/>
          </w:rPr>
          <w:t>14</w:t>
        </w:r>
        <w:r w:rsidR="00D15183">
          <w:rPr>
            <w:noProof/>
            <w:webHidden/>
          </w:rPr>
          <w:fldChar w:fldCharType="end"/>
        </w:r>
      </w:hyperlink>
    </w:p>
    <w:p w14:paraId="07803BF3" w14:textId="77777777" w:rsidR="00D15183" w:rsidRDefault="00AB6D29" w:rsidP="00D15183">
      <w:pPr>
        <w:pStyle w:val="TOC3"/>
        <w:rPr>
          <w:rFonts w:eastAsiaTheme="minorEastAsia"/>
          <w:iCs w:val="0"/>
          <w:noProof/>
          <w:sz w:val="22"/>
          <w:lang w:eastAsia="en-AU"/>
        </w:rPr>
      </w:pPr>
      <w:hyperlink w:anchor="_Toc511380294" w:history="1">
        <w:r w:rsidR="00D15183" w:rsidRPr="00F66D6F">
          <w:rPr>
            <w:rStyle w:val="Hyperlink"/>
            <w:noProof/>
          </w:rPr>
          <w:t>Road use – traffic volume and heavy vehicle use</w:t>
        </w:r>
        <w:r w:rsidR="00D15183">
          <w:rPr>
            <w:noProof/>
            <w:webHidden/>
          </w:rPr>
          <w:tab/>
        </w:r>
        <w:r w:rsidR="00D15183">
          <w:rPr>
            <w:noProof/>
            <w:webHidden/>
          </w:rPr>
          <w:fldChar w:fldCharType="begin"/>
        </w:r>
        <w:r w:rsidR="00D15183">
          <w:rPr>
            <w:noProof/>
            <w:webHidden/>
          </w:rPr>
          <w:instrText xml:space="preserve"> PAGEREF _Toc511380294 \h </w:instrText>
        </w:r>
        <w:r w:rsidR="00D15183">
          <w:rPr>
            <w:noProof/>
            <w:webHidden/>
          </w:rPr>
        </w:r>
        <w:r w:rsidR="00D15183">
          <w:rPr>
            <w:noProof/>
            <w:webHidden/>
          </w:rPr>
          <w:fldChar w:fldCharType="separate"/>
        </w:r>
        <w:r w:rsidR="004B3502">
          <w:rPr>
            <w:noProof/>
            <w:webHidden/>
          </w:rPr>
          <w:t>16</w:t>
        </w:r>
        <w:r w:rsidR="00D15183">
          <w:rPr>
            <w:noProof/>
            <w:webHidden/>
          </w:rPr>
          <w:fldChar w:fldCharType="end"/>
        </w:r>
      </w:hyperlink>
    </w:p>
    <w:p w14:paraId="5D888DBA" w14:textId="77777777" w:rsidR="00D15183" w:rsidRDefault="00AB6D29" w:rsidP="00D15183">
      <w:pPr>
        <w:pStyle w:val="TOC3"/>
        <w:rPr>
          <w:rFonts w:eastAsiaTheme="minorEastAsia"/>
          <w:iCs w:val="0"/>
          <w:noProof/>
          <w:sz w:val="22"/>
          <w:lang w:eastAsia="en-AU"/>
        </w:rPr>
      </w:pPr>
      <w:hyperlink w:anchor="_Toc511380295" w:history="1">
        <w:r w:rsidR="00D15183" w:rsidRPr="00F66D6F">
          <w:rPr>
            <w:rStyle w:val="Hyperlink"/>
            <w:noProof/>
          </w:rPr>
          <w:t>Bridges and tunnels</w:t>
        </w:r>
        <w:r w:rsidR="00D15183">
          <w:rPr>
            <w:noProof/>
            <w:webHidden/>
          </w:rPr>
          <w:tab/>
        </w:r>
        <w:r w:rsidR="00D15183">
          <w:rPr>
            <w:noProof/>
            <w:webHidden/>
          </w:rPr>
          <w:fldChar w:fldCharType="begin"/>
        </w:r>
        <w:r w:rsidR="00D15183">
          <w:rPr>
            <w:noProof/>
            <w:webHidden/>
          </w:rPr>
          <w:instrText xml:space="preserve"> PAGEREF _Toc511380295 \h </w:instrText>
        </w:r>
        <w:r w:rsidR="00D15183">
          <w:rPr>
            <w:noProof/>
            <w:webHidden/>
          </w:rPr>
        </w:r>
        <w:r w:rsidR="00D15183">
          <w:rPr>
            <w:noProof/>
            <w:webHidden/>
          </w:rPr>
          <w:fldChar w:fldCharType="separate"/>
        </w:r>
        <w:r w:rsidR="004B3502">
          <w:rPr>
            <w:noProof/>
            <w:webHidden/>
          </w:rPr>
          <w:t>19</w:t>
        </w:r>
        <w:r w:rsidR="00D15183">
          <w:rPr>
            <w:noProof/>
            <w:webHidden/>
          </w:rPr>
          <w:fldChar w:fldCharType="end"/>
        </w:r>
      </w:hyperlink>
    </w:p>
    <w:p w14:paraId="5AB1F81A" w14:textId="77777777" w:rsidR="00D15183" w:rsidRDefault="00AB6D29" w:rsidP="00D15183">
      <w:pPr>
        <w:pStyle w:val="TOC3"/>
        <w:rPr>
          <w:rFonts w:eastAsiaTheme="minorEastAsia"/>
          <w:iCs w:val="0"/>
          <w:noProof/>
          <w:sz w:val="22"/>
          <w:lang w:eastAsia="en-AU"/>
        </w:rPr>
      </w:pPr>
      <w:hyperlink w:anchor="_Toc511380296" w:history="1">
        <w:r w:rsidR="00D15183" w:rsidRPr="00F66D6F">
          <w:rPr>
            <w:rStyle w:val="Hyperlink"/>
            <w:noProof/>
          </w:rPr>
          <w:t>Other services</w:t>
        </w:r>
        <w:r w:rsidR="00D15183">
          <w:rPr>
            <w:noProof/>
            <w:webHidden/>
          </w:rPr>
          <w:tab/>
        </w:r>
        <w:r w:rsidR="00D15183">
          <w:rPr>
            <w:noProof/>
            <w:webHidden/>
          </w:rPr>
          <w:fldChar w:fldCharType="begin"/>
        </w:r>
        <w:r w:rsidR="00D15183">
          <w:rPr>
            <w:noProof/>
            <w:webHidden/>
          </w:rPr>
          <w:instrText xml:space="preserve"> PAGEREF _Toc511380296 \h </w:instrText>
        </w:r>
        <w:r w:rsidR="00D15183">
          <w:rPr>
            <w:noProof/>
            <w:webHidden/>
          </w:rPr>
        </w:r>
        <w:r w:rsidR="00D15183">
          <w:rPr>
            <w:noProof/>
            <w:webHidden/>
          </w:rPr>
          <w:fldChar w:fldCharType="separate"/>
        </w:r>
        <w:r w:rsidR="004B3502">
          <w:rPr>
            <w:noProof/>
            <w:webHidden/>
          </w:rPr>
          <w:t>20</w:t>
        </w:r>
        <w:r w:rsidR="00D15183">
          <w:rPr>
            <w:noProof/>
            <w:webHidden/>
          </w:rPr>
          <w:fldChar w:fldCharType="end"/>
        </w:r>
      </w:hyperlink>
    </w:p>
    <w:p w14:paraId="7887EDFC" w14:textId="77777777" w:rsidR="00D15183" w:rsidRDefault="00AB6D29" w:rsidP="00D15183">
      <w:pPr>
        <w:pStyle w:val="TOC3"/>
        <w:rPr>
          <w:rFonts w:eastAsiaTheme="minorEastAsia"/>
          <w:iCs w:val="0"/>
          <w:noProof/>
          <w:sz w:val="22"/>
          <w:lang w:eastAsia="en-AU"/>
        </w:rPr>
      </w:pPr>
      <w:hyperlink w:anchor="_Toc511380297" w:history="1">
        <w:r w:rsidR="00D15183" w:rsidRPr="00F66D6F">
          <w:rPr>
            <w:rStyle w:val="Hyperlink"/>
            <w:noProof/>
          </w:rPr>
          <w:t>National network roads</w:t>
        </w:r>
        <w:r w:rsidR="00D15183">
          <w:rPr>
            <w:noProof/>
            <w:webHidden/>
          </w:rPr>
          <w:tab/>
        </w:r>
        <w:r w:rsidR="00D15183">
          <w:rPr>
            <w:noProof/>
            <w:webHidden/>
          </w:rPr>
          <w:fldChar w:fldCharType="begin"/>
        </w:r>
        <w:r w:rsidR="00D15183">
          <w:rPr>
            <w:noProof/>
            <w:webHidden/>
          </w:rPr>
          <w:instrText xml:space="preserve"> PAGEREF _Toc511380297 \h </w:instrText>
        </w:r>
        <w:r w:rsidR="00D15183">
          <w:rPr>
            <w:noProof/>
            <w:webHidden/>
          </w:rPr>
        </w:r>
        <w:r w:rsidR="00D15183">
          <w:rPr>
            <w:noProof/>
            <w:webHidden/>
          </w:rPr>
          <w:fldChar w:fldCharType="separate"/>
        </w:r>
        <w:r w:rsidR="004B3502">
          <w:rPr>
            <w:noProof/>
            <w:webHidden/>
          </w:rPr>
          <w:t>21</w:t>
        </w:r>
        <w:r w:rsidR="00D15183">
          <w:rPr>
            <w:noProof/>
            <w:webHidden/>
          </w:rPr>
          <w:fldChar w:fldCharType="end"/>
        </w:r>
      </w:hyperlink>
    </w:p>
    <w:p w14:paraId="11C1D602" w14:textId="77777777" w:rsidR="00D15183" w:rsidRDefault="00AB6D29" w:rsidP="00D15183">
      <w:pPr>
        <w:pStyle w:val="TOC3"/>
        <w:rPr>
          <w:rFonts w:eastAsiaTheme="minorEastAsia"/>
          <w:iCs w:val="0"/>
          <w:noProof/>
          <w:sz w:val="22"/>
          <w:lang w:eastAsia="en-AU"/>
        </w:rPr>
      </w:pPr>
      <w:hyperlink w:anchor="_Toc511380298" w:history="1">
        <w:r w:rsidR="00D15183" w:rsidRPr="00F66D6F">
          <w:rPr>
            <w:rStyle w:val="Hyperlink"/>
            <w:noProof/>
          </w:rPr>
          <w:t>Investment</w:t>
        </w:r>
        <w:r w:rsidR="00D15183">
          <w:rPr>
            <w:noProof/>
            <w:webHidden/>
          </w:rPr>
          <w:tab/>
        </w:r>
        <w:r w:rsidR="00D15183">
          <w:rPr>
            <w:noProof/>
            <w:webHidden/>
          </w:rPr>
          <w:fldChar w:fldCharType="begin"/>
        </w:r>
        <w:r w:rsidR="00D15183">
          <w:rPr>
            <w:noProof/>
            <w:webHidden/>
          </w:rPr>
          <w:instrText xml:space="preserve"> PAGEREF _Toc511380298 \h </w:instrText>
        </w:r>
        <w:r w:rsidR="00D15183">
          <w:rPr>
            <w:noProof/>
            <w:webHidden/>
          </w:rPr>
        </w:r>
        <w:r w:rsidR="00D15183">
          <w:rPr>
            <w:noProof/>
            <w:webHidden/>
          </w:rPr>
          <w:fldChar w:fldCharType="separate"/>
        </w:r>
        <w:r w:rsidR="004B3502">
          <w:rPr>
            <w:noProof/>
            <w:webHidden/>
          </w:rPr>
          <w:t>23</w:t>
        </w:r>
        <w:r w:rsidR="00D15183">
          <w:rPr>
            <w:noProof/>
            <w:webHidden/>
          </w:rPr>
          <w:fldChar w:fldCharType="end"/>
        </w:r>
      </w:hyperlink>
    </w:p>
    <w:p w14:paraId="543BCF23" w14:textId="77777777" w:rsidR="00D15183" w:rsidRDefault="00AB6D29" w:rsidP="00D15183">
      <w:pPr>
        <w:pStyle w:val="TOC1"/>
        <w:rPr>
          <w:rFonts w:eastAsiaTheme="minorEastAsia"/>
          <w:b w:val="0"/>
          <w:bCs w:val="0"/>
          <w:caps w:val="0"/>
          <w:noProof/>
          <w:sz w:val="22"/>
          <w:szCs w:val="22"/>
          <w:lang w:eastAsia="en-AU"/>
        </w:rPr>
      </w:pPr>
      <w:hyperlink w:anchor="_Toc511380299" w:history="1">
        <w:r w:rsidR="00D15183" w:rsidRPr="00F66D6F">
          <w:rPr>
            <w:rStyle w:val="Hyperlink"/>
            <w:noProof/>
          </w:rPr>
          <w:t>Other issues considered and settled</w:t>
        </w:r>
        <w:r w:rsidR="00D15183">
          <w:rPr>
            <w:noProof/>
            <w:webHidden/>
          </w:rPr>
          <w:tab/>
        </w:r>
        <w:r w:rsidR="00D15183">
          <w:rPr>
            <w:noProof/>
            <w:webHidden/>
          </w:rPr>
          <w:fldChar w:fldCharType="begin"/>
        </w:r>
        <w:r w:rsidR="00D15183">
          <w:rPr>
            <w:noProof/>
            <w:webHidden/>
          </w:rPr>
          <w:instrText xml:space="preserve"> PAGEREF _Toc511380299 \h </w:instrText>
        </w:r>
        <w:r w:rsidR="00D15183">
          <w:rPr>
            <w:noProof/>
            <w:webHidden/>
          </w:rPr>
        </w:r>
        <w:r w:rsidR="00D15183">
          <w:rPr>
            <w:noProof/>
            <w:webHidden/>
          </w:rPr>
          <w:fldChar w:fldCharType="separate"/>
        </w:r>
        <w:r w:rsidR="004B3502">
          <w:rPr>
            <w:noProof/>
            <w:webHidden/>
          </w:rPr>
          <w:t>23</w:t>
        </w:r>
        <w:r w:rsidR="00D15183">
          <w:rPr>
            <w:noProof/>
            <w:webHidden/>
          </w:rPr>
          <w:fldChar w:fldCharType="end"/>
        </w:r>
      </w:hyperlink>
    </w:p>
    <w:p w14:paraId="15864556" w14:textId="77777777" w:rsidR="00D15183" w:rsidRDefault="00AB6D29" w:rsidP="00D15183">
      <w:pPr>
        <w:pStyle w:val="TOC3"/>
        <w:rPr>
          <w:rFonts w:eastAsiaTheme="minorEastAsia"/>
          <w:iCs w:val="0"/>
          <w:noProof/>
          <w:sz w:val="22"/>
          <w:lang w:eastAsia="en-AU"/>
        </w:rPr>
      </w:pPr>
      <w:hyperlink w:anchor="_Toc511380300" w:history="1">
        <w:r w:rsidR="00D15183" w:rsidRPr="00F66D6F">
          <w:rPr>
            <w:rStyle w:val="Hyperlink"/>
            <w:noProof/>
          </w:rPr>
          <w:t>Physical environment</w:t>
        </w:r>
        <w:r w:rsidR="00D15183">
          <w:rPr>
            <w:noProof/>
            <w:webHidden/>
          </w:rPr>
          <w:tab/>
        </w:r>
        <w:r w:rsidR="00D15183">
          <w:rPr>
            <w:noProof/>
            <w:webHidden/>
          </w:rPr>
          <w:fldChar w:fldCharType="begin"/>
        </w:r>
        <w:r w:rsidR="00D15183">
          <w:rPr>
            <w:noProof/>
            <w:webHidden/>
          </w:rPr>
          <w:instrText xml:space="preserve"> PAGEREF _Toc511380300 \h </w:instrText>
        </w:r>
        <w:r w:rsidR="00D15183">
          <w:rPr>
            <w:noProof/>
            <w:webHidden/>
          </w:rPr>
        </w:r>
        <w:r w:rsidR="00D15183">
          <w:rPr>
            <w:noProof/>
            <w:webHidden/>
          </w:rPr>
          <w:fldChar w:fldCharType="separate"/>
        </w:r>
        <w:r w:rsidR="004B3502">
          <w:rPr>
            <w:noProof/>
            <w:webHidden/>
          </w:rPr>
          <w:t>23</w:t>
        </w:r>
        <w:r w:rsidR="00D15183">
          <w:rPr>
            <w:noProof/>
            <w:webHidden/>
          </w:rPr>
          <w:fldChar w:fldCharType="end"/>
        </w:r>
      </w:hyperlink>
    </w:p>
    <w:p w14:paraId="5B1EC2FE" w14:textId="77777777" w:rsidR="00D15183" w:rsidRDefault="00AB6D29" w:rsidP="00D15183">
      <w:pPr>
        <w:pStyle w:val="TOC3"/>
        <w:rPr>
          <w:rFonts w:eastAsiaTheme="minorEastAsia"/>
          <w:iCs w:val="0"/>
          <w:noProof/>
          <w:sz w:val="22"/>
          <w:lang w:eastAsia="en-AU"/>
        </w:rPr>
      </w:pPr>
      <w:hyperlink w:anchor="_Toc511380301" w:history="1">
        <w:r w:rsidR="00D15183" w:rsidRPr="00F66D6F">
          <w:rPr>
            <w:rStyle w:val="Hyperlink"/>
            <w:noProof/>
          </w:rPr>
          <w:t>Location factor</w:t>
        </w:r>
        <w:r w:rsidR="00D15183">
          <w:rPr>
            <w:noProof/>
            <w:webHidden/>
          </w:rPr>
          <w:tab/>
        </w:r>
        <w:r w:rsidR="00D15183">
          <w:rPr>
            <w:noProof/>
            <w:webHidden/>
          </w:rPr>
          <w:fldChar w:fldCharType="begin"/>
        </w:r>
        <w:r w:rsidR="00D15183">
          <w:rPr>
            <w:noProof/>
            <w:webHidden/>
          </w:rPr>
          <w:instrText xml:space="preserve"> PAGEREF _Toc511380301 \h </w:instrText>
        </w:r>
        <w:r w:rsidR="00D15183">
          <w:rPr>
            <w:noProof/>
            <w:webHidden/>
          </w:rPr>
        </w:r>
        <w:r w:rsidR="00D15183">
          <w:rPr>
            <w:noProof/>
            <w:webHidden/>
          </w:rPr>
          <w:fldChar w:fldCharType="separate"/>
        </w:r>
        <w:r w:rsidR="004B3502">
          <w:rPr>
            <w:noProof/>
            <w:webHidden/>
          </w:rPr>
          <w:t>24</w:t>
        </w:r>
        <w:r w:rsidR="00D15183">
          <w:rPr>
            <w:noProof/>
            <w:webHidden/>
          </w:rPr>
          <w:fldChar w:fldCharType="end"/>
        </w:r>
      </w:hyperlink>
    </w:p>
    <w:p w14:paraId="462B6071" w14:textId="77777777" w:rsidR="00D15183" w:rsidRDefault="00AB6D29" w:rsidP="00D15183">
      <w:pPr>
        <w:pStyle w:val="TOC3"/>
        <w:rPr>
          <w:rFonts w:eastAsiaTheme="minorEastAsia"/>
          <w:iCs w:val="0"/>
          <w:noProof/>
          <w:sz w:val="22"/>
          <w:lang w:eastAsia="en-AU"/>
        </w:rPr>
      </w:pPr>
      <w:hyperlink w:anchor="_Toc511380302" w:history="1">
        <w:r w:rsidR="00D15183" w:rsidRPr="00F66D6F">
          <w:rPr>
            <w:rStyle w:val="Hyperlink"/>
            <w:noProof/>
          </w:rPr>
          <w:t>User charges</w:t>
        </w:r>
        <w:r w:rsidR="00D15183">
          <w:rPr>
            <w:noProof/>
            <w:webHidden/>
          </w:rPr>
          <w:tab/>
        </w:r>
        <w:r w:rsidR="00D15183">
          <w:rPr>
            <w:noProof/>
            <w:webHidden/>
          </w:rPr>
          <w:fldChar w:fldCharType="begin"/>
        </w:r>
        <w:r w:rsidR="00D15183">
          <w:rPr>
            <w:noProof/>
            <w:webHidden/>
          </w:rPr>
          <w:instrText xml:space="preserve"> PAGEREF _Toc511380302 \h </w:instrText>
        </w:r>
        <w:r w:rsidR="00D15183">
          <w:rPr>
            <w:noProof/>
            <w:webHidden/>
          </w:rPr>
        </w:r>
        <w:r w:rsidR="00D15183">
          <w:rPr>
            <w:noProof/>
            <w:webHidden/>
          </w:rPr>
          <w:fldChar w:fldCharType="separate"/>
        </w:r>
        <w:r w:rsidR="004B3502">
          <w:rPr>
            <w:noProof/>
            <w:webHidden/>
          </w:rPr>
          <w:t>24</w:t>
        </w:r>
        <w:r w:rsidR="00D15183">
          <w:rPr>
            <w:noProof/>
            <w:webHidden/>
          </w:rPr>
          <w:fldChar w:fldCharType="end"/>
        </w:r>
      </w:hyperlink>
    </w:p>
    <w:p w14:paraId="091FA48C" w14:textId="77777777" w:rsidR="00D15183" w:rsidRDefault="00AB6D29" w:rsidP="00D15183">
      <w:pPr>
        <w:pStyle w:val="TOC1"/>
        <w:rPr>
          <w:rFonts w:eastAsiaTheme="minorEastAsia"/>
          <w:b w:val="0"/>
          <w:bCs w:val="0"/>
          <w:caps w:val="0"/>
          <w:noProof/>
          <w:sz w:val="22"/>
          <w:szCs w:val="22"/>
          <w:lang w:eastAsia="en-AU"/>
        </w:rPr>
      </w:pPr>
      <w:hyperlink w:anchor="_Toc511380303" w:history="1">
        <w:r w:rsidR="00D15183" w:rsidRPr="00F66D6F">
          <w:rPr>
            <w:rStyle w:val="Hyperlink"/>
            <w:noProof/>
          </w:rPr>
          <w:t>Conclusion and way forward</w:t>
        </w:r>
        <w:r w:rsidR="00D15183">
          <w:rPr>
            <w:noProof/>
            <w:webHidden/>
          </w:rPr>
          <w:tab/>
        </w:r>
        <w:r w:rsidR="00D15183">
          <w:rPr>
            <w:noProof/>
            <w:webHidden/>
          </w:rPr>
          <w:fldChar w:fldCharType="begin"/>
        </w:r>
        <w:r w:rsidR="00D15183">
          <w:rPr>
            <w:noProof/>
            <w:webHidden/>
          </w:rPr>
          <w:instrText xml:space="preserve"> PAGEREF _Toc511380303 \h </w:instrText>
        </w:r>
        <w:r w:rsidR="00D15183">
          <w:rPr>
            <w:noProof/>
            <w:webHidden/>
          </w:rPr>
        </w:r>
        <w:r w:rsidR="00D15183">
          <w:rPr>
            <w:noProof/>
            <w:webHidden/>
          </w:rPr>
          <w:fldChar w:fldCharType="separate"/>
        </w:r>
        <w:r w:rsidR="004B3502">
          <w:rPr>
            <w:noProof/>
            <w:webHidden/>
          </w:rPr>
          <w:t>24</w:t>
        </w:r>
        <w:r w:rsidR="00D15183">
          <w:rPr>
            <w:noProof/>
            <w:webHidden/>
          </w:rPr>
          <w:fldChar w:fldCharType="end"/>
        </w:r>
      </w:hyperlink>
    </w:p>
    <w:p w14:paraId="1DF84C01" w14:textId="77777777" w:rsidR="00D15183" w:rsidRDefault="00AB6D29" w:rsidP="00D15183">
      <w:pPr>
        <w:pStyle w:val="TOC3"/>
        <w:rPr>
          <w:rFonts w:eastAsiaTheme="minorEastAsia"/>
          <w:iCs w:val="0"/>
          <w:noProof/>
          <w:sz w:val="22"/>
          <w:lang w:eastAsia="en-AU"/>
        </w:rPr>
      </w:pPr>
      <w:hyperlink w:anchor="_Toc511380304" w:history="1">
        <w:r w:rsidR="00D15183" w:rsidRPr="00F66D6F">
          <w:rPr>
            <w:rStyle w:val="Hyperlink"/>
            <w:noProof/>
          </w:rPr>
          <w:t>Proposed assessment structure</w:t>
        </w:r>
        <w:r w:rsidR="00D15183">
          <w:rPr>
            <w:noProof/>
            <w:webHidden/>
          </w:rPr>
          <w:tab/>
        </w:r>
        <w:r w:rsidR="00D15183">
          <w:rPr>
            <w:noProof/>
            <w:webHidden/>
          </w:rPr>
          <w:fldChar w:fldCharType="begin"/>
        </w:r>
        <w:r w:rsidR="00D15183">
          <w:rPr>
            <w:noProof/>
            <w:webHidden/>
          </w:rPr>
          <w:instrText xml:space="preserve"> PAGEREF _Toc511380304 \h </w:instrText>
        </w:r>
        <w:r w:rsidR="00D15183">
          <w:rPr>
            <w:noProof/>
            <w:webHidden/>
          </w:rPr>
        </w:r>
        <w:r w:rsidR="00D15183">
          <w:rPr>
            <w:noProof/>
            <w:webHidden/>
          </w:rPr>
          <w:fldChar w:fldCharType="separate"/>
        </w:r>
        <w:r w:rsidR="004B3502">
          <w:rPr>
            <w:noProof/>
            <w:webHidden/>
          </w:rPr>
          <w:t>25</w:t>
        </w:r>
        <w:r w:rsidR="00D15183">
          <w:rPr>
            <w:noProof/>
            <w:webHidden/>
          </w:rPr>
          <w:fldChar w:fldCharType="end"/>
        </w:r>
      </w:hyperlink>
    </w:p>
    <w:p w14:paraId="59887E3B" w14:textId="77777777" w:rsidR="00D15183" w:rsidRDefault="00AB6D29" w:rsidP="00D15183">
      <w:pPr>
        <w:pStyle w:val="TOC3"/>
        <w:rPr>
          <w:rFonts w:eastAsiaTheme="minorEastAsia"/>
          <w:iCs w:val="0"/>
          <w:noProof/>
          <w:sz w:val="22"/>
          <w:lang w:eastAsia="en-AU"/>
        </w:rPr>
      </w:pPr>
      <w:hyperlink w:anchor="_Toc511380305" w:history="1">
        <w:r w:rsidR="00D15183" w:rsidRPr="00F66D6F">
          <w:rPr>
            <w:rStyle w:val="Hyperlink"/>
            <w:noProof/>
          </w:rPr>
          <w:t>Data / information sought from States</w:t>
        </w:r>
        <w:r w:rsidR="00D15183">
          <w:rPr>
            <w:noProof/>
            <w:webHidden/>
          </w:rPr>
          <w:tab/>
        </w:r>
        <w:r w:rsidR="00D15183">
          <w:rPr>
            <w:noProof/>
            <w:webHidden/>
          </w:rPr>
          <w:fldChar w:fldCharType="begin"/>
        </w:r>
        <w:r w:rsidR="00D15183">
          <w:rPr>
            <w:noProof/>
            <w:webHidden/>
          </w:rPr>
          <w:instrText xml:space="preserve"> PAGEREF _Toc511380305 \h </w:instrText>
        </w:r>
        <w:r w:rsidR="00D15183">
          <w:rPr>
            <w:noProof/>
            <w:webHidden/>
          </w:rPr>
        </w:r>
        <w:r w:rsidR="00D15183">
          <w:rPr>
            <w:noProof/>
            <w:webHidden/>
          </w:rPr>
          <w:fldChar w:fldCharType="separate"/>
        </w:r>
        <w:r w:rsidR="004B3502">
          <w:rPr>
            <w:noProof/>
            <w:webHidden/>
          </w:rPr>
          <w:t>26</w:t>
        </w:r>
        <w:r w:rsidR="00D15183">
          <w:rPr>
            <w:noProof/>
            <w:webHidden/>
          </w:rPr>
          <w:fldChar w:fldCharType="end"/>
        </w:r>
      </w:hyperlink>
    </w:p>
    <w:p w14:paraId="645F7C4A" w14:textId="77777777" w:rsidR="00D15183" w:rsidRDefault="00AB6D29" w:rsidP="00D15183">
      <w:pPr>
        <w:pStyle w:val="TOC1"/>
        <w:rPr>
          <w:rFonts w:eastAsiaTheme="minorEastAsia"/>
          <w:b w:val="0"/>
          <w:bCs w:val="0"/>
          <w:caps w:val="0"/>
          <w:noProof/>
          <w:sz w:val="22"/>
          <w:szCs w:val="22"/>
          <w:lang w:eastAsia="en-AU"/>
        </w:rPr>
      </w:pPr>
      <w:hyperlink w:anchor="_Toc511380306" w:history="1">
        <w:r w:rsidR="00D15183" w:rsidRPr="00F66D6F">
          <w:rPr>
            <w:rStyle w:val="Hyperlink"/>
            <w:noProof/>
          </w:rPr>
          <w:t>Attachment A: Road length data source research</w:t>
        </w:r>
        <w:r w:rsidR="00D15183">
          <w:rPr>
            <w:noProof/>
            <w:webHidden/>
          </w:rPr>
          <w:tab/>
        </w:r>
        <w:r w:rsidR="00D15183">
          <w:rPr>
            <w:noProof/>
            <w:webHidden/>
          </w:rPr>
          <w:fldChar w:fldCharType="begin"/>
        </w:r>
        <w:r w:rsidR="00D15183">
          <w:rPr>
            <w:noProof/>
            <w:webHidden/>
          </w:rPr>
          <w:instrText xml:space="preserve"> PAGEREF _Toc511380306 \h </w:instrText>
        </w:r>
        <w:r w:rsidR="00D15183">
          <w:rPr>
            <w:noProof/>
            <w:webHidden/>
          </w:rPr>
        </w:r>
        <w:r w:rsidR="00D15183">
          <w:rPr>
            <w:noProof/>
            <w:webHidden/>
          </w:rPr>
          <w:fldChar w:fldCharType="separate"/>
        </w:r>
        <w:r w:rsidR="004B3502">
          <w:rPr>
            <w:noProof/>
            <w:webHidden/>
          </w:rPr>
          <w:t>28</w:t>
        </w:r>
        <w:r w:rsidR="00D15183">
          <w:rPr>
            <w:noProof/>
            <w:webHidden/>
          </w:rPr>
          <w:fldChar w:fldCharType="end"/>
        </w:r>
      </w:hyperlink>
    </w:p>
    <w:p w14:paraId="3E302170" w14:textId="77777777" w:rsidR="00D15183" w:rsidRDefault="00AB6D29" w:rsidP="00D15183">
      <w:pPr>
        <w:pStyle w:val="TOC1"/>
        <w:rPr>
          <w:rFonts w:eastAsiaTheme="minorEastAsia"/>
          <w:b w:val="0"/>
          <w:bCs w:val="0"/>
          <w:caps w:val="0"/>
          <w:noProof/>
          <w:sz w:val="22"/>
          <w:szCs w:val="22"/>
          <w:lang w:eastAsia="en-AU"/>
        </w:rPr>
      </w:pPr>
      <w:hyperlink w:anchor="_Toc511380307" w:history="1">
        <w:r w:rsidR="00D15183" w:rsidRPr="00F66D6F">
          <w:rPr>
            <w:rStyle w:val="Hyperlink"/>
            <w:noProof/>
          </w:rPr>
          <w:t>Attachment B: Austroads Road Asset Data Standard – Draft Priority Harmonisation subset</w:t>
        </w:r>
        <w:r w:rsidR="00D15183">
          <w:rPr>
            <w:noProof/>
            <w:webHidden/>
          </w:rPr>
          <w:tab/>
        </w:r>
        <w:r w:rsidR="00D15183">
          <w:rPr>
            <w:noProof/>
            <w:webHidden/>
          </w:rPr>
          <w:fldChar w:fldCharType="begin"/>
        </w:r>
        <w:r w:rsidR="00D15183">
          <w:rPr>
            <w:noProof/>
            <w:webHidden/>
          </w:rPr>
          <w:instrText xml:space="preserve"> PAGEREF _Toc511380307 \h </w:instrText>
        </w:r>
        <w:r w:rsidR="00D15183">
          <w:rPr>
            <w:noProof/>
            <w:webHidden/>
          </w:rPr>
        </w:r>
        <w:r w:rsidR="00D15183">
          <w:rPr>
            <w:noProof/>
            <w:webHidden/>
          </w:rPr>
          <w:fldChar w:fldCharType="separate"/>
        </w:r>
        <w:r w:rsidR="004B3502">
          <w:rPr>
            <w:noProof/>
            <w:webHidden/>
          </w:rPr>
          <w:t>31</w:t>
        </w:r>
        <w:r w:rsidR="00D15183">
          <w:rPr>
            <w:noProof/>
            <w:webHidden/>
          </w:rPr>
          <w:fldChar w:fldCharType="end"/>
        </w:r>
      </w:hyperlink>
    </w:p>
    <w:p w14:paraId="7AE99208" w14:textId="4B10835D" w:rsidR="00D15183" w:rsidRDefault="00D15183" w:rsidP="00D15183">
      <w:pPr>
        <w:pStyle w:val="TOC1"/>
        <w:rPr>
          <w:rFonts w:eastAsiaTheme="minorEastAsia"/>
          <w:b w:val="0"/>
          <w:bCs w:val="0"/>
          <w:caps w:val="0"/>
          <w:noProof/>
          <w:sz w:val="22"/>
          <w:szCs w:val="22"/>
          <w:lang w:eastAsia="en-AU"/>
        </w:rPr>
      </w:pPr>
      <w:r>
        <w:rPr>
          <w:noProof/>
        </w:rPr>
        <w:fldChar w:fldCharType="end"/>
      </w:r>
    </w:p>
    <w:p w14:paraId="37D4CC97" w14:textId="4F0B8686" w:rsidR="00A0542F" w:rsidRDefault="00A0542F" w:rsidP="00D15183">
      <w:pPr>
        <w:pStyle w:val="TOC1"/>
        <w:rPr>
          <w:rFonts w:eastAsiaTheme="minorEastAsia"/>
          <w:b w:val="0"/>
          <w:bCs w:val="0"/>
          <w:caps w:val="0"/>
          <w:noProof/>
          <w:sz w:val="22"/>
          <w:szCs w:val="22"/>
          <w:lang w:eastAsia="en-AU"/>
        </w:rPr>
      </w:pPr>
    </w:p>
    <w:p w14:paraId="393C3ED1" w14:textId="0CE568A4" w:rsidR="005F43DC" w:rsidRDefault="00A0542F" w:rsidP="00F83306">
      <w:pPr>
        <w:pStyle w:val="Heading2"/>
        <w:sectPr w:rsidR="005F43DC" w:rsidSect="00B7517F">
          <w:footerReference w:type="default" r:id="rId17"/>
          <w:footerReference w:type="first" r:id="rId18"/>
          <w:pgSz w:w="11899" w:h="16838" w:code="9"/>
          <w:pgMar w:top="1701" w:right="1474" w:bottom="1701" w:left="1474" w:header="709" w:footer="709" w:gutter="0"/>
          <w:pgNumType w:start="1"/>
          <w:cols w:space="708"/>
          <w:titlePg/>
          <w:docGrid w:linePitch="299"/>
        </w:sectPr>
      </w:pPr>
      <w:r>
        <w:fldChar w:fldCharType="end"/>
      </w:r>
    </w:p>
    <w:p w14:paraId="5742A1BB" w14:textId="77777777" w:rsidR="00F83306" w:rsidRDefault="006C40FE" w:rsidP="00F83306">
      <w:pPr>
        <w:pStyle w:val="Heading2"/>
      </w:pPr>
      <w:bookmarkStart w:id="14" w:name="_Toc509326353"/>
      <w:bookmarkStart w:id="15" w:name="_Toc511380283"/>
      <w:r>
        <w:lastRenderedPageBreak/>
        <w:t>Roads</w:t>
      </w:r>
      <w:bookmarkEnd w:id="14"/>
      <w:bookmarkEnd w:id="15"/>
    </w:p>
    <w:p w14:paraId="3243598D" w14:textId="6ADC6066" w:rsidR="00143A71" w:rsidRDefault="00143A71" w:rsidP="00143A71">
      <w:pPr>
        <w:pStyle w:val="CGCNumberedPara"/>
        <w:numPr>
          <w:ilvl w:val="1"/>
          <w:numId w:val="3"/>
        </w:numPr>
      </w:pPr>
      <w:r>
        <w:t xml:space="preserve">This paper </w:t>
      </w:r>
      <w:r w:rsidR="005D7C39">
        <w:t>provides the Commission staff proposals for</w:t>
      </w:r>
      <w:r>
        <w:t xml:space="preserve"> the assessments of roads expenses and investment</w:t>
      </w:r>
      <w:r w:rsidR="005D7C39">
        <w:t xml:space="preserve"> for the 2020 Review</w:t>
      </w:r>
      <w:r>
        <w:t xml:space="preserve">. </w:t>
      </w:r>
      <w:r w:rsidR="00E75507">
        <w:t>E</w:t>
      </w:r>
      <w:r>
        <w:t>xpenses are assessed in the Roads category</w:t>
      </w:r>
      <w:r w:rsidR="00FE296F">
        <w:t>. R</w:t>
      </w:r>
      <w:r>
        <w:t xml:space="preserve">oads investment is a component of the Investment category. </w:t>
      </w:r>
    </w:p>
    <w:p w14:paraId="5CCF4F29" w14:textId="77777777" w:rsidR="00143A71" w:rsidRPr="00F83306" w:rsidRDefault="00143A71" w:rsidP="00143A71">
      <w:pPr>
        <w:pStyle w:val="Heading3"/>
      </w:pPr>
      <w:bookmarkStart w:id="16" w:name="_Toc509326354"/>
      <w:bookmarkStart w:id="17" w:name="_Toc511380284"/>
      <w:r>
        <w:t>2015 Review</w:t>
      </w:r>
      <w:r w:rsidRPr="00F83306">
        <w:t xml:space="preserve"> A</w:t>
      </w:r>
      <w:r>
        <w:t>pproach</w:t>
      </w:r>
      <w:bookmarkEnd w:id="16"/>
      <w:bookmarkEnd w:id="17"/>
    </w:p>
    <w:p w14:paraId="181CC90A" w14:textId="77777777" w:rsidR="00143A71" w:rsidRPr="002132CC" w:rsidRDefault="00143A71" w:rsidP="00143A71">
      <w:pPr>
        <w:pStyle w:val="Heading4"/>
      </w:pPr>
      <w:bookmarkStart w:id="18" w:name="_Toc508262925"/>
      <w:bookmarkStart w:id="19" w:name="_Toc509326355"/>
      <w:bookmarkStart w:id="20" w:name="_Toc511380285"/>
      <w:r w:rsidRPr="002132CC">
        <w:t>Services included in this category</w:t>
      </w:r>
      <w:bookmarkEnd w:id="18"/>
      <w:bookmarkEnd w:id="19"/>
      <w:bookmarkEnd w:id="20"/>
    </w:p>
    <w:p w14:paraId="235942C0" w14:textId="77777777" w:rsidR="00143A71" w:rsidRDefault="00143A71" w:rsidP="00143A71">
      <w:pPr>
        <w:pStyle w:val="CGCNumberedPara"/>
        <w:numPr>
          <w:ilvl w:val="1"/>
          <w:numId w:val="3"/>
        </w:numPr>
      </w:pPr>
      <w:r>
        <w:t>The Roads category comprises expenses on:</w:t>
      </w:r>
    </w:p>
    <w:p w14:paraId="3262897B" w14:textId="77777777" w:rsidR="00143A71" w:rsidRDefault="00143A71" w:rsidP="00143A71">
      <w:pPr>
        <w:pStyle w:val="CGCBulletlist"/>
        <w:numPr>
          <w:ilvl w:val="0"/>
          <w:numId w:val="1"/>
        </w:numPr>
        <w:tabs>
          <w:tab w:val="clear" w:pos="786"/>
        </w:tabs>
        <w:ind w:left="1134" w:hanging="567"/>
      </w:pPr>
      <w:r>
        <w:t>the maintenance and rehabilitation of roads, bridges and tunnels</w:t>
      </w:r>
    </w:p>
    <w:p w14:paraId="09410356" w14:textId="77777777" w:rsidR="00143A71" w:rsidRDefault="00143A71" w:rsidP="00143A71">
      <w:pPr>
        <w:pStyle w:val="CGCBulletlist"/>
        <w:numPr>
          <w:ilvl w:val="0"/>
          <w:numId w:val="1"/>
        </w:numPr>
        <w:tabs>
          <w:tab w:val="clear" w:pos="786"/>
        </w:tabs>
        <w:ind w:left="1134" w:hanging="567"/>
      </w:pPr>
      <w:proofErr w:type="gramStart"/>
      <w:r>
        <w:t>road</w:t>
      </w:r>
      <w:proofErr w:type="gramEnd"/>
      <w:r>
        <w:t xml:space="preserve"> safety, traffic management and other transport activities (such as driver licensing, motor vehicle registration, heavy vehicle regulation and road transport planning administration).</w:t>
      </w:r>
    </w:p>
    <w:p w14:paraId="1E29B0F1" w14:textId="77777777" w:rsidR="00143A71" w:rsidRDefault="00143A71" w:rsidP="00143A71">
      <w:pPr>
        <w:pStyle w:val="CGCNumberedPara"/>
        <w:numPr>
          <w:ilvl w:val="1"/>
          <w:numId w:val="3"/>
        </w:numPr>
      </w:pPr>
      <w:r>
        <w:t xml:space="preserve">Road construction (investment) and depreciation expenses are assessed in the Investment and Depreciation categories. </w:t>
      </w:r>
    </w:p>
    <w:p w14:paraId="4075D7F4" w14:textId="77777777" w:rsidR="00143A71" w:rsidRPr="00C3140C" w:rsidRDefault="00143A71" w:rsidP="00143A71">
      <w:pPr>
        <w:pStyle w:val="Heading4"/>
      </w:pPr>
      <w:bookmarkStart w:id="21" w:name="_Toc508262926"/>
      <w:bookmarkStart w:id="22" w:name="_Toc509326356"/>
      <w:bookmarkStart w:id="23" w:name="_Toc511380286"/>
      <w:bookmarkStart w:id="24" w:name="_Ref505756148"/>
      <w:r w:rsidRPr="00C3140C">
        <w:t>Category and component expenses</w:t>
      </w:r>
      <w:bookmarkEnd w:id="21"/>
      <w:bookmarkEnd w:id="22"/>
      <w:bookmarkEnd w:id="23"/>
    </w:p>
    <w:p w14:paraId="03EA93A5" w14:textId="77777777" w:rsidR="00143A71" w:rsidRDefault="00143A71" w:rsidP="00143A71">
      <w:pPr>
        <w:pStyle w:val="CGCNumberedPara"/>
        <w:numPr>
          <w:ilvl w:val="1"/>
          <w:numId w:val="3"/>
        </w:numPr>
        <w:tabs>
          <w:tab w:val="clear" w:pos="567"/>
        </w:tabs>
      </w:pPr>
      <w:r>
        <w:t>The Roads category is assessed in five components:</w:t>
      </w:r>
    </w:p>
    <w:p w14:paraId="592ED8E9" w14:textId="77777777" w:rsidR="00143A71" w:rsidRDefault="00143A71" w:rsidP="00143A71">
      <w:pPr>
        <w:pStyle w:val="CGCBulletlist"/>
        <w:numPr>
          <w:ilvl w:val="0"/>
          <w:numId w:val="1"/>
        </w:numPr>
        <w:tabs>
          <w:tab w:val="clear" w:pos="786"/>
        </w:tabs>
        <w:ind w:left="1134" w:hanging="567"/>
      </w:pPr>
      <w:r>
        <w:t>rural roads</w:t>
      </w:r>
    </w:p>
    <w:p w14:paraId="754456C8" w14:textId="77777777" w:rsidR="00143A71" w:rsidRDefault="00143A71" w:rsidP="00143A71">
      <w:pPr>
        <w:pStyle w:val="CGCBulletlist"/>
        <w:numPr>
          <w:ilvl w:val="0"/>
          <w:numId w:val="1"/>
        </w:numPr>
        <w:tabs>
          <w:tab w:val="clear" w:pos="786"/>
        </w:tabs>
        <w:ind w:left="1134" w:hanging="567"/>
      </w:pPr>
      <w:r>
        <w:t>urban roads</w:t>
      </w:r>
    </w:p>
    <w:p w14:paraId="59C22553" w14:textId="77777777" w:rsidR="00143A71" w:rsidRDefault="00143A71" w:rsidP="00143A71">
      <w:pPr>
        <w:pStyle w:val="CGCBulletlist"/>
        <w:numPr>
          <w:ilvl w:val="0"/>
          <w:numId w:val="1"/>
        </w:numPr>
        <w:tabs>
          <w:tab w:val="clear" w:pos="786"/>
        </w:tabs>
        <w:ind w:left="1134" w:hanging="567"/>
      </w:pPr>
      <w:r>
        <w:t>local roads</w:t>
      </w:r>
    </w:p>
    <w:p w14:paraId="081EC5EF" w14:textId="77777777" w:rsidR="00143A71" w:rsidRDefault="00143A71" w:rsidP="00143A71">
      <w:pPr>
        <w:pStyle w:val="CGCBulletlist"/>
        <w:numPr>
          <w:ilvl w:val="0"/>
          <w:numId w:val="1"/>
        </w:numPr>
        <w:tabs>
          <w:tab w:val="clear" w:pos="786"/>
        </w:tabs>
        <w:ind w:left="1134" w:hanging="567"/>
      </w:pPr>
      <w:r>
        <w:t>bridges</w:t>
      </w:r>
    </w:p>
    <w:p w14:paraId="1F9C2111" w14:textId="77777777" w:rsidR="00143A71" w:rsidRDefault="00143A71" w:rsidP="00143A71">
      <w:pPr>
        <w:pStyle w:val="CGCBulletlist"/>
        <w:numPr>
          <w:ilvl w:val="0"/>
          <w:numId w:val="1"/>
        </w:numPr>
        <w:tabs>
          <w:tab w:val="clear" w:pos="786"/>
        </w:tabs>
        <w:ind w:left="1134" w:hanging="567"/>
      </w:pPr>
      <w:proofErr w:type="gramStart"/>
      <w:r>
        <w:t>other</w:t>
      </w:r>
      <w:proofErr w:type="gramEnd"/>
      <w:r>
        <w:t xml:space="preserve"> services.</w:t>
      </w:r>
    </w:p>
    <w:p w14:paraId="43AD4857" w14:textId="77777777" w:rsidR="00143A71" w:rsidRPr="00745B2D" w:rsidRDefault="00143A71" w:rsidP="00143A71">
      <w:pPr>
        <w:pStyle w:val="CGCNumberedPara"/>
        <w:numPr>
          <w:ilvl w:val="1"/>
          <w:numId w:val="3"/>
        </w:numPr>
      </w:pPr>
      <w:r w:rsidRPr="00745B2D">
        <w:fldChar w:fldCharType="begin"/>
      </w:r>
      <w:r w:rsidRPr="00745B2D">
        <w:instrText xml:space="preserve"> REF _Ref507151545 \h </w:instrText>
      </w:r>
      <w:r>
        <w:instrText xml:space="preserve"> \* MERGEFORMAT </w:instrText>
      </w:r>
      <w:r w:rsidRPr="00745B2D">
        <w:fldChar w:fldCharType="separate"/>
      </w:r>
      <w:r w:rsidR="004B3502">
        <w:t xml:space="preserve">Table </w:t>
      </w:r>
      <w:proofErr w:type="gramStart"/>
      <w:r w:rsidR="004B3502">
        <w:t>1</w:t>
      </w:r>
      <w:r w:rsidRPr="00745B2D">
        <w:fldChar w:fldCharType="end"/>
      </w:r>
      <w:r w:rsidRPr="00745B2D">
        <w:t xml:space="preserve"> shows</w:t>
      </w:r>
      <w:proofErr w:type="gramEnd"/>
      <w:r w:rsidRPr="00745B2D">
        <w:t xml:space="preserve"> that the dominant expense</w:t>
      </w:r>
      <w:r>
        <w:t>s are</w:t>
      </w:r>
      <w:r w:rsidRPr="00745B2D">
        <w:t xml:space="preserve"> the provision of </w:t>
      </w:r>
      <w:r>
        <w:t xml:space="preserve">rural and </w:t>
      </w:r>
      <w:r w:rsidRPr="00745B2D">
        <w:t xml:space="preserve">urban </w:t>
      </w:r>
      <w:r>
        <w:t>roads, representing 38% and 32% respectively of the total category expense.</w:t>
      </w:r>
    </w:p>
    <w:p w14:paraId="69BD102A" w14:textId="77777777" w:rsidR="00143A71" w:rsidRDefault="00143A71" w:rsidP="00143A71">
      <w:pPr>
        <w:pStyle w:val="CGCTableHeading"/>
      </w:pPr>
      <w:bookmarkStart w:id="25" w:name="_Ref507151545"/>
      <w:r>
        <w:lastRenderedPageBreak/>
        <w:t xml:space="preserve">Table </w:t>
      </w:r>
      <w:fldSimple w:instr=" SEQ Table \* ARABIC ">
        <w:r w:rsidR="004B3502">
          <w:rPr>
            <w:noProof/>
          </w:rPr>
          <w:t>1</w:t>
        </w:r>
      </w:fldSimple>
      <w:bookmarkEnd w:id="25"/>
      <w:r>
        <w:tab/>
        <w:t>Roads</w:t>
      </w:r>
      <w:r w:rsidRPr="00ED5174">
        <w:t xml:space="preserve"> </w:t>
      </w:r>
      <w:r>
        <w:t>category expenses by component, 2016-17</w:t>
      </w:r>
    </w:p>
    <w:tbl>
      <w:tblPr>
        <w:tblW w:w="8940" w:type="dxa"/>
        <w:tblLayout w:type="fixed"/>
        <w:tblCellMar>
          <w:left w:w="0" w:type="dxa"/>
          <w:right w:w="0" w:type="dxa"/>
        </w:tblCellMar>
        <w:tblLook w:val="04A0" w:firstRow="1" w:lastRow="0" w:firstColumn="1" w:lastColumn="0" w:noHBand="0" w:noVBand="1"/>
      </w:tblPr>
      <w:tblGrid>
        <w:gridCol w:w="2680"/>
        <w:gridCol w:w="2260"/>
        <w:gridCol w:w="4000"/>
      </w:tblGrid>
      <w:tr w:rsidR="00143A71" w:rsidRPr="00CD1856" w14:paraId="7C1A8503" w14:textId="77777777" w:rsidTr="00600B03">
        <w:trPr>
          <w:trHeight w:hRule="exact" w:val="375"/>
        </w:trPr>
        <w:tc>
          <w:tcPr>
            <w:tcW w:w="2680" w:type="dxa"/>
            <w:tcBorders>
              <w:top w:val="single" w:sz="4" w:space="0" w:color="auto"/>
              <w:left w:val="nil"/>
              <w:bottom w:val="single" w:sz="4" w:space="0" w:color="auto"/>
              <w:right w:val="nil"/>
            </w:tcBorders>
            <w:shd w:val="clear" w:color="auto" w:fill="auto"/>
            <w:vAlign w:val="center"/>
            <w:hideMark/>
          </w:tcPr>
          <w:p w14:paraId="1521FDF1" w14:textId="77777777" w:rsidR="00143A71" w:rsidRPr="00CD1856" w:rsidRDefault="00143A71" w:rsidP="00600B03">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26" w:name="RANGE!A2:C9"/>
            <w:r w:rsidRPr="00CD1856">
              <w:rPr>
                <w:rFonts w:ascii="Calibri" w:eastAsia="Times New Roman" w:hAnsi="Calibri" w:cs="Times New Roman"/>
                <w:sz w:val="20"/>
                <w:szCs w:val="20"/>
                <w:lang w:eastAsia="en-AU"/>
              </w:rPr>
              <w:t> </w:t>
            </w:r>
            <w:bookmarkEnd w:id="26"/>
          </w:p>
        </w:tc>
        <w:tc>
          <w:tcPr>
            <w:tcW w:w="2260" w:type="dxa"/>
            <w:tcBorders>
              <w:top w:val="single" w:sz="4" w:space="0" w:color="auto"/>
              <w:left w:val="nil"/>
              <w:bottom w:val="single" w:sz="4" w:space="0" w:color="auto"/>
              <w:right w:val="nil"/>
            </w:tcBorders>
            <w:shd w:val="clear" w:color="auto" w:fill="auto"/>
            <w:vAlign w:val="center"/>
            <w:hideMark/>
          </w:tcPr>
          <w:p w14:paraId="5417C27E"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Amount</w:t>
            </w:r>
          </w:p>
        </w:tc>
        <w:tc>
          <w:tcPr>
            <w:tcW w:w="4000" w:type="dxa"/>
            <w:tcBorders>
              <w:top w:val="single" w:sz="4" w:space="0" w:color="auto"/>
              <w:left w:val="nil"/>
              <w:bottom w:val="single" w:sz="4" w:space="0" w:color="auto"/>
              <w:right w:val="nil"/>
            </w:tcBorders>
            <w:shd w:val="clear" w:color="auto" w:fill="auto"/>
            <w:vAlign w:val="center"/>
            <w:hideMark/>
          </w:tcPr>
          <w:p w14:paraId="2E8D419A"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Proportion of total expenses</w:t>
            </w:r>
          </w:p>
        </w:tc>
      </w:tr>
      <w:tr w:rsidR="00143A71" w:rsidRPr="004A44A1" w14:paraId="255C1E47" w14:textId="77777777" w:rsidTr="00600B03">
        <w:trPr>
          <w:trHeight w:val="259"/>
        </w:trPr>
        <w:tc>
          <w:tcPr>
            <w:tcW w:w="2680" w:type="dxa"/>
            <w:tcBorders>
              <w:top w:val="nil"/>
              <w:left w:val="nil"/>
              <w:bottom w:val="nil"/>
              <w:right w:val="nil"/>
            </w:tcBorders>
            <w:shd w:val="clear" w:color="auto" w:fill="auto"/>
            <w:noWrap/>
            <w:vAlign w:val="bottom"/>
            <w:hideMark/>
          </w:tcPr>
          <w:p w14:paraId="206DBCA7" w14:textId="77777777" w:rsidR="00143A71" w:rsidRPr="004A44A1" w:rsidRDefault="00143A71" w:rsidP="004A44A1">
            <w:pPr>
              <w:pStyle w:val="TableRowUnits"/>
            </w:pPr>
          </w:p>
        </w:tc>
        <w:tc>
          <w:tcPr>
            <w:tcW w:w="2260" w:type="dxa"/>
            <w:tcBorders>
              <w:top w:val="nil"/>
              <w:left w:val="nil"/>
              <w:bottom w:val="nil"/>
              <w:right w:val="nil"/>
            </w:tcBorders>
            <w:shd w:val="clear" w:color="auto" w:fill="auto"/>
            <w:noWrap/>
            <w:vAlign w:val="bottom"/>
            <w:hideMark/>
          </w:tcPr>
          <w:p w14:paraId="2CEB1030" w14:textId="77777777" w:rsidR="00143A71" w:rsidRPr="004A44A1" w:rsidRDefault="00143A71" w:rsidP="004A44A1">
            <w:pPr>
              <w:pStyle w:val="TableRowUnits"/>
            </w:pPr>
            <w:r w:rsidRPr="004A44A1">
              <w:t>$m</w:t>
            </w:r>
          </w:p>
        </w:tc>
        <w:tc>
          <w:tcPr>
            <w:tcW w:w="4000" w:type="dxa"/>
            <w:tcBorders>
              <w:top w:val="nil"/>
              <w:left w:val="nil"/>
              <w:bottom w:val="nil"/>
              <w:right w:val="nil"/>
            </w:tcBorders>
            <w:shd w:val="clear" w:color="auto" w:fill="auto"/>
            <w:noWrap/>
            <w:vAlign w:val="bottom"/>
            <w:hideMark/>
          </w:tcPr>
          <w:p w14:paraId="50D8B9C8" w14:textId="77777777" w:rsidR="00143A71" w:rsidRPr="004A44A1" w:rsidRDefault="00143A71" w:rsidP="004A44A1">
            <w:pPr>
              <w:pStyle w:val="TableRowUnits"/>
            </w:pPr>
            <w:r w:rsidRPr="004A44A1">
              <w:t>%</w:t>
            </w:r>
          </w:p>
        </w:tc>
      </w:tr>
      <w:tr w:rsidR="00143A71" w:rsidRPr="00CD1856" w14:paraId="1DDA468F" w14:textId="77777777" w:rsidTr="00600B03">
        <w:trPr>
          <w:trHeight w:val="315"/>
        </w:trPr>
        <w:tc>
          <w:tcPr>
            <w:tcW w:w="2680" w:type="dxa"/>
            <w:tcBorders>
              <w:top w:val="nil"/>
              <w:left w:val="nil"/>
              <w:bottom w:val="nil"/>
              <w:right w:val="nil"/>
            </w:tcBorders>
            <w:shd w:val="clear" w:color="auto" w:fill="auto"/>
            <w:vAlign w:val="bottom"/>
            <w:hideMark/>
          </w:tcPr>
          <w:p w14:paraId="5A023D7E" w14:textId="77777777" w:rsidR="00143A71" w:rsidRPr="00CD1856" w:rsidRDefault="00143A71"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Rural roads</w:t>
            </w:r>
          </w:p>
        </w:tc>
        <w:tc>
          <w:tcPr>
            <w:tcW w:w="2260" w:type="dxa"/>
            <w:tcBorders>
              <w:top w:val="nil"/>
              <w:left w:val="nil"/>
              <w:bottom w:val="nil"/>
              <w:right w:val="nil"/>
            </w:tcBorders>
            <w:shd w:val="clear" w:color="auto" w:fill="auto"/>
            <w:vAlign w:val="bottom"/>
            <w:hideMark/>
          </w:tcPr>
          <w:p w14:paraId="22FDF15A"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2 618</w:t>
            </w:r>
          </w:p>
        </w:tc>
        <w:tc>
          <w:tcPr>
            <w:tcW w:w="4000" w:type="dxa"/>
            <w:tcBorders>
              <w:top w:val="nil"/>
              <w:left w:val="nil"/>
              <w:bottom w:val="nil"/>
              <w:right w:val="nil"/>
            </w:tcBorders>
            <w:shd w:val="clear" w:color="auto" w:fill="auto"/>
            <w:vAlign w:val="bottom"/>
            <w:hideMark/>
          </w:tcPr>
          <w:p w14:paraId="0320D6BA"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38</w:t>
            </w:r>
          </w:p>
        </w:tc>
      </w:tr>
      <w:tr w:rsidR="00143A71" w:rsidRPr="00CD1856" w14:paraId="3C278245" w14:textId="77777777" w:rsidTr="00600B03">
        <w:trPr>
          <w:trHeight w:val="315"/>
        </w:trPr>
        <w:tc>
          <w:tcPr>
            <w:tcW w:w="2680" w:type="dxa"/>
            <w:tcBorders>
              <w:top w:val="nil"/>
              <w:left w:val="nil"/>
              <w:bottom w:val="nil"/>
              <w:right w:val="nil"/>
            </w:tcBorders>
            <w:shd w:val="clear" w:color="auto" w:fill="auto"/>
            <w:vAlign w:val="bottom"/>
            <w:hideMark/>
          </w:tcPr>
          <w:p w14:paraId="59D19D23" w14:textId="77777777" w:rsidR="00143A71" w:rsidRPr="00CD1856" w:rsidRDefault="00143A71"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Urban roads</w:t>
            </w:r>
          </w:p>
        </w:tc>
        <w:tc>
          <w:tcPr>
            <w:tcW w:w="2260" w:type="dxa"/>
            <w:tcBorders>
              <w:top w:val="nil"/>
              <w:left w:val="nil"/>
              <w:bottom w:val="nil"/>
              <w:right w:val="nil"/>
            </w:tcBorders>
            <w:shd w:val="clear" w:color="auto" w:fill="auto"/>
            <w:vAlign w:val="bottom"/>
            <w:hideMark/>
          </w:tcPr>
          <w:p w14:paraId="5986399B"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2 177</w:t>
            </w:r>
          </w:p>
        </w:tc>
        <w:tc>
          <w:tcPr>
            <w:tcW w:w="4000" w:type="dxa"/>
            <w:tcBorders>
              <w:top w:val="nil"/>
              <w:left w:val="nil"/>
              <w:bottom w:val="nil"/>
              <w:right w:val="nil"/>
            </w:tcBorders>
            <w:shd w:val="clear" w:color="auto" w:fill="auto"/>
            <w:vAlign w:val="bottom"/>
            <w:hideMark/>
          </w:tcPr>
          <w:p w14:paraId="0D5CCCBF"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32</w:t>
            </w:r>
          </w:p>
        </w:tc>
      </w:tr>
      <w:tr w:rsidR="00143A71" w:rsidRPr="00CD1856" w14:paraId="50FAA0B1" w14:textId="77777777" w:rsidTr="00600B03">
        <w:trPr>
          <w:trHeight w:val="315"/>
        </w:trPr>
        <w:tc>
          <w:tcPr>
            <w:tcW w:w="2680" w:type="dxa"/>
            <w:tcBorders>
              <w:top w:val="nil"/>
              <w:left w:val="nil"/>
              <w:bottom w:val="nil"/>
              <w:right w:val="nil"/>
            </w:tcBorders>
            <w:shd w:val="clear" w:color="auto" w:fill="auto"/>
            <w:vAlign w:val="bottom"/>
            <w:hideMark/>
          </w:tcPr>
          <w:p w14:paraId="52BD6476" w14:textId="77777777" w:rsidR="00143A71" w:rsidRPr="00CD1856" w:rsidRDefault="00143A71"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Local roads</w:t>
            </w:r>
          </w:p>
        </w:tc>
        <w:tc>
          <w:tcPr>
            <w:tcW w:w="2260" w:type="dxa"/>
            <w:tcBorders>
              <w:top w:val="nil"/>
              <w:left w:val="nil"/>
              <w:bottom w:val="nil"/>
              <w:right w:val="nil"/>
            </w:tcBorders>
            <w:shd w:val="clear" w:color="auto" w:fill="auto"/>
            <w:vAlign w:val="bottom"/>
            <w:hideMark/>
          </w:tcPr>
          <w:p w14:paraId="46C3E313"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370</w:t>
            </w:r>
          </w:p>
        </w:tc>
        <w:tc>
          <w:tcPr>
            <w:tcW w:w="4000" w:type="dxa"/>
            <w:tcBorders>
              <w:top w:val="nil"/>
              <w:left w:val="nil"/>
              <w:bottom w:val="nil"/>
              <w:right w:val="nil"/>
            </w:tcBorders>
            <w:shd w:val="clear" w:color="auto" w:fill="auto"/>
            <w:vAlign w:val="bottom"/>
            <w:hideMark/>
          </w:tcPr>
          <w:p w14:paraId="63EB326E"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5</w:t>
            </w:r>
          </w:p>
        </w:tc>
      </w:tr>
      <w:tr w:rsidR="00143A71" w:rsidRPr="00CD1856" w14:paraId="7C33730C" w14:textId="77777777" w:rsidTr="00600B03">
        <w:trPr>
          <w:trHeight w:val="315"/>
        </w:trPr>
        <w:tc>
          <w:tcPr>
            <w:tcW w:w="2680" w:type="dxa"/>
            <w:tcBorders>
              <w:top w:val="nil"/>
              <w:left w:val="nil"/>
              <w:bottom w:val="nil"/>
              <w:right w:val="nil"/>
            </w:tcBorders>
            <w:shd w:val="clear" w:color="auto" w:fill="auto"/>
            <w:vAlign w:val="bottom"/>
            <w:hideMark/>
          </w:tcPr>
          <w:p w14:paraId="39F3945F" w14:textId="77777777" w:rsidR="00143A71" w:rsidRPr="00CD1856" w:rsidRDefault="00143A71"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Bridges</w:t>
            </w:r>
          </w:p>
        </w:tc>
        <w:tc>
          <w:tcPr>
            <w:tcW w:w="2260" w:type="dxa"/>
            <w:tcBorders>
              <w:top w:val="nil"/>
              <w:left w:val="nil"/>
              <w:bottom w:val="nil"/>
              <w:right w:val="nil"/>
            </w:tcBorders>
            <w:shd w:val="clear" w:color="auto" w:fill="auto"/>
            <w:vAlign w:val="bottom"/>
            <w:hideMark/>
          </w:tcPr>
          <w:p w14:paraId="508FD3D5"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314</w:t>
            </w:r>
          </w:p>
        </w:tc>
        <w:tc>
          <w:tcPr>
            <w:tcW w:w="4000" w:type="dxa"/>
            <w:tcBorders>
              <w:top w:val="nil"/>
              <w:left w:val="nil"/>
              <w:bottom w:val="nil"/>
              <w:right w:val="nil"/>
            </w:tcBorders>
            <w:shd w:val="clear" w:color="auto" w:fill="auto"/>
            <w:vAlign w:val="bottom"/>
            <w:hideMark/>
          </w:tcPr>
          <w:p w14:paraId="38BE6B9F"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5</w:t>
            </w:r>
          </w:p>
        </w:tc>
      </w:tr>
      <w:tr w:rsidR="00143A71" w:rsidRPr="00CD1856" w14:paraId="2E43977D" w14:textId="77777777" w:rsidTr="00600B03">
        <w:trPr>
          <w:trHeight w:val="315"/>
        </w:trPr>
        <w:tc>
          <w:tcPr>
            <w:tcW w:w="2680" w:type="dxa"/>
            <w:tcBorders>
              <w:top w:val="nil"/>
              <w:left w:val="nil"/>
              <w:bottom w:val="nil"/>
              <w:right w:val="nil"/>
            </w:tcBorders>
            <w:shd w:val="clear" w:color="auto" w:fill="auto"/>
            <w:vAlign w:val="bottom"/>
            <w:hideMark/>
          </w:tcPr>
          <w:p w14:paraId="5CD18DB7" w14:textId="77777777" w:rsidR="00143A71" w:rsidRPr="00CD1856" w:rsidRDefault="00143A71"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Other services</w:t>
            </w:r>
          </w:p>
        </w:tc>
        <w:tc>
          <w:tcPr>
            <w:tcW w:w="2260" w:type="dxa"/>
            <w:tcBorders>
              <w:top w:val="nil"/>
              <w:left w:val="nil"/>
              <w:bottom w:val="nil"/>
              <w:right w:val="nil"/>
            </w:tcBorders>
            <w:shd w:val="clear" w:color="auto" w:fill="auto"/>
            <w:vAlign w:val="bottom"/>
            <w:hideMark/>
          </w:tcPr>
          <w:p w14:paraId="6E369725"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1 377</w:t>
            </w:r>
          </w:p>
        </w:tc>
        <w:tc>
          <w:tcPr>
            <w:tcW w:w="4000" w:type="dxa"/>
            <w:tcBorders>
              <w:top w:val="nil"/>
              <w:left w:val="nil"/>
              <w:bottom w:val="nil"/>
              <w:right w:val="nil"/>
            </w:tcBorders>
            <w:shd w:val="clear" w:color="auto" w:fill="auto"/>
            <w:vAlign w:val="bottom"/>
            <w:hideMark/>
          </w:tcPr>
          <w:p w14:paraId="3F515556"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20</w:t>
            </w:r>
          </w:p>
        </w:tc>
      </w:tr>
      <w:tr w:rsidR="00143A71" w:rsidRPr="00CD1856" w14:paraId="17FBA83F" w14:textId="77777777" w:rsidTr="00600B03">
        <w:trPr>
          <w:trHeight w:hRule="exact" w:val="315"/>
        </w:trPr>
        <w:tc>
          <w:tcPr>
            <w:tcW w:w="2680" w:type="dxa"/>
            <w:tcBorders>
              <w:top w:val="nil"/>
              <w:left w:val="nil"/>
              <w:bottom w:val="single" w:sz="4" w:space="0" w:color="auto"/>
              <w:right w:val="nil"/>
            </w:tcBorders>
            <w:shd w:val="clear" w:color="auto" w:fill="auto"/>
            <w:vAlign w:val="bottom"/>
            <w:hideMark/>
          </w:tcPr>
          <w:p w14:paraId="721768AE" w14:textId="77777777" w:rsidR="00143A71" w:rsidRPr="00CD1856" w:rsidRDefault="00143A71"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Total</w:t>
            </w:r>
          </w:p>
        </w:tc>
        <w:tc>
          <w:tcPr>
            <w:tcW w:w="2260" w:type="dxa"/>
            <w:tcBorders>
              <w:top w:val="single" w:sz="4" w:space="0" w:color="auto"/>
              <w:left w:val="nil"/>
              <w:bottom w:val="single" w:sz="4" w:space="0" w:color="auto"/>
              <w:right w:val="nil"/>
            </w:tcBorders>
            <w:shd w:val="clear" w:color="auto" w:fill="auto"/>
            <w:vAlign w:val="bottom"/>
            <w:hideMark/>
          </w:tcPr>
          <w:p w14:paraId="0717C5FD"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6 856</w:t>
            </w:r>
          </w:p>
        </w:tc>
        <w:tc>
          <w:tcPr>
            <w:tcW w:w="4000" w:type="dxa"/>
            <w:tcBorders>
              <w:top w:val="single" w:sz="4" w:space="0" w:color="auto"/>
              <w:left w:val="nil"/>
              <w:bottom w:val="single" w:sz="4" w:space="0" w:color="auto"/>
              <w:right w:val="nil"/>
            </w:tcBorders>
            <w:shd w:val="clear" w:color="auto" w:fill="auto"/>
            <w:vAlign w:val="bottom"/>
            <w:hideMark/>
          </w:tcPr>
          <w:p w14:paraId="3613283E"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100</w:t>
            </w:r>
          </w:p>
        </w:tc>
      </w:tr>
    </w:tbl>
    <w:p w14:paraId="2C722492" w14:textId="77777777" w:rsidR="00143A71" w:rsidRDefault="00143A71" w:rsidP="00143A71">
      <w:pPr>
        <w:pStyle w:val="CGCTableFootnote"/>
      </w:pPr>
      <w:r>
        <w:t>Source:</w:t>
      </w:r>
      <w:r>
        <w:tab/>
        <w:t xml:space="preserve">Commission </w:t>
      </w:r>
      <w:r w:rsidRPr="0050374F">
        <w:t>estimates</w:t>
      </w:r>
      <w:r>
        <w:t xml:space="preserve"> based on State</w:t>
      </w:r>
      <w:r>
        <w:noBreakHyphen/>
        <w:t>provided data, 2018 Update.</w:t>
      </w:r>
    </w:p>
    <w:bookmarkStart w:id="27" w:name="_Toc508262927"/>
    <w:p w14:paraId="31F1CAE8" w14:textId="77777777" w:rsidR="00143A71" w:rsidRDefault="00143A71" w:rsidP="00143A71">
      <w:pPr>
        <w:pStyle w:val="CGCNumberedPara"/>
        <w:numPr>
          <w:ilvl w:val="1"/>
          <w:numId w:val="3"/>
        </w:numPr>
      </w:pPr>
      <w:r>
        <w:fldChar w:fldCharType="begin"/>
      </w:r>
      <w:r>
        <w:instrText xml:space="preserve"> REF _Ref508264340 \h </w:instrText>
      </w:r>
      <w:r>
        <w:fldChar w:fldCharType="separate"/>
      </w:r>
      <w:r w:rsidR="004B3502">
        <w:t xml:space="preserve">Table </w:t>
      </w:r>
      <w:r w:rsidR="004B3502">
        <w:rPr>
          <w:noProof/>
        </w:rPr>
        <w:t>2</w:t>
      </w:r>
      <w:r>
        <w:fldChar w:fldCharType="end"/>
      </w:r>
      <w:r>
        <w:t xml:space="preserve"> shows roads investment. Urban roads investment represents 76% of total roads investment.</w:t>
      </w:r>
    </w:p>
    <w:p w14:paraId="24020644" w14:textId="77777777" w:rsidR="00143A71" w:rsidRDefault="00143A71" w:rsidP="00143A71">
      <w:pPr>
        <w:pStyle w:val="CGCTableHeading"/>
      </w:pPr>
      <w:bookmarkStart w:id="28" w:name="_Ref508264340"/>
      <w:r>
        <w:t xml:space="preserve">Table </w:t>
      </w:r>
      <w:fldSimple w:instr=" SEQ Table \* ARABIC ">
        <w:r w:rsidR="004B3502">
          <w:rPr>
            <w:noProof/>
          </w:rPr>
          <w:t>2</w:t>
        </w:r>
      </w:fldSimple>
      <w:bookmarkEnd w:id="28"/>
      <w:r>
        <w:tab/>
        <w:t>Roads</w:t>
      </w:r>
      <w:r w:rsidRPr="00ED5174">
        <w:t xml:space="preserve"> </w:t>
      </w:r>
      <w:r>
        <w:t>investment, 2016-17</w:t>
      </w:r>
    </w:p>
    <w:tbl>
      <w:tblPr>
        <w:tblW w:w="8940" w:type="dxa"/>
        <w:tblLayout w:type="fixed"/>
        <w:tblCellMar>
          <w:left w:w="0" w:type="dxa"/>
          <w:right w:w="0" w:type="dxa"/>
        </w:tblCellMar>
        <w:tblLook w:val="04A0" w:firstRow="1" w:lastRow="0" w:firstColumn="1" w:lastColumn="0" w:noHBand="0" w:noVBand="1"/>
      </w:tblPr>
      <w:tblGrid>
        <w:gridCol w:w="2680"/>
        <w:gridCol w:w="2260"/>
        <w:gridCol w:w="4000"/>
      </w:tblGrid>
      <w:tr w:rsidR="00143A71" w:rsidRPr="00CD1856" w14:paraId="6EEABD22" w14:textId="77777777" w:rsidTr="00600B03">
        <w:trPr>
          <w:trHeight w:hRule="exact" w:val="375"/>
        </w:trPr>
        <w:tc>
          <w:tcPr>
            <w:tcW w:w="2680" w:type="dxa"/>
            <w:tcBorders>
              <w:top w:val="single" w:sz="4" w:space="0" w:color="auto"/>
              <w:left w:val="nil"/>
              <w:bottom w:val="single" w:sz="4" w:space="0" w:color="auto"/>
              <w:right w:val="nil"/>
            </w:tcBorders>
            <w:shd w:val="clear" w:color="auto" w:fill="auto"/>
            <w:vAlign w:val="center"/>
            <w:hideMark/>
          </w:tcPr>
          <w:p w14:paraId="7CB72C53" w14:textId="77777777" w:rsidR="00143A71" w:rsidRPr="00CD1856" w:rsidRDefault="00143A71" w:rsidP="00600B03">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29" w:name="RANGE!A13:C17"/>
            <w:r w:rsidRPr="00CD1856">
              <w:rPr>
                <w:rFonts w:ascii="Calibri" w:eastAsia="Times New Roman" w:hAnsi="Calibri" w:cs="Times New Roman"/>
                <w:sz w:val="20"/>
                <w:szCs w:val="20"/>
                <w:lang w:eastAsia="en-AU"/>
              </w:rPr>
              <w:t> </w:t>
            </w:r>
            <w:bookmarkEnd w:id="29"/>
          </w:p>
        </w:tc>
        <w:tc>
          <w:tcPr>
            <w:tcW w:w="2260" w:type="dxa"/>
            <w:tcBorders>
              <w:top w:val="single" w:sz="4" w:space="0" w:color="auto"/>
              <w:left w:val="nil"/>
              <w:bottom w:val="single" w:sz="4" w:space="0" w:color="auto"/>
              <w:right w:val="nil"/>
            </w:tcBorders>
            <w:shd w:val="clear" w:color="auto" w:fill="auto"/>
            <w:vAlign w:val="center"/>
            <w:hideMark/>
          </w:tcPr>
          <w:p w14:paraId="1A2C7340"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Amount</w:t>
            </w:r>
          </w:p>
        </w:tc>
        <w:tc>
          <w:tcPr>
            <w:tcW w:w="4000" w:type="dxa"/>
            <w:tcBorders>
              <w:top w:val="single" w:sz="4" w:space="0" w:color="auto"/>
              <w:left w:val="nil"/>
              <w:bottom w:val="single" w:sz="4" w:space="0" w:color="auto"/>
              <w:right w:val="nil"/>
            </w:tcBorders>
            <w:shd w:val="clear" w:color="auto" w:fill="auto"/>
            <w:vAlign w:val="center"/>
            <w:hideMark/>
          </w:tcPr>
          <w:p w14:paraId="364E24E9"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Proportion of total expenses</w:t>
            </w:r>
          </w:p>
        </w:tc>
      </w:tr>
      <w:tr w:rsidR="00143A71" w:rsidRPr="00CD1856" w14:paraId="139C4824" w14:textId="77777777" w:rsidTr="00600B03">
        <w:trPr>
          <w:trHeight w:val="259"/>
        </w:trPr>
        <w:tc>
          <w:tcPr>
            <w:tcW w:w="2680" w:type="dxa"/>
            <w:tcBorders>
              <w:top w:val="nil"/>
              <w:left w:val="nil"/>
              <w:bottom w:val="nil"/>
              <w:right w:val="nil"/>
            </w:tcBorders>
            <w:shd w:val="clear" w:color="auto" w:fill="auto"/>
            <w:noWrap/>
            <w:vAlign w:val="bottom"/>
            <w:hideMark/>
          </w:tcPr>
          <w:p w14:paraId="3E66ADEC" w14:textId="77777777" w:rsidR="00143A71" w:rsidRPr="00CD1856" w:rsidRDefault="00143A71" w:rsidP="00600B03">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2260" w:type="dxa"/>
            <w:tcBorders>
              <w:top w:val="nil"/>
              <w:left w:val="nil"/>
              <w:bottom w:val="nil"/>
              <w:right w:val="nil"/>
            </w:tcBorders>
            <w:shd w:val="clear" w:color="auto" w:fill="auto"/>
            <w:noWrap/>
            <w:vAlign w:val="bottom"/>
            <w:hideMark/>
          </w:tcPr>
          <w:p w14:paraId="042B1838"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heme="minorHAnsi"/>
                <w:sz w:val="20"/>
                <w:szCs w:val="20"/>
                <w:lang w:eastAsia="en-AU"/>
              </w:rPr>
              <w:t>$m</w:t>
            </w:r>
          </w:p>
        </w:tc>
        <w:tc>
          <w:tcPr>
            <w:tcW w:w="4000" w:type="dxa"/>
            <w:tcBorders>
              <w:top w:val="nil"/>
              <w:left w:val="nil"/>
              <w:bottom w:val="nil"/>
              <w:right w:val="nil"/>
            </w:tcBorders>
            <w:shd w:val="clear" w:color="auto" w:fill="auto"/>
            <w:noWrap/>
            <w:vAlign w:val="bottom"/>
            <w:hideMark/>
          </w:tcPr>
          <w:p w14:paraId="044CDBE3"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heme="minorHAnsi"/>
                <w:sz w:val="20"/>
                <w:szCs w:val="20"/>
                <w:lang w:eastAsia="en-AU"/>
              </w:rPr>
              <w:t>%</w:t>
            </w:r>
          </w:p>
        </w:tc>
      </w:tr>
      <w:tr w:rsidR="00143A71" w:rsidRPr="00CD1856" w14:paraId="5C25863A" w14:textId="77777777" w:rsidTr="00600B03">
        <w:trPr>
          <w:trHeight w:val="315"/>
        </w:trPr>
        <w:tc>
          <w:tcPr>
            <w:tcW w:w="2680" w:type="dxa"/>
            <w:tcBorders>
              <w:top w:val="nil"/>
              <w:left w:val="nil"/>
              <w:bottom w:val="nil"/>
              <w:right w:val="nil"/>
            </w:tcBorders>
            <w:shd w:val="clear" w:color="auto" w:fill="auto"/>
            <w:vAlign w:val="bottom"/>
            <w:hideMark/>
          </w:tcPr>
          <w:p w14:paraId="6D885B27" w14:textId="77777777" w:rsidR="00143A71" w:rsidRPr="00CD1856" w:rsidRDefault="00143A71"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Rural roads</w:t>
            </w:r>
          </w:p>
        </w:tc>
        <w:tc>
          <w:tcPr>
            <w:tcW w:w="2260" w:type="dxa"/>
            <w:tcBorders>
              <w:top w:val="nil"/>
              <w:left w:val="nil"/>
              <w:bottom w:val="nil"/>
              <w:right w:val="nil"/>
            </w:tcBorders>
            <w:shd w:val="clear" w:color="auto" w:fill="auto"/>
            <w:vAlign w:val="bottom"/>
            <w:hideMark/>
          </w:tcPr>
          <w:p w14:paraId="231DCB59"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790</w:t>
            </w:r>
          </w:p>
        </w:tc>
        <w:tc>
          <w:tcPr>
            <w:tcW w:w="4000" w:type="dxa"/>
            <w:tcBorders>
              <w:top w:val="nil"/>
              <w:left w:val="nil"/>
              <w:bottom w:val="nil"/>
              <w:right w:val="nil"/>
            </w:tcBorders>
            <w:shd w:val="clear" w:color="auto" w:fill="auto"/>
            <w:vAlign w:val="bottom"/>
            <w:hideMark/>
          </w:tcPr>
          <w:p w14:paraId="490EE9A0"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24</w:t>
            </w:r>
          </w:p>
        </w:tc>
      </w:tr>
      <w:tr w:rsidR="00143A71" w:rsidRPr="00CD1856" w14:paraId="462C59AA" w14:textId="77777777" w:rsidTr="00600B03">
        <w:trPr>
          <w:trHeight w:hRule="exact" w:val="315"/>
        </w:trPr>
        <w:tc>
          <w:tcPr>
            <w:tcW w:w="2680" w:type="dxa"/>
            <w:tcBorders>
              <w:top w:val="nil"/>
              <w:left w:val="nil"/>
              <w:bottom w:val="nil"/>
              <w:right w:val="nil"/>
            </w:tcBorders>
            <w:shd w:val="clear" w:color="auto" w:fill="auto"/>
            <w:vAlign w:val="bottom"/>
            <w:hideMark/>
          </w:tcPr>
          <w:p w14:paraId="269B3683" w14:textId="77777777" w:rsidR="00143A71" w:rsidRPr="00CD1856" w:rsidRDefault="00143A71"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D1856">
              <w:rPr>
                <w:rFonts w:ascii="Calibri" w:eastAsia="Times New Roman" w:hAnsi="Calibri" w:cstheme="minorHAnsi"/>
                <w:sz w:val="20"/>
                <w:szCs w:val="20"/>
                <w:lang w:eastAsia="en-AU"/>
              </w:rPr>
              <w:t>Urban roads</w:t>
            </w:r>
          </w:p>
        </w:tc>
        <w:tc>
          <w:tcPr>
            <w:tcW w:w="2260" w:type="dxa"/>
            <w:tcBorders>
              <w:top w:val="nil"/>
              <w:left w:val="nil"/>
              <w:bottom w:val="nil"/>
              <w:right w:val="nil"/>
            </w:tcBorders>
            <w:shd w:val="clear" w:color="auto" w:fill="auto"/>
            <w:vAlign w:val="bottom"/>
            <w:hideMark/>
          </w:tcPr>
          <w:p w14:paraId="2B871875"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heme="minorHAnsi"/>
                <w:sz w:val="20"/>
                <w:szCs w:val="20"/>
                <w:lang w:eastAsia="en-AU"/>
              </w:rPr>
              <w:t xml:space="preserve"> 2 471</w:t>
            </w:r>
          </w:p>
        </w:tc>
        <w:tc>
          <w:tcPr>
            <w:tcW w:w="4000" w:type="dxa"/>
            <w:tcBorders>
              <w:top w:val="nil"/>
              <w:left w:val="nil"/>
              <w:bottom w:val="nil"/>
              <w:right w:val="nil"/>
            </w:tcBorders>
            <w:shd w:val="clear" w:color="auto" w:fill="auto"/>
            <w:vAlign w:val="bottom"/>
            <w:hideMark/>
          </w:tcPr>
          <w:p w14:paraId="78C20450"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76</w:t>
            </w:r>
          </w:p>
        </w:tc>
      </w:tr>
      <w:tr w:rsidR="00143A71" w:rsidRPr="00CD1856" w14:paraId="4EC621FB" w14:textId="77777777" w:rsidTr="00600B03">
        <w:trPr>
          <w:trHeight w:hRule="exact" w:val="315"/>
        </w:trPr>
        <w:tc>
          <w:tcPr>
            <w:tcW w:w="2680" w:type="dxa"/>
            <w:tcBorders>
              <w:top w:val="nil"/>
              <w:left w:val="nil"/>
              <w:bottom w:val="single" w:sz="4" w:space="0" w:color="auto"/>
              <w:right w:val="nil"/>
            </w:tcBorders>
            <w:shd w:val="clear" w:color="auto" w:fill="auto"/>
            <w:vAlign w:val="bottom"/>
            <w:hideMark/>
          </w:tcPr>
          <w:p w14:paraId="2E78981D" w14:textId="77777777" w:rsidR="00143A71" w:rsidRPr="00CD1856" w:rsidRDefault="00143A71"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Total</w:t>
            </w:r>
          </w:p>
        </w:tc>
        <w:tc>
          <w:tcPr>
            <w:tcW w:w="2260" w:type="dxa"/>
            <w:tcBorders>
              <w:top w:val="single" w:sz="4" w:space="0" w:color="auto"/>
              <w:left w:val="nil"/>
              <w:bottom w:val="single" w:sz="4" w:space="0" w:color="auto"/>
              <w:right w:val="nil"/>
            </w:tcBorders>
            <w:shd w:val="clear" w:color="auto" w:fill="auto"/>
            <w:vAlign w:val="bottom"/>
            <w:hideMark/>
          </w:tcPr>
          <w:p w14:paraId="637063B4"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 xml:space="preserve"> 3 261</w:t>
            </w:r>
          </w:p>
        </w:tc>
        <w:tc>
          <w:tcPr>
            <w:tcW w:w="4000" w:type="dxa"/>
            <w:tcBorders>
              <w:top w:val="single" w:sz="4" w:space="0" w:color="auto"/>
              <w:left w:val="nil"/>
              <w:bottom w:val="single" w:sz="4" w:space="0" w:color="auto"/>
              <w:right w:val="nil"/>
            </w:tcBorders>
            <w:shd w:val="clear" w:color="auto" w:fill="auto"/>
            <w:vAlign w:val="bottom"/>
            <w:hideMark/>
          </w:tcPr>
          <w:p w14:paraId="69ADE20E" w14:textId="77777777" w:rsidR="00143A71" w:rsidRPr="00CD1856" w:rsidRDefault="00143A71"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CD1856">
              <w:rPr>
                <w:rFonts w:ascii="Calibri" w:eastAsia="Times New Roman" w:hAnsi="Calibri" w:cs="Times New Roman"/>
                <w:sz w:val="20"/>
                <w:szCs w:val="20"/>
                <w:lang w:eastAsia="en-AU"/>
              </w:rPr>
              <w:t xml:space="preserve">  100</w:t>
            </w:r>
          </w:p>
        </w:tc>
      </w:tr>
    </w:tbl>
    <w:p w14:paraId="22126D6E" w14:textId="77777777" w:rsidR="00143A71" w:rsidRDefault="00143A71" w:rsidP="00143A71">
      <w:pPr>
        <w:pStyle w:val="CGCTableFootnote"/>
      </w:pPr>
      <w:r>
        <w:t>Source:</w:t>
      </w:r>
      <w:r>
        <w:tab/>
        <w:t xml:space="preserve">Commission </w:t>
      </w:r>
      <w:r w:rsidRPr="00B3267C">
        <w:t>estimates</w:t>
      </w:r>
      <w:r>
        <w:t xml:space="preserve"> based on State</w:t>
      </w:r>
      <w:r>
        <w:noBreakHyphen/>
        <w:t>provided data, 2018 Update.</w:t>
      </w:r>
    </w:p>
    <w:p w14:paraId="37FCE73C" w14:textId="77777777" w:rsidR="00143A71" w:rsidRDefault="00143A71" w:rsidP="00143A71">
      <w:pPr>
        <w:pStyle w:val="Heading4"/>
      </w:pPr>
      <w:bookmarkStart w:id="30" w:name="_Toc509326357"/>
      <w:bookmarkStart w:id="31" w:name="_Toc511380287"/>
      <w:bookmarkEnd w:id="27"/>
      <w:r>
        <w:t>The roads task</w:t>
      </w:r>
      <w:bookmarkEnd w:id="24"/>
      <w:bookmarkEnd w:id="30"/>
      <w:bookmarkEnd w:id="31"/>
    </w:p>
    <w:p w14:paraId="7C3FAD34" w14:textId="1B31A3BC" w:rsidR="00143A71" w:rsidRDefault="00143A71" w:rsidP="00143A71">
      <w:pPr>
        <w:pStyle w:val="CGCNumberedPara"/>
        <w:numPr>
          <w:ilvl w:val="1"/>
          <w:numId w:val="3"/>
        </w:numPr>
      </w:pPr>
      <w:r>
        <w:t>All three levels of government fund the roads network</w:t>
      </w:r>
      <w:r w:rsidR="006A19D8">
        <w:t>,</w:t>
      </w:r>
      <w:r w:rsidR="00EA6918">
        <w:t xml:space="preserve"> and State and local governments manage the network</w:t>
      </w:r>
      <w:r>
        <w:t>. The main roads are usually managed by the State governments. Roads of lesser significance in both urban and rural areas are typically the responsibility of local governments. The allocation of road management responsibilities between State and local governments is not based on an agreed standard but is generally due to historical policy decisions. As a result, the allocation varies from State to State.</w:t>
      </w:r>
    </w:p>
    <w:p w14:paraId="31E49DE0" w14:textId="77777777" w:rsidR="00143A71" w:rsidRDefault="00143A71" w:rsidP="00143A71">
      <w:pPr>
        <w:pStyle w:val="CGCNumberedPara"/>
        <w:numPr>
          <w:ilvl w:val="1"/>
          <w:numId w:val="3"/>
        </w:numPr>
      </w:pPr>
      <w:r>
        <w:t>In providing rural and urban roads, States are faced with differential spending needs due to differences in the following factors.</w:t>
      </w:r>
    </w:p>
    <w:p w14:paraId="2A896920" w14:textId="3BBA2F60" w:rsidR="00143A71" w:rsidRDefault="00143A71" w:rsidP="00143A71">
      <w:pPr>
        <w:pStyle w:val="CGCBulletlist"/>
        <w:numPr>
          <w:ilvl w:val="0"/>
          <w:numId w:val="1"/>
        </w:numPr>
        <w:tabs>
          <w:tab w:val="clear" w:pos="786"/>
        </w:tabs>
        <w:ind w:left="1134" w:hanging="567"/>
      </w:pPr>
      <w:r w:rsidRPr="00FE296F">
        <w:rPr>
          <w:b/>
        </w:rPr>
        <w:t>The length of the road network</w:t>
      </w:r>
      <w:r w:rsidR="00FE296F" w:rsidRPr="00FE296F">
        <w:rPr>
          <w:b/>
        </w:rPr>
        <w:t>.</w:t>
      </w:r>
      <w:r>
        <w:t xml:space="preserve"> Every kilometre of road </w:t>
      </w:r>
      <w:r w:rsidR="006A19D8">
        <w:t xml:space="preserve">regardless of its use </w:t>
      </w:r>
      <w:r>
        <w:t>needs some maintenance work due to climatic and other factors</w:t>
      </w:r>
      <w:r w:rsidR="006A19D8">
        <w:t>. Hence, States with more road length</w:t>
      </w:r>
      <w:r>
        <w:t xml:space="preserve"> due to, say, large rural areas need to spend more on maintenance and repairs than other States. For example, the ACT is a compact jurisdiction where the road network comprises mostly roads within the Canberra urban area. By contrast, Queensland has a large road network. It has a large network of urban roads because of its many urban population centres. Furthermore, since those centres are scattered across a large land area, it also has a large network of rural roads connecting them.</w:t>
      </w:r>
    </w:p>
    <w:p w14:paraId="7492C6CA" w14:textId="24A6441C" w:rsidR="00143A71" w:rsidRDefault="00143A71" w:rsidP="00143A71">
      <w:pPr>
        <w:pStyle w:val="CGCBulletlist"/>
        <w:numPr>
          <w:ilvl w:val="0"/>
          <w:numId w:val="1"/>
        </w:numPr>
        <w:tabs>
          <w:tab w:val="clear" w:pos="786"/>
        </w:tabs>
        <w:ind w:left="1134" w:hanging="567"/>
      </w:pPr>
      <w:r w:rsidRPr="00FE296F">
        <w:rPr>
          <w:b/>
        </w:rPr>
        <w:lastRenderedPageBreak/>
        <w:t>Traffic volume</w:t>
      </w:r>
      <w:r w:rsidR="00FE296F" w:rsidRPr="00FE296F">
        <w:rPr>
          <w:b/>
        </w:rPr>
        <w:t>.</w:t>
      </w:r>
      <w:r>
        <w:t xml:space="preserve"> Roads in densely populated urban areas carry large volumes of traffic. Such roads require more maintenance to overcome the wear and tear caused by that traffic, notwithstanding that the original specifications for their construction would have taken some account of the expected traffic levels. Hence, the cost of maintaining urban roads is likely to differ from that of maintaining rural roads — the latter may span large distances but carry smaller traffic volumes. Furthermore, the high traffic volumes </w:t>
      </w:r>
      <w:r w:rsidR="00EA6918">
        <w:t xml:space="preserve">in urban areas </w:t>
      </w:r>
      <w:r>
        <w:t>require States to install and maintain extra traffic control and safety measures (such as signage and traffic lights).</w:t>
      </w:r>
    </w:p>
    <w:p w14:paraId="3DE12F3D" w14:textId="77777777" w:rsidR="00143A71" w:rsidRDefault="00143A71" w:rsidP="00143A71">
      <w:pPr>
        <w:pStyle w:val="CGCBulletlist"/>
        <w:numPr>
          <w:ilvl w:val="0"/>
          <w:numId w:val="1"/>
        </w:numPr>
        <w:tabs>
          <w:tab w:val="clear" w:pos="786"/>
        </w:tabs>
        <w:ind w:left="1134" w:hanging="567"/>
      </w:pPr>
      <w:r w:rsidRPr="00FE296F">
        <w:rPr>
          <w:b/>
        </w:rPr>
        <w:t>Heavy vehicle use</w:t>
      </w:r>
      <w:r w:rsidR="00FE296F" w:rsidRPr="00FE296F">
        <w:rPr>
          <w:b/>
        </w:rPr>
        <w:t>.</w:t>
      </w:r>
      <w:r>
        <w:t xml:space="preserve"> </w:t>
      </w:r>
      <w:r w:rsidR="0075753D">
        <w:t>Heavy</w:t>
      </w:r>
      <w:r>
        <w:t xml:space="preserve"> vehicles cause greater pavement wear and tear than other vehicles, which requires additional maintenance to restore the pavement to acceptable service standards. States with </w:t>
      </w:r>
      <w:r w:rsidR="00FE296F">
        <w:t>greater</w:t>
      </w:r>
      <w:r>
        <w:t xml:space="preserve"> heavy vehicle use incur higher maintenance costs.</w:t>
      </w:r>
    </w:p>
    <w:p w14:paraId="02DE1ABE" w14:textId="77777777" w:rsidR="00143A71" w:rsidRDefault="00143A71" w:rsidP="00143A71">
      <w:pPr>
        <w:pStyle w:val="CGCNumberedPara"/>
        <w:numPr>
          <w:ilvl w:val="1"/>
          <w:numId w:val="3"/>
        </w:numPr>
      </w:pPr>
      <w:r>
        <w:t>In some areas (usually sparsely populated ones), States manage roads that would normally be classified as local roads or they contribute extra funds to help maintain them. This is typically because a local government does not exist or because it does not have the financial capacity to support those roads.</w:t>
      </w:r>
    </w:p>
    <w:p w14:paraId="1DB4ADDD" w14:textId="1048A073" w:rsidR="00143A71" w:rsidRDefault="00143A71" w:rsidP="00143A71">
      <w:pPr>
        <w:pStyle w:val="CGCNumberedPara"/>
        <w:numPr>
          <w:ilvl w:val="1"/>
          <w:numId w:val="3"/>
        </w:numPr>
      </w:pPr>
      <w:r>
        <w:t>States are also required to fund and maintain particular structures as part of their road network, most notably bridges. Bridge structures may be required due to geographical features such as waterways or for roads passing over the path of rail</w:t>
      </w:r>
      <w:r w:rsidR="00A0542F">
        <w:t>ways</w:t>
      </w:r>
      <w:r>
        <w:t xml:space="preserve"> and other roads.</w:t>
      </w:r>
    </w:p>
    <w:p w14:paraId="377EABAA" w14:textId="77777777" w:rsidR="00143A71" w:rsidRDefault="00143A71" w:rsidP="00143A71">
      <w:pPr>
        <w:pStyle w:val="CGCNumberedPara"/>
        <w:numPr>
          <w:ilvl w:val="1"/>
          <w:numId w:val="3"/>
        </w:numPr>
      </w:pPr>
      <w:r>
        <w:t xml:space="preserve">Other road related expenses, such as those associated </w:t>
      </w:r>
      <w:r w:rsidRPr="00EE3AB4">
        <w:t>with corporate services, driver licensing and vehicle registration</w:t>
      </w:r>
      <w:r>
        <w:t>, may be affected by other influences including population composition and relative wage levels</w:t>
      </w:r>
      <w:r w:rsidRPr="00EE3AB4">
        <w:t xml:space="preserve">. </w:t>
      </w:r>
    </w:p>
    <w:p w14:paraId="118C61F7" w14:textId="77777777" w:rsidR="00143A71" w:rsidRDefault="00143A71" w:rsidP="00143A71">
      <w:pPr>
        <w:pStyle w:val="Heading4"/>
      </w:pPr>
      <w:bookmarkStart w:id="32" w:name="_Toc509326358"/>
      <w:bookmarkStart w:id="33" w:name="_Toc511380288"/>
      <w:r>
        <w:t>Data sources and assessment methods</w:t>
      </w:r>
      <w:bookmarkEnd w:id="32"/>
      <w:bookmarkEnd w:id="33"/>
    </w:p>
    <w:p w14:paraId="519705F7" w14:textId="77777777" w:rsidR="00143A71" w:rsidRDefault="00143A71" w:rsidP="00143A71">
      <w:pPr>
        <w:pStyle w:val="Heading5"/>
      </w:pPr>
      <w:r>
        <w:t>Rural and urban roads</w:t>
      </w:r>
    </w:p>
    <w:p w14:paraId="29CCA847" w14:textId="198FA44A" w:rsidR="00143A71" w:rsidRDefault="00143A71" w:rsidP="00143A71">
      <w:pPr>
        <w:pStyle w:val="CGCNumberedPara"/>
        <w:numPr>
          <w:ilvl w:val="1"/>
          <w:numId w:val="3"/>
        </w:numPr>
      </w:pPr>
      <w:r w:rsidRPr="004F7BEF">
        <w:rPr>
          <w:rStyle w:val="Heading6Char"/>
        </w:rPr>
        <w:t>Road length.</w:t>
      </w:r>
      <w:r>
        <w:t xml:space="preserve"> The Commission developed different methods for the assessment of </w:t>
      </w:r>
      <w:r w:rsidR="00EA6918">
        <w:t xml:space="preserve">needs associated with </w:t>
      </w:r>
      <w:r>
        <w:t xml:space="preserve">rural and urban road length because it considered their maintenance costs per kilometre were materially different. </w:t>
      </w:r>
    </w:p>
    <w:p w14:paraId="2B607393" w14:textId="77777777" w:rsidR="00143A71" w:rsidRDefault="00143A71" w:rsidP="00143A71">
      <w:pPr>
        <w:pStyle w:val="CGCBulletlist"/>
        <w:numPr>
          <w:ilvl w:val="0"/>
          <w:numId w:val="1"/>
        </w:numPr>
        <w:tabs>
          <w:tab w:val="clear" w:pos="786"/>
        </w:tabs>
        <w:ind w:left="1134" w:hanging="567"/>
      </w:pPr>
      <w:r>
        <w:t>For rural road length</w:t>
      </w:r>
      <w:r w:rsidRPr="003E742E">
        <w:t xml:space="preserve">, the Commission </w:t>
      </w:r>
      <w:r>
        <w:t>developed a</w:t>
      </w:r>
      <w:r w:rsidRPr="003E742E">
        <w:t xml:space="preserve"> mapping </w:t>
      </w:r>
      <w:r>
        <w:t>algorithm</w:t>
      </w:r>
      <w:r w:rsidRPr="00C35E89">
        <w:t xml:space="preserve"> </w:t>
      </w:r>
      <w:r>
        <w:t xml:space="preserve">in the 2010 Review, which </w:t>
      </w:r>
      <w:r w:rsidRPr="003E742E">
        <w:t>calculates the length of roads connecting neighbouring localities larger than 400</w:t>
      </w:r>
      <w:r>
        <w:t> </w:t>
      </w:r>
      <w:r w:rsidRPr="003E742E">
        <w:t xml:space="preserve">persons by the fastest route. </w:t>
      </w:r>
      <w:r>
        <w:t xml:space="preserve">It did so to ensure the measured lengths were policy neutral and not affected by differences in State policies on the allocation of responsibility for roads between State and local governments or policies on when and where roads </w:t>
      </w:r>
      <w:r w:rsidR="00A44886">
        <w:t>we</w:t>
      </w:r>
      <w:r>
        <w:t xml:space="preserve">re built. </w:t>
      </w:r>
    </w:p>
    <w:p w14:paraId="2E3EA8B1" w14:textId="77777777" w:rsidR="00143A71" w:rsidRDefault="00143A71" w:rsidP="00143A71">
      <w:pPr>
        <w:ind w:left="1134"/>
      </w:pPr>
      <w:r w:rsidRPr="003E742E">
        <w:t xml:space="preserve">The </w:t>
      </w:r>
      <w:r>
        <w:t xml:space="preserve">locality size </w:t>
      </w:r>
      <w:r w:rsidRPr="003E742E">
        <w:t>threshold of 400 was chosen because geospatial data at the time w</w:t>
      </w:r>
      <w:r>
        <w:t>ere</w:t>
      </w:r>
      <w:r w:rsidRPr="003E742E">
        <w:t xml:space="preserve"> </w:t>
      </w:r>
      <w:r>
        <w:t>not sufficiently reliable</w:t>
      </w:r>
      <w:r w:rsidRPr="003E742E">
        <w:t xml:space="preserve"> for localities with a lower population. </w:t>
      </w:r>
    </w:p>
    <w:p w14:paraId="34DA636C" w14:textId="5DA50AEC" w:rsidR="00143A71" w:rsidRPr="001D412B" w:rsidRDefault="00143A71" w:rsidP="00143A71">
      <w:pPr>
        <w:ind w:left="1134"/>
      </w:pPr>
      <w:r w:rsidRPr="003E742E">
        <w:lastRenderedPageBreak/>
        <w:t xml:space="preserve">The Commission treated minor rural roads identified </w:t>
      </w:r>
      <w:r w:rsidR="00A44886">
        <w:t>by the</w:t>
      </w:r>
      <w:r w:rsidRPr="003E742E">
        <w:t xml:space="preserve"> mapping </w:t>
      </w:r>
      <w:r w:rsidR="00A44886">
        <w:t>algorithm</w:t>
      </w:r>
      <w:r w:rsidR="009E77EB">
        <w:t xml:space="preserve"> as unsealed roads. A</w:t>
      </w:r>
      <w:r w:rsidRPr="003E742E">
        <w:t xml:space="preserve">ll other mapped roads, such as freeways, highways or main roads, </w:t>
      </w:r>
      <w:r>
        <w:t>we</w:t>
      </w:r>
      <w:r w:rsidRPr="003E742E">
        <w:t>re treated as sealed road</w:t>
      </w:r>
      <w:r w:rsidR="00A44886">
        <w:t>s</w:t>
      </w:r>
      <w:r w:rsidRPr="003E742E">
        <w:t xml:space="preserve">. The </w:t>
      </w:r>
      <w:r w:rsidR="009E77EB">
        <w:t xml:space="preserve">maintenance </w:t>
      </w:r>
      <w:r w:rsidRPr="003E742E">
        <w:t xml:space="preserve">cost of unsealed roads </w:t>
      </w:r>
      <w:r>
        <w:t xml:space="preserve">was set </w:t>
      </w:r>
      <w:r w:rsidRPr="003E742E">
        <w:t>at half that of a sealed road.</w:t>
      </w:r>
    </w:p>
    <w:p w14:paraId="3924E6E6" w14:textId="79527064" w:rsidR="00143A71" w:rsidRPr="001D412B" w:rsidRDefault="00143A71" w:rsidP="00143A71">
      <w:pPr>
        <w:pStyle w:val="CGCBulletlist"/>
        <w:numPr>
          <w:ilvl w:val="0"/>
          <w:numId w:val="1"/>
        </w:numPr>
        <w:tabs>
          <w:tab w:val="clear" w:pos="786"/>
        </w:tabs>
        <w:ind w:left="1134" w:hanging="567"/>
      </w:pPr>
      <w:r>
        <w:t>For urban roads,</w:t>
      </w:r>
      <w:r w:rsidRPr="003E742E">
        <w:t xml:space="preserve"> </w:t>
      </w:r>
      <w:r>
        <w:t>a suitable policy neutral measure of State managed roads could not be developed. T</w:t>
      </w:r>
      <w:r w:rsidRPr="003E742E">
        <w:t>he Commission</w:t>
      </w:r>
      <w:r>
        <w:t>, therefore,</w:t>
      </w:r>
      <w:r w:rsidRPr="003E742E">
        <w:t xml:space="preserve"> used urban population as a proxy measure. Urban centres </w:t>
      </w:r>
      <w:r>
        <w:t>were defined as</w:t>
      </w:r>
      <w:r w:rsidRPr="003E742E">
        <w:t xml:space="preserve"> those with population over 40</w:t>
      </w:r>
      <w:r w:rsidR="00A44886">
        <w:t> </w:t>
      </w:r>
      <w:r w:rsidRPr="003E742E">
        <w:t xml:space="preserve">000. The 40 000 threshold was chosen because it aligned with the ABS definition of urban centres in the </w:t>
      </w:r>
      <w:r w:rsidRPr="00A0542F">
        <w:rPr>
          <w:i/>
        </w:rPr>
        <w:t>Survey of Motor Vehicle Use</w:t>
      </w:r>
      <w:r w:rsidR="00A0542F" w:rsidRPr="00A0542F">
        <w:rPr>
          <w:i/>
        </w:rPr>
        <w:t xml:space="preserve"> (</w:t>
      </w:r>
      <w:proofErr w:type="spellStart"/>
      <w:r w:rsidR="00A0542F" w:rsidRPr="00A0542F">
        <w:rPr>
          <w:i/>
        </w:rPr>
        <w:t>SMVU</w:t>
      </w:r>
      <w:proofErr w:type="spellEnd"/>
      <w:r w:rsidR="00A0542F" w:rsidRPr="00A0542F">
        <w:rPr>
          <w:i/>
        </w:rPr>
        <w:t>)</w:t>
      </w:r>
      <w:r w:rsidRPr="003E742E">
        <w:t>.</w:t>
      </w:r>
    </w:p>
    <w:p w14:paraId="57BAD607" w14:textId="26082871" w:rsidR="00143A71" w:rsidRDefault="00143A71" w:rsidP="00143A71">
      <w:pPr>
        <w:pStyle w:val="CGCNumberedPara"/>
        <w:numPr>
          <w:ilvl w:val="1"/>
          <w:numId w:val="3"/>
        </w:numPr>
      </w:pPr>
      <w:r w:rsidRPr="004F7BEF">
        <w:rPr>
          <w:rStyle w:val="Heading6Char"/>
        </w:rPr>
        <w:t>Traffic volume.</w:t>
      </w:r>
      <w:r>
        <w:t xml:space="preserve"> The traffic volume disability was assessed separately for urban and rural roads. The assessments used data on traffic volumes (measured in terms of total vehicle kilometres travelled (</w:t>
      </w:r>
      <w:proofErr w:type="spellStart"/>
      <w:r w:rsidR="006A19D8">
        <w:t>VKT</w:t>
      </w:r>
      <w:proofErr w:type="spellEnd"/>
      <w:r>
        <w:t>)) in urban and rural areas obtained from the Bureau of Infrastructure, Transport and Regional Economics (</w:t>
      </w:r>
      <w:proofErr w:type="spellStart"/>
      <w:r>
        <w:t>BITRE</w:t>
      </w:r>
      <w:proofErr w:type="spellEnd"/>
      <w:r>
        <w:t xml:space="preserve">). </w:t>
      </w:r>
    </w:p>
    <w:p w14:paraId="35B1A788" w14:textId="7977EC0E" w:rsidR="00143A71" w:rsidRDefault="00143A71" w:rsidP="00143A71">
      <w:pPr>
        <w:pStyle w:val="CGCNumberedPara"/>
        <w:numPr>
          <w:ilvl w:val="1"/>
          <w:numId w:val="3"/>
        </w:numPr>
      </w:pPr>
      <w:r>
        <w:t xml:space="preserve">The </w:t>
      </w:r>
      <w:proofErr w:type="spellStart"/>
      <w:r>
        <w:t>BITRE</w:t>
      </w:r>
      <w:proofErr w:type="spellEnd"/>
      <w:r>
        <w:t xml:space="preserve"> traffic volume data </w:t>
      </w:r>
      <w:r w:rsidR="006A19D8">
        <w:t>are</w:t>
      </w:r>
      <w:r>
        <w:t xml:space="preserve"> </w:t>
      </w:r>
      <w:r w:rsidR="00E3308D">
        <w:t>themselves based</w:t>
      </w:r>
      <w:r>
        <w:t xml:space="preserve"> on the ABS’ </w:t>
      </w:r>
      <w:proofErr w:type="spellStart"/>
      <w:r w:rsidR="00A0542F" w:rsidRPr="00A0542F">
        <w:t>SMVU</w:t>
      </w:r>
      <w:proofErr w:type="spellEnd"/>
      <w:r>
        <w:t>.</w:t>
      </w:r>
      <w:r>
        <w:rPr>
          <w:rStyle w:val="FootnoteReference"/>
        </w:rPr>
        <w:footnoteReference w:id="1"/>
      </w:r>
      <w:r>
        <w:t xml:space="preserve"> However, </w:t>
      </w:r>
      <w:proofErr w:type="spellStart"/>
      <w:r>
        <w:t>BITRE</w:t>
      </w:r>
      <w:proofErr w:type="spellEnd"/>
      <w:r>
        <w:t xml:space="preserve"> adjust the </w:t>
      </w:r>
      <w:proofErr w:type="spellStart"/>
      <w:r>
        <w:t>SMVU</w:t>
      </w:r>
      <w:proofErr w:type="spellEnd"/>
      <w:r>
        <w:t xml:space="preserve"> data</w:t>
      </w:r>
      <w:r>
        <w:rPr>
          <w:rStyle w:val="FootnoteReference"/>
        </w:rPr>
        <w:footnoteReference w:id="2"/>
      </w:r>
      <w:r w:rsidR="004614F2">
        <w:t xml:space="preserve"> </w:t>
      </w:r>
      <w:r>
        <w:t xml:space="preserve">and smooth it using averages from several survey years. </w:t>
      </w:r>
      <w:proofErr w:type="spellStart"/>
      <w:r>
        <w:t>BITRE</w:t>
      </w:r>
      <w:proofErr w:type="spellEnd"/>
      <w:r>
        <w:t xml:space="preserve"> also make adjustments to remove data relating to travel on local roads and to split the data between travel on urban and rural roads (allowing for their separate assessment).</w:t>
      </w:r>
    </w:p>
    <w:p w14:paraId="7B74CFD7" w14:textId="77777777" w:rsidR="00143A71" w:rsidRDefault="00143A71" w:rsidP="00143A71">
      <w:pPr>
        <w:pStyle w:val="CGCNumberedPara"/>
        <w:numPr>
          <w:ilvl w:val="1"/>
          <w:numId w:val="3"/>
        </w:numPr>
      </w:pPr>
      <w:r w:rsidRPr="003E742E">
        <w:rPr>
          <w:rStyle w:val="Heading6Char"/>
        </w:rPr>
        <w:t>Heavy vehicle</w:t>
      </w:r>
      <w:r>
        <w:rPr>
          <w:rStyle w:val="Heading6Char"/>
        </w:rPr>
        <w:t xml:space="preserve"> traffic volume</w:t>
      </w:r>
      <w:r w:rsidRPr="003E742E">
        <w:rPr>
          <w:rStyle w:val="Heading6Char"/>
        </w:rPr>
        <w:t>.</w:t>
      </w:r>
      <w:r>
        <w:t xml:space="preserve"> The data on total vehicle kilometres travelled measure the total distance travelled by all vehicles. In doing so, they treat a kilometre travelled by a car the same as a kilometre travelled by a heavy truck.  Since heavy vehicles </w:t>
      </w:r>
      <w:r w:rsidR="00A44886">
        <w:t xml:space="preserve">create a </w:t>
      </w:r>
      <w:r>
        <w:t>greater</w:t>
      </w:r>
      <w:r w:rsidR="00A44886">
        <w:t xml:space="preserve"> need</w:t>
      </w:r>
      <w:r>
        <w:t xml:space="preserve"> for maintenance than cars, an extra assessment </w:t>
      </w:r>
      <w:r w:rsidR="00A44886">
        <w:t xml:space="preserve">was necessary </w:t>
      </w:r>
      <w:r>
        <w:t>to allow for interstate differences in heavy vehicle use. This factor was assessed separately for urban and rural roads</w:t>
      </w:r>
      <w:r w:rsidR="004C3506">
        <w:t xml:space="preserve"> and was</w:t>
      </w:r>
      <w:r>
        <w:t xml:space="preserve"> assessed in two steps.</w:t>
      </w:r>
    </w:p>
    <w:p w14:paraId="4B56573A" w14:textId="48BA63F5" w:rsidR="00143A71" w:rsidRDefault="00143A71" w:rsidP="00143A71">
      <w:pPr>
        <w:pStyle w:val="CGCBulletlist"/>
        <w:numPr>
          <w:ilvl w:val="0"/>
          <w:numId w:val="1"/>
        </w:numPr>
        <w:tabs>
          <w:tab w:val="clear" w:pos="786"/>
        </w:tabs>
        <w:ind w:left="1134" w:hanging="567"/>
      </w:pPr>
      <w:r>
        <w:t xml:space="preserve">Australian average gross mass (called ‘trend AGM’) details were calculated for each </w:t>
      </w:r>
      <w:r w:rsidR="009E77EB">
        <w:t>vehicle group</w:t>
      </w:r>
      <w:r>
        <w:t xml:space="preserve"> by dividing </w:t>
      </w:r>
      <w:r w:rsidR="004C3506">
        <w:t xml:space="preserve">Australian </w:t>
      </w:r>
      <w:r>
        <w:t xml:space="preserve">total average gross tonne-kilometres travelled (AGM-km) by total </w:t>
      </w:r>
      <w:proofErr w:type="spellStart"/>
      <w:r w:rsidR="006A19D8">
        <w:t>VKT</w:t>
      </w:r>
      <w:proofErr w:type="spellEnd"/>
      <w:r>
        <w:t xml:space="preserve">. </w:t>
      </w:r>
      <w:r>
        <w:fldChar w:fldCharType="begin"/>
      </w:r>
      <w:r>
        <w:instrText xml:space="preserve"> REF _Ref508782013 \h </w:instrText>
      </w:r>
      <w:r>
        <w:fldChar w:fldCharType="separate"/>
      </w:r>
      <w:r w:rsidR="004B3502">
        <w:t>Table </w:t>
      </w:r>
      <w:r w:rsidR="004B3502">
        <w:rPr>
          <w:noProof/>
        </w:rPr>
        <w:t>3</w:t>
      </w:r>
      <w:r>
        <w:fldChar w:fldCharType="end"/>
      </w:r>
      <w:r>
        <w:t xml:space="preserve"> shows the trend AGM for each group of vehicles. Sub-dividing the data by vehicle type facilitated more accurate assessments</w:t>
      </w:r>
      <w:r w:rsidRPr="003419BC">
        <w:t xml:space="preserve"> </w:t>
      </w:r>
      <w:r>
        <w:t xml:space="preserve">because maintenance requirements tend to increase with vehicle size and weight.  </w:t>
      </w:r>
    </w:p>
    <w:p w14:paraId="4A5D2A1B" w14:textId="77777777" w:rsidR="00143A71" w:rsidRDefault="00143A71" w:rsidP="00143A71">
      <w:pPr>
        <w:pStyle w:val="CGCBulletlist"/>
        <w:numPr>
          <w:ilvl w:val="0"/>
          <w:numId w:val="1"/>
        </w:numPr>
        <w:tabs>
          <w:tab w:val="clear" w:pos="786"/>
        </w:tabs>
        <w:ind w:left="1134" w:hanging="567"/>
      </w:pPr>
      <w:r>
        <w:t>The trend AGM for each group of vehicles w</w:t>
      </w:r>
      <w:r w:rsidR="004C3506">
        <w:t>as</w:t>
      </w:r>
      <w:r>
        <w:t xml:space="preserve"> then multiplied by the </w:t>
      </w:r>
      <w:proofErr w:type="spellStart"/>
      <w:r>
        <w:t>VKT</w:t>
      </w:r>
      <w:proofErr w:type="spellEnd"/>
      <w:r>
        <w:t xml:space="preserve"> in each State to obtain State specific AGM-km. </w:t>
      </w:r>
    </w:p>
    <w:p w14:paraId="73252612" w14:textId="77777777" w:rsidR="00143A71" w:rsidRDefault="00143A71" w:rsidP="00143A71">
      <w:pPr>
        <w:pStyle w:val="CGCNumberedPara"/>
        <w:numPr>
          <w:ilvl w:val="1"/>
          <w:numId w:val="3"/>
        </w:numPr>
      </w:pPr>
      <w:r>
        <w:t>As with the traffic volume measure, the heavy vehicle travel data were adjusted to remove travel on local roads and to split the data between urban and rural roads.</w:t>
      </w:r>
    </w:p>
    <w:p w14:paraId="73327FB1" w14:textId="21570D4B" w:rsidR="00143A71" w:rsidRDefault="00143A71" w:rsidP="00143A71">
      <w:pPr>
        <w:pStyle w:val="CGCTableHeading"/>
      </w:pPr>
      <w:bookmarkStart w:id="34" w:name="_Ref508782013"/>
      <w:r>
        <w:lastRenderedPageBreak/>
        <w:t>Table</w:t>
      </w:r>
      <w:r w:rsidR="00A0542F">
        <w:t> </w:t>
      </w:r>
      <w:fldSimple w:instr=" SEQ Table \* ARABIC ">
        <w:r w:rsidR="004B3502">
          <w:rPr>
            <w:noProof/>
          </w:rPr>
          <w:t>3</w:t>
        </w:r>
      </w:fldSimple>
      <w:bookmarkEnd w:id="34"/>
      <w:r>
        <w:tab/>
        <w:t>Trend a</w:t>
      </w:r>
      <w:r w:rsidRPr="006F3F5C">
        <w:t xml:space="preserve">verage gross mass </w:t>
      </w:r>
      <w:r>
        <w:t>by</w:t>
      </w:r>
      <w:r w:rsidRPr="006F3F5C">
        <w:t xml:space="preserve"> </w:t>
      </w:r>
      <w:r w:rsidR="004C3506">
        <w:t xml:space="preserve">vehicle </w:t>
      </w:r>
      <w:r w:rsidRPr="006F3F5C">
        <w:t>group</w:t>
      </w:r>
    </w:p>
    <w:tbl>
      <w:tblPr>
        <w:tblW w:w="5000" w:type="pct"/>
        <w:tblCellMar>
          <w:left w:w="85" w:type="dxa"/>
          <w:right w:w="85" w:type="dxa"/>
        </w:tblCellMar>
        <w:tblLook w:val="0000" w:firstRow="0" w:lastRow="0" w:firstColumn="0" w:lastColumn="0" w:noHBand="0" w:noVBand="0"/>
      </w:tblPr>
      <w:tblGrid>
        <w:gridCol w:w="4095"/>
        <w:gridCol w:w="2514"/>
        <w:gridCol w:w="2512"/>
      </w:tblGrid>
      <w:tr w:rsidR="00143A71" w:rsidRPr="004537EA" w14:paraId="59E5AE9D" w14:textId="77777777" w:rsidTr="00600B03">
        <w:tc>
          <w:tcPr>
            <w:tcW w:w="2245" w:type="pct"/>
            <w:tcBorders>
              <w:top w:val="single" w:sz="6" w:space="0" w:color="auto"/>
              <w:bottom w:val="single" w:sz="6" w:space="0" w:color="auto"/>
            </w:tcBorders>
            <w:vAlign w:val="bottom"/>
          </w:tcPr>
          <w:p w14:paraId="73598C94" w14:textId="77777777" w:rsidR="00143A71" w:rsidRPr="004537EA" w:rsidRDefault="00143A71" w:rsidP="00600B03">
            <w:pPr>
              <w:pStyle w:val="TableColHeadings"/>
              <w:jc w:val="left"/>
              <w:rPr>
                <w:rFonts w:cstheme="minorHAnsi"/>
              </w:rPr>
            </w:pPr>
            <w:r>
              <w:rPr>
                <w:rFonts w:cstheme="minorHAnsi"/>
              </w:rPr>
              <w:t>Vehicle group</w:t>
            </w:r>
          </w:p>
        </w:tc>
        <w:tc>
          <w:tcPr>
            <w:tcW w:w="1378" w:type="pct"/>
            <w:tcBorders>
              <w:top w:val="single" w:sz="6" w:space="0" w:color="auto"/>
              <w:bottom w:val="single" w:sz="6" w:space="0" w:color="auto"/>
            </w:tcBorders>
            <w:vAlign w:val="bottom"/>
          </w:tcPr>
          <w:p w14:paraId="4D72FD88" w14:textId="77777777" w:rsidR="00143A71" w:rsidRPr="004537EA" w:rsidRDefault="00143A71" w:rsidP="00600B03">
            <w:pPr>
              <w:pStyle w:val="TableColHeadings"/>
              <w:rPr>
                <w:rFonts w:cstheme="minorHAnsi"/>
              </w:rPr>
            </w:pPr>
          </w:p>
        </w:tc>
        <w:tc>
          <w:tcPr>
            <w:tcW w:w="1377" w:type="pct"/>
            <w:tcBorders>
              <w:top w:val="single" w:sz="6" w:space="0" w:color="auto"/>
              <w:bottom w:val="single" w:sz="6" w:space="0" w:color="auto"/>
            </w:tcBorders>
            <w:vAlign w:val="bottom"/>
          </w:tcPr>
          <w:p w14:paraId="4F75164F" w14:textId="77777777" w:rsidR="00143A71" w:rsidRPr="004537EA" w:rsidRDefault="00143A71" w:rsidP="00600B03">
            <w:pPr>
              <w:pStyle w:val="TableColHeadings"/>
              <w:rPr>
                <w:rFonts w:cstheme="minorHAnsi"/>
              </w:rPr>
            </w:pPr>
            <w:r>
              <w:rPr>
                <w:rFonts w:cstheme="minorHAnsi"/>
              </w:rPr>
              <w:t>Trend AGM</w:t>
            </w:r>
          </w:p>
        </w:tc>
      </w:tr>
      <w:tr w:rsidR="00143A71" w:rsidRPr="004537EA" w14:paraId="7AF22ABA" w14:textId="77777777" w:rsidTr="00600B03">
        <w:tc>
          <w:tcPr>
            <w:tcW w:w="2245" w:type="pct"/>
            <w:tcMar>
              <w:top w:w="0" w:type="dxa"/>
              <w:bottom w:w="0" w:type="dxa"/>
            </w:tcMar>
            <w:vAlign w:val="bottom"/>
          </w:tcPr>
          <w:p w14:paraId="5B6895AD" w14:textId="77777777" w:rsidR="00143A71" w:rsidRPr="004537EA" w:rsidRDefault="00143A71" w:rsidP="00600B03">
            <w:pPr>
              <w:pStyle w:val="TableRowUnits"/>
              <w:rPr>
                <w:rFonts w:cstheme="minorHAnsi"/>
              </w:rPr>
            </w:pPr>
          </w:p>
        </w:tc>
        <w:tc>
          <w:tcPr>
            <w:tcW w:w="1378" w:type="pct"/>
            <w:tcMar>
              <w:top w:w="0" w:type="dxa"/>
              <w:bottom w:w="0" w:type="dxa"/>
            </w:tcMar>
            <w:vAlign w:val="bottom"/>
          </w:tcPr>
          <w:p w14:paraId="5642E31D" w14:textId="77777777" w:rsidR="00143A71" w:rsidRPr="004537EA" w:rsidRDefault="00143A71" w:rsidP="00600B03">
            <w:pPr>
              <w:pStyle w:val="TableRowUnits"/>
              <w:rPr>
                <w:rFonts w:cstheme="minorHAnsi"/>
              </w:rPr>
            </w:pPr>
          </w:p>
        </w:tc>
        <w:tc>
          <w:tcPr>
            <w:tcW w:w="1377" w:type="pct"/>
            <w:tcMar>
              <w:top w:w="0" w:type="dxa"/>
              <w:bottom w:w="0" w:type="dxa"/>
            </w:tcMar>
            <w:vAlign w:val="bottom"/>
          </w:tcPr>
          <w:p w14:paraId="5F0FC47F" w14:textId="77777777" w:rsidR="00143A71" w:rsidRPr="004537EA" w:rsidRDefault="00143A71" w:rsidP="00600B03">
            <w:pPr>
              <w:pStyle w:val="TableRowUnits"/>
              <w:rPr>
                <w:rFonts w:cstheme="minorHAnsi"/>
              </w:rPr>
            </w:pPr>
          </w:p>
        </w:tc>
      </w:tr>
      <w:tr w:rsidR="00143A71" w:rsidRPr="004537EA" w14:paraId="2D5F48E7" w14:textId="77777777" w:rsidTr="00600B03">
        <w:tc>
          <w:tcPr>
            <w:tcW w:w="2245" w:type="pct"/>
            <w:vAlign w:val="bottom"/>
          </w:tcPr>
          <w:p w14:paraId="375E25AB" w14:textId="77777777" w:rsidR="00143A71" w:rsidRPr="004537EA" w:rsidRDefault="00143A71" w:rsidP="00600B03">
            <w:pPr>
              <w:pStyle w:val="CGCTableStub"/>
              <w:rPr>
                <w:rFonts w:cstheme="minorHAnsi"/>
              </w:rPr>
            </w:pPr>
            <w:r w:rsidRPr="006F3F5C">
              <w:rPr>
                <w:rFonts w:cstheme="minorHAnsi"/>
              </w:rPr>
              <w:t>Passenger vehicles</w:t>
            </w:r>
          </w:p>
        </w:tc>
        <w:tc>
          <w:tcPr>
            <w:tcW w:w="1378" w:type="pct"/>
            <w:vAlign w:val="bottom"/>
          </w:tcPr>
          <w:p w14:paraId="31D7F3F4" w14:textId="77777777" w:rsidR="00143A71" w:rsidRPr="004537EA" w:rsidRDefault="00143A71" w:rsidP="00600B03">
            <w:pPr>
              <w:pStyle w:val="TableRowNormal"/>
              <w:rPr>
                <w:rFonts w:cstheme="minorHAnsi"/>
              </w:rPr>
            </w:pPr>
          </w:p>
        </w:tc>
        <w:tc>
          <w:tcPr>
            <w:tcW w:w="1377" w:type="pct"/>
            <w:vAlign w:val="bottom"/>
          </w:tcPr>
          <w:p w14:paraId="44B6A185" w14:textId="77777777" w:rsidR="00143A71" w:rsidRPr="004537EA" w:rsidRDefault="00143A71" w:rsidP="00600B03">
            <w:pPr>
              <w:pStyle w:val="TableRowNormal"/>
              <w:rPr>
                <w:rFonts w:cstheme="minorHAnsi"/>
              </w:rPr>
            </w:pPr>
            <w:r>
              <w:rPr>
                <w:rFonts w:cstheme="minorHAnsi"/>
              </w:rPr>
              <w:t>0.0</w:t>
            </w:r>
          </w:p>
        </w:tc>
      </w:tr>
      <w:tr w:rsidR="00143A71" w:rsidRPr="004537EA" w14:paraId="4458ECCE" w14:textId="77777777" w:rsidTr="00600B03">
        <w:tc>
          <w:tcPr>
            <w:tcW w:w="2245" w:type="pct"/>
            <w:vAlign w:val="bottom"/>
          </w:tcPr>
          <w:p w14:paraId="3B7C9ABD" w14:textId="77777777" w:rsidR="00143A71" w:rsidRPr="004537EA" w:rsidRDefault="00143A71" w:rsidP="00600B03">
            <w:pPr>
              <w:pStyle w:val="CGCTableStub"/>
              <w:rPr>
                <w:rFonts w:cstheme="minorHAnsi"/>
              </w:rPr>
            </w:pPr>
            <w:r w:rsidRPr="006F3F5C">
              <w:rPr>
                <w:rFonts w:cstheme="minorHAnsi"/>
              </w:rPr>
              <w:t>Light commercial vehicles</w:t>
            </w:r>
          </w:p>
        </w:tc>
        <w:tc>
          <w:tcPr>
            <w:tcW w:w="1378" w:type="pct"/>
            <w:vAlign w:val="bottom"/>
          </w:tcPr>
          <w:p w14:paraId="36490FD0" w14:textId="77777777" w:rsidR="00143A71" w:rsidRPr="004537EA" w:rsidRDefault="00143A71" w:rsidP="00600B03">
            <w:pPr>
              <w:pStyle w:val="TableRowNormal"/>
              <w:rPr>
                <w:rFonts w:cstheme="minorHAnsi"/>
              </w:rPr>
            </w:pPr>
          </w:p>
        </w:tc>
        <w:tc>
          <w:tcPr>
            <w:tcW w:w="1377" w:type="pct"/>
            <w:vAlign w:val="bottom"/>
          </w:tcPr>
          <w:p w14:paraId="2BF07F85" w14:textId="77777777" w:rsidR="00143A71" w:rsidRPr="004537EA" w:rsidRDefault="00143A71" w:rsidP="00600B03">
            <w:pPr>
              <w:pStyle w:val="TableRowNormal"/>
              <w:rPr>
                <w:rFonts w:cstheme="minorHAnsi"/>
              </w:rPr>
            </w:pPr>
            <w:r>
              <w:rPr>
                <w:rFonts w:cstheme="minorHAnsi"/>
              </w:rPr>
              <w:t>1.9</w:t>
            </w:r>
          </w:p>
        </w:tc>
      </w:tr>
      <w:tr w:rsidR="00143A71" w:rsidRPr="004537EA" w14:paraId="7E5BE478" w14:textId="77777777" w:rsidTr="00600B03">
        <w:tc>
          <w:tcPr>
            <w:tcW w:w="2245" w:type="pct"/>
            <w:vAlign w:val="bottom"/>
          </w:tcPr>
          <w:p w14:paraId="22816C5C" w14:textId="77777777" w:rsidR="00143A71" w:rsidRPr="006F3F5C" w:rsidRDefault="00143A71" w:rsidP="00600B03">
            <w:pPr>
              <w:pStyle w:val="CGCTableStub"/>
              <w:rPr>
                <w:rFonts w:cstheme="minorHAnsi"/>
              </w:rPr>
            </w:pPr>
            <w:r w:rsidRPr="006F3F5C">
              <w:rPr>
                <w:rFonts w:cstheme="minorHAnsi"/>
              </w:rPr>
              <w:t>Rigid and other trucks</w:t>
            </w:r>
          </w:p>
        </w:tc>
        <w:tc>
          <w:tcPr>
            <w:tcW w:w="1378" w:type="pct"/>
            <w:vAlign w:val="bottom"/>
          </w:tcPr>
          <w:p w14:paraId="5A26D0E0" w14:textId="77777777" w:rsidR="00143A71" w:rsidRPr="004537EA" w:rsidRDefault="00143A71" w:rsidP="00600B03">
            <w:pPr>
              <w:pStyle w:val="TableRowNormal"/>
              <w:rPr>
                <w:rFonts w:cstheme="minorHAnsi"/>
              </w:rPr>
            </w:pPr>
          </w:p>
        </w:tc>
        <w:tc>
          <w:tcPr>
            <w:tcW w:w="1377" w:type="pct"/>
            <w:vAlign w:val="bottom"/>
          </w:tcPr>
          <w:p w14:paraId="1E27F7D8" w14:textId="77777777" w:rsidR="00143A71" w:rsidRPr="004537EA" w:rsidRDefault="00143A71" w:rsidP="00600B03">
            <w:pPr>
              <w:pStyle w:val="TableRowNormal"/>
              <w:rPr>
                <w:rFonts w:cstheme="minorHAnsi"/>
              </w:rPr>
            </w:pPr>
            <w:r>
              <w:rPr>
                <w:rFonts w:cstheme="minorHAnsi"/>
              </w:rPr>
              <w:t>8.7</w:t>
            </w:r>
          </w:p>
        </w:tc>
      </w:tr>
      <w:tr w:rsidR="00143A71" w:rsidRPr="004537EA" w14:paraId="21442823" w14:textId="77777777" w:rsidTr="004C3506">
        <w:tc>
          <w:tcPr>
            <w:tcW w:w="2245" w:type="pct"/>
            <w:vAlign w:val="bottom"/>
          </w:tcPr>
          <w:p w14:paraId="2658C8FB" w14:textId="77777777" w:rsidR="00143A71" w:rsidRPr="006F3F5C" w:rsidRDefault="00143A71" w:rsidP="00600B03">
            <w:pPr>
              <w:pStyle w:val="CGCTableStub"/>
              <w:rPr>
                <w:rFonts w:cstheme="minorHAnsi"/>
              </w:rPr>
            </w:pPr>
            <w:r w:rsidRPr="006F3F5C">
              <w:rPr>
                <w:rFonts w:cstheme="minorHAnsi"/>
              </w:rPr>
              <w:t>Buses</w:t>
            </w:r>
          </w:p>
        </w:tc>
        <w:tc>
          <w:tcPr>
            <w:tcW w:w="1378" w:type="pct"/>
            <w:vAlign w:val="bottom"/>
          </w:tcPr>
          <w:p w14:paraId="3723028D" w14:textId="77777777" w:rsidR="00143A71" w:rsidRPr="004537EA" w:rsidRDefault="00143A71" w:rsidP="00600B03">
            <w:pPr>
              <w:pStyle w:val="TableRowNormal"/>
              <w:rPr>
                <w:rFonts w:cstheme="minorHAnsi"/>
              </w:rPr>
            </w:pPr>
          </w:p>
        </w:tc>
        <w:tc>
          <w:tcPr>
            <w:tcW w:w="1377" w:type="pct"/>
            <w:vAlign w:val="bottom"/>
          </w:tcPr>
          <w:p w14:paraId="5525ABFF" w14:textId="77777777" w:rsidR="00143A71" w:rsidRPr="004537EA" w:rsidRDefault="00143A71" w:rsidP="00600B03">
            <w:pPr>
              <w:pStyle w:val="TableRowNormal"/>
              <w:rPr>
                <w:rFonts w:cstheme="minorHAnsi"/>
              </w:rPr>
            </w:pPr>
            <w:r>
              <w:rPr>
                <w:rFonts w:cstheme="minorHAnsi"/>
              </w:rPr>
              <w:t>9.9</w:t>
            </w:r>
          </w:p>
        </w:tc>
      </w:tr>
      <w:tr w:rsidR="004C3506" w:rsidRPr="004537EA" w14:paraId="4AC6B523" w14:textId="77777777" w:rsidTr="00600B03">
        <w:tc>
          <w:tcPr>
            <w:tcW w:w="2245" w:type="pct"/>
            <w:tcBorders>
              <w:bottom w:val="single" w:sz="6" w:space="0" w:color="auto"/>
            </w:tcBorders>
            <w:vAlign w:val="bottom"/>
          </w:tcPr>
          <w:p w14:paraId="4EC479AA" w14:textId="77777777" w:rsidR="004C3506" w:rsidRPr="004537EA" w:rsidRDefault="004C3506" w:rsidP="004C3506">
            <w:pPr>
              <w:pStyle w:val="CGCTableStub"/>
              <w:rPr>
                <w:rFonts w:cstheme="minorHAnsi"/>
              </w:rPr>
            </w:pPr>
            <w:r w:rsidRPr="006F3F5C">
              <w:rPr>
                <w:rFonts w:cstheme="minorHAnsi"/>
              </w:rPr>
              <w:t>Articulated trucks</w:t>
            </w:r>
          </w:p>
        </w:tc>
        <w:tc>
          <w:tcPr>
            <w:tcW w:w="1378" w:type="pct"/>
            <w:tcBorders>
              <w:bottom w:val="single" w:sz="6" w:space="0" w:color="auto"/>
            </w:tcBorders>
            <w:vAlign w:val="bottom"/>
          </w:tcPr>
          <w:p w14:paraId="627C5C60" w14:textId="77777777" w:rsidR="004C3506" w:rsidRPr="004537EA" w:rsidRDefault="004C3506" w:rsidP="004C3506">
            <w:pPr>
              <w:pStyle w:val="TableRowNormal"/>
              <w:rPr>
                <w:rFonts w:cstheme="minorHAnsi"/>
              </w:rPr>
            </w:pPr>
          </w:p>
        </w:tc>
        <w:tc>
          <w:tcPr>
            <w:tcW w:w="1377" w:type="pct"/>
            <w:tcBorders>
              <w:bottom w:val="single" w:sz="6" w:space="0" w:color="auto"/>
            </w:tcBorders>
            <w:vAlign w:val="bottom"/>
          </w:tcPr>
          <w:p w14:paraId="57F0C51C" w14:textId="77777777" w:rsidR="004C3506" w:rsidRPr="004537EA" w:rsidRDefault="004C3506" w:rsidP="004C3506">
            <w:pPr>
              <w:pStyle w:val="TableRowNormal"/>
              <w:rPr>
                <w:rFonts w:cstheme="minorHAnsi"/>
              </w:rPr>
            </w:pPr>
            <w:r>
              <w:rPr>
                <w:rFonts w:cstheme="minorHAnsi"/>
              </w:rPr>
              <w:t>42.7</w:t>
            </w:r>
          </w:p>
        </w:tc>
      </w:tr>
    </w:tbl>
    <w:p w14:paraId="2C0D90D8" w14:textId="71FBD353" w:rsidR="009E77EB" w:rsidRDefault="009E77EB" w:rsidP="009E77EB">
      <w:pPr>
        <w:pStyle w:val="CGCTableFootnote"/>
      </w:pPr>
      <w:r>
        <w:t>Note:</w:t>
      </w:r>
      <w:r>
        <w:tab/>
      </w:r>
      <w:r w:rsidR="00204CC5">
        <w:t>Passenger vehicles trend AGM is set to zero because they are not considered heavy vehicles</w:t>
      </w:r>
      <w:r>
        <w:t>.</w:t>
      </w:r>
    </w:p>
    <w:p w14:paraId="441FE41E" w14:textId="180E7DFC" w:rsidR="00143A71" w:rsidRDefault="00143A71" w:rsidP="00143A71">
      <w:pPr>
        <w:pStyle w:val="CGCTableFootnote"/>
      </w:pPr>
      <w:r>
        <w:t>Source:</w:t>
      </w:r>
      <w:r>
        <w:tab/>
        <w:t xml:space="preserve">Commission calculation based on </w:t>
      </w:r>
      <w:r w:rsidR="008A2345">
        <w:t xml:space="preserve">trend </w:t>
      </w:r>
      <w:r>
        <w:t xml:space="preserve">data from the National Transport Commission. The data were last updated in the 2016 </w:t>
      </w:r>
      <w:r w:rsidR="009E77EB">
        <w:t>U</w:t>
      </w:r>
      <w:r>
        <w:t>pdate.</w:t>
      </w:r>
    </w:p>
    <w:p w14:paraId="167F3C07" w14:textId="77777777" w:rsidR="00143A71" w:rsidRDefault="00143A71" w:rsidP="00143A71">
      <w:pPr>
        <w:pStyle w:val="Heading5"/>
      </w:pPr>
      <w:r>
        <w:t>Local roads</w:t>
      </w:r>
    </w:p>
    <w:p w14:paraId="2A2E85F4" w14:textId="1896D9A8" w:rsidR="00143A71" w:rsidRDefault="00143A71" w:rsidP="00143A71">
      <w:pPr>
        <w:pStyle w:val="CGCNumberedPara"/>
        <w:numPr>
          <w:ilvl w:val="1"/>
          <w:numId w:val="3"/>
        </w:numPr>
      </w:pPr>
      <w:r>
        <w:t xml:space="preserve">The local roads assessment allows for interstate differences in the length of roads in sparsely populated remote and very remote areas. Those areas are considered most likely to be unincorporated or </w:t>
      </w:r>
      <w:r w:rsidR="006A19D8">
        <w:t>to be managed by a</w:t>
      </w:r>
      <w:r>
        <w:t xml:space="preserve"> local government with insufficient population to support road maintenance.</w:t>
      </w:r>
    </w:p>
    <w:p w14:paraId="55D597F6" w14:textId="77777777" w:rsidR="00143A71" w:rsidRPr="00EE3AB4" w:rsidRDefault="00143A71" w:rsidP="00143A71">
      <w:pPr>
        <w:pStyle w:val="CGCNumberedPara"/>
        <w:numPr>
          <w:ilvl w:val="1"/>
          <w:numId w:val="3"/>
        </w:numPr>
      </w:pPr>
      <w:r w:rsidRPr="00D02BD0">
        <w:t xml:space="preserve">A sparsely settled area was defined as </w:t>
      </w:r>
      <w:r w:rsidR="004C3506">
        <w:t>one</w:t>
      </w:r>
      <w:r w:rsidRPr="00D02BD0">
        <w:t xml:space="preserve"> in a remote or very remote region with a population density of not more than one person per hundred square kilometres. </w:t>
      </w:r>
      <w:r>
        <w:t>The length of local road</w:t>
      </w:r>
      <w:r w:rsidR="004C3506">
        <w:t>s</w:t>
      </w:r>
      <w:r>
        <w:t xml:space="preserve"> in these areas was then identified. </w:t>
      </w:r>
    </w:p>
    <w:p w14:paraId="7E33ACA7" w14:textId="77777777" w:rsidR="00143A71" w:rsidRDefault="00143A71" w:rsidP="00143A71">
      <w:pPr>
        <w:pStyle w:val="Heading5"/>
      </w:pPr>
      <w:r>
        <w:t>Bridges</w:t>
      </w:r>
    </w:p>
    <w:p w14:paraId="1F737F47" w14:textId="1C2651E1" w:rsidR="00143A71" w:rsidRPr="00EE3AB4" w:rsidRDefault="00143A71" w:rsidP="00143A71">
      <w:pPr>
        <w:pStyle w:val="CGCNumberedPara"/>
        <w:numPr>
          <w:ilvl w:val="1"/>
          <w:numId w:val="3"/>
        </w:numPr>
      </w:pPr>
      <w:r>
        <w:t>The Commission was unable to reliably identify or measure an indicator of the underlying factors affecting the maintenance of bridges. As a result,</w:t>
      </w:r>
      <w:r w:rsidRPr="004F10C6">
        <w:t xml:space="preserve"> the bridges component </w:t>
      </w:r>
      <w:r>
        <w:t>was</w:t>
      </w:r>
      <w:r w:rsidRPr="004F10C6">
        <w:t xml:space="preserve"> assessed equal per capita </w:t>
      </w:r>
      <w:r>
        <w:t>(EPC)</w:t>
      </w:r>
      <w:r w:rsidRPr="004F10C6">
        <w:t>.</w:t>
      </w:r>
      <w:r w:rsidR="008A2345">
        <w:t xml:space="preserve"> This assessment also includes spending on tunnels</w:t>
      </w:r>
      <w:r w:rsidR="00E75507">
        <w:t>.</w:t>
      </w:r>
    </w:p>
    <w:p w14:paraId="2CE67CF8" w14:textId="77777777" w:rsidR="00143A71" w:rsidRDefault="00143A71" w:rsidP="00143A71">
      <w:pPr>
        <w:pStyle w:val="Heading5"/>
      </w:pPr>
      <w:r>
        <w:t>Other services</w:t>
      </w:r>
    </w:p>
    <w:p w14:paraId="2154F616" w14:textId="5F275FFC" w:rsidR="00143A71" w:rsidRPr="00EE3AB4" w:rsidRDefault="00143A71" w:rsidP="00143A71">
      <w:pPr>
        <w:pStyle w:val="CGCNumberedPara"/>
        <w:numPr>
          <w:ilvl w:val="1"/>
          <w:numId w:val="3"/>
        </w:numPr>
      </w:pPr>
      <w:r>
        <w:t xml:space="preserve">As with the bridges component, the Commission was unable to identify a reliable measure of needs relating to the provision of other services. Therefore, the other services component was also </w:t>
      </w:r>
      <w:r w:rsidRPr="004F10C6">
        <w:t xml:space="preserve">assessed </w:t>
      </w:r>
      <w:proofErr w:type="spellStart"/>
      <w:r w:rsidR="006A19D8">
        <w:t>EPC</w:t>
      </w:r>
      <w:proofErr w:type="spellEnd"/>
      <w:r w:rsidRPr="004F10C6">
        <w:t>.</w:t>
      </w:r>
    </w:p>
    <w:p w14:paraId="5371621D" w14:textId="77777777" w:rsidR="00143A71" w:rsidRDefault="00143A71" w:rsidP="00143A71">
      <w:pPr>
        <w:pStyle w:val="Heading5"/>
      </w:pPr>
      <w:r>
        <w:t>Location factors</w:t>
      </w:r>
    </w:p>
    <w:p w14:paraId="3FCDCE3F" w14:textId="77777777" w:rsidR="00143A71" w:rsidRDefault="00143A71" w:rsidP="00143A71">
      <w:pPr>
        <w:pStyle w:val="CGCNumberedPara"/>
        <w:numPr>
          <w:ilvl w:val="1"/>
          <w:numId w:val="3"/>
        </w:numPr>
      </w:pPr>
      <w:r>
        <w:t>The impact of differences in wage costs was recognised in all components. A regional cost disability was applied to the rural road length sub-component, to recognise that the costs of maintaining rural roads increase with increasing remoteness.</w:t>
      </w:r>
    </w:p>
    <w:p w14:paraId="556E2D50" w14:textId="77777777" w:rsidR="00143A71" w:rsidRDefault="00143A71" w:rsidP="00143A71">
      <w:pPr>
        <w:pStyle w:val="Heading5"/>
      </w:pPr>
      <w:r>
        <w:lastRenderedPageBreak/>
        <w:t>Investment and depreciation assessments</w:t>
      </w:r>
    </w:p>
    <w:p w14:paraId="7ECD3B83" w14:textId="77777777" w:rsidR="00143A71" w:rsidRDefault="00143A71" w:rsidP="00143A71">
      <w:pPr>
        <w:pStyle w:val="CGCNumberedPara"/>
        <w:numPr>
          <w:ilvl w:val="1"/>
          <w:numId w:val="3"/>
        </w:numPr>
      </w:pPr>
      <w:r>
        <w:t xml:space="preserve">In the 2015 Review, roads investment was assessed in the Investment category. Separate assessments were made for urban roads and rural roads. </w:t>
      </w:r>
    </w:p>
    <w:p w14:paraId="22710E8C" w14:textId="111CABF4" w:rsidR="00143A71" w:rsidRPr="00F46B46" w:rsidRDefault="006A19D8" w:rsidP="00143A71">
      <w:pPr>
        <w:pStyle w:val="CGCNumberedPara"/>
        <w:numPr>
          <w:ilvl w:val="1"/>
          <w:numId w:val="3"/>
        </w:numPr>
      </w:pPr>
      <w:r>
        <w:t>These allow for the assessment of the impact that the following interstate differences have on investment in road infrastructure:</w:t>
      </w:r>
    </w:p>
    <w:p w14:paraId="6647D15F" w14:textId="77777777" w:rsidR="00143A71" w:rsidRPr="00951A00" w:rsidRDefault="00143A71" w:rsidP="00143A71">
      <w:pPr>
        <w:pStyle w:val="CGCBulletlist"/>
        <w:numPr>
          <w:ilvl w:val="0"/>
          <w:numId w:val="1"/>
        </w:numPr>
        <w:tabs>
          <w:tab w:val="clear" w:pos="786"/>
        </w:tabs>
        <w:ind w:left="1134" w:hanging="567"/>
        <w:rPr>
          <w:rStyle w:val="Heading6Char"/>
          <w:rFonts w:eastAsiaTheme="minorHAnsi" w:cstheme="minorBidi"/>
          <w:b w:val="0"/>
          <w:i w:val="0"/>
          <w:iCs w:val="0"/>
          <w:color w:val="auto"/>
          <w:sz w:val="24"/>
        </w:rPr>
      </w:pPr>
      <w:r>
        <w:t>the quantity of road infrastructure (capital stock) required through an assessment of road length, traffic volume and heavy vehicle use, and bridges</w:t>
      </w:r>
    </w:p>
    <w:p w14:paraId="6C381269" w14:textId="77777777" w:rsidR="00143A71" w:rsidRPr="00F46B46" w:rsidRDefault="00143A71" w:rsidP="00143A71">
      <w:pPr>
        <w:pStyle w:val="CGCBulletlist"/>
        <w:numPr>
          <w:ilvl w:val="0"/>
          <w:numId w:val="1"/>
        </w:numPr>
        <w:tabs>
          <w:tab w:val="clear" w:pos="786"/>
        </w:tabs>
        <w:ind w:left="1134" w:hanging="567"/>
      </w:pPr>
      <w:r w:rsidRPr="00FD62EC">
        <w:t xml:space="preserve">population growth </w:t>
      </w:r>
    </w:p>
    <w:p w14:paraId="3E272B60" w14:textId="77777777" w:rsidR="00143A71" w:rsidRPr="00F46B46" w:rsidRDefault="00143A71" w:rsidP="00143A71">
      <w:pPr>
        <w:pStyle w:val="CGCBulletlist"/>
        <w:numPr>
          <w:ilvl w:val="0"/>
          <w:numId w:val="1"/>
        </w:numPr>
        <w:tabs>
          <w:tab w:val="clear" w:pos="786"/>
        </w:tabs>
        <w:ind w:left="1134" w:hanging="567"/>
      </w:pPr>
      <w:proofErr w:type="gramStart"/>
      <w:r w:rsidRPr="00FD62EC">
        <w:t>the</w:t>
      </w:r>
      <w:proofErr w:type="gramEnd"/>
      <w:r w:rsidRPr="00FD62EC">
        <w:t xml:space="preserve"> cost of </w:t>
      </w:r>
      <w:r>
        <w:t>road</w:t>
      </w:r>
      <w:r w:rsidRPr="00FD62EC">
        <w:t xml:space="preserve"> infrastructure</w:t>
      </w:r>
      <w:r>
        <w:t>, through a capital cost factor that reflects the</w:t>
      </w:r>
      <w:r w:rsidRPr="00390344">
        <w:t xml:space="preserve"> relative construction, wage and regional costs.</w:t>
      </w:r>
    </w:p>
    <w:p w14:paraId="7FB7C4A2" w14:textId="1FA62FCA" w:rsidR="00143A71" w:rsidRDefault="00486841" w:rsidP="00143A71">
      <w:pPr>
        <w:pStyle w:val="CGCNumberedPara"/>
        <w:numPr>
          <w:ilvl w:val="1"/>
          <w:numId w:val="3"/>
        </w:numPr>
      </w:pPr>
      <w:r>
        <w:t>L</w:t>
      </w:r>
      <w:r w:rsidR="00143A71">
        <w:t xml:space="preserve">ocal roads and other services </w:t>
      </w:r>
      <w:r>
        <w:t>had no e</w:t>
      </w:r>
      <w:r w:rsidR="00143A71">
        <w:t xml:space="preserve">ffect </w:t>
      </w:r>
      <w:r w:rsidR="00437984">
        <w:t xml:space="preserve">on </w:t>
      </w:r>
      <w:r w:rsidR="00143A71">
        <w:t xml:space="preserve">roads investment. </w:t>
      </w:r>
    </w:p>
    <w:p w14:paraId="47FF74FC" w14:textId="24E9B762" w:rsidR="00143A71" w:rsidRDefault="00143A71" w:rsidP="00143A71">
      <w:pPr>
        <w:pStyle w:val="CGCNumberedPara"/>
        <w:numPr>
          <w:ilvl w:val="1"/>
          <w:numId w:val="3"/>
        </w:numPr>
      </w:pPr>
      <w:r>
        <w:t xml:space="preserve">Depreciation of roads assets was assessed in the Depreciation category. The assessment </w:t>
      </w:r>
      <w:r w:rsidR="00486841">
        <w:t>wa</w:t>
      </w:r>
      <w:r>
        <w:t xml:space="preserve">s based on the roads capital stock factor used in the </w:t>
      </w:r>
      <w:r w:rsidR="006A19D8">
        <w:t>I</w:t>
      </w:r>
      <w:r>
        <w:t>nvestment assessment.</w:t>
      </w:r>
    </w:p>
    <w:p w14:paraId="2E37C462" w14:textId="77777777" w:rsidR="00143A71" w:rsidRDefault="00143A71" w:rsidP="00143A71">
      <w:pPr>
        <w:pStyle w:val="Heading5"/>
      </w:pPr>
      <w:bookmarkStart w:id="35" w:name="_Ref508352885"/>
      <w:r>
        <w:t>Component weights (recurrent and capital)</w:t>
      </w:r>
      <w:bookmarkEnd w:id="35"/>
    </w:p>
    <w:p w14:paraId="2C75BF77" w14:textId="5823F25C" w:rsidR="00143A71" w:rsidRPr="00CF49E8" w:rsidRDefault="00143A71" w:rsidP="00143A71">
      <w:pPr>
        <w:pStyle w:val="CGCNumberedPara"/>
        <w:numPr>
          <w:ilvl w:val="1"/>
          <w:numId w:val="3"/>
        </w:numPr>
      </w:pPr>
      <w:r>
        <w:t xml:space="preserve">Data on </w:t>
      </w:r>
      <w:r w:rsidRPr="000E261A">
        <w:t>State expense</w:t>
      </w:r>
      <w:r>
        <w:t>s as</w:t>
      </w:r>
      <w:r w:rsidRPr="000E261A">
        <w:t xml:space="preserve"> reported to the </w:t>
      </w:r>
      <w:r w:rsidRPr="00CF49E8">
        <w:t>National Transport Commission</w:t>
      </w:r>
      <w:r>
        <w:t xml:space="preserve"> (</w:t>
      </w:r>
      <w:proofErr w:type="spellStart"/>
      <w:r>
        <w:t>NTC</w:t>
      </w:r>
      <w:proofErr w:type="spellEnd"/>
      <w:r>
        <w:t>)</w:t>
      </w:r>
      <w:r w:rsidRPr="00CF49E8">
        <w:t xml:space="preserve"> </w:t>
      </w:r>
      <w:r>
        <w:t xml:space="preserve">were used </w:t>
      </w:r>
      <w:r w:rsidRPr="000E261A">
        <w:t xml:space="preserve">to derive the </w:t>
      </w:r>
      <w:r w:rsidR="003F527F">
        <w:t>component weights</w:t>
      </w:r>
      <w:r w:rsidRPr="000E261A">
        <w:t xml:space="preserve"> </w:t>
      </w:r>
      <w:r>
        <w:t>of the Roads category and for the urban and rural roads investment assessments</w:t>
      </w:r>
      <w:r w:rsidRPr="000E261A">
        <w:t xml:space="preserve">. </w:t>
      </w:r>
      <w:r>
        <w:fldChar w:fldCharType="begin"/>
      </w:r>
      <w:r>
        <w:instrText xml:space="preserve"> REF _Ref506813274 \h </w:instrText>
      </w:r>
      <w:r>
        <w:fldChar w:fldCharType="separate"/>
      </w:r>
      <w:r w:rsidR="004B3502">
        <w:t xml:space="preserve">Table </w:t>
      </w:r>
      <w:r w:rsidR="004B3502">
        <w:rPr>
          <w:noProof/>
        </w:rPr>
        <w:t>4</w:t>
      </w:r>
      <w:r>
        <w:fldChar w:fldCharType="end"/>
      </w:r>
      <w:r>
        <w:t xml:space="preserve"> shows</w:t>
      </w:r>
      <w:r w:rsidRPr="000E261A">
        <w:t xml:space="preserve"> the </w:t>
      </w:r>
      <w:proofErr w:type="spellStart"/>
      <w:r w:rsidRPr="000E261A">
        <w:t>NTC</w:t>
      </w:r>
      <w:proofErr w:type="spellEnd"/>
      <w:r w:rsidRPr="000E261A">
        <w:t xml:space="preserve"> categories</w:t>
      </w:r>
      <w:r>
        <w:t xml:space="preserve"> and the Australia-wide total reported expenditure for each category in 2016-17</w:t>
      </w:r>
      <w:r w:rsidRPr="000E261A">
        <w:t>.</w:t>
      </w:r>
      <w:r w:rsidRPr="00CF49E8">
        <w:t xml:space="preserve">  </w:t>
      </w:r>
    </w:p>
    <w:p w14:paraId="3C3F063B" w14:textId="77777777" w:rsidR="00143A71" w:rsidRDefault="00143A71" w:rsidP="00143A71">
      <w:pPr>
        <w:pStyle w:val="Caption"/>
      </w:pPr>
      <w:bookmarkStart w:id="36" w:name="_Ref506813274"/>
      <w:r>
        <w:lastRenderedPageBreak/>
        <w:t xml:space="preserve">Table </w:t>
      </w:r>
      <w:fldSimple w:instr=" SEQ Table \* ARABIC ">
        <w:r w:rsidR="004B3502">
          <w:rPr>
            <w:noProof/>
          </w:rPr>
          <w:t>4</w:t>
        </w:r>
      </w:fldSimple>
      <w:bookmarkEnd w:id="36"/>
      <w:r>
        <w:tab/>
      </w:r>
      <w:proofErr w:type="spellStart"/>
      <w:r>
        <w:t>NTC</w:t>
      </w:r>
      <w:proofErr w:type="spellEnd"/>
      <w:r>
        <w:t xml:space="preserve"> expenditure data, 2016-17</w:t>
      </w:r>
    </w:p>
    <w:tbl>
      <w:tblPr>
        <w:tblW w:w="8960" w:type="dxa"/>
        <w:tblInd w:w="93" w:type="dxa"/>
        <w:tblLook w:val="04A0" w:firstRow="1" w:lastRow="0" w:firstColumn="1" w:lastColumn="0" w:noHBand="0" w:noVBand="1"/>
      </w:tblPr>
      <w:tblGrid>
        <w:gridCol w:w="7060"/>
        <w:gridCol w:w="1900"/>
      </w:tblGrid>
      <w:tr w:rsidR="00143A71" w:rsidRPr="0098104E" w14:paraId="7D4325E9" w14:textId="77777777" w:rsidTr="00600B03">
        <w:trPr>
          <w:trHeight w:val="375"/>
        </w:trPr>
        <w:tc>
          <w:tcPr>
            <w:tcW w:w="7060" w:type="dxa"/>
            <w:tcBorders>
              <w:top w:val="single" w:sz="4" w:space="0" w:color="auto"/>
              <w:left w:val="nil"/>
              <w:bottom w:val="single" w:sz="4" w:space="0" w:color="auto"/>
              <w:right w:val="nil"/>
            </w:tcBorders>
            <w:shd w:val="clear" w:color="auto" w:fill="auto"/>
            <w:noWrap/>
            <w:vAlign w:val="bottom"/>
            <w:hideMark/>
          </w:tcPr>
          <w:p w14:paraId="58DEE2A5" w14:textId="77777777" w:rsidR="00143A71" w:rsidRPr="0098104E" w:rsidRDefault="00143A71" w:rsidP="00600B03">
            <w:pPr>
              <w:keepNext/>
              <w:tabs>
                <w:tab w:val="clear" w:pos="567"/>
              </w:tabs>
              <w:spacing w:after="0" w:line="240" w:lineRule="auto"/>
              <w:rPr>
                <w:rFonts w:ascii="Calibri" w:eastAsia="Times New Roman" w:hAnsi="Calibri" w:cs="Times New Roman"/>
                <w:sz w:val="20"/>
                <w:szCs w:val="20"/>
                <w:lang w:eastAsia="en-AU"/>
              </w:rPr>
            </w:pPr>
            <w:bookmarkStart w:id="37" w:name="RANGE!A3:B27"/>
            <w:r w:rsidRPr="0098104E">
              <w:rPr>
                <w:rFonts w:ascii="Calibri" w:eastAsia="Times New Roman" w:hAnsi="Calibri" w:cs="Times New Roman"/>
                <w:sz w:val="20"/>
                <w:szCs w:val="20"/>
                <w:lang w:eastAsia="en-AU"/>
              </w:rPr>
              <w:t> </w:t>
            </w:r>
            <w:bookmarkEnd w:id="37"/>
          </w:p>
        </w:tc>
        <w:tc>
          <w:tcPr>
            <w:tcW w:w="1900" w:type="dxa"/>
            <w:tcBorders>
              <w:top w:val="single" w:sz="4" w:space="0" w:color="auto"/>
              <w:left w:val="nil"/>
              <w:bottom w:val="single" w:sz="4" w:space="0" w:color="auto"/>
              <w:right w:val="nil"/>
            </w:tcBorders>
            <w:shd w:val="clear" w:color="auto" w:fill="auto"/>
            <w:noWrap/>
            <w:vAlign w:val="bottom"/>
            <w:hideMark/>
          </w:tcPr>
          <w:p w14:paraId="79A9AC47"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2016-17</w:t>
            </w:r>
          </w:p>
        </w:tc>
      </w:tr>
      <w:tr w:rsidR="00143A71" w:rsidRPr="0098104E" w14:paraId="6DC58740" w14:textId="77777777" w:rsidTr="00600B03">
        <w:trPr>
          <w:trHeight w:val="259"/>
        </w:trPr>
        <w:tc>
          <w:tcPr>
            <w:tcW w:w="7060" w:type="dxa"/>
            <w:tcBorders>
              <w:top w:val="nil"/>
              <w:left w:val="nil"/>
              <w:bottom w:val="nil"/>
              <w:right w:val="nil"/>
            </w:tcBorders>
            <w:shd w:val="clear" w:color="auto" w:fill="auto"/>
            <w:noWrap/>
            <w:vAlign w:val="bottom"/>
            <w:hideMark/>
          </w:tcPr>
          <w:p w14:paraId="1412613F" w14:textId="77777777" w:rsidR="00143A71" w:rsidRPr="0098104E" w:rsidRDefault="00143A71" w:rsidP="00600B03">
            <w:pPr>
              <w:keepNext/>
              <w:tabs>
                <w:tab w:val="clear" w:pos="567"/>
              </w:tabs>
              <w:spacing w:after="0" w:line="240" w:lineRule="auto"/>
              <w:rPr>
                <w:rFonts w:ascii="Calibri" w:eastAsia="Times New Roman" w:hAnsi="Calibri" w:cs="Times New Roman"/>
                <w:sz w:val="20"/>
                <w:szCs w:val="20"/>
                <w:lang w:eastAsia="en-AU"/>
              </w:rPr>
            </w:pPr>
          </w:p>
        </w:tc>
        <w:tc>
          <w:tcPr>
            <w:tcW w:w="1900" w:type="dxa"/>
            <w:tcBorders>
              <w:top w:val="nil"/>
              <w:left w:val="nil"/>
              <w:bottom w:val="nil"/>
              <w:right w:val="nil"/>
            </w:tcBorders>
            <w:shd w:val="clear" w:color="auto" w:fill="auto"/>
            <w:noWrap/>
            <w:vAlign w:val="bottom"/>
            <w:hideMark/>
          </w:tcPr>
          <w:p w14:paraId="20295C45"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$m</w:t>
            </w:r>
          </w:p>
        </w:tc>
      </w:tr>
      <w:tr w:rsidR="00143A71" w:rsidRPr="0098104E" w14:paraId="57B2E167" w14:textId="77777777" w:rsidTr="00600B03">
        <w:trPr>
          <w:trHeight w:val="315"/>
        </w:trPr>
        <w:tc>
          <w:tcPr>
            <w:tcW w:w="7060" w:type="dxa"/>
            <w:tcBorders>
              <w:top w:val="nil"/>
              <w:left w:val="nil"/>
              <w:bottom w:val="nil"/>
              <w:right w:val="nil"/>
            </w:tcBorders>
            <w:shd w:val="clear" w:color="auto" w:fill="auto"/>
            <w:noWrap/>
            <w:vAlign w:val="bottom"/>
            <w:hideMark/>
          </w:tcPr>
          <w:p w14:paraId="4DE28754" w14:textId="77777777" w:rsidR="00143A71" w:rsidRPr="0098104E" w:rsidRDefault="00143A71" w:rsidP="00600B03">
            <w:pPr>
              <w:keepNext/>
              <w:tabs>
                <w:tab w:val="clear" w:pos="567"/>
              </w:tabs>
              <w:spacing w:after="0" w:line="240" w:lineRule="auto"/>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A: Servicing and operating</w:t>
            </w:r>
          </w:p>
        </w:tc>
        <w:tc>
          <w:tcPr>
            <w:tcW w:w="1900" w:type="dxa"/>
            <w:tcBorders>
              <w:top w:val="nil"/>
              <w:left w:val="nil"/>
              <w:bottom w:val="nil"/>
              <w:right w:val="nil"/>
            </w:tcBorders>
            <w:shd w:val="clear" w:color="auto" w:fill="auto"/>
            <w:noWrap/>
            <w:vAlign w:val="bottom"/>
            <w:hideMark/>
          </w:tcPr>
          <w:p w14:paraId="066E7CB5"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785</w:t>
            </w:r>
          </w:p>
        </w:tc>
      </w:tr>
      <w:tr w:rsidR="00143A71" w:rsidRPr="0098104E" w14:paraId="6C57C5A1" w14:textId="77777777" w:rsidTr="00600B03">
        <w:trPr>
          <w:trHeight w:val="315"/>
        </w:trPr>
        <w:tc>
          <w:tcPr>
            <w:tcW w:w="7060" w:type="dxa"/>
            <w:tcBorders>
              <w:top w:val="nil"/>
              <w:left w:val="nil"/>
              <w:bottom w:val="nil"/>
              <w:right w:val="nil"/>
            </w:tcBorders>
            <w:shd w:val="clear" w:color="auto" w:fill="auto"/>
            <w:noWrap/>
            <w:vAlign w:val="bottom"/>
            <w:hideMark/>
          </w:tcPr>
          <w:p w14:paraId="047E085C" w14:textId="77777777" w:rsidR="00143A71" w:rsidRPr="0098104E" w:rsidRDefault="00143A71" w:rsidP="00600B03">
            <w:pPr>
              <w:keepNext/>
              <w:tabs>
                <w:tab w:val="clear" w:pos="567"/>
              </w:tabs>
              <w:spacing w:after="0" w:line="240" w:lineRule="auto"/>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B: Road pavement and shoulder construction</w:t>
            </w:r>
          </w:p>
        </w:tc>
        <w:tc>
          <w:tcPr>
            <w:tcW w:w="1900" w:type="dxa"/>
            <w:tcBorders>
              <w:top w:val="nil"/>
              <w:left w:val="nil"/>
              <w:bottom w:val="nil"/>
              <w:right w:val="nil"/>
            </w:tcBorders>
            <w:shd w:val="clear" w:color="auto" w:fill="auto"/>
            <w:noWrap/>
            <w:vAlign w:val="bottom"/>
            <w:hideMark/>
          </w:tcPr>
          <w:p w14:paraId="72136006"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p>
        </w:tc>
      </w:tr>
      <w:tr w:rsidR="00143A71" w:rsidRPr="0098104E" w14:paraId="6EF4D352" w14:textId="77777777" w:rsidTr="00600B03">
        <w:trPr>
          <w:trHeight w:val="315"/>
        </w:trPr>
        <w:tc>
          <w:tcPr>
            <w:tcW w:w="7060" w:type="dxa"/>
            <w:tcBorders>
              <w:top w:val="nil"/>
              <w:left w:val="nil"/>
              <w:bottom w:val="nil"/>
              <w:right w:val="nil"/>
            </w:tcBorders>
            <w:shd w:val="clear" w:color="auto" w:fill="auto"/>
            <w:vAlign w:val="bottom"/>
            <w:hideMark/>
          </w:tcPr>
          <w:p w14:paraId="7E45B0A3"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B1: Routine maintenance</w:t>
            </w:r>
          </w:p>
        </w:tc>
        <w:tc>
          <w:tcPr>
            <w:tcW w:w="1900" w:type="dxa"/>
            <w:tcBorders>
              <w:top w:val="nil"/>
              <w:left w:val="nil"/>
              <w:bottom w:val="nil"/>
              <w:right w:val="nil"/>
            </w:tcBorders>
            <w:shd w:val="clear" w:color="auto" w:fill="auto"/>
            <w:vAlign w:val="bottom"/>
            <w:hideMark/>
          </w:tcPr>
          <w:p w14:paraId="529666DB"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690</w:t>
            </w:r>
          </w:p>
        </w:tc>
      </w:tr>
      <w:tr w:rsidR="00143A71" w:rsidRPr="0098104E" w14:paraId="3E02F0C0" w14:textId="77777777" w:rsidTr="00600B03">
        <w:trPr>
          <w:trHeight w:val="315"/>
        </w:trPr>
        <w:tc>
          <w:tcPr>
            <w:tcW w:w="7060" w:type="dxa"/>
            <w:tcBorders>
              <w:top w:val="nil"/>
              <w:left w:val="nil"/>
              <w:bottom w:val="nil"/>
              <w:right w:val="nil"/>
            </w:tcBorders>
            <w:shd w:val="clear" w:color="auto" w:fill="auto"/>
            <w:vAlign w:val="bottom"/>
            <w:hideMark/>
          </w:tcPr>
          <w:p w14:paraId="415BE2FB"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B2: Periodic surface maintenance</w:t>
            </w:r>
          </w:p>
        </w:tc>
        <w:tc>
          <w:tcPr>
            <w:tcW w:w="1900" w:type="dxa"/>
            <w:tcBorders>
              <w:top w:val="nil"/>
              <w:left w:val="nil"/>
              <w:bottom w:val="nil"/>
              <w:right w:val="nil"/>
            </w:tcBorders>
            <w:shd w:val="clear" w:color="auto" w:fill="auto"/>
            <w:vAlign w:val="bottom"/>
            <w:hideMark/>
          </w:tcPr>
          <w:p w14:paraId="7D1F8A20"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584</w:t>
            </w:r>
          </w:p>
        </w:tc>
      </w:tr>
      <w:tr w:rsidR="00143A71" w:rsidRPr="0098104E" w14:paraId="28F28C6F" w14:textId="77777777" w:rsidTr="00600B03">
        <w:trPr>
          <w:trHeight w:val="315"/>
        </w:trPr>
        <w:tc>
          <w:tcPr>
            <w:tcW w:w="7060" w:type="dxa"/>
            <w:tcBorders>
              <w:top w:val="nil"/>
              <w:left w:val="nil"/>
              <w:bottom w:val="nil"/>
              <w:right w:val="nil"/>
            </w:tcBorders>
            <w:shd w:val="clear" w:color="auto" w:fill="auto"/>
            <w:noWrap/>
            <w:vAlign w:val="bottom"/>
            <w:hideMark/>
          </w:tcPr>
          <w:p w14:paraId="11DACACC" w14:textId="77777777" w:rsidR="00143A71" w:rsidRPr="0098104E" w:rsidRDefault="00143A71" w:rsidP="00600B03">
            <w:pPr>
              <w:keepNext/>
              <w:tabs>
                <w:tab w:val="clear" w:pos="567"/>
              </w:tabs>
              <w:spacing w:after="0" w:line="240" w:lineRule="auto"/>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C: Bridge maintenance/rehab</w:t>
            </w:r>
          </w:p>
        </w:tc>
        <w:tc>
          <w:tcPr>
            <w:tcW w:w="1900" w:type="dxa"/>
            <w:tcBorders>
              <w:top w:val="nil"/>
              <w:left w:val="nil"/>
              <w:bottom w:val="nil"/>
              <w:right w:val="nil"/>
            </w:tcBorders>
            <w:shd w:val="clear" w:color="auto" w:fill="auto"/>
            <w:noWrap/>
            <w:vAlign w:val="bottom"/>
            <w:hideMark/>
          </w:tcPr>
          <w:p w14:paraId="11A2ADCF"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284</w:t>
            </w:r>
          </w:p>
        </w:tc>
      </w:tr>
      <w:tr w:rsidR="00143A71" w:rsidRPr="0098104E" w14:paraId="6B724DDC" w14:textId="77777777" w:rsidTr="00600B03">
        <w:trPr>
          <w:trHeight w:val="315"/>
        </w:trPr>
        <w:tc>
          <w:tcPr>
            <w:tcW w:w="7060" w:type="dxa"/>
            <w:tcBorders>
              <w:top w:val="nil"/>
              <w:left w:val="nil"/>
              <w:bottom w:val="nil"/>
              <w:right w:val="nil"/>
            </w:tcBorders>
            <w:shd w:val="clear" w:color="auto" w:fill="auto"/>
            <w:noWrap/>
            <w:vAlign w:val="bottom"/>
            <w:hideMark/>
          </w:tcPr>
          <w:p w14:paraId="7C023492" w14:textId="28899AAD" w:rsidR="00143A71" w:rsidRPr="0098104E" w:rsidRDefault="006A19D8" w:rsidP="00600B03">
            <w:pPr>
              <w:keepNext/>
              <w:tabs>
                <w:tab w:val="clear" w:pos="567"/>
              </w:tabs>
              <w:spacing w:after="0" w:line="240" w:lineRule="auto"/>
              <w:rPr>
                <w:rFonts w:ascii="Calibri" w:eastAsia="Times New Roman" w:hAnsi="Calibri" w:cs="Times New Roman"/>
                <w:sz w:val="20"/>
                <w:szCs w:val="20"/>
                <w:lang w:eastAsia="en-AU"/>
              </w:rPr>
            </w:pPr>
            <w:r>
              <w:rPr>
                <w:rFonts w:ascii="Calibri" w:eastAsia="Times New Roman" w:hAnsi="Calibri" w:cs="Times New Roman"/>
                <w:sz w:val="20"/>
                <w:szCs w:val="20"/>
                <w:lang w:eastAsia="en-AU"/>
              </w:rPr>
              <w:t>D: Road r</w:t>
            </w:r>
            <w:r w:rsidR="00143A71" w:rsidRPr="0098104E">
              <w:rPr>
                <w:rFonts w:ascii="Calibri" w:eastAsia="Times New Roman" w:hAnsi="Calibri" w:cs="Times New Roman"/>
                <w:sz w:val="20"/>
                <w:szCs w:val="20"/>
                <w:lang w:eastAsia="en-AU"/>
              </w:rPr>
              <w:t>ehabilitation</w:t>
            </w:r>
          </w:p>
        </w:tc>
        <w:tc>
          <w:tcPr>
            <w:tcW w:w="1900" w:type="dxa"/>
            <w:tcBorders>
              <w:top w:val="nil"/>
              <w:left w:val="nil"/>
              <w:bottom w:val="nil"/>
              <w:right w:val="nil"/>
            </w:tcBorders>
            <w:shd w:val="clear" w:color="auto" w:fill="auto"/>
            <w:noWrap/>
            <w:vAlign w:val="bottom"/>
            <w:hideMark/>
          </w:tcPr>
          <w:p w14:paraId="7BA7B25B"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911</w:t>
            </w:r>
          </w:p>
        </w:tc>
      </w:tr>
      <w:tr w:rsidR="00143A71" w:rsidRPr="0098104E" w14:paraId="16A9E14C" w14:textId="77777777" w:rsidTr="00600B03">
        <w:trPr>
          <w:trHeight w:val="315"/>
        </w:trPr>
        <w:tc>
          <w:tcPr>
            <w:tcW w:w="7060" w:type="dxa"/>
            <w:tcBorders>
              <w:top w:val="nil"/>
              <w:left w:val="nil"/>
              <w:bottom w:val="nil"/>
              <w:right w:val="nil"/>
            </w:tcBorders>
            <w:shd w:val="clear" w:color="auto" w:fill="auto"/>
            <w:noWrap/>
            <w:vAlign w:val="bottom"/>
            <w:hideMark/>
          </w:tcPr>
          <w:p w14:paraId="1B21D40E" w14:textId="77777777" w:rsidR="00143A71" w:rsidRPr="0098104E" w:rsidRDefault="00143A71" w:rsidP="00600B03">
            <w:pPr>
              <w:keepNext/>
              <w:tabs>
                <w:tab w:val="clear" w:pos="567"/>
              </w:tabs>
              <w:spacing w:after="0" w:line="240" w:lineRule="auto"/>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E: Low-cost safety/traffic</w:t>
            </w:r>
          </w:p>
        </w:tc>
        <w:tc>
          <w:tcPr>
            <w:tcW w:w="1900" w:type="dxa"/>
            <w:tcBorders>
              <w:top w:val="nil"/>
              <w:left w:val="nil"/>
              <w:bottom w:val="nil"/>
              <w:right w:val="nil"/>
            </w:tcBorders>
            <w:shd w:val="clear" w:color="auto" w:fill="auto"/>
            <w:noWrap/>
            <w:vAlign w:val="bottom"/>
            <w:hideMark/>
          </w:tcPr>
          <w:p w14:paraId="7BD0DC8C"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1 197</w:t>
            </w:r>
          </w:p>
        </w:tc>
      </w:tr>
      <w:tr w:rsidR="00143A71" w:rsidRPr="0098104E" w14:paraId="14CBF315" w14:textId="77777777" w:rsidTr="00600B03">
        <w:trPr>
          <w:trHeight w:val="315"/>
        </w:trPr>
        <w:tc>
          <w:tcPr>
            <w:tcW w:w="7060" w:type="dxa"/>
            <w:tcBorders>
              <w:top w:val="nil"/>
              <w:left w:val="nil"/>
              <w:bottom w:val="nil"/>
              <w:right w:val="nil"/>
            </w:tcBorders>
            <w:shd w:val="clear" w:color="auto" w:fill="auto"/>
            <w:noWrap/>
            <w:vAlign w:val="bottom"/>
            <w:hideMark/>
          </w:tcPr>
          <w:p w14:paraId="0E34CC98" w14:textId="4DC59B91" w:rsidR="00143A71" w:rsidRPr="0098104E" w:rsidRDefault="00143A71" w:rsidP="005256ED">
            <w:pPr>
              <w:keepNext/>
              <w:tabs>
                <w:tab w:val="clear" w:pos="567"/>
              </w:tabs>
              <w:spacing w:after="0" w:line="240" w:lineRule="auto"/>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F: Asset extension/improvements</w:t>
            </w:r>
          </w:p>
        </w:tc>
        <w:tc>
          <w:tcPr>
            <w:tcW w:w="1900" w:type="dxa"/>
            <w:tcBorders>
              <w:top w:val="nil"/>
              <w:left w:val="nil"/>
              <w:bottom w:val="nil"/>
              <w:right w:val="nil"/>
            </w:tcBorders>
            <w:shd w:val="clear" w:color="auto" w:fill="auto"/>
            <w:noWrap/>
            <w:vAlign w:val="bottom"/>
            <w:hideMark/>
          </w:tcPr>
          <w:p w14:paraId="1A99AE99"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p>
        </w:tc>
      </w:tr>
      <w:tr w:rsidR="00143A71" w:rsidRPr="0098104E" w14:paraId="450652CD" w14:textId="77777777" w:rsidTr="00600B03">
        <w:trPr>
          <w:trHeight w:val="315"/>
        </w:trPr>
        <w:tc>
          <w:tcPr>
            <w:tcW w:w="7060" w:type="dxa"/>
            <w:tcBorders>
              <w:top w:val="nil"/>
              <w:left w:val="nil"/>
              <w:bottom w:val="nil"/>
              <w:right w:val="nil"/>
            </w:tcBorders>
            <w:shd w:val="clear" w:color="auto" w:fill="auto"/>
            <w:vAlign w:val="bottom"/>
            <w:hideMark/>
          </w:tcPr>
          <w:p w14:paraId="6F393BC0"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F1: Pavement improvements</w:t>
            </w:r>
          </w:p>
        </w:tc>
        <w:tc>
          <w:tcPr>
            <w:tcW w:w="1900" w:type="dxa"/>
            <w:tcBorders>
              <w:top w:val="nil"/>
              <w:left w:val="nil"/>
              <w:bottom w:val="nil"/>
              <w:right w:val="nil"/>
            </w:tcBorders>
            <w:shd w:val="clear" w:color="auto" w:fill="auto"/>
            <w:vAlign w:val="bottom"/>
            <w:hideMark/>
          </w:tcPr>
          <w:p w14:paraId="01B62DC3"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2 006</w:t>
            </w:r>
          </w:p>
        </w:tc>
      </w:tr>
      <w:tr w:rsidR="00143A71" w:rsidRPr="0098104E" w14:paraId="5851BAFA" w14:textId="77777777" w:rsidTr="00600B03">
        <w:trPr>
          <w:trHeight w:val="315"/>
        </w:trPr>
        <w:tc>
          <w:tcPr>
            <w:tcW w:w="7060" w:type="dxa"/>
            <w:tcBorders>
              <w:top w:val="nil"/>
              <w:left w:val="nil"/>
              <w:bottom w:val="nil"/>
              <w:right w:val="nil"/>
            </w:tcBorders>
            <w:shd w:val="clear" w:color="auto" w:fill="auto"/>
            <w:vAlign w:val="bottom"/>
            <w:hideMark/>
          </w:tcPr>
          <w:p w14:paraId="1EA36ED3"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F2: Bridge improvements</w:t>
            </w:r>
          </w:p>
        </w:tc>
        <w:tc>
          <w:tcPr>
            <w:tcW w:w="1900" w:type="dxa"/>
            <w:tcBorders>
              <w:top w:val="nil"/>
              <w:left w:val="nil"/>
              <w:bottom w:val="nil"/>
              <w:right w:val="nil"/>
            </w:tcBorders>
            <w:shd w:val="clear" w:color="auto" w:fill="auto"/>
            <w:vAlign w:val="bottom"/>
            <w:hideMark/>
          </w:tcPr>
          <w:p w14:paraId="7EDF51CA"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1 029</w:t>
            </w:r>
          </w:p>
        </w:tc>
      </w:tr>
      <w:tr w:rsidR="00143A71" w:rsidRPr="0098104E" w14:paraId="7C966921" w14:textId="77777777" w:rsidTr="00600B03">
        <w:trPr>
          <w:trHeight w:val="315"/>
        </w:trPr>
        <w:tc>
          <w:tcPr>
            <w:tcW w:w="7060" w:type="dxa"/>
            <w:tcBorders>
              <w:top w:val="nil"/>
              <w:left w:val="nil"/>
              <w:bottom w:val="nil"/>
              <w:right w:val="nil"/>
            </w:tcBorders>
            <w:shd w:val="clear" w:color="auto" w:fill="auto"/>
            <w:vAlign w:val="bottom"/>
            <w:hideMark/>
          </w:tcPr>
          <w:p w14:paraId="527EE7C1"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F3: Land acquisition, earthworks, other</w:t>
            </w:r>
            <w:r>
              <w:rPr>
                <w:rFonts w:ascii="Calibri" w:eastAsia="Times New Roman" w:hAnsi="Calibri" w:cs="Times New Roman"/>
                <w:sz w:val="20"/>
                <w:szCs w:val="20"/>
                <w:lang w:eastAsia="en-AU"/>
              </w:rPr>
              <w:t xml:space="preserve"> extensions/improvement expenditure</w:t>
            </w:r>
          </w:p>
        </w:tc>
        <w:tc>
          <w:tcPr>
            <w:tcW w:w="1900" w:type="dxa"/>
            <w:tcBorders>
              <w:top w:val="nil"/>
              <w:left w:val="nil"/>
              <w:bottom w:val="nil"/>
              <w:right w:val="nil"/>
            </w:tcBorders>
            <w:shd w:val="clear" w:color="auto" w:fill="auto"/>
            <w:vAlign w:val="bottom"/>
            <w:hideMark/>
          </w:tcPr>
          <w:p w14:paraId="698DB645"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4 093</w:t>
            </w:r>
          </w:p>
        </w:tc>
      </w:tr>
      <w:tr w:rsidR="00143A71" w:rsidRPr="0098104E" w14:paraId="1E4FAD1A" w14:textId="77777777" w:rsidTr="00600B03">
        <w:trPr>
          <w:trHeight w:val="315"/>
        </w:trPr>
        <w:tc>
          <w:tcPr>
            <w:tcW w:w="7060" w:type="dxa"/>
            <w:tcBorders>
              <w:top w:val="nil"/>
              <w:left w:val="nil"/>
              <w:bottom w:val="nil"/>
              <w:right w:val="nil"/>
            </w:tcBorders>
            <w:shd w:val="clear" w:color="auto" w:fill="auto"/>
            <w:vAlign w:val="bottom"/>
            <w:hideMark/>
          </w:tcPr>
          <w:p w14:paraId="314BFEB1" w14:textId="77777777" w:rsidR="00143A71" w:rsidRPr="0098104E" w:rsidRDefault="00143A71" w:rsidP="00600B03">
            <w:pPr>
              <w:keepNext/>
              <w:tabs>
                <w:tab w:val="clear" w:pos="567"/>
              </w:tabs>
              <w:spacing w:after="0" w:line="240" w:lineRule="auto"/>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G: Other miscellaneous activities</w:t>
            </w:r>
          </w:p>
        </w:tc>
        <w:tc>
          <w:tcPr>
            <w:tcW w:w="1900" w:type="dxa"/>
            <w:tcBorders>
              <w:top w:val="nil"/>
              <w:left w:val="nil"/>
              <w:bottom w:val="nil"/>
              <w:right w:val="nil"/>
            </w:tcBorders>
            <w:shd w:val="clear" w:color="auto" w:fill="auto"/>
            <w:vAlign w:val="bottom"/>
            <w:hideMark/>
          </w:tcPr>
          <w:p w14:paraId="4B768EC3"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p>
        </w:tc>
      </w:tr>
      <w:tr w:rsidR="00143A71" w:rsidRPr="0098104E" w14:paraId="1B83F2F7" w14:textId="77777777" w:rsidTr="00600B03">
        <w:trPr>
          <w:trHeight w:val="315"/>
        </w:trPr>
        <w:tc>
          <w:tcPr>
            <w:tcW w:w="7060" w:type="dxa"/>
            <w:tcBorders>
              <w:top w:val="nil"/>
              <w:left w:val="nil"/>
              <w:bottom w:val="nil"/>
              <w:right w:val="nil"/>
            </w:tcBorders>
            <w:shd w:val="clear" w:color="auto" w:fill="auto"/>
            <w:vAlign w:val="bottom"/>
            <w:hideMark/>
          </w:tcPr>
          <w:p w14:paraId="71B08540"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G1: Corporate services</w:t>
            </w:r>
          </w:p>
        </w:tc>
        <w:tc>
          <w:tcPr>
            <w:tcW w:w="1900" w:type="dxa"/>
            <w:tcBorders>
              <w:top w:val="nil"/>
              <w:left w:val="nil"/>
              <w:bottom w:val="nil"/>
              <w:right w:val="nil"/>
            </w:tcBorders>
            <w:shd w:val="clear" w:color="auto" w:fill="auto"/>
            <w:vAlign w:val="bottom"/>
            <w:hideMark/>
          </w:tcPr>
          <w:p w14:paraId="1BF4DB0B"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 xml:space="preserve">  709</w:t>
            </w:r>
          </w:p>
        </w:tc>
      </w:tr>
      <w:tr w:rsidR="00143A71" w:rsidRPr="0098104E" w14:paraId="02D62A5B" w14:textId="77777777" w:rsidTr="00600B03">
        <w:trPr>
          <w:trHeight w:val="315"/>
        </w:trPr>
        <w:tc>
          <w:tcPr>
            <w:tcW w:w="7060" w:type="dxa"/>
            <w:tcBorders>
              <w:top w:val="nil"/>
              <w:left w:val="nil"/>
              <w:bottom w:val="nil"/>
              <w:right w:val="nil"/>
            </w:tcBorders>
            <w:shd w:val="clear" w:color="auto" w:fill="auto"/>
            <w:vAlign w:val="bottom"/>
            <w:hideMark/>
          </w:tcPr>
          <w:p w14:paraId="300CA986" w14:textId="5A569449" w:rsidR="00143A71" w:rsidRPr="0098104E" w:rsidRDefault="006A19D8"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Pr>
                <w:rFonts w:ascii="Calibri" w:eastAsia="Times New Roman" w:hAnsi="Calibri" w:cs="Times New Roman"/>
                <w:sz w:val="20"/>
                <w:szCs w:val="20"/>
                <w:lang w:eastAsia="en-AU"/>
              </w:rPr>
              <w:t>G2: Enforcement of h</w:t>
            </w:r>
            <w:r w:rsidR="00143A71">
              <w:rPr>
                <w:rFonts w:ascii="Calibri" w:eastAsia="Times New Roman" w:hAnsi="Calibri" w:cs="Times New Roman"/>
                <w:sz w:val="20"/>
                <w:szCs w:val="20"/>
                <w:lang w:eastAsia="en-AU"/>
              </w:rPr>
              <w:t xml:space="preserve">eavy </w:t>
            </w:r>
            <w:r>
              <w:rPr>
                <w:rFonts w:ascii="Calibri" w:eastAsia="Times New Roman" w:hAnsi="Calibri" w:cs="Times New Roman"/>
                <w:sz w:val="20"/>
                <w:szCs w:val="20"/>
                <w:lang w:eastAsia="en-AU"/>
              </w:rPr>
              <w:t>v</w:t>
            </w:r>
            <w:r w:rsidR="00143A71">
              <w:rPr>
                <w:rFonts w:ascii="Calibri" w:eastAsia="Times New Roman" w:hAnsi="Calibri" w:cs="Times New Roman"/>
                <w:sz w:val="20"/>
                <w:szCs w:val="20"/>
                <w:lang w:eastAsia="en-AU"/>
              </w:rPr>
              <w:t>ehicle</w:t>
            </w:r>
            <w:r w:rsidR="00143A71" w:rsidRPr="0098104E">
              <w:rPr>
                <w:rFonts w:ascii="Calibri" w:eastAsia="Times New Roman" w:hAnsi="Calibri" w:cs="Times New Roman"/>
                <w:sz w:val="20"/>
                <w:szCs w:val="20"/>
                <w:lang w:eastAsia="en-AU"/>
              </w:rPr>
              <w:t xml:space="preserve"> reg</w:t>
            </w:r>
            <w:r w:rsidR="00143A71">
              <w:rPr>
                <w:rFonts w:ascii="Calibri" w:eastAsia="Times New Roman" w:hAnsi="Calibri" w:cs="Times New Roman"/>
                <w:sz w:val="20"/>
                <w:szCs w:val="20"/>
                <w:lang w:eastAsia="en-AU"/>
              </w:rPr>
              <w:t>ulatory costs</w:t>
            </w:r>
          </w:p>
        </w:tc>
        <w:tc>
          <w:tcPr>
            <w:tcW w:w="1900" w:type="dxa"/>
            <w:tcBorders>
              <w:top w:val="nil"/>
              <w:left w:val="nil"/>
              <w:bottom w:val="nil"/>
              <w:right w:val="nil"/>
            </w:tcBorders>
            <w:shd w:val="clear" w:color="auto" w:fill="auto"/>
            <w:vAlign w:val="bottom"/>
            <w:hideMark/>
          </w:tcPr>
          <w:p w14:paraId="70D05191"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 xml:space="preserve">  169</w:t>
            </w:r>
          </w:p>
        </w:tc>
      </w:tr>
      <w:tr w:rsidR="00143A71" w:rsidRPr="0098104E" w14:paraId="0ACD38C4" w14:textId="77777777" w:rsidTr="00600B03">
        <w:trPr>
          <w:trHeight w:val="315"/>
        </w:trPr>
        <w:tc>
          <w:tcPr>
            <w:tcW w:w="7060" w:type="dxa"/>
            <w:tcBorders>
              <w:top w:val="nil"/>
              <w:left w:val="nil"/>
              <w:bottom w:val="nil"/>
              <w:right w:val="nil"/>
            </w:tcBorders>
            <w:shd w:val="clear" w:color="auto" w:fill="auto"/>
            <w:vAlign w:val="bottom"/>
            <w:hideMark/>
          </w:tcPr>
          <w:p w14:paraId="6D239024"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G3: Vehicle registration</w:t>
            </w:r>
          </w:p>
        </w:tc>
        <w:tc>
          <w:tcPr>
            <w:tcW w:w="1900" w:type="dxa"/>
            <w:tcBorders>
              <w:top w:val="nil"/>
              <w:left w:val="nil"/>
              <w:bottom w:val="nil"/>
              <w:right w:val="nil"/>
            </w:tcBorders>
            <w:shd w:val="clear" w:color="auto" w:fill="auto"/>
            <w:vAlign w:val="bottom"/>
            <w:hideMark/>
          </w:tcPr>
          <w:p w14:paraId="085D9FEF"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 xml:space="preserve">  339</w:t>
            </w:r>
          </w:p>
        </w:tc>
      </w:tr>
      <w:tr w:rsidR="00143A71" w:rsidRPr="0098104E" w14:paraId="4C8600D8" w14:textId="77777777" w:rsidTr="00600B03">
        <w:trPr>
          <w:trHeight w:val="315"/>
        </w:trPr>
        <w:tc>
          <w:tcPr>
            <w:tcW w:w="7060" w:type="dxa"/>
            <w:tcBorders>
              <w:top w:val="nil"/>
              <w:left w:val="nil"/>
              <w:bottom w:val="nil"/>
              <w:right w:val="nil"/>
            </w:tcBorders>
            <w:shd w:val="clear" w:color="auto" w:fill="auto"/>
            <w:vAlign w:val="bottom"/>
            <w:hideMark/>
          </w:tcPr>
          <w:p w14:paraId="7E077FBB"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G4: Driver licensing</w:t>
            </w:r>
          </w:p>
        </w:tc>
        <w:tc>
          <w:tcPr>
            <w:tcW w:w="1900" w:type="dxa"/>
            <w:tcBorders>
              <w:top w:val="nil"/>
              <w:left w:val="nil"/>
              <w:bottom w:val="nil"/>
              <w:right w:val="nil"/>
            </w:tcBorders>
            <w:shd w:val="clear" w:color="auto" w:fill="auto"/>
            <w:vAlign w:val="bottom"/>
            <w:hideMark/>
          </w:tcPr>
          <w:p w14:paraId="00BC228C"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 xml:space="preserve">  197</w:t>
            </w:r>
          </w:p>
        </w:tc>
      </w:tr>
      <w:tr w:rsidR="00143A71" w:rsidRPr="0098104E" w14:paraId="2A190D38" w14:textId="77777777" w:rsidTr="00600B03">
        <w:trPr>
          <w:trHeight w:val="315"/>
        </w:trPr>
        <w:tc>
          <w:tcPr>
            <w:tcW w:w="7060" w:type="dxa"/>
            <w:tcBorders>
              <w:top w:val="nil"/>
              <w:left w:val="nil"/>
              <w:bottom w:val="nil"/>
              <w:right w:val="nil"/>
            </w:tcBorders>
            <w:shd w:val="clear" w:color="auto" w:fill="auto"/>
            <w:vAlign w:val="bottom"/>
            <w:hideMark/>
          </w:tcPr>
          <w:p w14:paraId="4BDB29D9"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G5: Loan servicing</w:t>
            </w:r>
          </w:p>
        </w:tc>
        <w:tc>
          <w:tcPr>
            <w:tcW w:w="1900" w:type="dxa"/>
            <w:tcBorders>
              <w:top w:val="nil"/>
              <w:left w:val="nil"/>
              <w:bottom w:val="nil"/>
              <w:right w:val="nil"/>
            </w:tcBorders>
            <w:shd w:val="clear" w:color="auto" w:fill="auto"/>
            <w:vAlign w:val="bottom"/>
            <w:hideMark/>
          </w:tcPr>
          <w:p w14:paraId="31E144CC"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 xml:space="preserve">  42</w:t>
            </w:r>
          </w:p>
        </w:tc>
      </w:tr>
      <w:tr w:rsidR="00143A71" w:rsidRPr="0098104E" w14:paraId="4A6360A8" w14:textId="77777777" w:rsidTr="00600B03">
        <w:trPr>
          <w:trHeight w:val="315"/>
        </w:trPr>
        <w:tc>
          <w:tcPr>
            <w:tcW w:w="7060" w:type="dxa"/>
            <w:tcBorders>
              <w:top w:val="nil"/>
              <w:left w:val="nil"/>
              <w:bottom w:val="nil"/>
              <w:right w:val="nil"/>
            </w:tcBorders>
            <w:shd w:val="clear" w:color="auto" w:fill="auto"/>
            <w:vAlign w:val="bottom"/>
            <w:hideMark/>
          </w:tcPr>
          <w:p w14:paraId="1E1CDF48" w14:textId="77777777" w:rsidR="00143A71" w:rsidRPr="0098104E" w:rsidRDefault="00143A71" w:rsidP="00600B03">
            <w:pPr>
              <w:keepNext/>
              <w:tabs>
                <w:tab w:val="clear" w:pos="567"/>
              </w:tabs>
              <w:spacing w:after="0" w:line="240" w:lineRule="auto"/>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H: Other road-related payments</w:t>
            </w:r>
          </w:p>
        </w:tc>
        <w:tc>
          <w:tcPr>
            <w:tcW w:w="1900" w:type="dxa"/>
            <w:tcBorders>
              <w:top w:val="nil"/>
              <w:left w:val="nil"/>
              <w:bottom w:val="nil"/>
              <w:right w:val="nil"/>
            </w:tcBorders>
            <w:shd w:val="clear" w:color="auto" w:fill="auto"/>
            <w:vAlign w:val="bottom"/>
            <w:hideMark/>
          </w:tcPr>
          <w:p w14:paraId="54AEA100"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p>
        </w:tc>
      </w:tr>
      <w:tr w:rsidR="00143A71" w:rsidRPr="0098104E" w14:paraId="3D37F05D" w14:textId="77777777" w:rsidTr="00600B03">
        <w:trPr>
          <w:trHeight w:val="315"/>
        </w:trPr>
        <w:tc>
          <w:tcPr>
            <w:tcW w:w="7060" w:type="dxa"/>
            <w:tcBorders>
              <w:top w:val="nil"/>
              <w:left w:val="nil"/>
              <w:bottom w:val="nil"/>
              <w:right w:val="nil"/>
            </w:tcBorders>
            <w:shd w:val="clear" w:color="auto" w:fill="auto"/>
            <w:vAlign w:val="bottom"/>
            <w:hideMark/>
          </w:tcPr>
          <w:p w14:paraId="617FD6D5" w14:textId="3971AA51" w:rsidR="00143A71" w:rsidRPr="0098104E" w:rsidRDefault="00143A71" w:rsidP="00A0542F">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H1: Financial assistance</w:t>
            </w:r>
            <w:r w:rsidR="004614F2">
              <w:rPr>
                <w:rFonts w:ascii="Calibri" w:eastAsia="Times New Roman" w:hAnsi="Calibri" w:cs="Times New Roman"/>
                <w:sz w:val="20"/>
                <w:szCs w:val="20"/>
                <w:lang w:eastAsia="en-AU"/>
              </w:rPr>
              <w:t xml:space="preserve"> to c</w:t>
            </w:r>
            <w:r w:rsidRPr="0098104E">
              <w:rPr>
                <w:rFonts w:ascii="Calibri" w:eastAsia="Times New Roman" w:hAnsi="Calibri" w:cs="Times New Roman"/>
                <w:sz w:val="20"/>
                <w:szCs w:val="20"/>
                <w:lang w:eastAsia="en-AU"/>
              </w:rPr>
              <w:t>ouncils for work on council managed arterials (</w:t>
            </w:r>
            <w:r w:rsidR="00A0542F">
              <w:rPr>
                <w:rFonts w:ascii="Calibri" w:eastAsia="Times New Roman" w:hAnsi="Calibri" w:cs="Times New Roman"/>
                <w:sz w:val="20"/>
                <w:szCs w:val="20"/>
                <w:lang w:eastAsia="en-AU"/>
              </w:rPr>
              <w:t>a</w:t>
            </w:r>
            <w:r w:rsidRPr="0098104E">
              <w:rPr>
                <w:rFonts w:ascii="Calibri" w:eastAsia="Times New Roman" w:hAnsi="Calibri" w:cs="Times New Roman"/>
                <w:sz w:val="20"/>
                <w:szCs w:val="20"/>
                <w:lang w:eastAsia="en-AU"/>
              </w:rPr>
              <w:t>)</w:t>
            </w:r>
          </w:p>
        </w:tc>
        <w:tc>
          <w:tcPr>
            <w:tcW w:w="1900" w:type="dxa"/>
            <w:tcBorders>
              <w:top w:val="nil"/>
              <w:left w:val="nil"/>
              <w:bottom w:val="nil"/>
              <w:right w:val="nil"/>
            </w:tcBorders>
            <w:shd w:val="clear" w:color="auto" w:fill="auto"/>
            <w:vAlign w:val="bottom"/>
            <w:hideMark/>
          </w:tcPr>
          <w:p w14:paraId="0061A65D"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447</w:t>
            </w:r>
          </w:p>
        </w:tc>
      </w:tr>
      <w:tr w:rsidR="00143A71" w:rsidRPr="0098104E" w14:paraId="158E6EA6" w14:textId="77777777" w:rsidTr="00600B03">
        <w:trPr>
          <w:trHeight w:val="315"/>
        </w:trPr>
        <w:tc>
          <w:tcPr>
            <w:tcW w:w="7060" w:type="dxa"/>
            <w:tcBorders>
              <w:top w:val="nil"/>
              <w:left w:val="nil"/>
              <w:bottom w:val="nil"/>
              <w:right w:val="nil"/>
            </w:tcBorders>
            <w:shd w:val="clear" w:color="auto" w:fill="auto"/>
            <w:vAlign w:val="bottom"/>
            <w:hideMark/>
          </w:tcPr>
          <w:p w14:paraId="260CEA91" w14:textId="770CB10E" w:rsidR="00143A71" w:rsidRPr="0098104E" w:rsidRDefault="00143A71" w:rsidP="00A0542F">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H2: Payments to councils for contract work on State managed roads (</w:t>
            </w:r>
            <w:r w:rsidR="00A0542F">
              <w:rPr>
                <w:rFonts w:ascii="Calibri" w:eastAsia="Times New Roman" w:hAnsi="Calibri" w:cs="Times New Roman"/>
                <w:sz w:val="20"/>
                <w:szCs w:val="20"/>
                <w:lang w:eastAsia="en-AU"/>
              </w:rPr>
              <w:t>a</w:t>
            </w:r>
            <w:r w:rsidRPr="0098104E">
              <w:rPr>
                <w:rFonts w:ascii="Calibri" w:eastAsia="Times New Roman" w:hAnsi="Calibri" w:cs="Times New Roman"/>
                <w:sz w:val="20"/>
                <w:szCs w:val="20"/>
                <w:lang w:eastAsia="en-AU"/>
              </w:rPr>
              <w:t>)</w:t>
            </w:r>
          </w:p>
        </w:tc>
        <w:tc>
          <w:tcPr>
            <w:tcW w:w="1900" w:type="dxa"/>
            <w:tcBorders>
              <w:top w:val="nil"/>
              <w:left w:val="nil"/>
              <w:bottom w:val="nil"/>
              <w:right w:val="nil"/>
            </w:tcBorders>
            <w:shd w:val="clear" w:color="auto" w:fill="auto"/>
            <w:vAlign w:val="bottom"/>
            <w:hideMark/>
          </w:tcPr>
          <w:p w14:paraId="588F892D"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474</w:t>
            </w:r>
          </w:p>
        </w:tc>
      </w:tr>
      <w:tr w:rsidR="00143A71" w:rsidRPr="0098104E" w14:paraId="09C78CC9" w14:textId="77777777" w:rsidTr="00600B03">
        <w:trPr>
          <w:trHeight w:val="315"/>
        </w:trPr>
        <w:tc>
          <w:tcPr>
            <w:tcW w:w="7060" w:type="dxa"/>
            <w:tcBorders>
              <w:top w:val="nil"/>
              <w:left w:val="nil"/>
              <w:bottom w:val="nil"/>
              <w:right w:val="nil"/>
            </w:tcBorders>
            <w:shd w:val="clear" w:color="auto" w:fill="auto"/>
            <w:vAlign w:val="bottom"/>
            <w:hideMark/>
          </w:tcPr>
          <w:p w14:paraId="14378DFB"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H3: Spending on local access roads in unincorporated areas</w:t>
            </w:r>
          </w:p>
        </w:tc>
        <w:tc>
          <w:tcPr>
            <w:tcW w:w="1900" w:type="dxa"/>
            <w:tcBorders>
              <w:top w:val="nil"/>
              <w:left w:val="nil"/>
              <w:bottom w:val="nil"/>
              <w:right w:val="nil"/>
            </w:tcBorders>
            <w:shd w:val="clear" w:color="auto" w:fill="auto"/>
            <w:vAlign w:val="bottom"/>
            <w:hideMark/>
          </w:tcPr>
          <w:p w14:paraId="324E8816"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 xml:space="preserve">  15</w:t>
            </w:r>
          </w:p>
        </w:tc>
      </w:tr>
      <w:tr w:rsidR="00143A71" w:rsidRPr="0098104E" w14:paraId="224405EC" w14:textId="77777777" w:rsidTr="00600B03">
        <w:trPr>
          <w:trHeight w:val="315"/>
        </w:trPr>
        <w:tc>
          <w:tcPr>
            <w:tcW w:w="7060" w:type="dxa"/>
            <w:tcBorders>
              <w:top w:val="nil"/>
              <w:left w:val="nil"/>
              <w:bottom w:val="nil"/>
              <w:right w:val="nil"/>
            </w:tcBorders>
            <w:shd w:val="clear" w:color="auto" w:fill="auto"/>
            <w:vAlign w:val="bottom"/>
            <w:hideMark/>
          </w:tcPr>
          <w:p w14:paraId="4770B7DC"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H4: Direct spending on council managed local access roads</w:t>
            </w:r>
          </w:p>
        </w:tc>
        <w:tc>
          <w:tcPr>
            <w:tcW w:w="1900" w:type="dxa"/>
            <w:tcBorders>
              <w:top w:val="nil"/>
              <w:left w:val="nil"/>
              <w:bottom w:val="nil"/>
              <w:right w:val="nil"/>
            </w:tcBorders>
            <w:shd w:val="clear" w:color="auto" w:fill="auto"/>
            <w:vAlign w:val="bottom"/>
            <w:hideMark/>
          </w:tcPr>
          <w:p w14:paraId="4A4A5FA4"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 xml:space="preserve">  218</w:t>
            </w:r>
          </w:p>
        </w:tc>
      </w:tr>
      <w:tr w:rsidR="00143A71" w:rsidRPr="0098104E" w14:paraId="74136FE2" w14:textId="77777777" w:rsidTr="00600B03">
        <w:trPr>
          <w:trHeight w:val="315"/>
        </w:trPr>
        <w:tc>
          <w:tcPr>
            <w:tcW w:w="7060" w:type="dxa"/>
            <w:tcBorders>
              <w:top w:val="nil"/>
              <w:left w:val="nil"/>
              <w:bottom w:val="single" w:sz="4" w:space="0" w:color="auto"/>
              <w:right w:val="nil"/>
            </w:tcBorders>
            <w:shd w:val="clear" w:color="auto" w:fill="auto"/>
            <w:vAlign w:val="bottom"/>
            <w:hideMark/>
          </w:tcPr>
          <w:p w14:paraId="26A4056E" w14:textId="77777777" w:rsidR="00143A71" w:rsidRPr="0098104E" w:rsidRDefault="00143A71" w:rsidP="00600B03">
            <w:pPr>
              <w:keepNext/>
              <w:tabs>
                <w:tab w:val="clear" w:pos="567"/>
              </w:tabs>
              <w:spacing w:after="0" w:line="240" w:lineRule="auto"/>
              <w:ind w:firstLineChars="100" w:firstLine="200"/>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H5: Any other direct State spending on local access roads</w:t>
            </w:r>
          </w:p>
        </w:tc>
        <w:tc>
          <w:tcPr>
            <w:tcW w:w="1900" w:type="dxa"/>
            <w:tcBorders>
              <w:top w:val="nil"/>
              <w:left w:val="nil"/>
              <w:bottom w:val="single" w:sz="4" w:space="0" w:color="auto"/>
              <w:right w:val="nil"/>
            </w:tcBorders>
            <w:shd w:val="clear" w:color="auto" w:fill="auto"/>
            <w:vAlign w:val="bottom"/>
            <w:hideMark/>
          </w:tcPr>
          <w:p w14:paraId="7D710681" w14:textId="77777777" w:rsidR="00143A71" w:rsidRPr="0098104E" w:rsidRDefault="00143A71" w:rsidP="00600B03">
            <w:pPr>
              <w:keepNext/>
              <w:tabs>
                <w:tab w:val="clear" w:pos="567"/>
              </w:tabs>
              <w:spacing w:after="0" w:line="240" w:lineRule="auto"/>
              <w:jc w:val="right"/>
              <w:rPr>
                <w:rFonts w:ascii="Calibri" w:eastAsia="Times New Roman" w:hAnsi="Calibri" w:cs="Times New Roman"/>
                <w:sz w:val="20"/>
                <w:szCs w:val="20"/>
                <w:lang w:eastAsia="en-AU"/>
              </w:rPr>
            </w:pPr>
            <w:r w:rsidRPr="0098104E">
              <w:rPr>
                <w:rFonts w:ascii="Calibri" w:eastAsia="Times New Roman" w:hAnsi="Calibri" w:cs="Times New Roman"/>
                <w:sz w:val="20"/>
                <w:szCs w:val="20"/>
                <w:lang w:eastAsia="en-AU"/>
              </w:rPr>
              <w:t xml:space="preserve">  102</w:t>
            </w:r>
          </w:p>
        </w:tc>
      </w:tr>
    </w:tbl>
    <w:p w14:paraId="28B81608" w14:textId="46839913" w:rsidR="00143A71" w:rsidRPr="001D4C11" w:rsidRDefault="00143A71" w:rsidP="00143A71">
      <w:pPr>
        <w:pStyle w:val="CGCTableFootnote"/>
      </w:pPr>
      <w:r w:rsidRPr="004014D4">
        <w:t>Note:</w:t>
      </w:r>
      <w:r w:rsidRPr="004014D4">
        <w:tab/>
        <w:t xml:space="preserve">Loan servicing spending (G5) does not contribute </w:t>
      </w:r>
      <w:r w:rsidR="00486841">
        <w:t xml:space="preserve">to the </w:t>
      </w:r>
      <w:r w:rsidRPr="004014D4">
        <w:t>component weight calculations.</w:t>
      </w:r>
    </w:p>
    <w:p w14:paraId="3931FE28" w14:textId="1269E804" w:rsidR="00143A71" w:rsidRPr="004014D4" w:rsidRDefault="00143A71" w:rsidP="00143A71">
      <w:pPr>
        <w:pStyle w:val="CGCTableFootnote"/>
      </w:pPr>
      <w:r w:rsidRPr="004014D4">
        <w:t>(</w:t>
      </w:r>
      <w:r w:rsidR="00A0542F">
        <w:t>a</w:t>
      </w:r>
      <w:r w:rsidRPr="004014D4">
        <w:t>)</w:t>
      </w:r>
      <w:r w:rsidRPr="004014D4">
        <w:tab/>
      </w:r>
      <w:r>
        <w:t xml:space="preserve">While the </w:t>
      </w:r>
      <w:proofErr w:type="spellStart"/>
      <w:r>
        <w:t>NTC</w:t>
      </w:r>
      <w:proofErr w:type="spellEnd"/>
      <w:r>
        <w:t xml:space="preserve"> reports t</w:t>
      </w:r>
      <w:r w:rsidRPr="004014D4">
        <w:t xml:space="preserve">hese categories </w:t>
      </w:r>
      <w:r>
        <w:t xml:space="preserve">separately, the expenses </w:t>
      </w:r>
      <w:r w:rsidRPr="004014D4">
        <w:t xml:space="preserve">are </w:t>
      </w:r>
      <w:r>
        <w:t>also</w:t>
      </w:r>
      <w:r w:rsidRPr="004014D4">
        <w:t xml:space="preserve"> inc</w:t>
      </w:r>
      <w:r>
        <w:t>luded</w:t>
      </w:r>
      <w:r w:rsidRPr="004014D4">
        <w:t xml:space="preserve"> in </w:t>
      </w:r>
      <w:r>
        <w:t>the expenses for categories A to G</w:t>
      </w:r>
      <w:r w:rsidRPr="004014D4">
        <w:t>.</w:t>
      </w:r>
      <w:r>
        <w:t xml:space="preserve"> Hence, these expenses are double-counted in this presentation.</w:t>
      </w:r>
    </w:p>
    <w:p w14:paraId="4DF028C9" w14:textId="77777777" w:rsidR="00143A71" w:rsidRDefault="00143A71" w:rsidP="00143A71">
      <w:pPr>
        <w:pStyle w:val="CGCTableFootnote"/>
      </w:pPr>
      <w:r>
        <w:t>Source:</w:t>
      </w:r>
      <w:r>
        <w:tab/>
        <w:t>State expenses reported to National Transport Commission (</w:t>
      </w:r>
      <w:proofErr w:type="spellStart"/>
      <w:r>
        <w:t>NTC</w:t>
      </w:r>
      <w:proofErr w:type="spellEnd"/>
      <w:r>
        <w:t xml:space="preserve">) for 2016-17, </w:t>
      </w:r>
      <w:proofErr w:type="spellStart"/>
      <w:r>
        <w:t>NTC</w:t>
      </w:r>
      <w:proofErr w:type="spellEnd"/>
      <w:r>
        <w:t xml:space="preserve"> 2017.</w:t>
      </w:r>
    </w:p>
    <w:p w14:paraId="11598236" w14:textId="77777777" w:rsidR="00143A71" w:rsidRPr="0080330D" w:rsidRDefault="00143A71" w:rsidP="00143A71">
      <w:pPr>
        <w:pStyle w:val="NoSpacing"/>
      </w:pPr>
    </w:p>
    <w:p w14:paraId="31E50744" w14:textId="77777777" w:rsidR="00143A71" w:rsidRDefault="00143A71" w:rsidP="00143A71">
      <w:pPr>
        <w:pStyle w:val="CGCNumberedPara"/>
        <w:numPr>
          <w:ilvl w:val="1"/>
          <w:numId w:val="3"/>
        </w:numPr>
      </w:pPr>
      <w:r>
        <w:t>The urban and rural roads components include expenses for:</w:t>
      </w:r>
    </w:p>
    <w:p w14:paraId="3A5497A4" w14:textId="77777777" w:rsidR="00143A71" w:rsidRDefault="00143A71" w:rsidP="00143A71">
      <w:pPr>
        <w:pStyle w:val="CGCBulletlist"/>
        <w:numPr>
          <w:ilvl w:val="0"/>
          <w:numId w:val="1"/>
        </w:numPr>
        <w:tabs>
          <w:tab w:val="clear" w:pos="786"/>
        </w:tabs>
        <w:ind w:left="1134" w:hanging="567"/>
      </w:pPr>
      <w:r w:rsidRPr="008040A4">
        <w:t>A: Servicing and operating</w:t>
      </w:r>
    </w:p>
    <w:p w14:paraId="5A4A438C" w14:textId="77777777" w:rsidR="00143A71" w:rsidRDefault="00143A71" w:rsidP="00143A71">
      <w:pPr>
        <w:pStyle w:val="CGCBulletlist"/>
        <w:numPr>
          <w:ilvl w:val="0"/>
          <w:numId w:val="1"/>
        </w:numPr>
        <w:tabs>
          <w:tab w:val="clear" w:pos="786"/>
        </w:tabs>
        <w:ind w:left="1134" w:hanging="567"/>
      </w:pPr>
      <w:r w:rsidRPr="0080330D">
        <w:t>B: Road pavement and shoulder construction</w:t>
      </w:r>
    </w:p>
    <w:p w14:paraId="6E0E2AF2" w14:textId="6F326578" w:rsidR="00143A71" w:rsidRDefault="00143A71" w:rsidP="00143A71">
      <w:pPr>
        <w:pStyle w:val="CGCBulletlist"/>
        <w:numPr>
          <w:ilvl w:val="0"/>
          <w:numId w:val="1"/>
        </w:numPr>
        <w:tabs>
          <w:tab w:val="clear" w:pos="786"/>
        </w:tabs>
        <w:ind w:left="1134" w:hanging="567"/>
      </w:pPr>
      <w:r w:rsidRPr="008040A4">
        <w:t xml:space="preserve">D: Road </w:t>
      </w:r>
      <w:r w:rsidR="006A19D8">
        <w:t>r</w:t>
      </w:r>
      <w:r w:rsidRPr="008040A4">
        <w:t>ehabilitation</w:t>
      </w:r>
    </w:p>
    <w:p w14:paraId="309284FE" w14:textId="77777777" w:rsidR="00143A71" w:rsidRDefault="00143A71" w:rsidP="00143A71">
      <w:pPr>
        <w:pStyle w:val="CGCBulletlist"/>
        <w:numPr>
          <w:ilvl w:val="0"/>
          <w:numId w:val="1"/>
        </w:numPr>
        <w:tabs>
          <w:tab w:val="clear" w:pos="786"/>
        </w:tabs>
        <w:ind w:left="1134" w:hanging="567"/>
      </w:pPr>
      <w:r w:rsidRPr="008040A4">
        <w:t>E: Low-cost safety/traffic</w:t>
      </w:r>
    </w:p>
    <w:p w14:paraId="0004E084" w14:textId="535CA545" w:rsidR="00143A71" w:rsidRPr="008040A4" w:rsidRDefault="00143A71" w:rsidP="00143A71">
      <w:pPr>
        <w:pStyle w:val="CGCBulletlist"/>
        <w:numPr>
          <w:ilvl w:val="0"/>
          <w:numId w:val="1"/>
        </w:numPr>
        <w:tabs>
          <w:tab w:val="clear" w:pos="786"/>
        </w:tabs>
        <w:ind w:left="1134" w:hanging="567"/>
      </w:pPr>
      <w:r w:rsidRPr="008040A4">
        <w:t xml:space="preserve">G2: Enforcement of </w:t>
      </w:r>
      <w:r w:rsidR="00D639CE">
        <w:t>h</w:t>
      </w:r>
      <w:r w:rsidRPr="008040A4">
        <w:t xml:space="preserve">eavy </w:t>
      </w:r>
      <w:r w:rsidR="00D639CE">
        <w:t>v</w:t>
      </w:r>
      <w:r w:rsidRPr="008040A4">
        <w:t>ehicle regulatory costs</w:t>
      </w:r>
      <w:r>
        <w:t>.</w:t>
      </w:r>
    </w:p>
    <w:p w14:paraId="5625CC11" w14:textId="77777777" w:rsidR="00143A71" w:rsidRDefault="00143A71" w:rsidP="00143A71">
      <w:pPr>
        <w:pStyle w:val="CGCNumberedPara"/>
        <w:numPr>
          <w:ilvl w:val="1"/>
          <w:numId w:val="3"/>
        </w:numPr>
      </w:pPr>
      <w:r>
        <w:t>The local roads component includes:</w:t>
      </w:r>
    </w:p>
    <w:p w14:paraId="03129726" w14:textId="77777777" w:rsidR="00143A71" w:rsidRDefault="00143A71" w:rsidP="00143A71">
      <w:pPr>
        <w:pStyle w:val="CGCBulletlist"/>
        <w:numPr>
          <w:ilvl w:val="0"/>
          <w:numId w:val="1"/>
        </w:numPr>
        <w:tabs>
          <w:tab w:val="clear" w:pos="786"/>
        </w:tabs>
        <w:ind w:left="1134" w:hanging="567"/>
      </w:pPr>
      <w:r>
        <w:t>H3: Spending on local access roads in unincorporated areas</w:t>
      </w:r>
    </w:p>
    <w:p w14:paraId="7B3D4E83" w14:textId="77777777" w:rsidR="00143A71" w:rsidRDefault="00143A71" w:rsidP="00143A71">
      <w:pPr>
        <w:pStyle w:val="CGCBulletlist"/>
        <w:numPr>
          <w:ilvl w:val="0"/>
          <w:numId w:val="1"/>
        </w:numPr>
        <w:tabs>
          <w:tab w:val="clear" w:pos="786"/>
        </w:tabs>
        <w:ind w:left="1134" w:hanging="567"/>
      </w:pPr>
      <w:r>
        <w:t>H4: Direct spending on council managed local access roads</w:t>
      </w:r>
    </w:p>
    <w:p w14:paraId="79FA0341" w14:textId="77777777" w:rsidR="00143A71" w:rsidRDefault="00143A71" w:rsidP="00143A71">
      <w:pPr>
        <w:pStyle w:val="CGCBulletlist"/>
        <w:numPr>
          <w:ilvl w:val="0"/>
          <w:numId w:val="1"/>
        </w:numPr>
        <w:tabs>
          <w:tab w:val="clear" w:pos="786"/>
        </w:tabs>
        <w:ind w:left="1134" w:hanging="567"/>
      </w:pPr>
      <w:r>
        <w:lastRenderedPageBreak/>
        <w:t>H5: Any other direct State spending on local access roads.</w:t>
      </w:r>
    </w:p>
    <w:p w14:paraId="075BDBB6" w14:textId="77777777" w:rsidR="00143A71" w:rsidRDefault="00143A71" w:rsidP="00143A71">
      <w:pPr>
        <w:pStyle w:val="CGCNumberedPara"/>
        <w:numPr>
          <w:ilvl w:val="1"/>
          <w:numId w:val="3"/>
        </w:numPr>
      </w:pPr>
      <w:r>
        <w:t>The bridges component includes spending on:</w:t>
      </w:r>
    </w:p>
    <w:p w14:paraId="6A089BC6" w14:textId="77777777" w:rsidR="00143A71" w:rsidRDefault="00143A71" w:rsidP="00143A71">
      <w:pPr>
        <w:pStyle w:val="CGCBulletlist"/>
        <w:numPr>
          <w:ilvl w:val="0"/>
          <w:numId w:val="1"/>
        </w:numPr>
        <w:tabs>
          <w:tab w:val="clear" w:pos="786"/>
        </w:tabs>
        <w:ind w:left="1134" w:hanging="567"/>
      </w:pPr>
      <w:r w:rsidRPr="008040A4">
        <w:t>C: Bridge maintenance/rehab</w:t>
      </w:r>
      <w:r>
        <w:t>ilitation.</w:t>
      </w:r>
    </w:p>
    <w:p w14:paraId="674CDFC8" w14:textId="77777777" w:rsidR="00143A71" w:rsidRDefault="00143A71" w:rsidP="00143A71">
      <w:pPr>
        <w:pStyle w:val="CGCNumberedPara"/>
        <w:numPr>
          <w:ilvl w:val="1"/>
          <w:numId w:val="3"/>
        </w:numPr>
      </w:pPr>
      <w:r>
        <w:t>The other services component includes spending relating to:</w:t>
      </w:r>
    </w:p>
    <w:p w14:paraId="0B31E83B" w14:textId="77777777" w:rsidR="00143A71" w:rsidRPr="008040A4" w:rsidRDefault="00143A71" w:rsidP="00143A71">
      <w:pPr>
        <w:pStyle w:val="CGCBulletlist"/>
        <w:numPr>
          <w:ilvl w:val="0"/>
          <w:numId w:val="1"/>
        </w:numPr>
        <w:tabs>
          <w:tab w:val="clear" w:pos="786"/>
        </w:tabs>
        <w:ind w:left="1134" w:hanging="567"/>
      </w:pPr>
      <w:r w:rsidRPr="008040A4">
        <w:t>G1: Corporate services</w:t>
      </w:r>
    </w:p>
    <w:p w14:paraId="14A6DA7B" w14:textId="77777777" w:rsidR="00143A71" w:rsidRPr="008040A4" w:rsidRDefault="00143A71" w:rsidP="00143A71">
      <w:pPr>
        <w:pStyle w:val="CGCBulletlist"/>
        <w:numPr>
          <w:ilvl w:val="0"/>
          <w:numId w:val="1"/>
        </w:numPr>
        <w:tabs>
          <w:tab w:val="clear" w:pos="786"/>
        </w:tabs>
        <w:ind w:left="1134" w:hanging="567"/>
      </w:pPr>
      <w:r w:rsidRPr="008040A4">
        <w:t>G3: Vehicle registration</w:t>
      </w:r>
    </w:p>
    <w:p w14:paraId="60185941" w14:textId="77777777" w:rsidR="00143A71" w:rsidRPr="008040A4" w:rsidRDefault="00143A71" w:rsidP="00143A71">
      <w:pPr>
        <w:pStyle w:val="CGCBulletlist"/>
        <w:numPr>
          <w:ilvl w:val="0"/>
          <w:numId w:val="1"/>
        </w:numPr>
        <w:tabs>
          <w:tab w:val="clear" w:pos="786"/>
        </w:tabs>
        <w:ind w:left="1134" w:hanging="567"/>
      </w:pPr>
      <w:r w:rsidRPr="008040A4">
        <w:t>G4: Driver licensing</w:t>
      </w:r>
    </w:p>
    <w:p w14:paraId="2124F1C6" w14:textId="77777777" w:rsidR="00143A71" w:rsidRDefault="00143A71" w:rsidP="00143A71">
      <w:pPr>
        <w:pStyle w:val="CGCBulletlist"/>
        <w:numPr>
          <w:ilvl w:val="0"/>
          <w:numId w:val="1"/>
        </w:numPr>
        <w:tabs>
          <w:tab w:val="clear" w:pos="786"/>
        </w:tabs>
        <w:ind w:left="1134" w:hanging="567"/>
        <w:rPr>
          <w:b/>
          <w:bCs/>
          <w:iCs/>
        </w:rPr>
      </w:pPr>
      <w:r w:rsidRPr="008040A4">
        <w:t>G5: Loan servicing</w:t>
      </w:r>
      <w:r>
        <w:t>.</w:t>
      </w:r>
    </w:p>
    <w:p w14:paraId="215C06A2" w14:textId="77777777" w:rsidR="00143A71" w:rsidRDefault="00143A71" w:rsidP="00143A71">
      <w:pPr>
        <w:pStyle w:val="CGCNumberedPara"/>
        <w:numPr>
          <w:ilvl w:val="1"/>
          <w:numId w:val="3"/>
        </w:numPr>
      </w:pPr>
      <w:r>
        <w:t>The roads investment assessment includes:</w:t>
      </w:r>
    </w:p>
    <w:p w14:paraId="62773630" w14:textId="77777777" w:rsidR="00143A71" w:rsidRDefault="00143A71" w:rsidP="00143A71">
      <w:pPr>
        <w:pStyle w:val="CGCBulletlist"/>
        <w:numPr>
          <w:ilvl w:val="0"/>
          <w:numId w:val="1"/>
        </w:numPr>
        <w:tabs>
          <w:tab w:val="clear" w:pos="786"/>
        </w:tabs>
        <w:ind w:left="1134" w:hanging="567"/>
      </w:pPr>
      <w:r w:rsidRPr="008040A4">
        <w:t>F: Asset extension/improvements</w:t>
      </w:r>
      <w:r>
        <w:t>.</w:t>
      </w:r>
    </w:p>
    <w:p w14:paraId="1266B844" w14:textId="243D1851" w:rsidR="00143A71" w:rsidRDefault="00143A71" w:rsidP="00143A71">
      <w:pPr>
        <w:pStyle w:val="Heading4"/>
      </w:pPr>
      <w:bookmarkStart w:id="38" w:name="_Toc509326359"/>
      <w:bookmarkStart w:id="39" w:name="_Toc511380289"/>
      <w:r>
        <w:t xml:space="preserve">GST </w:t>
      </w:r>
      <w:r w:rsidR="00D639CE">
        <w:t>re</w:t>
      </w:r>
      <w:r>
        <w:t>distribution</w:t>
      </w:r>
      <w:bookmarkEnd w:id="38"/>
      <w:bookmarkEnd w:id="39"/>
    </w:p>
    <w:p w14:paraId="09B7C09A" w14:textId="6F46CCCA" w:rsidR="00143A71" w:rsidRDefault="00143A71" w:rsidP="00143A71">
      <w:pPr>
        <w:pStyle w:val="CGCNumberedPara"/>
        <w:numPr>
          <w:ilvl w:val="1"/>
          <w:numId w:val="3"/>
        </w:numPr>
      </w:pPr>
      <w:r>
        <w:fldChar w:fldCharType="begin"/>
      </w:r>
      <w:r>
        <w:instrText xml:space="preserve"> REF _Ref503968131 \h </w:instrText>
      </w:r>
      <w:r>
        <w:fldChar w:fldCharType="separate"/>
      </w:r>
      <w:r w:rsidR="004B3502">
        <w:t xml:space="preserve">Table </w:t>
      </w:r>
      <w:r w:rsidR="004B3502">
        <w:rPr>
          <w:noProof/>
        </w:rPr>
        <w:t>5</w:t>
      </w:r>
      <w:r>
        <w:fldChar w:fldCharType="end"/>
      </w:r>
      <w:r>
        <w:t xml:space="preserve"> </w:t>
      </w:r>
      <w:r w:rsidRPr="0081095A">
        <w:t xml:space="preserve">shows the redistribution of GST implied </w:t>
      </w:r>
      <w:r>
        <w:t>by each component of the Roads assessment in</w:t>
      </w:r>
      <w:r w:rsidRPr="0081095A">
        <w:t xml:space="preserve"> the 2018 Update. The </w:t>
      </w:r>
      <w:r>
        <w:t>category</w:t>
      </w:r>
      <w:r w:rsidRPr="0081095A">
        <w:t xml:space="preserve"> redistribute</w:t>
      </w:r>
      <w:r w:rsidR="003F527F">
        <w:t>d</w:t>
      </w:r>
      <w:r w:rsidRPr="0081095A">
        <w:t xml:space="preserve"> $</w:t>
      </w:r>
      <w:r>
        <w:t>537</w:t>
      </w:r>
      <w:r w:rsidRPr="0081095A">
        <w:t xml:space="preserve"> million.</w:t>
      </w:r>
      <w:r>
        <w:t xml:space="preserve"> </w:t>
      </w:r>
    </w:p>
    <w:p w14:paraId="69649AC0" w14:textId="77777777" w:rsidR="00143A71" w:rsidRDefault="00143A71" w:rsidP="00143A71">
      <w:pPr>
        <w:pStyle w:val="Caption"/>
      </w:pPr>
      <w:bookmarkStart w:id="40" w:name="_Ref503968131"/>
      <w:r>
        <w:t xml:space="preserve">Table </w:t>
      </w:r>
      <w:fldSimple w:instr=" SEQ Table \* ARABIC ">
        <w:r w:rsidR="004B3502">
          <w:rPr>
            <w:noProof/>
          </w:rPr>
          <w:t>5</w:t>
        </w:r>
      </w:fldSimple>
      <w:bookmarkEnd w:id="40"/>
      <w:r>
        <w:tab/>
        <w:t xml:space="preserve">Redistribution of GST from the recurrent Roads assessment, 2018 </w:t>
      </w:r>
      <w:proofErr w:type="gramStart"/>
      <w:r>
        <w:t>Update</w:t>
      </w:r>
      <w:proofErr w:type="gramEnd"/>
    </w:p>
    <w:tbl>
      <w:tblPr>
        <w:tblW w:w="8980" w:type="dxa"/>
        <w:tblLayout w:type="fixed"/>
        <w:tblCellMar>
          <w:left w:w="0" w:type="dxa"/>
          <w:right w:w="0" w:type="dxa"/>
        </w:tblCellMar>
        <w:tblLook w:val="04A0" w:firstRow="1" w:lastRow="0" w:firstColumn="1" w:lastColumn="0" w:noHBand="0" w:noVBand="1"/>
      </w:tblPr>
      <w:tblGrid>
        <w:gridCol w:w="1660"/>
        <w:gridCol w:w="880"/>
        <w:gridCol w:w="880"/>
        <w:gridCol w:w="700"/>
        <w:gridCol w:w="820"/>
        <w:gridCol w:w="760"/>
        <w:gridCol w:w="760"/>
        <w:gridCol w:w="880"/>
        <w:gridCol w:w="820"/>
        <w:gridCol w:w="820"/>
      </w:tblGrid>
      <w:tr w:rsidR="00143A71" w:rsidRPr="007624C5" w14:paraId="2C11DDF9" w14:textId="77777777" w:rsidTr="003F527F">
        <w:trPr>
          <w:trHeight w:val="379"/>
        </w:trPr>
        <w:tc>
          <w:tcPr>
            <w:tcW w:w="1660" w:type="dxa"/>
            <w:tcBorders>
              <w:top w:val="single" w:sz="4" w:space="0" w:color="auto"/>
              <w:left w:val="nil"/>
              <w:bottom w:val="single" w:sz="4" w:space="0" w:color="auto"/>
              <w:right w:val="nil"/>
            </w:tcBorders>
            <w:shd w:val="clear" w:color="auto" w:fill="auto"/>
            <w:noWrap/>
            <w:vAlign w:val="center"/>
            <w:hideMark/>
          </w:tcPr>
          <w:p w14:paraId="5391AA8A" w14:textId="77777777" w:rsidR="00143A71" w:rsidRPr="007624C5" w:rsidRDefault="00143A71" w:rsidP="003F527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41" w:name="RANGE!A3:J17"/>
            <w:r w:rsidRPr="007624C5">
              <w:rPr>
                <w:rFonts w:ascii="Calibri" w:eastAsia="Times New Roman" w:hAnsi="Calibri" w:cs="Times New Roman"/>
                <w:sz w:val="20"/>
                <w:szCs w:val="20"/>
                <w:lang w:eastAsia="en-AU"/>
              </w:rPr>
              <w:t> </w:t>
            </w:r>
            <w:bookmarkEnd w:id="41"/>
          </w:p>
        </w:tc>
        <w:tc>
          <w:tcPr>
            <w:tcW w:w="880" w:type="dxa"/>
            <w:tcBorders>
              <w:top w:val="single" w:sz="4" w:space="0" w:color="auto"/>
              <w:left w:val="nil"/>
              <w:bottom w:val="single" w:sz="4" w:space="0" w:color="auto"/>
              <w:right w:val="nil"/>
            </w:tcBorders>
            <w:shd w:val="clear" w:color="auto" w:fill="auto"/>
            <w:noWrap/>
            <w:vAlign w:val="center"/>
            <w:hideMark/>
          </w:tcPr>
          <w:p w14:paraId="16485477"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NSW</w:t>
            </w:r>
          </w:p>
        </w:tc>
        <w:tc>
          <w:tcPr>
            <w:tcW w:w="880" w:type="dxa"/>
            <w:tcBorders>
              <w:top w:val="single" w:sz="4" w:space="0" w:color="auto"/>
              <w:left w:val="nil"/>
              <w:bottom w:val="single" w:sz="4" w:space="0" w:color="auto"/>
              <w:right w:val="nil"/>
            </w:tcBorders>
            <w:shd w:val="clear" w:color="auto" w:fill="auto"/>
            <w:noWrap/>
            <w:vAlign w:val="center"/>
            <w:hideMark/>
          </w:tcPr>
          <w:p w14:paraId="6FDD1505"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Vic</w:t>
            </w:r>
          </w:p>
        </w:tc>
        <w:tc>
          <w:tcPr>
            <w:tcW w:w="700" w:type="dxa"/>
            <w:tcBorders>
              <w:top w:val="single" w:sz="4" w:space="0" w:color="auto"/>
              <w:left w:val="nil"/>
              <w:bottom w:val="single" w:sz="4" w:space="0" w:color="auto"/>
              <w:right w:val="nil"/>
            </w:tcBorders>
            <w:shd w:val="clear" w:color="auto" w:fill="auto"/>
            <w:noWrap/>
            <w:vAlign w:val="center"/>
            <w:hideMark/>
          </w:tcPr>
          <w:p w14:paraId="0F7C5F13"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Qld</w:t>
            </w:r>
          </w:p>
        </w:tc>
        <w:tc>
          <w:tcPr>
            <w:tcW w:w="820" w:type="dxa"/>
            <w:tcBorders>
              <w:top w:val="single" w:sz="4" w:space="0" w:color="auto"/>
              <w:left w:val="nil"/>
              <w:bottom w:val="single" w:sz="4" w:space="0" w:color="auto"/>
              <w:right w:val="nil"/>
            </w:tcBorders>
            <w:shd w:val="clear" w:color="auto" w:fill="auto"/>
            <w:noWrap/>
            <w:vAlign w:val="center"/>
            <w:hideMark/>
          </w:tcPr>
          <w:p w14:paraId="315811ED"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14:paraId="1AB48984"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SA</w:t>
            </w:r>
          </w:p>
        </w:tc>
        <w:tc>
          <w:tcPr>
            <w:tcW w:w="760" w:type="dxa"/>
            <w:tcBorders>
              <w:top w:val="single" w:sz="4" w:space="0" w:color="auto"/>
              <w:left w:val="nil"/>
              <w:bottom w:val="single" w:sz="4" w:space="0" w:color="auto"/>
              <w:right w:val="nil"/>
            </w:tcBorders>
            <w:shd w:val="clear" w:color="auto" w:fill="auto"/>
            <w:noWrap/>
            <w:vAlign w:val="center"/>
            <w:hideMark/>
          </w:tcPr>
          <w:p w14:paraId="1B0C4D5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7624C5">
              <w:rPr>
                <w:rFonts w:ascii="Calibri" w:eastAsia="Times New Roman" w:hAnsi="Calibri" w:cs="Times New Roman"/>
                <w:sz w:val="20"/>
                <w:szCs w:val="20"/>
                <w:lang w:eastAsia="en-AU"/>
              </w:rPr>
              <w:t>Tas</w:t>
            </w:r>
            <w:proofErr w:type="spellEnd"/>
          </w:p>
        </w:tc>
        <w:tc>
          <w:tcPr>
            <w:tcW w:w="880" w:type="dxa"/>
            <w:tcBorders>
              <w:top w:val="single" w:sz="4" w:space="0" w:color="auto"/>
              <w:left w:val="nil"/>
              <w:bottom w:val="single" w:sz="4" w:space="0" w:color="auto"/>
              <w:right w:val="nil"/>
            </w:tcBorders>
            <w:shd w:val="clear" w:color="auto" w:fill="auto"/>
            <w:noWrap/>
            <w:vAlign w:val="center"/>
            <w:hideMark/>
          </w:tcPr>
          <w:p w14:paraId="41FEF764"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ACT</w:t>
            </w:r>
          </w:p>
        </w:tc>
        <w:tc>
          <w:tcPr>
            <w:tcW w:w="820" w:type="dxa"/>
            <w:tcBorders>
              <w:top w:val="single" w:sz="4" w:space="0" w:color="auto"/>
              <w:left w:val="nil"/>
              <w:bottom w:val="single" w:sz="4" w:space="0" w:color="auto"/>
              <w:right w:val="nil"/>
            </w:tcBorders>
            <w:shd w:val="clear" w:color="auto" w:fill="auto"/>
            <w:noWrap/>
            <w:vAlign w:val="center"/>
            <w:hideMark/>
          </w:tcPr>
          <w:p w14:paraId="6D657E6F"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NT</w:t>
            </w:r>
          </w:p>
        </w:tc>
        <w:tc>
          <w:tcPr>
            <w:tcW w:w="820" w:type="dxa"/>
            <w:tcBorders>
              <w:top w:val="single" w:sz="4" w:space="0" w:color="auto"/>
              <w:left w:val="nil"/>
              <w:bottom w:val="single" w:sz="4" w:space="0" w:color="auto"/>
              <w:right w:val="nil"/>
            </w:tcBorders>
            <w:shd w:val="clear" w:color="auto" w:fill="auto"/>
            <w:noWrap/>
            <w:vAlign w:val="center"/>
            <w:hideMark/>
          </w:tcPr>
          <w:p w14:paraId="69B0509F"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Total</w:t>
            </w:r>
          </w:p>
        </w:tc>
      </w:tr>
      <w:tr w:rsidR="00143A71" w:rsidRPr="007624C5" w14:paraId="7A3D41AA" w14:textId="77777777" w:rsidTr="003F527F">
        <w:trPr>
          <w:trHeight w:val="259"/>
        </w:trPr>
        <w:tc>
          <w:tcPr>
            <w:tcW w:w="1660" w:type="dxa"/>
            <w:tcBorders>
              <w:top w:val="nil"/>
              <w:left w:val="nil"/>
              <w:bottom w:val="nil"/>
              <w:right w:val="nil"/>
            </w:tcBorders>
            <w:shd w:val="clear" w:color="auto" w:fill="auto"/>
            <w:noWrap/>
            <w:vAlign w:val="bottom"/>
            <w:hideMark/>
          </w:tcPr>
          <w:p w14:paraId="447D56C0" w14:textId="77777777" w:rsidR="00143A71" w:rsidRPr="007624C5" w:rsidRDefault="00143A71" w:rsidP="003F527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880" w:type="dxa"/>
            <w:tcBorders>
              <w:top w:val="nil"/>
              <w:left w:val="nil"/>
              <w:bottom w:val="nil"/>
              <w:right w:val="nil"/>
            </w:tcBorders>
            <w:shd w:val="clear" w:color="auto" w:fill="auto"/>
            <w:noWrap/>
            <w:vAlign w:val="bottom"/>
            <w:hideMark/>
          </w:tcPr>
          <w:p w14:paraId="1775CD8F"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14:paraId="1D5B9735"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$m</w:t>
            </w:r>
          </w:p>
        </w:tc>
        <w:tc>
          <w:tcPr>
            <w:tcW w:w="700" w:type="dxa"/>
            <w:tcBorders>
              <w:top w:val="nil"/>
              <w:left w:val="nil"/>
              <w:bottom w:val="nil"/>
              <w:right w:val="nil"/>
            </w:tcBorders>
            <w:shd w:val="clear" w:color="auto" w:fill="auto"/>
            <w:noWrap/>
            <w:vAlign w:val="bottom"/>
            <w:hideMark/>
          </w:tcPr>
          <w:p w14:paraId="5DC47ED4"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14:paraId="56427C28"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14:paraId="4FA1EF0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14:paraId="125B0FD3"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14:paraId="4A7ABAF0"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14:paraId="6162663F"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14:paraId="16F96FA8"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$m</w:t>
            </w:r>
          </w:p>
        </w:tc>
      </w:tr>
      <w:tr w:rsidR="00143A71" w:rsidRPr="007624C5" w14:paraId="3862B7F3" w14:textId="77777777" w:rsidTr="003F527F">
        <w:trPr>
          <w:trHeight w:val="315"/>
        </w:trPr>
        <w:tc>
          <w:tcPr>
            <w:tcW w:w="1660" w:type="dxa"/>
            <w:tcBorders>
              <w:top w:val="nil"/>
              <w:left w:val="nil"/>
              <w:bottom w:val="nil"/>
              <w:right w:val="nil"/>
            </w:tcBorders>
            <w:shd w:val="clear" w:color="auto" w:fill="auto"/>
            <w:noWrap/>
            <w:vAlign w:val="bottom"/>
            <w:hideMark/>
          </w:tcPr>
          <w:p w14:paraId="1B0D1B75" w14:textId="77777777" w:rsidR="00143A71" w:rsidRPr="007624C5"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Rural roads</w:t>
            </w:r>
          </w:p>
        </w:tc>
        <w:tc>
          <w:tcPr>
            <w:tcW w:w="880" w:type="dxa"/>
            <w:tcBorders>
              <w:top w:val="nil"/>
              <w:left w:val="nil"/>
              <w:bottom w:val="nil"/>
              <w:right w:val="nil"/>
            </w:tcBorders>
            <w:shd w:val="clear" w:color="000000" w:fill="FFFFFF"/>
            <w:noWrap/>
            <w:vAlign w:val="bottom"/>
            <w:hideMark/>
          </w:tcPr>
          <w:p w14:paraId="60E3255A"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-110</w:t>
            </w:r>
          </w:p>
        </w:tc>
        <w:tc>
          <w:tcPr>
            <w:tcW w:w="880" w:type="dxa"/>
            <w:tcBorders>
              <w:top w:val="nil"/>
              <w:left w:val="nil"/>
              <w:bottom w:val="nil"/>
              <w:right w:val="nil"/>
            </w:tcBorders>
            <w:shd w:val="clear" w:color="000000" w:fill="FFFFFF"/>
            <w:noWrap/>
            <w:vAlign w:val="bottom"/>
            <w:hideMark/>
          </w:tcPr>
          <w:p w14:paraId="051CE356"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-179</w:t>
            </w:r>
          </w:p>
        </w:tc>
        <w:tc>
          <w:tcPr>
            <w:tcW w:w="700" w:type="dxa"/>
            <w:tcBorders>
              <w:top w:val="nil"/>
              <w:left w:val="nil"/>
              <w:bottom w:val="nil"/>
              <w:right w:val="nil"/>
            </w:tcBorders>
            <w:shd w:val="clear" w:color="000000" w:fill="FFFFFF"/>
            <w:noWrap/>
            <w:vAlign w:val="bottom"/>
            <w:hideMark/>
          </w:tcPr>
          <w:p w14:paraId="404A1476"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53</w:t>
            </w:r>
          </w:p>
        </w:tc>
        <w:tc>
          <w:tcPr>
            <w:tcW w:w="820" w:type="dxa"/>
            <w:tcBorders>
              <w:top w:val="nil"/>
              <w:left w:val="nil"/>
              <w:bottom w:val="nil"/>
              <w:right w:val="nil"/>
            </w:tcBorders>
            <w:shd w:val="clear" w:color="000000" w:fill="FFFFFF"/>
            <w:noWrap/>
            <w:vAlign w:val="bottom"/>
            <w:hideMark/>
          </w:tcPr>
          <w:p w14:paraId="74FFD1E0"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123</w:t>
            </w:r>
          </w:p>
        </w:tc>
        <w:tc>
          <w:tcPr>
            <w:tcW w:w="760" w:type="dxa"/>
            <w:tcBorders>
              <w:top w:val="nil"/>
              <w:left w:val="nil"/>
              <w:bottom w:val="nil"/>
              <w:right w:val="nil"/>
            </w:tcBorders>
            <w:shd w:val="clear" w:color="000000" w:fill="FFFFFF"/>
            <w:noWrap/>
            <w:vAlign w:val="bottom"/>
            <w:hideMark/>
          </w:tcPr>
          <w:p w14:paraId="15236481"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83</w:t>
            </w:r>
          </w:p>
        </w:tc>
        <w:tc>
          <w:tcPr>
            <w:tcW w:w="760" w:type="dxa"/>
            <w:tcBorders>
              <w:top w:val="nil"/>
              <w:left w:val="nil"/>
              <w:bottom w:val="nil"/>
              <w:right w:val="nil"/>
            </w:tcBorders>
            <w:shd w:val="clear" w:color="000000" w:fill="FFFFFF"/>
            <w:noWrap/>
            <w:vAlign w:val="bottom"/>
            <w:hideMark/>
          </w:tcPr>
          <w:p w14:paraId="09D37285"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5</w:t>
            </w:r>
          </w:p>
        </w:tc>
        <w:tc>
          <w:tcPr>
            <w:tcW w:w="880" w:type="dxa"/>
            <w:tcBorders>
              <w:top w:val="nil"/>
              <w:left w:val="nil"/>
              <w:bottom w:val="nil"/>
              <w:right w:val="nil"/>
            </w:tcBorders>
            <w:shd w:val="clear" w:color="000000" w:fill="FFFFFF"/>
            <w:noWrap/>
            <w:vAlign w:val="bottom"/>
            <w:hideMark/>
          </w:tcPr>
          <w:p w14:paraId="0FDD2100"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-45</w:t>
            </w:r>
          </w:p>
        </w:tc>
        <w:tc>
          <w:tcPr>
            <w:tcW w:w="820" w:type="dxa"/>
            <w:tcBorders>
              <w:top w:val="nil"/>
              <w:left w:val="nil"/>
              <w:bottom w:val="nil"/>
              <w:right w:val="nil"/>
            </w:tcBorders>
            <w:shd w:val="clear" w:color="000000" w:fill="FFFFFF"/>
            <w:noWrap/>
            <w:vAlign w:val="bottom"/>
            <w:hideMark/>
          </w:tcPr>
          <w:p w14:paraId="3147B7D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69</w:t>
            </w:r>
          </w:p>
        </w:tc>
        <w:tc>
          <w:tcPr>
            <w:tcW w:w="820" w:type="dxa"/>
            <w:tcBorders>
              <w:top w:val="nil"/>
              <w:left w:val="nil"/>
              <w:bottom w:val="nil"/>
              <w:right w:val="nil"/>
            </w:tcBorders>
            <w:shd w:val="clear" w:color="auto" w:fill="auto"/>
            <w:noWrap/>
            <w:vAlign w:val="bottom"/>
            <w:hideMark/>
          </w:tcPr>
          <w:p w14:paraId="2763BD5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334</w:t>
            </w:r>
          </w:p>
        </w:tc>
      </w:tr>
      <w:tr w:rsidR="00143A71" w:rsidRPr="007624C5" w14:paraId="1D399E0E" w14:textId="77777777" w:rsidTr="003F527F">
        <w:trPr>
          <w:trHeight w:val="315"/>
        </w:trPr>
        <w:tc>
          <w:tcPr>
            <w:tcW w:w="1660" w:type="dxa"/>
            <w:tcBorders>
              <w:top w:val="nil"/>
              <w:left w:val="nil"/>
              <w:bottom w:val="nil"/>
              <w:right w:val="nil"/>
            </w:tcBorders>
            <w:shd w:val="clear" w:color="auto" w:fill="auto"/>
            <w:noWrap/>
            <w:vAlign w:val="bottom"/>
            <w:hideMark/>
          </w:tcPr>
          <w:p w14:paraId="3E37B1DB" w14:textId="77777777" w:rsidR="00143A71" w:rsidRPr="007624C5"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Urban roads</w:t>
            </w:r>
          </w:p>
        </w:tc>
        <w:tc>
          <w:tcPr>
            <w:tcW w:w="880" w:type="dxa"/>
            <w:tcBorders>
              <w:top w:val="nil"/>
              <w:left w:val="nil"/>
              <w:bottom w:val="nil"/>
              <w:right w:val="nil"/>
            </w:tcBorders>
            <w:shd w:val="clear" w:color="000000" w:fill="FFFFFF"/>
            <w:noWrap/>
            <w:vAlign w:val="bottom"/>
            <w:hideMark/>
          </w:tcPr>
          <w:p w14:paraId="79AEEA75"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-21</w:t>
            </w:r>
          </w:p>
        </w:tc>
        <w:tc>
          <w:tcPr>
            <w:tcW w:w="880" w:type="dxa"/>
            <w:tcBorders>
              <w:top w:val="nil"/>
              <w:left w:val="nil"/>
              <w:bottom w:val="nil"/>
              <w:right w:val="nil"/>
            </w:tcBorders>
            <w:shd w:val="clear" w:color="000000" w:fill="FFFFFF"/>
            <w:noWrap/>
            <w:vAlign w:val="bottom"/>
            <w:hideMark/>
          </w:tcPr>
          <w:p w14:paraId="46658AC8"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18</w:t>
            </w:r>
          </w:p>
        </w:tc>
        <w:tc>
          <w:tcPr>
            <w:tcW w:w="700" w:type="dxa"/>
            <w:tcBorders>
              <w:top w:val="nil"/>
              <w:left w:val="nil"/>
              <w:bottom w:val="nil"/>
              <w:right w:val="nil"/>
            </w:tcBorders>
            <w:shd w:val="clear" w:color="000000" w:fill="FFFFFF"/>
            <w:noWrap/>
            <w:vAlign w:val="bottom"/>
            <w:hideMark/>
          </w:tcPr>
          <w:p w14:paraId="4089F34C"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35</w:t>
            </w:r>
          </w:p>
        </w:tc>
        <w:tc>
          <w:tcPr>
            <w:tcW w:w="820" w:type="dxa"/>
            <w:tcBorders>
              <w:top w:val="nil"/>
              <w:left w:val="nil"/>
              <w:bottom w:val="nil"/>
              <w:right w:val="nil"/>
            </w:tcBorders>
            <w:shd w:val="clear" w:color="000000" w:fill="FFFFFF"/>
            <w:noWrap/>
            <w:vAlign w:val="bottom"/>
            <w:hideMark/>
          </w:tcPr>
          <w:p w14:paraId="07477FE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11</w:t>
            </w:r>
          </w:p>
        </w:tc>
        <w:tc>
          <w:tcPr>
            <w:tcW w:w="760" w:type="dxa"/>
            <w:tcBorders>
              <w:top w:val="nil"/>
              <w:left w:val="nil"/>
              <w:bottom w:val="nil"/>
              <w:right w:val="nil"/>
            </w:tcBorders>
            <w:shd w:val="clear" w:color="000000" w:fill="FFFFFF"/>
            <w:noWrap/>
            <w:vAlign w:val="bottom"/>
            <w:hideMark/>
          </w:tcPr>
          <w:p w14:paraId="5D01A956"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-33</w:t>
            </w:r>
          </w:p>
        </w:tc>
        <w:tc>
          <w:tcPr>
            <w:tcW w:w="760" w:type="dxa"/>
            <w:tcBorders>
              <w:top w:val="nil"/>
              <w:left w:val="nil"/>
              <w:bottom w:val="nil"/>
              <w:right w:val="nil"/>
            </w:tcBorders>
            <w:shd w:val="clear" w:color="000000" w:fill="FFFFFF"/>
            <w:noWrap/>
            <w:vAlign w:val="bottom"/>
            <w:hideMark/>
          </w:tcPr>
          <w:p w14:paraId="23CA36D7"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-8</w:t>
            </w:r>
          </w:p>
        </w:tc>
        <w:tc>
          <w:tcPr>
            <w:tcW w:w="880" w:type="dxa"/>
            <w:tcBorders>
              <w:top w:val="nil"/>
              <w:left w:val="nil"/>
              <w:bottom w:val="nil"/>
              <w:right w:val="nil"/>
            </w:tcBorders>
            <w:shd w:val="clear" w:color="000000" w:fill="FFFFFF"/>
            <w:noWrap/>
            <w:vAlign w:val="bottom"/>
            <w:hideMark/>
          </w:tcPr>
          <w:p w14:paraId="1FA68D7B"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5</w:t>
            </w:r>
          </w:p>
        </w:tc>
        <w:tc>
          <w:tcPr>
            <w:tcW w:w="820" w:type="dxa"/>
            <w:tcBorders>
              <w:top w:val="nil"/>
              <w:left w:val="nil"/>
              <w:bottom w:val="nil"/>
              <w:right w:val="nil"/>
            </w:tcBorders>
            <w:shd w:val="clear" w:color="000000" w:fill="FFFFFF"/>
            <w:noWrap/>
            <w:vAlign w:val="bottom"/>
            <w:hideMark/>
          </w:tcPr>
          <w:p w14:paraId="538E6413"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-7</w:t>
            </w:r>
          </w:p>
        </w:tc>
        <w:tc>
          <w:tcPr>
            <w:tcW w:w="820" w:type="dxa"/>
            <w:tcBorders>
              <w:top w:val="nil"/>
              <w:left w:val="nil"/>
              <w:bottom w:val="nil"/>
              <w:right w:val="nil"/>
            </w:tcBorders>
            <w:shd w:val="clear" w:color="auto" w:fill="auto"/>
            <w:noWrap/>
            <w:vAlign w:val="bottom"/>
            <w:hideMark/>
          </w:tcPr>
          <w:p w14:paraId="18A2162E"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68</w:t>
            </w:r>
          </w:p>
        </w:tc>
      </w:tr>
      <w:tr w:rsidR="00143A71" w:rsidRPr="007624C5" w14:paraId="09D3927A" w14:textId="77777777" w:rsidTr="003F527F">
        <w:trPr>
          <w:trHeight w:val="315"/>
        </w:trPr>
        <w:tc>
          <w:tcPr>
            <w:tcW w:w="1660" w:type="dxa"/>
            <w:tcBorders>
              <w:top w:val="nil"/>
              <w:left w:val="nil"/>
              <w:bottom w:val="nil"/>
              <w:right w:val="nil"/>
            </w:tcBorders>
            <w:shd w:val="clear" w:color="auto" w:fill="auto"/>
            <w:noWrap/>
            <w:vAlign w:val="bottom"/>
            <w:hideMark/>
          </w:tcPr>
          <w:p w14:paraId="46715388" w14:textId="77777777" w:rsidR="00143A71" w:rsidRPr="007624C5"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Local roads</w:t>
            </w:r>
          </w:p>
        </w:tc>
        <w:tc>
          <w:tcPr>
            <w:tcW w:w="880" w:type="dxa"/>
            <w:tcBorders>
              <w:top w:val="nil"/>
              <w:left w:val="nil"/>
              <w:bottom w:val="nil"/>
              <w:right w:val="nil"/>
            </w:tcBorders>
            <w:shd w:val="clear" w:color="000000" w:fill="FFFFFF"/>
            <w:noWrap/>
            <w:vAlign w:val="bottom"/>
            <w:hideMark/>
          </w:tcPr>
          <w:p w14:paraId="049E5716"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-89</w:t>
            </w:r>
          </w:p>
        </w:tc>
        <w:tc>
          <w:tcPr>
            <w:tcW w:w="880" w:type="dxa"/>
            <w:tcBorders>
              <w:top w:val="nil"/>
              <w:left w:val="nil"/>
              <w:bottom w:val="nil"/>
              <w:right w:val="nil"/>
            </w:tcBorders>
            <w:shd w:val="clear" w:color="000000" w:fill="FFFFFF"/>
            <w:noWrap/>
            <w:vAlign w:val="bottom"/>
            <w:hideMark/>
          </w:tcPr>
          <w:p w14:paraId="497F8FD4"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-95</w:t>
            </w:r>
          </w:p>
        </w:tc>
        <w:tc>
          <w:tcPr>
            <w:tcW w:w="700" w:type="dxa"/>
            <w:tcBorders>
              <w:top w:val="nil"/>
              <w:left w:val="nil"/>
              <w:bottom w:val="nil"/>
              <w:right w:val="nil"/>
            </w:tcBorders>
            <w:shd w:val="clear" w:color="000000" w:fill="FFFFFF"/>
            <w:noWrap/>
            <w:vAlign w:val="bottom"/>
            <w:hideMark/>
          </w:tcPr>
          <w:p w14:paraId="3DBD91A1"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45</w:t>
            </w:r>
          </w:p>
        </w:tc>
        <w:tc>
          <w:tcPr>
            <w:tcW w:w="820" w:type="dxa"/>
            <w:tcBorders>
              <w:top w:val="nil"/>
              <w:left w:val="nil"/>
              <w:bottom w:val="nil"/>
              <w:right w:val="nil"/>
            </w:tcBorders>
            <w:shd w:val="clear" w:color="000000" w:fill="FFFFFF"/>
            <w:noWrap/>
            <w:vAlign w:val="bottom"/>
            <w:hideMark/>
          </w:tcPr>
          <w:p w14:paraId="2C88B09F"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96</w:t>
            </w:r>
          </w:p>
        </w:tc>
        <w:tc>
          <w:tcPr>
            <w:tcW w:w="760" w:type="dxa"/>
            <w:tcBorders>
              <w:top w:val="nil"/>
              <w:left w:val="nil"/>
              <w:bottom w:val="nil"/>
              <w:right w:val="nil"/>
            </w:tcBorders>
            <w:shd w:val="clear" w:color="000000" w:fill="FFFFFF"/>
            <w:noWrap/>
            <w:vAlign w:val="bottom"/>
            <w:hideMark/>
          </w:tcPr>
          <w:p w14:paraId="12EC8327"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23</w:t>
            </w:r>
          </w:p>
        </w:tc>
        <w:tc>
          <w:tcPr>
            <w:tcW w:w="760" w:type="dxa"/>
            <w:tcBorders>
              <w:top w:val="nil"/>
              <w:left w:val="nil"/>
              <w:bottom w:val="nil"/>
              <w:right w:val="nil"/>
            </w:tcBorders>
            <w:shd w:val="clear" w:color="000000" w:fill="FFFFFF"/>
            <w:noWrap/>
            <w:vAlign w:val="bottom"/>
            <w:hideMark/>
          </w:tcPr>
          <w:p w14:paraId="16703C46"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-8</w:t>
            </w:r>
          </w:p>
        </w:tc>
        <w:tc>
          <w:tcPr>
            <w:tcW w:w="880" w:type="dxa"/>
            <w:tcBorders>
              <w:top w:val="nil"/>
              <w:left w:val="nil"/>
              <w:bottom w:val="nil"/>
              <w:right w:val="nil"/>
            </w:tcBorders>
            <w:shd w:val="clear" w:color="000000" w:fill="FFFFFF"/>
            <w:noWrap/>
            <w:vAlign w:val="bottom"/>
            <w:hideMark/>
          </w:tcPr>
          <w:p w14:paraId="6AC4F96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-6</w:t>
            </w:r>
          </w:p>
        </w:tc>
        <w:tc>
          <w:tcPr>
            <w:tcW w:w="820" w:type="dxa"/>
            <w:tcBorders>
              <w:top w:val="nil"/>
              <w:left w:val="nil"/>
              <w:bottom w:val="nil"/>
              <w:right w:val="nil"/>
            </w:tcBorders>
            <w:shd w:val="clear" w:color="000000" w:fill="FFFFFF"/>
            <w:noWrap/>
            <w:vAlign w:val="bottom"/>
            <w:hideMark/>
          </w:tcPr>
          <w:p w14:paraId="21A00809"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35</w:t>
            </w:r>
          </w:p>
        </w:tc>
        <w:tc>
          <w:tcPr>
            <w:tcW w:w="820" w:type="dxa"/>
            <w:tcBorders>
              <w:top w:val="nil"/>
              <w:left w:val="nil"/>
              <w:bottom w:val="nil"/>
              <w:right w:val="nil"/>
            </w:tcBorders>
            <w:shd w:val="clear" w:color="auto" w:fill="auto"/>
            <w:noWrap/>
            <w:vAlign w:val="bottom"/>
            <w:hideMark/>
          </w:tcPr>
          <w:p w14:paraId="1360F63F"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199</w:t>
            </w:r>
          </w:p>
        </w:tc>
      </w:tr>
      <w:tr w:rsidR="00143A71" w:rsidRPr="007624C5" w14:paraId="0935134B" w14:textId="77777777" w:rsidTr="003F527F">
        <w:trPr>
          <w:trHeight w:val="315"/>
        </w:trPr>
        <w:tc>
          <w:tcPr>
            <w:tcW w:w="1660" w:type="dxa"/>
            <w:tcBorders>
              <w:top w:val="nil"/>
              <w:left w:val="nil"/>
              <w:bottom w:val="nil"/>
              <w:right w:val="nil"/>
            </w:tcBorders>
            <w:shd w:val="clear" w:color="auto" w:fill="auto"/>
            <w:noWrap/>
            <w:vAlign w:val="bottom"/>
            <w:hideMark/>
          </w:tcPr>
          <w:p w14:paraId="14A6FFA8" w14:textId="77777777" w:rsidR="00143A71" w:rsidRPr="007624C5"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Bridges</w:t>
            </w:r>
          </w:p>
        </w:tc>
        <w:tc>
          <w:tcPr>
            <w:tcW w:w="880" w:type="dxa"/>
            <w:tcBorders>
              <w:top w:val="nil"/>
              <w:left w:val="nil"/>
              <w:bottom w:val="nil"/>
              <w:right w:val="nil"/>
            </w:tcBorders>
            <w:shd w:val="clear" w:color="000000" w:fill="FFFFFF"/>
            <w:noWrap/>
            <w:vAlign w:val="bottom"/>
            <w:hideMark/>
          </w:tcPr>
          <w:p w14:paraId="65AA7F6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880" w:type="dxa"/>
            <w:tcBorders>
              <w:top w:val="nil"/>
              <w:left w:val="nil"/>
              <w:bottom w:val="nil"/>
              <w:right w:val="nil"/>
            </w:tcBorders>
            <w:shd w:val="clear" w:color="000000" w:fill="FFFFFF"/>
            <w:noWrap/>
            <w:vAlign w:val="bottom"/>
            <w:hideMark/>
          </w:tcPr>
          <w:p w14:paraId="58E5CB03"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w:t>
            </w:r>
          </w:p>
        </w:tc>
        <w:tc>
          <w:tcPr>
            <w:tcW w:w="700" w:type="dxa"/>
            <w:tcBorders>
              <w:top w:val="nil"/>
              <w:left w:val="nil"/>
              <w:bottom w:val="nil"/>
              <w:right w:val="nil"/>
            </w:tcBorders>
            <w:shd w:val="clear" w:color="000000" w:fill="FFFFFF"/>
            <w:noWrap/>
            <w:vAlign w:val="bottom"/>
            <w:hideMark/>
          </w:tcPr>
          <w:p w14:paraId="02AA07F6"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000000" w:fill="FFFFFF"/>
            <w:noWrap/>
            <w:vAlign w:val="bottom"/>
            <w:hideMark/>
          </w:tcPr>
          <w:p w14:paraId="500021FD"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w:t>
            </w:r>
          </w:p>
        </w:tc>
        <w:tc>
          <w:tcPr>
            <w:tcW w:w="760" w:type="dxa"/>
            <w:tcBorders>
              <w:top w:val="nil"/>
              <w:left w:val="nil"/>
              <w:bottom w:val="nil"/>
              <w:right w:val="nil"/>
            </w:tcBorders>
            <w:shd w:val="clear" w:color="000000" w:fill="FFFFFF"/>
            <w:noWrap/>
            <w:vAlign w:val="bottom"/>
            <w:hideMark/>
          </w:tcPr>
          <w:p w14:paraId="3024B48A"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760" w:type="dxa"/>
            <w:tcBorders>
              <w:top w:val="nil"/>
              <w:left w:val="nil"/>
              <w:bottom w:val="nil"/>
              <w:right w:val="nil"/>
            </w:tcBorders>
            <w:shd w:val="clear" w:color="000000" w:fill="FFFFFF"/>
            <w:noWrap/>
            <w:vAlign w:val="bottom"/>
            <w:hideMark/>
          </w:tcPr>
          <w:p w14:paraId="0B2EE38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880" w:type="dxa"/>
            <w:tcBorders>
              <w:top w:val="nil"/>
              <w:left w:val="nil"/>
              <w:bottom w:val="nil"/>
              <w:right w:val="nil"/>
            </w:tcBorders>
            <w:shd w:val="clear" w:color="000000" w:fill="FFFFFF"/>
            <w:noWrap/>
            <w:vAlign w:val="bottom"/>
            <w:hideMark/>
          </w:tcPr>
          <w:p w14:paraId="20DAAFBF"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000000" w:fill="FFFFFF"/>
            <w:noWrap/>
            <w:vAlign w:val="bottom"/>
            <w:hideMark/>
          </w:tcPr>
          <w:p w14:paraId="0094EABD"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14:paraId="6BFDF88C"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w:t>
            </w:r>
          </w:p>
        </w:tc>
      </w:tr>
      <w:tr w:rsidR="00143A71" w:rsidRPr="007624C5" w14:paraId="76AB904D" w14:textId="77777777" w:rsidTr="003F527F">
        <w:trPr>
          <w:trHeight w:val="315"/>
        </w:trPr>
        <w:tc>
          <w:tcPr>
            <w:tcW w:w="1660" w:type="dxa"/>
            <w:tcBorders>
              <w:top w:val="nil"/>
              <w:left w:val="nil"/>
              <w:bottom w:val="nil"/>
              <w:right w:val="nil"/>
            </w:tcBorders>
            <w:shd w:val="clear" w:color="auto" w:fill="auto"/>
            <w:noWrap/>
            <w:vAlign w:val="bottom"/>
            <w:hideMark/>
          </w:tcPr>
          <w:p w14:paraId="5431C9A2" w14:textId="77777777" w:rsidR="00143A71" w:rsidRPr="007624C5"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Other services</w:t>
            </w:r>
          </w:p>
        </w:tc>
        <w:tc>
          <w:tcPr>
            <w:tcW w:w="880" w:type="dxa"/>
            <w:tcBorders>
              <w:top w:val="nil"/>
              <w:left w:val="nil"/>
              <w:bottom w:val="nil"/>
              <w:right w:val="nil"/>
            </w:tcBorders>
            <w:shd w:val="clear" w:color="000000" w:fill="FFFFFF"/>
            <w:noWrap/>
            <w:vAlign w:val="bottom"/>
            <w:hideMark/>
          </w:tcPr>
          <w:p w14:paraId="15113E3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w:t>
            </w:r>
          </w:p>
        </w:tc>
        <w:tc>
          <w:tcPr>
            <w:tcW w:w="880" w:type="dxa"/>
            <w:tcBorders>
              <w:top w:val="nil"/>
              <w:left w:val="nil"/>
              <w:bottom w:val="nil"/>
              <w:right w:val="nil"/>
            </w:tcBorders>
            <w:shd w:val="clear" w:color="000000" w:fill="FFFFFF"/>
            <w:noWrap/>
            <w:vAlign w:val="bottom"/>
            <w:hideMark/>
          </w:tcPr>
          <w:p w14:paraId="518BBEAF"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-3</w:t>
            </w:r>
          </w:p>
        </w:tc>
        <w:tc>
          <w:tcPr>
            <w:tcW w:w="700" w:type="dxa"/>
            <w:tcBorders>
              <w:top w:val="nil"/>
              <w:left w:val="nil"/>
              <w:bottom w:val="nil"/>
              <w:right w:val="nil"/>
            </w:tcBorders>
            <w:shd w:val="clear" w:color="000000" w:fill="FFFFFF"/>
            <w:noWrap/>
            <w:vAlign w:val="bottom"/>
            <w:hideMark/>
          </w:tcPr>
          <w:p w14:paraId="791F1417"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w:t>
            </w:r>
          </w:p>
        </w:tc>
        <w:tc>
          <w:tcPr>
            <w:tcW w:w="820" w:type="dxa"/>
            <w:tcBorders>
              <w:top w:val="nil"/>
              <w:left w:val="nil"/>
              <w:bottom w:val="nil"/>
              <w:right w:val="nil"/>
            </w:tcBorders>
            <w:shd w:val="clear" w:color="000000" w:fill="FFFFFF"/>
            <w:noWrap/>
            <w:vAlign w:val="bottom"/>
            <w:hideMark/>
          </w:tcPr>
          <w:p w14:paraId="3852B25D"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6</w:t>
            </w:r>
          </w:p>
        </w:tc>
        <w:tc>
          <w:tcPr>
            <w:tcW w:w="760" w:type="dxa"/>
            <w:tcBorders>
              <w:top w:val="nil"/>
              <w:left w:val="nil"/>
              <w:bottom w:val="nil"/>
              <w:right w:val="nil"/>
            </w:tcBorders>
            <w:shd w:val="clear" w:color="000000" w:fill="FFFFFF"/>
            <w:noWrap/>
            <w:vAlign w:val="bottom"/>
            <w:hideMark/>
          </w:tcPr>
          <w:p w14:paraId="579164F0"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w:t>
            </w:r>
          </w:p>
        </w:tc>
        <w:tc>
          <w:tcPr>
            <w:tcW w:w="760" w:type="dxa"/>
            <w:tcBorders>
              <w:top w:val="nil"/>
              <w:left w:val="nil"/>
              <w:bottom w:val="nil"/>
              <w:right w:val="nil"/>
            </w:tcBorders>
            <w:shd w:val="clear" w:color="000000" w:fill="FFFFFF"/>
            <w:noWrap/>
            <w:vAlign w:val="bottom"/>
            <w:hideMark/>
          </w:tcPr>
          <w:p w14:paraId="7FDA2C24"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w:t>
            </w:r>
          </w:p>
        </w:tc>
        <w:tc>
          <w:tcPr>
            <w:tcW w:w="880" w:type="dxa"/>
            <w:tcBorders>
              <w:top w:val="nil"/>
              <w:left w:val="nil"/>
              <w:bottom w:val="nil"/>
              <w:right w:val="nil"/>
            </w:tcBorders>
            <w:shd w:val="clear" w:color="000000" w:fill="FFFFFF"/>
            <w:noWrap/>
            <w:vAlign w:val="bottom"/>
            <w:hideMark/>
          </w:tcPr>
          <w:p w14:paraId="6FDC62ED"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w:t>
            </w:r>
          </w:p>
        </w:tc>
        <w:tc>
          <w:tcPr>
            <w:tcW w:w="820" w:type="dxa"/>
            <w:tcBorders>
              <w:top w:val="nil"/>
              <w:left w:val="nil"/>
              <w:bottom w:val="nil"/>
              <w:right w:val="nil"/>
            </w:tcBorders>
            <w:shd w:val="clear" w:color="000000" w:fill="FFFFFF"/>
            <w:noWrap/>
            <w:vAlign w:val="bottom"/>
            <w:hideMark/>
          </w:tcPr>
          <w:p w14:paraId="74CC160E"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w:t>
            </w:r>
          </w:p>
        </w:tc>
        <w:tc>
          <w:tcPr>
            <w:tcW w:w="820" w:type="dxa"/>
            <w:tcBorders>
              <w:top w:val="nil"/>
              <w:left w:val="nil"/>
              <w:bottom w:val="nil"/>
              <w:right w:val="nil"/>
            </w:tcBorders>
            <w:shd w:val="clear" w:color="auto" w:fill="auto"/>
            <w:noWrap/>
            <w:vAlign w:val="bottom"/>
            <w:hideMark/>
          </w:tcPr>
          <w:p w14:paraId="54770FF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9</w:t>
            </w:r>
          </w:p>
        </w:tc>
      </w:tr>
      <w:tr w:rsidR="00143A71" w:rsidRPr="007624C5" w14:paraId="39BB0772" w14:textId="77777777" w:rsidTr="003F527F">
        <w:trPr>
          <w:trHeight w:val="315"/>
        </w:trPr>
        <w:tc>
          <w:tcPr>
            <w:tcW w:w="1660" w:type="dxa"/>
            <w:tcBorders>
              <w:top w:val="nil"/>
              <w:left w:val="nil"/>
              <w:bottom w:val="nil"/>
              <w:right w:val="nil"/>
            </w:tcBorders>
            <w:shd w:val="clear" w:color="auto" w:fill="auto"/>
            <w:noWrap/>
            <w:vAlign w:val="bottom"/>
            <w:hideMark/>
          </w:tcPr>
          <w:p w14:paraId="2ECBCE90" w14:textId="77777777" w:rsidR="00143A71" w:rsidRPr="007624C5"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Total</w:t>
            </w:r>
          </w:p>
        </w:tc>
        <w:tc>
          <w:tcPr>
            <w:tcW w:w="880" w:type="dxa"/>
            <w:tcBorders>
              <w:top w:val="single" w:sz="4" w:space="0" w:color="auto"/>
              <w:left w:val="nil"/>
              <w:bottom w:val="single" w:sz="4" w:space="0" w:color="auto"/>
              <w:right w:val="nil"/>
            </w:tcBorders>
            <w:shd w:val="clear" w:color="000000" w:fill="FFFFFF"/>
            <w:noWrap/>
            <w:vAlign w:val="bottom"/>
            <w:hideMark/>
          </w:tcPr>
          <w:p w14:paraId="5BC03610"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-219</w:t>
            </w:r>
          </w:p>
        </w:tc>
        <w:tc>
          <w:tcPr>
            <w:tcW w:w="880" w:type="dxa"/>
            <w:tcBorders>
              <w:top w:val="single" w:sz="4" w:space="0" w:color="auto"/>
              <w:left w:val="nil"/>
              <w:bottom w:val="single" w:sz="4" w:space="0" w:color="auto"/>
              <w:right w:val="nil"/>
            </w:tcBorders>
            <w:shd w:val="clear" w:color="000000" w:fill="FFFFFF"/>
            <w:noWrap/>
            <w:vAlign w:val="bottom"/>
            <w:hideMark/>
          </w:tcPr>
          <w:p w14:paraId="77E6F626"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-260</w:t>
            </w:r>
          </w:p>
        </w:tc>
        <w:tc>
          <w:tcPr>
            <w:tcW w:w="700" w:type="dxa"/>
            <w:tcBorders>
              <w:top w:val="single" w:sz="4" w:space="0" w:color="auto"/>
              <w:left w:val="nil"/>
              <w:bottom w:val="single" w:sz="4" w:space="0" w:color="auto"/>
              <w:right w:val="nil"/>
            </w:tcBorders>
            <w:shd w:val="clear" w:color="000000" w:fill="FFFFFF"/>
            <w:noWrap/>
            <w:vAlign w:val="bottom"/>
            <w:hideMark/>
          </w:tcPr>
          <w:p w14:paraId="727E170C"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130</w:t>
            </w:r>
          </w:p>
        </w:tc>
        <w:tc>
          <w:tcPr>
            <w:tcW w:w="820" w:type="dxa"/>
            <w:tcBorders>
              <w:top w:val="single" w:sz="4" w:space="0" w:color="auto"/>
              <w:left w:val="nil"/>
              <w:bottom w:val="single" w:sz="4" w:space="0" w:color="auto"/>
              <w:right w:val="nil"/>
            </w:tcBorders>
            <w:shd w:val="clear" w:color="000000" w:fill="FFFFFF"/>
            <w:noWrap/>
            <w:vAlign w:val="bottom"/>
            <w:hideMark/>
          </w:tcPr>
          <w:p w14:paraId="6A472250"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237</w:t>
            </w:r>
          </w:p>
        </w:tc>
        <w:tc>
          <w:tcPr>
            <w:tcW w:w="760" w:type="dxa"/>
            <w:tcBorders>
              <w:top w:val="single" w:sz="4" w:space="0" w:color="auto"/>
              <w:left w:val="nil"/>
              <w:bottom w:val="single" w:sz="4" w:space="0" w:color="auto"/>
              <w:right w:val="nil"/>
            </w:tcBorders>
            <w:shd w:val="clear" w:color="000000" w:fill="FFFFFF"/>
            <w:noWrap/>
            <w:vAlign w:val="bottom"/>
            <w:hideMark/>
          </w:tcPr>
          <w:p w14:paraId="45FC5A1D"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71</w:t>
            </w:r>
          </w:p>
        </w:tc>
        <w:tc>
          <w:tcPr>
            <w:tcW w:w="760" w:type="dxa"/>
            <w:tcBorders>
              <w:top w:val="single" w:sz="4" w:space="0" w:color="auto"/>
              <w:left w:val="nil"/>
              <w:bottom w:val="single" w:sz="4" w:space="0" w:color="auto"/>
              <w:right w:val="nil"/>
            </w:tcBorders>
            <w:shd w:val="clear" w:color="000000" w:fill="FFFFFF"/>
            <w:noWrap/>
            <w:vAlign w:val="bottom"/>
            <w:hideMark/>
          </w:tcPr>
          <w:p w14:paraId="7D19D875"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-12</w:t>
            </w:r>
          </w:p>
        </w:tc>
        <w:tc>
          <w:tcPr>
            <w:tcW w:w="880" w:type="dxa"/>
            <w:tcBorders>
              <w:top w:val="single" w:sz="4" w:space="0" w:color="auto"/>
              <w:left w:val="nil"/>
              <w:bottom w:val="single" w:sz="4" w:space="0" w:color="auto"/>
              <w:right w:val="nil"/>
            </w:tcBorders>
            <w:shd w:val="clear" w:color="000000" w:fill="FFFFFF"/>
            <w:noWrap/>
            <w:vAlign w:val="bottom"/>
            <w:hideMark/>
          </w:tcPr>
          <w:p w14:paraId="6391FD1C"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-46</w:t>
            </w:r>
          </w:p>
        </w:tc>
        <w:tc>
          <w:tcPr>
            <w:tcW w:w="820" w:type="dxa"/>
            <w:tcBorders>
              <w:top w:val="single" w:sz="4" w:space="0" w:color="auto"/>
              <w:left w:val="nil"/>
              <w:bottom w:val="single" w:sz="4" w:space="0" w:color="auto"/>
              <w:right w:val="nil"/>
            </w:tcBorders>
            <w:shd w:val="clear" w:color="000000" w:fill="FFFFFF"/>
            <w:noWrap/>
            <w:vAlign w:val="bottom"/>
            <w:hideMark/>
          </w:tcPr>
          <w:p w14:paraId="72A7F7B5"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99</w:t>
            </w:r>
          </w:p>
        </w:tc>
        <w:tc>
          <w:tcPr>
            <w:tcW w:w="820" w:type="dxa"/>
            <w:tcBorders>
              <w:top w:val="single" w:sz="4" w:space="0" w:color="auto"/>
              <w:left w:val="nil"/>
              <w:bottom w:val="single" w:sz="4" w:space="0" w:color="auto"/>
              <w:right w:val="nil"/>
            </w:tcBorders>
            <w:shd w:val="clear" w:color="auto" w:fill="auto"/>
            <w:noWrap/>
            <w:vAlign w:val="bottom"/>
            <w:hideMark/>
          </w:tcPr>
          <w:p w14:paraId="30D6C11B"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537</w:t>
            </w:r>
          </w:p>
        </w:tc>
      </w:tr>
      <w:tr w:rsidR="00143A71" w:rsidRPr="007624C5" w14:paraId="29A0E5B1" w14:textId="77777777" w:rsidTr="003F527F">
        <w:trPr>
          <w:trHeight w:val="259"/>
        </w:trPr>
        <w:tc>
          <w:tcPr>
            <w:tcW w:w="1660" w:type="dxa"/>
            <w:tcBorders>
              <w:top w:val="nil"/>
              <w:left w:val="nil"/>
              <w:bottom w:val="nil"/>
              <w:right w:val="nil"/>
            </w:tcBorders>
            <w:shd w:val="clear" w:color="auto" w:fill="auto"/>
            <w:noWrap/>
            <w:vAlign w:val="bottom"/>
            <w:hideMark/>
          </w:tcPr>
          <w:p w14:paraId="571963B3" w14:textId="77777777" w:rsidR="00143A71" w:rsidRPr="007624C5" w:rsidRDefault="00143A71" w:rsidP="003F527F">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880" w:type="dxa"/>
            <w:tcBorders>
              <w:top w:val="nil"/>
              <w:left w:val="nil"/>
              <w:bottom w:val="nil"/>
              <w:right w:val="nil"/>
            </w:tcBorders>
            <w:shd w:val="clear" w:color="auto" w:fill="auto"/>
            <w:noWrap/>
            <w:vAlign w:val="bottom"/>
            <w:hideMark/>
          </w:tcPr>
          <w:p w14:paraId="0412A837"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$pc</w:t>
            </w:r>
          </w:p>
        </w:tc>
        <w:tc>
          <w:tcPr>
            <w:tcW w:w="880" w:type="dxa"/>
            <w:tcBorders>
              <w:top w:val="nil"/>
              <w:left w:val="nil"/>
              <w:bottom w:val="nil"/>
              <w:right w:val="nil"/>
            </w:tcBorders>
            <w:shd w:val="clear" w:color="auto" w:fill="auto"/>
            <w:noWrap/>
            <w:vAlign w:val="bottom"/>
            <w:hideMark/>
          </w:tcPr>
          <w:p w14:paraId="5ACC05D1"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$pc</w:t>
            </w:r>
          </w:p>
        </w:tc>
        <w:tc>
          <w:tcPr>
            <w:tcW w:w="700" w:type="dxa"/>
            <w:tcBorders>
              <w:top w:val="nil"/>
              <w:left w:val="nil"/>
              <w:bottom w:val="nil"/>
              <w:right w:val="nil"/>
            </w:tcBorders>
            <w:shd w:val="clear" w:color="auto" w:fill="auto"/>
            <w:noWrap/>
            <w:vAlign w:val="bottom"/>
            <w:hideMark/>
          </w:tcPr>
          <w:p w14:paraId="600819D6"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$pc</w:t>
            </w:r>
          </w:p>
        </w:tc>
        <w:tc>
          <w:tcPr>
            <w:tcW w:w="820" w:type="dxa"/>
            <w:tcBorders>
              <w:top w:val="nil"/>
              <w:left w:val="nil"/>
              <w:bottom w:val="nil"/>
              <w:right w:val="nil"/>
            </w:tcBorders>
            <w:shd w:val="clear" w:color="auto" w:fill="auto"/>
            <w:noWrap/>
            <w:vAlign w:val="bottom"/>
            <w:hideMark/>
          </w:tcPr>
          <w:p w14:paraId="31D40AB3"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14:paraId="2EAB3458"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$pc</w:t>
            </w:r>
          </w:p>
        </w:tc>
        <w:tc>
          <w:tcPr>
            <w:tcW w:w="760" w:type="dxa"/>
            <w:tcBorders>
              <w:top w:val="nil"/>
              <w:left w:val="nil"/>
              <w:bottom w:val="nil"/>
              <w:right w:val="nil"/>
            </w:tcBorders>
            <w:shd w:val="clear" w:color="auto" w:fill="auto"/>
            <w:noWrap/>
            <w:vAlign w:val="bottom"/>
            <w:hideMark/>
          </w:tcPr>
          <w:p w14:paraId="7903DA19"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$pc</w:t>
            </w:r>
          </w:p>
        </w:tc>
        <w:tc>
          <w:tcPr>
            <w:tcW w:w="880" w:type="dxa"/>
            <w:tcBorders>
              <w:top w:val="nil"/>
              <w:left w:val="nil"/>
              <w:bottom w:val="nil"/>
              <w:right w:val="nil"/>
            </w:tcBorders>
            <w:shd w:val="clear" w:color="auto" w:fill="auto"/>
            <w:noWrap/>
            <w:vAlign w:val="bottom"/>
            <w:hideMark/>
          </w:tcPr>
          <w:p w14:paraId="23D2F1E3"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$pc</w:t>
            </w:r>
          </w:p>
        </w:tc>
        <w:tc>
          <w:tcPr>
            <w:tcW w:w="820" w:type="dxa"/>
            <w:tcBorders>
              <w:top w:val="nil"/>
              <w:left w:val="nil"/>
              <w:bottom w:val="nil"/>
              <w:right w:val="nil"/>
            </w:tcBorders>
            <w:shd w:val="clear" w:color="auto" w:fill="auto"/>
            <w:noWrap/>
            <w:vAlign w:val="bottom"/>
            <w:hideMark/>
          </w:tcPr>
          <w:p w14:paraId="6E964E3B"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$pc</w:t>
            </w:r>
          </w:p>
        </w:tc>
        <w:tc>
          <w:tcPr>
            <w:tcW w:w="820" w:type="dxa"/>
            <w:tcBorders>
              <w:top w:val="nil"/>
              <w:left w:val="nil"/>
              <w:bottom w:val="nil"/>
              <w:right w:val="nil"/>
            </w:tcBorders>
            <w:shd w:val="clear" w:color="auto" w:fill="auto"/>
            <w:noWrap/>
            <w:vAlign w:val="bottom"/>
            <w:hideMark/>
          </w:tcPr>
          <w:p w14:paraId="17441330"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$pc</w:t>
            </w:r>
          </w:p>
        </w:tc>
      </w:tr>
      <w:tr w:rsidR="00143A71" w:rsidRPr="007624C5" w14:paraId="348B4F63" w14:textId="77777777" w:rsidTr="003F527F">
        <w:trPr>
          <w:trHeight w:val="315"/>
        </w:trPr>
        <w:tc>
          <w:tcPr>
            <w:tcW w:w="1660" w:type="dxa"/>
            <w:tcBorders>
              <w:top w:val="nil"/>
              <w:left w:val="nil"/>
              <w:bottom w:val="nil"/>
              <w:right w:val="nil"/>
            </w:tcBorders>
            <w:shd w:val="clear" w:color="auto" w:fill="auto"/>
            <w:noWrap/>
            <w:vAlign w:val="bottom"/>
            <w:hideMark/>
          </w:tcPr>
          <w:p w14:paraId="1C987532" w14:textId="77777777" w:rsidR="00143A71" w:rsidRPr="007624C5"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Rural roads</w:t>
            </w:r>
          </w:p>
        </w:tc>
        <w:tc>
          <w:tcPr>
            <w:tcW w:w="880" w:type="dxa"/>
            <w:tcBorders>
              <w:top w:val="nil"/>
              <w:left w:val="nil"/>
              <w:bottom w:val="nil"/>
              <w:right w:val="nil"/>
            </w:tcBorders>
            <w:shd w:val="clear" w:color="auto" w:fill="auto"/>
            <w:noWrap/>
            <w:vAlign w:val="bottom"/>
            <w:hideMark/>
          </w:tcPr>
          <w:p w14:paraId="1FD4B3FE"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-14</w:t>
            </w:r>
          </w:p>
        </w:tc>
        <w:tc>
          <w:tcPr>
            <w:tcW w:w="880" w:type="dxa"/>
            <w:tcBorders>
              <w:top w:val="nil"/>
              <w:left w:val="nil"/>
              <w:bottom w:val="nil"/>
              <w:right w:val="nil"/>
            </w:tcBorders>
            <w:shd w:val="clear" w:color="auto" w:fill="auto"/>
            <w:noWrap/>
            <w:vAlign w:val="bottom"/>
            <w:hideMark/>
          </w:tcPr>
          <w:p w14:paraId="3E09CCEC"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-28</w:t>
            </w:r>
          </w:p>
        </w:tc>
        <w:tc>
          <w:tcPr>
            <w:tcW w:w="700" w:type="dxa"/>
            <w:tcBorders>
              <w:top w:val="nil"/>
              <w:left w:val="nil"/>
              <w:bottom w:val="nil"/>
              <w:right w:val="nil"/>
            </w:tcBorders>
            <w:shd w:val="clear" w:color="auto" w:fill="auto"/>
            <w:noWrap/>
            <w:vAlign w:val="bottom"/>
            <w:hideMark/>
          </w:tcPr>
          <w:p w14:paraId="190755AD"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10</w:t>
            </w:r>
          </w:p>
        </w:tc>
        <w:tc>
          <w:tcPr>
            <w:tcW w:w="820" w:type="dxa"/>
            <w:tcBorders>
              <w:top w:val="nil"/>
              <w:left w:val="nil"/>
              <w:bottom w:val="nil"/>
              <w:right w:val="nil"/>
            </w:tcBorders>
            <w:shd w:val="clear" w:color="auto" w:fill="auto"/>
            <w:noWrap/>
            <w:vAlign w:val="bottom"/>
            <w:hideMark/>
          </w:tcPr>
          <w:p w14:paraId="496E7C74"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47</w:t>
            </w:r>
          </w:p>
        </w:tc>
        <w:tc>
          <w:tcPr>
            <w:tcW w:w="760" w:type="dxa"/>
            <w:tcBorders>
              <w:top w:val="nil"/>
              <w:left w:val="nil"/>
              <w:bottom w:val="nil"/>
              <w:right w:val="nil"/>
            </w:tcBorders>
            <w:shd w:val="clear" w:color="auto" w:fill="auto"/>
            <w:noWrap/>
            <w:vAlign w:val="bottom"/>
            <w:hideMark/>
          </w:tcPr>
          <w:p w14:paraId="2EA9473B"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48</w:t>
            </w:r>
          </w:p>
        </w:tc>
        <w:tc>
          <w:tcPr>
            <w:tcW w:w="760" w:type="dxa"/>
            <w:tcBorders>
              <w:top w:val="nil"/>
              <w:left w:val="nil"/>
              <w:bottom w:val="nil"/>
              <w:right w:val="nil"/>
            </w:tcBorders>
            <w:shd w:val="clear" w:color="auto" w:fill="auto"/>
            <w:noWrap/>
            <w:vAlign w:val="bottom"/>
            <w:hideMark/>
          </w:tcPr>
          <w:p w14:paraId="2F1E7B26"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10</w:t>
            </w:r>
          </w:p>
        </w:tc>
        <w:tc>
          <w:tcPr>
            <w:tcW w:w="880" w:type="dxa"/>
            <w:tcBorders>
              <w:top w:val="nil"/>
              <w:left w:val="nil"/>
              <w:bottom w:val="nil"/>
              <w:right w:val="nil"/>
            </w:tcBorders>
            <w:shd w:val="clear" w:color="auto" w:fill="auto"/>
            <w:noWrap/>
            <w:vAlign w:val="bottom"/>
            <w:hideMark/>
          </w:tcPr>
          <w:p w14:paraId="3F673D0B"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-108</w:t>
            </w:r>
          </w:p>
        </w:tc>
        <w:tc>
          <w:tcPr>
            <w:tcW w:w="820" w:type="dxa"/>
            <w:tcBorders>
              <w:top w:val="nil"/>
              <w:left w:val="nil"/>
              <w:bottom w:val="nil"/>
              <w:right w:val="nil"/>
            </w:tcBorders>
            <w:shd w:val="clear" w:color="auto" w:fill="auto"/>
            <w:noWrap/>
            <w:vAlign w:val="bottom"/>
            <w:hideMark/>
          </w:tcPr>
          <w:p w14:paraId="769D9979"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282</w:t>
            </w:r>
          </w:p>
        </w:tc>
        <w:tc>
          <w:tcPr>
            <w:tcW w:w="820" w:type="dxa"/>
            <w:tcBorders>
              <w:top w:val="nil"/>
              <w:left w:val="nil"/>
              <w:bottom w:val="nil"/>
              <w:right w:val="nil"/>
            </w:tcBorders>
            <w:shd w:val="clear" w:color="auto" w:fill="auto"/>
            <w:noWrap/>
            <w:vAlign w:val="bottom"/>
            <w:hideMark/>
          </w:tcPr>
          <w:p w14:paraId="1715A5EE"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13</w:t>
            </w:r>
          </w:p>
        </w:tc>
      </w:tr>
      <w:tr w:rsidR="00143A71" w:rsidRPr="007624C5" w14:paraId="699B7404" w14:textId="77777777" w:rsidTr="003F527F">
        <w:trPr>
          <w:trHeight w:val="315"/>
        </w:trPr>
        <w:tc>
          <w:tcPr>
            <w:tcW w:w="1660" w:type="dxa"/>
            <w:tcBorders>
              <w:top w:val="nil"/>
              <w:left w:val="nil"/>
              <w:bottom w:val="nil"/>
              <w:right w:val="nil"/>
            </w:tcBorders>
            <w:shd w:val="clear" w:color="auto" w:fill="auto"/>
            <w:noWrap/>
            <w:vAlign w:val="bottom"/>
            <w:hideMark/>
          </w:tcPr>
          <w:p w14:paraId="5F715E15" w14:textId="77777777" w:rsidR="00143A71" w:rsidRPr="007624C5"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Urban roads</w:t>
            </w:r>
          </w:p>
        </w:tc>
        <w:tc>
          <w:tcPr>
            <w:tcW w:w="880" w:type="dxa"/>
            <w:tcBorders>
              <w:top w:val="nil"/>
              <w:left w:val="nil"/>
              <w:bottom w:val="nil"/>
              <w:right w:val="nil"/>
            </w:tcBorders>
            <w:shd w:val="clear" w:color="auto" w:fill="auto"/>
            <w:noWrap/>
            <w:vAlign w:val="bottom"/>
            <w:hideMark/>
          </w:tcPr>
          <w:p w14:paraId="1B3332A8"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-3</w:t>
            </w:r>
          </w:p>
        </w:tc>
        <w:tc>
          <w:tcPr>
            <w:tcW w:w="880" w:type="dxa"/>
            <w:tcBorders>
              <w:top w:val="nil"/>
              <w:left w:val="nil"/>
              <w:bottom w:val="nil"/>
              <w:right w:val="nil"/>
            </w:tcBorders>
            <w:shd w:val="clear" w:color="auto" w:fill="auto"/>
            <w:noWrap/>
            <w:vAlign w:val="bottom"/>
            <w:hideMark/>
          </w:tcPr>
          <w:p w14:paraId="162B278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3</w:t>
            </w:r>
          </w:p>
        </w:tc>
        <w:tc>
          <w:tcPr>
            <w:tcW w:w="700" w:type="dxa"/>
            <w:tcBorders>
              <w:top w:val="nil"/>
              <w:left w:val="nil"/>
              <w:bottom w:val="nil"/>
              <w:right w:val="nil"/>
            </w:tcBorders>
            <w:shd w:val="clear" w:color="auto" w:fill="auto"/>
            <w:noWrap/>
            <w:vAlign w:val="bottom"/>
            <w:hideMark/>
          </w:tcPr>
          <w:p w14:paraId="10975CDA"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7</w:t>
            </w:r>
          </w:p>
        </w:tc>
        <w:tc>
          <w:tcPr>
            <w:tcW w:w="820" w:type="dxa"/>
            <w:tcBorders>
              <w:top w:val="nil"/>
              <w:left w:val="nil"/>
              <w:bottom w:val="nil"/>
              <w:right w:val="nil"/>
            </w:tcBorders>
            <w:shd w:val="clear" w:color="auto" w:fill="auto"/>
            <w:noWrap/>
            <w:vAlign w:val="bottom"/>
            <w:hideMark/>
          </w:tcPr>
          <w:p w14:paraId="19D1DAA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4</w:t>
            </w:r>
          </w:p>
        </w:tc>
        <w:tc>
          <w:tcPr>
            <w:tcW w:w="760" w:type="dxa"/>
            <w:tcBorders>
              <w:top w:val="nil"/>
              <w:left w:val="nil"/>
              <w:bottom w:val="nil"/>
              <w:right w:val="nil"/>
            </w:tcBorders>
            <w:shd w:val="clear" w:color="auto" w:fill="auto"/>
            <w:noWrap/>
            <w:vAlign w:val="bottom"/>
            <w:hideMark/>
          </w:tcPr>
          <w:p w14:paraId="22BD3E9D"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-19</w:t>
            </w:r>
          </w:p>
        </w:tc>
        <w:tc>
          <w:tcPr>
            <w:tcW w:w="760" w:type="dxa"/>
            <w:tcBorders>
              <w:top w:val="nil"/>
              <w:left w:val="nil"/>
              <w:bottom w:val="nil"/>
              <w:right w:val="nil"/>
            </w:tcBorders>
            <w:shd w:val="clear" w:color="auto" w:fill="auto"/>
            <w:noWrap/>
            <w:vAlign w:val="bottom"/>
            <w:hideMark/>
          </w:tcPr>
          <w:p w14:paraId="5117C4A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-15</w:t>
            </w:r>
          </w:p>
        </w:tc>
        <w:tc>
          <w:tcPr>
            <w:tcW w:w="880" w:type="dxa"/>
            <w:tcBorders>
              <w:top w:val="nil"/>
              <w:left w:val="nil"/>
              <w:bottom w:val="nil"/>
              <w:right w:val="nil"/>
            </w:tcBorders>
            <w:shd w:val="clear" w:color="auto" w:fill="auto"/>
            <w:noWrap/>
            <w:vAlign w:val="bottom"/>
            <w:hideMark/>
          </w:tcPr>
          <w:p w14:paraId="17DF4C27"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11</w:t>
            </w:r>
          </w:p>
        </w:tc>
        <w:tc>
          <w:tcPr>
            <w:tcW w:w="820" w:type="dxa"/>
            <w:tcBorders>
              <w:top w:val="nil"/>
              <w:left w:val="nil"/>
              <w:bottom w:val="nil"/>
              <w:right w:val="nil"/>
            </w:tcBorders>
            <w:shd w:val="clear" w:color="auto" w:fill="auto"/>
            <w:noWrap/>
            <w:vAlign w:val="bottom"/>
            <w:hideMark/>
          </w:tcPr>
          <w:p w14:paraId="6C792AB7"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-27</w:t>
            </w:r>
          </w:p>
        </w:tc>
        <w:tc>
          <w:tcPr>
            <w:tcW w:w="820" w:type="dxa"/>
            <w:tcBorders>
              <w:top w:val="nil"/>
              <w:left w:val="nil"/>
              <w:bottom w:val="nil"/>
              <w:right w:val="nil"/>
            </w:tcBorders>
            <w:shd w:val="clear" w:color="auto" w:fill="auto"/>
            <w:noWrap/>
            <w:vAlign w:val="bottom"/>
            <w:hideMark/>
          </w:tcPr>
          <w:p w14:paraId="7F68914F"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3</w:t>
            </w:r>
          </w:p>
        </w:tc>
      </w:tr>
      <w:tr w:rsidR="00143A71" w:rsidRPr="007624C5" w14:paraId="15D5B17C" w14:textId="77777777" w:rsidTr="003F527F">
        <w:trPr>
          <w:trHeight w:val="315"/>
        </w:trPr>
        <w:tc>
          <w:tcPr>
            <w:tcW w:w="1660" w:type="dxa"/>
            <w:tcBorders>
              <w:top w:val="nil"/>
              <w:left w:val="nil"/>
              <w:bottom w:val="nil"/>
              <w:right w:val="nil"/>
            </w:tcBorders>
            <w:shd w:val="clear" w:color="auto" w:fill="auto"/>
            <w:noWrap/>
            <w:vAlign w:val="bottom"/>
            <w:hideMark/>
          </w:tcPr>
          <w:p w14:paraId="0BBEA216" w14:textId="77777777" w:rsidR="00143A71" w:rsidRPr="007624C5"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Local roads</w:t>
            </w:r>
          </w:p>
        </w:tc>
        <w:tc>
          <w:tcPr>
            <w:tcW w:w="880" w:type="dxa"/>
            <w:tcBorders>
              <w:top w:val="nil"/>
              <w:left w:val="nil"/>
              <w:bottom w:val="nil"/>
              <w:right w:val="nil"/>
            </w:tcBorders>
            <w:shd w:val="clear" w:color="auto" w:fill="auto"/>
            <w:noWrap/>
            <w:vAlign w:val="bottom"/>
            <w:hideMark/>
          </w:tcPr>
          <w:p w14:paraId="2B5CD74C"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-11</w:t>
            </w:r>
          </w:p>
        </w:tc>
        <w:tc>
          <w:tcPr>
            <w:tcW w:w="880" w:type="dxa"/>
            <w:tcBorders>
              <w:top w:val="nil"/>
              <w:left w:val="nil"/>
              <w:bottom w:val="nil"/>
              <w:right w:val="nil"/>
            </w:tcBorders>
            <w:shd w:val="clear" w:color="auto" w:fill="auto"/>
            <w:noWrap/>
            <w:vAlign w:val="bottom"/>
            <w:hideMark/>
          </w:tcPr>
          <w:p w14:paraId="23BC4605"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-15</w:t>
            </w:r>
          </w:p>
        </w:tc>
        <w:tc>
          <w:tcPr>
            <w:tcW w:w="700" w:type="dxa"/>
            <w:tcBorders>
              <w:top w:val="nil"/>
              <w:left w:val="nil"/>
              <w:bottom w:val="nil"/>
              <w:right w:val="nil"/>
            </w:tcBorders>
            <w:shd w:val="clear" w:color="auto" w:fill="auto"/>
            <w:noWrap/>
            <w:vAlign w:val="bottom"/>
            <w:hideMark/>
          </w:tcPr>
          <w:p w14:paraId="08D6E544"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9</w:t>
            </w:r>
          </w:p>
        </w:tc>
        <w:tc>
          <w:tcPr>
            <w:tcW w:w="820" w:type="dxa"/>
            <w:tcBorders>
              <w:top w:val="nil"/>
              <w:left w:val="nil"/>
              <w:bottom w:val="nil"/>
              <w:right w:val="nil"/>
            </w:tcBorders>
            <w:shd w:val="clear" w:color="auto" w:fill="auto"/>
            <w:noWrap/>
            <w:vAlign w:val="bottom"/>
            <w:hideMark/>
          </w:tcPr>
          <w:p w14:paraId="37262511"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36</w:t>
            </w:r>
          </w:p>
        </w:tc>
        <w:tc>
          <w:tcPr>
            <w:tcW w:w="760" w:type="dxa"/>
            <w:tcBorders>
              <w:top w:val="nil"/>
              <w:left w:val="nil"/>
              <w:bottom w:val="nil"/>
              <w:right w:val="nil"/>
            </w:tcBorders>
            <w:shd w:val="clear" w:color="auto" w:fill="auto"/>
            <w:noWrap/>
            <w:vAlign w:val="bottom"/>
            <w:hideMark/>
          </w:tcPr>
          <w:p w14:paraId="4D68BBF7"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13</w:t>
            </w:r>
          </w:p>
        </w:tc>
        <w:tc>
          <w:tcPr>
            <w:tcW w:w="760" w:type="dxa"/>
            <w:tcBorders>
              <w:top w:val="nil"/>
              <w:left w:val="nil"/>
              <w:bottom w:val="nil"/>
              <w:right w:val="nil"/>
            </w:tcBorders>
            <w:shd w:val="clear" w:color="auto" w:fill="auto"/>
            <w:noWrap/>
            <w:vAlign w:val="bottom"/>
            <w:hideMark/>
          </w:tcPr>
          <w:p w14:paraId="45FFD4D0"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-15</w:t>
            </w:r>
          </w:p>
        </w:tc>
        <w:tc>
          <w:tcPr>
            <w:tcW w:w="880" w:type="dxa"/>
            <w:tcBorders>
              <w:top w:val="nil"/>
              <w:left w:val="nil"/>
              <w:bottom w:val="nil"/>
              <w:right w:val="nil"/>
            </w:tcBorders>
            <w:shd w:val="clear" w:color="auto" w:fill="auto"/>
            <w:noWrap/>
            <w:vAlign w:val="bottom"/>
            <w:hideMark/>
          </w:tcPr>
          <w:p w14:paraId="0294007D"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-15</w:t>
            </w:r>
          </w:p>
        </w:tc>
        <w:tc>
          <w:tcPr>
            <w:tcW w:w="820" w:type="dxa"/>
            <w:tcBorders>
              <w:top w:val="nil"/>
              <w:left w:val="nil"/>
              <w:bottom w:val="nil"/>
              <w:right w:val="nil"/>
            </w:tcBorders>
            <w:shd w:val="clear" w:color="auto" w:fill="auto"/>
            <w:noWrap/>
            <w:vAlign w:val="bottom"/>
            <w:hideMark/>
          </w:tcPr>
          <w:p w14:paraId="02E3757C"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142</w:t>
            </w:r>
          </w:p>
        </w:tc>
        <w:tc>
          <w:tcPr>
            <w:tcW w:w="820" w:type="dxa"/>
            <w:tcBorders>
              <w:top w:val="nil"/>
              <w:left w:val="nil"/>
              <w:bottom w:val="nil"/>
              <w:right w:val="nil"/>
            </w:tcBorders>
            <w:shd w:val="clear" w:color="auto" w:fill="auto"/>
            <w:noWrap/>
            <w:vAlign w:val="bottom"/>
            <w:hideMark/>
          </w:tcPr>
          <w:p w14:paraId="6B1EC0C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8</w:t>
            </w:r>
          </w:p>
        </w:tc>
      </w:tr>
      <w:tr w:rsidR="00143A71" w:rsidRPr="007624C5" w14:paraId="0FAB1132" w14:textId="77777777" w:rsidTr="003F527F">
        <w:trPr>
          <w:trHeight w:val="315"/>
        </w:trPr>
        <w:tc>
          <w:tcPr>
            <w:tcW w:w="1660" w:type="dxa"/>
            <w:tcBorders>
              <w:top w:val="nil"/>
              <w:left w:val="nil"/>
              <w:bottom w:val="nil"/>
              <w:right w:val="nil"/>
            </w:tcBorders>
            <w:shd w:val="clear" w:color="auto" w:fill="auto"/>
            <w:noWrap/>
            <w:vAlign w:val="bottom"/>
            <w:hideMark/>
          </w:tcPr>
          <w:p w14:paraId="42069A51" w14:textId="77777777" w:rsidR="00143A71" w:rsidRPr="007624C5"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Bridges</w:t>
            </w:r>
          </w:p>
        </w:tc>
        <w:tc>
          <w:tcPr>
            <w:tcW w:w="880" w:type="dxa"/>
            <w:tcBorders>
              <w:top w:val="nil"/>
              <w:left w:val="nil"/>
              <w:bottom w:val="nil"/>
              <w:right w:val="nil"/>
            </w:tcBorders>
            <w:shd w:val="clear" w:color="auto" w:fill="auto"/>
            <w:noWrap/>
            <w:vAlign w:val="bottom"/>
            <w:hideMark/>
          </w:tcPr>
          <w:p w14:paraId="125AFF14"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880" w:type="dxa"/>
            <w:tcBorders>
              <w:top w:val="nil"/>
              <w:left w:val="nil"/>
              <w:bottom w:val="nil"/>
              <w:right w:val="nil"/>
            </w:tcBorders>
            <w:shd w:val="clear" w:color="auto" w:fill="auto"/>
            <w:noWrap/>
            <w:vAlign w:val="bottom"/>
            <w:hideMark/>
          </w:tcPr>
          <w:p w14:paraId="47F85A16"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700" w:type="dxa"/>
            <w:tcBorders>
              <w:top w:val="nil"/>
              <w:left w:val="nil"/>
              <w:bottom w:val="nil"/>
              <w:right w:val="nil"/>
            </w:tcBorders>
            <w:shd w:val="clear" w:color="auto" w:fill="auto"/>
            <w:noWrap/>
            <w:vAlign w:val="bottom"/>
            <w:hideMark/>
          </w:tcPr>
          <w:p w14:paraId="1DA4E43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14:paraId="59D322B6"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760" w:type="dxa"/>
            <w:tcBorders>
              <w:top w:val="nil"/>
              <w:left w:val="nil"/>
              <w:bottom w:val="nil"/>
              <w:right w:val="nil"/>
            </w:tcBorders>
            <w:shd w:val="clear" w:color="auto" w:fill="auto"/>
            <w:noWrap/>
            <w:vAlign w:val="bottom"/>
            <w:hideMark/>
          </w:tcPr>
          <w:p w14:paraId="13E78413"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760" w:type="dxa"/>
            <w:tcBorders>
              <w:top w:val="nil"/>
              <w:left w:val="nil"/>
              <w:bottom w:val="nil"/>
              <w:right w:val="nil"/>
            </w:tcBorders>
            <w:shd w:val="clear" w:color="auto" w:fill="auto"/>
            <w:noWrap/>
            <w:vAlign w:val="bottom"/>
            <w:hideMark/>
          </w:tcPr>
          <w:p w14:paraId="33C28C38"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-1</w:t>
            </w:r>
          </w:p>
        </w:tc>
        <w:tc>
          <w:tcPr>
            <w:tcW w:w="880" w:type="dxa"/>
            <w:tcBorders>
              <w:top w:val="nil"/>
              <w:left w:val="nil"/>
              <w:bottom w:val="nil"/>
              <w:right w:val="nil"/>
            </w:tcBorders>
            <w:shd w:val="clear" w:color="auto" w:fill="auto"/>
            <w:noWrap/>
            <w:vAlign w:val="bottom"/>
            <w:hideMark/>
          </w:tcPr>
          <w:p w14:paraId="498A067A"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14:paraId="4F2750C2"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14:paraId="32520588" w14:textId="77777777" w:rsidR="00143A71" w:rsidRPr="007624C5"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7624C5">
              <w:rPr>
                <w:rFonts w:ascii="Calibri" w:eastAsia="Times New Roman" w:hAnsi="Calibri" w:cs="Times New Roman"/>
                <w:sz w:val="20"/>
                <w:szCs w:val="20"/>
                <w:lang w:eastAsia="en-AU"/>
              </w:rPr>
              <w:t>0</w:t>
            </w:r>
          </w:p>
        </w:tc>
      </w:tr>
      <w:tr w:rsidR="00143A71" w:rsidRPr="00047B80" w14:paraId="37BACCC6" w14:textId="77777777" w:rsidTr="003F527F">
        <w:trPr>
          <w:trHeight w:val="315"/>
        </w:trPr>
        <w:tc>
          <w:tcPr>
            <w:tcW w:w="1660" w:type="dxa"/>
            <w:tcBorders>
              <w:top w:val="nil"/>
              <w:left w:val="nil"/>
              <w:bottom w:val="nil"/>
              <w:right w:val="nil"/>
            </w:tcBorders>
            <w:shd w:val="clear" w:color="auto" w:fill="auto"/>
            <w:noWrap/>
            <w:vAlign w:val="bottom"/>
            <w:hideMark/>
          </w:tcPr>
          <w:p w14:paraId="30BF5606" w14:textId="77777777" w:rsidR="00143A71" w:rsidRPr="00047B80"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Other services</w:t>
            </w:r>
          </w:p>
        </w:tc>
        <w:tc>
          <w:tcPr>
            <w:tcW w:w="880" w:type="dxa"/>
            <w:tcBorders>
              <w:top w:val="nil"/>
              <w:left w:val="nil"/>
              <w:bottom w:val="nil"/>
              <w:right w:val="nil"/>
            </w:tcBorders>
            <w:shd w:val="clear" w:color="auto" w:fill="auto"/>
            <w:noWrap/>
            <w:vAlign w:val="bottom"/>
            <w:hideMark/>
          </w:tcPr>
          <w:p w14:paraId="3753FA20"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0</w:t>
            </w:r>
          </w:p>
        </w:tc>
        <w:tc>
          <w:tcPr>
            <w:tcW w:w="880" w:type="dxa"/>
            <w:tcBorders>
              <w:top w:val="nil"/>
              <w:left w:val="nil"/>
              <w:bottom w:val="nil"/>
              <w:right w:val="nil"/>
            </w:tcBorders>
            <w:shd w:val="clear" w:color="auto" w:fill="auto"/>
            <w:noWrap/>
            <w:vAlign w:val="bottom"/>
            <w:hideMark/>
          </w:tcPr>
          <w:p w14:paraId="2BAF5E37"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-1</w:t>
            </w:r>
          </w:p>
        </w:tc>
        <w:tc>
          <w:tcPr>
            <w:tcW w:w="700" w:type="dxa"/>
            <w:tcBorders>
              <w:top w:val="nil"/>
              <w:left w:val="nil"/>
              <w:bottom w:val="nil"/>
              <w:right w:val="nil"/>
            </w:tcBorders>
            <w:shd w:val="clear" w:color="auto" w:fill="auto"/>
            <w:noWrap/>
            <w:vAlign w:val="bottom"/>
            <w:hideMark/>
          </w:tcPr>
          <w:p w14:paraId="01BE2D7D"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14:paraId="77E3CF27"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2</w:t>
            </w:r>
          </w:p>
        </w:tc>
        <w:tc>
          <w:tcPr>
            <w:tcW w:w="760" w:type="dxa"/>
            <w:tcBorders>
              <w:top w:val="nil"/>
              <w:left w:val="nil"/>
              <w:bottom w:val="nil"/>
              <w:right w:val="nil"/>
            </w:tcBorders>
            <w:shd w:val="clear" w:color="auto" w:fill="auto"/>
            <w:noWrap/>
            <w:vAlign w:val="bottom"/>
            <w:hideMark/>
          </w:tcPr>
          <w:p w14:paraId="798EF497"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-1</w:t>
            </w:r>
          </w:p>
        </w:tc>
        <w:tc>
          <w:tcPr>
            <w:tcW w:w="760" w:type="dxa"/>
            <w:tcBorders>
              <w:top w:val="nil"/>
              <w:left w:val="nil"/>
              <w:bottom w:val="nil"/>
              <w:right w:val="nil"/>
            </w:tcBorders>
            <w:shd w:val="clear" w:color="auto" w:fill="auto"/>
            <w:noWrap/>
            <w:vAlign w:val="bottom"/>
            <w:hideMark/>
          </w:tcPr>
          <w:p w14:paraId="7C4A4B80"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-3</w:t>
            </w:r>
          </w:p>
        </w:tc>
        <w:tc>
          <w:tcPr>
            <w:tcW w:w="880" w:type="dxa"/>
            <w:tcBorders>
              <w:top w:val="nil"/>
              <w:left w:val="nil"/>
              <w:bottom w:val="nil"/>
              <w:right w:val="nil"/>
            </w:tcBorders>
            <w:shd w:val="clear" w:color="auto" w:fill="auto"/>
            <w:noWrap/>
            <w:vAlign w:val="bottom"/>
            <w:hideMark/>
          </w:tcPr>
          <w:p w14:paraId="493F5713"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2</w:t>
            </w:r>
          </w:p>
        </w:tc>
        <w:tc>
          <w:tcPr>
            <w:tcW w:w="820" w:type="dxa"/>
            <w:tcBorders>
              <w:top w:val="nil"/>
              <w:left w:val="nil"/>
              <w:bottom w:val="nil"/>
              <w:right w:val="nil"/>
            </w:tcBorders>
            <w:shd w:val="clear" w:color="auto" w:fill="auto"/>
            <w:noWrap/>
            <w:vAlign w:val="bottom"/>
            <w:hideMark/>
          </w:tcPr>
          <w:p w14:paraId="1DFC4B32"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3</w:t>
            </w:r>
          </w:p>
        </w:tc>
        <w:tc>
          <w:tcPr>
            <w:tcW w:w="820" w:type="dxa"/>
            <w:tcBorders>
              <w:top w:val="nil"/>
              <w:left w:val="nil"/>
              <w:bottom w:val="nil"/>
              <w:right w:val="nil"/>
            </w:tcBorders>
            <w:shd w:val="clear" w:color="auto" w:fill="auto"/>
            <w:noWrap/>
            <w:vAlign w:val="bottom"/>
            <w:hideMark/>
          </w:tcPr>
          <w:p w14:paraId="72DD8817"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0</w:t>
            </w:r>
          </w:p>
        </w:tc>
      </w:tr>
      <w:tr w:rsidR="00143A71" w:rsidRPr="00047B80" w14:paraId="176CFDA6" w14:textId="77777777" w:rsidTr="003F527F">
        <w:trPr>
          <w:trHeight w:val="315"/>
        </w:trPr>
        <w:tc>
          <w:tcPr>
            <w:tcW w:w="1660" w:type="dxa"/>
            <w:tcBorders>
              <w:top w:val="nil"/>
              <w:left w:val="nil"/>
              <w:bottom w:val="single" w:sz="4" w:space="0" w:color="auto"/>
              <w:right w:val="nil"/>
            </w:tcBorders>
            <w:shd w:val="clear" w:color="auto" w:fill="auto"/>
            <w:noWrap/>
            <w:vAlign w:val="bottom"/>
            <w:hideMark/>
          </w:tcPr>
          <w:p w14:paraId="144E897F" w14:textId="77777777" w:rsidR="00143A71" w:rsidRPr="00047B80" w:rsidRDefault="00143A71" w:rsidP="003F527F">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Total</w:t>
            </w:r>
          </w:p>
        </w:tc>
        <w:tc>
          <w:tcPr>
            <w:tcW w:w="880" w:type="dxa"/>
            <w:tcBorders>
              <w:top w:val="single" w:sz="4" w:space="0" w:color="auto"/>
              <w:left w:val="nil"/>
              <w:bottom w:val="single" w:sz="4" w:space="0" w:color="auto"/>
              <w:right w:val="nil"/>
            </w:tcBorders>
            <w:shd w:val="clear" w:color="auto" w:fill="auto"/>
            <w:noWrap/>
            <w:vAlign w:val="bottom"/>
            <w:hideMark/>
          </w:tcPr>
          <w:p w14:paraId="23FD7E24"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-27</w:t>
            </w:r>
          </w:p>
        </w:tc>
        <w:tc>
          <w:tcPr>
            <w:tcW w:w="880" w:type="dxa"/>
            <w:tcBorders>
              <w:top w:val="single" w:sz="4" w:space="0" w:color="auto"/>
              <w:left w:val="nil"/>
              <w:bottom w:val="single" w:sz="4" w:space="0" w:color="auto"/>
              <w:right w:val="nil"/>
            </w:tcBorders>
            <w:shd w:val="clear" w:color="auto" w:fill="auto"/>
            <w:noWrap/>
            <w:vAlign w:val="bottom"/>
            <w:hideMark/>
          </w:tcPr>
          <w:p w14:paraId="4EDCFCF9"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-40</w:t>
            </w:r>
          </w:p>
        </w:tc>
        <w:tc>
          <w:tcPr>
            <w:tcW w:w="700" w:type="dxa"/>
            <w:tcBorders>
              <w:top w:val="single" w:sz="4" w:space="0" w:color="auto"/>
              <w:left w:val="nil"/>
              <w:bottom w:val="single" w:sz="4" w:space="0" w:color="auto"/>
              <w:right w:val="nil"/>
            </w:tcBorders>
            <w:shd w:val="clear" w:color="auto" w:fill="auto"/>
            <w:noWrap/>
            <w:vAlign w:val="bottom"/>
            <w:hideMark/>
          </w:tcPr>
          <w:p w14:paraId="0EE1CAC1"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26</w:t>
            </w:r>
          </w:p>
        </w:tc>
        <w:tc>
          <w:tcPr>
            <w:tcW w:w="820" w:type="dxa"/>
            <w:tcBorders>
              <w:top w:val="single" w:sz="4" w:space="0" w:color="auto"/>
              <w:left w:val="nil"/>
              <w:bottom w:val="single" w:sz="4" w:space="0" w:color="auto"/>
              <w:right w:val="nil"/>
            </w:tcBorders>
            <w:shd w:val="clear" w:color="auto" w:fill="auto"/>
            <w:noWrap/>
            <w:vAlign w:val="bottom"/>
            <w:hideMark/>
          </w:tcPr>
          <w:p w14:paraId="072C0FFB"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90</w:t>
            </w:r>
          </w:p>
        </w:tc>
        <w:tc>
          <w:tcPr>
            <w:tcW w:w="760" w:type="dxa"/>
            <w:tcBorders>
              <w:top w:val="single" w:sz="4" w:space="0" w:color="auto"/>
              <w:left w:val="nil"/>
              <w:bottom w:val="single" w:sz="4" w:space="0" w:color="auto"/>
              <w:right w:val="nil"/>
            </w:tcBorders>
            <w:shd w:val="clear" w:color="auto" w:fill="auto"/>
            <w:noWrap/>
            <w:vAlign w:val="bottom"/>
            <w:hideMark/>
          </w:tcPr>
          <w:p w14:paraId="406DB6B2"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41</w:t>
            </w:r>
          </w:p>
        </w:tc>
        <w:tc>
          <w:tcPr>
            <w:tcW w:w="760" w:type="dxa"/>
            <w:tcBorders>
              <w:top w:val="single" w:sz="4" w:space="0" w:color="auto"/>
              <w:left w:val="nil"/>
              <w:bottom w:val="single" w:sz="4" w:space="0" w:color="auto"/>
              <w:right w:val="nil"/>
            </w:tcBorders>
            <w:shd w:val="clear" w:color="auto" w:fill="auto"/>
            <w:noWrap/>
            <w:vAlign w:val="bottom"/>
            <w:hideMark/>
          </w:tcPr>
          <w:p w14:paraId="4C06B270"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-24</w:t>
            </w:r>
          </w:p>
        </w:tc>
        <w:tc>
          <w:tcPr>
            <w:tcW w:w="880" w:type="dxa"/>
            <w:tcBorders>
              <w:top w:val="single" w:sz="4" w:space="0" w:color="auto"/>
              <w:left w:val="nil"/>
              <w:bottom w:val="single" w:sz="4" w:space="0" w:color="auto"/>
              <w:right w:val="nil"/>
            </w:tcBorders>
            <w:shd w:val="clear" w:color="auto" w:fill="auto"/>
            <w:noWrap/>
            <w:vAlign w:val="bottom"/>
            <w:hideMark/>
          </w:tcPr>
          <w:p w14:paraId="37F8627B"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-110</w:t>
            </w:r>
          </w:p>
        </w:tc>
        <w:tc>
          <w:tcPr>
            <w:tcW w:w="820" w:type="dxa"/>
            <w:tcBorders>
              <w:top w:val="single" w:sz="4" w:space="0" w:color="auto"/>
              <w:left w:val="nil"/>
              <w:bottom w:val="single" w:sz="4" w:space="0" w:color="auto"/>
              <w:right w:val="nil"/>
            </w:tcBorders>
            <w:shd w:val="clear" w:color="auto" w:fill="auto"/>
            <w:noWrap/>
            <w:vAlign w:val="bottom"/>
            <w:hideMark/>
          </w:tcPr>
          <w:p w14:paraId="4EE6E2D2"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400</w:t>
            </w:r>
          </w:p>
        </w:tc>
        <w:tc>
          <w:tcPr>
            <w:tcW w:w="820" w:type="dxa"/>
            <w:tcBorders>
              <w:top w:val="single" w:sz="4" w:space="0" w:color="auto"/>
              <w:left w:val="nil"/>
              <w:bottom w:val="single" w:sz="4" w:space="0" w:color="auto"/>
              <w:right w:val="nil"/>
            </w:tcBorders>
            <w:shd w:val="clear" w:color="auto" w:fill="auto"/>
            <w:noWrap/>
            <w:vAlign w:val="bottom"/>
            <w:hideMark/>
          </w:tcPr>
          <w:p w14:paraId="0A987FD6" w14:textId="77777777" w:rsidR="00143A71" w:rsidRPr="00047B80" w:rsidRDefault="00143A71" w:rsidP="003F527F">
            <w:pPr>
              <w:keepNext/>
              <w:keepLines/>
              <w:tabs>
                <w:tab w:val="clear" w:pos="567"/>
              </w:tabs>
              <w:spacing w:after="0" w:line="240" w:lineRule="auto"/>
              <w:jc w:val="right"/>
              <w:rPr>
                <w:rFonts w:ascii="Calibri" w:eastAsia="Times New Roman" w:hAnsi="Calibri" w:cs="Times New Roman"/>
                <w:sz w:val="20"/>
                <w:szCs w:val="20"/>
                <w:lang w:eastAsia="en-AU"/>
              </w:rPr>
            </w:pPr>
            <w:r w:rsidRPr="00047B80">
              <w:rPr>
                <w:rFonts w:ascii="Calibri" w:eastAsia="Times New Roman" w:hAnsi="Calibri" w:cs="Times New Roman"/>
                <w:sz w:val="20"/>
                <w:szCs w:val="20"/>
                <w:lang w:eastAsia="en-AU"/>
              </w:rPr>
              <w:t>21</w:t>
            </w:r>
          </w:p>
        </w:tc>
      </w:tr>
    </w:tbl>
    <w:p w14:paraId="4B4B9907" w14:textId="77777777" w:rsidR="00143A71" w:rsidRPr="00047B80" w:rsidRDefault="00143A71" w:rsidP="00143A71">
      <w:pPr>
        <w:pStyle w:val="CGCTableFootnote"/>
      </w:pPr>
      <w:r w:rsidRPr="00047B80">
        <w:t>Note:</w:t>
      </w:r>
      <w:r w:rsidRPr="00047B80">
        <w:tab/>
        <w:t>Columns do not add to total due to interactions.</w:t>
      </w:r>
    </w:p>
    <w:p w14:paraId="2E3A8593" w14:textId="77777777" w:rsidR="00143A71" w:rsidRDefault="00143A71" w:rsidP="00143A71">
      <w:pPr>
        <w:pStyle w:val="CGCTableFootnote"/>
      </w:pPr>
      <w:r w:rsidRPr="00047B80">
        <w:t>Source:</w:t>
      </w:r>
      <w:r w:rsidRPr="00047B80">
        <w:tab/>
        <w:t>Commission calculation.</w:t>
      </w:r>
    </w:p>
    <w:p w14:paraId="16231EB0" w14:textId="77777777" w:rsidR="00F83306" w:rsidRDefault="00F83306" w:rsidP="00F83306">
      <w:pPr>
        <w:pStyle w:val="Heading3"/>
      </w:pPr>
      <w:bookmarkStart w:id="42" w:name="_Toc509326360"/>
      <w:bookmarkStart w:id="43" w:name="_Toc511380290"/>
      <w:r>
        <w:t>I</w:t>
      </w:r>
      <w:r w:rsidR="00AF5AE4">
        <w:t>ssues</w:t>
      </w:r>
      <w:r>
        <w:t xml:space="preserve"> </w:t>
      </w:r>
      <w:r w:rsidR="00AF5AE4">
        <w:t>and</w:t>
      </w:r>
      <w:r>
        <w:t xml:space="preserve"> </w:t>
      </w:r>
      <w:r w:rsidR="00AF5AE4">
        <w:t>analysis</w:t>
      </w:r>
      <w:bookmarkEnd w:id="42"/>
      <w:bookmarkEnd w:id="43"/>
    </w:p>
    <w:p w14:paraId="5C5D07F3" w14:textId="77777777" w:rsidR="00883E16" w:rsidRDefault="00883E16" w:rsidP="00883E16">
      <w:pPr>
        <w:pStyle w:val="CGCNumberedPara"/>
        <w:numPr>
          <w:ilvl w:val="1"/>
          <w:numId w:val="3"/>
        </w:numPr>
      </w:pPr>
      <w:r w:rsidRPr="00741FF2">
        <w:t xml:space="preserve">The </w:t>
      </w:r>
      <w:r>
        <w:t>main</w:t>
      </w:r>
      <w:r w:rsidRPr="00741FF2">
        <w:t xml:space="preserve"> issue</w:t>
      </w:r>
      <w:r>
        <w:t>s</w:t>
      </w:r>
      <w:r w:rsidRPr="00741FF2">
        <w:t xml:space="preserve"> to be considered </w:t>
      </w:r>
      <w:r>
        <w:t>are:</w:t>
      </w:r>
    </w:p>
    <w:p w14:paraId="7806D016" w14:textId="77777777" w:rsidR="00883E16" w:rsidRDefault="00883E16" w:rsidP="00883E16">
      <w:pPr>
        <w:pStyle w:val="CGCBulletlist"/>
        <w:numPr>
          <w:ilvl w:val="0"/>
          <w:numId w:val="1"/>
        </w:numPr>
        <w:tabs>
          <w:tab w:val="clear" w:pos="786"/>
        </w:tabs>
        <w:ind w:left="1134" w:hanging="567"/>
      </w:pPr>
      <w:r>
        <w:t>the measurement of rural road length</w:t>
      </w:r>
    </w:p>
    <w:p w14:paraId="3869E1E4" w14:textId="77777777" w:rsidR="00883E16" w:rsidRDefault="00883E16" w:rsidP="00883E16">
      <w:pPr>
        <w:pStyle w:val="CGCBulletlist"/>
        <w:numPr>
          <w:ilvl w:val="0"/>
          <w:numId w:val="1"/>
        </w:numPr>
        <w:tabs>
          <w:tab w:val="clear" w:pos="786"/>
        </w:tabs>
        <w:ind w:left="1134" w:hanging="567"/>
      </w:pPr>
      <w:r>
        <w:lastRenderedPageBreak/>
        <w:t>the measurement of urban road length</w:t>
      </w:r>
    </w:p>
    <w:p w14:paraId="510BB215" w14:textId="77777777" w:rsidR="00C80039" w:rsidRDefault="00C80039" w:rsidP="00883E16">
      <w:pPr>
        <w:pStyle w:val="CGCBulletlist"/>
        <w:numPr>
          <w:ilvl w:val="0"/>
          <w:numId w:val="1"/>
        </w:numPr>
        <w:tabs>
          <w:tab w:val="clear" w:pos="786"/>
        </w:tabs>
        <w:ind w:left="1134" w:hanging="567"/>
      </w:pPr>
      <w:r>
        <w:t>the expenses included in the local roads component</w:t>
      </w:r>
    </w:p>
    <w:p w14:paraId="48BBA9B1" w14:textId="77777777" w:rsidR="00C80039" w:rsidRDefault="00C80039" w:rsidP="00883E16">
      <w:pPr>
        <w:pStyle w:val="CGCBulletlist"/>
        <w:numPr>
          <w:ilvl w:val="0"/>
          <w:numId w:val="1"/>
        </w:numPr>
        <w:tabs>
          <w:tab w:val="clear" w:pos="786"/>
        </w:tabs>
        <w:ind w:left="1134" w:hanging="567"/>
      </w:pPr>
      <w:r>
        <w:t>the assessment of bridges expenses</w:t>
      </w:r>
    </w:p>
    <w:p w14:paraId="6269D1E0" w14:textId="77777777" w:rsidR="00C80039" w:rsidRDefault="00C80039" w:rsidP="00883E16">
      <w:pPr>
        <w:pStyle w:val="CGCBulletlist"/>
        <w:numPr>
          <w:ilvl w:val="0"/>
          <w:numId w:val="1"/>
        </w:numPr>
        <w:tabs>
          <w:tab w:val="clear" w:pos="786"/>
        </w:tabs>
        <w:ind w:left="1134" w:hanging="567"/>
      </w:pPr>
      <w:r>
        <w:t>the assessment of other services expenses</w:t>
      </w:r>
    </w:p>
    <w:p w14:paraId="10A571C5" w14:textId="77777777" w:rsidR="00C80039" w:rsidRDefault="00C80039" w:rsidP="00883E16">
      <w:pPr>
        <w:pStyle w:val="CGCBulletlist"/>
        <w:numPr>
          <w:ilvl w:val="0"/>
          <w:numId w:val="1"/>
        </w:numPr>
        <w:tabs>
          <w:tab w:val="clear" w:pos="786"/>
        </w:tabs>
        <w:ind w:left="1134" w:hanging="567"/>
      </w:pPr>
      <w:proofErr w:type="gramStart"/>
      <w:r>
        <w:t>the</w:t>
      </w:r>
      <w:proofErr w:type="gramEnd"/>
      <w:r>
        <w:t xml:space="preserve"> assessment of physical environment.</w:t>
      </w:r>
    </w:p>
    <w:p w14:paraId="360A3B8E" w14:textId="77777777" w:rsidR="00F83306" w:rsidRDefault="00972A09" w:rsidP="00F83306">
      <w:pPr>
        <w:pStyle w:val="Heading4"/>
      </w:pPr>
      <w:bookmarkStart w:id="44" w:name="_Toc509326361"/>
      <w:bookmarkStart w:id="45" w:name="_Toc511380291"/>
      <w:r>
        <w:t>Rural road length</w:t>
      </w:r>
      <w:bookmarkEnd w:id="44"/>
      <w:bookmarkEnd w:id="45"/>
      <w:r>
        <w:t xml:space="preserve"> </w:t>
      </w:r>
    </w:p>
    <w:p w14:paraId="0E9E437D" w14:textId="2129B8AE" w:rsidR="00C63C5C" w:rsidRPr="0047444A" w:rsidRDefault="009E4C28" w:rsidP="009E4C28">
      <w:pPr>
        <w:pStyle w:val="CGCNumberedPara"/>
      </w:pPr>
      <w:r>
        <w:t xml:space="preserve">In the 2010 Review, the Commission developed a synthetic rural road network to measure rural road length. The Commission did not use actual road length because the definition of State roads varied across the States. As shown in </w:t>
      </w:r>
      <w:r>
        <w:fldChar w:fldCharType="begin"/>
      </w:r>
      <w:r>
        <w:instrText xml:space="preserve"> REF _Ref507057670 \h </w:instrText>
      </w:r>
      <w:r>
        <w:fldChar w:fldCharType="separate"/>
      </w:r>
      <w:r w:rsidR="004B3502">
        <w:t xml:space="preserve">Table </w:t>
      </w:r>
      <w:r w:rsidR="004B3502">
        <w:rPr>
          <w:noProof/>
        </w:rPr>
        <w:t>6</w:t>
      </w:r>
      <w:r>
        <w:fldChar w:fldCharType="end"/>
      </w:r>
      <w:r>
        <w:t>, there are substantial differences between the actual length of State managed rural roads reported by the States and the Commission’s assessed road length. The differences are particularly evident for New South Wales, South Australia and the Northern Territory.</w:t>
      </w:r>
    </w:p>
    <w:p w14:paraId="044EC1D2" w14:textId="77777777" w:rsidR="00600B03" w:rsidRDefault="00600B03" w:rsidP="00600B03">
      <w:pPr>
        <w:pStyle w:val="Caption"/>
      </w:pPr>
      <w:bookmarkStart w:id="46" w:name="_Ref507057670"/>
      <w:r>
        <w:t xml:space="preserve">Table </w:t>
      </w:r>
      <w:fldSimple w:instr=" SEQ Table \* ARABIC ">
        <w:r w:rsidR="004B3502">
          <w:rPr>
            <w:noProof/>
          </w:rPr>
          <w:t>6</w:t>
        </w:r>
      </w:fldSimple>
      <w:bookmarkEnd w:id="46"/>
      <w:r>
        <w:tab/>
        <w:t xml:space="preserve">Actual and assessed rural road length </w:t>
      </w:r>
    </w:p>
    <w:tbl>
      <w:tblPr>
        <w:tblW w:w="8940" w:type="dxa"/>
        <w:tblInd w:w="93" w:type="dxa"/>
        <w:tblLook w:val="04A0" w:firstRow="1" w:lastRow="0" w:firstColumn="1" w:lastColumn="0" w:noHBand="0" w:noVBand="1"/>
      </w:tblPr>
      <w:tblGrid>
        <w:gridCol w:w="1540"/>
        <w:gridCol w:w="840"/>
        <w:gridCol w:w="840"/>
        <w:gridCol w:w="840"/>
        <w:gridCol w:w="840"/>
        <w:gridCol w:w="840"/>
        <w:gridCol w:w="740"/>
        <w:gridCol w:w="680"/>
        <w:gridCol w:w="840"/>
        <w:gridCol w:w="940"/>
      </w:tblGrid>
      <w:tr w:rsidR="00AB6D29" w:rsidRPr="00AB6D29" w14:paraId="6670FAC0" w14:textId="77777777" w:rsidTr="00AB6D29">
        <w:trPr>
          <w:trHeight w:val="379"/>
        </w:trPr>
        <w:tc>
          <w:tcPr>
            <w:tcW w:w="1540" w:type="dxa"/>
            <w:tcBorders>
              <w:top w:val="single" w:sz="4" w:space="0" w:color="auto"/>
              <w:left w:val="nil"/>
              <w:bottom w:val="single" w:sz="4" w:space="0" w:color="auto"/>
              <w:right w:val="nil"/>
            </w:tcBorders>
            <w:shd w:val="clear" w:color="auto" w:fill="auto"/>
            <w:noWrap/>
            <w:vAlign w:val="center"/>
            <w:hideMark/>
          </w:tcPr>
          <w:p w14:paraId="2CC18BB0"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bookmarkStart w:id="47" w:name="RANGE!A4:J8"/>
            <w:r w:rsidRPr="00AB6D29">
              <w:rPr>
                <w:rFonts w:ascii="Calibri" w:eastAsia="Times New Roman" w:hAnsi="Calibri" w:cs="Times New Roman"/>
                <w:color w:val="000000"/>
                <w:sz w:val="20"/>
                <w:szCs w:val="20"/>
                <w:lang w:eastAsia="en-AU"/>
              </w:rPr>
              <w:t> </w:t>
            </w:r>
            <w:bookmarkEnd w:id="47"/>
          </w:p>
        </w:tc>
        <w:tc>
          <w:tcPr>
            <w:tcW w:w="840" w:type="dxa"/>
            <w:tcBorders>
              <w:top w:val="single" w:sz="4" w:space="0" w:color="auto"/>
              <w:left w:val="nil"/>
              <w:bottom w:val="single" w:sz="4" w:space="0" w:color="auto"/>
              <w:right w:val="nil"/>
            </w:tcBorders>
            <w:shd w:val="clear" w:color="auto" w:fill="auto"/>
            <w:noWrap/>
            <w:vAlign w:val="center"/>
            <w:hideMark/>
          </w:tcPr>
          <w:p w14:paraId="1818B722"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NSW</w:t>
            </w:r>
          </w:p>
        </w:tc>
        <w:tc>
          <w:tcPr>
            <w:tcW w:w="840" w:type="dxa"/>
            <w:tcBorders>
              <w:top w:val="single" w:sz="4" w:space="0" w:color="auto"/>
              <w:left w:val="nil"/>
              <w:bottom w:val="single" w:sz="4" w:space="0" w:color="auto"/>
              <w:right w:val="nil"/>
            </w:tcBorders>
            <w:shd w:val="clear" w:color="auto" w:fill="auto"/>
            <w:noWrap/>
            <w:vAlign w:val="center"/>
            <w:hideMark/>
          </w:tcPr>
          <w:p w14:paraId="07363ED0"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Vic</w:t>
            </w:r>
          </w:p>
        </w:tc>
        <w:tc>
          <w:tcPr>
            <w:tcW w:w="840" w:type="dxa"/>
            <w:tcBorders>
              <w:top w:val="single" w:sz="4" w:space="0" w:color="auto"/>
              <w:left w:val="nil"/>
              <w:bottom w:val="single" w:sz="4" w:space="0" w:color="auto"/>
              <w:right w:val="nil"/>
            </w:tcBorders>
            <w:shd w:val="clear" w:color="auto" w:fill="auto"/>
            <w:noWrap/>
            <w:vAlign w:val="center"/>
            <w:hideMark/>
          </w:tcPr>
          <w:p w14:paraId="47147286"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Qld</w:t>
            </w:r>
          </w:p>
        </w:tc>
        <w:tc>
          <w:tcPr>
            <w:tcW w:w="840" w:type="dxa"/>
            <w:tcBorders>
              <w:top w:val="single" w:sz="4" w:space="0" w:color="auto"/>
              <w:left w:val="nil"/>
              <w:bottom w:val="single" w:sz="4" w:space="0" w:color="auto"/>
              <w:right w:val="nil"/>
            </w:tcBorders>
            <w:shd w:val="clear" w:color="auto" w:fill="auto"/>
            <w:noWrap/>
            <w:vAlign w:val="center"/>
            <w:hideMark/>
          </w:tcPr>
          <w:p w14:paraId="767A6B06"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WA</w:t>
            </w:r>
          </w:p>
        </w:tc>
        <w:tc>
          <w:tcPr>
            <w:tcW w:w="840" w:type="dxa"/>
            <w:tcBorders>
              <w:top w:val="single" w:sz="4" w:space="0" w:color="auto"/>
              <w:left w:val="nil"/>
              <w:bottom w:val="single" w:sz="4" w:space="0" w:color="auto"/>
              <w:right w:val="nil"/>
            </w:tcBorders>
            <w:shd w:val="clear" w:color="auto" w:fill="auto"/>
            <w:noWrap/>
            <w:vAlign w:val="center"/>
            <w:hideMark/>
          </w:tcPr>
          <w:p w14:paraId="5168B80B"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SA</w:t>
            </w:r>
          </w:p>
        </w:tc>
        <w:tc>
          <w:tcPr>
            <w:tcW w:w="740" w:type="dxa"/>
            <w:tcBorders>
              <w:top w:val="single" w:sz="4" w:space="0" w:color="auto"/>
              <w:left w:val="nil"/>
              <w:bottom w:val="single" w:sz="4" w:space="0" w:color="auto"/>
              <w:right w:val="nil"/>
            </w:tcBorders>
            <w:shd w:val="clear" w:color="auto" w:fill="auto"/>
            <w:noWrap/>
            <w:vAlign w:val="center"/>
            <w:hideMark/>
          </w:tcPr>
          <w:p w14:paraId="3969695E"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proofErr w:type="spellStart"/>
            <w:r w:rsidRPr="00AB6D29">
              <w:rPr>
                <w:rFonts w:ascii="Calibri" w:eastAsia="Times New Roman" w:hAnsi="Calibri" w:cs="Times New Roman"/>
                <w:color w:val="000000"/>
                <w:sz w:val="20"/>
                <w:szCs w:val="20"/>
                <w:lang w:eastAsia="en-AU"/>
              </w:rPr>
              <w:t>Tas</w:t>
            </w:r>
            <w:proofErr w:type="spellEnd"/>
          </w:p>
        </w:tc>
        <w:tc>
          <w:tcPr>
            <w:tcW w:w="680" w:type="dxa"/>
            <w:tcBorders>
              <w:top w:val="single" w:sz="4" w:space="0" w:color="auto"/>
              <w:left w:val="nil"/>
              <w:bottom w:val="single" w:sz="4" w:space="0" w:color="auto"/>
              <w:right w:val="nil"/>
            </w:tcBorders>
            <w:shd w:val="clear" w:color="auto" w:fill="auto"/>
            <w:noWrap/>
            <w:vAlign w:val="center"/>
            <w:hideMark/>
          </w:tcPr>
          <w:p w14:paraId="1BFC2028"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ACT</w:t>
            </w:r>
          </w:p>
        </w:tc>
        <w:tc>
          <w:tcPr>
            <w:tcW w:w="840" w:type="dxa"/>
            <w:tcBorders>
              <w:top w:val="single" w:sz="4" w:space="0" w:color="auto"/>
              <w:left w:val="nil"/>
              <w:bottom w:val="single" w:sz="4" w:space="0" w:color="auto"/>
              <w:right w:val="nil"/>
            </w:tcBorders>
            <w:shd w:val="clear" w:color="auto" w:fill="auto"/>
            <w:noWrap/>
            <w:vAlign w:val="center"/>
            <w:hideMark/>
          </w:tcPr>
          <w:p w14:paraId="326A4C50"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NT</w:t>
            </w:r>
          </w:p>
        </w:tc>
        <w:tc>
          <w:tcPr>
            <w:tcW w:w="940" w:type="dxa"/>
            <w:tcBorders>
              <w:top w:val="single" w:sz="4" w:space="0" w:color="auto"/>
              <w:left w:val="nil"/>
              <w:bottom w:val="single" w:sz="4" w:space="0" w:color="auto"/>
              <w:right w:val="nil"/>
            </w:tcBorders>
            <w:shd w:val="clear" w:color="auto" w:fill="auto"/>
            <w:noWrap/>
            <w:vAlign w:val="center"/>
            <w:hideMark/>
          </w:tcPr>
          <w:p w14:paraId="32FE723A"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Total</w:t>
            </w:r>
          </w:p>
        </w:tc>
      </w:tr>
      <w:tr w:rsidR="00AB6D29" w:rsidRPr="00AB6D29" w14:paraId="0C313AC7" w14:textId="77777777" w:rsidTr="00AB6D29">
        <w:trPr>
          <w:trHeight w:val="315"/>
        </w:trPr>
        <w:tc>
          <w:tcPr>
            <w:tcW w:w="1540" w:type="dxa"/>
            <w:tcBorders>
              <w:top w:val="nil"/>
              <w:left w:val="nil"/>
              <w:bottom w:val="nil"/>
              <w:right w:val="nil"/>
            </w:tcBorders>
            <w:shd w:val="clear" w:color="auto" w:fill="auto"/>
            <w:noWrap/>
            <w:vAlign w:val="bottom"/>
            <w:hideMark/>
          </w:tcPr>
          <w:p w14:paraId="1750963B" w14:textId="77777777" w:rsidR="00AB6D29" w:rsidRPr="00AB6D29" w:rsidRDefault="00AB6D29" w:rsidP="00AB6D29">
            <w:pPr>
              <w:tabs>
                <w:tab w:val="clear" w:pos="567"/>
              </w:tabs>
              <w:spacing w:after="0" w:line="240" w:lineRule="auto"/>
              <w:rPr>
                <w:rFonts w:ascii="Calibri" w:eastAsia="Times New Roman" w:hAnsi="Calibri" w:cs="Times New Roman"/>
                <w:sz w:val="20"/>
                <w:szCs w:val="20"/>
                <w:lang w:eastAsia="en-AU"/>
              </w:rPr>
            </w:pPr>
          </w:p>
        </w:tc>
        <w:tc>
          <w:tcPr>
            <w:tcW w:w="840" w:type="dxa"/>
            <w:tcBorders>
              <w:top w:val="nil"/>
              <w:left w:val="nil"/>
              <w:bottom w:val="nil"/>
              <w:right w:val="nil"/>
            </w:tcBorders>
            <w:shd w:val="clear" w:color="auto" w:fill="auto"/>
            <w:noWrap/>
            <w:vAlign w:val="bottom"/>
            <w:hideMark/>
          </w:tcPr>
          <w:p w14:paraId="09A0204A" w14:textId="77777777" w:rsidR="00AB6D29" w:rsidRPr="00AB6D29" w:rsidRDefault="00AB6D29" w:rsidP="00AB6D29">
            <w:pPr>
              <w:tabs>
                <w:tab w:val="clear" w:pos="567"/>
              </w:tabs>
              <w:spacing w:after="0" w:line="240" w:lineRule="auto"/>
              <w:jc w:val="right"/>
              <w:rPr>
                <w:rFonts w:ascii="Calibri" w:eastAsia="Times New Roman" w:hAnsi="Calibri" w:cs="Times New Roman"/>
                <w:sz w:val="20"/>
                <w:szCs w:val="20"/>
                <w:lang w:eastAsia="en-AU"/>
              </w:rPr>
            </w:pPr>
            <w:r w:rsidRPr="00AB6D29">
              <w:rPr>
                <w:rFonts w:ascii="Calibri" w:eastAsia="Times New Roman" w:hAnsi="Calibri" w:cs="Times New Roman"/>
                <w:sz w:val="20"/>
                <w:szCs w:val="20"/>
                <w:lang w:eastAsia="en-AU"/>
              </w:rPr>
              <w:t>km</w:t>
            </w:r>
          </w:p>
        </w:tc>
        <w:tc>
          <w:tcPr>
            <w:tcW w:w="840" w:type="dxa"/>
            <w:tcBorders>
              <w:top w:val="nil"/>
              <w:left w:val="nil"/>
              <w:bottom w:val="nil"/>
              <w:right w:val="nil"/>
            </w:tcBorders>
            <w:shd w:val="clear" w:color="auto" w:fill="auto"/>
            <w:noWrap/>
            <w:vAlign w:val="bottom"/>
            <w:hideMark/>
          </w:tcPr>
          <w:p w14:paraId="5F037BF7" w14:textId="77777777" w:rsidR="00AB6D29" w:rsidRPr="00AB6D29" w:rsidRDefault="00AB6D29" w:rsidP="00AB6D29">
            <w:pPr>
              <w:tabs>
                <w:tab w:val="clear" w:pos="567"/>
              </w:tabs>
              <w:spacing w:after="0" w:line="240" w:lineRule="auto"/>
              <w:jc w:val="right"/>
              <w:rPr>
                <w:rFonts w:ascii="Calibri" w:eastAsia="Times New Roman" w:hAnsi="Calibri" w:cs="Times New Roman"/>
                <w:sz w:val="20"/>
                <w:szCs w:val="20"/>
                <w:lang w:eastAsia="en-AU"/>
              </w:rPr>
            </w:pPr>
            <w:r w:rsidRPr="00AB6D29">
              <w:rPr>
                <w:rFonts w:ascii="Calibri" w:eastAsia="Times New Roman" w:hAnsi="Calibri" w:cs="Times New Roman"/>
                <w:sz w:val="20"/>
                <w:szCs w:val="20"/>
                <w:lang w:eastAsia="en-AU"/>
              </w:rPr>
              <w:t>km</w:t>
            </w:r>
          </w:p>
        </w:tc>
        <w:tc>
          <w:tcPr>
            <w:tcW w:w="840" w:type="dxa"/>
            <w:tcBorders>
              <w:top w:val="nil"/>
              <w:left w:val="nil"/>
              <w:bottom w:val="nil"/>
              <w:right w:val="nil"/>
            </w:tcBorders>
            <w:shd w:val="clear" w:color="auto" w:fill="auto"/>
            <w:noWrap/>
            <w:vAlign w:val="bottom"/>
            <w:hideMark/>
          </w:tcPr>
          <w:p w14:paraId="23B79EB4" w14:textId="77777777" w:rsidR="00AB6D29" w:rsidRPr="00AB6D29" w:rsidRDefault="00AB6D29" w:rsidP="00AB6D29">
            <w:pPr>
              <w:tabs>
                <w:tab w:val="clear" w:pos="567"/>
              </w:tabs>
              <w:spacing w:after="0" w:line="240" w:lineRule="auto"/>
              <w:jc w:val="right"/>
              <w:rPr>
                <w:rFonts w:ascii="Calibri" w:eastAsia="Times New Roman" w:hAnsi="Calibri" w:cs="Times New Roman"/>
                <w:sz w:val="20"/>
                <w:szCs w:val="20"/>
                <w:lang w:eastAsia="en-AU"/>
              </w:rPr>
            </w:pPr>
            <w:r w:rsidRPr="00AB6D29">
              <w:rPr>
                <w:rFonts w:ascii="Calibri" w:eastAsia="Times New Roman" w:hAnsi="Calibri" w:cs="Times New Roman"/>
                <w:sz w:val="20"/>
                <w:szCs w:val="20"/>
                <w:lang w:eastAsia="en-AU"/>
              </w:rPr>
              <w:t>km</w:t>
            </w:r>
          </w:p>
        </w:tc>
        <w:tc>
          <w:tcPr>
            <w:tcW w:w="840" w:type="dxa"/>
            <w:tcBorders>
              <w:top w:val="nil"/>
              <w:left w:val="nil"/>
              <w:bottom w:val="nil"/>
              <w:right w:val="nil"/>
            </w:tcBorders>
            <w:shd w:val="clear" w:color="auto" w:fill="auto"/>
            <w:noWrap/>
            <w:vAlign w:val="bottom"/>
            <w:hideMark/>
          </w:tcPr>
          <w:p w14:paraId="56502F6A" w14:textId="77777777" w:rsidR="00AB6D29" w:rsidRPr="00AB6D29" w:rsidRDefault="00AB6D29" w:rsidP="00AB6D29">
            <w:pPr>
              <w:tabs>
                <w:tab w:val="clear" w:pos="567"/>
              </w:tabs>
              <w:spacing w:after="0" w:line="240" w:lineRule="auto"/>
              <w:jc w:val="right"/>
              <w:rPr>
                <w:rFonts w:ascii="Calibri" w:eastAsia="Times New Roman" w:hAnsi="Calibri" w:cs="Times New Roman"/>
                <w:sz w:val="20"/>
                <w:szCs w:val="20"/>
                <w:lang w:eastAsia="en-AU"/>
              </w:rPr>
            </w:pPr>
            <w:r w:rsidRPr="00AB6D29">
              <w:rPr>
                <w:rFonts w:ascii="Calibri" w:eastAsia="Times New Roman" w:hAnsi="Calibri" w:cs="Times New Roman"/>
                <w:sz w:val="20"/>
                <w:szCs w:val="20"/>
                <w:lang w:eastAsia="en-AU"/>
              </w:rPr>
              <w:t>km</w:t>
            </w:r>
          </w:p>
        </w:tc>
        <w:tc>
          <w:tcPr>
            <w:tcW w:w="840" w:type="dxa"/>
            <w:tcBorders>
              <w:top w:val="nil"/>
              <w:left w:val="nil"/>
              <w:bottom w:val="nil"/>
              <w:right w:val="nil"/>
            </w:tcBorders>
            <w:shd w:val="clear" w:color="auto" w:fill="auto"/>
            <w:noWrap/>
            <w:vAlign w:val="bottom"/>
            <w:hideMark/>
          </w:tcPr>
          <w:p w14:paraId="5D37CF0C" w14:textId="77777777" w:rsidR="00AB6D29" w:rsidRPr="00AB6D29" w:rsidRDefault="00AB6D29" w:rsidP="00AB6D29">
            <w:pPr>
              <w:tabs>
                <w:tab w:val="clear" w:pos="567"/>
              </w:tabs>
              <w:spacing w:after="0" w:line="240" w:lineRule="auto"/>
              <w:jc w:val="right"/>
              <w:rPr>
                <w:rFonts w:ascii="Calibri" w:eastAsia="Times New Roman" w:hAnsi="Calibri" w:cs="Times New Roman"/>
                <w:sz w:val="20"/>
                <w:szCs w:val="20"/>
                <w:lang w:eastAsia="en-AU"/>
              </w:rPr>
            </w:pPr>
            <w:r w:rsidRPr="00AB6D29">
              <w:rPr>
                <w:rFonts w:ascii="Calibri" w:eastAsia="Times New Roman" w:hAnsi="Calibri" w:cs="Times New Roman"/>
                <w:sz w:val="20"/>
                <w:szCs w:val="20"/>
                <w:lang w:eastAsia="en-AU"/>
              </w:rPr>
              <w:t>km</w:t>
            </w:r>
          </w:p>
        </w:tc>
        <w:tc>
          <w:tcPr>
            <w:tcW w:w="740" w:type="dxa"/>
            <w:tcBorders>
              <w:top w:val="nil"/>
              <w:left w:val="nil"/>
              <w:bottom w:val="nil"/>
              <w:right w:val="nil"/>
            </w:tcBorders>
            <w:shd w:val="clear" w:color="auto" w:fill="auto"/>
            <w:noWrap/>
            <w:vAlign w:val="bottom"/>
            <w:hideMark/>
          </w:tcPr>
          <w:p w14:paraId="410EDB85" w14:textId="77777777" w:rsidR="00AB6D29" w:rsidRPr="00AB6D29" w:rsidRDefault="00AB6D29" w:rsidP="00AB6D29">
            <w:pPr>
              <w:tabs>
                <w:tab w:val="clear" w:pos="567"/>
              </w:tabs>
              <w:spacing w:after="0" w:line="240" w:lineRule="auto"/>
              <w:jc w:val="right"/>
              <w:rPr>
                <w:rFonts w:ascii="Calibri" w:eastAsia="Times New Roman" w:hAnsi="Calibri" w:cs="Times New Roman"/>
                <w:sz w:val="20"/>
                <w:szCs w:val="20"/>
                <w:lang w:eastAsia="en-AU"/>
              </w:rPr>
            </w:pPr>
            <w:r w:rsidRPr="00AB6D29">
              <w:rPr>
                <w:rFonts w:ascii="Calibri" w:eastAsia="Times New Roman" w:hAnsi="Calibri" w:cs="Times New Roman"/>
                <w:sz w:val="20"/>
                <w:szCs w:val="20"/>
                <w:lang w:eastAsia="en-AU"/>
              </w:rPr>
              <w:t>km</w:t>
            </w:r>
          </w:p>
        </w:tc>
        <w:tc>
          <w:tcPr>
            <w:tcW w:w="680" w:type="dxa"/>
            <w:tcBorders>
              <w:top w:val="nil"/>
              <w:left w:val="nil"/>
              <w:bottom w:val="nil"/>
              <w:right w:val="nil"/>
            </w:tcBorders>
            <w:shd w:val="clear" w:color="auto" w:fill="auto"/>
            <w:noWrap/>
            <w:vAlign w:val="bottom"/>
            <w:hideMark/>
          </w:tcPr>
          <w:p w14:paraId="72086730" w14:textId="77777777" w:rsidR="00AB6D29" w:rsidRPr="00AB6D29" w:rsidRDefault="00AB6D29" w:rsidP="00AB6D29">
            <w:pPr>
              <w:tabs>
                <w:tab w:val="clear" w:pos="567"/>
              </w:tabs>
              <w:spacing w:after="0" w:line="240" w:lineRule="auto"/>
              <w:jc w:val="right"/>
              <w:rPr>
                <w:rFonts w:ascii="Calibri" w:eastAsia="Times New Roman" w:hAnsi="Calibri" w:cs="Times New Roman"/>
                <w:sz w:val="20"/>
                <w:szCs w:val="20"/>
                <w:lang w:eastAsia="en-AU"/>
              </w:rPr>
            </w:pPr>
            <w:r w:rsidRPr="00AB6D29">
              <w:rPr>
                <w:rFonts w:ascii="Calibri" w:eastAsia="Times New Roman" w:hAnsi="Calibri" w:cs="Times New Roman"/>
                <w:sz w:val="20"/>
                <w:szCs w:val="20"/>
                <w:lang w:eastAsia="en-AU"/>
              </w:rPr>
              <w:t>km</w:t>
            </w:r>
          </w:p>
        </w:tc>
        <w:tc>
          <w:tcPr>
            <w:tcW w:w="840" w:type="dxa"/>
            <w:tcBorders>
              <w:top w:val="nil"/>
              <w:left w:val="nil"/>
              <w:bottom w:val="nil"/>
              <w:right w:val="nil"/>
            </w:tcBorders>
            <w:shd w:val="clear" w:color="auto" w:fill="auto"/>
            <w:noWrap/>
            <w:vAlign w:val="bottom"/>
            <w:hideMark/>
          </w:tcPr>
          <w:p w14:paraId="476B8F87" w14:textId="77777777" w:rsidR="00AB6D29" w:rsidRPr="00AB6D29" w:rsidRDefault="00AB6D29" w:rsidP="00AB6D29">
            <w:pPr>
              <w:tabs>
                <w:tab w:val="clear" w:pos="567"/>
              </w:tabs>
              <w:spacing w:after="0" w:line="240" w:lineRule="auto"/>
              <w:jc w:val="right"/>
              <w:rPr>
                <w:rFonts w:ascii="Calibri" w:eastAsia="Times New Roman" w:hAnsi="Calibri" w:cs="Times New Roman"/>
                <w:sz w:val="20"/>
                <w:szCs w:val="20"/>
                <w:lang w:eastAsia="en-AU"/>
              </w:rPr>
            </w:pPr>
            <w:r w:rsidRPr="00AB6D29">
              <w:rPr>
                <w:rFonts w:ascii="Calibri" w:eastAsia="Times New Roman" w:hAnsi="Calibri" w:cs="Times New Roman"/>
                <w:sz w:val="20"/>
                <w:szCs w:val="20"/>
                <w:lang w:eastAsia="en-AU"/>
              </w:rPr>
              <w:t>km</w:t>
            </w:r>
          </w:p>
        </w:tc>
        <w:tc>
          <w:tcPr>
            <w:tcW w:w="940" w:type="dxa"/>
            <w:tcBorders>
              <w:top w:val="nil"/>
              <w:left w:val="nil"/>
              <w:bottom w:val="nil"/>
              <w:right w:val="nil"/>
            </w:tcBorders>
            <w:shd w:val="clear" w:color="auto" w:fill="auto"/>
            <w:noWrap/>
            <w:vAlign w:val="bottom"/>
            <w:hideMark/>
          </w:tcPr>
          <w:p w14:paraId="046E07E3" w14:textId="77777777" w:rsidR="00AB6D29" w:rsidRPr="00AB6D29" w:rsidRDefault="00AB6D29" w:rsidP="00AB6D29">
            <w:pPr>
              <w:tabs>
                <w:tab w:val="clear" w:pos="567"/>
              </w:tabs>
              <w:spacing w:after="0" w:line="240" w:lineRule="auto"/>
              <w:jc w:val="right"/>
              <w:rPr>
                <w:rFonts w:ascii="Calibri" w:eastAsia="Times New Roman" w:hAnsi="Calibri" w:cs="Times New Roman"/>
                <w:sz w:val="20"/>
                <w:szCs w:val="20"/>
                <w:lang w:eastAsia="en-AU"/>
              </w:rPr>
            </w:pPr>
            <w:r w:rsidRPr="00AB6D29">
              <w:rPr>
                <w:rFonts w:ascii="Calibri" w:eastAsia="Times New Roman" w:hAnsi="Calibri" w:cs="Times New Roman"/>
                <w:sz w:val="20"/>
                <w:szCs w:val="20"/>
                <w:lang w:eastAsia="en-AU"/>
              </w:rPr>
              <w:t>km</w:t>
            </w:r>
          </w:p>
        </w:tc>
      </w:tr>
      <w:tr w:rsidR="00AB6D29" w:rsidRPr="00AB6D29" w14:paraId="1B8F66CF" w14:textId="77777777" w:rsidTr="00AB6D29">
        <w:trPr>
          <w:trHeight w:val="315"/>
        </w:trPr>
        <w:tc>
          <w:tcPr>
            <w:tcW w:w="1540" w:type="dxa"/>
            <w:tcBorders>
              <w:top w:val="nil"/>
              <w:left w:val="nil"/>
              <w:bottom w:val="nil"/>
              <w:right w:val="nil"/>
            </w:tcBorders>
            <w:shd w:val="clear" w:color="auto" w:fill="auto"/>
            <w:noWrap/>
            <w:vAlign w:val="bottom"/>
            <w:hideMark/>
          </w:tcPr>
          <w:p w14:paraId="57A89751" w14:textId="77777777" w:rsidR="00AB6D29" w:rsidRPr="00AB6D29" w:rsidRDefault="00AB6D29" w:rsidP="00AB6D29">
            <w:pPr>
              <w:tabs>
                <w:tab w:val="clear" w:pos="567"/>
              </w:tabs>
              <w:spacing w:after="0" w:line="240" w:lineRule="auto"/>
              <w:rPr>
                <w:rFonts w:ascii="Calibri" w:eastAsia="Times New Roman" w:hAnsi="Calibri" w:cs="Times New Roman"/>
                <w:sz w:val="20"/>
                <w:szCs w:val="20"/>
                <w:lang w:eastAsia="en-AU"/>
              </w:rPr>
            </w:pPr>
            <w:r w:rsidRPr="00AB6D29">
              <w:rPr>
                <w:rFonts w:ascii="Calibri" w:eastAsia="Times New Roman" w:hAnsi="Calibri" w:cs="Times New Roman"/>
                <w:sz w:val="20"/>
                <w:szCs w:val="20"/>
                <w:lang w:eastAsia="en-AU"/>
              </w:rPr>
              <w:t>Synthetic network</w:t>
            </w:r>
          </w:p>
        </w:tc>
        <w:tc>
          <w:tcPr>
            <w:tcW w:w="840" w:type="dxa"/>
            <w:tcBorders>
              <w:top w:val="nil"/>
              <w:left w:val="nil"/>
              <w:bottom w:val="nil"/>
              <w:right w:val="nil"/>
            </w:tcBorders>
            <w:shd w:val="clear" w:color="auto" w:fill="auto"/>
            <w:noWrap/>
            <w:vAlign w:val="bottom"/>
            <w:hideMark/>
          </w:tcPr>
          <w:p w14:paraId="79C1F303"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25 685</w:t>
            </w:r>
          </w:p>
        </w:tc>
        <w:tc>
          <w:tcPr>
            <w:tcW w:w="840" w:type="dxa"/>
            <w:tcBorders>
              <w:top w:val="nil"/>
              <w:left w:val="nil"/>
              <w:bottom w:val="nil"/>
              <w:right w:val="nil"/>
            </w:tcBorders>
            <w:shd w:val="clear" w:color="auto" w:fill="auto"/>
            <w:noWrap/>
            <w:vAlign w:val="bottom"/>
            <w:hideMark/>
          </w:tcPr>
          <w:p w14:paraId="2094AC35"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15 020</w:t>
            </w:r>
          </w:p>
        </w:tc>
        <w:tc>
          <w:tcPr>
            <w:tcW w:w="840" w:type="dxa"/>
            <w:tcBorders>
              <w:top w:val="nil"/>
              <w:left w:val="nil"/>
              <w:bottom w:val="nil"/>
              <w:right w:val="nil"/>
            </w:tcBorders>
            <w:shd w:val="clear" w:color="auto" w:fill="auto"/>
            <w:noWrap/>
            <w:vAlign w:val="bottom"/>
            <w:hideMark/>
          </w:tcPr>
          <w:p w14:paraId="029F394F"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26 391</w:t>
            </w:r>
          </w:p>
        </w:tc>
        <w:tc>
          <w:tcPr>
            <w:tcW w:w="840" w:type="dxa"/>
            <w:tcBorders>
              <w:top w:val="nil"/>
              <w:left w:val="nil"/>
              <w:bottom w:val="nil"/>
              <w:right w:val="nil"/>
            </w:tcBorders>
            <w:shd w:val="clear" w:color="auto" w:fill="auto"/>
            <w:noWrap/>
            <w:vAlign w:val="bottom"/>
            <w:hideMark/>
          </w:tcPr>
          <w:p w14:paraId="31664D30"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19 085</w:t>
            </w:r>
          </w:p>
        </w:tc>
        <w:tc>
          <w:tcPr>
            <w:tcW w:w="840" w:type="dxa"/>
            <w:tcBorders>
              <w:top w:val="nil"/>
              <w:left w:val="nil"/>
              <w:bottom w:val="nil"/>
              <w:right w:val="nil"/>
            </w:tcBorders>
            <w:shd w:val="clear" w:color="auto" w:fill="auto"/>
            <w:noWrap/>
            <w:vAlign w:val="bottom"/>
            <w:hideMark/>
          </w:tcPr>
          <w:p w14:paraId="3CABFAD7"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10 673</w:t>
            </w:r>
          </w:p>
        </w:tc>
        <w:tc>
          <w:tcPr>
            <w:tcW w:w="740" w:type="dxa"/>
            <w:tcBorders>
              <w:top w:val="nil"/>
              <w:left w:val="nil"/>
              <w:bottom w:val="nil"/>
              <w:right w:val="nil"/>
            </w:tcBorders>
            <w:shd w:val="clear" w:color="auto" w:fill="auto"/>
            <w:noWrap/>
            <w:vAlign w:val="bottom"/>
            <w:hideMark/>
          </w:tcPr>
          <w:p w14:paraId="2CC2D0C4"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2 659</w:t>
            </w:r>
          </w:p>
        </w:tc>
        <w:tc>
          <w:tcPr>
            <w:tcW w:w="680" w:type="dxa"/>
            <w:tcBorders>
              <w:top w:val="nil"/>
              <w:left w:val="nil"/>
              <w:bottom w:val="nil"/>
              <w:right w:val="nil"/>
            </w:tcBorders>
            <w:shd w:val="clear" w:color="auto" w:fill="auto"/>
            <w:noWrap/>
            <w:vAlign w:val="bottom"/>
            <w:hideMark/>
          </w:tcPr>
          <w:p w14:paraId="48CFADB1"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6</w:t>
            </w:r>
          </w:p>
        </w:tc>
        <w:tc>
          <w:tcPr>
            <w:tcW w:w="840" w:type="dxa"/>
            <w:tcBorders>
              <w:top w:val="nil"/>
              <w:left w:val="nil"/>
              <w:bottom w:val="nil"/>
              <w:right w:val="nil"/>
            </w:tcBorders>
            <w:shd w:val="clear" w:color="auto" w:fill="auto"/>
            <w:noWrap/>
            <w:vAlign w:val="bottom"/>
            <w:hideMark/>
          </w:tcPr>
          <w:p w14:paraId="62474BDF"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9 141</w:t>
            </w:r>
          </w:p>
        </w:tc>
        <w:tc>
          <w:tcPr>
            <w:tcW w:w="940" w:type="dxa"/>
            <w:tcBorders>
              <w:top w:val="nil"/>
              <w:left w:val="nil"/>
              <w:bottom w:val="nil"/>
              <w:right w:val="nil"/>
            </w:tcBorders>
            <w:shd w:val="clear" w:color="auto" w:fill="auto"/>
            <w:noWrap/>
            <w:vAlign w:val="bottom"/>
            <w:hideMark/>
          </w:tcPr>
          <w:p w14:paraId="64368B6B"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108 660</w:t>
            </w:r>
          </w:p>
        </w:tc>
      </w:tr>
      <w:tr w:rsidR="00AB6D29" w:rsidRPr="00AB6D29" w14:paraId="48BFAE3B" w14:textId="77777777" w:rsidTr="00AB6D29">
        <w:trPr>
          <w:trHeight w:val="315"/>
        </w:trPr>
        <w:tc>
          <w:tcPr>
            <w:tcW w:w="1540" w:type="dxa"/>
            <w:tcBorders>
              <w:top w:val="nil"/>
              <w:left w:val="nil"/>
              <w:bottom w:val="nil"/>
              <w:right w:val="nil"/>
            </w:tcBorders>
            <w:shd w:val="clear" w:color="auto" w:fill="auto"/>
            <w:noWrap/>
            <w:vAlign w:val="bottom"/>
            <w:hideMark/>
          </w:tcPr>
          <w:p w14:paraId="6767CBFE" w14:textId="77777777" w:rsidR="00AB6D29" w:rsidRPr="00AB6D29" w:rsidRDefault="00AB6D29" w:rsidP="00AB6D29">
            <w:pPr>
              <w:tabs>
                <w:tab w:val="clear" w:pos="567"/>
              </w:tabs>
              <w:spacing w:after="0" w:line="240" w:lineRule="auto"/>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State actual</w:t>
            </w:r>
          </w:p>
        </w:tc>
        <w:tc>
          <w:tcPr>
            <w:tcW w:w="840" w:type="dxa"/>
            <w:tcBorders>
              <w:top w:val="nil"/>
              <w:left w:val="nil"/>
              <w:bottom w:val="nil"/>
              <w:right w:val="nil"/>
            </w:tcBorders>
            <w:shd w:val="clear" w:color="auto" w:fill="auto"/>
            <w:noWrap/>
            <w:vAlign w:val="bottom"/>
            <w:hideMark/>
          </w:tcPr>
          <w:p w14:paraId="1409C357"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37 535</w:t>
            </w:r>
          </w:p>
        </w:tc>
        <w:tc>
          <w:tcPr>
            <w:tcW w:w="840" w:type="dxa"/>
            <w:tcBorders>
              <w:top w:val="nil"/>
              <w:left w:val="nil"/>
              <w:bottom w:val="nil"/>
              <w:right w:val="nil"/>
            </w:tcBorders>
            <w:shd w:val="clear" w:color="auto" w:fill="auto"/>
            <w:noWrap/>
            <w:vAlign w:val="bottom"/>
            <w:hideMark/>
          </w:tcPr>
          <w:p w14:paraId="5597A1F1"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21 456</w:t>
            </w:r>
          </w:p>
        </w:tc>
        <w:tc>
          <w:tcPr>
            <w:tcW w:w="840" w:type="dxa"/>
            <w:tcBorders>
              <w:top w:val="nil"/>
              <w:left w:val="nil"/>
              <w:bottom w:val="nil"/>
              <w:right w:val="nil"/>
            </w:tcBorders>
            <w:shd w:val="clear" w:color="auto" w:fill="auto"/>
            <w:noWrap/>
            <w:vAlign w:val="bottom"/>
            <w:hideMark/>
          </w:tcPr>
          <w:p w14:paraId="352C8360"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32 710</w:t>
            </w:r>
          </w:p>
        </w:tc>
        <w:tc>
          <w:tcPr>
            <w:tcW w:w="840" w:type="dxa"/>
            <w:tcBorders>
              <w:top w:val="nil"/>
              <w:left w:val="nil"/>
              <w:bottom w:val="nil"/>
              <w:right w:val="nil"/>
            </w:tcBorders>
            <w:shd w:val="clear" w:color="auto" w:fill="auto"/>
            <w:noWrap/>
            <w:vAlign w:val="bottom"/>
            <w:hideMark/>
          </w:tcPr>
          <w:p w14:paraId="07B8D823"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18 091</w:t>
            </w:r>
          </w:p>
        </w:tc>
        <w:tc>
          <w:tcPr>
            <w:tcW w:w="840" w:type="dxa"/>
            <w:tcBorders>
              <w:top w:val="nil"/>
              <w:left w:val="nil"/>
              <w:bottom w:val="nil"/>
              <w:right w:val="nil"/>
            </w:tcBorders>
            <w:shd w:val="clear" w:color="auto" w:fill="auto"/>
            <w:noWrap/>
            <w:vAlign w:val="bottom"/>
            <w:hideMark/>
          </w:tcPr>
          <w:p w14:paraId="59487D85"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22 039</w:t>
            </w:r>
          </w:p>
        </w:tc>
        <w:tc>
          <w:tcPr>
            <w:tcW w:w="740" w:type="dxa"/>
            <w:tcBorders>
              <w:top w:val="nil"/>
              <w:left w:val="nil"/>
              <w:bottom w:val="nil"/>
              <w:right w:val="nil"/>
            </w:tcBorders>
            <w:shd w:val="clear" w:color="auto" w:fill="auto"/>
            <w:noWrap/>
            <w:vAlign w:val="bottom"/>
            <w:hideMark/>
          </w:tcPr>
          <w:p w14:paraId="4D044A1B"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3 883</w:t>
            </w:r>
          </w:p>
        </w:tc>
        <w:tc>
          <w:tcPr>
            <w:tcW w:w="680" w:type="dxa"/>
            <w:tcBorders>
              <w:top w:val="nil"/>
              <w:left w:val="nil"/>
              <w:bottom w:val="nil"/>
              <w:right w:val="nil"/>
            </w:tcBorders>
            <w:shd w:val="clear" w:color="auto" w:fill="auto"/>
            <w:noWrap/>
            <w:vAlign w:val="bottom"/>
            <w:hideMark/>
          </w:tcPr>
          <w:p w14:paraId="389BD223"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662</w:t>
            </w:r>
          </w:p>
        </w:tc>
        <w:tc>
          <w:tcPr>
            <w:tcW w:w="840" w:type="dxa"/>
            <w:tcBorders>
              <w:top w:val="nil"/>
              <w:left w:val="nil"/>
              <w:bottom w:val="nil"/>
              <w:right w:val="nil"/>
            </w:tcBorders>
            <w:shd w:val="clear" w:color="auto" w:fill="auto"/>
            <w:noWrap/>
            <w:vAlign w:val="bottom"/>
            <w:hideMark/>
          </w:tcPr>
          <w:p w14:paraId="4CD96ADF"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23 187</w:t>
            </w:r>
          </w:p>
        </w:tc>
        <w:tc>
          <w:tcPr>
            <w:tcW w:w="940" w:type="dxa"/>
            <w:tcBorders>
              <w:top w:val="nil"/>
              <w:left w:val="nil"/>
              <w:bottom w:val="nil"/>
              <w:right w:val="nil"/>
            </w:tcBorders>
            <w:shd w:val="clear" w:color="auto" w:fill="auto"/>
            <w:noWrap/>
            <w:vAlign w:val="bottom"/>
            <w:hideMark/>
          </w:tcPr>
          <w:p w14:paraId="4BE5C4E7"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159 563</w:t>
            </w:r>
          </w:p>
        </w:tc>
      </w:tr>
      <w:tr w:rsidR="00AB6D29" w:rsidRPr="00AB6D29" w14:paraId="245F7375" w14:textId="77777777" w:rsidTr="00AB6D29">
        <w:trPr>
          <w:trHeight w:val="315"/>
        </w:trPr>
        <w:tc>
          <w:tcPr>
            <w:tcW w:w="1540" w:type="dxa"/>
            <w:tcBorders>
              <w:top w:val="nil"/>
              <w:left w:val="nil"/>
              <w:bottom w:val="single" w:sz="4" w:space="0" w:color="auto"/>
              <w:right w:val="nil"/>
            </w:tcBorders>
            <w:shd w:val="clear" w:color="auto" w:fill="auto"/>
            <w:noWrap/>
            <w:vAlign w:val="bottom"/>
            <w:hideMark/>
          </w:tcPr>
          <w:p w14:paraId="7C8BDEE1" w14:textId="77777777" w:rsidR="00AB6D29" w:rsidRPr="00AB6D29" w:rsidRDefault="00AB6D29" w:rsidP="00AB6D29">
            <w:pPr>
              <w:tabs>
                <w:tab w:val="clear" w:pos="567"/>
              </w:tabs>
              <w:spacing w:after="0" w:line="240" w:lineRule="auto"/>
              <w:rPr>
                <w:rFonts w:ascii="Calibri" w:eastAsia="Times New Roman" w:hAnsi="Calibri" w:cs="Times New Roman"/>
                <w:sz w:val="20"/>
                <w:szCs w:val="20"/>
                <w:lang w:eastAsia="en-AU"/>
              </w:rPr>
            </w:pPr>
            <w:r w:rsidRPr="00AB6D29">
              <w:rPr>
                <w:rFonts w:ascii="Calibri" w:eastAsia="Times New Roman" w:hAnsi="Calibri" w:cs="Times New Roman"/>
                <w:sz w:val="20"/>
                <w:szCs w:val="20"/>
                <w:lang w:eastAsia="en-AU"/>
              </w:rPr>
              <w:t xml:space="preserve">Difference </w:t>
            </w:r>
          </w:p>
        </w:tc>
        <w:tc>
          <w:tcPr>
            <w:tcW w:w="840" w:type="dxa"/>
            <w:tcBorders>
              <w:top w:val="single" w:sz="4" w:space="0" w:color="auto"/>
              <w:left w:val="nil"/>
              <w:bottom w:val="single" w:sz="4" w:space="0" w:color="auto"/>
              <w:right w:val="nil"/>
            </w:tcBorders>
            <w:shd w:val="clear" w:color="auto" w:fill="auto"/>
            <w:noWrap/>
            <w:vAlign w:val="bottom"/>
            <w:hideMark/>
          </w:tcPr>
          <w:p w14:paraId="1CF24897"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11 850</w:t>
            </w:r>
          </w:p>
        </w:tc>
        <w:tc>
          <w:tcPr>
            <w:tcW w:w="840" w:type="dxa"/>
            <w:tcBorders>
              <w:top w:val="single" w:sz="4" w:space="0" w:color="auto"/>
              <w:left w:val="nil"/>
              <w:bottom w:val="single" w:sz="4" w:space="0" w:color="auto"/>
              <w:right w:val="nil"/>
            </w:tcBorders>
            <w:shd w:val="clear" w:color="auto" w:fill="auto"/>
            <w:noWrap/>
            <w:vAlign w:val="bottom"/>
            <w:hideMark/>
          </w:tcPr>
          <w:p w14:paraId="15D77D3C"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6 436</w:t>
            </w:r>
          </w:p>
        </w:tc>
        <w:tc>
          <w:tcPr>
            <w:tcW w:w="840" w:type="dxa"/>
            <w:tcBorders>
              <w:top w:val="single" w:sz="4" w:space="0" w:color="auto"/>
              <w:left w:val="nil"/>
              <w:bottom w:val="single" w:sz="4" w:space="0" w:color="auto"/>
              <w:right w:val="nil"/>
            </w:tcBorders>
            <w:shd w:val="clear" w:color="auto" w:fill="auto"/>
            <w:noWrap/>
            <w:vAlign w:val="bottom"/>
            <w:hideMark/>
          </w:tcPr>
          <w:p w14:paraId="06EC1901"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6 319</w:t>
            </w:r>
          </w:p>
        </w:tc>
        <w:tc>
          <w:tcPr>
            <w:tcW w:w="840" w:type="dxa"/>
            <w:tcBorders>
              <w:top w:val="single" w:sz="4" w:space="0" w:color="auto"/>
              <w:left w:val="nil"/>
              <w:bottom w:val="single" w:sz="4" w:space="0" w:color="auto"/>
              <w:right w:val="nil"/>
            </w:tcBorders>
            <w:shd w:val="clear" w:color="auto" w:fill="auto"/>
            <w:noWrap/>
            <w:vAlign w:val="bottom"/>
            <w:hideMark/>
          </w:tcPr>
          <w:p w14:paraId="2A87E34D"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-994</w:t>
            </w:r>
          </w:p>
        </w:tc>
        <w:tc>
          <w:tcPr>
            <w:tcW w:w="840" w:type="dxa"/>
            <w:tcBorders>
              <w:top w:val="single" w:sz="4" w:space="0" w:color="auto"/>
              <w:left w:val="nil"/>
              <w:bottom w:val="single" w:sz="4" w:space="0" w:color="auto"/>
              <w:right w:val="nil"/>
            </w:tcBorders>
            <w:shd w:val="clear" w:color="auto" w:fill="auto"/>
            <w:noWrap/>
            <w:vAlign w:val="bottom"/>
            <w:hideMark/>
          </w:tcPr>
          <w:p w14:paraId="3A27D3B2"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11 366</w:t>
            </w:r>
          </w:p>
        </w:tc>
        <w:tc>
          <w:tcPr>
            <w:tcW w:w="740" w:type="dxa"/>
            <w:tcBorders>
              <w:top w:val="single" w:sz="4" w:space="0" w:color="auto"/>
              <w:left w:val="nil"/>
              <w:bottom w:val="single" w:sz="4" w:space="0" w:color="auto"/>
              <w:right w:val="nil"/>
            </w:tcBorders>
            <w:shd w:val="clear" w:color="auto" w:fill="auto"/>
            <w:noWrap/>
            <w:vAlign w:val="bottom"/>
            <w:hideMark/>
          </w:tcPr>
          <w:p w14:paraId="24F11B86"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1 224</w:t>
            </w:r>
          </w:p>
        </w:tc>
        <w:tc>
          <w:tcPr>
            <w:tcW w:w="680" w:type="dxa"/>
            <w:tcBorders>
              <w:top w:val="single" w:sz="4" w:space="0" w:color="auto"/>
              <w:left w:val="nil"/>
              <w:bottom w:val="single" w:sz="4" w:space="0" w:color="auto"/>
              <w:right w:val="nil"/>
            </w:tcBorders>
            <w:shd w:val="clear" w:color="auto" w:fill="auto"/>
            <w:noWrap/>
            <w:vAlign w:val="bottom"/>
            <w:hideMark/>
          </w:tcPr>
          <w:p w14:paraId="50B99E93"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656</w:t>
            </w:r>
          </w:p>
        </w:tc>
        <w:tc>
          <w:tcPr>
            <w:tcW w:w="840" w:type="dxa"/>
            <w:tcBorders>
              <w:top w:val="single" w:sz="4" w:space="0" w:color="auto"/>
              <w:left w:val="nil"/>
              <w:bottom w:val="single" w:sz="4" w:space="0" w:color="auto"/>
              <w:right w:val="nil"/>
            </w:tcBorders>
            <w:shd w:val="clear" w:color="auto" w:fill="auto"/>
            <w:noWrap/>
            <w:vAlign w:val="bottom"/>
            <w:hideMark/>
          </w:tcPr>
          <w:p w14:paraId="7C053E66"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14 046</w:t>
            </w:r>
          </w:p>
        </w:tc>
        <w:tc>
          <w:tcPr>
            <w:tcW w:w="940" w:type="dxa"/>
            <w:tcBorders>
              <w:top w:val="single" w:sz="4" w:space="0" w:color="auto"/>
              <w:left w:val="nil"/>
              <w:bottom w:val="single" w:sz="4" w:space="0" w:color="auto"/>
              <w:right w:val="nil"/>
            </w:tcBorders>
            <w:shd w:val="clear" w:color="auto" w:fill="auto"/>
            <w:noWrap/>
            <w:vAlign w:val="bottom"/>
            <w:hideMark/>
          </w:tcPr>
          <w:p w14:paraId="7037B674" w14:textId="77777777" w:rsidR="00AB6D29" w:rsidRPr="00AB6D29" w:rsidRDefault="00AB6D29" w:rsidP="00AB6D29">
            <w:pPr>
              <w:tabs>
                <w:tab w:val="clear" w:pos="567"/>
              </w:tabs>
              <w:spacing w:after="0" w:line="240" w:lineRule="auto"/>
              <w:jc w:val="right"/>
              <w:rPr>
                <w:rFonts w:ascii="Calibri" w:eastAsia="Times New Roman" w:hAnsi="Calibri" w:cs="Times New Roman"/>
                <w:color w:val="000000"/>
                <w:sz w:val="20"/>
                <w:szCs w:val="20"/>
                <w:lang w:eastAsia="en-AU"/>
              </w:rPr>
            </w:pPr>
            <w:r w:rsidRPr="00AB6D29">
              <w:rPr>
                <w:rFonts w:ascii="Calibri" w:eastAsia="Times New Roman" w:hAnsi="Calibri" w:cs="Times New Roman"/>
                <w:color w:val="000000"/>
                <w:sz w:val="20"/>
                <w:szCs w:val="20"/>
                <w:lang w:eastAsia="en-AU"/>
              </w:rPr>
              <w:t>50 903</w:t>
            </w:r>
          </w:p>
        </w:tc>
      </w:tr>
    </w:tbl>
    <w:p w14:paraId="7C080E6A" w14:textId="5B5D43F4" w:rsidR="000F1E93" w:rsidRDefault="00600B03" w:rsidP="00600B03">
      <w:pPr>
        <w:pStyle w:val="CGCTableFootnote"/>
        <w:keepNext/>
        <w:keepLines/>
      </w:pPr>
      <w:bookmarkStart w:id="48" w:name="_GoBack"/>
      <w:bookmarkEnd w:id="48"/>
      <w:r>
        <w:t>Note:</w:t>
      </w:r>
      <w:r>
        <w:tab/>
      </w:r>
      <w:r w:rsidR="000F1E93">
        <w:t xml:space="preserve">The State actual rural road length </w:t>
      </w:r>
      <w:r w:rsidR="00A34EDF">
        <w:t>data are</w:t>
      </w:r>
      <w:r w:rsidR="000F1E93">
        <w:t xml:space="preserve"> not comparable between States</w:t>
      </w:r>
      <w:r w:rsidR="00A34EDF">
        <w:t xml:space="preserve"> and should be treated with caution.</w:t>
      </w:r>
      <w:r w:rsidR="000F1E93">
        <w:t xml:space="preserve"> </w:t>
      </w:r>
      <w:r w:rsidR="00A34EDF">
        <w:t xml:space="preserve">They are preliminary estimates by staff. </w:t>
      </w:r>
      <w:r w:rsidR="000F1E93">
        <w:t xml:space="preserve">No adjustments have been </w:t>
      </w:r>
      <w:r w:rsidR="00A34EDF">
        <w:t>made to remove State policy influences</w:t>
      </w:r>
      <w:r w:rsidR="000F1E93">
        <w:t>.</w:t>
      </w:r>
    </w:p>
    <w:p w14:paraId="0270D0BF" w14:textId="1CD8EF57" w:rsidR="00600B03" w:rsidRDefault="000F1E93" w:rsidP="00600B03">
      <w:pPr>
        <w:pStyle w:val="CGCTableFootnote"/>
        <w:keepNext/>
        <w:keepLines/>
        <w:rPr>
          <w:lang w:eastAsia="en-AU"/>
        </w:rPr>
      </w:pPr>
      <w:r>
        <w:tab/>
      </w:r>
      <w:r w:rsidR="002C38A6">
        <w:t>These measures capture dual carriageways but do</w:t>
      </w:r>
      <w:r w:rsidR="003F527F">
        <w:rPr>
          <w:lang w:eastAsia="en-AU"/>
        </w:rPr>
        <w:t xml:space="preserve"> not capture lane-</w:t>
      </w:r>
      <w:r w:rsidR="00086BB8">
        <w:rPr>
          <w:lang w:eastAsia="en-AU"/>
        </w:rPr>
        <w:t>kilometres</w:t>
      </w:r>
      <w:r w:rsidR="003F527F">
        <w:rPr>
          <w:lang w:eastAsia="en-AU"/>
        </w:rPr>
        <w:t>.</w:t>
      </w:r>
    </w:p>
    <w:p w14:paraId="425B8760" w14:textId="07741021" w:rsidR="009E4C28" w:rsidRPr="009E4C28" w:rsidRDefault="009E4C28" w:rsidP="009E4C28">
      <w:pPr>
        <w:pStyle w:val="CGCTableFootnote"/>
        <w:rPr>
          <w:lang w:eastAsia="en-AU"/>
        </w:rPr>
      </w:pPr>
      <w:r>
        <w:rPr>
          <w:lang w:eastAsia="en-AU"/>
        </w:rPr>
        <w:tab/>
      </w:r>
      <w:r w:rsidR="00386819">
        <w:rPr>
          <w:lang w:eastAsia="en-AU"/>
        </w:rPr>
        <w:t xml:space="preserve">The actual road length includes </w:t>
      </w:r>
      <w:r>
        <w:rPr>
          <w:lang w:eastAsia="en-AU"/>
        </w:rPr>
        <w:t xml:space="preserve">local type roads in unincorporated areas. </w:t>
      </w:r>
      <w:r w:rsidR="0038030D">
        <w:rPr>
          <w:lang w:eastAsia="en-AU"/>
        </w:rPr>
        <w:t>This is particularly relevant to South Australia.</w:t>
      </w:r>
      <w:r>
        <w:rPr>
          <w:lang w:eastAsia="en-AU"/>
        </w:rPr>
        <w:t xml:space="preserve"> </w:t>
      </w:r>
    </w:p>
    <w:p w14:paraId="3D04F200" w14:textId="12279EB6" w:rsidR="00600B03" w:rsidRDefault="00600B03" w:rsidP="00600B03">
      <w:pPr>
        <w:pStyle w:val="CGCTableFootnote"/>
        <w:keepNext/>
        <w:keepLines/>
      </w:pPr>
      <w:r>
        <w:t>Source:</w:t>
      </w:r>
      <w:r>
        <w:tab/>
        <w:t xml:space="preserve">Actual figures are </w:t>
      </w:r>
      <w:r w:rsidR="002C38A6">
        <w:t>staff calculations using State roads spatial data</w:t>
      </w:r>
      <w:r w:rsidR="00A34EDF">
        <w:t xml:space="preserve"> obtained through a special data request or openly available data.</w:t>
      </w:r>
      <w:r>
        <w:t xml:space="preserve"> Assessed figures are based on </w:t>
      </w:r>
      <w:r w:rsidR="00A5658A">
        <w:t xml:space="preserve">the </w:t>
      </w:r>
      <w:r>
        <w:t>Pitney Bowes consultancy report for the 2010 Review.</w:t>
      </w:r>
    </w:p>
    <w:p w14:paraId="64966FE6" w14:textId="07D3C21F" w:rsidR="00E83EC7" w:rsidRDefault="009E4C28" w:rsidP="00E83EC7">
      <w:pPr>
        <w:pStyle w:val="CGCNumberedPara"/>
      </w:pPr>
      <w:r>
        <w:t>Some of these differences may be due to policy decisions. For example, the definition of what is a State road may differ between States.</w:t>
      </w:r>
      <w:r w:rsidR="00386819">
        <w:rPr>
          <w:rStyle w:val="FootnoteReference"/>
        </w:rPr>
        <w:footnoteReference w:id="3"/>
      </w:r>
      <w:r>
        <w:t xml:space="preserve"> </w:t>
      </w:r>
      <w:r w:rsidR="00E83EC7" w:rsidRPr="00E83EC7">
        <w:t>However, a significant proportion of the differences may reflect a gap between the actual task faced by States and the Commission’s definition and measure of the policy neutral State road network. By emphasising policy neutrality, through an approach that consider</w:t>
      </w:r>
      <w:r w:rsidR="00E83EC7">
        <w:t>s</w:t>
      </w:r>
      <w:r w:rsidR="00E83EC7" w:rsidRPr="00E83EC7">
        <w:t xml:space="preserve"> that all State roads reflect policy positions rather than underlying drivers of need, the Commission’s definition could be considered to understate what States do in the following ways</w:t>
      </w:r>
      <w:r w:rsidR="00E83EC7">
        <w:t>.</w:t>
      </w:r>
    </w:p>
    <w:p w14:paraId="5486B643" w14:textId="77777777" w:rsidR="009E4C28" w:rsidRPr="001035E0" w:rsidRDefault="009E4C28" w:rsidP="009E4C28">
      <w:pPr>
        <w:pStyle w:val="CGCBulletlist"/>
        <w:numPr>
          <w:ilvl w:val="0"/>
          <w:numId w:val="1"/>
        </w:numPr>
        <w:tabs>
          <w:tab w:val="clear" w:pos="786"/>
        </w:tabs>
        <w:ind w:left="1134" w:hanging="567"/>
      </w:pPr>
      <w:r>
        <w:lastRenderedPageBreak/>
        <w:t xml:space="preserve">It omits </w:t>
      </w:r>
      <w:r w:rsidRPr="001035E0">
        <w:t xml:space="preserve">State-managed roads </w:t>
      </w:r>
      <w:r>
        <w:t xml:space="preserve">which </w:t>
      </w:r>
      <w:r w:rsidRPr="001035E0">
        <w:t xml:space="preserve">connect localities with a population smaller than 400. </w:t>
      </w:r>
    </w:p>
    <w:p w14:paraId="4F0B0D45" w14:textId="6601B748" w:rsidR="009E4C28" w:rsidRPr="001035E0" w:rsidRDefault="009E4C28" w:rsidP="009E4C28">
      <w:pPr>
        <w:pStyle w:val="CGCBulletlist"/>
        <w:numPr>
          <w:ilvl w:val="0"/>
          <w:numId w:val="1"/>
        </w:numPr>
        <w:tabs>
          <w:tab w:val="clear" w:pos="786"/>
        </w:tabs>
        <w:ind w:left="1134" w:hanging="567"/>
      </w:pPr>
      <w:r>
        <w:t>It</w:t>
      </w:r>
      <w:r w:rsidRPr="001035E0">
        <w:t xml:space="preserve"> assumes only one road between two urban centres</w:t>
      </w:r>
      <w:r>
        <w:t xml:space="preserve"> (either directly or through connecting roads) whereas </w:t>
      </w:r>
      <w:r w:rsidR="00A5658A">
        <w:t>in</w:t>
      </w:r>
      <w:r w:rsidRPr="001035E0">
        <w:t xml:space="preserve"> </w:t>
      </w:r>
      <w:r>
        <w:t>many</w:t>
      </w:r>
      <w:r w:rsidRPr="001035E0">
        <w:t xml:space="preserve"> cases State networks provide more than one such road and all of them must be maintained. </w:t>
      </w:r>
    </w:p>
    <w:p w14:paraId="7608DD3D" w14:textId="77777777" w:rsidR="009E4C28" w:rsidRDefault="009E4C28" w:rsidP="009E4C28">
      <w:pPr>
        <w:pStyle w:val="CGCBulletlist"/>
        <w:numPr>
          <w:ilvl w:val="0"/>
          <w:numId w:val="1"/>
        </w:numPr>
        <w:tabs>
          <w:tab w:val="clear" w:pos="786"/>
        </w:tabs>
        <w:ind w:left="1134" w:hanging="567"/>
      </w:pPr>
      <w:r>
        <w:t xml:space="preserve">Its focus on population centres means it may not capture </w:t>
      </w:r>
      <w:r w:rsidRPr="001035E0">
        <w:t>State manage</w:t>
      </w:r>
      <w:r>
        <w:t>d</w:t>
      </w:r>
      <w:r w:rsidRPr="001035E0">
        <w:t xml:space="preserve"> roads connecting to </w:t>
      </w:r>
      <w:r>
        <w:t>‘</w:t>
      </w:r>
      <w:r w:rsidRPr="001035E0">
        <w:t>significant</w:t>
      </w:r>
      <w:r>
        <w:t>’</w:t>
      </w:r>
      <w:r w:rsidRPr="001035E0">
        <w:t xml:space="preserve"> regions (such as economic, tourist and </w:t>
      </w:r>
      <w:r>
        <w:t>production</w:t>
      </w:r>
      <w:r w:rsidRPr="001035E0">
        <w:t xml:space="preserve"> regions</w:t>
      </w:r>
      <w:r>
        <w:t>)</w:t>
      </w:r>
      <w:r w:rsidRPr="001035E0">
        <w:t xml:space="preserve">. </w:t>
      </w:r>
    </w:p>
    <w:p w14:paraId="11F37453" w14:textId="3AEAA96A" w:rsidR="007006E8" w:rsidRPr="001035E0" w:rsidRDefault="009E4C28" w:rsidP="009E4C28">
      <w:pPr>
        <w:pStyle w:val="CGCBulletlist"/>
      </w:pPr>
      <w:r>
        <w:t>It does not capture lane-</w:t>
      </w:r>
      <w:r w:rsidR="00086BB8">
        <w:t>kilometres</w:t>
      </w:r>
      <w:r>
        <w:t>. It assumes that all roads have only one lane.</w:t>
      </w:r>
      <w:r w:rsidR="00C80039">
        <w:t xml:space="preserve"> </w:t>
      </w:r>
    </w:p>
    <w:p w14:paraId="57717EB0" w14:textId="297061FF" w:rsidR="002277BD" w:rsidRDefault="00E83EC7" w:rsidP="00E83EC7">
      <w:pPr>
        <w:pStyle w:val="CGCNumberedPara"/>
      </w:pPr>
      <w:r w:rsidRPr="00E83EC7">
        <w:t>Staff consider that, for the 2020 Review, it is now possible to more comparably identify State roads and that an alternative approach may be to adopt a measure of State road length more closely resembling the actual length of roads States manage. Such an approach would reflect the reality that the vast bulk of State road networks were established many years ago and States must maintain the existing networks. It would not be constrained to covering only one road between centres if States, due to their settlement patterns, frequently have multiple roads between centres. The approach assumes that different governments in the same circumstances would have followed broadly similar approaches to developing the road network. Under this approach, a policy neutral measure of roads becomes a classification issue, that is comparable roads in different States are treated in the same way.</w:t>
      </w:r>
      <w:r>
        <w:t xml:space="preserve"> </w:t>
      </w:r>
    </w:p>
    <w:p w14:paraId="719A7A4F" w14:textId="5CB8D8F0" w:rsidR="00C80039" w:rsidRDefault="00E83EC7" w:rsidP="00AB33AD">
      <w:pPr>
        <w:pStyle w:val="CGCNumberedPara"/>
      </w:pPr>
      <w:r>
        <w:t xml:space="preserve">If such an approach is adopted, </w:t>
      </w:r>
      <w:proofErr w:type="gramStart"/>
      <w:r>
        <w:t>staff believe</w:t>
      </w:r>
      <w:proofErr w:type="gramEnd"/>
      <w:r>
        <w:t xml:space="preserve"> that there are</w:t>
      </w:r>
      <w:r w:rsidR="003E4F88">
        <w:t xml:space="preserve"> two options </w:t>
      </w:r>
      <w:r w:rsidR="0081422C">
        <w:t xml:space="preserve">that </w:t>
      </w:r>
      <w:r w:rsidR="003E4F88">
        <w:t xml:space="preserve">could produce satisfactory measures of road length. </w:t>
      </w:r>
    </w:p>
    <w:p w14:paraId="4E53132D" w14:textId="1B949BE6" w:rsidR="003E4F88" w:rsidRPr="003E4F88" w:rsidRDefault="00E44E95" w:rsidP="003E4F88">
      <w:pPr>
        <w:pStyle w:val="CGCBulletlist"/>
      </w:pPr>
      <w:r>
        <w:t>S</w:t>
      </w:r>
      <w:r w:rsidR="004638CF">
        <w:t>tart with</w:t>
      </w:r>
      <w:r w:rsidR="003E4F88" w:rsidRPr="003E4F88">
        <w:t xml:space="preserve"> the actual</w:t>
      </w:r>
      <w:r w:rsidR="004638CF">
        <w:t xml:space="preserve"> State</w:t>
      </w:r>
      <w:r w:rsidR="003E4F88" w:rsidRPr="003E4F88">
        <w:t xml:space="preserve"> road networks as reported and make adjustments </w:t>
      </w:r>
      <w:r w:rsidR="00E61346">
        <w:t xml:space="preserve">to ensure that only </w:t>
      </w:r>
      <w:r w:rsidR="007E1269">
        <w:t xml:space="preserve">roads </w:t>
      </w:r>
      <w:r w:rsidR="00E61346">
        <w:t xml:space="preserve">commonly classified as State roads </w:t>
      </w:r>
      <w:r w:rsidR="007E1269">
        <w:t xml:space="preserve">are </w:t>
      </w:r>
      <w:r w:rsidR="00E61346">
        <w:t>included to reflect average policy</w:t>
      </w:r>
      <w:r w:rsidR="003E4F88" w:rsidRPr="003E4F88">
        <w:t xml:space="preserve">. </w:t>
      </w:r>
      <w:r w:rsidR="003E4F88">
        <w:t xml:space="preserve">We call this approach the </w:t>
      </w:r>
      <w:r w:rsidR="00A5658A">
        <w:t>‘</w:t>
      </w:r>
      <w:r w:rsidR="003E4F88">
        <w:t>adjusted road network</w:t>
      </w:r>
      <w:r w:rsidR="00A5658A">
        <w:t>’</w:t>
      </w:r>
      <w:r w:rsidR="003E4F88">
        <w:t>.</w:t>
      </w:r>
    </w:p>
    <w:p w14:paraId="64137418" w14:textId="4EB7FC71" w:rsidR="003E4F88" w:rsidRPr="00D532CB" w:rsidRDefault="00E44E95" w:rsidP="003E4F88">
      <w:pPr>
        <w:pStyle w:val="CGCBulletlist"/>
      </w:pPr>
      <w:r>
        <w:t>R</w:t>
      </w:r>
      <w:r w:rsidR="003E4F88" w:rsidRPr="003E4F88">
        <w:t>etain</w:t>
      </w:r>
      <w:r w:rsidR="003E4F88" w:rsidRPr="00D532CB">
        <w:t xml:space="preserve"> the </w:t>
      </w:r>
      <w:r w:rsidR="003E4F88">
        <w:t>synthetic road network approach but change</w:t>
      </w:r>
      <w:r w:rsidR="003E4F88" w:rsidRPr="00D532CB">
        <w:t xml:space="preserve"> </w:t>
      </w:r>
      <w:r w:rsidR="00CE30A4">
        <w:t xml:space="preserve">the definition of State roads and the </w:t>
      </w:r>
      <w:r w:rsidR="003E4F88" w:rsidRPr="00D532CB">
        <w:t xml:space="preserve">algorithm </w:t>
      </w:r>
      <w:r w:rsidR="003E4F88">
        <w:t xml:space="preserve">to better capture </w:t>
      </w:r>
      <w:r w:rsidR="00CE30A4">
        <w:t>the</w:t>
      </w:r>
      <w:r w:rsidR="003E4F88">
        <w:t xml:space="preserve"> roads</w:t>
      </w:r>
      <w:r w:rsidR="00CE30A4">
        <w:t xml:space="preserve"> for which States are currently responsible.</w:t>
      </w:r>
      <w:r w:rsidR="003E4F88">
        <w:t xml:space="preserve"> </w:t>
      </w:r>
    </w:p>
    <w:p w14:paraId="5959B940" w14:textId="77777777" w:rsidR="008E4572" w:rsidRPr="008E4572" w:rsidRDefault="003E4F88" w:rsidP="008E4572">
      <w:pPr>
        <w:pStyle w:val="Heading5"/>
      </w:pPr>
      <w:r w:rsidRPr="008E4572">
        <w:rPr>
          <w:rStyle w:val="Heading6Char"/>
          <w:b/>
          <w:i/>
          <w:iCs w:val="0"/>
        </w:rPr>
        <w:t>Adjusted road network</w:t>
      </w:r>
      <w:r w:rsidRPr="008E4572">
        <w:t xml:space="preserve"> </w:t>
      </w:r>
    </w:p>
    <w:p w14:paraId="6224A1BE" w14:textId="6A7C4C76" w:rsidR="003E4F88" w:rsidRDefault="008E4572" w:rsidP="003E4F88">
      <w:pPr>
        <w:pStyle w:val="CGCNumberedPara"/>
      </w:pPr>
      <w:proofErr w:type="gramStart"/>
      <w:r>
        <w:t>Staff have</w:t>
      </w:r>
      <w:proofErr w:type="gramEnd"/>
      <w:r>
        <w:t xml:space="preserve"> </w:t>
      </w:r>
      <w:r w:rsidR="00F17A64">
        <w:t>examined several</w:t>
      </w:r>
      <w:r>
        <w:t xml:space="preserve"> sources of State road data that could be used to measure rural road length</w:t>
      </w:r>
      <w:r w:rsidR="003F527F">
        <w:t>. A</w:t>
      </w:r>
      <w:r>
        <w:t xml:space="preserve"> summary of </w:t>
      </w:r>
      <w:r w:rsidR="00F17A64">
        <w:t>the</w:t>
      </w:r>
      <w:r>
        <w:t xml:space="preserve"> data options considered </w:t>
      </w:r>
      <w:r w:rsidRPr="003C6E4D">
        <w:t xml:space="preserve">is </w:t>
      </w:r>
      <w:r w:rsidR="00CE30A4">
        <w:t>in</w:t>
      </w:r>
      <w:r w:rsidRPr="003C6E4D">
        <w:t xml:space="preserve"> </w:t>
      </w:r>
      <w:r w:rsidR="00E34166">
        <w:t>Attachment A</w:t>
      </w:r>
      <w:r w:rsidRPr="003C6E4D">
        <w:t>.</w:t>
      </w:r>
      <w:r>
        <w:t xml:space="preserve"> </w:t>
      </w:r>
      <w:r w:rsidR="00F17A64">
        <w:t>S</w:t>
      </w:r>
      <w:r>
        <w:t xml:space="preserve">taff consider the best </w:t>
      </w:r>
      <w:r w:rsidR="000A0606">
        <w:t>o</w:t>
      </w:r>
      <w:r w:rsidR="00F17A64">
        <w:t>ption</w:t>
      </w:r>
      <w:r w:rsidR="000A0606">
        <w:t xml:space="preserve"> is </w:t>
      </w:r>
      <w:r w:rsidR="003E4F88">
        <w:t xml:space="preserve">to use </w:t>
      </w:r>
      <w:r w:rsidR="000A0606">
        <w:t xml:space="preserve">the </w:t>
      </w:r>
      <w:r w:rsidR="003E4F88" w:rsidRPr="000F790F">
        <w:t>geospatial datasets</w:t>
      </w:r>
      <w:r w:rsidR="000A0606">
        <w:t xml:space="preserve"> all States maintain on </w:t>
      </w:r>
      <w:r w:rsidR="003E4F88" w:rsidRPr="000F790F">
        <w:t xml:space="preserve">their road networks. </w:t>
      </w:r>
      <w:r w:rsidR="000A0606">
        <w:t xml:space="preserve">States </w:t>
      </w:r>
      <w:r w:rsidR="003E4F88" w:rsidRPr="000F790F">
        <w:t xml:space="preserve">also maintain road asset datasets which </w:t>
      </w:r>
      <w:r w:rsidR="000A0606" w:rsidRPr="000F790F">
        <w:t xml:space="preserve">include </w:t>
      </w:r>
      <w:r w:rsidR="000A0606">
        <w:t xml:space="preserve">details of </w:t>
      </w:r>
      <w:r w:rsidR="000A0606" w:rsidRPr="000F790F">
        <w:t>road attributes such as ‘number of lanes’ and ‘surface type’</w:t>
      </w:r>
      <w:r w:rsidR="000A0606">
        <w:t xml:space="preserve"> and which </w:t>
      </w:r>
      <w:r w:rsidR="003E4F88" w:rsidRPr="000F790F">
        <w:t>are either part of the main geospatial datasets or can be linked to them</w:t>
      </w:r>
      <w:r w:rsidR="000A0606">
        <w:t xml:space="preserve">. </w:t>
      </w:r>
      <w:r w:rsidR="003E4F88">
        <w:t xml:space="preserve">These datasets constitute the best information available </w:t>
      </w:r>
      <w:r w:rsidR="000A0606">
        <w:t>on</w:t>
      </w:r>
      <w:r w:rsidR="003E4F88">
        <w:t xml:space="preserve"> what States do.</w:t>
      </w:r>
    </w:p>
    <w:p w14:paraId="325DD988" w14:textId="77777777" w:rsidR="003E4F88" w:rsidRDefault="003E4F88" w:rsidP="003E4F88">
      <w:pPr>
        <w:pStyle w:val="CGCNumberedPara"/>
      </w:pPr>
      <w:r>
        <w:t xml:space="preserve">Staff are currently collecting </w:t>
      </w:r>
      <w:r w:rsidR="000A0606">
        <w:t xml:space="preserve">and reviewing the </w:t>
      </w:r>
      <w:r>
        <w:t>spatial data for all States.</w:t>
      </w:r>
    </w:p>
    <w:p w14:paraId="556EF246" w14:textId="3C80E952" w:rsidR="003E4F88" w:rsidRDefault="003E4F88" w:rsidP="003E4F88">
      <w:pPr>
        <w:pStyle w:val="CGCNumberedPara"/>
      </w:pPr>
      <w:r>
        <w:lastRenderedPageBreak/>
        <w:t>Our proposal for developing comparable rural road length</w:t>
      </w:r>
      <w:r w:rsidR="005277C6">
        <w:t>s</w:t>
      </w:r>
      <w:r>
        <w:t xml:space="preserve"> across States would be to:</w:t>
      </w:r>
    </w:p>
    <w:p w14:paraId="1C51464B" w14:textId="6CEE8B05" w:rsidR="003E4F88" w:rsidRDefault="003E4F88" w:rsidP="003E4F88">
      <w:pPr>
        <w:pStyle w:val="CGCBulletlist"/>
      </w:pPr>
      <w:r>
        <w:t xml:space="preserve">start with the actual State managed road networks </w:t>
      </w:r>
    </w:p>
    <w:p w14:paraId="75025D12" w14:textId="77777777" w:rsidR="003E4F88" w:rsidRDefault="003E4F88" w:rsidP="003E4F88">
      <w:pPr>
        <w:pStyle w:val="CGCBulletlist"/>
      </w:pPr>
      <w:r>
        <w:t xml:space="preserve">identify the roads commonly classified as State roads to reflect average policy </w:t>
      </w:r>
    </w:p>
    <w:p w14:paraId="76B973B9" w14:textId="450032ED" w:rsidR="003E4F88" w:rsidRDefault="003E4F88" w:rsidP="003E4F88">
      <w:pPr>
        <w:pStyle w:val="CGCBulletlist"/>
      </w:pPr>
      <w:proofErr w:type="gramStart"/>
      <w:r>
        <w:t>adjust</w:t>
      </w:r>
      <w:proofErr w:type="gramEnd"/>
      <w:r>
        <w:t xml:space="preserve"> individual</w:t>
      </w:r>
      <w:r w:rsidR="00CE30A4">
        <w:t xml:space="preserve"> </w:t>
      </w:r>
      <w:r>
        <w:t>State road networks to match that average policy. By doing so</w:t>
      </w:r>
      <w:r w:rsidR="00E44E95">
        <w:t>,</w:t>
      </w:r>
      <w:r>
        <w:t xml:space="preserve"> like connections between population centres and areas of significance</w:t>
      </w:r>
      <w:r w:rsidR="00E44E95">
        <w:t xml:space="preserve"> would be treated consistently</w:t>
      </w:r>
      <w:r>
        <w:t xml:space="preserve">. </w:t>
      </w:r>
    </w:p>
    <w:p w14:paraId="43996789" w14:textId="1B434B2F" w:rsidR="003E4F88" w:rsidRDefault="00A0542F" w:rsidP="003E4F88">
      <w:pPr>
        <w:pStyle w:val="CGCNumberedPara"/>
      </w:pPr>
      <w:r>
        <w:t>Examples of where these adjustments may be required are provided below.</w:t>
      </w:r>
      <w:r w:rsidR="003E4F88">
        <w:t xml:space="preserve"> </w:t>
      </w:r>
    </w:p>
    <w:p w14:paraId="6F25B8D3" w14:textId="5E17B2F4" w:rsidR="003E4F88" w:rsidRDefault="003E4F88" w:rsidP="003E4F88">
      <w:pPr>
        <w:pStyle w:val="CGCBulletlist"/>
      </w:pPr>
      <w:r>
        <w:t xml:space="preserve">States manage roads to and within national parks. However, roads within the parks are not included in State road networks if they are managed by </w:t>
      </w:r>
      <w:r w:rsidR="000C1139">
        <w:t xml:space="preserve">the </w:t>
      </w:r>
      <w:r>
        <w:t>national parks</w:t>
      </w:r>
      <w:r w:rsidR="000C1139">
        <w:t xml:space="preserve"> agency</w:t>
      </w:r>
      <w:r>
        <w:t xml:space="preserve">, rather than the roads authority. Similar issues may arise </w:t>
      </w:r>
      <w:r w:rsidR="000C1139">
        <w:t>for</w:t>
      </w:r>
      <w:r>
        <w:t xml:space="preserve"> roads managed by ports and transport</w:t>
      </w:r>
      <w:r w:rsidR="000C1139">
        <w:t xml:space="preserve"> authorities</w:t>
      </w:r>
      <w:r>
        <w:t xml:space="preserve">. </w:t>
      </w:r>
      <w:proofErr w:type="gramStart"/>
      <w:r w:rsidR="00E44E95">
        <w:t>Staff</w:t>
      </w:r>
      <w:r>
        <w:t xml:space="preserve"> aim</w:t>
      </w:r>
      <w:proofErr w:type="gramEnd"/>
      <w:r>
        <w:t xml:space="preserve"> to adjust the road networks to ensure consistent treatment of these roads.</w:t>
      </w:r>
      <w:r>
        <w:rPr>
          <w:rStyle w:val="FootnoteReference"/>
        </w:rPr>
        <w:footnoteReference w:id="4"/>
      </w:r>
      <w:r>
        <w:t xml:space="preserve"> </w:t>
      </w:r>
    </w:p>
    <w:p w14:paraId="1530707D" w14:textId="6D32E77E" w:rsidR="003E4F88" w:rsidRDefault="003E4F88" w:rsidP="003E4F88">
      <w:pPr>
        <w:pStyle w:val="CGCBulletlist"/>
      </w:pPr>
      <w:r>
        <w:t xml:space="preserve">While State road networks </w:t>
      </w:r>
      <w:r w:rsidR="000C1139">
        <w:t xml:space="preserve">usually </w:t>
      </w:r>
      <w:r>
        <w:t>link to the rest of the network in both directions</w:t>
      </w:r>
      <w:r w:rsidR="000C1139">
        <w:t>,</w:t>
      </w:r>
      <w:r>
        <w:t xml:space="preserve"> some road</w:t>
      </w:r>
      <w:r w:rsidR="00EB72A9">
        <w:t>s (including those which provide access to remote localities and areas of significance)</w:t>
      </w:r>
      <w:r>
        <w:t xml:space="preserve"> reach a ‘dead end’. For example, </w:t>
      </w:r>
      <w:r w:rsidRPr="00032991">
        <w:t xml:space="preserve">Queensland provides a road to the small farming community of </w:t>
      </w:r>
      <w:proofErr w:type="spellStart"/>
      <w:r w:rsidRPr="00032991">
        <w:t>Dalbeg</w:t>
      </w:r>
      <w:proofErr w:type="spellEnd"/>
      <w:r w:rsidRPr="00032991">
        <w:t>, which unlike the nearby route through Collinsville</w:t>
      </w:r>
      <w:r w:rsidR="000C1139">
        <w:t>,</w:t>
      </w:r>
      <w:r w:rsidRPr="00032991">
        <w:t xml:space="preserve"> </w:t>
      </w:r>
      <w:r w:rsidR="000C1139">
        <w:t>do</w:t>
      </w:r>
      <w:r w:rsidRPr="00032991">
        <w:t xml:space="preserve">es not continue through the town. </w:t>
      </w:r>
      <w:r w:rsidR="00E44E95">
        <w:t>Staff</w:t>
      </w:r>
      <w:r>
        <w:t xml:space="preserve"> will evaluate whether provision of th</w:t>
      </w:r>
      <w:r w:rsidR="00EB72A9">
        <w:t>es</w:t>
      </w:r>
      <w:r>
        <w:t xml:space="preserve">e </w:t>
      </w:r>
      <w:r w:rsidR="00EB72A9">
        <w:t xml:space="preserve">‘dead end’ </w:t>
      </w:r>
      <w:r>
        <w:t>road</w:t>
      </w:r>
      <w:r w:rsidR="003F527F">
        <w:t>s</w:t>
      </w:r>
      <w:r>
        <w:t xml:space="preserve"> is average policy, and if not, will adjust the network accordingly. </w:t>
      </w:r>
    </w:p>
    <w:p w14:paraId="7E582C5F" w14:textId="7F143045" w:rsidR="003E4F88" w:rsidRDefault="003E4F88" w:rsidP="003E4F88">
      <w:pPr>
        <w:pStyle w:val="CGCBulletlist"/>
      </w:pPr>
      <w:r>
        <w:t xml:space="preserve">Some roads are included in State managed road networks </w:t>
      </w:r>
      <w:r w:rsidR="00EB72A9">
        <w:t>because they are</w:t>
      </w:r>
      <w:r>
        <w:t xml:space="preserve"> in an area not governed by </w:t>
      </w:r>
      <w:r w:rsidR="00EB72A9">
        <w:t xml:space="preserve">a </w:t>
      </w:r>
      <w:r>
        <w:t xml:space="preserve">local government (unincorporated areas). For example, much of South Australia and parts of New South Wales and the Northern Territory are unincorporated. </w:t>
      </w:r>
      <w:proofErr w:type="gramStart"/>
      <w:r w:rsidR="00E44E95">
        <w:t>Staff</w:t>
      </w:r>
      <w:r>
        <w:t xml:space="preserve"> aim</w:t>
      </w:r>
      <w:proofErr w:type="gramEnd"/>
      <w:r>
        <w:t xml:space="preserve"> to adjust the State actual road network in these areas to remove local type roads. </w:t>
      </w:r>
    </w:p>
    <w:p w14:paraId="17AB24DC" w14:textId="002DA562" w:rsidR="003E4F88" w:rsidRDefault="006572DD" w:rsidP="003E4F88">
      <w:pPr>
        <w:pStyle w:val="CGCBulletlist"/>
      </w:pPr>
      <w:r>
        <w:t>Staff</w:t>
      </w:r>
      <w:r w:rsidR="00D543B0">
        <w:t xml:space="preserve"> will seek to ensure the data apply comparable definition</w:t>
      </w:r>
      <w:r w:rsidR="00A5658A">
        <w:t>s</w:t>
      </w:r>
      <w:r w:rsidR="00D543B0">
        <w:t xml:space="preserve"> of State and locally managed roads.</w:t>
      </w:r>
    </w:p>
    <w:p w14:paraId="1BB1D893" w14:textId="7ACA9BAF" w:rsidR="003E4F88" w:rsidRDefault="003E4F88" w:rsidP="003E4F88">
      <w:pPr>
        <w:pStyle w:val="CGCNumberedPara"/>
      </w:pPr>
      <w:r>
        <w:t xml:space="preserve">These adjustments </w:t>
      </w:r>
      <w:r w:rsidRPr="00012129">
        <w:t>w</w:t>
      </w:r>
      <w:r>
        <w:t>ould</w:t>
      </w:r>
      <w:r w:rsidRPr="00012129">
        <w:t xml:space="preserve"> be applied across the complete State road networks and as such the adjusted actual road network will incorporate both rural and urban roads. In assessing the rural and urban road length subcomponents</w:t>
      </w:r>
      <w:r w:rsidR="00BA0F57">
        <w:t>,</w:t>
      </w:r>
      <w:r w:rsidRPr="00012129">
        <w:t xml:space="preserve"> </w:t>
      </w:r>
      <w:r w:rsidR="00E44E95">
        <w:t>staff</w:t>
      </w:r>
      <w:r w:rsidRPr="00012129">
        <w:t xml:space="preserve"> will differentiate between rural and urban roads on the finalised adjusted actual road network according to the urban roads definit</w:t>
      </w:r>
      <w:r>
        <w:t>ion discussed in the urban road length section</w:t>
      </w:r>
      <w:r w:rsidRPr="00012129">
        <w:t>.</w:t>
      </w:r>
    </w:p>
    <w:p w14:paraId="10CE5247" w14:textId="550F3F67" w:rsidR="003E4F88" w:rsidRDefault="003E4F88" w:rsidP="003E4F88">
      <w:pPr>
        <w:pStyle w:val="CGCNumberedPara"/>
      </w:pPr>
      <w:r>
        <w:t>In the synthetic road network, only one connection was included between two towns</w:t>
      </w:r>
      <w:r w:rsidR="00A0542F">
        <w:t xml:space="preserve">. </w:t>
      </w:r>
      <w:proofErr w:type="gramStart"/>
      <w:r w:rsidR="00E44E95">
        <w:t>Staff</w:t>
      </w:r>
      <w:r>
        <w:t xml:space="preserve"> propose</w:t>
      </w:r>
      <w:proofErr w:type="gramEnd"/>
      <w:r>
        <w:t xml:space="preserve"> to include all existing connections as we consider this </w:t>
      </w:r>
      <w:r w:rsidR="00EB72A9">
        <w:t xml:space="preserve">better </w:t>
      </w:r>
      <w:r>
        <w:t xml:space="preserve">reflects </w:t>
      </w:r>
      <w:r w:rsidR="00EB72A9">
        <w:t xml:space="preserve">the networks States </w:t>
      </w:r>
      <w:r w:rsidR="005F1201">
        <w:t xml:space="preserve">actually manage.  </w:t>
      </w:r>
    </w:p>
    <w:p w14:paraId="56371D39" w14:textId="09AF8AF0" w:rsidR="003E4F88" w:rsidRDefault="003E4F88" w:rsidP="003E4F88">
      <w:pPr>
        <w:pStyle w:val="CGCNumberedPara"/>
      </w:pPr>
      <w:r>
        <w:lastRenderedPageBreak/>
        <w:t xml:space="preserve">If additions to the network are required (for example, to include roads managed by Parks Departments or roads that </w:t>
      </w:r>
      <w:r w:rsidR="00E44E95">
        <w:t>staff</w:t>
      </w:r>
      <w:r>
        <w:t xml:space="preserve"> consider are State managed roads under average policy)</w:t>
      </w:r>
      <w:r w:rsidR="00A0542F">
        <w:t>,</w:t>
      </w:r>
      <w:r>
        <w:t xml:space="preserve"> staff would incorporate these using either further information from States or information from another source such as </w:t>
      </w:r>
      <w:r w:rsidR="005F1201">
        <w:t>the</w:t>
      </w:r>
      <w:r>
        <w:t xml:space="preserve"> Public Sector Mapping Authority’s (</w:t>
      </w:r>
      <w:proofErr w:type="spellStart"/>
      <w:r>
        <w:t>PSMA</w:t>
      </w:r>
      <w:proofErr w:type="spellEnd"/>
      <w:r>
        <w:t>) Transport and Topography national dataset. In this case we would assume one lane in each direction.</w:t>
      </w:r>
    </w:p>
    <w:p w14:paraId="1B68ECB9" w14:textId="2611B931" w:rsidR="00F53BCA" w:rsidRPr="00DD2977" w:rsidRDefault="00F53BCA" w:rsidP="00F53BCA">
      <w:pPr>
        <w:pStyle w:val="CGCNumberedPara"/>
      </w:pPr>
      <w:proofErr w:type="spellStart"/>
      <w:r w:rsidRPr="00DD2977">
        <w:rPr>
          <w:rStyle w:val="Heading6Char"/>
        </w:rPr>
        <w:t>Austroads</w:t>
      </w:r>
      <w:proofErr w:type="spellEnd"/>
      <w:r w:rsidRPr="00DD2977">
        <w:rPr>
          <w:rStyle w:val="Heading6Char"/>
        </w:rPr>
        <w:t>.</w:t>
      </w:r>
      <w:r w:rsidRPr="00DD2977">
        <w:t xml:space="preserve"> </w:t>
      </w:r>
      <w:proofErr w:type="spellStart"/>
      <w:r>
        <w:t>Austroads</w:t>
      </w:r>
      <w:proofErr w:type="spellEnd"/>
      <w:r>
        <w:t xml:space="preserve"> is currently developing the </w:t>
      </w:r>
      <w:proofErr w:type="spellStart"/>
      <w:r>
        <w:t>Austroads</w:t>
      </w:r>
      <w:proofErr w:type="spellEnd"/>
      <w:r>
        <w:t xml:space="preserve"> </w:t>
      </w:r>
      <w:r w:rsidRPr="00C574EA">
        <w:rPr>
          <w:i/>
        </w:rPr>
        <w:t>Data Standard for Road Management and Investment Project</w:t>
      </w:r>
      <w:r w:rsidRPr="00DD2977">
        <w:t xml:space="preserve"> (</w:t>
      </w:r>
      <w:proofErr w:type="spellStart"/>
      <w:r w:rsidRPr="00DD2977">
        <w:t>Austroads</w:t>
      </w:r>
      <w:proofErr w:type="spellEnd"/>
      <w:r w:rsidRPr="00DD2977">
        <w:t xml:space="preserve"> Standard)</w:t>
      </w:r>
      <w:r>
        <w:t>,</w:t>
      </w:r>
      <w:r>
        <w:rPr>
          <w:rStyle w:val="FootnoteReference"/>
        </w:rPr>
        <w:footnoteReference w:id="5"/>
      </w:r>
      <w:r>
        <w:t xml:space="preserve"> which </w:t>
      </w:r>
      <w:r w:rsidR="005F1201">
        <w:t xml:space="preserve">is </w:t>
      </w:r>
      <w:r>
        <w:t xml:space="preserve">a harmonised roads dataset intended for use by </w:t>
      </w:r>
      <w:r w:rsidR="00210D4B">
        <w:t>local and</w:t>
      </w:r>
      <w:r>
        <w:t xml:space="preserve"> State governments</w:t>
      </w:r>
      <w:r w:rsidR="00F657B3">
        <w:t xml:space="preserve"> (and other stakeholders)</w:t>
      </w:r>
      <w:r w:rsidRPr="00DD2977">
        <w:t xml:space="preserve">. At this stage, </w:t>
      </w:r>
      <w:proofErr w:type="spellStart"/>
      <w:r w:rsidRPr="00DD2977">
        <w:t>Austroads</w:t>
      </w:r>
      <w:proofErr w:type="spellEnd"/>
      <w:r w:rsidRPr="00DD2977">
        <w:t xml:space="preserve"> is working towards </w:t>
      </w:r>
      <w:r>
        <w:t>an agreement on a</w:t>
      </w:r>
      <w:r w:rsidRPr="00DD2977">
        <w:t xml:space="preserve"> </w:t>
      </w:r>
      <w:r w:rsidR="00F62AA6">
        <w:t xml:space="preserve">subset </w:t>
      </w:r>
      <w:r w:rsidRPr="00DD2977">
        <w:t>list</w:t>
      </w:r>
      <w:r>
        <w:t xml:space="preserve"> of priority data items</w:t>
      </w:r>
      <w:r w:rsidRPr="00DD2977">
        <w:t xml:space="preserve">. The draft priority </w:t>
      </w:r>
      <w:r w:rsidR="00C55556">
        <w:t>harmonisation sub</w:t>
      </w:r>
      <w:r w:rsidRPr="00DD2977">
        <w:t xml:space="preserve">set </w:t>
      </w:r>
      <w:r>
        <w:t xml:space="preserve">is provided </w:t>
      </w:r>
      <w:r w:rsidR="005F1201">
        <w:t>in</w:t>
      </w:r>
      <w:r w:rsidR="00A5658A">
        <w:t xml:space="preserve"> </w:t>
      </w:r>
      <w:r w:rsidR="00153541">
        <w:t>Attachment B</w:t>
      </w:r>
      <w:r>
        <w:t xml:space="preserve">. The priority </w:t>
      </w:r>
      <w:r w:rsidR="00F62AA6">
        <w:t>subset</w:t>
      </w:r>
      <w:r>
        <w:t xml:space="preserve"> would include items such as</w:t>
      </w:r>
      <w:r w:rsidR="003F527F">
        <w:t>:</w:t>
      </w:r>
      <w:r w:rsidRPr="00DD2977">
        <w:t xml:space="preserve"> </w:t>
      </w:r>
    </w:p>
    <w:p w14:paraId="234E46F5" w14:textId="4A5F21B5" w:rsidR="00F53BCA" w:rsidRPr="00DD2977" w:rsidRDefault="00F53BCA" w:rsidP="00F53BCA">
      <w:pPr>
        <w:pStyle w:val="CGCBulletlist"/>
      </w:pPr>
      <w:r w:rsidRPr="00DD2977">
        <w:t xml:space="preserve">functional classification </w:t>
      </w:r>
      <w:r>
        <w:t>(such as State, arterial, collector and local roads)</w:t>
      </w:r>
    </w:p>
    <w:p w14:paraId="0D04DF00" w14:textId="77777777" w:rsidR="00F53BCA" w:rsidRPr="00DD2977" w:rsidRDefault="00F53BCA" w:rsidP="00F53BCA">
      <w:pPr>
        <w:pStyle w:val="CGCBulletlist"/>
      </w:pPr>
      <w:r w:rsidRPr="00DD2977">
        <w:t>ownership of the asset (State and local government)</w:t>
      </w:r>
    </w:p>
    <w:p w14:paraId="0EEBCD1B" w14:textId="678CF543" w:rsidR="00F53BCA" w:rsidRDefault="00086BB8" w:rsidP="00F53BCA">
      <w:pPr>
        <w:pStyle w:val="CGCBulletlist"/>
      </w:pPr>
      <w:r>
        <w:t>lane-kilometre</w:t>
      </w:r>
      <w:r w:rsidR="00F53BCA" w:rsidRPr="00DD2977">
        <w:t xml:space="preserve"> length (derived from road length and number</w:t>
      </w:r>
      <w:r w:rsidR="00F53BCA">
        <w:t xml:space="preserve"> of lanes)</w:t>
      </w:r>
    </w:p>
    <w:p w14:paraId="072850F1" w14:textId="4E421208" w:rsidR="00F53BCA" w:rsidRDefault="00F53BCA" w:rsidP="00F53BCA">
      <w:pPr>
        <w:pStyle w:val="CGCBulletlist"/>
      </w:pPr>
      <w:proofErr w:type="gramStart"/>
      <w:r>
        <w:t>surfac</w:t>
      </w:r>
      <w:r w:rsidR="0034648C">
        <w:t>e</w:t>
      </w:r>
      <w:proofErr w:type="gramEnd"/>
      <w:r>
        <w:t xml:space="preserve"> material type</w:t>
      </w:r>
      <w:r w:rsidR="003F527F">
        <w:t>,</w:t>
      </w:r>
      <w:r>
        <w:t xml:space="preserve"> allowing for differentiation of sealed and unsealed roads.</w:t>
      </w:r>
    </w:p>
    <w:p w14:paraId="30B5CFA5" w14:textId="25F44959" w:rsidR="00F53BCA" w:rsidRDefault="00F53BCA" w:rsidP="00F53BCA">
      <w:pPr>
        <w:pStyle w:val="CGCNumberedPara"/>
      </w:pPr>
      <w:r>
        <w:t xml:space="preserve">However, </w:t>
      </w:r>
      <w:proofErr w:type="gramStart"/>
      <w:r w:rsidR="0034648C">
        <w:t xml:space="preserve">staff </w:t>
      </w:r>
      <w:r>
        <w:t>understand</w:t>
      </w:r>
      <w:proofErr w:type="gramEnd"/>
      <w:r>
        <w:t xml:space="preserve"> </w:t>
      </w:r>
      <w:r w:rsidR="005F1201">
        <w:t>this</w:t>
      </w:r>
      <w:r>
        <w:t xml:space="preserve"> Standard dataset is unlikely to be available in time for </w:t>
      </w:r>
      <w:r w:rsidR="005F1201">
        <w:t>use in</w:t>
      </w:r>
      <w:r>
        <w:t xml:space="preserve"> the 2020 Review.</w:t>
      </w:r>
      <w:r>
        <w:rPr>
          <w:rStyle w:val="FootnoteReference"/>
        </w:rPr>
        <w:footnoteReference w:id="6"/>
      </w:r>
      <w:r>
        <w:t xml:space="preserve"> That said</w:t>
      </w:r>
      <w:proofErr w:type="gramStart"/>
      <w:r>
        <w:t>,</w:t>
      </w:r>
      <w:proofErr w:type="gramEnd"/>
      <w:r>
        <w:t xml:space="preserve"> staff are considering sending a data request to States by, say, </w:t>
      </w:r>
      <w:r w:rsidR="00E506EC">
        <w:t>early</w:t>
      </w:r>
      <w:r w:rsidR="00A5658A">
        <w:t xml:space="preserve"> </w:t>
      </w:r>
      <w:r>
        <w:t xml:space="preserve">2019 to seek road length data based on the </w:t>
      </w:r>
      <w:proofErr w:type="spellStart"/>
      <w:r>
        <w:t>Austroads</w:t>
      </w:r>
      <w:proofErr w:type="spellEnd"/>
      <w:r>
        <w:t xml:space="preserve"> Standard.</w:t>
      </w:r>
      <w:r>
        <w:rPr>
          <w:rStyle w:val="FootnoteReference"/>
        </w:rPr>
        <w:footnoteReference w:id="7"/>
      </w:r>
      <w:r>
        <w:t xml:space="preserve"> While </w:t>
      </w:r>
      <w:r w:rsidR="00E506EC">
        <w:t>early</w:t>
      </w:r>
      <w:r w:rsidR="00A5658A">
        <w:t xml:space="preserve"> </w:t>
      </w:r>
      <w:r>
        <w:t xml:space="preserve">2019 </w:t>
      </w:r>
      <w:proofErr w:type="gramStart"/>
      <w:r>
        <w:t>is</w:t>
      </w:r>
      <w:proofErr w:type="gramEnd"/>
      <w:r>
        <w:t xml:space="preserve"> late in the 2020 Review process, it may give sufficient time for </w:t>
      </w:r>
      <w:proofErr w:type="spellStart"/>
      <w:r>
        <w:t>Austroads</w:t>
      </w:r>
      <w:proofErr w:type="spellEnd"/>
      <w:r>
        <w:t xml:space="preserve"> to get agreement from States on </w:t>
      </w:r>
      <w:r w:rsidR="00A0542F">
        <w:t xml:space="preserve">a </w:t>
      </w:r>
      <w:r>
        <w:t>harmonised dataset. We</w:t>
      </w:r>
      <w:r w:rsidR="005F1201">
        <w:t xml:space="preserve"> will</w:t>
      </w:r>
      <w:r>
        <w:t xml:space="preserve"> monitor progress in the development of the </w:t>
      </w:r>
      <w:proofErr w:type="spellStart"/>
      <w:r>
        <w:t>Austroads</w:t>
      </w:r>
      <w:proofErr w:type="spellEnd"/>
      <w:r>
        <w:t xml:space="preserve"> Standard. </w:t>
      </w:r>
    </w:p>
    <w:p w14:paraId="49EBB938" w14:textId="25542907" w:rsidR="00F53BCA" w:rsidRDefault="00F53BCA" w:rsidP="00F53BCA">
      <w:pPr>
        <w:pStyle w:val="CGCNumberedPara"/>
      </w:pPr>
      <w:r>
        <w:t xml:space="preserve">If </w:t>
      </w:r>
      <w:r w:rsidR="005F1201">
        <w:t>agreements a</w:t>
      </w:r>
      <w:r w:rsidR="00A5658A">
        <w:t>re reached on the Standard data</w:t>
      </w:r>
      <w:r w:rsidR="005F1201">
        <w:t xml:space="preserve">set and </w:t>
      </w:r>
      <w:r w:rsidR="00E44E95">
        <w:t>we</w:t>
      </w:r>
      <w:r>
        <w:t xml:space="preserve"> can collect the data, we would use States’ actual lane-</w:t>
      </w:r>
      <w:r w:rsidR="00086BB8">
        <w:t>kilometres</w:t>
      </w:r>
      <w:r>
        <w:t xml:space="preserve"> and proportion of sealed and unsealed roads </w:t>
      </w:r>
      <w:r w:rsidR="005F1201">
        <w:t xml:space="preserve">in the assessments for </w:t>
      </w:r>
      <w:r>
        <w:t>the road length component</w:t>
      </w:r>
      <w:r w:rsidR="005F1201">
        <w:t>s</w:t>
      </w:r>
      <w:r>
        <w:t xml:space="preserve">. </w:t>
      </w:r>
    </w:p>
    <w:p w14:paraId="732D6FBC" w14:textId="77777777" w:rsidR="003E4F88" w:rsidRPr="00F53BCA" w:rsidRDefault="00F53BCA" w:rsidP="00F53BCA">
      <w:pPr>
        <w:pStyle w:val="Heading5"/>
      </w:pPr>
      <w:r w:rsidRPr="00F53BCA">
        <w:rPr>
          <w:rStyle w:val="Heading6Char"/>
          <w:b/>
          <w:i/>
          <w:iCs w:val="0"/>
        </w:rPr>
        <w:t>Synthetic network</w:t>
      </w:r>
    </w:p>
    <w:p w14:paraId="5CF7A8CE" w14:textId="2F5575BB" w:rsidR="00D40F88" w:rsidRDefault="00A67CB5" w:rsidP="00F17A64">
      <w:pPr>
        <w:pStyle w:val="CGCNumberedPara"/>
      </w:pPr>
      <w:r>
        <w:t xml:space="preserve">While the </w:t>
      </w:r>
      <w:r w:rsidR="00F53BCA" w:rsidRPr="002277BD">
        <w:rPr>
          <w:rStyle w:val="Heading6Char"/>
          <w:rFonts w:eastAsiaTheme="minorHAnsi" w:cstheme="minorBidi"/>
          <w:b w:val="0"/>
          <w:i w:val="0"/>
          <w:iCs w:val="0"/>
          <w:color w:val="auto"/>
          <w:sz w:val="24"/>
        </w:rPr>
        <w:t>synthetic network</w:t>
      </w:r>
      <w:r w:rsidR="00F53BCA">
        <w:t xml:space="preserve"> </w:t>
      </w:r>
      <w:r>
        <w:t xml:space="preserve">methodology used </w:t>
      </w:r>
      <w:r w:rsidR="007E2F69">
        <w:t xml:space="preserve">since the 2010 Review </w:t>
      </w:r>
      <w:r>
        <w:t xml:space="preserve">is policy neutral and has broad acceptance, </w:t>
      </w:r>
      <w:r w:rsidR="002277BD">
        <w:t xml:space="preserve">it has the </w:t>
      </w:r>
      <w:r w:rsidR="00883E16">
        <w:t>shortcomings</w:t>
      </w:r>
      <w:r w:rsidR="002277BD">
        <w:t xml:space="preserve"> mentioned earlier</w:t>
      </w:r>
      <w:r w:rsidR="00D32E88">
        <w:t>.</w:t>
      </w:r>
      <w:r w:rsidR="00883E16">
        <w:t xml:space="preserve"> </w:t>
      </w:r>
      <w:r w:rsidR="002277BD">
        <w:t xml:space="preserve">It also </w:t>
      </w:r>
      <w:r w:rsidR="00CA2794">
        <w:t xml:space="preserve">assumes </w:t>
      </w:r>
      <w:r w:rsidR="002277BD">
        <w:t>al</w:t>
      </w:r>
      <w:r w:rsidR="00CA2794">
        <w:t xml:space="preserve">l roads </w:t>
      </w:r>
      <w:r w:rsidR="002277BD">
        <w:t>have only one lane in each direction.</w:t>
      </w:r>
      <w:r w:rsidR="00CA2794">
        <w:t xml:space="preserve"> </w:t>
      </w:r>
      <w:r w:rsidR="00D32E88">
        <w:t>An</w:t>
      </w:r>
      <w:r w:rsidR="00CA2794">
        <w:t xml:space="preserve"> </w:t>
      </w:r>
      <w:r w:rsidR="00B422F4">
        <w:t>assessment of road length</w:t>
      </w:r>
      <w:r w:rsidR="00D40F88">
        <w:t xml:space="preserve"> </w:t>
      </w:r>
      <w:r w:rsidR="00D32E88">
        <w:lastRenderedPageBreak/>
        <w:t>that used</w:t>
      </w:r>
      <w:r w:rsidR="00CA2794">
        <w:t xml:space="preserve"> lane-</w:t>
      </w:r>
      <w:r w:rsidR="00086BB8">
        <w:t>kilometres</w:t>
      </w:r>
      <w:r w:rsidR="00CA2794">
        <w:t xml:space="preserve"> rather than </w:t>
      </w:r>
      <w:r w:rsidR="00B422F4">
        <w:t>road-</w:t>
      </w:r>
      <w:r w:rsidR="00086BB8">
        <w:t>kilometres</w:t>
      </w:r>
      <w:r w:rsidR="00D32E88">
        <w:t xml:space="preserve"> would be preferable</w:t>
      </w:r>
      <w:r w:rsidR="00B422F4">
        <w:t>.</w:t>
      </w:r>
      <w:r w:rsidR="00B422F4">
        <w:rPr>
          <w:rStyle w:val="FootnoteReference"/>
        </w:rPr>
        <w:footnoteReference w:id="8"/>
      </w:r>
      <w:r w:rsidR="00B422F4">
        <w:t xml:space="preserve"> </w:t>
      </w:r>
      <w:r w:rsidR="00CA2794">
        <w:t xml:space="preserve">This </w:t>
      </w:r>
      <w:r w:rsidR="00D32E88">
        <w:t>issue was</w:t>
      </w:r>
      <w:r w:rsidR="00CA2794">
        <w:t xml:space="preserve"> raised by the ACT</w:t>
      </w:r>
      <w:r>
        <w:t xml:space="preserve"> i</w:t>
      </w:r>
      <w:r w:rsidR="00AB33AD" w:rsidRPr="00AB33AD">
        <w:t xml:space="preserve">n </w:t>
      </w:r>
      <w:r w:rsidR="00AB33AD">
        <w:t>its</w:t>
      </w:r>
      <w:r w:rsidR="00AB33AD" w:rsidRPr="00AB33AD">
        <w:t xml:space="preserve"> response to the </w:t>
      </w:r>
      <w:r w:rsidR="00AB33AD" w:rsidRPr="002277BD">
        <w:rPr>
          <w:i/>
        </w:rPr>
        <w:t>Roads – What States Do</w:t>
      </w:r>
      <w:r w:rsidR="00AB33AD" w:rsidRPr="00AB33AD">
        <w:t xml:space="preserve"> paper</w:t>
      </w:r>
      <w:r>
        <w:t>.</w:t>
      </w:r>
      <w:r w:rsidR="00FE56E2">
        <w:t xml:space="preserve"> </w:t>
      </w:r>
    </w:p>
    <w:p w14:paraId="74E50ECC" w14:textId="57BECCB7" w:rsidR="008935DD" w:rsidRDefault="006572DD" w:rsidP="008935DD">
      <w:pPr>
        <w:pStyle w:val="CGCNumberedPara"/>
      </w:pPr>
      <w:r>
        <w:t>The</w:t>
      </w:r>
      <w:r w:rsidR="00510B70">
        <w:t xml:space="preserve"> </w:t>
      </w:r>
      <w:r w:rsidR="008935DD">
        <w:t xml:space="preserve">mapping </w:t>
      </w:r>
      <w:r w:rsidR="00D532CB">
        <w:t xml:space="preserve">algorithm </w:t>
      </w:r>
      <w:r w:rsidR="00FA0D82">
        <w:t>used in the 2015 </w:t>
      </w:r>
      <w:r w:rsidR="008935DD">
        <w:t xml:space="preserve">Review </w:t>
      </w:r>
      <w:r>
        <w:t xml:space="preserve">could be retained with </w:t>
      </w:r>
      <w:r w:rsidR="00D532CB">
        <w:t xml:space="preserve">adjustments </w:t>
      </w:r>
      <w:r w:rsidR="0023626C">
        <w:t>to overcome</w:t>
      </w:r>
      <w:r w:rsidR="008935DD">
        <w:t xml:space="preserve"> </w:t>
      </w:r>
      <w:r w:rsidR="00510B70">
        <w:t xml:space="preserve">the </w:t>
      </w:r>
      <w:r w:rsidR="008935DD">
        <w:t>issues with the current data and methodology. These adjustments are outlined below</w:t>
      </w:r>
      <w:r w:rsidR="0023626C">
        <w:t>.</w:t>
      </w:r>
    </w:p>
    <w:p w14:paraId="12759249" w14:textId="68B6B364" w:rsidR="008935DD" w:rsidRDefault="006572DD" w:rsidP="008935DD">
      <w:pPr>
        <w:pStyle w:val="CGCBulletlist"/>
      </w:pPr>
      <w:r>
        <w:t>C</w:t>
      </w:r>
      <w:r w:rsidR="008935DD">
        <w:t>ontinue to run the algorithm over a national road network</w:t>
      </w:r>
      <w:r w:rsidR="003C6E4D">
        <w:t xml:space="preserve"> that includes both State and local roads</w:t>
      </w:r>
      <w:r w:rsidR="00510B70">
        <w:t>,</w:t>
      </w:r>
      <w:r w:rsidR="008935DD">
        <w:t xml:space="preserve"> such </w:t>
      </w:r>
      <w:r w:rsidR="00510B70">
        <w:t xml:space="preserve">as </w:t>
      </w:r>
      <w:proofErr w:type="spellStart"/>
      <w:r w:rsidR="008935DD">
        <w:t>PSMA’s</w:t>
      </w:r>
      <w:proofErr w:type="spellEnd"/>
      <w:r w:rsidR="008935DD">
        <w:t xml:space="preserve"> national dataset. </w:t>
      </w:r>
    </w:p>
    <w:p w14:paraId="4379BCD5" w14:textId="0F41078D" w:rsidR="008935DD" w:rsidRDefault="006572DD" w:rsidP="008935DD">
      <w:pPr>
        <w:pStyle w:val="CGCBulletlist"/>
      </w:pPr>
      <w:r>
        <w:t>I</w:t>
      </w:r>
      <w:r w:rsidR="00510B70">
        <w:t xml:space="preserve">nclude roads connecting </w:t>
      </w:r>
      <w:r w:rsidR="008935DD">
        <w:t xml:space="preserve">all ABS </w:t>
      </w:r>
      <w:r w:rsidR="00510B70">
        <w:t>Urban centres / localities (</w:t>
      </w:r>
      <w:proofErr w:type="spellStart"/>
      <w:r w:rsidR="008935DD">
        <w:t>UCLs</w:t>
      </w:r>
      <w:proofErr w:type="spellEnd"/>
      <w:r w:rsidR="00510B70">
        <w:t>)</w:t>
      </w:r>
      <w:r w:rsidR="008935DD">
        <w:t>.</w:t>
      </w:r>
      <w:r w:rsidR="008935DD">
        <w:rPr>
          <w:rStyle w:val="FootnoteReference"/>
        </w:rPr>
        <w:footnoteReference w:id="9"/>
      </w:r>
    </w:p>
    <w:p w14:paraId="304E07B4" w14:textId="0EF8DDF5" w:rsidR="008935DD" w:rsidRDefault="006572DD" w:rsidP="008935DD">
      <w:pPr>
        <w:pStyle w:val="CGCBulletlist"/>
      </w:pPr>
      <w:r>
        <w:t>I</w:t>
      </w:r>
      <w:r w:rsidR="003C6E4D">
        <w:t>nc</w:t>
      </w:r>
      <w:r w:rsidR="0023626C">
        <w:t>lude</w:t>
      </w:r>
      <w:r w:rsidR="003C6E4D">
        <w:t xml:space="preserve"> connections to national parks and any other areas of significance </w:t>
      </w:r>
      <w:r w:rsidR="00510B70">
        <w:t xml:space="preserve">that </w:t>
      </w:r>
      <w:r w:rsidR="003C6E4D">
        <w:t xml:space="preserve">can </w:t>
      </w:r>
      <w:r w:rsidR="00510B70">
        <w:t xml:space="preserve">be </w:t>
      </w:r>
      <w:r w:rsidR="003C6E4D">
        <w:t>reliably identif</w:t>
      </w:r>
      <w:r w:rsidR="00510B70">
        <w:t>ied</w:t>
      </w:r>
      <w:r w:rsidR="003C6E4D">
        <w:t xml:space="preserve"> as connect</w:t>
      </w:r>
      <w:r w:rsidR="00510B70">
        <w:t>ing</w:t>
      </w:r>
      <w:r w:rsidR="003C6E4D">
        <w:t xml:space="preserve"> to the State road networks under average policy.</w:t>
      </w:r>
      <w:r w:rsidR="008935DD">
        <w:t xml:space="preserve"> </w:t>
      </w:r>
    </w:p>
    <w:p w14:paraId="3C8A5371" w14:textId="7C67C263" w:rsidR="00FA0D82" w:rsidRDefault="006572DD" w:rsidP="008935DD">
      <w:pPr>
        <w:pStyle w:val="CGCBulletlist"/>
      </w:pPr>
      <w:r>
        <w:t>I</w:t>
      </w:r>
      <w:r w:rsidR="00FA0D82">
        <w:t>nclude all connecting roads between urban centres</w:t>
      </w:r>
      <w:r w:rsidR="00C52D4E">
        <w:t xml:space="preserve"> instead of just one</w:t>
      </w:r>
      <w:r w:rsidR="00FA0D82">
        <w:t>.</w:t>
      </w:r>
    </w:p>
    <w:p w14:paraId="578EA466" w14:textId="6A35AD47" w:rsidR="00B57F00" w:rsidRDefault="006572DD" w:rsidP="008935DD">
      <w:pPr>
        <w:pStyle w:val="CGCBulletlist"/>
      </w:pPr>
      <w:r>
        <w:t>D</w:t>
      </w:r>
      <w:r w:rsidR="00B57F00">
        <w:t>ata on lane-</w:t>
      </w:r>
      <w:r w:rsidR="00086BB8">
        <w:t>kilometres</w:t>
      </w:r>
      <w:r>
        <w:t xml:space="preserve"> is not readily available</w:t>
      </w:r>
      <w:r w:rsidR="00B57F00">
        <w:t>. These would need to be estimated, perhaps with the help</w:t>
      </w:r>
      <w:r w:rsidR="008A4735">
        <w:t xml:space="preserve"> of the State Road Authorities</w:t>
      </w:r>
      <w:r w:rsidR="00B57F00">
        <w:t>.</w:t>
      </w:r>
    </w:p>
    <w:tbl>
      <w:tblPr>
        <w:tblW w:w="0" w:type="auto"/>
        <w:tblInd w:w="108" w:type="dxa"/>
        <w:shd w:val="clear" w:color="auto" w:fill="D9F3E6"/>
        <w:tblLook w:val="04A0" w:firstRow="1" w:lastRow="0" w:firstColumn="1" w:lastColumn="0" w:noHBand="0" w:noVBand="1"/>
      </w:tblPr>
      <w:tblGrid>
        <w:gridCol w:w="8931"/>
      </w:tblGrid>
      <w:tr w:rsidR="00B7517F" w:rsidRPr="00E674AF" w14:paraId="3EE115EA" w14:textId="77777777" w:rsidTr="0073660C">
        <w:tc>
          <w:tcPr>
            <w:tcW w:w="8931" w:type="dxa"/>
            <w:shd w:val="clear" w:color="auto" w:fill="D9F3E6"/>
          </w:tcPr>
          <w:p w14:paraId="737387F1" w14:textId="77777777" w:rsidR="00B7517F" w:rsidRPr="00E674AF" w:rsidRDefault="00B7517F" w:rsidP="0073660C">
            <w:r w:rsidRPr="00B7517F">
              <w:t>Staff propose to recommend the Commission:</w:t>
            </w:r>
          </w:p>
          <w:p w14:paraId="20C65367" w14:textId="0F9CAC7B" w:rsidR="00C67286" w:rsidRDefault="00C67286" w:rsidP="00C67286">
            <w:pPr>
              <w:pStyle w:val="CGCBulletlist"/>
            </w:pPr>
            <w:r w:rsidRPr="00C67286">
              <w:t>consider whether it should adopt a new approach to measuring State road length in a way that more closely reflects the actual length of roads that States manage and, if so, to</w:t>
            </w:r>
            <w:r>
              <w:t>:</w:t>
            </w:r>
          </w:p>
          <w:p w14:paraId="32330D8E" w14:textId="4332363C" w:rsidR="003361C1" w:rsidRPr="00E955F2" w:rsidRDefault="00381F23" w:rsidP="00C67286">
            <w:pPr>
              <w:pStyle w:val="CGCSubbulletlist"/>
            </w:pPr>
            <w:r w:rsidRPr="00E955F2">
              <w:t xml:space="preserve">use State actual road networks </w:t>
            </w:r>
            <w:r w:rsidR="003361C1" w:rsidRPr="00E955F2">
              <w:t>adjusted</w:t>
            </w:r>
            <w:r w:rsidR="008232E4">
              <w:t xml:space="preserve"> to</w:t>
            </w:r>
            <w:r w:rsidR="00720A48">
              <w:t xml:space="preserve"> ensure the inclusion of</w:t>
            </w:r>
            <w:r w:rsidR="00720A48" w:rsidRPr="00720A48">
              <w:t xml:space="preserve"> roads commonly classified as State roads </w:t>
            </w:r>
            <w:r w:rsidR="00DB1544">
              <w:t xml:space="preserve">and the exclusion of roads </w:t>
            </w:r>
            <w:r w:rsidR="00DB1544" w:rsidRPr="00DB1544">
              <w:t xml:space="preserve">commonly classified as </w:t>
            </w:r>
            <w:r w:rsidR="00DB1544">
              <w:t>local</w:t>
            </w:r>
            <w:r w:rsidR="00DB1544" w:rsidRPr="00DB1544">
              <w:t xml:space="preserve"> roads </w:t>
            </w:r>
            <w:r w:rsidR="00720A48" w:rsidRPr="00720A48">
              <w:t>to reflect average policy</w:t>
            </w:r>
            <w:r w:rsidR="008232E4">
              <w:t xml:space="preserve"> </w:t>
            </w:r>
          </w:p>
          <w:p w14:paraId="6B9BD4BA" w14:textId="61D499AF" w:rsidR="00510B70" w:rsidRDefault="00495928" w:rsidP="00C67286">
            <w:pPr>
              <w:pStyle w:val="CGCSubbulletlist"/>
            </w:pPr>
            <w:r w:rsidRPr="00767F20">
              <w:t>as a fall</w:t>
            </w:r>
            <w:r w:rsidR="004D63A9">
              <w:t>-</w:t>
            </w:r>
            <w:r w:rsidRPr="00767F20">
              <w:t>back</w:t>
            </w:r>
            <w:r w:rsidR="00510B70">
              <w:t>,</w:t>
            </w:r>
            <w:r w:rsidRPr="00767F20">
              <w:t xml:space="preserve"> </w:t>
            </w:r>
            <w:r w:rsidR="00B60F07" w:rsidRPr="00767F20">
              <w:t xml:space="preserve">retain </w:t>
            </w:r>
            <w:r w:rsidR="00767F20" w:rsidRPr="00767F20">
              <w:t xml:space="preserve">the mapping </w:t>
            </w:r>
            <w:r w:rsidR="00B60F07" w:rsidRPr="00767F20">
              <w:t xml:space="preserve">algorithm </w:t>
            </w:r>
            <w:r w:rsidR="00767F20" w:rsidRPr="00767F20">
              <w:t xml:space="preserve">approach with changes to incorporate </w:t>
            </w:r>
            <w:r w:rsidR="00FA0D82">
              <w:t>all connections between urban centres</w:t>
            </w:r>
            <w:r w:rsidR="00767F20" w:rsidRPr="00767F20">
              <w:t>, connections to smaller population centres and connections to certain areas of significance</w:t>
            </w:r>
          </w:p>
          <w:p w14:paraId="543CE319" w14:textId="68388A26" w:rsidR="00463BF6" w:rsidRPr="00E674AF" w:rsidRDefault="00510B70" w:rsidP="00A5658A">
            <w:pPr>
              <w:pStyle w:val="CGCBulletlist"/>
            </w:pPr>
            <w:proofErr w:type="gramStart"/>
            <w:r>
              <w:t>provide</w:t>
            </w:r>
            <w:proofErr w:type="gramEnd"/>
            <w:r>
              <w:t xml:space="preserve"> a draft data request to States by </w:t>
            </w:r>
            <w:r w:rsidR="00082F68">
              <w:t xml:space="preserve">early </w:t>
            </w:r>
            <w:r w:rsidR="00F4662A">
              <w:t>2019</w:t>
            </w:r>
            <w:r>
              <w:t xml:space="preserve"> to see whether State</w:t>
            </w:r>
            <w:r w:rsidR="00A5658A">
              <w:t>s</w:t>
            </w:r>
            <w:r>
              <w:t xml:space="preserve"> can provide road length information based on the definitions and formats set out in the </w:t>
            </w:r>
            <w:proofErr w:type="spellStart"/>
            <w:r>
              <w:t>Austroads</w:t>
            </w:r>
            <w:proofErr w:type="spellEnd"/>
            <w:r>
              <w:t xml:space="preserve"> Standard</w:t>
            </w:r>
            <w:r w:rsidR="003361C1" w:rsidRPr="003361C1">
              <w:t>.</w:t>
            </w:r>
          </w:p>
        </w:tc>
      </w:tr>
    </w:tbl>
    <w:p w14:paraId="5C12980F" w14:textId="77777777" w:rsidR="00614F04" w:rsidRDefault="00614F04" w:rsidP="00B7517F">
      <w:pPr>
        <w:pStyle w:val="Heading4"/>
      </w:pPr>
      <w:bookmarkStart w:id="49" w:name="_Toc509326362"/>
      <w:bookmarkStart w:id="50" w:name="_Toc511380292"/>
      <w:r>
        <w:t>Urban road length</w:t>
      </w:r>
      <w:bookmarkEnd w:id="49"/>
      <w:bookmarkEnd w:id="50"/>
      <w:r w:rsidR="00284E0E">
        <w:t xml:space="preserve"> </w:t>
      </w:r>
    </w:p>
    <w:p w14:paraId="5060606C" w14:textId="77777777" w:rsidR="002636A7" w:rsidRDefault="00614F04" w:rsidP="00614F04">
      <w:pPr>
        <w:pStyle w:val="CGCNumberedPara"/>
      </w:pPr>
      <w:r>
        <w:t xml:space="preserve">In the last two reviews, the Commission </w:t>
      </w:r>
      <w:r w:rsidR="00391750">
        <w:t xml:space="preserve">used population in </w:t>
      </w:r>
      <w:proofErr w:type="spellStart"/>
      <w:r w:rsidR="00391750">
        <w:t>UCLs</w:t>
      </w:r>
      <w:proofErr w:type="spellEnd"/>
      <w:r w:rsidR="00391750">
        <w:t xml:space="preserve"> of 40 000 or more as a proxy measure for road length because it could </w:t>
      </w:r>
      <w:r>
        <w:t>not find a</w:t>
      </w:r>
      <w:r w:rsidR="00B170C2">
        <w:t xml:space="preserve"> reliable</w:t>
      </w:r>
      <w:r>
        <w:t xml:space="preserve"> policy neutral measure of urban road length. </w:t>
      </w:r>
    </w:p>
    <w:p w14:paraId="1C5FFB6F" w14:textId="06B27204" w:rsidR="00DC0A48" w:rsidRDefault="00DC0A48" w:rsidP="00614F04">
      <w:pPr>
        <w:pStyle w:val="CGCNumberedPara"/>
      </w:pPr>
      <w:r>
        <w:lastRenderedPageBreak/>
        <w:t xml:space="preserve">For this review, </w:t>
      </w:r>
      <w:r w:rsidR="00852AE2">
        <w:t>the</w:t>
      </w:r>
      <w:r>
        <w:t xml:space="preserve"> options for measuring urban road length </w:t>
      </w:r>
      <w:r w:rsidR="00852AE2">
        <w:t xml:space="preserve">are similar to those </w:t>
      </w:r>
      <w:r w:rsidR="00784628">
        <w:t>for rural road length</w:t>
      </w:r>
      <w:r w:rsidR="00A5658A">
        <w:t>:</w:t>
      </w:r>
    </w:p>
    <w:p w14:paraId="293D8FE4" w14:textId="77777777" w:rsidR="0078031E" w:rsidRDefault="00784628" w:rsidP="0078031E">
      <w:pPr>
        <w:pStyle w:val="CGCBulletlist"/>
      </w:pPr>
      <w:r>
        <w:t>a</w:t>
      </w:r>
      <w:r w:rsidR="00DC0A48">
        <w:t>djusting State actual urban road network</w:t>
      </w:r>
      <w:r>
        <w:t xml:space="preserve"> according to the </w:t>
      </w:r>
      <w:r w:rsidR="00852AE2">
        <w:t>approach</w:t>
      </w:r>
      <w:r>
        <w:t xml:space="preserve"> outlined in the rural road length section</w:t>
      </w:r>
      <w:r w:rsidR="00DC0A48">
        <w:t xml:space="preserve"> </w:t>
      </w:r>
    </w:p>
    <w:p w14:paraId="39C5EB01" w14:textId="3825B8C2" w:rsidR="0078031E" w:rsidRDefault="0078031E" w:rsidP="0078031E">
      <w:pPr>
        <w:pStyle w:val="CGCSubbulletlist"/>
      </w:pPr>
      <w:r>
        <w:t>if available, using State actual lane-</w:t>
      </w:r>
      <w:r w:rsidR="00086BB8">
        <w:t>kilometres</w:t>
      </w:r>
      <w:r>
        <w:t xml:space="preserve"> from the </w:t>
      </w:r>
      <w:proofErr w:type="spellStart"/>
      <w:r>
        <w:t>Austroads</w:t>
      </w:r>
      <w:proofErr w:type="spellEnd"/>
      <w:r>
        <w:t xml:space="preserve"> Standard</w:t>
      </w:r>
    </w:p>
    <w:p w14:paraId="78D562A5" w14:textId="145AFD3A" w:rsidR="00DC0A48" w:rsidRDefault="00784628" w:rsidP="00DC0A48">
      <w:pPr>
        <w:pStyle w:val="CGCBulletlist"/>
      </w:pPr>
      <w:proofErr w:type="gramStart"/>
      <w:r>
        <w:t>r</w:t>
      </w:r>
      <w:r w:rsidR="00DC0A48">
        <w:t>etaining</w:t>
      </w:r>
      <w:proofErr w:type="gramEnd"/>
      <w:r w:rsidR="00DC0A48">
        <w:t xml:space="preserve"> the current </w:t>
      </w:r>
      <w:r w:rsidR="009D4D72">
        <w:t xml:space="preserve">population </w:t>
      </w:r>
      <w:r w:rsidR="00DC0A48">
        <w:t xml:space="preserve">proxy measure as a </w:t>
      </w:r>
      <w:r w:rsidR="004D63A9">
        <w:t>fall-back</w:t>
      </w:r>
      <w:r w:rsidR="00DC0A48">
        <w:t xml:space="preserve"> position.</w:t>
      </w:r>
    </w:p>
    <w:p w14:paraId="2D36599D" w14:textId="5F18D23A" w:rsidR="00306522" w:rsidRDefault="00D42E0B" w:rsidP="00306522">
      <w:pPr>
        <w:pStyle w:val="CGCNumberedPara"/>
      </w:pPr>
      <w:r>
        <w:t xml:space="preserve">In the 2015 Review Roads assessment, </w:t>
      </w:r>
      <w:r w:rsidR="00306522">
        <w:t xml:space="preserve">urban areas </w:t>
      </w:r>
      <w:r>
        <w:t xml:space="preserve">were defined </w:t>
      </w:r>
      <w:r w:rsidR="00306522">
        <w:t xml:space="preserve">as </w:t>
      </w:r>
      <w:proofErr w:type="spellStart"/>
      <w:r w:rsidR="00306522">
        <w:t>UCLs</w:t>
      </w:r>
      <w:proofErr w:type="spellEnd"/>
      <w:r w:rsidR="00306522">
        <w:t xml:space="preserve"> with a population over 40 000 </w:t>
      </w:r>
      <w:r>
        <w:t xml:space="preserve">because </w:t>
      </w:r>
      <w:r w:rsidR="00306522" w:rsidRPr="009D4D72">
        <w:t xml:space="preserve">the </w:t>
      </w:r>
      <w:r>
        <w:t xml:space="preserve">same </w:t>
      </w:r>
      <w:r w:rsidR="00306522" w:rsidRPr="009D4D72">
        <w:t xml:space="preserve">definition </w:t>
      </w:r>
      <w:r>
        <w:t>is</w:t>
      </w:r>
      <w:r w:rsidR="00306522" w:rsidRPr="009D4D72">
        <w:t xml:space="preserve"> used in the </w:t>
      </w:r>
      <w:proofErr w:type="spellStart"/>
      <w:r w:rsidR="00306522" w:rsidRPr="009D4D72">
        <w:t>ABS’s</w:t>
      </w:r>
      <w:proofErr w:type="spellEnd"/>
      <w:r w:rsidR="00306522" w:rsidRPr="009D4D72">
        <w:t xml:space="preserve"> </w:t>
      </w:r>
      <w:proofErr w:type="spellStart"/>
      <w:r w:rsidR="00306522" w:rsidRPr="009D4D72">
        <w:t>SMVU</w:t>
      </w:r>
      <w:proofErr w:type="spellEnd"/>
      <w:r w:rsidR="00306522" w:rsidRPr="009D4D72">
        <w:t xml:space="preserve"> and by the </w:t>
      </w:r>
      <w:proofErr w:type="spellStart"/>
      <w:r w:rsidR="00306522" w:rsidRPr="009D4D72">
        <w:t>NTC</w:t>
      </w:r>
      <w:proofErr w:type="spellEnd"/>
      <w:r w:rsidR="00306522" w:rsidRPr="009D4D72">
        <w:t xml:space="preserve"> to collect expense data </w:t>
      </w:r>
      <w:r>
        <w:t>for</w:t>
      </w:r>
      <w:r w:rsidR="00306522" w:rsidRPr="009D4D72">
        <w:t xml:space="preserve"> urban and rural areas. </w:t>
      </w:r>
      <w:proofErr w:type="gramStart"/>
      <w:r w:rsidR="00306522">
        <w:t>Staff propose</w:t>
      </w:r>
      <w:proofErr w:type="gramEnd"/>
      <w:r w:rsidR="00306522">
        <w:t xml:space="preserve"> to continue to use this definition.</w:t>
      </w:r>
    </w:p>
    <w:tbl>
      <w:tblPr>
        <w:tblW w:w="0" w:type="auto"/>
        <w:shd w:val="clear" w:color="auto" w:fill="D9F3E6"/>
        <w:tblLayout w:type="fixed"/>
        <w:tblLook w:val="0000" w:firstRow="0" w:lastRow="0" w:firstColumn="0" w:lastColumn="0" w:noHBand="0" w:noVBand="0"/>
      </w:tblPr>
      <w:tblGrid>
        <w:gridCol w:w="9167"/>
      </w:tblGrid>
      <w:tr w:rsidR="00614F04" w:rsidRPr="00614F04" w14:paraId="313BA720" w14:textId="77777777" w:rsidTr="00614F04">
        <w:tc>
          <w:tcPr>
            <w:tcW w:w="9167" w:type="dxa"/>
            <w:shd w:val="clear" w:color="auto" w:fill="D9F3E6"/>
          </w:tcPr>
          <w:p w14:paraId="644B20F1" w14:textId="77777777" w:rsidR="00614F04" w:rsidRPr="00614F04" w:rsidRDefault="00614F04" w:rsidP="0073660C">
            <w:r w:rsidRPr="00614F04">
              <w:t>Staff propose to recommend the Commission:</w:t>
            </w:r>
          </w:p>
        </w:tc>
      </w:tr>
      <w:tr w:rsidR="00614F04" w:rsidRPr="00614F04" w14:paraId="3A54CED4" w14:textId="77777777" w:rsidTr="00614F04">
        <w:tc>
          <w:tcPr>
            <w:tcW w:w="9167" w:type="dxa"/>
            <w:shd w:val="clear" w:color="auto" w:fill="D9F3E6"/>
          </w:tcPr>
          <w:p w14:paraId="58874DD7" w14:textId="77777777" w:rsidR="003748C1" w:rsidRDefault="003748C1" w:rsidP="00792832">
            <w:pPr>
              <w:pStyle w:val="CGCBulletlist"/>
            </w:pPr>
            <w:r>
              <w:t xml:space="preserve">retain the definition of urban areas as </w:t>
            </w:r>
            <w:proofErr w:type="spellStart"/>
            <w:r>
              <w:t>UCLs</w:t>
            </w:r>
            <w:proofErr w:type="spellEnd"/>
            <w:r>
              <w:t xml:space="preserve"> of more than 40 000 people </w:t>
            </w:r>
          </w:p>
          <w:p w14:paraId="59C21B6D" w14:textId="6A9EA366" w:rsidR="00792832" w:rsidRDefault="00792832" w:rsidP="00792832">
            <w:pPr>
              <w:pStyle w:val="CGCBulletlist"/>
            </w:pPr>
            <w:r>
              <w:t xml:space="preserve">use State actual road networks </w:t>
            </w:r>
            <w:r w:rsidR="0078031E" w:rsidRPr="00767F20">
              <w:t>adjusted</w:t>
            </w:r>
            <w:r w:rsidR="0078031E">
              <w:t>, to the extent possible,</w:t>
            </w:r>
            <w:r w:rsidR="0078031E" w:rsidRPr="00767F20">
              <w:t xml:space="preserve"> </w:t>
            </w:r>
            <w:r w:rsidR="006B7DD4">
              <w:t>to ensure the inclusion of</w:t>
            </w:r>
            <w:r w:rsidR="006B7DD4" w:rsidRPr="00720A48">
              <w:t xml:space="preserve"> roads commonly classified as State roads </w:t>
            </w:r>
            <w:r w:rsidR="006B7DD4">
              <w:t xml:space="preserve">and the exclusion of roads </w:t>
            </w:r>
            <w:r w:rsidR="006B7DD4" w:rsidRPr="00DB1544">
              <w:t xml:space="preserve">commonly classified as </w:t>
            </w:r>
            <w:r w:rsidR="006B7DD4">
              <w:t>local</w:t>
            </w:r>
            <w:r w:rsidR="006B7DD4" w:rsidRPr="00DB1544">
              <w:t xml:space="preserve"> roads </w:t>
            </w:r>
            <w:r w:rsidR="006B7DD4" w:rsidRPr="00720A48">
              <w:t>to reflect average policy</w:t>
            </w:r>
            <w:r w:rsidR="006B7DD4">
              <w:t xml:space="preserve"> </w:t>
            </w:r>
          </w:p>
          <w:p w14:paraId="06A31B23" w14:textId="4D57164B" w:rsidR="00614F04" w:rsidRPr="00614F04" w:rsidRDefault="004D63A9" w:rsidP="003748C1">
            <w:pPr>
              <w:pStyle w:val="CGCBulletlist"/>
            </w:pPr>
            <w:proofErr w:type="gramStart"/>
            <w:r>
              <w:t>as</w:t>
            </w:r>
            <w:proofErr w:type="gramEnd"/>
            <w:r>
              <w:t xml:space="preserve"> a fall-</w:t>
            </w:r>
            <w:r w:rsidR="0078031E">
              <w:t>back</w:t>
            </w:r>
            <w:r w:rsidR="00792832">
              <w:t>,</w:t>
            </w:r>
            <w:r w:rsidR="003748C1">
              <w:t xml:space="preserve"> </w:t>
            </w:r>
            <w:r w:rsidR="003748C1" w:rsidRPr="003748C1">
              <w:t xml:space="preserve">continue to use urban population </w:t>
            </w:r>
            <w:r w:rsidR="003748C1">
              <w:t>as</w:t>
            </w:r>
            <w:r w:rsidR="003748C1" w:rsidRPr="003748C1">
              <w:t xml:space="preserve"> a proxy measure of urban road length needs</w:t>
            </w:r>
            <w:r w:rsidR="005A2CC5" w:rsidRPr="000544A0">
              <w:t>.</w:t>
            </w:r>
          </w:p>
        </w:tc>
      </w:tr>
    </w:tbl>
    <w:p w14:paraId="339FB173" w14:textId="77777777" w:rsidR="00614F04" w:rsidRDefault="001C6227" w:rsidP="00B7517F">
      <w:pPr>
        <w:pStyle w:val="Heading4"/>
      </w:pPr>
      <w:bookmarkStart w:id="51" w:name="_Toc509326363"/>
      <w:bookmarkStart w:id="52" w:name="_Toc511380293"/>
      <w:r>
        <w:t>Local road length</w:t>
      </w:r>
      <w:bookmarkEnd w:id="51"/>
      <w:bookmarkEnd w:id="52"/>
    </w:p>
    <w:p w14:paraId="10674E77" w14:textId="1A2A7A20" w:rsidR="00CB0A49" w:rsidRDefault="00CB0A49" w:rsidP="00CB0A49">
      <w:pPr>
        <w:pStyle w:val="CGCNumberedPara"/>
        <w:numPr>
          <w:ilvl w:val="1"/>
          <w:numId w:val="3"/>
        </w:numPr>
      </w:pPr>
      <w:r>
        <w:t xml:space="preserve">The local roads assessment measures State needs </w:t>
      </w:r>
      <w:r w:rsidR="00D42E0B">
        <w:t>to</w:t>
      </w:r>
      <w:r>
        <w:t xml:space="preserve"> maint</w:t>
      </w:r>
      <w:r w:rsidR="00D42E0B">
        <w:t>ain</w:t>
      </w:r>
      <w:r>
        <w:t xml:space="preserve"> local roads in </w:t>
      </w:r>
      <w:r w:rsidRPr="004C0EF2">
        <w:t>areas of States where there is no local government (unincorporated areas) or where there is insufficient populat</w:t>
      </w:r>
      <w:r>
        <w:t>ion for the local government to support road maintenance.</w:t>
      </w:r>
    </w:p>
    <w:p w14:paraId="6639DBDB" w14:textId="77777777" w:rsidR="00CB0A49" w:rsidRDefault="00CB0A49" w:rsidP="00CB0A49">
      <w:pPr>
        <w:pStyle w:val="CGCNumberedPara"/>
        <w:numPr>
          <w:ilvl w:val="1"/>
          <w:numId w:val="3"/>
        </w:numPr>
      </w:pPr>
      <w:proofErr w:type="gramStart"/>
      <w:r>
        <w:t>Staff are</w:t>
      </w:r>
      <w:proofErr w:type="gramEnd"/>
      <w:r>
        <w:t xml:space="preserve"> concerned that the expenses currently included in the local roads component may be overstated.</w:t>
      </w:r>
    </w:p>
    <w:p w14:paraId="54B45C57" w14:textId="7EAF5EFC" w:rsidR="00CB0A49" w:rsidRDefault="00CB0A49" w:rsidP="00CB0A49">
      <w:pPr>
        <w:pStyle w:val="CGCNumberedPara"/>
        <w:numPr>
          <w:ilvl w:val="1"/>
          <w:numId w:val="3"/>
        </w:numPr>
      </w:pPr>
      <w:r>
        <w:t xml:space="preserve">The local roads component expenses are derived using </w:t>
      </w:r>
      <w:proofErr w:type="spellStart"/>
      <w:r>
        <w:t>NTC</w:t>
      </w:r>
      <w:proofErr w:type="spellEnd"/>
      <w:r>
        <w:t xml:space="preserve"> expense data for the categories shown in</w:t>
      </w:r>
      <w:r w:rsidR="00D86B1E">
        <w:t xml:space="preserve"> </w:t>
      </w:r>
      <w:r w:rsidR="00D86B1E">
        <w:fldChar w:fldCharType="begin"/>
      </w:r>
      <w:r w:rsidR="00D86B1E">
        <w:instrText xml:space="preserve"> REF _Ref509093038 \h </w:instrText>
      </w:r>
      <w:r w:rsidR="00D86B1E">
        <w:fldChar w:fldCharType="separate"/>
      </w:r>
      <w:r w:rsidR="004B3502">
        <w:t xml:space="preserve">Table </w:t>
      </w:r>
      <w:r w:rsidR="004B3502">
        <w:rPr>
          <w:noProof/>
        </w:rPr>
        <w:t>7</w:t>
      </w:r>
      <w:r w:rsidR="00D86B1E">
        <w:fldChar w:fldCharType="end"/>
      </w:r>
      <w:r>
        <w:t xml:space="preserve">. In the last two reviews, the Commission considered that spending under the H3, H4 and H5 categories were mostly for </w:t>
      </w:r>
      <w:r w:rsidRPr="004C0EF2">
        <w:t>areas of States where there is no local government (unincorporated areas) or where there is insufficient populat</w:t>
      </w:r>
      <w:r>
        <w:t>ion for local governments to support road maintenance.</w:t>
      </w:r>
    </w:p>
    <w:p w14:paraId="1EBF67D6" w14:textId="66589A51" w:rsidR="00D86B1E" w:rsidRDefault="00D86B1E" w:rsidP="00D86B1E">
      <w:pPr>
        <w:pStyle w:val="CGCTableHeading"/>
      </w:pPr>
      <w:bookmarkStart w:id="53" w:name="_Ref509093038"/>
      <w:bookmarkStart w:id="54" w:name="_Ref507405098"/>
      <w:r>
        <w:lastRenderedPageBreak/>
        <w:t xml:space="preserve">Table </w:t>
      </w:r>
      <w:fldSimple w:instr=" SEQ Table \* ARABIC ">
        <w:r w:rsidR="004B3502">
          <w:rPr>
            <w:noProof/>
          </w:rPr>
          <w:t>7</w:t>
        </w:r>
      </w:fldSimple>
      <w:bookmarkEnd w:id="53"/>
      <w:r>
        <w:tab/>
      </w:r>
      <w:proofErr w:type="spellStart"/>
      <w:r>
        <w:t>NTC</w:t>
      </w:r>
      <w:proofErr w:type="spellEnd"/>
      <w:r>
        <w:t xml:space="preserve"> local roads expenditure</w:t>
      </w:r>
      <w:r w:rsidR="00396ED9">
        <w:t xml:space="preserve"> under the H3, H4 and H5 categories</w:t>
      </w:r>
      <w:r>
        <w:t>, average 2014-15 to 2016</w:t>
      </w:r>
      <w:r>
        <w:noBreakHyphen/>
        <w:t>17</w:t>
      </w:r>
    </w:p>
    <w:tbl>
      <w:tblPr>
        <w:tblW w:w="8960" w:type="dxa"/>
        <w:tblInd w:w="93" w:type="dxa"/>
        <w:tblLook w:val="04A0" w:firstRow="1" w:lastRow="0" w:firstColumn="1" w:lastColumn="0" w:noHBand="0" w:noVBand="1"/>
      </w:tblPr>
      <w:tblGrid>
        <w:gridCol w:w="900"/>
        <w:gridCol w:w="940"/>
        <w:gridCol w:w="820"/>
        <w:gridCol w:w="940"/>
        <w:gridCol w:w="940"/>
        <w:gridCol w:w="820"/>
        <w:gridCol w:w="820"/>
        <w:gridCol w:w="820"/>
        <w:gridCol w:w="940"/>
        <w:gridCol w:w="1020"/>
      </w:tblGrid>
      <w:tr w:rsidR="00F0516B" w:rsidRPr="00F0516B" w14:paraId="61BFAF1A" w14:textId="77777777" w:rsidTr="00F0516B">
        <w:trPr>
          <w:trHeight w:val="379"/>
        </w:trPr>
        <w:tc>
          <w:tcPr>
            <w:tcW w:w="900" w:type="dxa"/>
            <w:tcBorders>
              <w:top w:val="single" w:sz="4" w:space="0" w:color="auto"/>
              <w:left w:val="nil"/>
              <w:bottom w:val="single" w:sz="4" w:space="0" w:color="auto"/>
              <w:right w:val="nil"/>
            </w:tcBorders>
            <w:shd w:val="clear" w:color="auto" w:fill="auto"/>
            <w:noWrap/>
            <w:vAlign w:val="center"/>
            <w:hideMark/>
          </w:tcPr>
          <w:p w14:paraId="403F5FE8"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bookmarkStart w:id="55" w:name="RANGE!A13:J23"/>
            <w:r w:rsidRPr="00F0516B">
              <w:rPr>
                <w:rFonts w:ascii="Calibri" w:eastAsia="Times New Roman" w:hAnsi="Calibri" w:cs="Times New Roman"/>
                <w:sz w:val="20"/>
                <w:szCs w:val="20"/>
                <w:lang w:eastAsia="en-AU"/>
              </w:rPr>
              <w:t> </w:t>
            </w:r>
            <w:bookmarkEnd w:id="55"/>
          </w:p>
        </w:tc>
        <w:tc>
          <w:tcPr>
            <w:tcW w:w="940" w:type="dxa"/>
            <w:tcBorders>
              <w:top w:val="single" w:sz="4" w:space="0" w:color="auto"/>
              <w:left w:val="nil"/>
              <w:bottom w:val="single" w:sz="4" w:space="0" w:color="auto"/>
              <w:right w:val="nil"/>
            </w:tcBorders>
            <w:shd w:val="clear" w:color="auto" w:fill="auto"/>
            <w:noWrap/>
            <w:vAlign w:val="center"/>
            <w:hideMark/>
          </w:tcPr>
          <w:p w14:paraId="5A4F28B0"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NSW</w:t>
            </w:r>
          </w:p>
        </w:tc>
        <w:tc>
          <w:tcPr>
            <w:tcW w:w="820" w:type="dxa"/>
            <w:tcBorders>
              <w:top w:val="single" w:sz="4" w:space="0" w:color="auto"/>
              <w:left w:val="nil"/>
              <w:bottom w:val="single" w:sz="4" w:space="0" w:color="auto"/>
              <w:right w:val="nil"/>
            </w:tcBorders>
            <w:shd w:val="clear" w:color="auto" w:fill="auto"/>
            <w:noWrap/>
            <w:vAlign w:val="center"/>
            <w:hideMark/>
          </w:tcPr>
          <w:p w14:paraId="29D8C6E0"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Vic</w:t>
            </w:r>
          </w:p>
        </w:tc>
        <w:tc>
          <w:tcPr>
            <w:tcW w:w="940" w:type="dxa"/>
            <w:tcBorders>
              <w:top w:val="single" w:sz="4" w:space="0" w:color="auto"/>
              <w:left w:val="nil"/>
              <w:bottom w:val="single" w:sz="4" w:space="0" w:color="auto"/>
              <w:right w:val="nil"/>
            </w:tcBorders>
            <w:shd w:val="clear" w:color="auto" w:fill="auto"/>
            <w:noWrap/>
            <w:vAlign w:val="center"/>
            <w:hideMark/>
          </w:tcPr>
          <w:p w14:paraId="7C52382B"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Qld</w:t>
            </w:r>
          </w:p>
        </w:tc>
        <w:tc>
          <w:tcPr>
            <w:tcW w:w="940" w:type="dxa"/>
            <w:tcBorders>
              <w:top w:val="single" w:sz="4" w:space="0" w:color="auto"/>
              <w:left w:val="nil"/>
              <w:bottom w:val="single" w:sz="4" w:space="0" w:color="auto"/>
              <w:right w:val="nil"/>
            </w:tcBorders>
            <w:shd w:val="clear" w:color="auto" w:fill="auto"/>
            <w:noWrap/>
            <w:vAlign w:val="center"/>
            <w:hideMark/>
          </w:tcPr>
          <w:p w14:paraId="7941BDAF"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WA</w:t>
            </w:r>
          </w:p>
        </w:tc>
        <w:tc>
          <w:tcPr>
            <w:tcW w:w="820" w:type="dxa"/>
            <w:tcBorders>
              <w:top w:val="single" w:sz="4" w:space="0" w:color="auto"/>
              <w:left w:val="nil"/>
              <w:bottom w:val="single" w:sz="4" w:space="0" w:color="auto"/>
              <w:right w:val="nil"/>
            </w:tcBorders>
            <w:shd w:val="clear" w:color="auto" w:fill="auto"/>
            <w:noWrap/>
            <w:vAlign w:val="center"/>
            <w:hideMark/>
          </w:tcPr>
          <w:p w14:paraId="6A16CA59"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SA</w:t>
            </w:r>
          </w:p>
        </w:tc>
        <w:tc>
          <w:tcPr>
            <w:tcW w:w="820" w:type="dxa"/>
            <w:tcBorders>
              <w:top w:val="single" w:sz="4" w:space="0" w:color="auto"/>
              <w:left w:val="nil"/>
              <w:bottom w:val="single" w:sz="4" w:space="0" w:color="auto"/>
              <w:right w:val="nil"/>
            </w:tcBorders>
            <w:shd w:val="clear" w:color="auto" w:fill="auto"/>
            <w:noWrap/>
            <w:vAlign w:val="center"/>
            <w:hideMark/>
          </w:tcPr>
          <w:p w14:paraId="075DA834"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proofErr w:type="spellStart"/>
            <w:r w:rsidRPr="00F0516B">
              <w:rPr>
                <w:rFonts w:ascii="Calibri" w:eastAsia="Times New Roman" w:hAnsi="Calibri" w:cs="Times New Roman"/>
                <w:sz w:val="20"/>
                <w:szCs w:val="20"/>
                <w:lang w:eastAsia="en-AU"/>
              </w:rPr>
              <w:t>Tas</w:t>
            </w:r>
            <w:proofErr w:type="spellEnd"/>
          </w:p>
        </w:tc>
        <w:tc>
          <w:tcPr>
            <w:tcW w:w="820" w:type="dxa"/>
            <w:tcBorders>
              <w:top w:val="single" w:sz="4" w:space="0" w:color="auto"/>
              <w:left w:val="nil"/>
              <w:bottom w:val="single" w:sz="4" w:space="0" w:color="auto"/>
              <w:right w:val="nil"/>
            </w:tcBorders>
            <w:shd w:val="clear" w:color="auto" w:fill="auto"/>
            <w:noWrap/>
            <w:vAlign w:val="center"/>
            <w:hideMark/>
          </w:tcPr>
          <w:p w14:paraId="2F0A8DA3"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ACT</w:t>
            </w:r>
          </w:p>
        </w:tc>
        <w:tc>
          <w:tcPr>
            <w:tcW w:w="940" w:type="dxa"/>
            <w:tcBorders>
              <w:top w:val="single" w:sz="4" w:space="0" w:color="auto"/>
              <w:left w:val="nil"/>
              <w:bottom w:val="single" w:sz="4" w:space="0" w:color="auto"/>
              <w:right w:val="nil"/>
            </w:tcBorders>
            <w:shd w:val="clear" w:color="auto" w:fill="auto"/>
            <w:noWrap/>
            <w:vAlign w:val="center"/>
            <w:hideMark/>
          </w:tcPr>
          <w:p w14:paraId="42E86947"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NT</w:t>
            </w:r>
          </w:p>
        </w:tc>
        <w:tc>
          <w:tcPr>
            <w:tcW w:w="1020" w:type="dxa"/>
            <w:tcBorders>
              <w:top w:val="single" w:sz="4" w:space="0" w:color="auto"/>
              <w:left w:val="nil"/>
              <w:bottom w:val="single" w:sz="4" w:space="0" w:color="auto"/>
              <w:right w:val="nil"/>
            </w:tcBorders>
            <w:shd w:val="clear" w:color="auto" w:fill="auto"/>
            <w:noWrap/>
            <w:vAlign w:val="center"/>
            <w:hideMark/>
          </w:tcPr>
          <w:p w14:paraId="691B9212"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Total</w:t>
            </w:r>
          </w:p>
        </w:tc>
      </w:tr>
      <w:tr w:rsidR="00F0516B" w:rsidRPr="00F0516B" w14:paraId="3EDFEF3C" w14:textId="77777777" w:rsidTr="00F0516B">
        <w:trPr>
          <w:trHeight w:val="259"/>
        </w:trPr>
        <w:tc>
          <w:tcPr>
            <w:tcW w:w="900" w:type="dxa"/>
            <w:tcBorders>
              <w:top w:val="nil"/>
              <w:left w:val="nil"/>
              <w:bottom w:val="nil"/>
              <w:right w:val="nil"/>
            </w:tcBorders>
            <w:shd w:val="clear" w:color="auto" w:fill="auto"/>
            <w:noWrap/>
            <w:vAlign w:val="bottom"/>
            <w:hideMark/>
          </w:tcPr>
          <w:p w14:paraId="11AD6E3C"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456ABBF4"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14:paraId="2AB95669"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$m</w:t>
            </w:r>
          </w:p>
        </w:tc>
        <w:tc>
          <w:tcPr>
            <w:tcW w:w="940" w:type="dxa"/>
            <w:tcBorders>
              <w:top w:val="nil"/>
              <w:left w:val="nil"/>
              <w:bottom w:val="nil"/>
              <w:right w:val="nil"/>
            </w:tcBorders>
            <w:shd w:val="clear" w:color="auto" w:fill="auto"/>
            <w:noWrap/>
            <w:vAlign w:val="bottom"/>
            <w:hideMark/>
          </w:tcPr>
          <w:p w14:paraId="2334BAA9"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$m</w:t>
            </w:r>
          </w:p>
        </w:tc>
        <w:tc>
          <w:tcPr>
            <w:tcW w:w="940" w:type="dxa"/>
            <w:tcBorders>
              <w:top w:val="nil"/>
              <w:left w:val="nil"/>
              <w:bottom w:val="nil"/>
              <w:right w:val="nil"/>
            </w:tcBorders>
            <w:shd w:val="clear" w:color="auto" w:fill="auto"/>
            <w:noWrap/>
            <w:vAlign w:val="bottom"/>
            <w:hideMark/>
          </w:tcPr>
          <w:p w14:paraId="38E9A7E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14:paraId="76DC3AB0"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14:paraId="79C45AFC"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$m</w:t>
            </w:r>
          </w:p>
        </w:tc>
        <w:tc>
          <w:tcPr>
            <w:tcW w:w="820" w:type="dxa"/>
            <w:tcBorders>
              <w:top w:val="nil"/>
              <w:left w:val="nil"/>
              <w:bottom w:val="nil"/>
              <w:right w:val="nil"/>
            </w:tcBorders>
            <w:shd w:val="clear" w:color="auto" w:fill="auto"/>
            <w:noWrap/>
            <w:vAlign w:val="bottom"/>
            <w:hideMark/>
          </w:tcPr>
          <w:p w14:paraId="7CE368DC"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$m</w:t>
            </w:r>
          </w:p>
        </w:tc>
        <w:tc>
          <w:tcPr>
            <w:tcW w:w="940" w:type="dxa"/>
            <w:tcBorders>
              <w:top w:val="nil"/>
              <w:left w:val="nil"/>
              <w:bottom w:val="nil"/>
              <w:right w:val="nil"/>
            </w:tcBorders>
            <w:shd w:val="clear" w:color="auto" w:fill="auto"/>
            <w:noWrap/>
            <w:vAlign w:val="bottom"/>
            <w:hideMark/>
          </w:tcPr>
          <w:p w14:paraId="3B3AAEB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$m</w:t>
            </w:r>
          </w:p>
        </w:tc>
        <w:tc>
          <w:tcPr>
            <w:tcW w:w="1020" w:type="dxa"/>
            <w:tcBorders>
              <w:top w:val="nil"/>
              <w:left w:val="nil"/>
              <w:bottom w:val="nil"/>
              <w:right w:val="nil"/>
            </w:tcBorders>
            <w:shd w:val="clear" w:color="auto" w:fill="auto"/>
            <w:noWrap/>
            <w:vAlign w:val="bottom"/>
            <w:hideMark/>
          </w:tcPr>
          <w:p w14:paraId="554E7B60"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$m</w:t>
            </w:r>
          </w:p>
        </w:tc>
      </w:tr>
      <w:tr w:rsidR="00F0516B" w:rsidRPr="00F0516B" w14:paraId="717ED19D" w14:textId="77777777" w:rsidTr="00F0516B">
        <w:trPr>
          <w:trHeight w:val="315"/>
        </w:trPr>
        <w:tc>
          <w:tcPr>
            <w:tcW w:w="900" w:type="dxa"/>
            <w:tcBorders>
              <w:top w:val="nil"/>
              <w:left w:val="nil"/>
              <w:bottom w:val="nil"/>
              <w:right w:val="nil"/>
            </w:tcBorders>
            <w:shd w:val="clear" w:color="auto" w:fill="auto"/>
            <w:noWrap/>
            <w:vAlign w:val="bottom"/>
            <w:hideMark/>
          </w:tcPr>
          <w:p w14:paraId="2FE9B713" w14:textId="77777777" w:rsidR="00F0516B" w:rsidRPr="00F0516B" w:rsidRDefault="00F0516B" w:rsidP="00C67286">
            <w:pPr>
              <w:keepNext/>
              <w:tabs>
                <w:tab w:val="clear" w:pos="567"/>
              </w:tabs>
              <w:spacing w:after="0" w:line="240" w:lineRule="auto"/>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H3</w:t>
            </w:r>
          </w:p>
        </w:tc>
        <w:tc>
          <w:tcPr>
            <w:tcW w:w="940" w:type="dxa"/>
            <w:tcBorders>
              <w:top w:val="nil"/>
              <w:left w:val="nil"/>
              <w:bottom w:val="nil"/>
              <w:right w:val="nil"/>
            </w:tcBorders>
            <w:shd w:val="clear" w:color="auto" w:fill="auto"/>
            <w:noWrap/>
            <w:vAlign w:val="bottom"/>
            <w:hideMark/>
          </w:tcPr>
          <w:p w14:paraId="34212B6B"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4</w:t>
            </w:r>
          </w:p>
        </w:tc>
        <w:tc>
          <w:tcPr>
            <w:tcW w:w="820" w:type="dxa"/>
            <w:tcBorders>
              <w:top w:val="nil"/>
              <w:left w:val="nil"/>
              <w:bottom w:val="nil"/>
              <w:right w:val="nil"/>
            </w:tcBorders>
            <w:shd w:val="clear" w:color="auto" w:fill="auto"/>
            <w:noWrap/>
            <w:vAlign w:val="bottom"/>
            <w:hideMark/>
          </w:tcPr>
          <w:p w14:paraId="778B87B4"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940" w:type="dxa"/>
            <w:tcBorders>
              <w:top w:val="nil"/>
              <w:left w:val="nil"/>
              <w:bottom w:val="nil"/>
              <w:right w:val="nil"/>
            </w:tcBorders>
            <w:shd w:val="clear" w:color="auto" w:fill="auto"/>
            <w:noWrap/>
            <w:vAlign w:val="bottom"/>
            <w:hideMark/>
          </w:tcPr>
          <w:p w14:paraId="3EE1EA72"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940" w:type="dxa"/>
            <w:tcBorders>
              <w:top w:val="nil"/>
              <w:left w:val="nil"/>
              <w:bottom w:val="nil"/>
              <w:right w:val="nil"/>
            </w:tcBorders>
            <w:shd w:val="clear" w:color="auto" w:fill="auto"/>
            <w:noWrap/>
            <w:vAlign w:val="bottom"/>
            <w:hideMark/>
          </w:tcPr>
          <w:p w14:paraId="7BEBDA2C"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1</w:t>
            </w:r>
          </w:p>
        </w:tc>
        <w:tc>
          <w:tcPr>
            <w:tcW w:w="820" w:type="dxa"/>
            <w:tcBorders>
              <w:top w:val="nil"/>
              <w:left w:val="nil"/>
              <w:bottom w:val="nil"/>
              <w:right w:val="nil"/>
            </w:tcBorders>
            <w:shd w:val="clear" w:color="auto" w:fill="auto"/>
            <w:noWrap/>
            <w:vAlign w:val="bottom"/>
            <w:hideMark/>
          </w:tcPr>
          <w:p w14:paraId="221DC41F"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820" w:type="dxa"/>
            <w:tcBorders>
              <w:top w:val="nil"/>
              <w:left w:val="nil"/>
              <w:bottom w:val="nil"/>
              <w:right w:val="nil"/>
            </w:tcBorders>
            <w:shd w:val="clear" w:color="auto" w:fill="auto"/>
            <w:noWrap/>
            <w:vAlign w:val="bottom"/>
            <w:hideMark/>
          </w:tcPr>
          <w:p w14:paraId="6AF98FBB"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820" w:type="dxa"/>
            <w:tcBorders>
              <w:top w:val="nil"/>
              <w:left w:val="nil"/>
              <w:bottom w:val="nil"/>
              <w:right w:val="nil"/>
            </w:tcBorders>
            <w:shd w:val="clear" w:color="auto" w:fill="auto"/>
            <w:noWrap/>
            <w:vAlign w:val="bottom"/>
            <w:hideMark/>
          </w:tcPr>
          <w:p w14:paraId="030BFB2A"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940" w:type="dxa"/>
            <w:tcBorders>
              <w:top w:val="nil"/>
              <w:left w:val="nil"/>
              <w:bottom w:val="nil"/>
              <w:right w:val="nil"/>
            </w:tcBorders>
            <w:shd w:val="clear" w:color="auto" w:fill="auto"/>
            <w:noWrap/>
            <w:vAlign w:val="bottom"/>
            <w:hideMark/>
          </w:tcPr>
          <w:p w14:paraId="7DAF220B"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2</w:t>
            </w:r>
          </w:p>
        </w:tc>
        <w:tc>
          <w:tcPr>
            <w:tcW w:w="1020" w:type="dxa"/>
            <w:tcBorders>
              <w:top w:val="nil"/>
              <w:left w:val="nil"/>
              <w:bottom w:val="nil"/>
              <w:right w:val="nil"/>
            </w:tcBorders>
            <w:shd w:val="clear" w:color="auto" w:fill="auto"/>
            <w:noWrap/>
            <w:vAlign w:val="bottom"/>
            <w:hideMark/>
          </w:tcPr>
          <w:p w14:paraId="42B9EB25"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8</w:t>
            </w:r>
          </w:p>
        </w:tc>
      </w:tr>
      <w:tr w:rsidR="00F0516B" w:rsidRPr="00F0516B" w14:paraId="1F39144F" w14:textId="77777777" w:rsidTr="00F0516B">
        <w:trPr>
          <w:trHeight w:val="315"/>
        </w:trPr>
        <w:tc>
          <w:tcPr>
            <w:tcW w:w="900" w:type="dxa"/>
            <w:tcBorders>
              <w:top w:val="nil"/>
              <w:left w:val="nil"/>
              <w:bottom w:val="nil"/>
              <w:right w:val="nil"/>
            </w:tcBorders>
            <w:shd w:val="clear" w:color="auto" w:fill="auto"/>
            <w:noWrap/>
            <w:vAlign w:val="bottom"/>
            <w:hideMark/>
          </w:tcPr>
          <w:p w14:paraId="293C78CF" w14:textId="77777777" w:rsidR="00F0516B" w:rsidRPr="00F0516B" w:rsidRDefault="00F0516B" w:rsidP="00C67286">
            <w:pPr>
              <w:keepNext/>
              <w:tabs>
                <w:tab w:val="clear" w:pos="567"/>
              </w:tabs>
              <w:spacing w:after="0" w:line="240" w:lineRule="auto"/>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H4</w:t>
            </w:r>
          </w:p>
        </w:tc>
        <w:tc>
          <w:tcPr>
            <w:tcW w:w="940" w:type="dxa"/>
            <w:tcBorders>
              <w:top w:val="nil"/>
              <w:left w:val="nil"/>
              <w:bottom w:val="nil"/>
              <w:right w:val="nil"/>
            </w:tcBorders>
            <w:shd w:val="clear" w:color="auto" w:fill="auto"/>
            <w:noWrap/>
            <w:vAlign w:val="bottom"/>
            <w:hideMark/>
          </w:tcPr>
          <w:p w14:paraId="0FF371F2"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38</w:t>
            </w:r>
          </w:p>
        </w:tc>
        <w:tc>
          <w:tcPr>
            <w:tcW w:w="820" w:type="dxa"/>
            <w:tcBorders>
              <w:top w:val="nil"/>
              <w:left w:val="nil"/>
              <w:bottom w:val="nil"/>
              <w:right w:val="nil"/>
            </w:tcBorders>
            <w:shd w:val="clear" w:color="auto" w:fill="auto"/>
            <w:noWrap/>
            <w:vAlign w:val="bottom"/>
            <w:hideMark/>
          </w:tcPr>
          <w:p w14:paraId="0967151A"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15</w:t>
            </w:r>
          </w:p>
        </w:tc>
        <w:tc>
          <w:tcPr>
            <w:tcW w:w="940" w:type="dxa"/>
            <w:tcBorders>
              <w:top w:val="nil"/>
              <w:left w:val="nil"/>
              <w:bottom w:val="nil"/>
              <w:right w:val="nil"/>
            </w:tcBorders>
            <w:shd w:val="clear" w:color="auto" w:fill="auto"/>
            <w:noWrap/>
            <w:vAlign w:val="bottom"/>
            <w:hideMark/>
          </w:tcPr>
          <w:p w14:paraId="52A14529"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940" w:type="dxa"/>
            <w:tcBorders>
              <w:top w:val="nil"/>
              <w:left w:val="nil"/>
              <w:bottom w:val="nil"/>
              <w:right w:val="nil"/>
            </w:tcBorders>
            <w:shd w:val="clear" w:color="auto" w:fill="auto"/>
            <w:noWrap/>
            <w:vAlign w:val="bottom"/>
            <w:hideMark/>
          </w:tcPr>
          <w:p w14:paraId="0FE71103"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137</w:t>
            </w:r>
          </w:p>
        </w:tc>
        <w:tc>
          <w:tcPr>
            <w:tcW w:w="820" w:type="dxa"/>
            <w:tcBorders>
              <w:top w:val="nil"/>
              <w:left w:val="nil"/>
              <w:bottom w:val="nil"/>
              <w:right w:val="nil"/>
            </w:tcBorders>
            <w:shd w:val="clear" w:color="auto" w:fill="auto"/>
            <w:noWrap/>
            <w:vAlign w:val="bottom"/>
            <w:hideMark/>
          </w:tcPr>
          <w:p w14:paraId="2E844EC6"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14</w:t>
            </w:r>
          </w:p>
        </w:tc>
        <w:tc>
          <w:tcPr>
            <w:tcW w:w="820" w:type="dxa"/>
            <w:tcBorders>
              <w:top w:val="nil"/>
              <w:left w:val="nil"/>
              <w:bottom w:val="nil"/>
              <w:right w:val="nil"/>
            </w:tcBorders>
            <w:shd w:val="clear" w:color="auto" w:fill="auto"/>
            <w:noWrap/>
            <w:vAlign w:val="bottom"/>
            <w:hideMark/>
          </w:tcPr>
          <w:p w14:paraId="24CEBBA0"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5</w:t>
            </w:r>
          </w:p>
        </w:tc>
        <w:tc>
          <w:tcPr>
            <w:tcW w:w="820" w:type="dxa"/>
            <w:tcBorders>
              <w:top w:val="nil"/>
              <w:left w:val="nil"/>
              <w:bottom w:val="nil"/>
              <w:right w:val="nil"/>
            </w:tcBorders>
            <w:shd w:val="clear" w:color="auto" w:fill="auto"/>
            <w:noWrap/>
            <w:vAlign w:val="bottom"/>
            <w:hideMark/>
          </w:tcPr>
          <w:p w14:paraId="2A00BDB9"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940" w:type="dxa"/>
            <w:tcBorders>
              <w:top w:val="nil"/>
              <w:left w:val="nil"/>
              <w:bottom w:val="nil"/>
              <w:right w:val="nil"/>
            </w:tcBorders>
            <w:shd w:val="clear" w:color="auto" w:fill="auto"/>
            <w:noWrap/>
            <w:vAlign w:val="bottom"/>
            <w:hideMark/>
          </w:tcPr>
          <w:p w14:paraId="797B1874"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1</w:t>
            </w:r>
          </w:p>
        </w:tc>
        <w:tc>
          <w:tcPr>
            <w:tcW w:w="1020" w:type="dxa"/>
            <w:tcBorders>
              <w:top w:val="nil"/>
              <w:left w:val="nil"/>
              <w:bottom w:val="nil"/>
              <w:right w:val="nil"/>
            </w:tcBorders>
            <w:shd w:val="clear" w:color="auto" w:fill="auto"/>
            <w:noWrap/>
            <w:vAlign w:val="bottom"/>
            <w:hideMark/>
          </w:tcPr>
          <w:p w14:paraId="02660777"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210</w:t>
            </w:r>
          </w:p>
        </w:tc>
      </w:tr>
      <w:tr w:rsidR="00F0516B" w:rsidRPr="00F0516B" w14:paraId="67528BFF" w14:textId="77777777" w:rsidTr="00F0516B">
        <w:trPr>
          <w:trHeight w:val="315"/>
        </w:trPr>
        <w:tc>
          <w:tcPr>
            <w:tcW w:w="900" w:type="dxa"/>
            <w:tcBorders>
              <w:top w:val="nil"/>
              <w:left w:val="nil"/>
              <w:bottom w:val="nil"/>
              <w:right w:val="nil"/>
            </w:tcBorders>
            <w:shd w:val="clear" w:color="auto" w:fill="auto"/>
            <w:noWrap/>
            <w:vAlign w:val="bottom"/>
            <w:hideMark/>
          </w:tcPr>
          <w:p w14:paraId="6BCCD764" w14:textId="77777777" w:rsidR="00F0516B" w:rsidRPr="00F0516B" w:rsidRDefault="00F0516B" w:rsidP="00C67286">
            <w:pPr>
              <w:keepNext/>
              <w:tabs>
                <w:tab w:val="clear" w:pos="567"/>
              </w:tabs>
              <w:spacing w:after="0" w:line="240" w:lineRule="auto"/>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H5</w:t>
            </w:r>
          </w:p>
        </w:tc>
        <w:tc>
          <w:tcPr>
            <w:tcW w:w="940" w:type="dxa"/>
            <w:tcBorders>
              <w:top w:val="nil"/>
              <w:left w:val="nil"/>
              <w:bottom w:val="nil"/>
              <w:right w:val="nil"/>
            </w:tcBorders>
            <w:shd w:val="clear" w:color="auto" w:fill="auto"/>
            <w:noWrap/>
            <w:vAlign w:val="bottom"/>
            <w:hideMark/>
          </w:tcPr>
          <w:p w14:paraId="2C700D1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820" w:type="dxa"/>
            <w:tcBorders>
              <w:top w:val="nil"/>
              <w:left w:val="nil"/>
              <w:bottom w:val="nil"/>
              <w:right w:val="nil"/>
            </w:tcBorders>
            <w:shd w:val="clear" w:color="auto" w:fill="auto"/>
            <w:noWrap/>
            <w:vAlign w:val="bottom"/>
            <w:hideMark/>
          </w:tcPr>
          <w:p w14:paraId="61B4000D"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1</w:t>
            </w:r>
          </w:p>
        </w:tc>
        <w:tc>
          <w:tcPr>
            <w:tcW w:w="940" w:type="dxa"/>
            <w:tcBorders>
              <w:top w:val="nil"/>
              <w:left w:val="nil"/>
              <w:bottom w:val="nil"/>
              <w:right w:val="nil"/>
            </w:tcBorders>
            <w:shd w:val="clear" w:color="auto" w:fill="auto"/>
            <w:noWrap/>
            <w:vAlign w:val="bottom"/>
            <w:hideMark/>
          </w:tcPr>
          <w:p w14:paraId="5172EFDA"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72</w:t>
            </w:r>
          </w:p>
        </w:tc>
        <w:tc>
          <w:tcPr>
            <w:tcW w:w="940" w:type="dxa"/>
            <w:tcBorders>
              <w:top w:val="nil"/>
              <w:left w:val="nil"/>
              <w:bottom w:val="nil"/>
              <w:right w:val="nil"/>
            </w:tcBorders>
            <w:shd w:val="clear" w:color="auto" w:fill="auto"/>
            <w:noWrap/>
            <w:vAlign w:val="bottom"/>
            <w:hideMark/>
          </w:tcPr>
          <w:p w14:paraId="41686512"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3</w:t>
            </w:r>
          </w:p>
        </w:tc>
        <w:tc>
          <w:tcPr>
            <w:tcW w:w="820" w:type="dxa"/>
            <w:tcBorders>
              <w:top w:val="nil"/>
              <w:left w:val="nil"/>
              <w:bottom w:val="nil"/>
              <w:right w:val="nil"/>
            </w:tcBorders>
            <w:shd w:val="clear" w:color="auto" w:fill="auto"/>
            <w:noWrap/>
            <w:vAlign w:val="bottom"/>
            <w:hideMark/>
          </w:tcPr>
          <w:p w14:paraId="5CFA4C70"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820" w:type="dxa"/>
            <w:tcBorders>
              <w:top w:val="nil"/>
              <w:left w:val="nil"/>
              <w:bottom w:val="nil"/>
              <w:right w:val="nil"/>
            </w:tcBorders>
            <w:shd w:val="clear" w:color="auto" w:fill="auto"/>
            <w:noWrap/>
            <w:vAlign w:val="bottom"/>
            <w:hideMark/>
          </w:tcPr>
          <w:p w14:paraId="095349EB"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820" w:type="dxa"/>
            <w:tcBorders>
              <w:top w:val="nil"/>
              <w:left w:val="nil"/>
              <w:bottom w:val="nil"/>
              <w:right w:val="nil"/>
            </w:tcBorders>
            <w:shd w:val="clear" w:color="auto" w:fill="auto"/>
            <w:noWrap/>
            <w:vAlign w:val="bottom"/>
            <w:hideMark/>
          </w:tcPr>
          <w:p w14:paraId="5B477F0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940" w:type="dxa"/>
            <w:tcBorders>
              <w:top w:val="nil"/>
              <w:left w:val="nil"/>
              <w:bottom w:val="nil"/>
              <w:right w:val="nil"/>
            </w:tcBorders>
            <w:shd w:val="clear" w:color="auto" w:fill="auto"/>
            <w:noWrap/>
            <w:vAlign w:val="bottom"/>
            <w:hideMark/>
          </w:tcPr>
          <w:p w14:paraId="60E22F40"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22</w:t>
            </w:r>
          </w:p>
        </w:tc>
        <w:tc>
          <w:tcPr>
            <w:tcW w:w="1020" w:type="dxa"/>
            <w:tcBorders>
              <w:top w:val="nil"/>
              <w:left w:val="nil"/>
              <w:bottom w:val="nil"/>
              <w:right w:val="nil"/>
            </w:tcBorders>
            <w:shd w:val="clear" w:color="auto" w:fill="auto"/>
            <w:noWrap/>
            <w:vAlign w:val="bottom"/>
            <w:hideMark/>
          </w:tcPr>
          <w:p w14:paraId="603B8B0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98</w:t>
            </w:r>
          </w:p>
        </w:tc>
      </w:tr>
      <w:tr w:rsidR="00F0516B" w:rsidRPr="00F0516B" w14:paraId="47B69C17" w14:textId="77777777" w:rsidTr="00F0516B">
        <w:trPr>
          <w:trHeight w:val="315"/>
        </w:trPr>
        <w:tc>
          <w:tcPr>
            <w:tcW w:w="900" w:type="dxa"/>
            <w:tcBorders>
              <w:top w:val="nil"/>
              <w:left w:val="nil"/>
              <w:bottom w:val="nil"/>
              <w:right w:val="nil"/>
            </w:tcBorders>
            <w:shd w:val="clear" w:color="auto" w:fill="auto"/>
            <w:noWrap/>
            <w:vAlign w:val="bottom"/>
            <w:hideMark/>
          </w:tcPr>
          <w:p w14:paraId="64D1B5C3" w14:textId="77777777" w:rsidR="00F0516B" w:rsidRPr="00F0516B" w:rsidRDefault="00F0516B" w:rsidP="00C67286">
            <w:pPr>
              <w:keepNext/>
              <w:tabs>
                <w:tab w:val="clear" w:pos="567"/>
              </w:tabs>
              <w:spacing w:after="0" w:line="240" w:lineRule="auto"/>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Total</w:t>
            </w:r>
          </w:p>
        </w:tc>
        <w:tc>
          <w:tcPr>
            <w:tcW w:w="940" w:type="dxa"/>
            <w:tcBorders>
              <w:top w:val="single" w:sz="4" w:space="0" w:color="auto"/>
              <w:left w:val="nil"/>
              <w:bottom w:val="nil"/>
              <w:right w:val="nil"/>
            </w:tcBorders>
            <w:shd w:val="clear" w:color="auto" w:fill="auto"/>
            <w:noWrap/>
            <w:vAlign w:val="bottom"/>
            <w:hideMark/>
          </w:tcPr>
          <w:p w14:paraId="5C36EAE8"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42</w:t>
            </w:r>
          </w:p>
        </w:tc>
        <w:tc>
          <w:tcPr>
            <w:tcW w:w="820" w:type="dxa"/>
            <w:tcBorders>
              <w:top w:val="single" w:sz="4" w:space="0" w:color="auto"/>
              <w:left w:val="nil"/>
              <w:bottom w:val="nil"/>
              <w:right w:val="nil"/>
            </w:tcBorders>
            <w:shd w:val="clear" w:color="auto" w:fill="auto"/>
            <w:noWrap/>
            <w:vAlign w:val="bottom"/>
            <w:hideMark/>
          </w:tcPr>
          <w:p w14:paraId="41DEA3CB"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16</w:t>
            </w:r>
          </w:p>
        </w:tc>
        <w:tc>
          <w:tcPr>
            <w:tcW w:w="940" w:type="dxa"/>
            <w:tcBorders>
              <w:top w:val="single" w:sz="4" w:space="0" w:color="auto"/>
              <w:left w:val="nil"/>
              <w:bottom w:val="nil"/>
              <w:right w:val="nil"/>
            </w:tcBorders>
            <w:shd w:val="clear" w:color="auto" w:fill="auto"/>
            <w:noWrap/>
            <w:vAlign w:val="bottom"/>
            <w:hideMark/>
          </w:tcPr>
          <w:p w14:paraId="153E7099"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72</w:t>
            </w:r>
          </w:p>
        </w:tc>
        <w:tc>
          <w:tcPr>
            <w:tcW w:w="940" w:type="dxa"/>
            <w:tcBorders>
              <w:top w:val="single" w:sz="4" w:space="0" w:color="auto"/>
              <w:left w:val="nil"/>
              <w:bottom w:val="nil"/>
              <w:right w:val="nil"/>
            </w:tcBorders>
            <w:shd w:val="clear" w:color="auto" w:fill="auto"/>
            <w:noWrap/>
            <w:vAlign w:val="bottom"/>
            <w:hideMark/>
          </w:tcPr>
          <w:p w14:paraId="17726CDC"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141</w:t>
            </w:r>
          </w:p>
        </w:tc>
        <w:tc>
          <w:tcPr>
            <w:tcW w:w="820" w:type="dxa"/>
            <w:tcBorders>
              <w:top w:val="single" w:sz="4" w:space="0" w:color="auto"/>
              <w:left w:val="nil"/>
              <w:bottom w:val="nil"/>
              <w:right w:val="nil"/>
            </w:tcBorders>
            <w:shd w:val="clear" w:color="auto" w:fill="auto"/>
            <w:noWrap/>
            <w:vAlign w:val="bottom"/>
            <w:hideMark/>
          </w:tcPr>
          <w:p w14:paraId="1BC6EE25"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14</w:t>
            </w:r>
          </w:p>
        </w:tc>
        <w:tc>
          <w:tcPr>
            <w:tcW w:w="820" w:type="dxa"/>
            <w:tcBorders>
              <w:top w:val="single" w:sz="4" w:space="0" w:color="auto"/>
              <w:left w:val="nil"/>
              <w:bottom w:val="nil"/>
              <w:right w:val="nil"/>
            </w:tcBorders>
            <w:shd w:val="clear" w:color="auto" w:fill="auto"/>
            <w:noWrap/>
            <w:vAlign w:val="bottom"/>
            <w:hideMark/>
          </w:tcPr>
          <w:p w14:paraId="39AABA17"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5</w:t>
            </w:r>
          </w:p>
        </w:tc>
        <w:tc>
          <w:tcPr>
            <w:tcW w:w="820" w:type="dxa"/>
            <w:tcBorders>
              <w:top w:val="single" w:sz="4" w:space="0" w:color="auto"/>
              <w:left w:val="nil"/>
              <w:bottom w:val="nil"/>
              <w:right w:val="nil"/>
            </w:tcBorders>
            <w:shd w:val="clear" w:color="auto" w:fill="auto"/>
            <w:noWrap/>
            <w:vAlign w:val="bottom"/>
            <w:hideMark/>
          </w:tcPr>
          <w:p w14:paraId="65B1C41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0</w:t>
            </w:r>
          </w:p>
        </w:tc>
        <w:tc>
          <w:tcPr>
            <w:tcW w:w="940" w:type="dxa"/>
            <w:tcBorders>
              <w:top w:val="single" w:sz="4" w:space="0" w:color="auto"/>
              <w:left w:val="nil"/>
              <w:bottom w:val="nil"/>
              <w:right w:val="nil"/>
            </w:tcBorders>
            <w:shd w:val="clear" w:color="auto" w:fill="auto"/>
            <w:noWrap/>
            <w:vAlign w:val="bottom"/>
            <w:hideMark/>
          </w:tcPr>
          <w:p w14:paraId="6FBDA2D7"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26</w:t>
            </w:r>
          </w:p>
        </w:tc>
        <w:tc>
          <w:tcPr>
            <w:tcW w:w="1020" w:type="dxa"/>
            <w:tcBorders>
              <w:top w:val="single" w:sz="4" w:space="0" w:color="auto"/>
              <w:left w:val="nil"/>
              <w:bottom w:val="nil"/>
              <w:right w:val="nil"/>
            </w:tcBorders>
            <w:shd w:val="clear" w:color="auto" w:fill="auto"/>
            <w:noWrap/>
            <w:vAlign w:val="bottom"/>
            <w:hideMark/>
          </w:tcPr>
          <w:p w14:paraId="591CFA2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 xml:space="preserve">  316</w:t>
            </w:r>
          </w:p>
        </w:tc>
      </w:tr>
      <w:tr w:rsidR="00F0516B" w:rsidRPr="00F0516B" w14:paraId="52F49D64" w14:textId="77777777" w:rsidTr="00F0516B">
        <w:trPr>
          <w:trHeight w:val="259"/>
        </w:trPr>
        <w:tc>
          <w:tcPr>
            <w:tcW w:w="900" w:type="dxa"/>
            <w:tcBorders>
              <w:top w:val="nil"/>
              <w:left w:val="nil"/>
              <w:bottom w:val="nil"/>
              <w:right w:val="nil"/>
            </w:tcBorders>
            <w:shd w:val="clear" w:color="auto" w:fill="auto"/>
            <w:noWrap/>
            <w:vAlign w:val="bottom"/>
            <w:hideMark/>
          </w:tcPr>
          <w:p w14:paraId="438EEEFA"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p>
        </w:tc>
        <w:tc>
          <w:tcPr>
            <w:tcW w:w="940" w:type="dxa"/>
            <w:tcBorders>
              <w:top w:val="nil"/>
              <w:left w:val="nil"/>
              <w:bottom w:val="nil"/>
              <w:right w:val="nil"/>
            </w:tcBorders>
            <w:shd w:val="clear" w:color="auto" w:fill="auto"/>
            <w:noWrap/>
            <w:vAlign w:val="bottom"/>
            <w:hideMark/>
          </w:tcPr>
          <w:p w14:paraId="5D72D7B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14:paraId="19CB7595"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w:t>
            </w:r>
          </w:p>
        </w:tc>
        <w:tc>
          <w:tcPr>
            <w:tcW w:w="940" w:type="dxa"/>
            <w:tcBorders>
              <w:top w:val="nil"/>
              <w:left w:val="nil"/>
              <w:bottom w:val="nil"/>
              <w:right w:val="nil"/>
            </w:tcBorders>
            <w:shd w:val="clear" w:color="auto" w:fill="auto"/>
            <w:noWrap/>
            <w:vAlign w:val="bottom"/>
            <w:hideMark/>
          </w:tcPr>
          <w:p w14:paraId="2D6A9BA3"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w:t>
            </w:r>
          </w:p>
        </w:tc>
        <w:tc>
          <w:tcPr>
            <w:tcW w:w="940" w:type="dxa"/>
            <w:tcBorders>
              <w:top w:val="nil"/>
              <w:left w:val="nil"/>
              <w:bottom w:val="nil"/>
              <w:right w:val="nil"/>
            </w:tcBorders>
            <w:shd w:val="clear" w:color="auto" w:fill="auto"/>
            <w:noWrap/>
            <w:vAlign w:val="bottom"/>
            <w:hideMark/>
          </w:tcPr>
          <w:p w14:paraId="6DE19321"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14:paraId="01D64DC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14:paraId="15739235"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w:t>
            </w:r>
          </w:p>
        </w:tc>
        <w:tc>
          <w:tcPr>
            <w:tcW w:w="820" w:type="dxa"/>
            <w:tcBorders>
              <w:top w:val="nil"/>
              <w:left w:val="nil"/>
              <w:bottom w:val="nil"/>
              <w:right w:val="nil"/>
            </w:tcBorders>
            <w:shd w:val="clear" w:color="auto" w:fill="auto"/>
            <w:noWrap/>
            <w:vAlign w:val="bottom"/>
            <w:hideMark/>
          </w:tcPr>
          <w:p w14:paraId="0DBCC1D8"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w:t>
            </w:r>
          </w:p>
        </w:tc>
        <w:tc>
          <w:tcPr>
            <w:tcW w:w="940" w:type="dxa"/>
            <w:tcBorders>
              <w:top w:val="nil"/>
              <w:left w:val="nil"/>
              <w:bottom w:val="nil"/>
              <w:right w:val="nil"/>
            </w:tcBorders>
            <w:shd w:val="clear" w:color="auto" w:fill="auto"/>
            <w:noWrap/>
            <w:vAlign w:val="bottom"/>
            <w:hideMark/>
          </w:tcPr>
          <w:p w14:paraId="1D6523A2"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w:t>
            </w:r>
          </w:p>
        </w:tc>
        <w:tc>
          <w:tcPr>
            <w:tcW w:w="1020" w:type="dxa"/>
            <w:tcBorders>
              <w:top w:val="nil"/>
              <w:left w:val="nil"/>
              <w:bottom w:val="nil"/>
              <w:right w:val="nil"/>
            </w:tcBorders>
            <w:shd w:val="clear" w:color="auto" w:fill="auto"/>
            <w:noWrap/>
            <w:vAlign w:val="bottom"/>
            <w:hideMark/>
          </w:tcPr>
          <w:p w14:paraId="4C14BF1D"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w:t>
            </w:r>
          </w:p>
        </w:tc>
      </w:tr>
      <w:tr w:rsidR="00F0516B" w:rsidRPr="00F0516B" w14:paraId="1CED1BBF" w14:textId="77777777" w:rsidTr="00F0516B">
        <w:trPr>
          <w:trHeight w:val="315"/>
        </w:trPr>
        <w:tc>
          <w:tcPr>
            <w:tcW w:w="900" w:type="dxa"/>
            <w:tcBorders>
              <w:top w:val="nil"/>
              <w:left w:val="nil"/>
              <w:bottom w:val="nil"/>
              <w:right w:val="nil"/>
            </w:tcBorders>
            <w:shd w:val="clear" w:color="auto" w:fill="auto"/>
            <w:noWrap/>
            <w:vAlign w:val="bottom"/>
            <w:hideMark/>
          </w:tcPr>
          <w:p w14:paraId="0D46E7B6" w14:textId="77777777" w:rsidR="00F0516B" w:rsidRPr="00F0516B" w:rsidRDefault="00F0516B" w:rsidP="00C67286">
            <w:pPr>
              <w:keepNext/>
              <w:tabs>
                <w:tab w:val="clear" w:pos="567"/>
              </w:tabs>
              <w:spacing w:after="0" w:line="240" w:lineRule="auto"/>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H3</w:t>
            </w:r>
          </w:p>
        </w:tc>
        <w:tc>
          <w:tcPr>
            <w:tcW w:w="940" w:type="dxa"/>
            <w:tcBorders>
              <w:top w:val="nil"/>
              <w:left w:val="nil"/>
              <w:bottom w:val="nil"/>
              <w:right w:val="nil"/>
            </w:tcBorders>
            <w:shd w:val="clear" w:color="auto" w:fill="auto"/>
            <w:noWrap/>
            <w:vAlign w:val="bottom"/>
            <w:hideMark/>
          </w:tcPr>
          <w:p w14:paraId="7433F78C"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54</w:t>
            </w:r>
          </w:p>
        </w:tc>
        <w:tc>
          <w:tcPr>
            <w:tcW w:w="820" w:type="dxa"/>
            <w:tcBorders>
              <w:top w:val="nil"/>
              <w:left w:val="nil"/>
              <w:bottom w:val="nil"/>
              <w:right w:val="nil"/>
            </w:tcBorders>
            <w:shd w:val="clear" w:color="auto" w:fill="auto"/>
            <w:noWrap/>
            <w:vAlign w:val="bottom"/>
            <w:hideMark/>
          </w:tcPr>
          <w:p w14:paraId="08ACAC2D"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940" w:type="dxa"/>
            <w:tcBorders>
              <w:top w:val="nil"/>
              <w:left w:val="nil"/>
              <w:bottom w:val="nil"/>
              <w:right w:val="nil"/>
            </w:tcBorders>
            <w:shd w:val="clear" w:color="auto" w:fill="auto"/>
            <w:noWrap/>
            <w:vAlign w:val="bottom"/>
            <w:hideMark/>
          </w:tcPr>
          <w:p w14:paraId="6355E6A1"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940" w:type="dxa"/>
            <w:tcBorders>
              <w:top w:val="nil"/>
              <w:left w:val="nil"/>
              <w:bottom w:val="nil"/>
              <w:right w:val="nil"/>
            </w:tcBorders>
            <w:shd w:val="clear" w:color="auto" w:fill="auto"/>
            <w:noWrap/>
            <w:vAlign w:val="bottom"/>
            <w:hideMark/>
          </w:tcPr>
          <w:p w14:paraId="717D95BD"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18</w:t>
            </w:r>
          </w:p>
        </w:tc>
        <w:tc>
          <w:tcPr>
            <w:tcW w:w="820" w:type="dxa"/>
            <w:tcBorders>
              <w:top w:val="nil"/>
              <w:left w:val="nil"/>
              <w:bottom w:val="nil"/>
              <w:right w:val="nil"/>
            </w:tcBorders>
            <w:shd w:val="clear" w:color="auto" w:fill="auto"/>
            <w:noWrap/>
            <w:vAlign w:val="bottom"/>
            <w:hideMark/>
          </w:tcPr>
          <w:p w14:paraId="79E65909"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14:paraId="14F2A555"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14:paraId="3BBD797B"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940" w:type="dxa"/>
            <w:tcBorders>
              <w:top w:val="nil"/>
              <w:left w:val="nil"/>
              <w:bottom w:val="nil"/>
              <w:right w:val="nil"/>
            </w:tcBorders>
            <w:shd w:val="clear" w:color="auto" w:fill="auto"/>
            <w:noWrap/>
            <w:vAlign w:val="bottom"/>
            <w:hideMark/>
          </w:tcPr>
          <w:p w14:paraId="6EEA4816"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28</w:t>
            </w:r>
          </w:p>
        </w:tc>
        <w:tc>
          <w:tcPr>
            <w:tcW w:w="1020" w:type="dxa"/>
            <w:tcBorders>
              <w:top w:val="nil"/>
              <w:left w:val="nil"/>
              <w:bottom w:val="nil"/>
              <w:right w:val="nil"/>
            </w:tcBorders>
            <w:shd w:val="clear" w:color="auto" w:fill="auto"/>
            <w:noWrap/>
            <w:vAlign w:val="bottom"/>
            <w:hideMark/>
          </w:tcPr>
          <w:p w14:paraId="2CDC5D1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100</w:t>
            </w:r>
          </w:p>
        </w:tc>
      </w:tr>
      <w:tr w:rsidR="00F0516B" w:rsidRPr="00F0516B" w14:paraId="33528149" w14:textId="77777777" w:rsidTr="00F0516B">
        <w:trPr>
          <w:trHeight w:val="315"/>
        </w:trPr>
        <w:tc>
          <w:tcPr>
            <w:tcW w:w="900" w:type="dxa"/>
            <w:tcBorders>
              <w:top w:val="nil"/>
              <w:left w:val="nil"/>
              <w:bottom w:val="nil"/>
              <w:right w:val="nil"/>
            </w:tcBorders>
            <w:shd w:val="clear" w:color="auto" w:fill="auto"/>
            <w:noWrap/>
            <w:vAlign w:val="bottom"/>
            <w:hideMark/>
          </w:tcPr>
          <w:p w14:paraId="4F4E2BAD" w14:textId="77777777" w:rsidR="00F0516B" w:rsidRPr="00F0516B" w:rsidRDefault="00F0516B" w:rsidP="00C67286">
            <w:pPr>
              <w:keepNext/>
              <w:tabs>
                <w:tab w:val="clear" w:pos="567"/>
              </w:tabs>
              <w:spacing w:after="0" w:line="240" w:lineRule="auto"/>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H4</w:t>
            </w:r>
          </w:p>
        </w:tc>
        <w:tc>
          <w:tcPr>
            <w:tcW w:w="940" w:type="dxa"/>
            <w:tcBorders>
              <w:top w:val="nil"/>
              <w:left w:val="nil"/>
              <w:bottom w:val="nil"/>
              <w:right w:val="nil"/>
            </w:tcBorders>
            <w:shd w:val="clear" w:color="auto" w:fill="auto"/>
            <w:noWrap/>
            <w:vAlign w:val="bottom"/>
            <w:hideMark/>
          </w:tcPr>
          <w:p w14:paraId="04EE7C05"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18</w:t>
            </w:r>
          </w:p>
        </w:tc>
        <w:tc>
          <w:tcPr>
            <w:tcW w:w="820" w:type="dxa"/>
            <w:tcBorders>
              <w:top w:val="nil"/>
              <w:left w:val="nil"/>
              <w:bottom w:val="nil"/>
              <w:right w:val="nil"/>
            </w:tcBorders>
            <w:shd w:val="clear" w:color="auto" w:fill="auto"/>
            <w:noWrap/>
            <w:vAlign w:val="bottom"/>
            <w:hideMark/>
          </w:tcPr>
          <w:p w14:paraId="4C187C12"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7</w:t>
            </w:r>
          </w:p>
        </w:tc>
        <w:tc>
          <w:tcPr>
            <w:tcW w:w="940" w:type="dxa"/>
            <w:tcBorders>
              <w:top w:val="nil"/>
              <w:left w:val="nil"/>
              <w:bottom w:val="nil"/>
              <w:right w:val="nil"/>
            </w:tcBorders>
            <w:shd w:val="clear" w:color="auto" w:fill="auto"/>
            <w:noWrap/>
            <w:vAlign w:val="bottom"/>
            <w:hideMark/>
          </w:tcPr>
          <w:p w14:paraId="625C977A"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940" w:type="dxa"/>
            <w:tcBorders>
              <w:top w:val="nil"/>
              <w:left w:val="nil"/>
              <w:bottom w:val="nil"/>
              <w:right w:val="nil"/>
            </w:tcBorders>
            <w:shd w:val="clear" w:color="auto" w:fill="auto"/>
            <w:noWrap/>
            <w:vAlign w:val="bottom"/>
            <w:hideMark/>
          </w:tcPr>
          <w:p w14:paraId="152C1477"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65</w:t>
            </w:r>
          </w:p>
        </w:tc>
        <w:tc>
          <w:tcPr>
            <w:tcW w:w="820" w:type="dxa"/>
            <w:tcBorders>
              <w:top w:val="nil"/>
              <w:left w:val="nil"/>
              <w:bottom w:val="nil"/>
              <w:right w:val="nil"/>
            </w:tcBorders>
            <w:shd w:val="clear" w:color="auto" w:fill="auto"/>
            <w:noWrap/>
            <w:vAlign w:val="bottom"/>
            <w:hideMark/>
          </w:tcPr>
          <w:p w14:paraId="5719D758"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7</w:t>
            </w:r>
          </w:p>
        </w:tc>
        <w:tc>
          <w:tcPr>
            <w:tcW w:w="820" w:type="dxa"/>
            <w:tcBorders>
              <w:top w:val="nil"/>
              <w:left w:val="nil"/>
              <w:bottom w:val="nil"/>
              <w:right w:val="nil"/>
            </w:tcBorders>
            <w:shd w:val="clear" w:color="auto" w:fill="auto"/>
            <w:noWrap/>
            <w:vAlign w:val="bottom"/>
            <w:hideMark/>
          </w:tcPr>
          <w:p w14:paraId="15673B10"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2</w:t>
            </w:r>
          </w:p>
        </w:tc>
        <w:tc>
          <w:tcPr>
            <w:tcW w:w="820" w:type="dxa"/>
            <w:tcBorders>
              <w:top w:val="nil"/>
              <w:left w:val="nil"/>
              <w:bottom w:val="nil"/>
              <w:right w:val="nil"/>
            </w:tcBorders>
            <w:shd w:val="clear" w:color="auto" w:fill="auto"/>
            <w:noWrap/>
            <w:vAlign w:val="bottom"/>
            <w:hideMark/>
          </w:tcPr>
          <w:p w14:paraId="3451A476"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940" w:type="dxa"/>
            <w:tcBorders>
              <w:top w:val="nil"/>
              <w:left w:val="nil"/>
              <w:bottom w:val="nil"/>
              <w:right w:val="nil"/>
            </w:tcBorders>
            <w:shd w:val="clear" w:color="auto" w:fill="auto"/>
            <w:noWrap/>
            <w:vAlign w:val="bottom"/>
            <w:hideMark/>
          </w:tcPr>
          <w:p w14:paraId="3B1F1FE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1</w:t>
            </w:r>
          </w:p>
        </w:tc>
        <w:tc>
          <w:tcPr>
            <w:tcW w:w="1020" w:type="dxa"/>
            <w:tcBorders>
              <w:top w:val="nil"/>
              <w:left w:val="nil"/>
              <w:bottom w:val="nil"/>
              <w:right w:val="nil"/>
            </w:tcBorders>
            <w:shd w:val="clear" w:color="auto" w:fill="auto"/>
            <w:noWrap/>
            <w:vAlign w:val="bottom"/>
            <w:hideMark/>
          </w:tcPr>
          <w:p w14:paraId="3418B7D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100</w:t>
            </w:r>
          </w:p>
        </w:tc>
      </w:tr>
      <w:tr w:rsidR="00F0516B" w:rsidRPr="00F0516B" w14:paraId="395C9875" w14:textId="77777777" w:rsidTr="00F0516B">
        <w:trPr>
          <w:trHeight w:val="315"/>
        </w:trPr>
        <w:tc>
          <w:tcPr>
            <w:tcW w:w="900" w:type="dxa"/>
            <w:tcBorders>
              <w:top w:val="nil"/>
              <w:left w:val="nil"/>
              <w:bottom w:val="nil"/>
              <w:right w:val="nil"/>
            </w:tcBorders>
            <w:shd w:val="clear" w:color="auto" w:fill="auto"/>
            <w:noWrap/>
            <w:vAlign w:val="bottom"/>
            <w:hideMark/>
          </w:tcPr>
          <w:p w14:paraId="7F36ABDA" w14:textId="77777777" w:rsidR="00F0516B" w:rsidRPr="00F0516B" w:rsidRDefault="00F0516B" w:rsidP="00C67286">
            <w:pPr>
              <w:keepNext/>
              <w:tabs>
                <w:tab w:val="clear" w:pos="567"/>
              </w:tabs>
              <w:spacing w:after="0" w:line="240" w:lineRule="auto"/>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H5</w:t>
            </w:r>
          </w:p>
        </w:tc>
        <w:tc>
          <w:tcPr>
            <w:tcW w:w="940" w:type="dxa"/>
            <w:tcBorders>
              <w:top w:val="nil"/>
              <w:left w:val="nil"/>
              <w:bottom w:val="nil"/>
              <w:right w:val="nil"/>
            </w:tcBorders>
            <w:shd w:val="clear" w:color="auto" w:fill="auto"/>
            <w:noWrap/>
            <w:vAlign w:val="bottom"/>
            <w:hideMark/>
          </w:tcPr>
          <w:p w14:paraId="6F6BBE55"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14:paraId="1371B1B3"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1</w:t>
            </w:r>
          </w:p>
        </w:tc>
        <w:tc>
          <w:tcPr>
            <w:tcW w:w="940" w:type="dxa"/>
            <w:tcBorders>
              <w:top w:val="nil"/>
              <w:left w:val="nil"/>
              <w:bottom w:val="nil"/>
              <w:right w:val="nil"/>
            </w:tcBorders>
            <w:shd w:val="clear" w:color="auto" w:fill="auto"/>
            <w:noWrap/>
            <w:vAlign w:val="bottom"/>
            <w:hideMark/>
          </w:tcPr>
          <w:p w14:paraId="0BBAEC62"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74</w:t>
            </w:r>
          </w:p>
        </w:tc>
        <w:tc>
          <w:tcPr>
            <w:tcW w:w="940" w:type="dxa"/>
            <w:tcBorders>
              <w:top w:val="nil"/>
              <w:left w:val="nil"/>
              <w:bottom w:val="nil"/>
              <w:right w:val="nil"/>
            </w:tcBorders>
            <w:shd w:val="clear" w:color="auto" w:fill="auto"/>
            <w:noWrap/>
            <w:vAlign w:val="bottom"/>
            <w:hideMark/>
          </w:tcPr>
          <w:p w14:paraId="1D0B229A"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3</w:t>
            </w:r>
          </w:p>
        </w:tc>
        <w:tc>
          <w:tcPr>
            <w:tcW w:w="820" w:type="dxa"/>
            <w:tcBorders>
              <w:top w:val="nil"/>
              <w:left w:val="nil"/>
              <w:bottom w:val="nil"/>
              <w:right w:val="nil"/>
            </w:tcBorders>
            <w:shd w:val="clear" w:color="auto" w:fill="auto"/>
            <w:noWrap/>
            <w:vAlign w:val="bottom"/>
            <w:hideMark/>
          </w:tcPr>
          <w:p w14:paraId="4F3B2DDC"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14:paraId="2C5B2871"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820" w:type="dxa"/>
            <w:tcBorders>
              <w:top w:val="nil"/>
              <w:left w:val="nil"/>
              <w:bottom w:val="nil"/>
              <w:right w:val="nil"/>
            </w:tcBorders>
            <w:shd w:val="clear" w:color="auto" w:fill="auto"/>
            <w:noWrap/>
            <w:vAlign w:val="bottom"/>
            <w:hideMark/>
          </w:tcPr>
          <w:p w14:paraId="402B3085"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940" w:type="dxa"/>
            <w:tcBorders>
              <w:top w:val="nil"/>
              <w:left w:val="nil"/>
              <w:bottom w:val="nil"/>
              <w:right w:val="nil"/>
            </w:tcBorders>
            <w:shd w:val="clear" w:color="auto" w:fill="auto"/>
            <w:noWrap/>
            <w:vAlign w:val="bottom"/>
            <w:hideMark/>
          </w:tcPr>
          <w:p w14:paraId="53F1445E"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23</w:t>
            </w:r>
          </w:p>
        </w:tc>
        <w:tc>
          <w:tcPr>
            <w:tcW w:w="1020" w:type="dxa"/>
            <w:tcBorders>
              <w:top w:val="nil"/>
              <w:left w:val="nil"/>
              <w:bottom w:val="nil"/>
              <w:right w:val="nil"/>
            </w:tcBorders>
            <w:shd w:val="clear" w:color="auto" w:fill="auto"/>
            <w:noWrap/>
            <w:vAlign w:val="bottom"/>
            <w:hideMark/>
          </w:tcPr>
          <w:p w14:paraId="69D8B31F"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100</w:t>
            </w:r>
          </w:p>
        </w:tc>
      </w:tr>
      <w:tr w:rsidR="00F0516B" w:rsidRPr="00F0516B" w14:paraId="66CE4493" w14:textId="77777777" w:rsidTr="00F0516B">
        <w:trPr>
          <w:trHeight w:val="315"/>
        </w:trPr>
        <w:tc>
          <w:tcPr>
            <w:tcW w:w="900" w:type="dxa"/>
            <w:tcBorders>
              <w:top w:val="nil"/>
              <w:left w:val="nil"/>
              <w:bottom w:val="single" w:sz="4" w:space="0" w:color="auto"/>
              <w:right w:val="nil"/>
            </w:tcBorders>
            <w:shd w:val="clear" w:color="auto" w:fill="auto"/>
            <w:noWrap/>
            <w:vAlign w:val="bottom"/>
            <w:hideMark/>
          </w:tcPr>
          <w:p w14:paraId="3051A56F" w14:textId="77777777" w:rsidR="00F0516B" w:rsidRPr="00F0516B" w:rsidRDefault="00F0516B" w:rsidP="00C67286">
            <w:pPr>
              <w:keepNext/>
              <w:tabs>
                <w:tab w:val="clear" w:pos="567"/>
              </w:tabs>
              <w:spacing w:after="0" w:line="240" w:lineRule="auto"/>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Total</w:t>
            </w:r>
          </w:p>
        </w:tc>
        <w:tc>
          <w:tcPr>
            <w:tcW w:w="940" w:type="dxa"/>
            <w:tcBorders>
              <w:top w:val="single" w:sz="4" w:space="0" w:color="auto"/>
              <w:left w:val="nil"/>
              <w:bottom w:val="single" w:sz="4" w:space="0" w:color="auto"/>
              <w:right w:val="nil"/>
            </w:tcBorders>
            <w:shd w:val="clear" w:color="auto" w:fill="auto"/>
            <w:noWrap/>
            <w:vAlign w:val="bottom"/>
            <w:hideMark/>
          </w:tcPr>
          <w:p w14:paraId="47446080"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13</w:t>
            </w:r>
          </w:p>
        </w:tc>
        <w:tc>
          <w:tcPr>
            <w:tcW w:w="820" w:type="dxa"/>
            <w:tcBorders>
              <w:top w:val="single" w:sz="4" w:space="0" w:color="auto"/>
              <w:left w:val="nil"/>
              <w:bottom w:val="single" w:sz="4" w:space="0" w:color="auto"/>
              <w:right w:val="nil"/>
            </w:tcBorders>
            <w:shd w:val="clear" w:color="auto" w:fill="auto"/>
            <w:noWrap/>
            <w:vAlign w:val="bottom"/>
            <w:hideMark/>
          </w:tcPr>
          <w:p w14:paraId="2536EBCA"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5</w:t>
            </w:r>
          </w:p>
        </w:tc>
        <w:tc>
          <w:tcPr>
            <w:tcW w:w="940" w:type="dxa"/>
            <w:tcBorders>
              <w:top w:val="single" w:sz="4" w:space="0" w:color="auto"/>
              <w:left w:val="nil"/>
              <w:bottom w:val="single" w:sz="4" w:space="0" w:color="auto"/>
              <w:right w:val="nil"/>
            </w:tcBorders>
            <w:shd w:val="clear" w:color="auto" w:fill="auto"/>
            <w:noWrap/>
            <w:vAlign w:val="bottom"/>
            <w:hideMark/>
          </w:tcPr>
          <w:p w14:paraId="47005D54"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23</w:t>
            </w:r>
          </w:p>
        </w:tc>
        <w:tc>
          <w:tcPr>
            <w:tcW w:w="940" w:type="dxa"/>
            <w:tcBorders>
              <w:top w:val="single" w:sz="4" w:space="0" w:color="auto"/>
              <w:left w:val="nil"/>
              <w:bottom w:val="single" w:sz="4" w:space="0" w:color="auto"/>
              <w:right w:val="nil"/>
            </w:tcBorders>
            <w:shd w:val="clear" w:color="auto" w:fill="auto"/>
            <w:noWrap/>
            <w:vAlign w:val="bottom"/>
            <w:hideMark/>
          </w:tcPr>
          <w:p w14:paraId="74093B26"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45</w:t>
            </w:r>
          </w:p>
        </w:tc>
        <w:tc>
          <w:tcPr>
            <w:tcW w:w="820" w:type="dxa"/>
            <w:tcBorders>
              <w:top w:val="single" w:sz="4" w:space="0" w:color="auto"/>
              <w:left w:val="nil"/>
              <w:bottom w:val="single" w:sz="4" w:space="0" w:color="auto"/>
              <w:right w:val="nil"/>
            </w:tcBorders>
            <w:shd w:val="clear" w:color="auto" w:fill="auto"/>
            <w:noWrap/>
            <w:vAlign w:val="bottom"/>
            <w:hideMark/>
          </w:tcPr>
          <w:p w14:paraId="212F26A1"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4</w:t>
            </w:r>
          </w:p>
        </w:tc>
        <w:tc>
          <w:tcPr>
            <w:tcW w:w="820" w:type="dxa"/>
            <w:tcBorders>
              <w:top w:val="single" w:sz="4" w:space="0" w:color="auto"/>
              <w:left w:val="nil"/>
              <w:bottom w:val="single" w:sz="4" w:space="0" w:color="auto"/>
              <w:right w:val="nil"/>
            </w:tcBorders>
            <w:shd w:val="clear" w:color="auto" w:fill="auto"/>
            <w:noWrap/>
            <w:vAlign w:val="bottom"/>
            <w:hideMark/>
          </w:tcPr>
          <w:p w14:paraId="28E9B1DA"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2</w:t>
            </w:r>
          </w:p>
        </w:tc>
        <w:tc>
          <w:tcPr>
            <w:tcW w:w="820" w:type="dxa"/>
            <w:tcBorders>
              <w:top w:val="single" w:sz="4" w:space="0" w:color="auto"/>
              <w:left w:val="nil"/>
              <w:bottom w:val="single" w:sz="4" w:space="0" w:color="auto"/>
              <w:right w:val="nil"/>
            </w:tcBorders>
            <w:shd w:val="clear" w:color="auto" w:fill="auto"/>
            <w:noWrap/>
            <w:vAlign w:val="bottom"/>
            <w:hideMark/>
          </w:tcPr>
          <w:p w14:paraId="2858B6FD"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0</w:t>
            </w:r>
          </w:p>
        </w:tc>
        <w:tc>
          <w:tcPr>
            <w:tcW w:w="940" w:type="dxa"/>
            <w:tcBorders>
              <w:top w:val="single" w:sz="4" w:space="0" w:color="auto"/>
              <w:left w:val="nil"/>
              <w:bottom w:val="single" w:sz="4" w:space="0" w:color="auto"/>
              <w:right w:val="nil"/>
            </w:tcBorders>
            <w:shd w:val="clear" w:color="auto" w:fill="auto"/>
            <w:noWrap/>
            <w:vAlign w:val="bottom"/>
            <w:hideMark/>
          </w:tcPr>
          <w:p w14:paraId="6E70C3A0"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8</w:t>
            </w:r>
          </w:p>
        </w:tc>
        <w:tc>
          <w:tcPr>
            <w:tcW w:w="1020" w:type="dxa"/>
            <w:tcBorders>
              <w:top w:val="single" w:sz="4" w:space="0" w:color="auto"/>
              <w:left w:val="nil"/>
              <w:bottom w:val="single" w:sz="4" w:space="0" w:color="auto"/>
              <w:right w:val="nil"/>
            </w:tcBorders>
            <w:shd w:val="clear" w:color="auto" w:fill="auto"/>
            <w:noWrap/>
            <w:vAlign w:val="bottom"/>
            <w:hideMark/>
          </w:tcPr>
          <w:p w14:paraId="770DC868" w14:textId="77777777" w:rsidR="00F0516B" w:rsidRPr="00F0516B" w:rsidRDefault="00F0516B" w:rsidP="00C67286">
            <w:pPr>
              <w:keepNext/>
              <w:tabs>
                <w:tab w:val="clear" w:pos="567"/>
              </w:tabs>
              <w:spacing w:after="0" w:line="240" w:lineRule="auto"/>
              <w:jc w:val="right"/>
              <w:rPr>
                <w:rFonts w:ascii="Calibri" w:eastAsia="Times New Roman" w:hAnsi="Calibri" w:cs="Times New Roman"/>
                <w:sz w:val="20"/>
                <w:szCs w:val="20"/>
                <w:lang w:eastAsia="en-AU"/>
              </w:rPr>
            </w:pPr>
            <w:r w:rsidRPr="00F0516B">
              <w:rPr>
                <w:rFonts w:ascii="Calibri" w:eastAsia="Times New Roman" w:hAnsi="Calibri" w:cs="Times New Roman"/>
                <w:sz w:val="20"/>
                <w:szCs w:val="20"/>
                <w:lang w:eastAsia="en-AU"/>
              </w:rPr>
              <w:t>100</w:t>
            </w:r>
          </w:p>
        </w:tc>
      </w:tr>
    </w:tbl>
    <w:p w14:paraId="58C0D7C4" w14:textId="77777777" w:rsidR="00D86B1E" w:rsidRPr="00D86B1E" w:rsidRDefault="00D86B1E" w:rsidP="00D86B1E">
      <w:pPr>
        <w:pStyle w:val="CGCTableFootnote"/>
      </w:pPr>
      <w:r w:rsidRPr="00D86B1E">
        <w:t>Source:</w:t>
      </w:r>
      <w:r w:rsidRPr="00D86B1E">
        <w:tab/>
        <w:t>National Transport Commission expenditure data, 2014-15, 2015-16 and 2016-17.</w:t>
      </w:r>
    </w:p>
    <w:bookmarkEnd w:id="54"/>
    <w:p w14:paraId="54C7B466" w14:textId="37BE0036" w:rsidR="00CB0A49" w:rsidRDefault="00CB0A49" w:rsidP="00CB0A49">
      <w:pPr>
        <w:pStyle w:val="CGCNumberedPara"/>
        <w:numPr>
          <w:ilvl w:val="1"/>
          <w:numId w:val="3"/>
        </w:numPr>
      </w:pPr>
      <w:r>
        <w:t xml:space="preserve">The </w:t>
      </w:r>
      <w:r w:rsidR="00D52126">
        <w:t xml:space="preserve">definition of </w:t>
      </w:r>
      <w:proofErr w:type="spellStart"/>
      <w:r w:rsidR="00D86B1E">
        <w:t>NTC’s</w:t>
      </w:r>
      <w:proofErr w:type="spellEnd"/>
      <w:r w:rsidR="00D52126">
        <w:t xml:space="preserve"> </w:t>
      </w:r>
      <w:r>
        <w:t>H3 category (</w:t>
      </w:r>
      <w:r w:rsidRPr="00F31E73">
        <w:t>spending on local access roads in unincorporated areas</w:t>
      </w:r>
      <w:r>
        <w:t xml:space="preserve">) </w:t>
      </w:r>
      <w:r w:rsidR="00D52126">
        <w:t>fit</w:t>
      </w:r>
      <w:r w:rsidR="00D42E0B">
        <w:t>s</w:t>
      </w:r>
      <w:r w:rsidR="00D52126">
        <w:t xml:space="preserve"> the component’s definition</w:t>
      </w:r>
      <w:r>
        <w:t>.</w:t>
      </w:r>
      <w:r w:rsidR="0038030D">
        <w:t xml:space="preserve"> However, the average spending shown in </w:t>
      </w:r>
      <w:r w:rsidR="0038030D">
        <w:fldChar w:fldCharType="begin"/>
      </w:r>
      <w:r w:rsidR="0038030D">
        <w:instrText xml:space="preserve"> REF _Ref509093038 \h </w:instrText>
      </w:r>
      <w:r w:rsidR="0038030D">
        <w:fldChar w:fldCharType="separate"/>
      </w:r>
      <w:r w:rsidR="004B3502">
        <w:t xml:space="preserve">Table </w:t>
      </w:r>
      <w:r w:rsidR="004B3502">
        <w:rPr>
          <w:noProof/>
        </w:rPr>
        <w:t>7</w:t>
      </w:r>
      <w:r w:rsidR="0038030D">
        <w:fldChar w:fldCharType="end"/>
      </w:r>
      <w:r w:rsidR="0038030D">
        <w:t xml:space="preserve"> seems low given </w:t>
      </w:r>
      <w:r w:rsidR="000F1E93">
        <w:t>our understanding that some States, such as South Australia, have significant amounts of</w:t>
      </w:r>
      <w:r w:rsidR="000F1E93" w:rsidRPr="000F1E93">
        <w:t xml:space="preserve"> </w:t>
      </w:r>
      <w:r w:rsidR="000F1E93" w:rsidRPr="00F31E73">
        <w:t>local access roads in unincorporated areas</w:t>
      </w:r>
      <w:r w:rsidR="000F1E93">
        <w:t xml:space="preserve">. One possibility is that the spending may be recorded in other </w:t>
      </w:r>
      <w:proofErr w:type="spellStart"/>
      <w:r w:rsidR="000F1E93">
        <w:t>NTC</w:t>
      </w:r>
      <w:proofErr w:type="spellEnd"/>
      <w:r w:rsidR="000F1E93">
        <w:t xml:space="preserve"> categories.</w:t>
      </w:r>
    </w:p>
    <w:p w14:paraId="0C60A099" w14:textId="5B335036" w:rsidR="00CB0A49" w:rsidRDefault="00CB0A49" w:rsidP="00A5658A">
      <w:pPr>
        <w:pStyle w:val="CGCNumberedPara"/>
      </w:pPr>
      <w:r>
        <w:t>In the case of</w:t>
      </w:r>
      <w:r w:rsidR="00FF69FB">
        <w:t xml:space="preserve"> the </w:t>
      </w:r>
      <w:r>
        <w:t>H4</w:t>
      </w:r>
      <w:r w:rsidR="00FF69FB">
        <w:t xml:space="preserve"> category</w:t>
      </w:r>
      <w:r w:rsidR="00A5658A">
        <w:t xml:space="preserve"> (d</w:t>
      </w:r>
      <w:r w:rsidR="00A5658A" w:rsidRPr="00A5658A">
        <w:t>irect spending on council managed local access roads</w:t>
      </w:r>
      <w:r w:rsidR="00A5658A">
        <w:t>)</w:t>
      </w:r>
      <w:proofErr w:type="gramStart"/>
      <w:r>
        <w:t>,</w:t>
      </w:r>
      <w:proofErr w:type="gramEnd"/>
      <w:r>
        <w:t xml:space="preserve"> </w:t>
      </w:r>
      <w:r w:rsidR="004D63A9">
        <w:fldChar w:fldCharType="begin"/>
      </w:r>
      <w:r w:rsidR="004D63A9">
        <w:instrText xml:space="preserve"> REF _Ref509093038 \h </w:instrText>
      </w:r>
      <w:r w:rsidR="004D63A9">
        <w:fldChar w:fldCharType="separate"/>
      </w:r>
      <w:r w:rsidR="004B3502">
        <w:t xml:space="preserve">Table </w:t>
      </w:r>
      <w:r w:rsidR="004B3502">
        <w:rPr>
          <w:noProof/>
        </w:rPr>
        <w:t>7</w:t>
      </w:r>
      <w:r w:rsidR="004D63A9">
        <w:fldChar w:fldCharType="end"/>
      </w:r>
      <w:r w:rsidR="004D63A9">
        <w:t xml:space="preserve"> </w:t>
      </w:r>
      <w:r>
        <w:t xml:space="preserve">shows that </w:t>
      </w:r>
      <w:r w:rsidR="00D631BB">
        <w:t>65</w:t>
      </w:r>
      <w:r>
        <w:t xml:space="preserve">% of the spending is in Western Australia and another </w:t>
      </w:r>
      <w:r w:rsidR="00D631BB">
        <w:t>18</w:t>
      </w:r>
      <w:r>
        <w:t>% in New South Wales. This suggest</w:t>
      </w:r>
      <w:r w:rsidR="00A0542F">
        <w:t>s a State policy influence and/</w:t>
      </w:r>
      <w:r>
        <w:t xml:space="preserve">or a classification issue. It is possible that Western Australia and New South Wales </w:t>
      </w:r>
      <w:r w:rsidRPr="00960FD4">
        <w:t>spend</w:t>
      </w:r>
      <w:r>
        <w:t xml:space="preserve"> </w:t>
      </w:r>
      <w:r w:rsidRPr="00960FD4">
        <w:t>on council managed local access roads</w:t>
      </w:r>
      <w:r>
        <w:t xml:space="preserve"> for reasons other than the absence or the financial constraints of local governments. </w:t>
      </w:r>
    </w:p>
    <w:p w14:paraId="71FDC480" w14:textId="7F23DB13" w:rsidR="00CB0A49" w:rsidRPr="00DF7E3D" w:rsidRDefault="00CB0A49" w:rsidP="00E74E96">
      <w:pPr>
        <w:pStyle w:val="CGCNumberedPara"/>
      </w:pPr>
      <w:r>
        <w:t xml:space="preserve">For Western Australia, this seems confirmed by Main Roads Western Australia, which suggested to Commission staff that </w:t>
      </w:r>
      <w:r w:rsidR="00E41461">
        <w:t>‘</w:t>
      </w:r>
      <w:r>
        <w:t>t</w:t>
      </w:r>
      <w:r w:rsidRPr="00DF7E3D">
        <w:t xml:space="preserve">he general driver for this spend </w:t>
      </w:r>
      <w:r>
        <w:t xml:space="preserve">(H4) </w:t>
      </w:r>
      <w:r w:rsidRPr="00DF7E3D">
        <w:t xml:space="preserve">relates to </w:t>
      </w:r>
      <w:r>
        <w:t>its</w:t>
      </w:r>
      <w:r w:rsidRPr="00DF7E3D">
        <w:t xml:space="preserve"> role to provide a whole of network solution and some expenditure directly on local roads is required so there is good integration with the State network</w:t>
      </w:r>
      <w:r w:rsidR="00E41461">
        <w:t>’</w:t>
      </w:r>
      <w:r w:rsidRPr="00DF7E3D">
        <w:t>.</w:t>
      </w:r>
      <w:r>
        <w:rPr>
          <w:rStyle w:val="FootnoteReference"/>
        </w:rPr>
        <w:footnoteReference w:id="10"/>
      </w:r>
      <w:r w:rsidR="00E74E96">
        <w:t xml:space="preserve"> </w:t>
      </w:r>
      <w:r w:rsidR="00E74E96" w:rsidRPr="00E74E96">
        <w:t>Another possible explanation is that Western Australia may be classifying some roads as local roads that other States would classify as State roads.</w:t>
      </w:r>
    </w:p>
    <w:p w14:paraId="1DA249E9" w14:textId="6E2852E9" w:rsidR="00E41461" w:rsidRDefault="00CB0A49" w:rsidP="00A5658A">
      <w:pPr>
        <w:pStyle w:val="CGCNumberedPara"/>
      </w:pPr>
      <w:r>
        <w:t>In the case of the H5 category</w:t>
      </w:r>
      <w:r w:rsidR="00A5658A">
        <w:t xml:space="preserve"> (a</w:t>
      </w:r>
      <w:r w:rsidR="00A5658A" w:rsidRPr="00A5658A">
        <w:t>ny other direct State spending on local access roads</w:t>
      </w:r>
      <w:r w:rsidR="00A5658A">
        <w:t>)</w:t>
      </w:r>
      <w:r>
        <w:t>, 9</w:t>
      </w:r>
      <w:r w:rsidR="00F24E3F">
        <w:t>7</w:t>
      </w:r>
      <w:r>
        <w:t>% of total spending is in Queensland (</w:t>
      </w:r>
      <w:r w:rsidR="00F24E3F">
        <w:t>74</w:t>
      </w:r>
      <w:r>
        <w:t>%) and the Northern Territory (</w:t>
      </w:r>
      <w:r w:rsidR="00F24E3F">
        <w:t>23</w:t>
      </w:r>
      <w:r>
        <w:t xml:space="preserve">%). In its definition of H5, the </w:t>
      </w:r>
      <w:proofErr w:type="spellStart"/>
      <w:r>
        <w:t>NTC</w:t>
      </w:r>
      <w:proofErr w:type="spellEnd"/>
      <w:r w:rsidR="00E41461">
        <w:t xml:space="preserve"> says the item: </w:t>
      </w:r>
    </w:p>
    <w:p w14:paraId="2F68682C" w14:textId="1AC2CFAD" w:rsidR="00CB0A49" w:rsidRDefault="00CB0A49" w:rsidP="00E41461">
      <w:pPr>
        <w:pStyle w:val="CGCQuotation"/>
      </w:pPr>
      <w:proofErr w:type="gramStart"/>
      <w:r w:rsidRPr="008A6458">
        <w:t>should</w:t>
      </w:r>
      <w:proofErr w:type="gramEnd"/>
      <w:r w:rsidRPr="008A6458">
        <w:t xml:space="preserve"> show the value of any other direct State or Territory spending on local access roads that are not council managed and not in unincorporated areas, which is direct spending on local access roads (spending not counted in H3 or H4). For example, in Queensland, it should include State spending on those district roads that are classified as local access roads. </w:t>
      </w:r>
      <w:r w:rsidRPr="008A6458">
        <w:lastRenderedPageBreak/>
        <w:t>The figure should not include any grants or assistance paid to councils to fund work on local access roads for which councils are the managing authority.</w:t>
      </w:r>
      <w:r>
        <w:rPr>
          <w:rStyle w:val="FootnoteReference"/>
        </w:rPr>
        <w:footnoteReference w:id="11"/>
      </w:r>
    </w:p>
    <w:p w14:paraId="53713B9F" w14:textId="60308E41" w:rsidR="00CB0A49" w:rsidRDefault="00FF48CE" w:rsidP="00CB0A49">
      <w:pPr>
        <w:pStyle w:val="CGCNumberedPara"/>
        <w:numPr>
          <w:ilvl w:val="1"/>
          <w:numId w:val="3"/>
        </w:numPr>
      </w:pPr>
      <w:r>
        <w:t>If spending under the</w:t>
      </w:r>
      <w:r w:rsidR="00FF69FB">
        <w:t xml:space="preserve"> H5 category</w:t>
      </w:r>
      <w:r>
        <w:t xml:space="preserve"> </w:t>
      </w:r>
      <w:r w:rsidR="00D86B1E">
        <w:t>ex</w:t>
      </w:r>
      <w:r w:rsidR="00FF69FB">
        <w:t>clude</w:t>
      </w:r>
      <w:r w:rsidR="00D86B1E">
        <w:t>s</w:t>
      </w:r>
      <w:r w:rsidR="00FF69FB">
        <w:t xml:space="preserve"> spending on roads that are not </w:t>
      </w:r>
      <w:r w:rsidR="00FF69FB" w:rsidRPr="008A6458">
        <w:t>council managed and not in unincorporated areas</w:t>
      </w:r>
      <w:r w:rsidR="00A0542F">
        <w:t>,</w:t>
      </w:r>
      <w:r w:rsidR="00FF69FB">
        <w:t xml:space="preserve"> </w:t>
      </w:r>
      <w:r>
        <w:t>it should not be part of the local roads component</w:t>
      </w:r>
      <w:r w:rsidR="00D86B1E">
        <w:t>. It</w:t>
      </w:r>
      <w:r>
        <w:t xml:space="preserve"> should be reassigned to the rural road component.</w:t>
      </w:r>
    </w:p>
    <w:p w14:paraId="360E0CC5" w14:textId="32B1AB5A" w:rsidR="00FF48CE" w:rsidRDefault="00FF48CE" w:rsidP="00CB0A49">
      <w:pPr>
        <w:pStyle w:val="CGCNumberedPara"/>
        <w:numPr>
          <w:ilvl w:val="1"/>
          <w:numId w:val="3"/>
        </w:numPr>
      </w:pPr>
      <w:r>
        <w:t xml:space="preserve">At </w:t>
      </w:r>
      <w:r w:rsidR="00D8749D">
        <w:t>t</w:t>
      </w:r>
      <w:r>
        <w:t xml:space="preserve">his stage, </w:t>
      </w:r>
      <w:proofErr w:type="gramStart"/>
      <w:r w:rsidR="00D8749D">
        <w:t>staff</w:t>
      </w:r>
      <w:r>
        <w:t xml:space="preserve"> have</w:t>
      </w:r>
      <w:proofErr w:type="gramEnd"/>
      <w:r>
        <w:t xml:space="preserve"> little information on the reasons for spending </w:t>
      </w:r>
      <w:r w:rsidR="00D62510">
        <w:t xml:space="preserve">classified </w:t>
      </w:r>
      <w:r>
        <w:t>to the H4</w:t>
      </w:r>
      <w:r w:rsidR="00D62510">
        <w:t xml:space="preserve"> category </w:t>
      </w:r>
      <w:r>
        <w:t xml:space="preserve">in New South Wales and the H5 </w:t>
      </w:r>
      <w:r w:rsidR="00D62510">
        <w:t>category</w:t>
      </w:r>
      <w:r>
        <w:t xml:space="preserve"> in the Northern Territory. </w:t>
      </w:r>
    </w:p>
    <w:p w14:paraId="540CB1D0" w14:textId="197117C0" w:rsidR="00CB0A49" w:rsidRDefault="00CB0A49" w:rsidP="00CB0A49">
      <w:pPr>
        <w:pStyle w:val="CGCNumberedPara"/>
        <w:numPr>
          <w:ilvl w:val="1"/>
          <w:numId w:val="3"/>
        </w:numPr>
      </w:pPr>
      <w:proofErr w:type="gramStart"/>
      <w:r>
        <w:t>Staff intend</w:t>
      </w:r>
      <w:proofErr w:type="gramEnd"/>
      <w:r>
        <w:t xml:space="preserve"> to review the expenses included in this component to ensure that they include only those relating to the maintenance of </w:t>
      </w:r>
      <w:r w:rsidRPr="00086935">
        <w:t xml:space="preserve">local </w:t>
      </w:r>
      <w:r>
        <w:t xml:space="preserve">roads in </w:t>
      </w:r>
      <w:r w:rsidRPr="00086935">
        <w:t xml:space="preserve">unincorporated areas or </w:t>
      </w:r>
      <w:r>
        <w:t xml:space="preserve">for local governments </w:t>
      </w:r>
      <w:r w:rsidRPr="00086935">
        <w:t xml:space="preserve">where there is insufficient population </w:t>
      </w:r>
      <w:r>
        <w:t xml:space="preserve">for local governments </w:t>
      </w:r>
      <w:r w:rsidRPr="00086935">
        <w:t>to support road maintenance</w:t>
      </w:r>
      <w:r>
        <w:t xml:space="preserve">. If some of the expenses in Western Australia and Queensland were reallocated to other components, this would markedly reduce the size of the local roads component and the assessment may become immaterial.  </w:t>
      </w:r>
    </w:p>
    <w:p w14:paraId="060E6703" w14:textId="6539CE38" w:rsidR="00CB0A49" w:rsidRPr="00881E04" w:rsidRDefault="00D8749D" w:rsidP="00CB0A49">
      <w:pPr>
        <w:pStyle w:val="CGCNumberedPara"/>
        <w:numPr>
          <w:ilvl w:val="1"/>
          <w:numId w:val="3"/>
        </w:numPr>
      </w:pPr>
      <w:proofErr w:type="gramStart"/>
      <w:r>
        <w:t>Staff</w:t>
      </w:r>
      <w:r w:rsidR="00CB0A49">
        <w:t xml:space="preserve"> also propose</w:t>
      </w:r>
      <w:proofErr w:type="gramEnd"/>
      <w:r w:rsidR="00CB0A49">
        <w:t xml:space="preserve"> to update the estimates of local road length developed in the 2010 Review</w:t>
      </w:r>
      <w:r w:rsidR="00C75724">
        <w:t xml:space="preserve"> using the same method, that is, actual road length in sparsely populated areas, excluding that already counted in the rural road network. We propose to retain the 2015 Review definition of sparsely populated areas</w:t>
      </w:r>
      <w:r w:rsidR="00CB0A49">
        <w:t>.</w:t>
      </w:r>
    </w:p>
    <w:tbl>
      <w:tblPr>
        <w:tblW w:w="0" w:type="auto"/>
        <w:tblInd w:w="108" w:type="dxa"/>
        <w:shd w:val="clear" w:color="auto" w:fill="D9F3E6"/>
        <w:tblLook w:val="04A0" w:firstRow="1" w:lastRow="0" w:firstColumn="1" w:lastColumn="0" w:noHBand="0" w:noVBand="1"/>
      </w:tblPr>
      <w:tblGrid>
        <w:gridCol w:w="8931"/>
      </w:tblGrid>
      <w:tr w:rsidR="00CB0A49" w:rsidRPr="00E674AF" w14:paraId="6BFDC1C7" w14:textId="77777777" w:rsidTr="00CB0A49">
        <w:tc>
          <w:tcPr>
            <w:tcW w:w="8931" w:type="dxa"/>
            <w:shd w:val="clear" w:color="auto" w:fill="D9F3E6"/>
          </w:tcPr>
          <w:p w14:paraId="1D660AAE" w14:textId="77777777" w:rsidR="00CB0A49" w:rsidRPr="00E674AF" w:rsidRDefault="00CB0A49" w:rsidP="00CB0A49">
            <w:r w:rsidRPr="00B7517F">
              <w:t>Staff propose to recommend the Commission:</w:t>
            </w:r>
          </w:p>
          <w:p w14:paraId="6EB4775F" w14:textId="3924368A" w:rsidR="00CB0A49" w:rsidRDefault="00CB0A49" w:rsidP="00CB0A49">
            <w:pPr>
              <w:pStyle w:val="CGCBulletlist"/>
              <w:numPr>
                <w:ilvl w:val="0"/>
                <w:numId w:val="1"/>
              </w:numPr>
              <w:tabs>
                <w:tab w:val="clear" w:pos="786"/>
              </w:tabs>
              <w:ind w:left="1134" w:hanging="567"/>
            </w:pPr>
            <w:r>
              <w:t>ensure that the local roads component includes only expenses relating</w:t>
            </w:r>
            <w:r w:rsidR="00396ED9">
              <w:t xml:space="preserve"> to</w:t>
            </w:r>
            <w:r>
              <w:t xml:space="preserve"> maintenance of local roads in </w:t>
            </w:r>
            <w:r w:rsidRPr="004C0EF2">
              <w:t>areas of States where there is no local government (unincorporated areas) or where there is insufficient populat</w:t>
            </w:r>
            <w:r>
              <w:t>ion for the local government to support road maintenance</w:t>
            </w:r>
          </w:p>
          <w:p w14:paraId="1C546044" w14:textId="6706F196" w:rsidR="00CB0A49" w:rsidRPr="00E674AF" w:rsidRDefault="00CB0A49" w:rsidP="00F7100F">
            <w:pPr>
              <w:pStyle w:val="CGCBulletlist"/>
              <w:numPr>
                <w:ilvl w:val="0"/>
                <w:numId w:val="1"/>
              </w:numPr>
              <w:tabs>
                <w:tab w:val="clear" w:pos="786"/>
              </w:tabs>
              <w:ind w:left="1134" w:hanging="567"/>
            </w:pPr>
            <w:proofErr w:type="gramStart"/>
            <w:r>
              <w:t>update</w:t>
            </w:r>
            <w:proofErr w:type="gramEnd"/>
            <w:r>
              <w:t xml:space="preserve"> the estimates of local road length using actual road length in unincorporated areas and sparsely </w:t>
            </w:r>
            <w:r w:rsidR="00F7100F">
              <w:t>populated</w:t>
            </w:r>
            <w:r>
              <w:t xml:space="preserve"> areas.</w:t>
            </w:r>
          </w:p>
        </w:tc>
      </w:tr>
    </w:tbl>
    <w:p w14:paraId="00FFEE87" w14:textId="77777777" w:rsidR="00D75FD7" w:rsidRDefault="00D75FD7" w:rsidP="00D75FD7"/>
    <w:p w14:paraId="756E4EA3" w14:textId="77777777" w:rsidR="00F0448B" w:rsidRDefault="00F0448B" w:rsidP="00F0448B">
      <w:pPr>
        <w:pStyle w:val="Heading4"/>
      </w:pPr>
      <w:bookmarkStart w:id="56" w:name="_Toc509326364"/>
      <w:bookmarkStart w:id="57" w:name="_Toc511380294"/>
      <w:bookmarkStart w:id="58" w:name="_Ref505942217"/>
      <w:r>
        <w:t>Road use – traffic volume and heavy vehicle use</w:t>
      </w:r>
      <w:bookmarkEnd w:id="56"/>
      <w:bookmarkEnd w:id="57"/>
    </w:p>
    <w:p w14:paraId="23CBB9C1" w14:textId="51CFA4BC" w:rsidR="00F0448B" w:rsidRDefault="00F0448B" w:rsidP="00F0448B">
      <w:pPr>
        <w:pStyle w:val="CGCNumberedPara"/>
        <w:numPr>
          <w:ilvl w:val="1"/>
          <w:numId w:val="3"/>
        </w:numPr>
      </w:pPr>
      <w:proofErr w:type="gramStart"/>
      <w:r>
        <w:t>Staff propose</w:t>
      </w:r>
      <w:proofErr w:type="gramEnd"/>
      <w:r>
        <w:t xml:space="preserve"> to retain the current measures of traffic volume and heavy vehicle use</w:t>
      </w:r>
      <w:r w:rsidR="002810AB">
        <w:t xml:space="preserve"> with</w:t>
      </w:r>
      <w:r>
        <w:t xml:space="preserve"> two minor adjustments</w:t>
      </w:r>
      <w:r w:rsidR="00DF4BC4">
        <w:t xml:space="preserve"> as outlined below.</w:t>
      </w:r>
    </w:p>
    <w:p w14:paraId="7BEBEDB1" w14:textId="77777777" w:rsidR="00F0448B" w:rsidRDefault="00F0448B" w:rsidP="00F0448B">
      <w:pPr>
        <w:pStyle w:val="CGCNumberedPara"/>
        <w:numPr>
          <w:ilvl w:val="1"/>
          <w:numId w:val="3"/>
        </w:numPr>
      </w:pPr>
      <w:r>
        <w:fldChar w:fldCharType="begin"/>
      </w:r>
      <w:r>
        <w:instrText xml:space="preserve"> REF _Ref505868131 \h </w:instrText>
      </w:r>
      <w:r>
        <w:fldChar w:fldCharType="separate"/>
      </w:r>
      <w:r w:rsidR="004B3502">
        <w:t xml:space="preserve">Table </w:t>
      </w:r>
      <w:r w:rsidR="004B3502">
        <w:rPr>
          <w:noProof/>
        </w:rPr>
        <w:t>8</w:t>
      </w:r>
      <w:r>
        <w:fldChar w:fldCharType="end"/>
      </w:r>
      <w:r>
        <w:t xml:space="preserve"> shows the trend </w:t>
      </w:r>
      <w:r w:rsidR="002810AB">
        <w:t>average gross mass (</w:t>
      </w:r>
      <w:r>
        <w:t>AGM</w:t>
      </w:r>
      <w:r w:rsidR="002810AB">
        <w:t>)</w:t>
      </w:r>
      <w:r>
        <w:t xml:space="preserve"> by vehicle class used to assess the heavy vehicle use disability. </w:t>
      </w:r>
    </w:p>
    <w:p w14:paraId="250A9EAE" w14:textId="77777777" w:rsidR="00F0448B" w:rsidRDefault="00F0448B" w:rsidP="00F0448B">
      <w:pPr>
        <w:pStyle w:val="Caption"/>
      </w:pPr>
      <w:bookmarkStart w:id="59" w:name="_Ref505868131"/>
      <w:r>
        <w:lastRenderedPageBreak/>
        <w:t xml:space="preserve">Table </w:t>
      </w:r>
      <w:fldSimple w:instr=" SEQ Table \* ARABIC ">
        <w:r w:rsidR="004B3502">
          <w:rPr>
            <w:noProof/>
          </w:rPr>
          <w:t>8</w:t>
        </w:r>
      </w:fldSimple>
      <w:bookmarkEnd w:id="59"/>
      <w:r>
        <w:tab/>
        <w:t xml:space="preserve">Average gross mass by </w:t>
      </w:r>
      <w:proofErr w:type="spellStart"/>
      <w:r>
        <w:t>BITRE</w:t>
      </w:r>
      <w:proofErr w:type="spellEnd"/>
      <w:r>
        <w:t xml:space="preserve"> vehicle class</w:t>
      </w:r>
    </w:p>
    <w:tbl>
      <w:tblPr>
        <w:tblW w:w="8940" w:type="dxa"/>
        <w:tblLayout w:type="fixed"/>
        <w:tblCellMar>
          <w:left w:w="0" w:type="dxa"/>
          <w:right w:w="0" w:type="dxa"/>
        </w:tblCellMar>
        <w:tblLook w:val="04A0" w:firstRow="1" w:lastRow="0" w:firstColumn="1" w:lastColumn="0" w:noHBand="0" w:noVBand="1"/>
      </w:tblPr>
      <w:tblGrid>
        <w:gridCol w:w="2320"/>
        <w:gridCol w:w="2980"/>
        <w:gridCol w:w="2500"/>
        <w:gridCol w:w="1140"/>
      </w:tblGrid>
      <w:tr w:rsidR="00F0448B" w:rsidRPr="00502C68" w14:paraId="039D7B77" w14:textId="77777777" w:rsidTr="00600B03">
        <w:trPr>
          <w:trHeight w:val="315"/>
        </w:trPr>
        <w:tc>
          <w:tcPr>
            <w:tcW w:w="2320" w:type="dxa"/>
            <w:tcBorders>
              <w:top w:val="single" w:sz="4" w:space="0" w:color="auto"/>
              <w:left w:val="nil"/>
              <w:bottom w:val="single" w:sz="4" w:space="0" w:color="auto"/>
              <w:right w:val="nil"/>
            </w:tcBorders>
            <w:shd w:val="clear" w:color="auto" w:fill="auto"/>
            <w:noWrap/>
            <w:vAlign w:val="center"/>
            <w:hideMark/>
          </w:tcPr>
          <w:p w14:paraId="23764AF6" w14:textId="77777777" w:rsidR="00F0448B" w:rsidRPr="00502C68" w:rsidRDefault="00F0448B"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bookmarkStart w:id="60" w:name="RANGE!A2:D8"/>
            <w:r w:rsidRPr="00502C68">
              <w:rPr>
                <w:rFonts w:ascii="Calibri" w:eastAsia="Times New Roman" w:hAnsi="Calibri" w:cs="Times New Roman"/>
                <w:sz w:val="20"/>
                <w:szCs w:val="20"/>
                <w:lang w:eastAsia="en-AU"/>
              </w:rPr>
              <w:t> </w:t>
            </w:r>
            <w:bookmarkEnd w:id="60"/>
          </w:p>
        </w:tc>
        <w:tc>
          <w:tcPr>
            <w:tcW w:w="2980" w:type="dxa"/>
            <w:tcBorders>
              <w:top w:val="single" w:sz="4" w:space="0" w:color="auto"/>
              <w:left w:val="nil"/>
              <w:bottom w:val="single" w:sz="4" w:space="0" w:color="auto"/>
              <w:right w:val="nil"/>
            </w:tcBorders>
            <w:shd w:val="clear" w:color="auto" w:fill="auto"/>
            <w:vAlign w:val="center"/>
            <w:hideMark/>
          </w:tcPr>
          <w:p w14:paraId="0C26795D"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 xml:space="preserve">Gross </w:t>
            </w:r>
            <w:r w:rsidR="002810AB" w:rsidRPr="00502C68">
              <w:rPr>
                <w:rFonts w:ascii="Calibri" w:eastAsia="Times New Roman" w:hAnsi="Calibri" w:cs="Times New Roman"/>
                <w:sz w:val="20"/>
                <w:szCs w:val="20"/>
                <w:lang w:eastAsia="en-AU"/>
              </w:rPr>
              <w:t>tonne kilometres travelled</w:t>
            </w:r>
          </w:p>
        </w:tc>
        <w:tc>
          <w:tcPr>
            <w:tcW w:w="2500" w:type="dxa"/>
            <w:tcBorders>
              <w:top w:val="single" w:sz="4" w:space="0" w:color="auto"/>
              <w:left w:val="nil"/>
              <w:bottom w:val="single" w:sz="4" w:space="0" w:color="auto"/>
              <w:right w:val="nil"/>
            </w:tcBorders>
            <w:shd w:val="clear" w:color="auto" w:fill="auto"/>
            <w:vAlign w:val="center"/>
            <w:hideMark/>
          </w:tcPr>
          <w:p w14:paraId="3B0AAEE4"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 xml:space="preserve">Vehicle </w:t>
            </w:r>
            <w:r w:rsidR="002810AB" w:rsidRPr="00502C68">
              <w:rPr>
                <w:rFonts w:ascii="Calibri" w:eastAsia="Times New Roman" w:hAnsi="Calibri" w:cs="Times New Roman"/>
                <w:sz w:val="20"/>
                <w:szCs w:val="20"/>
                <w:lang w:eastAsia="en-AU"/>
              </w:rPr>
              <w:t>kilometres travelled</w:t>
            </w:r>
          </w:p>
        </w:tc>
        <w:tc>
          <w:tcPr>
            <w:tcW w:w="1140" w:type="dxa"/>
            <w:tcBorders>
              <w:top w:val="single" w:sz="4" w:space="0" w:color="auto"/>
              <w:left w:val="nil"/>
              <w:bottom w:val="single" w:sz="4" w:space="0" w:color="auto"/>
              <w:right w:val="nil"/>
            </w:tcBorders>
            <w:shd w:val="clear" w:color="auto" w:fill="auto"/>
            <w:vAlign w:val="center"/>
            <w:hideMark/>
          </w:tcPr>
          <w:p w14:paraId="23E42CF5"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 xml:space="preserve">Trend </w:t>
            </w:r>
            <w:r w:rsidRPr="00502C68">
              <w:rPr>
                <w:rFonts w:ascii="Calibri" w:eastAsia="Times New Roman" w:hAnsi="Calibri" w:cs="Times New Roman"/>
                <w:sz w:val="20"/>
                <w:szCs w:val="20"/>
                <w:lang w:eastAsia="en-AU"/>
              </w:rPr>
              <w:t>AGM</w:t>
            </w:r>
          </w:p>
        </w:tc>
      </w:tr>
      <w:tr w:rsidR="00F0448B" w:rsidRPr="00502C68" w14:paraId="5FC956AD" w14:textId="77777777" w:rsidTr="00600B03">
        <w:trPr>
          <w:trHeight w:val="259"/>
        </w:trPr>
        <w:tc>
          <w:tcPr>
            <w:tcW w:w="2320" w:type="dxa"/>
            <w:tcBorders>
              <w:top w:val="nil"/>
              <w:left w:val="nil"/>
              <w:bottom w:val="nil"/>
              <w:right w:val="nil"/>
            </w:tcBorders>
            <w:shd w:val="clear" w:color="auto" w:fill="auto"/>
            <w:noWrap/>
            <w:vAlign w:val="bottom"/>
            <w:hideMark/>
          </w:tcPr>
          <w:p w14:paraId="4B962A25" w14:textId="77777777" w:rsidR="00F0448B" w:rsidRPr="00502C68" w:rsidRDefault="00F0448B" w:rsidP="00600B03">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2980" w:type="dxa"/>
            <w:tcBorders>
              <w:top w:val="nil"/>
              <w:left w:val="nil"/>
              <w:bottom w:val="nil"/>
              <w:right w:val="nil"/>
            </w:tcBorders>
            <w:shd w:val="clear" w:color="auto" w:fill="auto"/>
            <w:noWrap/>
            <w:vAlign w:val="bottom"/>
            <w:hideMark/>
          </w:tcPr>
          <w:p w14:paraId="5ADBA3D5"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'000</w:t>
            </w:r>
          </w:p>
        </w:tc>
        <w:tc>
          <w:tcPr>
            <w:tcW w:w="2500" w:type="dxa"/>
            <w:tcBorders>
              <w:top w:val="nil"/>
              <w:left w:val="nil"/>
              <w:bottom w:val="nil"/>
              <w:right w:val="nil"/>
            </w:tcBorders>
            <w:shd w:val="clear" w:color="auto" w:fill="auto"/>
            <w:noWrap/>
            <w:vAlign w:val="bottom"/>
            <w:hideMark/>
          </w:tcPr>
          <w:p w14:paraId="37290CC7"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 xml:space="preserve">'000 </w:t>
            </w:r>
            <w:proofErr w:type="spellStart"/>
            <w:r w:rsidRPr="00502C68">
              <w:rPr>
                <w:rFonts w:ascii="Calibri" w:eastAsia="Times New Roman" w:hAnsi="Calibri" w:cs="Times New Roman"/>
                <w:sz w:val="20"/>
                <w:szCs w:val="20"/>
                <w:lang w:eastAsia="en-AU"/>
              </w:rPr>
              <w:t>kms</w:t>
            </w:r>
            <w:proofErr w:type="spellEnd"/>
          </w:p>
        </w:tc>
        <w:tc>
          <w:tcPr>
            <w:tcW w:w="1140" w:type="dxa"/>
            <w:tcBorders>
              <w:top w:val="nil"/>
              <w:left w:val="nil"/>
              <w:bottom w:val="nil"/>
              <w:right w:val="nil"/>
            </w:tcBorders>
            <w:shd w:val="clear" w:color="auto" w:fill="auto"/>
            <w:noWrap/>
            <w:vAlign w:val="bottom"/>
            <w:hideMark/>
          </w:tcPr>
          <w:p w14:paraId="3CDC056F"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Tonnes</w:t>
            </w:r>
          </w:p>
        </w:tc>
      </w:tr>
      <w:tr w:rsidR="00F0448B" w:rsidRPr="00502C68" w14:paraId="66AA6E01" w14:textId="77777777" w:rsidTr="00600B03">
        <w:trPr>
          <w:trHeight w:val="315"/>
        </w:trPr>
        <w:tc>
          <w:tcPr>
            <w:tcW w:w="2320" w:type="dxa"/>
            <w:tcBorders>
              <w:top w:val="nil"/>
              <w:left w:val="nil"/>
              <w:bottom w:val="nil"/>
              <w:right w:val="nil"/>
            </w:tcBorders>
            <w:shd w:val="clear" w:color="auto" w:fill="auto"/>
            <w:noWrap/>
            <w:vAlign w:val="bottom"/>
            <w:hideMark/>
          </w:tcPr>
          <w:p w14:paraId="4A0F2581" w14:textId="77777777" w:rsidR="00F0448B" w:rsidRPr="00502C68" w:rsidRDefault="00F0448B"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Passenger vehicles</w:t>
            </w:r>
          </w:p>
        </w:tc>
        <w:tc>
          <w:tcPr>
            <w:tcW w:w="2980" w:type="dxa"/>
            <w:tcBorders>
              <w:top w:val="nil"/>
              <w:left w:val="nil"/>
              <w:bottom w:val="nil"/>
              <w:right w:val="nil"/>
            </w:tcBorders>
            <w:shd w:val="clear" w:color="auto" w:fill="auto"/>
            <w:noWrap/>
            <w:vAlign w:val="bottom"/>
            <w:hideMark/>
          </w:tcPr>
          <w:p w14:paraId="421EACF7" w14:textId="5523A2B4" w:rsidR="00F0448B" w:rsidRPr="00502C68" w:rsidRDefault="00396ED9" w:rsidP="00600B03">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p>
        </w:tc>
        <w:tc>
          <w:tcPr>
            <w:tcW w:w="2500" w:type="dxa"/>
            <w:tcBorders>
              <w:top w:val="nil"/>
              <w:left w:val="nil"/>
              <w:bottom w:val="nil"/>
              <w:right w:val="nil"/>
            </w:tcBorders>
            <w:shd w:val="clear" w:color="auto" w:fill="auto"/>
            <w:noWrap/>
            <w:vAlign w:val="bottom"/>
            <w:hideMark/>
          </w:tcPr>
          <w:p w14:paraId="2DDE572C"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173 368 615</w:t>
            </w:r>
          </w:p>
        </w:tc>
        <w:tc>
          <w:tcPr>
            <w:tcW w:w="1140" w:type="dxa"/>
            <w:tcBorders>
              <w:top w:val="nil"/>
              <w:left w:val="nil"/>
              <w:bottom w:val="nil"/>
              <w:right w:val="nil"/>
            </w:tcBorders>
            <w:shd w:val="clear" w:color="auto" w:fill="auto"/>
            <w:noWrap/>
            <w:vAlign w:val="bottom"/>
            <w:hideMark/>
          </w:tcPr>
          <w:p w14:paraId="45C30BD9"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0.0</w:t>
            </w:r>
          </w:p>
        </w:tc>
      </w:tr>
      <w:tr w:rsidR="00F0448B" w:rsidRPr="00502C68" w14:paraId="03DBF6D9" w14:textId="77777777" w:rsidTr="00600B03">
        <w:trPr>
          <w:trHeight w:val="315"/>
        </w:trPr>
        <w:tc>
          <w:tcPr>
            <w:tcW w:w="2320" w:type="dxa"/>
            <w:tcBorders>
              <w:top w:val="nil"/>
              <w:left w:val="nil"/>
              <w:bottom w:val="nil"/>
              <w:right w:val="nil"/>
            </w:tcBorders>
            <w:shd w:val="clear" w:color="auto" w:fill="auto"/>
            <w:noWrap/>
            <w:vAlign w:val="bottom"/>
            <w:hideMark/>
          </w:tcPr>
          <w:p w14:paraId="334B04F7" w14:textId="77777777" w:rsidR="00F0448B" w:rsidRPr="00502C68" w:rsidRDefault="00F0448B"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Light commercial vehicles</w:t>
            </w:r>
          </w:p>
        </w:tc>
        <w:tc>
          <w:tcPr>
            <w:tcW w:w="2980" w:type="dxa"/>
            <w:tcBorders>
              <w:top w:val="nil"/>
              <w:left w:val="nil"/>
              <w:bottom w:val="nil"/>
              <w:right w:val="nil"/>
            </w:tcBorders>
            <w:shd w:val="clear" w:color="auto" w:fill="auto"/>
            <w:noWrap/>
            <w:vAlign w:val="bottom"/>
            <w:hideMark/>
          </w:tcPr>
          <w:p w14:paraId="600A4115"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85 104 540</w:t>
            </w:r>
          </w:p>
        </w:tc>
        <w:tc>
          <w:tcPr>
            <w:tcW w:w="2500" w:type="dxa"/>
            <w:tcBorders>
              <w:top w:val="nil"/>
              <w:left w:val="nil"/>
              <w:bottom w:val="nil"/>
              <w:right w:val="nil"/>
            </w:tcBorders>
            <w:shd w:val="clear" w:color="auto" w:fill="auto"/>
            <w:noWrap/>
            <w:vAlign w:val="bottom"/>
            <w:hideMark/>
          </w:tcPr>
          <w:p w14:paraId="046FBC2B"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45 540 671</w:t>
            </w:r>
          </w:p>
        </w:tc>
        <w:tc>
          <w:tcPr>
            <w:tcW w:w="1140" w:type="dxa"/>
            <w:tcBorders>
              <w:top w:val="nil"/>
              <w:left w:val="nil"/>
              <w:bottom w:val="nil"/>
              <w:right w:val="nil"/>
            </w:tcBorders>
            <w:shd w:val="clear" w:color="auto" w:fill="auto"/>
            <w:noWrap/>
            <w:vAlign w:val="bottom"/>
            <w:hideMark/>
          </w:tcPr>
          <w:p w14:paraId="4D92628F"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1.9</w:t>
            </w:r>
          </w:p>
        </w:tc>
      </w:tr>
      <w:tr w:rsidR="00F0448B" w:rsidRPr="00502C68" w14:paraId="2347C5B9" w14:textId="77777777" w:rsidTr="00600B03">
        <w:trPr>
          <w:trHeight w:val="315"/>
        </w:trPr>
        <w:tc>
          <w:tcPr>
            <w:tcW w:w="2320" w:type="dxa"/>
            <w:tcBorders>
              <w:top w:val="nil"/>
              <w:left w:val="nil"/>
              <w:bottom w:val="nil"/>
              <w:right w:val="nil"/>
            </w:tcBorders>
            <w:shd w:val="clear" w:color="auto" w:fill="auto"/>
            <w:noWrap/>
            <w:vAlign w:val="bottom"/>
            <w:hideMark/>
          </w:tcPr>
          <w:p w14:paraId="28998FB7" w14:textId="77777777" w:rsidR="00F0448B" w:rsidRPr="00502C68" w:rsidRDefault="00F0448B"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Articulated trucks</w:t>
            </w:r>
          </w:p>
        </w:tc>
        <w:tc>
          <w:tcPr>
            <w:tcW w:w="2980" w:type="dxa"/>
            <w:tcBorders>
              <w:top w:val="nil"/>
              <w:left w:val="nil"/>
              <w:bottom w:val="nil"/>
              <w:right w:val="nil"/>
            </w:tcBorders>
            <w:shd w:val="clear" w:color="auto" w:fill="auto"/>
            <w:noWrap/>
            <w:vAlign w:val="bottom"/>
            <w:hideMark/>
          </w:tcPr>
          <w:p w14:paraId="262B31C1"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353 762 855</w:t>
            </w:r>
          </w:p>
        </w:tc>
        <w:tc>
          <w:tcPr>
            <w:tcW w:w="2500" w:type="dxa"/>
            <w:tcBorders>
              <w:top w:val="nil"/>
              <w:left w:val="nil"/>
              <w:bottom w:val="nil"/>
              <w:right w:val="nil"/>
            </w:tcBorders>
            <w:shd w:val="clear" w:color="auto" w:fill="auto"/>
            <w:noWrap/>
            <w:vAlign w:val="bottom"/>
            <w:hideMark/>
          </w:tcPr>
          <w:p w14:paraId="62207D85"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8 288 049</w:t>
            </w:r>
          </w:p>
        </w:tc>
        <w:tc>
          <w:tcPr>
            <w:tcW w:w="1140" w:type="dxa"/>
            <w:tcBorders>
              <w:top w:val="nil"/>
              <w:left w:val="nil"/>
              <w:bottom w:val="nil"/>
              <w:right w:val="nil"/>
            </w:tcBorders>
            <w:shd w:val="clear" w:color="auto" w:fill="auto"/>
            <w:noWrap/>
            <w:vAlign w:val="bottom"/>
            <w:hideMark/>
          </w:tcPr>
          <w:p w14:paraId="137C514D"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42.7</w:t>
            </w:r>
          </w:p>
        </w:tc>
      </w:tr>
      <w:tr w:rsidR="00F0448B" w:rsidRPr="00502C68" w14:paraId="2672576A" w14:textId="77777777" w:rsidTr="00600B03">
        <w:trPr>
          <w:trHeight w:val="315"/>
        </w:trPr>
        <w:tc>
          <w:tcPr>
            <w:tcW w:w="2320" w:type="dxa"/>
            <w:tcBorders>
              <w:top w:val="nil"/>
              <w:left w:val="nil"/>
              <w:bottom w:val="nil"/>
              <w:right w:val="nil"/>
            </w:tcBorders>
            <w:shd w:val="clear" w:color="auto" w:fill="auto"/>
            <w:noWrap/>
            <w:vAlign w:val="bottom"/>
            <w:hideMark/>
          </w:tcPr>
          <w:p w14:paraId="13792061" w14:textId="77777777" w:rsidR="00F0448B" w:rsidRPr="00502C68" w:rsidRDefault="00F0448B"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Rigid and other trucks</w:t>
            </w:r>
          </w:p>
        </w:tc>
        <w:tc>
          <w:tcPr>
            <w:tcW w:w="2980" w:type="dxa"/>
            <w:tcBorders>
              <w:top w:val="nil"/>
              <w:left w:val="nil"/>
              <w:bottom w:val="nil"/>
              <w:right w:val="nil"/>
            </w:tcBorders>
            <w:shd w:val="clear" w:color="auto" w:fill="auto"/>
            <w:noWrap/>
            <w:vAlign w:val="bottom"/>
            <w:hideMark/>
          </w:tcPr>
          <w:p w14:paraId="28DBD85F"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75 859 347</w:t>
            </w:r>
          </w:p>
        </w:tc>
        <w:tc>
          <w:tcPr>
            <w:tcW w:w="2500" w:type="dxa"/>
            <w:tcBorders>
              <w:top w:val="nil"/>
              <w:left w:val="nil"/>
              <w:bottom w:val="nil"/>
              <w:right w:val="nil"/>
            </w:tcBorders>
            <w:shd w:val="clear" w:color="auto" w:fill="auto"/>
            <w:noWrap/>
            <w:vAlign w:val="bottom"/>
            <w:hideMark/>
          </w:tcPr>
          <w:p w14:paraId="150871A8"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8 719 481</w:t>
            </w:r>
          </w:p>
        </w:tc>
        <w:tc>
          <w:tcPr>
            <w:tcW w:w="1140" w:type="dxa"/>
            <w:tcBorders>
              <w:top w:val="nil"/>
              <w:left w:val="nil"/>
              <w:bottom w:val="nil"/>
              <w:right w:val="nil"/>
            </w:tcBorders>
            <w:shd w:val="clear" w:color="auto" w:fill="auto"/>
            <w:noWrap/>
            <w:vAlign w:val="bottom"/>
            <w:hideMark/>
          </w:tcPr>
          <w:p w14:paraId="7FFCF5E5"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8.7</w:t>
            </w:r>
          </w:p>
        </w:tc>
      </w:tr>
      <w:tr w:rsidR="00F0448B" w:rsidRPr="00502C68" w14:paraId="0F5F99FB" w14:textId="77777777" w:rsidTr="00600B03">
        <w:trPr>
          <w:trHeight w:val="315"/>
        </w:trPr>
        <w:tc>
          <w:tcPr>
            <w:tcW w:w="2320" w:type="dxa"/>
            <w:tcBorders>
              <w:top w:val="nil"/>
              <w:left w:val="nil"/>
              <w:bottom w:val="single" w:sz="4" w:space="0" w:color="auto"/>
              <w:right w:val="nil"/>
            </w:tcBorders>
            <w:shd w:val="clear" w:color="auto" w:fill="auto"/>
            <w:noWrap/>
            <w:vAlign w:val="bottom"/>
            <w:hideMark/>
          </w:tcPr>
          <w:p w14:paraId="0B9055DA" w14:textId="77777777" w:rsidR="00F0448B" w:rsidRPr="00502C68" w:rsidRDefault="00F0448B"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Buses</w:t>
            </w:r>
          </w:p>
        </w:tc>
        <w:tc>
          <w:tcPr>
            <w:tcW w:w="2980" w:type="dxa"/>
            <w:tcBorders>
              <w:top w:val="nil"/>
              <w:left w:val="nil"/>
              <w:bottom w:val="single" w:sz="4" w:space="0" w:color="auto"/>
              <w:right w:val="nil"/>
            </w:tcBorders>
            <w:shd w:val="clear" w:color="auto" w:fill="auto"/>
            <w:noWrap/>
            <w:vAlign w:val="bottom"/>
            <w:hideMark/>
          </w:tcPr>
          <w:p w14:paraId="3B3A4597"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15 705 721</w:t>
            </w:r>
          </w:p>
        </w:tc>
        <w:tc>
          <w:tcPr>
            <w:tcW w:w="2500" w:type="dxa"/>
            <w:tcBorders>
              <w:top w:val="nil"/>
              <w:left w:val="nil"/>
              <w:bottom w:val="single" w:sz="4" w:space="0" w:color="auto"/>
              <w:right w:val="nil"/>
            </w:tcBorders>
            <w:shd w:val="clear" w:color="auto" w:fill="auto"/>
            <w:noWrap/>
            <w:vAlign w:val="bottom"/>
            <w:hideMark/>
          </w:tcPr>
          <w:p w14:paraId="458C90F1"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1 594 233</w:t>
            </w:r>
          </w:p>
        </w:tc>
        <w:tc>
          <w:tcPr>
            <w:tcW w:w="1140" w:type="dxa"/>
            <w:tcBorders>
              <w:top w:val="nil"/>
              <w:left w:val="nil"/>
              <w:bottom w:val="single" w:sz="4" w:space="0" w:color="auto"/>
              <w:right w:val="nil"/>
            </w:tcBorders>
            <w:shd w:val="clear" w:color="auto" w:fill="auto"/>
            <w:noWrap/>
            <w:vAlign w:val="bottom"/>
            <w:hideMark/>
          </w:tcPr>
          <w:p w14:paraId="3CA13449" w14:textId="77777777" w:rsidR="00F0448B" w:rsidRPr="00502C68"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502C68">
              <w:rPr>
                <w:rFonts w:ascii="Calibri" w:eastAsia="Times New Roman" w:hAnsi="Calibri" w:cs="Times New Roman"/>
                <w:sz w:val="20"/>
                <w:szCs w:val="20"/>
                <w:lang w:eastAsia="en-AU"/>
              </w:rPr>
              <w:t>9.9</w:t>
            </w:r>
          </w:p>
        </w:tc>
      </w:tr>
    </w:tbl>
    <w:p w14:paraId="5325BA7E" w14:textId="0CDE612E" w:rsidR="00396ED9" w:rsidRDefault="00396ED9" w:rsidP="00F0448B">
      <w:pPr>
        <w:pStyle w:val="CGCTableFootnote"/>
      </w:pPr>
      <w:r>
        <w:t>Note:</w:t>
      </w:r>
      <w:r>
        <w:tab/>
        <w:t>This table includes both rural and urban kilometres travelled.</w:t>
      </w:r>
    </w:p>
    <w:p w14:paraId="61A2F445" w14:textId="77777777" w:rsidR="00F0448B" w:rsidRDefault="00F0448B" w:rsidP="00F0448B">
      <w:pPr>
        <w:pStyle w:val="CGCTableFootnote"/>
      </w:pPr>
      <w:r>
        <w:t>Source:</w:t>
      </w:r>
      <w:r>
        <w:tab/>
      </w:r>
      <w:r w:rsidR="002810AB">
        <w:t xml:space="preserve">Special data request to </w:t>
      </w:r>
      <w:proofErr w:type="spellStart"/>
      <w:r w:rsidR="002810AB">
        <w:t>BITRE</w:t>
      </w:r>
      <w:proofErr w:type="spellEnd"/>
      <w:r w:rsidR="002810AB">
        <w:t xml:space="preserve"> based on </w:t>
      </w:r>
      <w:r>
        <w:t>National Transport Commission data.</w:t>
      </w:r>
    </w:p>
    <w:p w14:paraId="4381DCD9" w14:textId="77777777" w:rsidR="00F0448B" w:rsidRDefault="00F0448B" w:rsidP="00F0448B">
      <w:pPr>
        <w:pStyle w:val="Heading5"/>
      </w:pPr>
      <w:r>
        <w:t>Heavy vehicle definition</w:t>
      </w:r>
    </w:p>
    <w:p w14:paraId="68024C3E" w14:textId="2268EA63" w:rsidR="00F0448B" w:rsidRDefault="00F0448B" w:rsidP="00F0448B">
      <w:pPr>
        <w:pStyle w:val="CGCNumberedPara"/>
        <w:numPr>
          <w:ilvl w:val="1"/>
          <w:numId w:val="3"/>
        </w:numPr>
      </w:pPr>
      <w:proofErr w:type="gramStart"/>
      <w:r>
        <w:t>Staff propose</w:t>
      </w:r>
      <w:proofErr w:type="gramEnd"/>
      <w:r>
        <w:t xml:space="preserve"> to exclude light commercial vehicles from the </w:t>
      </w:r>
      <w:r w:rsidR="000D274E">
        <w:t xml:space="preserve">definition </w:t>
      </w:r>
      <w:r>
        <w:t>of heavy vehicles. This means our definition of heavy vehicles would be consistent with that set out in the Australian Heavy Vehicle National Law (that is, vehicles over 4.5 tonnes of vehicle mass)</w:t>
      </w:r>
      <w:r w:rsidR="00DF4BC4">
        <w:t xml:space="preserve"> and that</w:t>
      </w:r>
      <w:r>
        <w:t xml:space="preserve"> used by the </w:t>
      </w:r>
      <w:proofErr w:type="spellStart"/>
      <w:r>
        <w:t>NTC</w:t>
      </w:r>
      <w:proofErr w:type="spellEnd"/>
      <w:r>
        <w:t xml:space="preserve"> </w:t>
      </w:r>
      <w:r w:rsidR="00DF4BC4">
        <w:t>in</w:t>
      </w:r>
      <w:r>
        <w:t xml:space="preserve"> its heavy vehicle charges determination. </w:t>
      </w:r>
    </w:p>
    <w:p w14:paraId="3B33D771" w14:textId="52CBF82B" w:rsidR="00F0448B" w:rsidRDefault="00F0448B" w:rsidP="00DF2949">
      <w:pPr>
        <w:pStyle w:val="CGCNumberedPara"/>
      </w:pPr>
      <w:r>
        <w:t>The heavy vehicle assessment is based on the evidence that heavy vehicle</w:t>
      </w:r>
      <w:r w:rsidR="000D274E">
        <w:t>s</w:t>
      </w:r>
      <w:r>
        <w:t xml:space="preserve"> cause damage to roads because of their weight. The heavier the vehicle the greater the damage. In contrast, the weight of a car</w:t>
      </w:r>
      <w:r w:rsidR="00DF4BC4">
        <w:t xml:space="preserve"> has </w:t>
      </w:r>
      <w:r w:rsidR="00DF2949">
        <w:t>no</w:t>
      </w:r>
      <w:r w:rsidR="00DF4BC4">
        <w:t xml:space="preserve"> </w:t>
      </w:r>
      <w:r w:rsidR="00DF2949">
        <w:t xml:space="preserve">or little </w:t>
      </w:r>
      <w:r w:rsidR="00DF4BC4">
        <w:t>impact on roads</w:t>
      </w:r>
      <w:r w:rsidR="00DF2949">
        <w:t xml:space="preserve">, other than that caused by </w:t>
      </w:r>
      <w:r w:rsidR="00DF2949" w:rsidRPr="00DF2949">
        <w:t>the passage of tyres</w:t>
      </w:r>
      <w:r w:rsidR="00DF2949">
        <w:t>, which is captured in the traffic volume assessment</w:t>
      </w:r>
      <w:r>
        <w:t xml:space="preserve">. </w:t>
      </w:r>
    </w:p>
    <w:p w14:paraId="339CE346" w14:textId="543F77F5" w:rsidR="00F0448B" w:rsidRDefault="00F0448B" w:rsidP="00F0448B">
      <w:pPr>
        <w:pStyle w:val="CGCNumberedPara"/>
        <w:numPr>
          <w:ilvl w:val="1"/>
          <w:numId w:val="3"/>
        </w:numPr>
      </w:pPr>
      <w:r>
        <w:t xml:space="preserve">The </w:t>
      </w:r>
      <w:proofErr w:type="spellStart"/>
      <w:r>
        <w:t>NTC</w:t>
      </w:r>
      <w:proofErr w:type="spellEnd"/>
      <w:r>
        <w:t xml:space="preserve"> data suggest the average weight of vehicles </w:t>
      </w:r>
      <w:r w:rsidR="009745E9">
        <w:t xml:space="preserve">classified as light commercial vehicles </w:t>
      </w:r>
      <w:r>
        <w:t>is 1.9 tonne</w:t>
      </w:r>
      <w:r w:rsidR="009745E9">
        <w:t>s</w:t>
      </w:r>
      <w:r>
        <w:t xml:space="preserve">, which is </w:t>
      </w:r>
      <w:r w:rsidR="00D573A9">
        <w:t>similar to</w:t>
      </w:r>
      <w:r>
        <w:t xml:space="preserve"> </w:t>
      </w:r>
      <w:r w:rsidR="009745E9">
        <w:t xml:space="preserve">many vehicles classified as passenger vehicles (such as </w:t>
      </w:r>
      <w:r>
        <w:t>large cars, 4WD</w:t>
      </w:r>
      <w:r w:rsidR="009745E9">
        <w:t xml:space="preserve">s and </w:t>
      </w:r>
      <w:r>
        <w:t>passenger vans</w:t>
      </w:r>
      <w:r w:rsidR="009745E9">
        <w:t xml:space="preserve">). </w:t>
      </w:r>
      <w:r>
        <w:t>In addition, these vehicles are below the 4.5 tonne threshold for heavy vehicle</w:t>
      </w:r>
      <w:r w:rsidR="009745E9">
        <w:t>s</w:t>
      </w:r>
      <w:r>
        <w:t>.</w:t>
      </w:r>
    </w:p>
    <w:p w14:paraId="24C7D64A" w14:textId="3386ADB8" w:rsidR="00F0448B" w:rsidRDefault="00F0448B" w:rsidP="00F0448B">
      <w:pPr>
        <w:pStyle w:val="Heading5"/>
      </w:pPr>
      <w:r>
        <w:t xml:space="preserve">Reducing the number of </w:t>
      </w:r>
      <w:r w:rsidR="009745E9">
        <w:t xml:space="preserve">heavy </w:t>
      </w:r>
      <w:r>
        <w:t>vehicle class</w:t>
      </w:r>
      <w:r w:rsidR="009745E9">
        <w:t>es</w:t>
      </w:r>
    </w:p>
    <w:p w14:paraId="217490E7" w14:textId="1C16EFD8" w:rsidR="00F0448B" w:rsidRDefault="006572DD" w:rsidP="00F0448B">
      <w:pPr>
        <w:pStyle w:val="CGCNumberedPara"/>
        <w:numPr>
          <w:ilvl w:val="1"/>
          <w:numId w:val="3"/>
        </w:numPr>
      </w:pPr>
      <w:bookmarkStart w:id="61" w:name="_Ref505869273"/>
      <w:proofErr w:type="gramStart"/>
      <w:r>
        <w:t>Staff</w:t>
      </w:r>
      <w:r w:rsidR="00F0448B">
        <w:t xml:space="preserve"> also propose</w:t>
      </w:r>
      <w:proofErr w:type="gramEnd"/>
      <w:r w:rsidR="00F0448B">
        <w:t xml:space="preserve"> to simplify the assessment by reducing the number of heavy vehicle classes by combining rigid and other trucks, and buses.</w:t>
      </w:r>
    </w:p>
    <w:p w14:paraId="0FE7B45B" w14:textId="77777777" w:rsidR="00F0448B" w:rsidRDefault="00F0448B" w:rsidP="00F0448B">
      <w:pPr>
        <w:pStyle w:val="CGCNumberedPara"/>
        <w:numPr>
          <w:ilvl w:val="1"/>
          <w:numId w:val="3"/>
        </w:numPr>
      </w:pPr>
      <w:r>
        <w:fldChar w:fldCharType="begin"/>
      </w:r>
      <w:r>
        <w:instrText xml:space="preserve"> REF _Ref508713025 \h </w:instrText>
      </w:r>
      <w:r>
        <w:fldChar w:fldCharType="separate"/>
      </w:r>
      <w:r w:rsidR="004B3502">
        <w:t xml:space="preserve">Table </w:t>
      </w:r>
      <w:r w:rsidR="004B3502">
        <w:rPr>
          <w:noProof/>
        </w:rPr>
        <w:t>9</w:t>
      </w:r>
      <w:r>
        <w:fldChar w:fldCharType="end"/>
      </w:r>
      <w:r>
        <w:t xml:space="preserve"> shows the proposed new classes of vehicles and trend AGM.</w:t>
      </w:r>
    </w:p>
    <w:p w14:paraId="46FEB0A5" w14:textId="77777777" w:rsidR="00F0448B" w:rsidRDefault="00F0448B" w:rsidP="00F0448B">
      <w:pPr>
        <w:pStyle w:val="Caption"/>
      </w:pPr>
      <w:bookmarkStart w:id="62" w:name="_Ref508713025"/>
      <w:r>
        <w:t xml:space="preserve">Table </w:t>
      </w:r>
      <w:fldSimple w:instr=" SEQ Table \* ARABIC ">
        <w:r w:rsidR="004B3502">
          <w:rPr>
            <w:noProof/>
          </w:rPr>
          <w:t>9</w:t>
        </w:r>
      </w:fldSimple>
      <w:bookmarkEnd w:id="61"/>
      <w:bookmarkEnd w:id="62"/>
      <w:r>
        <w:tab/>
        <w:t xml:space="preserve">Trend average gross mass by aggregated </w:t>
      </w:r>
      <w:proofErr w:type="spellStart"/>
      <w:r>
        <w:t>BITRE</w:t>
      </w:r>
      <w:proofErr w:type="spellEnd"/>
      <w:r>
        <w:t xml:space="preserve"> vehicle class</w:t>
      </w:r>
    </w:p>
    <w:tbl>
      <w:tblPr>
        <w:tblW w:w="8940" w:type="dxa"/>
        <w:tblLayout w:type="fixed"/>
        <w:tblCellMar>
          <w:left w:w="0" w:type="dxa"/>
          <w:right w:w="0" w:type="dxa"/>
        </w:tblCellMar>
        <w:tblLook w:val="04A0" w:firstRow="1" w:lastRow="0" w:firstColumn="1" w:lastColumn="0" w:noHBand="0" w:noVBand="1"/>
      </w:tblPr>
      <w:tblGrid>
        <w:gridCol w:w="2306"/>
        <w:gridCol w:w="2962"/>
        <w:gridCol w:w="2516"/>
        <w:gridCol w:w="1156"/>
      </w:tblGrid>
      <w:tr w:rsidR="00F0448B" w:rsidRPr="00DB2CD4" w14:paraId="658EC22F" w14:textId="77777777" w:rsidTr="00600B03">
        <w:trPr>
          <w:trHeight w:val="375"/>
        </w:trPr>
        <w:tc>
          <w:tcPr>
            <w:tcW w:w="2306" w:type="dxa"/>
            <w:tcBorders>
              <w:top w:val="single" w:sz="4" w:space="0" w:color="auto"/>
              <w:left w:val="nil"/>
              <w:bottom w:val="single" w:sz="4" w:space="0" w:color="auto"/>
              <w:right w:val="nil"/>
            </w:tcBorders>
            <w:shd w:val="clear" w:color="auto" w:fill="auto"/>
            <w:noWrap/>
            <w:vAlign w:val="center"/>
            <w:hideMark/>
          </w:tcPr>
          <w:p w14:paraId="33CB7C83" w14:textId="77777777" w:rsidR="00F0448B" w:rsidRPr="00DB2CD4" w:rsidRDefault="00F0448B"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 </w:t>
            </w:r>
          </w:p>
        </w:tc>
        <w:tc>
          <w:tcPr>
            <w:tcW w:w="2962" w:type="dxa"/>
            <w:tcBorders>
              <w:top w:val="single" w:sz="4" w:space="0" w:color="auto"/>
              <w:left w:val="nil"/>
              <w:bottom w:val="single" w:sz="4" w:space="0" w:color="auto"/>
              <w:right w:val="nil"/>
            </w:tcBorders>
            <w:shd w:val="clear" w:color="auto" w:fill="auto"/>
            <w:vAlign w:val="center"/>
            <w:hideMark/>
          </w:tcPr>
          <w:p w14:paraId="20748DE0"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Gross tonne kilometres travelled</w:t>
            </w:r>
          </w:p>
        </w:tc>
        <w:tc>
          <w:tcPr>
            <w:tcW w:w="2516" w:type="dxa"/>
            <w:tcBorders>
              <w:top w:val="single" w:sz="4" w:space="0" w:color="auto"/>
              <w:left w:val="nil"/>
              <w:bottom w:val="single" w:sz="4" w:space="0" w:color="auto"/>
              <w:right w:val="nil"/>
            </w:tcBorders>
            <w:shd w:val="clear" w:color="auto" w:fill="auto"/>
            <w:vAlign w:val="center"/>
            <w:hideMark/>
          </w:tcPr>
          <w:p w14:paraId="32738D83"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Vehicle kilometres travelled</w:t>
            </w:r>
          </w:p>
        </w:tc>
        <w:tc>
          <w:tcPr>
            <w:tcW w:w="1156" w:type="dxa"/>
            <w:tcBorders>
              <w:top w:val="single" w:sz="4" w:space="0" w:color="auto"/>
              <w:left w:val="nil"/>
              <w:bottom w:val="single" w:sz="4" w:space="0" w:color="auto"/>
              <w:right w:val="nil"/>
            </w:tcBorders>
            <w:shd w:val="clear" w:color="auto" w:fill="auto"/>
            <w:vAlign w:val="center"/>
            <w:hideMark/>
          </w:tcPr>
          <w:p w14:paraId="1608AAD7"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Trend AGM</w:t>
            </w:r>
          </w:p>
        </w:tc>
      </w:tr>
      <w:tr w:rsidR="00F0448B" w:rsidRPr="00DB2CD4" w14:paraId="400BF338" w14:textId="77777777" w:rsidTr="00600B03">
        <w:trPr>
          <w:trHeight w:val="259"/>
        </w:trPr>
        <w:tc>
          <w:tcPr>
            <w:tcW w:w="2306" w:type="dxa"/>
            <w:tcBorders>
              <w:top w:val="nil"/>
              <w:left w:val="nil"/>
              <w:bottom w:val="nil"/>
              <w:right w:val="nil"/>
            </w:tcBorders>
            <w:shd w:val="clear" w:color="auto" w:fill="auto"/>
            <w:noWrap/>
            <w:vAlign w:val="bottom"/>
            <w:hideMark/>
          </w:tcPr>
          <w:p w14:paraId="30BC7B3D" w14:textId="77777777" w:rsidR="00F0448B" w:rsidRPr="00DB2CD4" w:rsidRDefault="00F0448B" w:rsidP="00600B03">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 </w:t>
            </w:r>
          </w:p>
        </w:tc>
        <w:tc>
          <w:tcPr>
            <w:tcW w:w="2962" w:type="dxa"/>
            <w:tcBorders>
              <w:top w:val="nil"/>
              <w:left w:val="nil"/>
              <w:bottom w:val="nil"/>
              <w:right w:val="nil"/>
            </w:tcBorders>
            <w:shd w:val="clear" w:color="auto" w:fill="auto"/>
            <w:noWrap/>
            <w:vAlign w:val="bottom"/>
            <w:hideMark/>
          </w:tcPr>
          <w:p w14:paraId="49D097CB"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'000</w:t>
            </w:r>
          </w:p>
        </w:tc>
        <w:tc>
          <w:tcPr>
            <w:tcW w:w="2516" w:type="dxa"/>
            <w:tcBorders>
              <w:top w:val="nil"/>
              <w:left w:val="nil"/>
              <w:bottom w:val="nil"/>
              <w:right w:val="nil"/>
            </w:tcBorders>
            <w:shd w:val="clear" w:color="auto" w:fill="auto"/>
            <w:noWrap/>
            <w:vAlign w:val="bottom"/>
            <w:hideMark/>
          </w:tcPr>
          <w:p w14:paraId="625C2F45"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 xml:space="preserve">'000 </w:t>
            </w:r>
            <w:proofErr w:type="spellStart"/>
            <w:r w:rsidRPr="00DB2CD4">
              <w:rPr>
                <w:rFonts w:ascii="Calibri" w:eastAsia="Times New Roman" w:hAnsi="Calibri" w:cs="Times New Roman"/>
                <w:sz w:val="20"/>
                <w:szCs w:val="20"/>
                <w:lang w:eastAsia="en-AU"/>
              </w:rPr>
              <w:t>kms</w:t>
            </w:r>
            <w:proofErr w:type="spellEnd"/>
          </w:p>
        </w:tc>
        <w:tc>
          <w:tcPr>
            <w:tcW w:w="1156" w:type="dxa"/>
            <w:tcBorders>
              <w:top w:val="nil"/>
              <w:left w:val="nil"/>
              <w:bottom w:val="nil"/>
              <w:right w:val="nil"/>
            </w:tcBorders>
            <w:shd w:val="clear" w:color="auto" w:fill="auto"/>
            <w:noWrap/>
            <w:vAlign w:val="bottom"/>
            <w:hideMark/>
          </w:tcPr>
          <w:p w14:paraId="058E52D2"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Tonnes</w:t>
            </w:r>
          </w:p>
        </w:tc>
      </w:tr>
      <w:tr w:rsidR="00F0448B" w:rsidRPr="00DB2CD4" w14:paraId="22934862" w14:textId="77777777" w:rsidTr="00600B03">
        <w:trPr>
          <w:trHeight w:val="315"/>
        </w:trPr>
        <w:tc>
          <w:tcPr>
            <w:tcW w:w="2306" w:type="dxa"/>
            <w:tcBorders>
              <w:top w:val="nil"/>
              <w:left w:val="nil"/>
              <w:bottom w:val="nil"/>
              <w:right w:val="nil"/>
            </w:tcBorders>
            <w:shd w:val="clear" w:color="auto" w:fill="auto"/>
            <w:noWrap/>
            <w:vAlign w:val="bottom"/>
            <w:hideMark/>
          </w:tcPr>
          <w:p w14:paraId="257E7646" w14:textId="77777777" w:rsidR="00F0448B" w:rsidRPr="00DB2CD4" w:rsidRDefault="00F0448B"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Light vehicles</w:t>
            </w:r>
          </w:p>
        </w:tc>
        <w:tc>
          <w:tcPr>
            <w:tcW w:w="2962" w:type="dxa"/>
            <w:tcBorders>
              <w:top w:val="nil"/>
              <w:left w:val="nil"/>
              <w:bottom w:val="nil"/>
              <w:right w:val="nil"/>
            </w:tcBorders>
            <w:shd w:val="clear" w:color="auto" w:fill="auto"/>
            <w:noWrap/>
            <w:vAlign w:val="bottom"/>
            <w:hideMark/>
          </w:tcPr>
          <w:p w14:paraId="7F8C277A"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p>
        </w:tc>
        <w:tc>
          <w:tcPr>
            <w:tcW w:w="2516" w:type="dxa"/>
            <w:tcBorders>
              <w:top w:val="nil"/>
              <w:left w:val="nil"/>
              <w:bottom w:val="nil"/>
              <w:right w:val="nil"/>
            </w:tcBorders>
            <w:shd w:val="clear" w:color="auto" w:fill="auto"/>
            <w:noWrap/>
            <w:vAlign w:val="bottom"/>
            <w:hideMark/>
          </w:tcPr>
          <w:p w14:paraId="3ED38189"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218 909 286</w:t>
            </w:r>
          </w:p>
        </w:tc>
        <w:tc>
          <w:tcPr>
            <w:tcW w:w="1156" w:type="dxa"/>
            <w:tcBorders>
              <w:top w:val="nil"/>
              <w:left w:val="nil"/>
              <w:bottom w:val="nil"/>
              <w:right w:val="nil"/>
            </w:tcBorders>
            <w:shd w:val="clear" w:color="auto" w:fill="auto"/>
            <w:noWrap/>
            <w:vAlign w:val="bottom"/>
            <w:hideMark/>
          </w:tcPr>
          <w:p w14:paraId="531D3551" w14:textId="4A42EB11"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0</w:t>
            </w:r>
            <w:r w:rsidR="00396ED9">
              <w:rPr>
                <w:rFonts w:ascii="Calibri" w:eastAsia="Times New Roman" w:hAnsi="Calibri" w:cs="Times New Roman"/>
                <w:sz w:val="20"/>
                <w:szCs w:val="20"/>
                <w:lang w:eastAsia="en-AU"/>
              </w:rPr>
              <w:t>.0</w:t>
            </w:r>
          </w:p>
        </w:tc>
      </w:tr>
      <w:tr w:rsidR="00F0448B" w:rsidRPr="00DB2CD4" w14:paraId="458BD254" w14:textId="77777777" w:rsidTr="00600B03">
        <w:trPr>
          <w:trHeight w:val="315"/>
        </w:trPr>
        <w:tc>
          <w:tcPr>
            <w:tcW w:w="2306" w:type="dxa"/>
            <w:tcBorders>
              <w:top w:val="nil"/>
              <w:left w:val="nil"/>
              <w:bottom w:val="nil"/>
              <w:right w:val="nil"/>
            </w:tcBorders>
            <w:shd w:val="clear" w:color="auto" w:fill="auto"/>
            <w:noWrap/>
            <w:vAlign w:val="bottom"/>
            <w:hideMark/>
          </w:tcPr>
          <w:p w14:paraId="074C96EB" w14:textId="77777777" w:rsidR="00F0448B" w:rsidRPr="00DB2CD4" w:rsidRDefault="00F0448B"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Articulated trucks</w:t>
            </w:r>
          </w:p>
        </w:tc>
        <w:tc>
          <w:tcPr>
            <w:tcW w:w="2962" w:type="dxa"/>
            <w:tcBorders>
              <w:top w:val="nil"/>
              <w:left w:val="nil"/>
              <w:bottom w:val="nil"/>
              <w:right w:val="nil"/>
            </w:tcBorders>
            <w:shd w:val="clear" w:color="auto" w:fill="auto"/>
            <w:noWrap/>
            <w:vAlign w:val="bottom"/>
            <w:hideMark/>
          </w:tcPr>
          <w:p w14:paraId="20467B82"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353 762 855</w:t>
            </w:r>
          </w:p>
        </w:tc>
        <w:tc>
          <w:tcPr>
            <w:tcW w:w="2516" w:type="dxa"/>
            <w:tcBorders>
              <w:top w:val="nil"/>
              <w:left w:val="nil"/>
              <w:bottom w:val="nil"/>
              <w:right w:val="nil"/>
            </w:tcBorders>
            <w:shd w:val="clear" w:color="auto" w:fill="auto"/>
            <w:noWrap/>
            <w:vAlign w:val="bottom"/>
            <w:hideMark/>
          </w:tcPr>
          <w:p w14:paraId="4AFCDE4D"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8 288 049</w:t>
            </w:r>
          </w:p>
        </w:tc>
        <w:tc>
          <w:tcPr>
            <w:tcW w:w="1156" w:type="dxa"/>
            <w:tcBorders>
              <w:top w:val="nil"/>
              <w:left w:val="nil"/>
              <w:bottom w:val="nil"/>
              <w:right w:val="nil"/>
            </w:tcBorders>
            <w:shd w:val="clear" w:color="auto" w:fill="auto"/>
            <w:noWrap/>
            <w:vAlign w:val="bottom"/>
            <w:hideMark/>
          </w:tcPr>
          <w:p w14:paraId="61E91307"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42.7</w:t>
            </w:r>
          </w:p>
        </w:tc>
      </w:tr>
      <w:tr w:rsidR="00F0448B" w:rsidRPr="00DB2CD4" w14:paraId="0F96508F" w14:textId="77777777" w:rsidTr="00600B03">
        <w:trPr>
          <w:trHeight w:val="315"/>
        </w:trPr>
        <w:tc>
          <w:tcPr>
            <w:tcW w:w="2306" w:type="dxa"/>
            <w:tcBorders>
              <w:top w:val="nil"/>
              <w:left w:val="nil"/>
              <w:bottom w:val="single" w:sz="4" w:space="0" w:color="auto"/>
              <w:right w:val="nil"/>
            </w:tcBorders>
            <w:shd w:val="clear" w:color="auto" w:fill="auto"/>
            <w:noWrap/>
            <w:vAlign w:val="bottom"/>
            <w:hideMark/>
          </w:tcPr>
          <w:p w14:paraId="2010B1BD" w14:textId="77777777" w:rsidR="00F0448B" w:rsidRPr="00DB2CD4" w:rsidRDefault="00F0448B" w:rsidP="00600B03">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Other heavy vehicles</w:t>
            </w:r>
          </w:p>
        </w:tc>
        <w:tc>
          <w:tcPr>
            <w:tcW w:w="2962" w:type="dxa"/>
            <w:tcBorders>
              <w:top w:val="nil"/>
              <w:left w:val="nil"/>
              <w:bottom w:val="single" w:sz="4" w:space="0" w:color="auto"/>
              <w:right w:val="nil"/>
            </w:tcBorders>
            <w:shd w:val="clear" w:color="auto" w:fill="auto"/>
            <w:noWrap/>
            <w:vAlign w:val="bottom"/>
            <w:hideMark/>
          </w:tcPr>
          <w:p w14:paraId="3B7F759A"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91 565 068</w:t>
            </w:r>
          </w:p>
        </w:tc>
        <w:tc>
          <w:tcPr>
            <w:tcW w:w="2516" w:type="dxa"/>
            <w:tcBorders>
              <w:top w:val="nil"/>
              <w:left w:val="nil"/>
              <w:bottom w:val="single" w:sz="4" w:space="0" w:color="auto"/>
              <w:right w:val="nil"/>
            </w:tcBorders>
            <w:shd w:val="clear" w:color="auto" w:fill="auto"/>
            <w:noWrap/>
            <w:vAlign w:val="bottom"/>
            <w:hideMark/>
          </w:tcPr>
          <w:p w14:paraId="23CF7BE6"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10 313 715</w:t>
            </w:r>
          </w:p>
        </w:tc>
        <w:tc>
          <w:tcPr>
            <w:tcW w:w="1156" w:type="dxa"/>
            <w:tcBorders>
              <w:top w:val="nil"/>
              <w:left w:val="nil"/>
              <w:bottom w:val="single" w:sz="4" w:space="0" w:color="auto"/>
              <w:right w:val="nil"/>
            </w:tcBorders>
            <w:shd w:val="clear" w:color="auto" w:fill="auto"/>
            <w:noWrap/>
            <w:vAlign w:val="bottom"/>
            <w:hideMark/>
          </w:tcPr>
          <w:p w14:paraId="69D0F00F" w14:textId="77777777" w:rsidR="00F0448B" w:rsidRPr="00DB2CD4" w:rsidRDefault="00F0448B" w:rsidP="00600B03">
            <w:pPr>
              <w:keepNext/>
              <w:keepLines/>
              <w:tabs>
                <w:tab w:val="clear" w:pos="567"/>
              </w:tabs>
              <w:spacing w:after="0" w:line="240" w:lineRule="auto"/>
              <w:jc w:val="right"/>
              <w:rPr>
                <w:rFonts w:ascii="Calibri" w:eastAsia="Times New Roman" w:hAnsi="Calibri" w:cs="Times New Roman"/>
                <w:sz w:val="20"/>
                <w:szCs w:val="20"/>
                <w:lang w:eastAsia="en-AU"/>
              </w:rPr>
            </w:pPr>
            <w:r w:rsidRPr="00DB2CD4">
              <w:rPr>
                <w:rFonts w:ascii="Calibri" w:eastAsia="Times New Roman" w:hAnsi="Calibri" w:cs="Times New Roman"/>
                <w:sz w:val="20"/>
                <w:szCs w:val="20"/>
                <w:lang w:eastAsia="en-AU"/>
              </w:rPr>
              <w:t>8.9</w:t>
            </w:r>
          </w:p>
        </w:tc>
      </w:tr>
    </w:tbl>
    <w:p w14:paraId="149D4103" w14:textId="77777777" w:rsidR="00F0448B" w:rsidRPr="00253D2D" w:rsidRDefault="00F0448B" w:rsidP="00F0448B">
      <w:pPr>
        <w:pStyle w:val="CGCTableFootnote"/>
      </w:pPr>
      <w:r>
        <w:t>Source:</w:t>
      </w:r>
      <w:r>
        <w:tab/>
        <w:t>National Transport Commission data.</w:t>
      </w:r>
    </w:p>
    <w:p w14:paraId="6FD3D95E" w14:textId="77777777" w:rsidR="00F0448B" w:rsidRDefault="00F0448B" w:rsidP="00F0448B">
      <w:pPr>
        <w:pStyle w:val="NoSpacing"/>
      </w:pPr>
      <w:bookmarkStart w:id="63" w:name="_Ref505868403"/>
    </w:p>
    <w:p w14:paraId="2D46DDB7" w14:textId="77777777" w:rsidR="00F0448B" w:rsidRDefault="00F0448B" w:rsidP="00F0448B">
      <w:pPr>
        <w:pStyle w:val="CGCNumberedPara"/>
        <w:numPr>
          <w:ilvl w:val="1"/>
          <w:numId w:val="3"/>
        </w:numPr>
      </w:pPr>
      <w:r>
        <w:lastRenderedPageBreak/>
        <w:fldChar w:fldCharType="begin"/>
      </w:r>
      <w:r>
        <w:instrText xml:space="preserve"> REF _Ref506898992 \h </w:instrText>
      </w:r>
      <w:r>
        <w:fldChar w:fldCharType="separate"/>
      </w:r>
      <w:r w:rsidR="004B3502">
        <w:t xml:space="preserve">Table </w:t>
      </w:r>
      <w:r w:rsidR="004B3502">
        <w:rPr>
          <w:noProof/>
        </w:rPr>
        <w:t>10</w:t>
      </w:r>
      <w:r>
        <w:fldChar w:fldCharType="end"/>
      </w:r>
      <w:r>
        <w:t xml:space="preserve"> shows that the </w:t>
      </w:r>
      <w:r w:rsidR="00914FAB">
        <w:t xml:space="preserve">combined </w:t>
      </w:r>
      <w:proofErr w:type="gramStart"/>
      <w:r w:rsidR="00914FAB">
        <w:t>effect</w:t>
      </w:r>
      <w:proofErr w:type="gramEnd"/>
      <w:r>
        <w:t xml:space="preserve"> of the proposed adjustments </w:t>
      </w:r>
      <w:r w:rsidR="00914FAB">
        <w:t xml:space="preserve">on the GST distribution </w:t>
      </w:r>
      <w:r>
        <w:t xml:space="preserve">is not material, using the $10 per capita threshold for data adjustments. </w:t>
      </w:r>
    </w:p>
    <w:p w14:paraId="12B484FC" w14:textId="77777777" w:rsidR="00F0448B" w:rsidRDefault="00F0448B" w:rsidP="00F0448B">
      <w:pPr>
        <w:pStyle w:val="Caption"/>
      </w:pPr>
      <w:bookmarkStart w:id="64" w:name="_Ref506898992"/>
      <w:r>
        <w:t xml:space="preserve">Table </w:t>
      </w:r>
      <w:fldSimple w:instr=" SEQ Table \* ARABIC ">
        <w:r w:rsidR="004B3502">
          <w:rPr>
            <w:noProof/>
          </w:rPr>
          <w:t>10</w:t>
        </w:r>
      </w:fldSimple>
      <w:bookmarkEnd w:id="63"/>
      <w:bookmarkEnd w:id="64"/>
      <w:r>
        <w:tab/>
        <w:t xml:space="preserve">Impact </w:t>
      </w:r>
      <w:r w:rsidRPr="00C919BB">
        <w:t>of simplifying trend AGM categories</w:t>
      </w:r>
      <w:r>
        <w:t>, 2018 Update</w:t>
      </w:r>
    </w:p>
    <w:tbl>
      <w:tblPr>
        <w:tblW w:w="8980" w:type="dxa"/>
        <w:tblInd w:w="93" w:type="dxa"/>
        <w:tblLook w:val="04A0" w:firstRow="1" w:lastRow="0" w:firstColumn="1" w:lastColumn="0" w:noHBand="0" w:noVBand="1"/>
      </w:tblPr>
      <w:tblGrid>
        <w:gridCol w:w="1960"/>
        <w:gridCol w:w="840"/>
        <w:gridCol w:w="700"/>
        <w:gridCol w:w="760"/>
        <w:gridCol w:w="740"/>
        <w:gridCol w:w="820"/>
        <w:gridCol w:w="740"/>
        <w:gridCol w:w="760"/>
        <w:gridCol w:w="700"/>
        <w:gridCol w:w="960"/>
      </w:tblGrid>
      <w:tr w:rsidR="00FF7AA0" w:rsidRPr="00FF7AA0" w14:paraId="1DF29EA8" w14:textId="77777777" w:rsidTr="00FF7AA0">
        <w:trPr>
          <w:trHeight w:val="379"/>
        </w:trPr>
        <w:tc>
          <w:tcPr>
            <w:tcW w:w="1960" w:type="dxa"/>
            <w:tcBorders>
              <w:top w:val="single" w:sz="4" w:space="0" w:color="auto"/>
              <w:left w:val="nil"/>
              <w:bottom w:val="single" w:sz="4" w:space="0" w:color="auto"/>
              <w:right w:val="nil"/>
            </w:tcBorders>
            <w:shd w:val="clear" w:color="auto" w:fill="auto"/>
            <w:noWrap/>
            <w:vAlign w:val="center"/>
            <w:hideMark/>
          </w:tcPr>
          <w:p w14:paraId="1DD38418"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bookmarkStart w:id="65" w:name="RANGE!A7:J9"/>
            <w:r w:rsidRPr="00FF7AA0">
              <w:rPr>
                <w:rFonts w:ascii="Calibri" w:eastAsia="Times New Roman" w:hAnsi="Calibri" w:cs="Times New Roman"/>
                <w:sz w:val="20"/>
                <w:szCs w:val="20"/>
                <w:lang w:eastAsia="en-AU"/>
              </w:rPr>
              <w:t> </w:t>
            </w:r>
            <w:bookmarkEnd w:id="65"/>
          </w:p>
        </w:tc>
        <w:tc>
          <w:tcPr>
            <w:tcW w:w="840" w:type="dxa"/>
            <w:tcBorders>
              <w:top w:val="single" w:sz="4" w:space="0" w:color="auto"/>
              <w:left w:val="nil"/>
              <w:bottom w:val="single" w:sz="4" w:space="0" w:color="auto"/>
              <w:right w:val="nil"/>
            </w:tcBorders>
            <w:shd w:val="clear" w:color="auto" w:fill="auto"/>
            <w:noWrap/>
            <w:vAlign w:val="center"/>
            <w:hideMark/>
          </w:tcPr>
          <w:p w14:paraId="567F5D6A"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NSW</w:t>
            </w:r>
          </w:p>
        </w:tc>
        <w:tc>
          <w:tcPr>
            <w:tcW w:w="700" w:type="dxa"/>
            <w:tcBorders>
              <w:top w:val="single" w:sz="4" w:space="0" w:color="auto"/>
              <w:left w:val="nil"/>
              <w:bottom w:val="single" w:sz="4" w:space="0" w:color="auto"/>
              <w:right w:val="nil"/>
            </w:tcBorders>
            <w:shd w:val="clear" w:color="auto" w:fill="auto"/>
            <w:noWrap/>
            <w:vAlign w:val="center"/>
            <w:hideMark/>
          </w:tcPr>
          <w:p w14:paraId="6F2F9D65"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14:paraId="10B62F7E"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Qld</w:t>
            </w:r>
          </w:p>
        </w:tc>
        <w:tc>
          <w:tcPr>
            <w:tcW w:w="740" w:type="dxa"/>
            <w:tcBorders>
              <w:top w:val="single" w:sz="4" w:space="0" w:color="auto"/>
              <w:left w:val="nil"/>
              <w:bottom w:val="single" w:sz="4" w:space="0" w:color="auto"/>
              <w:right w:val="nil"/>
            </w:tcBorders>
            <w:shd w:val="clear" w:color="auto" w:fill="auto"/>
            <w:noWrap/>
            <w:vAlign w:val="center"/>
            <w:hideMark/>
          </w:tcPr>
          <w:p w14:paraId="3848BBBB"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WA</w:t>
            </w:r>
          </w:p>
        </w:tc>
        <w:tc>
          <w:tcPr>
            <w:tcW w:w="820" w:type="dxa"/>
            <w:tcBorders>
              <w:top w:val="single" w:sz="4" w:space="0" w:color="auto"/>
              <w:left w:val="nil"/>
              <w:bottom w:val="single" w:sz="4" w:space="0" w:color="auto"/>
              <w:right w:val="nil"/>
            </w:tcBorders>
            <w:shd w:val="clear" w:color="auto" w:fill="auto"/>
            <w:noWrap/>
            <w:vAlign w:val="center"/>
            <w:hideMark/>
          </w:tcPr>
          <w:p w14:paraId="5956CF4C"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SA</w:t>
            </w:r>
          </w:p>
        </w:tc>
        <w:tc>
          <w:tcPr>
            <w:tcW w:w="740" w:type="dxa"/>
            <w:tcBorders>
              <w:top w:val="single" w:sz="4" w:space="0" w:color="auto"/>
              <w:left w:val="nil"/>
              <w:bottom w:val="single" w:sz="4" w:space="0" w:color="auto"/>
              <w:right w:val="nil"/>
            </w:tcBorders>
            <w:shd w:val="clear" w:color="auto" w:fill="auto"/>
            <w:noWrap/>
            <w:vAlign w:val="center"/>
            <w:hideMark/>
          </w:tcPr>
          <w:p w14:paraId="725B72B2"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proofErr w:type="spellStart"/>
            <w:r w:rsidRPr="00FF7AA0">
              <w:rPr>
                <w:rFonts w:ascii="Calibri" w:eastAsia="Times New Roman" w:hAnsi="Calibri" w:cs="Times New Roman"/>
                <w:sz w:val="20"/>
                <w:szCs w:val="20"/>
                <w:lang w:eastAsia="en-AU"/>
              </w:rPr>
              <w:t>Tas</w:t>
            </w:r>
            <w:proofErr w:type="spellEnd"/>
          </w:p>
        </w:tc>
        <w:tc>
          <w:tcPr>
            <w:tcW w:w="760" w:type="dxa"/>
            <w:tcBorders>
              <w:top w:val="single" w:sz="4" w:space="0" w:color="auto"/>
              <w:left w:val="nil"/>
              <w:bottom w:val="single" w:sz="4" w:space="0" w:color="auto"/>
              <w:right w:val="nil"/>
            </w:tcBorders>
            <w:shd w:val="clear" w:color="auto" w:fill="auto"/>
            <w:noWrap/>
            <w:vAlign w:val="center"/>
            <w:hideMark/>
          </w:tcPr>
          <w:p w14:paraId="394BF992"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ACT</w:t>
            </w:r>
          </w:p>
        </w:tc>
        <w:tc>
          <w:tcPr>
            <w:tcW w:w="700" w:type="dxa"/>
            <w:tcBorders>
              <w:top w:val="single" w:sz="4" w:space="0" w:color="auto"/>
              <w:left w:val="nil"/>
              <w:bottom w:val="single" w:sz="4" w:space="0" w:color="auto"/>
              <w:right w:val="nil"/>
            </w:tcBorders>
            <w:shd w:val="clear" w:color="auto" w:fill="auto"/>
            <w:noWrap/>
            <w:vAlign w:val="center"/>
            <w:hideMark/>
          </w:tcPr>
          <w:p w14:paraId="32B226E3"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NT</w:t>
            </w:r>
          </w:p>
        </w:tc>
        <w:tc>
          <w:tcPr>
            <w:tcW w:w="960" w:type="dxa"/>
            <w:tcBorders>
              <w:top w:val="single" w:sz="4" w:space="0" w:color="auto"/>
              <w:left w:val="nil"/>
              <w:bottom w:val="single" w:sz="4" w:space="0" w:color="auto"/>
              <w:right w:val="nil"/>
            </w:tcBorders>
            <w:shd w:val="clear" w:color="auto" w:fill="auto"/>
            <w:noWrap/>
            <w:vAlign w:val="center"/>
            <w:hideMark/>
          </w:tcPr>
          <w:p w14:paraId="778AABED"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proofErr w:type="spellStart"/>
            <w:r w:rsidRPr="00FF7AA0">
              <w:rPr>
                <w:rFonts w:ascii="Calibri" w:eastAsia="Times New Roman" w:hAnsi="Calibri" w:cs="Times New Roman"/>
                <w:sz w:val="20"/>
                <w:szCs w:val="20"/>
                <w:lang w:eastAsia="en-AU"/>
              </w:rPr>
              <w:t>Redist</w:t>
            </w:r>
            <w:proofErr w:type="spellEnd"/>
          </w:p>
        </w:tc>
      </w:tr>
      <w:tr w:rsidR="00FF7AA0" w:rsidRPr="00FF7AA0" w14:paraId="6B1A2F77" w14:textId="77777777" w:rsidTr="00FF7AA0">
        <w:trPr>
          <w:trHeight w:val="315"/>
        </w:trPr>
        <w:tc>
          <w:tcPr>
            <w:tcW w:w="1960" w:type="dxa"/>
            <w:tcBorders>
              <w:top w:val="nil"/>
              <w:left w:val="nil"/>
              <w:bottom w:val="nil"/>
              <w:right w:val="nil"/>
            </w:tcBorders>
            <w:shd w:val="clear" w:color="auto" w:fill="auto"/>
            <w:noWrap/>
            <w:vAlign w:val="bottom"/>
            <w:hideMark/>
          </w:tcPr>
          <w:p w14:paraId="7FBD5ABC" w14:textId="77777777" w:rsidR="00FF7AA0" w:rsidRPr="00FF7AA0" w:rsidRDefault="00FF7AA0" w:rsidP="00FF7AA0">
            <w:pPr>
              <w:tabs>
                <w:tab w:val="clear" w:pos="567"/>
              </w:tabs>
              <w:spacing w:after="0" w:line="240" w:lineRule="auto"/>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Dollars million</w:t>
            </w:r>
          </w:p>
        </w:tc>
        <w:tc>
          <w:tcPr>
            <w:tcW w:w="840" w:type="dxa"/>
            <w:tcBorders>
              <w:top w:val="nil"/>
              <w:left w:val="nil"/>
              <w:bottom w:val="nil"/>
              <w:right w:val="nil"/>
            </w:tcBorders>
            <w:shd w:val="clear" w:color="auto" w:fill="auto"/>
            <w:noWrap/>
            <w:vAlign w:val="bottom"/>
            <w:hideMark/>
          </w:tcPr>
          <w:p w14:paraId="1E4ED7FC"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18</w:t>
            </w:r>
          </w:p>
        </w:tc>
        <w:tc>
          <w:tcPr>
            <w:tcW w:w="700" w:type="dxa"/>
            <w:tcBorders>
              <w:top w:val="nil"/>
              <w:left w:val="nil"/>
              <w:bottom w:val="nil"/>
              <w:right w:val="nil"/>
            </w:tcBorders>
            <w:shd w:val="clear" w:color="auto" w:fill="auto"/>
            <w:noWrap/>
            <w:vAlign w:val="bottom"/>
            <w:hideMark/>
          </w:tcPr>
          <w:p w14:paraId="51C0916C"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-2</w:t>
            </w:r>
          </w:p>
        </w:tc>
        <w:tc>
          <w:tcPr>
            <w:tcW w:w="760" w:type="dxa"/>
            <w:tcBorders>
              <w:top w:val="nil"/>
              <w:left w:val="nil"/>
              <w:bottom w:val="nil"/>
              <w:right w:val="nil"/>
            </w:tcBorders>
            <w:shd w:val="clear" w:color="auto" w:fill="auto"/>
            <w:noWrap/>
            <w:vAlign w:val="bottom"/>
            <w:hideMark/>
          </w:tcPr>
          <w:p w14:paraId="6397C2E2"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1</w:t>
            </w:r>
          </w:p>
        </w:tc>
        <w:tc>
          <w:tcPr>
            <w:tcW w:w="740" w:type="dxa"/>
            <w:tcBorders>
              <w:top w:val="nil"/>
              <w:left w:val="nil"/>
              <w:bottom w:val="nil"/>
              <w:right w:val="nil"/>
            </w:tcBorders>
            <w:shd w:val="clear" w:color="auto" w:fill="auto"/>
            <w:noWrap/>
            <w:vAlign w:val="bottom"/>
            <w:hideMark/>
          </w:tcPr>
          <w:p w14:paraId="501C5275"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-2</w:t>
            </w:r>
          </w:p>
        </w:tc>
        <w:tc>
          <w:tcPr>
            <w:tcW w:w="820" w:type="dxa"/>
            <w:tcBorders>
              <w:top w:val="nil"/>
              <w:left w:val="nil"/>
              <w:bottom w:val="nil"/>
              <w:right w:val="nil"/>
            </w:tcBorders>
            <w:shd w:val="clear" w:color="auto" w:fill="auto"/>
            <w:noWrap/>
            <w:vAlign w:val="bottom"/>
            <w:hideMark/>
          </w:tcPr>
          <w:p w14:paraId="69944418"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-11</w:t>
            </w:r>
          </w:p>
        </w:tc>
        <w:tc>
          <w:tcPr>
            <w:tcW w:w="740" w:type="dxa"/>
            <w:tcBorders>
              <w:top w:val="nil"/>
              <w:left w:val="nil"/>
              <w:bottom w:val="nil"/>
              <w:right w:val="nil"/>
            </w:tcBorders>
            <w:shd w:val="clear" w:color="auto" w:fill="auto"/>
            <w:noWrap/>
            <w:vAlign w:val="bottom"/>
            <w:hideMark/>
          </w:tcPr>
          <w:p w14:paraId="780534A4"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-2</w:t>
            </w:r>
          </w:p>
        </w:tc>
        <w:tc>
          <w:tcPr>
            <w:tcW w:w="760" w:type="dxa"/>
            <w:tcBorders>
              <w:top w:val="nil"/>
              <w:left w:val="nil"/>
              <w:bottom w:val="nil"/>
              <w:right w:val="nil"/>
            </w:tcBorders>
            <w:shd w:val="clear" w:color="auto" w:fill="auto"/>
            <w:noWrap/>
            <w:vAlign w:val="bottom"/>
            <w:hideMark/>
          </w:tcPr>
          <w:p w14:paraId="7AC1754E"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0</w:t>
            </w:r>
          </w:p>
        </w:tc>
        <w:tc>
          <w:tcPr>
            <w:tcW w:w="700" w:type="dxa"/>
            <w:tcBorders>
              <w:top w:val="nil"/>
              <w:left w:val="nil"/>
              <w:bottom w:val="nil"/>
              <w:right w:val="nil"/>
            </w:tcBorders>
            <w:shd w:val="clear" w:color="auto" w:fill="auto"/>
            <w:noWrap/>
            <w:vAlign w:val="bottom"/>
            <w:hideMark/>
          </w:tcPr>
          <w:p w14:paraId="6ABE29BE"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-1</w:t>
            </w:r>
          </w:p>
        </w:tc>
        <w:tc>
          <w:tcPr>
            <w:tcW w:w="960" w:type="dxa"/>
            <w:tcBorders>
              <w:top w:val="nil"/>
              <w:left w:val="nil"/>
              <w:bottom w:val="nil"/>
              <w:right w:val="nil"/>
            </w:tcBorders>
            <w:shd w:val="clear" w:color="auto" w:fill="auto"/>
            <w:noWrap/>
            <w:vAlign w:val="bottom"/>
            <w:hideMark/>
          </w:tcPr>
          <w:p w14:paraId="1C545A55"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19</w:t>
            </w:r>
          </w:p>
        </w:tc>
      </w:tr>
      <w:tr w:rsidR="00FF7AA0" w:rsidRPr="00FF7AA0" w14:paraId="0D46BE3F" w14:textId="77777777" w:rsidTr="00FF7AA0">
        <w:trPr>
          <w:trHeight w:val="315"/>
        </w:trPr>
        <w:tc>
          <w:tcPr>
            <w:tcW w:w="1960" w:type="dxa"/>
            <w:tcBorders>
              <w:top w:val="nil"/>
              <w:left w:val="nil"/>
              <w:bottom w:val="single" w:sz="4" w:space="0" w:color="auto"/>
              <w:right w:val="nil"/>
            </w:tcBorders>
            <w:shd w:val="clear" w:color="auto" w:fill="auto"/>
            <w:noWrap/>
            <w:vAlign w:val="bottom"/>
            <w:hideMark/>
          </w:tcPr>
          <w:p w14:paraId="669BD819" w14:textId="77777777" w:rsidR="00FF7AA0" w:rsidRPr="00FF7AA0" w:rsidRDefault="00FF7AA0" w:rsidP="00FF7AA0">
            <w:pPr>
              <w:tabs>
                <w:tab w:val="clear" w:pos="567"/>
              </w:tabs>
              <w:spacing w:after="0" w:line="240" w:lineRule="auto"/>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Dollars per capita</w:t>
            </w:r>
          </w:p>
        </w:tc>
        <w:tc>
          <w:tcPr>
            <w:tcW w:w="840" w:type="dxa"/>
            <w:tcBorders>
              <w:top w:val="nil"/>
              <w:left w:val="nil"/>
              <w:bottom w:val="single" w:sz="4" w:space="0" w:color="auto"/>
              <w:right w:val="nil"/>
            </w:tcBorders>
            <w:shd w:val="clear" w:color="auto" w:fill="auto"/>
            <w:noWrap/>
            <w:vAlign w:val="bottom"/>
            <w:hideMark/>
          </w:tcPr>
          <w:p w14:paraId="03BE1845"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2</w:t>
            </w:r>
          </w:p>
        </w:tc>
        <w:tc>
          <w:tcPr>
            <w:tcW w:w="700" w:type="dxa"/>
            <w:tcBorders>
              <w:top w:val="nil"/>
              <w:left w:val="nil"/>
              <w:bottom w:val="single" w:sz="4" w:space="0" w:color="auto"/>
              <w:right w:val="nil"/>
            </w:tcBorders>
            <w:shd w:val="clear" w:color="auto" w:fill="auto"/>
            <w:noWrap/>
            <w:vAlign w:val="bottom"/>
            <w:hideMark/>
          </w:tcPr>
          <w:p w14:paraId="2EB5B2BC"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0</w:t>
            </w:r>
          </w:p>
        </w:tc>
        <w:tc>
          <w:tcPr>
            <w:tcW w:w="760" w:type="dxa"/>
            <w:tcBorders>
              <w:top w:val="nil"/>
              <w:left w:val="nil"/>
              <w:bottom w:val="single" w:sz="4" w:space="0" w:color="auto"/>
              <w:right w:val="nil"/>
            </w:tcBorders>
            <w:shd w:val="clear" w:color="auto" w:fill="auto"/>
            <w:noWrap/>
            <w:vAlign w:val="bottom"/>
            <w:hideMark/>
          </w:tcPr>
          <w:p w14:paraId="0B969B76"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0</w:t>
            </w:r>
          </w:p>
        </w:tc>
        <w:tc>
          <w:tcPr>
            <w:tcW w:w="740" w:type="dxa"/>
            <w:tcBorders>
              <w:top w:val="nil"/>
              <w:left w:val="nil"/>
              <w:bottom w:val="single" w:sz="4" w:space="0" w:color="auto"/>
              <w:right w:val="nil"/>
            </w:tcBorders>
            <w:shd w:val="clear" w:color="auto" w:fill="auto"/>
            <w:noWrap/>
            <w:vAlign w:val="bottom"/>
            <w:hideMark/>
          </w:tcPr>
          <w:p w14:paraId="2BD6A415"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-1</w:t>
            </w:r>
          </w:p>
        </w:tc>
        <w:tc>
          <w:tcPr>
            <w:tcW w:w="820" w:type="dxa"/>
            <w:tcBorders>
              <w:top w:val="nil"/>
              <w:left w:val="nil"/>
              <w:bottom w:val="single" w:sz="4" w:space="0" w:color="auto"/>
              <w:right w:val="nil"/>
            </w:tcBorders>
            <w:shd w:val="clear" w:color="auto" w:fill="auto"/>
            <w:noWrap/>
            <w:vAlign w:val="bottom"/>
            <w:hideMark/>
          </w:tcPr>
          <w:p w14:paraId="64618588"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-7</w:t>
            </w:r>
          </w:p>
        </w:tc>
        <w:tc>
          <w:tcPr>
            <w:tcW w:w="740" w:type="dxa"/>
            <w:tcBorders>
              <w:top w:val="nil"/>
              <w:left w:val="nil"/>
              <w:bottom w:val="single" w:sz="4" w:space="0" w:color="auto"/>
              <w:right w:val="nil"/>
            </w:tcBorders>
            <w:shd w:val="clear" w:color="auto" w:fill="auto"/>
            <w:noWrap/>
            <w:vAlign w:val="bottom"/>
            <w:hideMark/>
          </w:tcPr>
          <w:p w14:paraId="0C4C8C53"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-3</w:t>
            </w:r>
          </w:p>
        </w:tc>
        <w:tc>
          <w:tcPr>
            <w:tcW w:w="760" w:type="dxa"/>
            <w:tcBorders>
              <w:top w:val="nil"/>
              <w:left w:val="nil"/>
              <w:bottom w:val="single" w:sz="4" w:space="0" w:color="auto"/>
              <w:right w:val="nil"/>
            </w:tcBorders>
            <w:shd w:val="clear" w:color="auto" w:fill="auto"/>
            <w:noWrap/>
            <w:vAlign w:val="bottom"/>
            <w:hideMark/>
          </w:tcPr>
          <w:p w14:paraId="6FAFFE6D"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-1</w:t>
            </w:r>
          </w:p>
        </w:tc>
        <w:tc>
          <w:tcPr>
            <w:tcW w:w="700" w:type="dxa"/>
            <w:tcBorders>
              <w:top w:val="nil"/>
              <w:left w:val="nil"/>
              <w:bottom w:val="single" w:sz="4" w:space="0" w:color="auto"/>
              <w:right w:val="nil"/>
            </w:tcBorders>
            <w:shd w:val="clear" w:color="auto" w:fill="auto"/>
            <w:noWrap/>
            <w:vAlign w:val="bottom"/>
            <w:hideMark/>
          </w:tcPr>
          <w:p w14:paraId="4DC0973B"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-5</w:t>
            </w:r>
          </w:p>
        </w:tc>
        <w:tc>
          <w:tcPr>
            <w:tcW w:w="960" w:type="dxa"/>
            <w:tcBorders>
              <w:top w:val="nil"/>
              <w:left w:val="nil"/>
              <w:bottom w:val="single" w:sz="4" w:space="0" w:color="auto"/>
              <w:right w:val="nil"/>
            </w:tcBorders>
            <w:shd w:val="clear" w:color="auto" w:fill="auto"/>
            <w:noWrap/>
            <w:vAlign w:val="bottom"/>
            <w:hideMark/>
          </w:tcPr>
          <w:p w14:paraId="7076812E" w14:textId="77777777" w:rsidR="00FF7AA0" w:rsidRPr="00FF7AA0" w:rsidRDefault="00FF7AA0" w:rsidP="00FF7AA0">
            <w:pPr>
              <w:tabs>
                <w:tab w:val="clear" w:pos="567"/>
              </w:tabs>
              <w:spacing w:after="0" w:line="240" w:lineRule="auto"/>
              <w:jc w:val="right"/>
              <w:rPr>
                <w:rFonts w:ascii="Calibri" w:eastAsia="Times New Roman" w:hAnsi="Calibri" w:cs="Times New Roman"/>
                <w:sz w:val="20"/>
                <w:szCs w:val="20"/>
                <w:lang w:eastAsia="en-AU"/>
              </w:rPr>
            </w:pPr>
            <w:r w:rsidRPr="00FF7AA0">
              <w:rPr>
                <w:rFonts w:ascii="Calibri" w:eastAsia="Times New Roman" w:hAnsi="Calibri" w:cs="Times New Roman"/>
                <w:sz w:val="20"/>
                <w:szCs w:val="20"/>
                <w:lang w:eastAsia="en-AU"/>
              </w:rPr>
              <w:t>1</w:t>
            </w:r>
          </w:p>
        </w:tc>
      </w:tr>
    </w:tbl>
    <w:p w14:paraId="5D362C5D" w14:textId="77777777" w:rsidR="00F0448B" w:rsidRPr="008079B4" w:rsidRDefault="00F0448B" w:rsidP="00F0448B">
      <w:pPr>
        <w:pStyle w:val="CGCTableFootnote"/>
      </w:pPr>
      <w:r>
        <w:t>Source:</w:t>
      </w:r>
      <w:r>
        <w:tab/>
        <w:t>Commission calculation.</w:t>
      </w:r>
    </w:p>
    <w:p w14:paraId="0250C661" w14:textId="77777777" w:rsidR="00894811" w:rsidRDefault="00894811" w:rsidP="00894811">
      <w:pPr>
        <w:pStyle w:val="Heading5"/>
      </w:pPr>
      <w:r>
        <w:t xml:space="preserve">Urban population density </w:t>
      </w:r>
    </w:p>
    <w:bookmarkEnd w:id="58"/>
    <w:p w14:paraId="6FD71B80" w14:textId="578B12E7" w:rsidR="00352112" w:rsidRDefault="00993614" w:rsidP="00352112">
      <w:pPr>
        <w:pStyle w:val="CGCNumberedPara"/>
        <w:numPr>
          <w:ilvl w:val="1"/>
          <w:numId w:val="3"/>
        </w:numPr>
      </w:pPr>
      <w:r>
        <w:t xml:space="preserve">The </w:t>
      </w:r>
      <w:proofErr w:type="spellStart"/>
      <w:r>
        <w:t>ACT’s</w:t>
      </w:r>
      <w:proofErr w:type="spellEnd"/>
      <w:r>
        <w:t xml:space="preserve"> comments on the</w:t>
      </w:r>
      <w:r w:rsidRPr="00993614">
        <w:t xml:space="preserve"> </w:t>
      </w:r>
      <w:r w:rsidRPr="00A0542F">
        <w:rPr>
          <w:i/>
        </w:rPr>
        <w:t xml:space="preserve">Roads </w:t>
      </w:r>
      <w:r w:rsidR="00A0542F" w:rsidRPr="00A0542F">
        <w:rPr>
          <w:i/>
        </w:rPr>
        <w:t xml:space="preserve">– </w:t>
      </w:r>
      <w:r w:rsidRPr="00A0542F">
        <w:rPr>
          <w:i/>
        </w:rPr>
        <w:t>What States Do</w:t>
      </w:r>
      <w:r w:rsidRPr="006F2E8F">
        <w:t xml:space="preserve"> paper</w:t>
      </w:r>
      <w:r>
        <w:t xml:space="preserve"> said the information summari</w:t>
      </w:r>
      <w:r w:rsidR="00352112">
        <w:t xml:space="preserve">sed in </w:t>
      </w:r>
      <w:r w:rsidR="00352112">
        <w:fldChar w:fldCharType="begin"/>
      </w:r>
      <w:r w:rsidR="00352112">
        <w:instrText xml:space="preserve"> REF _Ref506361708 \h </w:instrText>
      </w:r>
      <w:r w:rsidR="00352112">
        <w:fldChar w:fldCharType="separate"/>
      </w:r>
      <w:r w:rsidR="004B3502">
        <w:t xml:space="preserve">Table </w:t>
      </w:r>
      <w:r w:rsidR="004B3502">
        <w:rPr>
          <w:noProof/>
        </w:rPr>
        <w:t>11</w:t>
      </w:r>
      <w:r w:rsidR="00352112">
        <w:fldChar w:fldCharType="end"/>
      </w:r>
      <w:r>
        <w:t xml:space="preserve"> indicated </w:t>
      </w:r>
      <w:r w:rsidR="00352112">
        <w:t xml:space="preserve">States with higher urban area per capita </w:t>
      </w:r>
      <w:r w:rsidR="00352112" w:rsidRPr="006F2E8F">
        <w:t>generally appear to spend more per capita in those areas</w:t>
      </w:r>
      <w:r w:rsidR="00352112">
        <w:t xml:space="preserve"> and </w:t>
      </w:r>
      <w:r w:rsidR="00422680">
        <w:t xml:space="preserve">the reasons </w:t>
      </w:r>
      <w:r w:rsidR="00352112">
        <w:t>should be investigated</w:t>
      </w:r>
      <w:r w:rsidR="00E60AFA">
        <w:t xml:space="preserve"> by the Commission</w:t>
      </w:r>
      <w:r w:rsidR="00352112">
        <w:t xml:space="preserve">. </w:t>
      </w:r>
    </w:p>
    <w:p w14:paraId="2A46FA69" w14:textId="330C7D7C" w:rsidR="00352112" w:rsidRDefault="006572DD" w:rsidP="00352112">
      <w:pPr>
        <w:pStyle w:val="CGCNumberedPara"/>
        <w:numPr>
          <w:ilvl w:val="1"/>
          <w:numId w:val="3"/>
        </w:numPr>
      </w:pPr>
      <w:proofErr w:type="gramStart"/>
      <w:r>
        <w:t>Staff</w:t>
      </w:r>
      <w:r w:rsidR="00352112">
        <w:t xml:space="preserve"> do</w:t>
      </w:r>
      <w:proofErr w:type="gramEnd"/>
      <w:r w:rsidR="00352112">
        <w:t xml:space="preserve"> not think the correlation is strong. Western Australia and Tasmania have above average urban area per capita and below average per capita spending. South Australia has below </w:t>
      </w:r>
      <w:r w:rsidR="00422680">
        <w:t xml:space="preserve">average </w:t>
      </w:r>
      <w:r w:rsidR="00352112">
        <w:t>urban area per capita and above average spending. This means three out of eight States do not follow the pattern</w:t>
      </w:r>
      <w:r w:rsidR="00422680">
        <w:t xml:space="preserve"> the ACT noted</w:t>
      </w:r>
      <w:r w:rsidR="00352112">
        <w:t>.</w:t>
      </w:r>
    </w:p>
    <w:p w14:paraId="000150C3" w14:textId="42EEF8EA" w:rsidR="00352112" w:rsidRDefault="006572DD" w:rsidP="00352112">
      <w:pPr>
        <w:pStyle w:val="CGCNumberedPara"/>
        <w:numPr>
          <w:ilvl w:val="1"/>
          <w:numId w:val="3"/>
        </w:numPr>
      </w:pPr>
      <w:proofErr w:type="gramStart"/>
      <w:r>
        <w:t>Staff</w:t>
      </w:r>
      <w:r w:rsidR="00352112">
        <w:t xml:space="preserve"> do</w:t>
      </w:r>
      <w:proofErr w:type="gramEnd"/>
      <w:r w:rsidR="00352112">
        <w:t xml:space="preserve"> not intend to investigate this issue further. However, the ACT is welcome to make a case that States with </w:t>
      </w:r>
      <w:r w:rsidR="00422680">
        <w:t>above</w:t>
      </w:r>
      <w:r w:rsidR="00352112">
        <w:t xml:space="preserve"> average urban area per capita need to spend more than average.</w:t>
      </w:r>
    </w:p>
    <w:p w14:paraId="4D83E84F" w14:textId="77777777" w:rsidR="00352112" w:rsidRDefault="00352112" w:rsidP="00352112">
      <w:pPr>
        <w:pStyle w:val="Caption"/>
      </w:pPr>
      <w:bookmarkStart w:id="66" w:name="_Ref506361708"/>
      <w:r>
        <w:t xml:space="preserve">Table </w:t>
      </w:r>
      <w:fldSimple w:instr=" SEQ Table \* ARABIC ">
        <w:r w:rsidR="004B3502">
          <w:rPr>
            <w:noProof/>
          </w:rPr>
          <w:t>11</w:t>
        </w:r>
      </w:fldSimple>
      <w:bookmarkEnd w:id="66"/>
      <w:r>
        <w:tab/>
        <w:t xml:space="preserve">Urban population density and urban spending per capita, 2016-17 </w:t>
      </w:r>
    </w:p>
    <w:tbl>
      <w:tblPr>
        <w:tblW w:w="9074" w:type="dxa"/>
        <w:tblLayout w:type="fixed"/>
        <w:tblCellMar>
          <w:left w:w="0" w:type="dxa"/>
          <w:right w:w="0" w:type="dxa"/>
        </w:tblCellMar>
        <w:tblLook w:val="04A0" w:firstRow="1" w:lastRow="0" w:firstColumn="1" w:lastColumn="0" w:noHBand="0" w:noVBand="1"/>
      </w:tblPr>
      <w:tblGrid>
        <w:gridCol w:w="2763"/>
        <w:gridCol w:w="773"/>
        <w:gridCol w:w="665"/>
        <w:gridCol w:w="693"/>
        <w:gridCol w:w="673"/>
        <w:gridCol w:w="665"/>
        <w:gridCol w:w="673"/>
        <w:gridCol w:w="693"/>
        <w:gridCol w:w="665"/>
        <w:gridCol w:w="811"/>
      </w:tblGrid>
      <w:tr w:rsidR="00352112" w:rsidRPr="00041FD4" w14:paraId="2155A384" w14:textId="77777777" w:rsidTr="0053331C">
        <w:trPr>
          <w:trHeight w:val="379"/>
        </w:trPr>
        <w:tc>
          <w:tcPr>
            <w:tcW w:w="2763" w:type="dxa"/>
            <w:tcBorders>
              <w:top w:val="single" w:sz="4" w:space="0" w:color="auto"/>
              <w:left w:val="nil"/>
              <w:bottom w:val="single" w:sz="4" w:space="0" w:color="auto"/>
              <w:right w:val="nil"/>
            </w:tcBorders>
            <w:shd w:val="clear" w:color="auto" w:fill="auto"/>
            <w:noWrap/>
            <w:vAlign w:val="center"/>
            <w:hideMark/>
          </w:tcPr>
          <w:p w14:paraId="587403A1" w14:textId="77777777" w:rsidR="00352112" w:rsidRPr="00041FD4" w:rsidRDefault="00352112" w:rsidP="0053331C">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67" w:name="RANGE!A16:J20"/>
            <w:r w:rsidRPr="00041FD4">
              <w:rPr>
                <w:rFonts w:ascii="Calibri" w:eastAsia="Times New Roman" w:hAnsi="Calibri" w:cs="Times New Roman"/>
                <w:sz w:val="20"/>
                <w:szCs w:val="20"/>
                <w:lang w:eastAsia="en-AU"/>
              </w:rPr>
              <w:t> </w:t>
            </w:r>
            <w:bookmarkEnd w:id="67"/>
          </w:p>
        </w:tc>
        <w:tc>
          <w:tcPr>
            <w:tcW w:w="773" w:type="dxa"/>
            <w:tcBorders>
              <w:top w:val="single" w:sz="4" w:space="0" w:color="auto"/>
              <w:left w:val="nil"/>
              <w:bottom w:val="single" w:sz="4" w:space="0" w:color="auto"/>
              <w:right w:val="nil"/>
            </w:tcBorders>
            <w:shd w:val="clear" w:color="auto" w:fill="auto"/>
            <w:noWrap/>
            <w:vAlign w:val="center"/>
            <w:hideMark/>
          </w:tcPr>
          <w:p w14:paraId="75BC1286"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NSW</w:t>
            </w:r>
          </w:p>
        </w:tc>
        <w:tc>
          <w:tcPr>
            <w:tcW w:w="665" w:type="dxa"/>
            <w:tcBorders>
              <w:top w:val="single" w:sz="4" w:space="0" w:color="auto"/>
              <w:left w:val="nil"/>
              <w:bottom w:val="single" w:sz="4" w:space="0" w:color="auto"/>
              <w:right w:val="nil"/>
            </w:tcBorders>
            <w:shd w:val="clear" w:color="auto" w:fill="auto"/>
            <w:noWrap/>
            <w:vAlign w:val="center"/>
            <w:hideMark/>
          </w:tcPr>
          <w:p w14:paraId="4B1F931E"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Vic</w:t>
            </w:r>
          </w:p>
        </w:tc>
        <w:tc>
          <w:tcPr>
            <w:tcW w:w="693" w:type="dxa"/>
            <w:tcBorders>
              <w:top w:val="single" w:sz="4" w:space="0" w:color="auto"/>
              <w:left w:val="nil"/>
              <w:bottom w:val="single" w:sz="4" w:space="0" w:color="auto"/>
              <w:right w:val="nil"/>
            </w:tcBorders>
            <w:shd w:val="clear" w:color="auto" w:fill="auto"/>
            <w:noWrap/>
            <w:vAlign w:val="center"/>
            <w:hideMark/>
          </w:tcPr>
          <w:p w14:paraId="155BCA3B"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Qld</w:t>
            </w:r>
          </w:p>
        </w:tc>
        <w:tc>
          <w:tcPr>
            <w:tcW w:w="673" w:type="dxa"/>
            <w:tcBorders>
              <w:top w:val="single" w:sz="4" w:space="0" w:color="auto"/>
              <w:left w:val="nil"/>
              <w:bottom w:val="single" w:sz="4" w:space="0" w:color="auto"/>
              <w:right w:val="nil"/>
            </w:tcBorders>
            <w:shd w:val="clear" w:color="auto" w:fill="auto"/>
            <w:noWrap/>
            <w:vAlign w:val="center"/>
            <w:hideMark/>
          </w:tcPr>
          <w:p w14:paraId="7D69F539"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WA</w:t>
            </w:r>
          </w:p>
        </w:tc>
        <w:tc>
          <w:tcPr>
            <w:tcW w:w="665" w:type="dxa"/>
            <w:tcBorders>
              <w:top w:val="single" w:sz="4" w:space="0" w:color="auto"/>
              <w:left w:val="nil"/>
              <w:bottom w:val="single" w:sz="4" w:space="0" w:color="auto"/>
              <w:right w:val="nil"/>
            </w:tcBorders>
            <w:shd w:val="clear" w:color="auto" w:fill="auto"/>
            <w:noWrap/>
            <w:vAlign w:val="center"/>
            <w:hideMark/>
          </w:tcPr>
          <w:p w14:paraId="64F189F6"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SA</w:t>
            </w:r>
          </w:p>
        </w:tc>
        <w:tc>
          <w:tcPr>
            <w:tcW w:w="673" w:type="dxa"/>
            <w:tcBorders>
              <w:top w:val="single" w:sz="4" w:space="0" w:color="auto"/>
              <w:left w:val="nil"/>
              <w:bottom w:val="single" w:sz="4" w:space="0" w:color="auto"/>
              <w:right w:val="nil"/>
            </w:tcBorders>
            <w:shd w:val="clear" w:color="auto" w:fill="auto"/>
            <w:noWrap/>
            <w:vAlign w:val="center"/>
            <w:hideMark/>
          </w:tcPr>
          <w:p w14:paraId="21467EC2"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041FD4">
              <w:rPr>
                <w:rFonts w:ascii="Calibri" w:eastAsia="Times New Roman" w:hAnsi="Calibri" w:cs="Times New Roman"/>
                <w:sz w:val="20"/>
                <w:szCs w:val="20"/>
                <w:lang w:eastAsia="en-AU"/>
              </w:rPr>
              <w:t>Tas</w:t>
            </w:r>
            <w:proofErr w:type="spellEnd"/>
          </w:p>
        </w:tc>
        <w:tc>
          <w:tcPr>
            <w:tcW w:w="693" w:type="dxa"/>
            <w:tcBorders>
              <w:top w:val="single" w:sz="4" w:space="0" w:color="auto"/>
              <w:left w:val="nil"/>
              <w:bottom w:val="single" w:sz="4" w:space="0" w:color="auto"/>
              <w:right w:val="nil"/>
            </w:tcBorders>
            <w:shd w:val="clear" w:color="auto" w:fill="auto"/>
            <w:noWrap/>
            <w:vAlign w:val="center"/>
            <w:hideMark/>
          </w:tcPr>
          <w:p w14:paraId="28798A88"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ACT</w:t>
            </w:r>
          </w:p>
        </w:tc>
        <w:tc>
          <w:tcPr>
            <w:tcW w:w="665" w:type="dxa"/>
            <w:tcBorders>
              <w:top w:val="single" w:sz="4" w:space="0" w:color="auto"/>
              <w:left w:val="nil"/>
              <w:bottom w:val="single" w:sz="4" w:space="0" w:color="auto"/>
              <w:right w:val="nil"/>
            </w:tcBorders>
            <w:shd w:val="clear" w:color="auto" w:fill="auto"/>
            <w:noWrap/>
            <w:vAlign w:val="center"/>
            <w:hideMark/>
          </w:tcPr>
          <w:p w14:paraId="59C443C5"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NT</w:t>
            </w:r>
          </w:p>
        </w:tc>
        <w:tc>
          <w:tcPr>
            <w:tcW w:w="811" w:type="dxa"/>
            <w:tcBorders>
              <w:top w:val="single" w:sz="4" w:space="0" w:color="auto"/>
              <w:left w:val="nil"/>
              <w:bottom w:val="single" w:sz="4" w:space="0" w:color="auto"/>
              <w:right w:val="nil"/>
            </w:tcBorders>
            <w:shd w:val="clear" w:color="auto" w:fill="auto"/>
            <w:noWrap/>
            <w:vAlign w:val="center"/>
            <w:hideMark/>
          </w:tcPr>
          <w:p w14:paraId="5968B787"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Total</w:t>
            </w:r>
          </w:p>
        </w:tc>
      </w:tr>
      <w:tr w:rsidR="00352112" w:rsidRPr="00041FD4" w14:paraId="6858B7B7" w14:textId="77777777" w:rsidTr="0053331C">
        <w:trPr>
          <w:trHeight w:val="259"/>
        </w:trPr>
        <w:tc>
          <w:tcPr>
            <w:tcW w:w="2763" w:type="dxa"/>
            <w:tcBorders>
              <w:top w:val="nil"/>
              <w:left w:val="nil"/>
              <w:bottom w:val="nil"/>
              <w:right w:val="nil"/>
            </w:tcBorders>
            <w:shd w:val="clear" w:color="auto" w:fill="auto"/>
            <w:noWrap/>
            <w:vAlign w:val="bottom"/>
            <w:hideMark/>
          </w:tcPr>
          <w:p w14:paraId="6D6EC0E3" w14:textId="77777777" w:rsidR="00352112" w:rsidRPr="00041FD4" w:rsidRDefault="00352112" w:rsidP="0053331C">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773" w:type="dxa"/>
            <w:tcBorders>
              <w:top w:val="nil"/>
              <w:left w:val="nil"/>
              <w:bottom w:val="nil"/>
              <w:right w:val="nil"/>
            </w:tcBorders>
            <w:shd w:val="clear" w:color="auto" w:fill="auto"/>
            <w:noWrap/>
            <w:vAlign w:val="bottom"/>
            <w:hideMark/>
          </w:tcPr>
          <w:p w14:paraId="4CEABEAC"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km</w:t>
            </w:r>
            <w:r w:rsidRPr="00041FD4">
              <w:rPr>
                <w:rFonts w:ascii="Calibri" w:eastAsia="Times New Roman" w:hAnsi="Calibri" w:cs="Times New Roman"/>
                <w:sz w:val="20"/>
                <w:szCs w:val="20"/>
                <w:vertAlign w:val="superscript"/>
                <w:lang w:eastAsia="en-AU"/>
              </w:rPr>
              <w:t>2</w:t>
            </w:r>
          </w:p>
        </w:tc>
        <w:tc>
          <w:tcPr>
            <w:tcW w:w="665" w:type="dxa"/>
            <w:tcBorders>
              <w:top w:val="nil"/>
              <w:left w:val="nil"/>
              <w:bottom w:val="nil"/>
              <w:right w:val="nil"/>
            </w:tcBorders>
            <w:shd w:val="clear" w:color="auto" w:fill="auto"/>
            <w:noWrap/>
            <w:vAlign w:val="bottom"/>
            <w:hideMark/>
          </w:tcPr>
          <w:p w14:paraId="64A1B036"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km</w:t>
            </w:r>
            <w:r w:rsidRPr="00041FD4">
              <w:rPr>
                <w:rFonts w:ascii="Calibri" w:eastAsia="Times New Roman" w:hAnsi="Calibri" w:cs="Times New Roman"/>
                <w:sz w:val="20"/>
                <w:szCs w:val="20"/>
                <w:vertAlign w:val="superscript"/>
                <w:lang w:eastAsia="en-AU"/>
              </w:rPr>
              <w:t>2</w:t>
            </w:r>
          </w:p>
        </w:tc>
        <w:tc>
          <w:tcPr>
            <w:tcW w:w="693" w:type="dxa"/>
            <w:tcBorders>
              <w:top w:val="nil"/>
              <w:left w:val="nil"/>
              <w:bottom w:val="nil"/>
              <w:right w:val="nil"/>
            </w:tcBorders>
            <w:shd w:val="clear" w:color="auto" w:fill="auto"/>
            <w:noWrap/>
            <w:vAlign w:val="bottom"/>
            <w:hideMark/>
          </w:tcPr>
          <w:p w14:paraId="29F1FEC1"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km</w:t>
            </w:r>
            <w:r w:rsidRPr="00041FD4">
              <w:rPr>
                <w:rFonts w:ascii="Calibri" w:eastAsia="Times New Roman" w:hAnsi="Calibri" w:cs="Times New Roman"/>
                <w:sz w:val="20"/>
                <w:szCs w:val="20"/>
                <w:vertAlign w:val="superscript"/>
                <w:lang w:eastAsia="en-AU"/>
              </w:rPr>
              <w:t>2</w:t>
            </w:r>
          </w:p>
        </w:tc>
        <w:tc>
          <w:tcPr>
            <w:tcW w:w="673" w:type="dxa"/>
            <w:tcBorders>
              <w:top w:val="nil"/>
              <w:left w:val="nil"/>
              <w:bottom w:val="nil"/>
              <w:right w:val="nil"/>
            </w:tcBorders>
            <w:shd w:val="clear" w:color="auto" w:fill="auto"/>
            <w:noWrap/>
            <w:vAlign w:val="bottom"/>
            <w:hideMark/>
          </w:tcPr>
          <w:p w14:paraId="43C7049C"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km</w:t>
            </w:r>
            <w:r w:rsidRPr="00041FD4">
              <w:rPr>
                <w:rFonts w:ascii="Calibri" w:eastAsia="Times New Roman" w:hAnsi="Calibri" w:cs="Times New Roman"/>
                <w:sz w:val="20"/>
                <w:szCs w:val="20"/>
                <w:vertAlign w:val="superscript"/>
                <w:lang w:eastAsia="en-AU"/>
              </w:rPr>
              <w:t>2</w:t>
            </w:r>
          </w:p>
        </w:tc>
        <w:tc>
          <w:tcPr>
            <w:tcW w:w="665" w:type="dxa"/>
            <w:tcBorders>
              <w:top w:val="nil"/>
              <w:left w:val="nil"/>
              <w:bottom w:val="nil"/>
              <w:right w:val="nil"/>
            </w:tcBorders>
            <w:shd w:val="clear" w:color="auto" w:fill="auto"/>
            <w:noWrap/>
            <w:vAlign w:val="bottom"/>
            <w:hideMark/>
          </w:tcPr>
          <w:p w14:paraId="4508ADFD"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km</w:t>
            </w:r>
            <w:r w:rsidRPr="00041FD4">
              <w:rPr>
                <w:rFonts w:ascii="Calibri" w:eastAsia="Times New Roman" w:hAnsi="Calibri" w:cs="Times New Roman"/>
                <w:sz w:val="20"/>
                <w:szCs w:val="20"/>
                <w:vertAlign w:val="superscript"/>
                <w:lang w:eastAsia="en-AU"/>
              </w:rPr>
              <w:t>2</w:t>
            </w:r>
          </w:p>
        </w:tc>
        <w:tc>
          <w:tcPr>
            <w:tcW w:w="673" w:type="dxa"/>
            <w:tcBorders>
              <w:top w:val="nil"/>
              <w:left w:val="nil"/>
              <w:bottom w:val="nil"/>
              <w:right w:val="nil"/>
            </w:tcBorders>
            <w:shd w:val="clear" w:color="auto" w:fill="auto"/>
            <w:noWrap/>
            <w:vAlign w:val="bottom"/>
            <w:hideMark/>
          </w:tcPr>
          <w:p w14:paraId="79078A2A"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km</w:t>
            </w:r>
            <w:r w:rsidRPr="00041FD4">
              <w:rPr>
                <w:rFonts w:ascii="Calibri" w:eastAsia="Times New Roman" w:hAnsi="Calibri" w:cs="Times New Roman"/>
                <w:sz w:val="20"/>
                <w:szCs w:val="20"/>
                <w:vertAlign w:val="superscript"/>
                <w:lang w:eastAsia="en-AU"/>
              </w:rPr>
              <w:t>2</w:t>
            </w:r>
          </w:p>
        </w:tc>
        <w:tc>
          <w:tcPr>
            <w:tcW w:w="693" w:type="dxa"/>
            <w:tcBorders>
              <w:top w:val="nil"/>
              <w:left w:val="nil"/>
              <w:bottom w:val="nil"/>
              <w:right w:val="nil"/>
            </w:tcBorders>
            <w:shd w:val="clear" w:color="auto" w:fill="auto"/>
            <w:noWrap/>
            <w:vAlign w:val="bottom"/>
            <w:hideMark/>
          </w:tcPr>
          <w:p w14:paraId="314C637F"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km</w:t>
            </w:r>
            <w:r w:rsidRPr="00041FD4">
              <w:rPr>
                <w:rFonts w:ascii="Calibri" w:eastAsia="Times New Roman" w:hAnsi="Calibri" w:cs="Times New Roman"/>
                <w:sz w:val="20"/>
                <w:szCs w:val="20"/>
                <w:vertAlign w:val="superscript"/>
                <w:lang w:eastAsia="en-AU"/>
              </w:rPr>
              <w:t>2</w:t>
            </w:r>
          </w:p>
        </w:tc>
        <w:tc>
          <w:tcPr>
            <w:tcW w:w="665" w:type="dxa"/>
            <w:tcBorders>
              <w:top w:val="nil"/>
              <w:left w:val="nil"/>
              <w:bottom w:val="nil"/>
              <w:right w:val="nil"/>
            </w:tcBorders>
            <w:shd w:val="clear" w:color="auto" w:fill="auto"/>
            <w:noWrap/>
            <w:vAlign w:val="bottom"/>
            <w:hideMark/>
          </w:tcPr>
          <w:p w14:paraId="5A91CAE3"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km</w:t>
            </w:r>
            <w:r w:rsidRPr="00041FD4">
              <w:rPr>
                <w:rFonts w:ascii="Calibri" w:eastAsia="Times New Roman" w:hAnsi="Calibri" w:cs="Times New Roman"/>
                <w:sz w:val="20"/>
                <w:szCs w:val="20"/>
                <w:vertAlign w:val="superscript"/>
                <w:lang w:eastAsia="en-AU"/>
              </w:rPr>
              <w:t>2</w:t>
            </w:r>
          </w:p>
        </w:tc>
        <w:tc>
          <w:tcPr>
            <w:tcW w:w="811" w:type="dxa"/>
            <w:tcBorders>
              <w:top w:val="nil"/>
              <w:left w:val="nil"/>
              <w:bottom w:val="nil"/>
              <w:right w:val="nil"/>
            </w:tcBorders>
            <w:shd w:val="clear" w:color="auto" w:fill="auto"/>
            <w:noWrap/>
            <w:vAlign w:val="bottom"/>
            <w:hideMark/>
          </w:tcPr>
          <w:p w14:paraId="262158CF"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km</w:t>
            </w:r>
            <w:r w:rsidRPr="00041FD4">
              <w:rPr>
                <w:rFonts w:ascii="Calibri" w:eastAsia="Times New Roman" w:hAnsi="Calibri" w:cs="Times New Roman"/>
                <w:sz w:val="20"/>
                <w:szCs w:val="20"/>
                <w:vertAlign w:val="superscript"/>
                <w:lang w:eastAsia="en-AU"/>
              </w:rPr>
              <w:t>2</w:t>
            </w:r>
          </w:p>
        </w:tc>
      </w:tr>
      <w:tr w:rsidR="00352112" w:rsidRPr="00041FD4" w14:paraId="14231907" w14:textId="77777777" w:rsidTr="0053331C">
        <w:trPr>
          <w:trHeight w:val="315"/>
        </w:trPr>
        <w:tc>
          <w:tcPr>
            <w:tcW w:w="2763" w:type="dxa"/>
            <w:tcBorders>
              <w:top w:val="nil"/>
              <w:left w:val="nil"/>
              <w:bottom w:val="nil"/>
              <w:right w:val="nil"/>
            </w:tcBorders>
            <w:shd w:val="clear" w:color="auto" w:fill="auto"/>
            <w:vAlign w:val="bottom"/>
            <w:hideMark/>
          </w:tcPr>
          <w:p w14:paraId="2E8CE25D" w14:textId="106EE95A" w:rsidR="00352112" w:rsidRPr="00041FD4" w:rsidRDefault="00352112" w:rsidP="0053331C">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Urban area per '000 urban pop</w:t>
            </w:r>
            <w:r w:rsidR="00F7100F">
              <w:rPr>
                <w:rFonts w:ascii="Calibri" w:eastAsia="Times New Roman" w:hAnsi="Calibri" w:cs="Times New Roman"/>
                <w:sz w:val="20"/>
                <w:szCs w:val="20"/>
                <w:lang w:eastAsia="en-AU"/>
              </w:rPr>
              <w:t>.</w:t>
            </w:r>
          </w:p>
        </w:tc>
        <w:tc>
          <w:tcPr>
            <w:tcW w:w="773" w:type="dxa"/>
            <w:tcBorders>
              <w:top w:val="nil"/>
              <w:left w:val="nil"/>
              <w:bottom w:val="nil"/>
              <w:right w:val="nil"/>
            </w:tcBorders>
            <w:shd w:val="clear" w:color="auto" w:fill="auto"/>
            <w:vAlign w:val="bottom"/>
            <w:hideMark/>
          </w:tcPr>
          <w:p w14:paraId="6DD4DF6D"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0.58</w:t>
            </w:r>
          </w:p>
        </w:tc>
        <w:tc>
          <w:tcPr>
            <w:tcW w:w="665" w:type="dxa"/>
            <w:tcBorders>
              <w:top w:val="nil"/>
              <w:left w:val="nil"/>
              <w:bottom w:val="nil"/>
              <w:right w:val="nil"/>
            </w:tcBorders>
            <w:shd w:val="clear" w:color="auto" w:fill="auto"/>
            <w:vAlign w:val="bottom"/>
            <w:hideMark/>
          </w:tcPr>
          <w:p w14:paraId="1A8C4A0B"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0.62</w:t>
            </w:r>
          </w:p>
        </w:tc>
        <w:tc>
          <w:tcPr>
            <w:tcW w:w="693" w:type="dxa"/>
            <w:tcBorders>
              <w:top w:val="nil"/>
              <w:left w:val="nil"/>
              <w:bottom w:val="nil"/>
              <w:right w:val="nil"/>
            </w:tcBorders>
            <w:shd w:val="clear" w:color="000000" w:fill="D9D9D9"/>
            <w:vAlign w:val="bottom"/>
            <w:hideMark/>
          </w:tcPr>
          <w:p w14:paraId="13013BC6"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1.04</w:t>
            </w:r>
          </w:p>
        </w:tc>
        <w:tc>
          <w:tcPr>
            <w:tcW w:w="673" w:type="dxa"/>
            <w:tcBorders>
              <w:top w:val="nil"/>
              <w:left w:val="nil"/>
              <w:bottom w:val="nil"/>
              <w:right w:val="nil"/>
            </w:tcBorders>
            <w:shd w:val="clear" w:color="000000" w:fill="D9D9D9"/>
            <w:vAlign w:val="bottom"/>
            <w:hideMark/>
          </w:tcPr>
          <w:p w14:paraId="315EE21D"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0.83</w:t>
            </w:r>
          </w:p>
        </w:tc>
        <w:tc>
          <w:tcPr>
            <w:tcW w:w="665" w:type="dxa"/>
            <w:tcBorders>
              <w:top w:val="nil"/>
              <w:left w:val="nil"/>
              <w:bottom w:val="nil"/>
              <w:right w:val="nil"/>
            </w:tcBorders>
            <w:shd w:val="clear" w:color="auto" w:fill="auto"/>
            <w:vAlign w:val="bottom"/>
            <w:hideMark/>
          </w:tcPr>
          <w:p w14:paraId="20153B71"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0.71</w:t>
            </w:r>
          </w:p>
        </w:tc>
        <w:tc>
          <w:tcPr>
            <w:tcW w:w="673" w:type="dxa"/>
            <w:tcBorders>
              <w:top w:val="nil"/>
              <w:left w:val="nil"/>
              <w:bottom w:val="nil"/>
              <w:right w:val="nil"/>
            </w:tcBorders>
            <w:shd w:val="clear" w:color="000000" w:fill="D9D9D9"/>
            <w:vAlign w:val="bottom"/>
            <w:hideMark/>
          </w:tcPr>
          <w:p w14:paraId="69962DC6"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1.41</w:t>
            </w:r>
          </w:p>
        </w:tc>
        <w:tc>
          <w:tcPr>
            <w:tcW w:w="693" w:type="dxa"/>
            <w:tcBorders>
              <w:top w:val="nil"/>
              <w:left w:val="nil"/>
              <w:bottom w:val="nil"/>
              <w:right w:val="nil"/>
            </w:tcBorders>
            <w:shd w:val="clear" w:color="000000" w:fill="D9D9D9"/>
            <w:vAlign w:val="bottom"/>
            <w:hideMark/>
          </w:tcPr>
          <w:p w14:paraId="4166E8F6"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1.09</w:t>
            </w:r>
          </w:p>
        </w:tc>
        <w:tc>
          <w:tcPr>
            <w:tcW w:w="665" w:type="dxa"/>
            <w:tcBorders>
              <w:top w:val="nil"/>
              <w:left w:val="nil"/>
              <w:bottom w:val="nil"/>
              <w:right w:val="nil"/>
            </w:tcBorders>
            <w:shd w:val="clear" w:color="000000" w:fill="D9D9D9"/>
            <w:vAlign w:val="bottom"/>
            <w:hideMark/>
          </w:tcPr>
          <w:p w14:paraId="2403EBA7"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1.71</w:t>
            </w:r>
          </w:p>
        </w:tc>
        <w:tc>
          <w:tcPr>
            <w:tcW w:w="811" w:type="dxa"/>
            <w:tcBorders>
              <w:top w:val="nil"/>
              <w:left w:val="nil"/>
              <w:bottom w:val="nil"/>
              <w:right w:val="nil"/>
            </w:tcBorders>
            <w:shd w:val="clear" w:color="auto" w:fill="auto"/>
            <w:vAlign w:val="bottom"/>
            <w:hideMark/>
          </w:tcPr>
          <w:p w14:paraId="457427AE"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0.75</w:t>
            </w:r>
          </w:p>
        </w:tc>
      </w:tr>
      <w:tr w:rsidR="00352112" w:rsidRPr="00041FD4" w14:paraId="701FD55A" w14:textId="77777777" w:rsidTr="0053331C">
        <w:trPr>
          <w:trHeight w:val="315"/>
        </w:trPr>
        <w:tc>
          <w:tcPr>
            <w:tcW w:w="2763" w:type="dxa"/>
            <w:tcBorders>
              <w:top w:val="nil"/>
              <w:left w:val="nil"/>
              <w:bottom w:val="nil"/>
              <w:right w:val="nil"/>
            </w:tcBorders>
            <w:shd w:val="clear" w:color="auto" w:fill="auto"/>
            <w:vAlign w:val="bottom"/>
            <w:hideMark/>
          </w:tcPr>
          <w:p w14:paraId="2183DAB7" w14:textId="09FADDB7" w:rsidR="00352112" w:rsidRPr="00041FD4" w:rsidRDefault="00352112" w:rsidP="00294A80">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 xml:space="preserve">Urban area per '000 </w:t>
            </w:r>
            <w:r w:rsidR="00294A80">
              <w:rPr>
                <w:rFonts w:ascii="Calibri" w:eastAsia="Times New Roman" w:hAnsi="Calibri" w:cs="Times New Roman"/>
                <w:sz w:val="20"/>
                <w:szCs w:val="20"/>
                <w:lang w:eastAsia="en-AU"/>
              </w:rPr>
              <w:t>total pop</w:t>
            </w:r>
            <w:r w:rsidR="00F7100F">
              <w:rPr>
                <w:rFonts w:ascii="Calibri" w:eastAsia="Times New Roman" w:hAnsi="Calibri" w:cs="Times New Roman"/>
                <w:sz w:val="20"/>
                <w:szCs w:val="20"/>
                <w:lang w:eastAsia="en-AU"/>
              </w:rPr>
              <w:t>.</w:t>
            </w:r>
          </w:p>
        </w:tc>
        <w:tc>
          <w:tcPr>
            <w:tcW w:w="773" w:type="dxa"/>
            <w:tcBorders>
              <w:top w:val="nil"/>
              <w:left w:val="nil"/>
              <w:bottom w:val="nil"/>
              <w:right w:val="nil"/>
            </w:tcBorders>
            <w:shd w:val="clear" w:color="auto" w:fill="auto"/>
            <w:vAlign w:val="bottom"/>
            <w:hideMark/>
          </w:tcPr>
          <w:p w14:paraId="5A6A68A8"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0.44</w:t>
            </w:r>
          </w:p>
        </w:tc>
        <w:tc>
          <w:tcPr>
            <w:tcW w:w="665" w:type="dxa"/>
            <w:tcBorders>
              <w:top w:val="nil"/>
              <w:left w:val="nil"/>
              <w:bottom w:val="nil"/>
              <w:right w:val="nil"/>
            </w:tcBorders>
            <w:shd w:val="clear" w:color="auto" w:fill="auto"/>
            <w:vAlign w:val="bottom"/>
            <w:hideMark/>
          </w:tcPr>
          <w:p w14:paraId="3F3DEE7E"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0.49</w:t>
            </w:r>
          </w:p>
        </w:tc>
        <w:tc>
          <w:tcPr>
            <w:tcW w:w="693" w:type="dxa"/>
            <w:tcBorders>
              <w:top w:val="nil"/>
              <w:left w:val="nil"/>
              <w:bottom w:val="nil"/>
              <w:right w:val="nil"/>
            </w:tcBorders>
            <w:shd w:val="clear" w:color="000000" w:fill="D9D9D9"/>
            <w:vAlign w:val="bottom"/>
            <w:hideMark/>
          </w:tcPr>
          <w:p w14:paraId="45F31C1C"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0.77</w:t>
            </w:r>
          </w:p>
        </w:tc>
        <w:tc>
          <w:tcPr>
            <w:tcW w:w="673" w:type="dxa"/>
            <w:tcBorders>
              <w:top w:val="nil"/>
              <w:left w:val="nil"/>
              <w:bottom w:val="nil"/>
              <w:right w:val="nil"/>
            </w:tcBorders>
            <w:shd w:val="clear" w:color="000000" w:fill="D9D9D9"/>
            <w:vAlign w:val="bottom"/>
            <w:hideMark/>
          </w:tcPr>
          <w:p w14:paraId="1A8A2AD3"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0.65</w:t>
            </w:r>
          </w:p>
        </w:tc>
        <w:tc>
          <w:tcPr>
            <w:tcW w:w="665" w:type="dxa"/>
            <w:tcBorders>
              <w:top w:val="nil"/>
              <w:left w:val="nil"/>
              <w:bottom w:val="nil"/>
              <w:right w:val="nil"/>
            </w:tcBorders>
            <w:shd w:val="clear" w:color="auto" w:fill="auto"/>
            <w:vAlign w:val="bottom"/>
            <w:hideMark/>
          </w:tcPr>
          <w:p w14:paraId="4199B386"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0.50</w:t>
            </w:r>
          </w:p>
        </w:tc>
        <w:tc>
          <w:tcPr>
            <w:tcW w:w="673" w:type="dxa"/>
            <w:tcBorders>
              <w:top w:val="nil"/>
              <w:left w:val="nil"/>
              <w:bottom w:val="nil"/>
              <w:right w:val="nil"/>
            </w:tcBorders>
            <w:shd w:val="clear" w:color="000000" w:fill="D9D9D9"/>
            <w:vAlign w:val="bottom"/>
            <w:hideMark/>
          </w:tcPr>
          <w:p w14:paraId="4088F179"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0.70</w:t>
            </w:r>
          </w:p>
        </w:tc>
        <w:tc>
          <w:tcPr>
            <w:tcW w:w="693" w:type="dxa"/>
            <w:tcBorders>
              <w:top w:val="nil"/>
              <w:left w:val="nil"/>
              <w:bottom w:val="nil"/>
              <w:right w:val="nil"/>
            </w:tcBorders>
            <w:shd w:val="clear" w:color="000000" w:fill="D9D9D9"/>
            <w:vAlign w:val="bottom"/>
            <w:hideMark/>
          </w:tcPr>
          <w:p w14:paraId="60A487F8"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1.09</w:t>
            </w:r>
          </w:p>
        </w:tc>
        <w:tc>
          <w:tcPr>
            <w:tcW w:w="665" w:type="dxa"/>
            <w:tcBorders>
              <w:top w:val="nil"/>
              <w:left w:val="nil"/>
              <w:bottom w:val="nil"/>
              <w:right w:val="nil"/>
            </w:tcBorders>
            <w:shd w:val="clear" w:color="000000" w:fill="D9D9D9"/>
            <w:vAlign w:val="bottom"/>
            <w:hideMark/>
          </w:tcPr>
          <w:p w14:paraId="23012D35"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0.88</w:t>
            </w:r>
          </w:p>
        </w:tc>
        <w:tc>
          <w:tcPr>
            <w:tcW w:w="811" w:type="dxa"/>
            <w:tcBorders>
              <w:top w:val="nil"/>
              <w:left w:val="nil"/>
              <w:bottom w:val="nil"/>
              <w:right w:val="nil"/>
            </w:tcBorders>
            <w:shd w:val="clear" w:color="auto" w:fill="auto"/>
            <w:vAlign w:val="bottom"/>
            <w:hideMark/>
          </w:tcPr>
          <w:p w14:paraId="7F30043F"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0.57</w:t>
            </w:r>
          </w:p>
        </w:tc>
      </w:tr>
      <w:tr w:rsidR="00352112" w:rsidRPr="00041FD4" w14:paraId="25122588" w14:textId="77777777" w:rsidTr="0053331C">
        <w:trPr>
          <w:trHeight w:val="315"/>
        </w:trPr>
        <w:tc>
          <w:tcPr>
            <w:tcW w:w="2763" w:type="dxa"/>
            <w:tcBorders>
              <w:top w:val="nil"/>
              <w:left w:val="nil"/>
              <w:bottom w:val="single" w:sz="4" w:space="0" w:color="auto"/>
              <w:right w:val="nil"/>
            </w:tcBorders>
            <w:shd w:val="clear" w:color="auto" w:fill="auto"/>
            <w:vAlign w:val="bottom"/>
            <w:hideMark/>
          </w:tcPr>
          <w:p w14:paraId="1048D044" w14:textId="77777777" w:rsidR="00352112" w:rsidRPr="00041FD4" w:rsidRDefault="00352112" w:rsidP="0053331C">
            <w:pPr>
              <w:keepNext/>
              <w:keepLines/>
              <w:tabs>
                <w:tab w:val="clear" w:pos="567"/>
              </w:tabs>
              <w:spacing w:after="0" w:line="240" w:lineRule="auto"/>
              <w:ind w:left="193" w:hanging="142"/>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Urban spending ($ per capita)</w:t>
            </w:r>
          </w:p>
        </w:tc>
        <w:tc>
          <w:tcPr>
            <w:tcW w:w="773" w:type="dxa"/>
            <w:tcBorders>
              <w:top w:val="single" w:sz="4" w:space="0" w:color="auto"/>
              <w:left w:val="nil"/>
              <w:bottom w:val="single" w:sz="4" w:space="0" w:color="auto"/>
              <w:right w:val="nil"/>
            </w:tcBorders>
            <w:shd w:val="clear" w:color="auto" w:fill="auto"/>
            <w:vAlign w:val="bottom"/>
            <w:hideMark/>
          </w:tcPr>
          <w:p w14:paraId="546A69D6"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238.6</w:t>
            </w:r>
          </w:p>
        </w:tc>
        <w:tc>
          <w:tcPr>
            <w:tcW w:w="665" w:type="dxa"/>
            <w:tcBorders>
              <w:top w:val="single" w:sz="4" w:space="0" w:color="auto"/>
              <w:left w:val="nil"/>
              <w:bottom w:val="single" w:sz="4" w:space="0" w:color="auto"/>
              <w:right w:val="nil"/>
            </w:tcBorders>
            <w:shd w:val="clear" w:color="auto" w:fill="auto"/>
            <w:vAlign w:val="bottom"/>
            <w:hideMark/>
          </w:tcPr>
          <w:p w14:paraId="116B2C3C"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183.2</w:t>
            </w:r>
          </w:p>
        </w:tc>
        <w:tc>
          <w:tcPr>
            <w:tcW w:w="693" w:type="dxa"/>
            <w:tcBorders>
              <w:top w:val="single" w:sz="4" w:space="0" w:color="auto"/>
              <w:left w:val="nil"/>
              <w:bottom w:val="single" w:sz="4" w:space="0" w:color="auto"/>
              <w:right w:val="nil"/>
            </w:tcBorders>
            <w:shd w:val="clear" w:color="000000" w:fill="D9D9D9"/>
            <w:vAlign w:val="bottom"/>
            <w:hideMark/>
          </w:tcPr>
          <w:p w14:paraId="578CA614"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289.6</w:t>
            </w:r>
          </w:p>
        </w:tc>
        <w:tc>
          <w:tcPr>
            <w:tcW w:w="673" w:type="dxa"/>
            <w:tcBorders>
              <w:top w:val="single" w:sz="4" w:space="0" w:color="auto"/>
              <w:left w:val="nil"/>
              <w:bottom w:val="single" w:sz="4" w:space="0" w:color="auto"/>
              <w:right w:val="nil"/>
            </w:tcBorders>
            <w:shd w:val="clear" w:color="auto" w:fill="auto"/>
            <w:vAlign w:val="bottom"/>
            <w:hideMark/>
          </w:tcPr>
          <w:p w14:paraId="49CC3484"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226.1</w:t>
            </w:r>
          </w:p>
        </w:tc>
        <w:tc>
          <w:tcPr>
            <w:tcW w:w="665" w:type="dxa"/>
            <w:tcBorders>
              <w:top w:val="single" w:sz="4" w:space="0" w:color="auto"/>
              <w:left w:val="nil"/>
              <w:bottom w:val="single" w:sz="4" w:space="0" w:color="auto"/>
              <w:right w:val="nil"/>
            </w:tcBorders>
            <w:shd w:val="clear" w:color="000000" w:fill="D9D9D9"/>
            <w:vAlign w:val="bottom"/>
            <w:hideMark/>
          </w:tcPr>
          <w:p w14:paraId="3A079155"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367.9</w:t>
            </w:r>
          </w:p>
        </w:tc>
        <w:tc>
          <w:tcPr>
            <w:tcW w:w="673" w:type="dxa"/>
            <w:tcBorders>
              <w:top w:val="single" w:sz="4" w:space="0" w:color="auto"/>
              <w:left w:val="nil"/>
              <w:bottom w:val="single" w:sz="4" w:space="0" w:color="auto"/>
              <w:right w:val="nil"/>
            </w:tcBorders>
            <w:shd w:val="clear" w:color="auto" w:fill="auto"/>
            <w:vAlign w:val="bottom"/>
            <w:hideMark/>
          </w:tcPr>
          <w:p w14:paraId="4F5F3A80"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51.1</w:t>
            </w:r>
          </w:p>
        </w:tc>
        <w:tc>
          <w:tcPr>
            <w:tcW w:w="693" w:type="dxa"/>
            <w:tcBorders>
              <w:top w:val="single" w:sz="4" w:space="0" w:color="auto"/>
              <w:left w:val="nil"/>
              <w:bottom w:val="single" w:sz="4" w:space="0" w:color="auto"/>
              <w:right w:val="nil"/>
            </w:tcBorders>
            <w:shd w:val="clear" w:color="000000" w:fill="D9D9D9"/>
            <w:vAlign w:val="bottom"/>
            <w:hideMark/>
          </w:tcPr>
          <w:p w14:paraId="13542B6D"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251.2</w:t>
            </w:r>
          </w:p>
        </w:tc>
        <w:tc>
          <w:tcPr>
            <w:tcW w:w="665" w:type="dxa"/>
            <w:tcBorders>
              <w:top w:val="single" w:sz="4" w:space="0" w:color="auto"/>
              <w:left w:val="nil"/>
              <w:bottom w:val="single" w:sz="4" w:space="0" w:color="auto"/>
              <w:right w:val="nil"/>
            </w:tcBorders>
            <w:shd w:val="clear" w:color="000000" w:fill="D9D9D9"/>
            <w:vAlign w:val="bottom"/>
            <w:hideMark/>
          </w:tcPr>
          <w:p w14:paraId="1F12AFCB"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253.6</w:t>
            </w:r>
          </w:p>
        </w:tc>
        <w:tc>
          <w:tcPr>
            <w:tcW w:w="811" w:type="dxa"/>
            <w:tcBorders>
              <w:top w:val="single" w:sz="4" w:space="0" w:color="auto"/>
              <w:left w:val="nil"/>
              <w:bottom w:val="single" w:sz="4" w:space="0" w:color="auto"/>
              <w:right w:val="nil"/>
            </w:tcBorders>
            <w:shd w:val="clear" w:color="auto" w:fill="auto"/>
            <w:vAlign w:val="bottom"/>
            <w:hideMark/>
          </w:tcPr>
          <w:p w14:paraId="2AEEC541" w14:textId="77777777" w:rsidR="00352112" w:rsidRPr="00041FD4" w:rsidRDefault="00352112" w:rsidP="0053331C">
            <w:pPr>
              <w:keepNext/>
              <w:keepLines/>
              <w:tabs>
                <w:tab w:val="clear" w:pos="567"/>
              </w:tabs>
              <w:spacing w:after="0" w:line="240" w:lineRule="auto"/>
              <w:jc w:val="right"/>
              <w:rPr>
                <w:rFonts w:ascii="Calibri" w:eastAsia="Times New Roman" w:hAnsi="Calibri" w:cs="Times New Roman"/>
                <w:sz w:val="20"/>
                <w:szCs w:val="20"/>
                <w:lang w:eastAsia="en-AU"/>
              </w:rPr>
            </w:pPr>
            <w:r w:rsidRPr="00041FD4">
              <w:rPr>
                <w:rFonts w:ascii="Calibri" w:eastAsia="Times New Roman" w:hAnsi="Calibri" w:cs="Times New Roman"/>
                <w:sz w:val="20"/>
                <w:szCs w:val="20"/>
                <w:lang w:eastAsia="en-AU"/>
              </w:rPr>
              <w:t>238.8</w:t>
            </w:r>
          </w:p>
        </w:tc>
      </w:tr>
    </w:tbl>
    <w:p w14:paraId="4436A0DB" w14:textId="77777777" w:rsidR="00352112" w:rsidRDefault="00352112" w:rsidP="00352112">
      <w:pPr>
        <w:pStyle w:val="CGCTableFootnote"/>
      </w:pPr>
      <w:r>
        <w:t>Note:</w:t>
      </w:r>
      <w:r>
        <w:tab/>
        <w:t>Shaded cells are above average.</w:t>
      </w:r>
    </w:p>
    <w:p w14:paraId="7EC5D236" w14:textId="77777777" w:rsidR="00352112" w:rsidRPr="00F055C3" w:rsidRDefault="00352112" w:rsidP="00352112">
      <w:pPr>
        <w:pStyle w:val="CGCTableFootnote"/>
      </w:pPr>
      <w:r>
        <w:t>Source:</w:t>
      </w:r>
      <w:r>
        <w:tab/>
        <w:t xml:space="preserve">ABS ERP 2016-17; </w:t>
      </w:r>
      <w:r w:rsidRPr="004F34B6">
        <w:t>State expenses reported to National Transport Commission for 201</w:t>
      </w:r>
      <w:r>
        <w:t>6</w:t>
      </w:r>
      <w:r w:rsidRPr="004F34B6">
        <w:t>-1</w:t>
      </w:r>
      <w:r>
        <w:t>7</w:t>
      </w:r>
      <w:r w:rsidRPr="004F34B6">
        <w:t xml:space="preserve">, </w:t>
      </w:r>
      <w:proofErr w:type="spellStart"/>
      <w:r w:rsidRPr="004F34B6">
        <w:t>NTC</w:t>
      </w:r>
      <w:proofErr w:type="spellEnd"/>
      <w:r w:rsidRPr="004F34B6">
        <w:t xml:space="preserve"> 201</w:t>
      </w:r>
      <w:r>
        <w:t>7</w:t>
      </w:r>
      <w:r w:rsidRPr="004F34B6">
        <w:t>.  Includes capital expenses and excludes miscellaneous expenses not allocated by area.</w:t>
      </w:r>
    </w:p>
    <w:p w14:paraId="061E6DF6" w14:textId="77777777" w:rsidR="00352112" w:rsidRPr="00C21EF9" w:rsidRDefault="00352112" w:rsidP="00352112"/>
    <w:tbl>
      <w:tblPr>
        <w:tblW w:w="0" w:type="auto"/>
        <w:tblInd w:w="108" w:type="dxa"/>
        <w:shd w:val="clear" w:color="auto" w:fill="D9F3E6"/>
        <w:tblLook w:val="04A0" w:firstRow="1" w:lastRow="0" w:firstColumn="1" w:lastColumn="0" w:noHBand="0" w:noVBand="1"/>
      </w:tblPr>
      <w:tblGrid>
        <w:gridCol w:w="8931"/>
      </w:tblGrid>
      <w:tr w:rsidR="00B3373D" w:rsidRPr="00E674AF" w14:paraId="43EA7F9B" w14:textId="77777777" w:rsidTr="002B634F">
        <w:tc>
          <w:tcPr>
            <w:tcW w:w="8931" w:type="dxa"/>
            <w:shd w:val="clear" w:color="auto" w:fill="D9F3E6"/>
          </w:tcPr>
          <w:p w14:paraId="702746EA" w14:textId="77777777" w:rsidR="00B3373D" w:rsidRPr="00E674AF" w:rsidRDefault="00B3373D" w:rsidP="002B634F">
            <w:r w:rsidRPr="00B7517F">
              <w:t>Staff propose to recommend the Commission:</w:t>
            </w:r>
          </w:p>
          <w:p w14:paraId="2DD85F71" w14:textId="77777777" w:rsidR="005A013C" w:rsidRPr="004A1139" w:rsidRDefault="005A013C" w:rsidP="005A013C">
            <w:pPr>
              <w:pStyle w:val="CGCBulletlist"/>
            </w:pPr>
            <w:r>
              <w:t xml:space="preserve">retain </w:t>
            </w:r>
            <w:r w:rsidRPr="004A1139">
              <w:t>the current methodology for calculating urban and rural traffic volume</w:t>
            </w:r>
          </w:p>
          <w:p w14:paraId="60D24332" w14:textId="77777777" w:rsidR="005A013C" w:rsidRDefault="005A013C" w:rsidP="005A013C">
            <w:pPr>
              <w:pStyle w:val="CGCBulletlist"/>
            </w:pPr>
            <w:r>
              <w:t xml:space="preserve">treat light commercial vehicles as passenger vehicles because they do not fit the definition of heavy vehicles </w:t>
            </w:r>
          </w:p>
          <w:p w14:paraId="7D68CA80" w14:textId="643CD7BA" w:rsidR="00B3373D" w:rsidRPr="004A1139" w:rsidRDefault="005A013C" w:rsidP="005A013C">
            <w:pPr>
              <w:pStyle w:val="CGCBulletlist"/>
            </w:pPr>
            <w:r>
              <w:t xml:space="preserve">combine rigid and other trucks, and buses into </w:t>
            </w:r>
            <w:proofErr w:type="spellStart"/>
            <w:r w:rsidR="00F7100F">
              <w:t>an other</w:t>
            </w:r>
            <w:proofErr w:type="spellEnd"/>
            <w:r>
              <w:t xml:space="preserve"> heavy vehicles class </w:t>
            </w:r>
          </w:p>
          <w:p w14:paraId="382D7B93" w14:textId="77777777" w:rsidR="00B3373D" w:rsidRPr="00E674AF" w:rsidRDefault="005A013C" w:rsidP="005A013C">
            <w:pPr>
              <w:pStyle w:val="CGCBulletlist"/>
            </w:pPr>
            <w:proofErr w:type="gramStart"/>
            <w:r>
              <w:t>not</w:t>
            </w:r>
            <w:proofErr w:type="gramEnd"/>
            <w:r>
              <w:t xml:space="preserve"> pursue the issue raised by the ACT</w:t>
            </w:r>
            <w:r w:rsidR="00B3373D" w:rsidRPr="004A1139">
              <w:t>.</w:t>
            </w:r>
            <w:r w:rsidR="00B3373D">
              <w:t xml:space="preserve"> </w:t>
            </w:r>
          </w:p>
        </w:tc>
      </w:tr>
    </w:tbl>
    <w:p w14:paraId="162E48E9" w14:textId="77777777" w:rsidR="00B3373D" w:rsidRPr="00D75FD7" w:rsidRDefault="00B3373D" w:rsidP="00B3373D">
      <w:pPr>
        <w:pStyle w:val="NoSpacing"/>
      </w:pPr>
    </w:p>
    <w:p w14:paraId="08AFBFD4" w14:textId="77777777" w:rsidR="00143A71" w:rsidRDefault="00143A71" w:rsidP="00143A71">
      <w:pPr>
        <w:pStyle w:val="Heading4"/>
      </w:pPr>
      <w:bookmarkStart w:id="68" w:name="_Ref506375967"/>
      <w:bookmarkStart w:id="69" w:name="_Toc509326365"/>
      <w:bookmarkStart w:id="70" w:name="_Toc511380295"/>
      <w:r>
        <w:lastRenderedPageBreak/>
        <w:t>Bridges</w:t>
      </w:r>
      <w:bookmarkEnd w:id="68"/>
      <w:r>
        <w:t xml:space="preserve"> and tunnels</w:t>
      </w:r>
      <w:bookmarkEnd w:id="69"/>
      <w:bookmarkEnd w:id="70"/>
    </w:p>
    <w:p w14:paraId="39DA3224" w14:textId="77777777" w:rsidR="00422680" w:rsidRDefault="00143A71" w:rsidP="009329B3">
      <w:pPr>
        <w:pStyle w:val="CGCNumberedPara"/>
        <w:numPr>
          <w:ilvl w:val="1"/>
          <w:numId w:val="3"/>
        </w:numPr>
      </w:pPr>
      <w:r>
        <w:t>In the 2015 Review</w:t>
      </w:r>
      <w:r w:rsidR="00B815B0">
        <w:t>,</w:t>
      </w:r>
      <w:r>
        <w:t xml:space="preserve"> </w:t>
      </w:r>
      <w:r w:rsidR="00422680">
        <w:t xml:space="preserve">investment in </w:t>
      </w:r>
      <w:r w:rsidR="00B815B0">
        <w:t>bridge</w:t>
      </w:r>
      <w:r w:rsidR="00422680">
        <w:t>s</w:t>
      </w:r>
      <w:r w:rsidR="00B815B0">
        <w:t xml:space="preserve"> </w:t>
      </w:r>
      <w:r w:rsidR="00460253">
        <w:t>and tunnel</w:t>
      </w:r>
      <w:r w:rsidR="00422680">
        <w:t>s and maintenance expenses for them</w:t>
      </w:r>
      <w:r w:rsidR="00460253">
        <w:t xml:space="preserve"> </w:t>
      </w:r>
      <w:r w:rsidR="00B815B0">
        <w:t>were assessed EPC because no</w:t>
      </w:r>
      <w:r>
        <w:t xml:space="preserve"> reliable measure of needs </w:t>
      </w:r>
      <w:r w:rsidR="00B815B0">
        <w:t>could be found</w:t>
      </w:r>
      <w:r>
        <w:t xml:space="preserve">. </w:t>
      </w:r>
    </w:p>
    <w:p w14:paraId="595EEFCC" w14:textId="5EFFF747" w:rsidR="005877B1" w:rsidRDefault="00422680" w:rsidP="009329B3">
      <w:pPr>
        <w:pStyle w:val="CGCNumberedPara"/>
        <w:numPr>
          <w:ilvl w:val="1"/>
          <w:numId w:val="3"/>
        </w:numPr>
      </w:pPr>
      <w:r>
        <w:t>Staff note b</w:t>
      </w:r>
      <w:r w:rsidR="00D71E42">
        <w:t xml:space="preserve">ridges and tunnels cost more to build and maintain than roads. </w:t>
      </w:r>
      <w:r w:rsidR="005877B1">
        <w:t>They are required because of topological features such as waterways and</w:t>
      </w:r>
      <w:r w:rsidR="00822225">
        <w:t>,</w:t>
      </w:r>
      <w:r w:rsidR="005877B1">
        <w:t xml:space="preserve"> in some cases</w:t>
      </w:r>
      <w:r w:rsidR="00822225">
        <w:t>,</w:t>
      </w:r>
      <w:r w:rsidR="005877B1">
        <w:t xml:space="preserve"> changes in elevation. States also respond to </w:t>
      </w:r>
      <w:r>
        <w:t xml:space="preserve">safety issues and </w:t>
      </w:r>
      <w:r w:rsidR="005877B1">
        <w:t>the complexity of their road and rail networks by building bridges and tunnels over or under</w:t>
      </w:r>
      <w:r w:rsidR="00785D20">
        <w:t xml:space="preserve"> other sections of the networks </w:t>
      </w:r>
      <w:r>
        <w:t>to avoid intersections</w:t>
      </w:r>
      <w:r w:rsidR="005877B1">
        <w:t>.</w:t>
      </w:r>
    </w:p>
    <w:p w14:paraId="2A223F66" w14:textId="77777777" w:rsidR="005877B1" w:rsidRDefault="00D449B3" w:rsidP="009329B3">
      <w:pPr>
        <w:pStyle w:val="CGCNumberedPara"/>
        <w:numPr>
          <w:ilvl w:val="1"/>
          <w:numId w:val="3"/>
        </w:numPr>
      </w:pPr>
      <w:r>
        <w:t xml:space="preserve">Other </w:t>
      </w:r>
      <w:r w:rsidR="005877B1">
        <w:t xml:space="preserve">influences on bridge </w:t>
      </w:r>
      <w:r>
        <w:t xml:space="preserve">and tunnel </w:t>
      </w:r>
      <w:r w:rsidR="005877B1">
        <w:t xml:space="preserve">expenses </w:t>
      </w:r>
      <w:r>
        <w:t xml:space="preserve">and investment </w:t>
      </w:r>
      <w:r w:rsidR="005877B1">
        <w:t>would be:</w:t>
      </w:r>
    </w:p>
    <w:p w14:paraId="7EE7012B" w14:textId="3D23B2C8" w:rsidR="005877B1" w:rsidRDefault="005877B1" w:rsidP="005877B1">
      <w:pPr>
        <w:pStyle w:val="CGCBulletlist"/>
      </w:pPr>
      <w:r>
        <w:t xml:space="preserve">the </w:t>
      </w:r>
      <w:r w:rsidR="009329B3">
        <w:t>size of a State’s road network</w:t>
      </w:r>
      <w:r>
        <w:t xml:space="preserve">, which </w:t>
      </w:r>
      <w:r w:rsidR="009329B3">
        <w:t>increases the likelihood of bridges a</w:t>
      </w:r>
      <w:r w:rsidR="00AE00A3">
        <w:t xml:space="preserve">nd tunnels </w:t>
      </w:r>
      <w:r w:rsidR="00D449B3">
        <w:t>a</w:t>
      </w:r>
      <w:r w:rsidR="009329B3">
        <w:t>cross the networks</w:t>
      </w:r>
      <w:r w:rsidR="00294A80">
        <w:t>; t</w:t>
      </w:r>
      <w:r w:rsidR="00AE00A3">
        <w:t xml:space="preserve">his would especially be the case for </w:t>
      </w:r>
      <w:r w:rsidR="002B3E87">
        <w:t>over/under passes</w:t>
      </w:r>
      <w:r w:rsidR="00294A80">
        <w:t>; a</w:t>
      </w:r>
      <w:r>
        <w:t xml:space="preserve">lthough there is </w:t>
      </w:r>
      <w:r w:rsidR="00AE00A3">
        <w:t xml:space="preserve">probably </w:t>
      </w:r>
      <w:r>
        <w:t xml:space="preserve">no intrinsic relationship </w:t>
      </w:r>
      <w:r w:rsidR="00785D20">
        <w:t xml:space="preserve">between </w:t>
      </w:r>
      <w:r>
        <w:t>road length and the number</w:t>
      </w:r>
      <w:r w:rsidR="00E41461">
        <w:t xml:space="preserve"> of</w:t>
      </w:r>
      <w:r>
        <w:t xml:space="preserve"> bridges</w:t>
      </w:r>
    </w:p>
    <w:p w14:paraId="7F24DC02" w14:textId="358898AA" w:rsidR="00143A71" w:rsidRDefault="009329B3" w:rsidP="005877B1">
      <w:pPr>
        <w:pStyle w:val="CGCBulletlist"/>
      </w:pPr>
      <w:proofErr w:type="gramStart"/>
      <w:r>
        <w:t>traffic</w:t>
      </w:r>
      <w:proofErr w:type="gramEnd"/>
      <w:r>
        <w:t xml:space="preserve"> volume</w:t>
      </w:r>
      <w:r w:rsidR="002B3E87">
        <w:t>,</w:t>
      </w:r>
      <w:r w:rsidR="005877B1">
        <w:t xml:space="preserve"> including heavy vehicle use, which </w:t>
      </w:r>
      <w:r>
        <w:t>would influence the type and size of bridges built</w:t>
      </w:r>
      <w:r w:rsidR="0086034B">
        <w:t>, and the maintenance costs</w:t>
      </w:r>
      <w:r w:rsidR="00D449B3">
        <w:t>.</w:t>
      </w:r>
      <w:r>
        <w:t xml:space="preserve"> </w:t>
      </w:r>
    </w:p>
    <w:p w14:paraId="44192FA3" w14:textId="0CE4C344" w:rsidR="005877B1" w:rsidRDefault="00E44E95" w:rsidP="00143A71">
      <w:pPr>
        <w:pStyle w:val="CGCNumberedPara"/>
        <w:numPr>
          <w:ilvl w:val="1"/>
          <w:numId w:val="3"/>
        </w:numPr>
      </w:pPr>
      <w:r>
        <w:t>Staff</w:t>
      </w:r>
      <w:r w:rsidR="005877B1">
        <w:t xml:space="preserve"> have collected </w:t>
      </w:r>
      <w:r w:rsidR="00143A71">
        <w:t xml:space="preserve">spatial data </w:t>
      </w:r>
      <w:r w:rsidR="005877B1">
        <w:t>that include</w:t>
      </w:r>
      <w:r w:rsidR="008870D4">
        <w:t xml:space="preserve"> </w:t>
      </w:r>
      <w:r w:rsidR="00785D20">
        <w:t xml:space="preserve">the following attributes </w:t>
      </w:r>
      <w:r w:rsidR="008870D4">
        <w:t>for urban and rural area</w:t>
      </w:r>
      <w:r w:rsidR="00822225">
        <w:t>s</w:t>
      </w:r>
      <w:r w:rsidR="005877B1">
        <w:t>:</w:t>
      </w:r>
    </w:p>
    <w:p w14:paraId="1545643F" w14:textId="61DF2A49" w:rsidR="005877B1" w:rsidRDefault="00AE00A3" w:rsidP="005877B1">
      <w:pPr>
        <w:pStyle w:val="CGCBulletlist"/>
      </w:pPr>
      <w:r>
        <w:t xml:space="preserve">number </w:t>
      </w:r>
      <w:r w:rsidR="005877B1">
        <w:t>of bridges</w:t>
      </w:r>
      <w:r w:rsidR="00E41461">
        <w:t>, culverts</w:t>
      </w:r>
      <w:r w:rsidR="007329FB">
        <w:t xml:space="preserve"> and tunnels</w:t>
      </w:r>
    </w:p>
    <w:p w14:paraId="22238B2C" w14:textId="4966277B" w:rsidR="005877B1" w:rsidRDefault="005877B1" w:rsidP="005877B1">
      <w:pPr>
        <w:pStyle w:val="CGCBulletlist"/>
      </w:pPr>
      <w:r>
        <w:t>the length of bridges</w:t>
      </w:r>
      <w:r w:rsidR="00E41461">
        <w:t>, culverts</w:t>
      </w:r>
      <w:r w:rsidR="007329FB">
        <w:t xml:space="preserve"> and tunnels</w:t>
      </w:r>
      <w:r w:rsidR="00422680" w:rsidRPr="00422680">
        <w:t xml:space="preserve"> </w:t>
      </w:r>
      <w:r w:rsidR="00422680">
        <w:t>in kilometres</w:t>
      </w:r>
    </w:p>
    <w:p w14:paraId="489ED8FF" w14:textId="77777777" w:rsidR="005877B1" w:rsidRDefault="00AE00A3" w:rsidP="005877B1">
      <w:pPr>
        <w:pStyle w:val="CGCBulletlist"/>
      </w:pPr>
      <w:proofErr w:type="gramStart"/>
      <w:r>
        <w:t>the</w:t>
      </w:r>
      <w:proofErr w:type="gramEnd"/>
      <w:r>
        <w:t xml:space="preserve"> feature they are crossing.</w:t>
      </w:r>
    </w:p>
    <w:p w14:paraId="10F78974" w14:textId="77777777" w:rsidR="00831948" w:rsidRDefault="00831948" w:rsidP="00831948">
      <w:pPr>
        <w:ind w:left="567"/>
      </w:pPr>
      <w:r>
        <w:t>In addition, we should be able to calculate lane-kilometres.</w:t>
      </w:r>
    </w:p>
    <w:p w14:paraId="0360E051" w14:textId="74190C2F" w:rsidR="008870D4" w:rsidRDefault="00831948" w:rsidP="00D543B0">
      <w:pPr>
        <w:pStyle w:val="CGCNumberedPara"/>
      </w:pPr>
      <w:r>
        <w:t xml:space="preserve">While </w:t>
      </w:r>
      <w:proofErr w:type="gramStart"/>
      <w:r w:rsidR="002B3E87">
        <w:t>staff</w:t>
      </w:r>
      <w:r>
        <w:t xml:space="preserve"> have</w:t>
      </w:r>
      <w:proofErr w:type="gramEnd"/>
      <w:r>
        <w:t xml:space="preserve"> not done any calculations</w:t>
      </w:r>
      <w:r w:rsidR="00822225" w:rsidRPr="00822225">
        <w:t xml:space="preserve"> </w:t>
      </w:r>
      <w:r w:rsidR="00822225">
        <w:t>yet</w:t>
      </w:r>
      <w:r>
        <w:t xml:space="preserve">, </w:t>
      </w:r>
      <w:r w:rsidR="006572DD">
        <w:t>we</w:t>
      </w:r>
      <w:r w:rsidR="002B3E87">
        <w:t xml:space="preserve"> intend to examine a number of possible indicators of needs, including the number and length of bridges and tunnels and the </w:t>
      </w:r>
      <w:r>
        <w:t>total lane-</w:t>
      </w:r>
      <w:r w:rsidR="00086BB8">
        <w:t>kilometres</w:t>
      </w:r>
      <w:r>
        <w:t xml:space="preserve"> of bridges</w:t>
      </w:r>
      <w:r w:rsidR="00785D20">
        <w:t xml:space="preserve"> and tunnels</w:t>
      </w:r>
      <w:r w:rsidR="002B3E87">
        <w:t xml:space="preserve">. </w:t>
      </w:r>
      <w:r w:rsidR="00C10843">
        <w:t xml:space="preserve">At this point, </w:t>
      </w:r>
      <w:r w:rsidR="00141D1A">
        <w:t>lane-</w:t>
      </w:r>
      <w:r w:rsidR="00086BB8">
        <w:t>kilometres</w:t>
      </w:r>
      <w:r w:rsidR="00141D1A">
        <w:t xml:space="preserve"> </w:t>
      </w:r>
      <w:r w:rsidR="00C10843">
        <w:t xml:space="preserve">appears a conceptually better approach as it </w:t>
      </w:r>
      <w:r w:rsidR="00141D1A">
        <w:t xml:space="preserve">would </w:t>
      </w:r>
      <w:r w:rsidR="00822225">
        <w:t xml:space="preserve">go some way towards </w:t>
      </w:r>
      <w:r w:rsidR="00141D1A">
        <w:t>captur</w:t>
      </w:r>
      <w:r w:rsidR="00822225">
        <w:t>ing</w:t>
      </w:r>
      <w:r w:rsidR="00141D1A">
        <w:t xml:space="preserve"> the impact of traffic volume. </w:t>
      </w:r>
    </w:p>
    <w:p w14:paraId="368A273E" w14:textId="216AD28D" w:rsidR="00E371C8" w:rsidRDefault="006572DD" w:rsidP="00831948">
      <w:pPr>
        <w:pStyle w:val="CGCNumberedPara"/>
      </w:pPr>
      <w:r>
        <w:t>Staff</w:t>
      </w:r>
      <w:r w:rsidR="00C10843">
        <w:t xml:space="preserve"> would also test whether it is necessary to </w:t>
      </w:r>
      <w:r w:rsidR="00831948">
        <w:t>calculate separate factor</w:t>
      </w:r>
      <w:r w:rsidR="00C10843">
        <w:t>s</w:t>
      </w:r>
      <w:r w:rsidR="00831948">
        <w:t xml:space="preserve"> for bridges </w:t>
      </w:r>
      <w:r w:rsidR="00FA5A92">
        <w:t>and tunnels over</w:t>
      </w:r>
      <w:r w:rsidR="00C10843">
        <w:t>/</w:t>
      </w:r>
      <w:r w:rsidR="00FA5A92">
        <w:t>under</w:t>
      </w:r>
      <w:r w:rsidR="00831948">
        <w:t xml:space="preserve"> waterways and other topographical features and for bridges </w:t>
      </w:r>
      <w:r w:rsidR="00FA5A92">
        <w:t xml:space="preserve">and tunnels </w:t>
      </w:r>
      <w:r w:rsidR="00C10843">
        <w:t xml:space="preserve">over/under other </w:t>
      </w:r>
      <w:r w:rsidR="00831948">
        <w:t>road</w:t>
      </w:r>
      <w:r w:rsidR="00C10843">
        <w:t xml:space="preserve">s or </w:t>
      </w:r>
      <w:r w:rsidR="00831948">
        <w:t xml:space="preserve">rail </w:t>
      </w:r>
      <w:r w:rsidR="00C10843">
        <w:t>tracks</w:t>
      </w:r>
      <w:r w:rsidR="00FA5A92">
        <w:t xml:space="preserve">. </w:t>
      </w:r>
    </w:p>
    <w:p w14:paraId="6D10489E" w14:textId="32E0A12A" w:rsidR="00E371C8" w:rsidRDefault="00FA5A92" w:rsidP="00143A71">
      <w:pPr>
        <w:pStyle w:val="CGCNumberedPara"/>
        <w:numPr>
          <w:ilvl w:val="1"/>
          <w:numId w:val="3"/>
        </w:numPr>
      </w:pPr>
      <w:r>
        <w:t xml:space="preserve">However, </w:t>
      </w:r>
      <w:r w:rsidR="0041608D">
        <w:t xml:space="preserve">none of these </w:t>
      </w:r>
      <w:r w:rsidR="00263E29">
        <w:t xml:space="preserve">possible </w:t>
      </w:r>
      <w:r w:rsidR="00E371C8">
        <w:t>measure</w:t>
      </w:r>
      <w:r w:rsidR="00263E29">
        <w:t>s</w:t>
      </w:r>
      <w:r w:rsidR="00E371C8">
        <w:t xml:space="preserve"> </w:t>
      </w:r>
      <w:r w:rsidR="00263E29">
        <w:t xml:space="preserve">account for differences in </w:t>
      </w:r>
      <w:r w:rsidR="00E371C8">
        <w:t>b</w:t>
      </w:r>
      <w:r w:rsidR="00E371C8" w:rsidRPr="002927EE">
        <w:t>ridge</w:t>
      </w:r>
      <w:r w:rsidR="00263E29">
        <w:t xml:space="preserve"> </w:t>
      </w:r>
      <w:r>
        <w:t xml:space="preserve">and tunnel </w:t>
      </w:r>
      <w:r w:rsidR="00E371C8" w:rsidRPr="002927EE">
        <w:t xml:space="preserve">size and complexity due to the </w:t>
      </w:r>
      <w:r w:rsidR="00C10843">
        <w:t xml:space="preserve">need to retrofit roads into existing heavily developed urban areas or the </w:t>
      </w:r>
      <w:r w:rsidR="00E371C8" w:rsidRPr="002927EE">
        <w:t>width of the cross</w:t>
      </w:r>
      <w:r w:rsidR="00263E29">
        <w:t>ing</w:t>
      </w:r>
      <w:r w:rsidR="00141D1A">
        <w:t xml:space="preserve"> and</w:t>
      </w:r>
      <w:r w:rsidR="00E371C8" w:rsidRPr="002927EE">
        <w:t xml:space="preserve"> the hei</w:t>
      </w:r>
      <w:r w:rsidR="00141D1A">
        <w:t>ght</w:t>
      </w:r>
      <w:r w:rsidR="00C10843">
        <w:t>/</w:t>
      </w:r>
      <w:r>
        <w:t xml:space="preserve">depth </w:t>
      </w:r>
      <w:r w:rsidR="00141D1A">
        <w:t xml:space="preserve">at which the bridge </w:t>
      </w:r>
      <w:r>
        <w:t xml:space="preserve">or tunnel </w:t>
      </w:r>
      <w:r w:rsidR="00141D1A">
        <w:t>crosses.</w:t>
      </w:r>
      <w:r w:rsidR="0041608D">
        <w:t xml:space="preserve"> While some States have previously argued such influences are important, it is not clear how they could be measured.</w:t>
      </w:r>
    </w:p>
    <w:p w14:paraId="24BEC019" w14:textId="549BB6C3" w:rsidR="00263E29" w:rsidRDefault="0041608D" w:rsidP="00263E29">
      <w:pPr>
        <w:pStyle w:val="CGCNumberedPara"/>
        <w:numPr>
          <w:ilvl w:val="1"/>
          <w:numId w:val="3"/>
        </w:numPr>
      </w:pPr>
      <w:r>
        <w:t>In previous reviews</w:t>
      </w:r>
      <w:r w:rsidR="00294A80">
        <w:t>,</w:t>
      </w:r>
      <w:r>
        <w:t xml:space="preserve"> issues have been raised about the treatment of </w:t>
      </w:r>
      <w:r w:rsidR="00143A71">
        <w:t>culverts</w:t>
      </w:r>
      <w:r w:rsidR="008C4B73">
        <w:t>. Those issues include:</w:t>
      </w:r>
      <w:r>
        <w:t xml:space="preserve"> </w:t>
      </w:r>
      <w:r w:rsidR="00143A71">
        <w:t xml:space="preserve">should </w:t>
      </w:r>
      <w:r w:rsidR="00294A80">
        <w:t>culverts be included;</w:t>
      </w:r>
      <w:r w:rsidR="008C4B73">
        <w:t xml:space="preserve"> and, if so, should they</w:t>
      </w:r>
      <w:r w:rsidR="008C4B73" w:rsidRPr="008C4B73">
        <w:t xml:space="preserve"> </w:t>
      </w:r>
      <w:r w:rsidR="008C4B73">
        <w:t xml:space="preserve">be given the same </w:t>
      </w:r>
      <w:r w:rsidR="008C4B73">
        <w:lastRenderedPageBreak/>
        <w:t xml:space="preserve">weight as bridges? There is also a question </w:t>
      </w:r>
      <w:r w:rsidR="00FA5A92">
        <w:t>whether tunnels should be given the same weight as bridges.</w:t>
      </w:r>
    </w:p>
    <w:p w14:paraId="44DC4BBC" w14:textId="0F1AE3F9" w:rsidR="00143A71" w:rsidRDefault="00143A71" w:rsidP="00143A71">
      <w:pPr>
        <w:pStyle w:val="CGCNumberedPara"/>
        <w:numPr>
          <w:ilvl w:val="1"/>
          <w:numId w:val="3"/>
        </w:numPr>
      </w:pPr>
      <w:r>
        <w:t xml:space="preserve">If </w:t>
      </w:r>
      <w:proofErr w:type="gramStart"/>
      <w:r w:rsidR="00263E29">
        <w:t xml:space="preserve">staff </w:t>
      </w:r>
      <w:r>
        <w:t>are</w:t>
      </w:r>
      <w:proofErr w:type="gramEnd"/>
      <w:r>
        <w:t xml:space="preserve"> unable to </w:t>
      </w:r>
      <w:r w:rsidR="00740B0C">
        <w:t>develop</w:t>
      </w:r>
      <w:r>
        <w:t xml:space="preserve"> a </w:t>
      </w:r>
      <w:r w:rsidR="008C4B73">
        <w:t xml:space="preserve">simple, </w:t>
      </w:r>
      <w:r>
        <w:t>reliable and policy neutral</w:t>
      </w:r>
      <w:r w:rsidR="00263E29">
        <w:t xml:space="preserve"> measure of </w:t>
      </w:r>
      <w:r w:rsidR="00740B0C">
        <w:t xml:space="preserve">needs for </w:t>
      </w:r>
      <w:r w:rsidR="00263E29">
        <w:t>bridges</w:t>
      </w:r>
      <w:r w:rsidR="00FA5A92">
        <w:t xml:space="preserve"> and tunnels</w:t>
      </w:r>
      <w:r>
        <w:t xml:space="preserve">, </w:t>
      </w:r>
      <w:r w:rsidR="008C4B73">
        <w:t>we propose</w:t>
      </w:r>
      <w:r w:rsidR="00FA5A92">
        <w:t xml:space="preserve"> </w:t>
      </w:r>
      <w:r w:rsidR="00263E29">
        <w:t>to reallocate bridge</w:t>
      </w:r>
      <w:r w:rsidR="00FA5A92">
        <w:t xml:space="preserve"> and tunnel </w:t>
      </w:r>
      <w:r w:rsidR="00263E29">
        <w:t xml:space="preserve">expenses and investment to the urban and rural road components </w:t>
      </w:r>
      <w:r w:rsidR="00063E64">
        <w:t>and apply the</w:t>
      </w:r>
      <w:r w:rsidR="008C4B73">
        <w:t xml:space="preserve"> disabilities for those </w:t>
      </w:r>
      <w:r w:rsidR="00063E64">
        <w:t>components</w:t>
      </w:r>
      <w:r w:rsidR="008C4B73">
        <w:t>. This would at least recognise the impact of road use on brid</w:t>
      </w:r>
      <w:r w:rsidR="00063E64">
        <w:t xml:space="preserve">ge </w:t>
      </w:r>
      <w:r w:rsidR="00FA5A92">
        <w:t>and tunnel expenses</w:t>
      </w:r>
      <w:r w:rsidR="008C4B73">
        <w:t>.</w:t>
      </w:r>
      <w:r w:rsidR="00FA5A92">
        <w:t xml:space="preserve"> </w:t>
      </w:r>
    </w:p>
    <w:tbl>
      <w:tblPr>
        <w:tblW w:w="0" w:type="auto"/>
        <w:tblInd w:w="108" w:type="dxa"/>
        <w:shd w:val="clear" w:color="auto" w:fill="D9F3E6"/>
        <w:tblLook w:val="04A0" w:firstRow="1" w:lastRow="0" w:firstColumn="1" w:lastColumn="0" w:noHBand="0" w:noVBand="1"/>
      </w:tblPr>
      <w:tblGrid>
        <w:gridCol w:w="8931"/>
      </w:tblGrid>
      <w:tr w:rsidR="00143A71" w:rsidRPr="00E674AF" w14:paraId="04C197F6" w14:textId="77777777" w:rsidTr="00600B03">
        <w:tc>
          <w:tcPr>
            <w:tcW w:w="8931" w:type="dxa"/>
            <w:shd w:val="clear" w:color="auto" w:fill="D9F3E6"/>
          </w:tcPr>
          <w:p w14:paraId="3827CD6A" w14:textId="77777777" w:rsidR="00143A71" w:rsidRPr="00E674AF" w:rsidRDefault="00143A71" w:rsidP="00600B03">
            <w:pPr>
              <w:keepNext/>
            </w:pPr>
            <w:r w:rsidRPr="00B7517F">
              <w:t>Staff propose to recommend the Commission:</w:t>
            </w:r>
          </w:p>
          <w:p w14:paraId="6A003485" w14:textId="26961129" w:rsidR="00143A71" w:rsidRDefault="00250491" w:rsidP="00063E64">
            <w:pPr>
              <w:pStyle w:val="CGCBulletlist"/>
            </w:pPr>
            <w:r>
              <w:t xml:space="preserve">agree to staff considering </w:t>
            </w:r>
            <w:r w:rsidR="00063E64">
              <w:t xml:space="preserve">options for a bridge </w:t>
            </w:r>
            <w:r w:rsidR="00740B0C">
              <w:t xml:space="preserve">and tunnel </w:t>
            </w:r>
            <w:r w:rsidR="00063E64">
              <w:t xml:space="preserve">factor based on State spatial data </w:t>
            </w:r>
          </w:p>
          <w:p w14:paraId="24EBCA6E" w14:textId="28860F0C" w:rsidR="00143A71" w:rsidRPr="00E674AF" w:rsidRDefault="00063E64" w:rsidP="00143A71">
            <w:pPr>
              <w:pStyle w:val="CGCBulletlist"/>
              <w:numPr>
                <w:ilvl w:val="0"/>
                <w:numId w:val="1"/>
              </w:numPr>
              <w:tabs>
                <w:tab w:val="clear" w:pos="786"/>
              </w:tabs>
              <w:ind w:left="1134" w:hanging="567"/>
            </w:pPr>
            <w:proofErr w:type="gramStart"/>
            <w:r>
              <w:t>if</w:t>
            </w:r>
            <w:proofErr w:type="gramEnd"/>
            <w:r>
              <w:t xml:space="preserve"> no</w:t>
            </w:r>
            <w:r w:rsidR="00250491">
              <w:t xml:space="preserve"> satisfactory </w:t>
            </w:r>
            <w:r>
              <w:t xml:space="preserve">options are </w:t>
            </w:r>
            <w:r w:rsidR="00250491">
              <w:t>found</w:t>
            </w:r>
            <w:r>
              <w:t>, reallocate bridge</w:t>
            </w:r>
            <w:r w:rsidR="00250491">
              <w:t xml:space="preserve"> and tunnel</w:t>
            </w:r>
            <w:r>
              <w:t xml:space="preserve"> expenses and investment to the </w:t>
            </w:r>
            <w:r w:rsidR="00946C5A">
              <w:t xml:space="preserve">relevant </w:t>
            </w:r>
            <w:r>
              <w:t xml:space="preserve">urban and rural road components and apply the disabilities </w:t>
            </w:r>
            <w:r w:rsidR="00250491">
              <w:t>for those components</w:t>
            </w:r>
            <w:r w:rsidR="00143A71">
              <w:t>.</w:t>
            </w:r>
          </w:p>
        </w:tc>
      </w:tr>
    </w:tbl>
    <w:p w14:paraId="11EF5C1C" w14:textId="77777777" w:rsidR="001A19BC" w:rsidRDefault="001A19BC" w:rsidP="001A19BC">
      <w:pPr>
        <w:pStyle w:val="Heading4"/>
      </w:pPr>
      <w:bookmarkStart w:id="71" w:name="_Toc509326366"/>
      <w:bookmarkStart w:id="72" w:name="_Toc511380296"/>
      <w:r>
        <w:t>Other services</w:t>
      </w:r>
      <w:bookmarkEnd w:id="71"/>
      <w:bookmarkEnd w:id="72"/>
    </w:p>
    <w:p w14:paraId="26AD6A4D" w14:textId="5FB0172F" w:rsidR="001A19BC" w:rsidRDefault="001A19BC" w:rsidP="001A19BC">
      <w:pPr>
        <w:pStyle w:val="CGCNumberedPara"/>
      </w:pPr>
      <w:r>
        <w:t xml:space="preserve">Other </w:t>
      </w:r>
      <w:r w:rsidR="007B5687">
        <w:t xml:space="preserve">roads </w:t>
      </w:r>
      <w:r>
        <w:t xml:space="preserve">services cover expenses on </w:t>
      </w:r>
      <w:r w:rsidRPr="001C6227">
        <w:t>corporate</w:t>
      </w:r>
      <w:r>
        <w:t xml:space="preserve"> services</w:t>
      </w:r>
      <w:r w:rsidRPr="001C6227">
        <w:t xml:space="preserve">, </w:t>
      </w:r>
      <w:r>
        <w:t xml:space="preserve">enforcement of heavy vehicle regulatory costs, vehicle registration, driver </w:t>
      </w:r>
      <w:r w:rsidRPr="001C6227">
        <w:t>licensing</w:t>
      </w:r>
      <w:r w:rsidRPr="0065257F">
        <w:t xml:space="preserve"> </w:t>
      </w:r>
      <w:r w:rsidR="00294A80">
        <w:t>and loan servicing (</w:t>
      </w:r>
      <w:proofErr w:type="spellStart"/>
      <w:r w:rsidR="00294A80">
        <w:t>NTC</w:t>
      </w:r>
      <w:proofErr w:type="spellEnd"/>
      <w:r w:rsidR="00294A80">
        <w:t xml:space="preserve"> </w:t>
      </w:r>
      <w:r>
        <w:t xml:space="preserve">category </w:t>
      </w:r>
      <w:r w:rsidR="00294A80">
        <w:t xml:space="preserve">G </w:t>
      </w:r>
      <w:r>
        <w:t>expenses).</w:t>
      </w:r>
      <w:r w:rsidRPr="001C6227">
        <w:t xml:space="preserve"> </w:t>
      </w:r>
      <w:r>
        <w:t xml:space="preserve">These </w:t>
      </w:r>
      <w:r w:rsidR="007B5687">
        <w:t xml:space="preserve">expenses </w:t>
      </w:r>
      <w:r>
        <w:t xml:space="preserve">were assessed </w:t>
      </w:r>
      <w:r w:rsidR="00294A80">
        <w:t>EPC</w:t>
      </w:r>
      <w:r>
        <w:t xml:space="preserve"> in the 2015 Review because a simple and material assessment could not be identified</w:t>
      </w:r>
      <w:r w:rsidRPr="001C6227">
        <w:t xml:space="preserve">. </w:t>
      </w:r>
    </w:p>
    <w:p w14:paraId="46F9D5D7" w14:textId="61E88EF8" w:rsidR="00BA77C7" w:rsidRDefault="001A19BC" w:rsidP="001A19BC">
      <w:pPr>
        <w:pStyle w:val="CGCNumberedPara"/>
      </w:pPr>
      <w:r>
        <w:t xml:space="preserve">In </w:t>
      </w:r>
      <w:r w:rsidR="00A301AB">
        <w:t xml:space="preserve">all </w:t>
      </w:r>
      <w:r>
        <w:t>other expense categories, corporate services expenses</w:t>
      </w:r>
      <w:r w:rsidR="00A301AB">
        <w:t xml:space="preserve"> (excluding </w:t>
      </w:r>
      <w:r>
        <w:t xml:space="preserve">administrative scale </w:t>
      </w:r>
      <w:r w:rsidR="00BA77C7">
        <w:t xml:space="preserve">affected </w:t>
      </w:r>
      <w:r>
        <w:t>expenses</w:t>
      </w:r>
      <w:r w:rsidR="00BA77C7">
        <w:t>)</w:t>
      </w:r>
      <w:r>
        <w:t xml:space="preserve"> are </w:t>
      </w:r>
      <w:r w:rsidR="00BA77C7">
        <w:t xml:space="preserve">treated </w:t>
      </w:r>
      <w:r>
        <w:t xml:space="preserve">as part of </w:t>
      </w:r>
      <w:r w:rsidR="00BA77C7">
        <w:t xml:space="preserve">the </w:t>
      </w:r>
      <w:r>
        <w:t xml:space="preserve">service delivery expenses </w:t>
      </w:r>
      <w:r w:rsidR="00BA77C7">
        <w:t xml:space="preserve">and the disabilities that affect service delivery expenses are applied to them. This is consistent with the approach adopted by most States in those parts of departmental annual financial statements which seek to show the expenses incurred in delivering each output of the department. </w:t>
      </w:r>
    </w:p>
    <w:p w14:paraId="65D3D46D" w14:textId="23C2F772" w:rsidR="001A19BC" w:rsidRDefault="001A19BC" w:rsidP="001A19BC">
      <w:pPr>
        <w:pStyle w:val="CGCNumberedPara"/>
      </w:pPr>
      <w:r>
        <w:t xml:space="preserve">For consistency with that practice, </w:t>
      </w:r>
      <w:proofErr w:type="gramStart"/>
      <w:r>
        <w:t>staff propose</w:t>
      </w:r>
      <w:proofErr w:type="gramEnd"/>
      <w:r>
        <w:t xml:space="preserve"> to reallocate </w:t>
      </w:r>
      <w:r w:rsidR="00BA77C7">
        <w:t xml:space="preserve">roads </w:t>
      </w:r>
      <w:r>
        <w:t xml:space="preserve">corporate services and loan servicing expenses to all </w:t>
      </w:r>
      <w:r w:rsidR="00BA77C7">
        <w:t xml:space="preserve">roads </w:t>
      </w:r>
      <w:r>
        <w:t xml:space="preserve">components on a proportional basis. </w:t>
      </w:r>
      <w:r w:rsidR="00BA77C7">
        <w:t>In 2016-17, c</w:t>
      </w:r>
      <w:r>
        <w:t>orporate services expenses were $709 million and loan servicing expense</w:t>
      </w:r>
      <w:r w:rsidR="00BA77C7">
        <w:t>s</w:t>
      </w:r>
      <w:r>
        <w:t xml:space="preserve"> were $42 million (see </w:t>
      </w:r>
      <w:r>
        <w:fldChar w:fldCharType="begin"/>
      </w:r>
      <w:r>
        <w:instrText xml:space="preserve"> REF _Ref506813274 \h </w:instrText>
      </w:r>
      <w:r>
        <w:fldChar w:fldCharType="separate"/>
      </w:r>
      <w:r w:rsidR="004B3502">
        <w:t xml:space="preserve">Table </w:t>
      </w:r>
      <w:r w:rsidR="004B3502">
        <w:rPr>
          <w:noProof/>
        </w:rPr>
        <w:t>4</w:t>
      </w:r>
      <w:r>
        <w:fldChar w:fldCharType="end"/>
      </w:r>
      <w:r>
        <w:t>).</w:t>
      </w:r>
    </w:p>
    <w:p w14:paraId="0A894C3E" w14:textId="58FB0B25" w:rsidR="001A19BC" w:rsidRDefault="001A19BC" w:rsidP="001A19BC">
      <w:pPr>
        <w:pStyle w:val="CGCNumberedPara"/>
      </w:pPr>
      <w:r>
        <w:t>Staff have tested the materiality of separate assessments for:</w:t>
      </w:r>
    </w:p>
    <w:p w14:paraId="503E968D" w14:textId="77777777" w:rsidR="001A19BC" w:rsidRDefault="001A19BC" w:rsidP="001A19BC">
      <w:pPr>
        <w:pStyle w:val="CGCBulletlist"/>
      </w:pPr>
      <w:r>
        <w:t>enforcement of heavy vehicle regulatory costs using heavy vehicle registrations as the measure of needs</w:t>
      </w:r>
    </w:p>
    <w:p w14:paraId="0C2289A0" w14:textId="1E06E0F2" w:rsidR="001A19BC" w:rsidRDefault="001A19BC" w:rsidP="001A19BC">
      <w:pPr>
        <w:pStyle w:val="CGCBulletlist"/>
      </w:pPr>
      <w:r>
        <w:t>vehicle registration</w:t>
      </w:r>
      <w:r w:rsidR="006E049E">
        <w:t xml:space="preserve"> costs</w:t>
      </w:r>
      <w:r>
        <w:t xml:space="preserve"> using total vehicle registrations </w:t>
      </w:r>
      <w:r w:rsidR="006E049E">
        <w:t>to</w:t>
      </w:r>
      <w:r>
        <w:t xml:space="preserve"> measure needs</w:t>
      </w:r>
    </w:p>
    <w:p w14:paraId="24066FE8" w14:textId="6BCBC3A6" w:rsidR="001A19BC" w:rsidRDefault="001A19BC" w:rsidP="001A19BC">
      <w:pPr>
        <w:pStyle w:val="CGCBulletlist"/>
      </w:pPr>
      <w:proofErr w:type="gramStart"/>
      <w:r w:rsidRPr="00AB0168">
        <w:t>driver</w:t>
      </w:r>
      <w:proofErr w:type="gramEnd"/>
      <w:r w:rsidRPr="00AB0168">
        <w:t xml:space="preserve"> licensing</w:t>
      </w:r>
      <w:r>
        <w:t xml:space="preserve"> using population aged 17 to 85</w:t>
      </w:r>
      <w:r w:rsidR="008F2022">
        <w:t xml:space="preserve"> to measure needs</w:t>
      </w:r>
      <w:r>
        <w:t>.</w:t>
      </w:r>
    </w:p>
    <w:p w14:paraId="25FFD446" w14:textId="14191083" w:rsidR="001A19BC" w:rsidRDefault="001A19BC" w:rsidP="001A19BC">
      <w:pPr>
        <w:pStyle w:val="CGCNumberedPara"/>
      </w:pPr>
      <w:r>
        <w:fldChar w:fldCharType="begin"/>
      </w:r>
      <w:r>
        <w:instrText xml:space="preserve"> REF _Ref508959771 \h </w:instrText>
      </w:r>
      <w:r>
        <w:fldChar w:fldCharType="separate"/>
      </w:r>
      <w:r w:rsidR="004B3502">
        <w:t xml:space="preserve">Table </w:t>
      </w:r>
      <w:r w:rsidR="004B3502">
        <w:rPr>
          <w:noProof/>
        </w:rPr>
        <w:t>12</w:t>
      </w:r>
      <w:r>
        <w:fldChar w:fldCharType="end"/>
      </w:r>
      <w:r>
        <w:t xml:space="preserve"> shows that </w:t>
      </w:r>
      <w:r w:rsidR="008F2022">
        <w:t xml:space="preserve">such </w:t>
      </w:r>
      <w:r>
        <w:t>assessments would not be material</w:t>
      </w:r>
      <w:r w:rsidR="008F2022">
        <w:t>,</w:t>
      </w:r>
      <w:r w:rsidR="008F2022" w:rsidRPr="008F2022">
        <w:t xml:space="preserve"> </w:t>
      </w:r>
      <w:r w:rsidR="008F2022">
        <w:t>individually or in total</w:t>
      </w:r>
      <w:r>
        <w:t xml:space="preserve">. </w:t>
      </w:r>
    </w:p>
    <w:p w14:paraId="627F55B9" w14:textId="77777777" w:rsidR="001A19BC" w:rsidRDefault="001A19BC" w:rsidP="001A19BC">
      <w:pPr>
        <w:pStyle w:val="CGCTableHeading"/>
      </w:pPr>
      <w:bookmarkStart w:id="73" w:name="_Ref508959771"/>
      <w:r>
        <w:lastRenderedPageBreak/>
        <w:t xml:space="preserve">Table </w:t>
      </w:r>
      <w:fldSimple w:instr=" SEQ Table \* ARABIC ">
        <w:r w:rsidR="004B3502">
          <w:rPr>
            <w:noProof/>
          </w:rPr>
          <w:t>12</w:t>
        </w:r>
      </w:fldSimple>
      <w:bookmarkEnd w:id="73"/>
      <w:r>
        <w:tab/>
        <w:t>Other services assessments, GST redistribution</w:t>
      </w:r>
    </w:p>
    <w:tbl>
      <w:tblPr>
        <w:tblW w:w="8980" w:type="dxa"/>
        <w:tblInd w:w="93" w:type="dxa"/>
        <w:tblLook w:val="04A0" w:firstRow="1" w:lastRow="0" w:firstColumn="1" w:lastColumn="0" w:noHBand="0" w:noVBand="1"/>
      </w:tblPr>
      <w:tblGrid>
        <w:gridCol w:w="2720"/>
        <w:gridCol w:w="760"/>
        <w:gridCol w:w="660"/>
        <w:gridCol w:w="660"/>
        <w:gridCol w:w="660"/>
        <w:gridCol w:w="660"/>
        <w:gridCol w:w="660"/>
        <w:gridCol w:w="660"/>
        <w:gridCol w:w="660"/>
        <w:gridCol w:w="880"/>
      </w:tblGrid>
      <w:tr w:rsidR="001A19BC" w:rsidRPr="00FC5D74" w14:paraId="55E2D1D8" w14:textId="77777777" w:rsidTr="0053331C">
        <w:trPr>
          <w:trHeight w:val="379"/>
        </w:trPr>
        <w:tc>
          <w:tcPr>
            <w:tcW w:w="2720" w:type="dxa"/>
            <w:tcBorders>
              <w:top w:val="single" w:sz="4" w:space="0" w:color="auto"/>
              <w:left w:val="nil"/>
              <w:bottom w:val="single" w:sz="4" w:space="0" w:color="auto"/>
              <w:right w:val="nil"/>
            </w:tcBorders>
            <w:shd w:val="clear" w:color="auto" w:fill="auto"/>
            <w:noWrap/>
            <w:vAlign w:val="center"/>
            <w:hideMark/>
          </w:tcPr>
          <w:p w14:paraId="4A08814F" w14:textId="77777777" w:rsidR="001A19BC" w:rsidRPr="00FC5D74" w:rsidRDefault="001A19BC" w:rsidP="0053331C">
            <w:pPr>
              <w:pStyle w:val="TableColHeadings"/>
              <w:rPr>
                <w:lang w:eastAsia="en-AU"/>
              </w:rPr>
            </w:pPr>
            <w:bookmarkStart w:id="74" w:name="RANGE!A93:J97"/>
            <w:r w:rsidRPr="00FC5D74">
              <w:rPr>
                <w:lang w:eastAsia="en-AU"/>
              </w:rPr>
              <w:t> </w:t>
            </w:r>
            <w:bookmarkEnd w:id="74"/>
          </w:p>
        </w:tc>
        <w:tc>
          <w:tcPr>
            <w:tcW w:w="760" w:type="dxa"/>
            <w:tcBorders>
              <w:top w:val="single" w:sz="4" w:space="0" w:color="auto"/>
              <w:left w:val="nil"/>
              <w:bottom w:val="single" w:sz="4" w:space="0" w:color="auto"/>
              <w:right w:val="nil"/>
            </w:tcBorders>
            <w:shd w:val="clear" w:color="auto" w:fill="auto"/>
            <w:noWrap/>
            <w:vAlign w:val="center"/>
            <w:hideMark/>
          </w:tcPr>
          <w:p w14:paraId="43558B24" w14:textId="77777777" w:rsidR="001A19BC" w:rsidRPr="00FC5D74" w:rsidRDefault="001A19BC" w:rsidP="0053331C">
            <w:pPr>
              <w:pStyle w:val="TableColHeadings"/>
              <w:rPr>
                <w:lang w:eastAsia="en-AU"/>
              </w:rPr>
            </w:pPr>
            <w:r w:rsidRPr="00FC5D74">
              <w:rPr>
                <w:lang w:eastAsia="en-AU"/>
              </w:rPr>
              <w:t>NSW</w:t>
            </w:r>
          </w:p>
        </w:tc>
        <w:tc>
          <w:tcPr>
            <w:tcW w:w="660" w:type="dxa"/>
            <w:tcBorders>
              <w:top w:val="single" w:sz="4" w:space="0" w:color="auto"/>
              <w:left w:val="nil"/>
              <w:bottom w:val="single" w:sz="4" w:space="0" w:color="auto"/>
              <w:right w:val="nil"/>
            </w:tcBorders>
            <w:shd w:val="clear" w:color="auto" w:fill="auto"/>
            <w:noWrap/>
            <w:vAlign w:val="center"/>
            <w:hideMark/>
          </w:tcPr>
          <w:p w14:paraId="43C7BCF1" w14:textId="77777777" w:rsidR="001A19BC" w:rsidRPr="00FC5D74" w:rsidRDefault="001A19BC" w:rsidP="0053331C">
            <w:pPr>
              <w:pStyle w:val="TableColHeadings"/>
              <w:rPr>
                <w:lang w:eastAsia="en-AU"/>
              </w:rPr>
            </w:pPr>
            <w:r w:rsidRPr="00FC5D74">
              <w:rPr>
                <w:lang w:eastAsia="en-AU"/>
              </w:rPr>
              <w:t>Vic</w:t>
            </w:r>
          </w:p>
        </w:tc>
        <w:tc>
          <w:tcPr>
            <w:tcW w:w="660" w:type="dxa"/>
            <w:tcBorders>
              <w:top w:val="single" w:sz="4" w:space="0" w:color="auto"/>
              <w:left w:val="nil"/>
              <w:bottom w:val="single" w:sz="4" w:space="0" w:color="auto"/>
              <w:right w:val="nil"/>
            </w:tcBorders>
            <w:shd w:val="clear" w:color="auto" w:fill="auto"/>
            <w:noWrap/>
            <w:vAlign w:val="center"/>
            <w:hideMark/>
          </w:tcPr>
          <w:p w14:paraId="60A853B9" w14:textId="77777777" w:rsidR="001A19BC" w:rsidRPr="00FC5D74" w:rsidRDefault="001A19BC" w:rsidP="0053331C">
            <w:pPr>
              <w:pStyle w:val="TableColHeadings"/>
              <w:rPr>
                <w:lang w:eastAsia="en-AU"/>
              </w:rPr>
            </w:pPr>
            <w:r w:rsidRPr="00FC5D74">
              <w:rPr>
                <w:lang w:eastAsia="en-AU"/>
              </w:rPr>
              <w:t>Qld</w:t>
            </w:r>
          </w:p>
        </w:tc>
        <w:tc>
          <w:tcPr>
            <w:tcW w:w="660" w:type="dxa"/>
            <w:tcBorders>
              <w:top w:val="single" w:sz="4" w:space="0" w:color="auto"/>
              <w:left w:val="nil"/>
              <w:bottom w:val="single" w:sz="4" w:space="0" w:color="auto"/>
              <w:right w:val="nil"/>
            </w:tcBorders>
            <w:shd w:val="clear" w:color="auto" w:fill="auto"/>
            <w:noWrap/>
            <w:vAlign w:val="center"/>
            <w:hideMark/>
          </w:tcPr>
          <w:p w14:paraId="34A0C8CF" w14:textId="77777777" w:rsidR="001A19BC" w:rsidRPr="00FC5D74" w:rsidRDefault="001A19BC" w:rsidP="0053331C">
            <w:pPr>
              <w:pStyle w:val="TableColHeadings"/>
              <w:rPr>
                <w:lang w:eastAsia="en-AU"/>
              </w:rPr>
            </w:pPr>
            <w:r w:rsidRPr="00FC5D74">
              <w:rPr>
                <w:lang w:eastAsia="en-AU"/>
              </w:rPr>
              <w:t>WA</w:t>
            </w:r>
          </w:p>
        </w:tc>
        <w:tc>
          <w:tcPr>
            <w:tcW w:w="660" w:type="dxa"/>
            <w:tcBorders>
              <w:top w:val="single" w:sz="4" w:space="0" w:color="auto"/>
              <w:left w:val="nil"/>
              <w:bottom w:val="single" w:sz="4" w:space="0" w:color="auto"/>
              <w:right w:val="nil"/>
            </w:tcBorders>
            <w:shd w:val="clear" w:color="auto" w:fill="auto"/>
            <w:noWrap/>
            <w:vAlign w:val="center"/>
            <w:hideMark/>
          </w:tcPr>
          <w:p w14:paraId="1744768F" w14:textId="77777777" w:rsidR="001A19BC" w:rsidRPr="00FC5D74" w:rsidRDefault="001A19BC" w:rsidP="0053331C">
            <w:pPr>
              <w:pStyle w:val="TableColHeadings"/>
              <w:rPr>
                <w:lang w:eastAsia="en-AU"/>
              </w:rPr>
            </w:pPr>
            <w:r w:rsidRPr="00FC5D74">
              <w:rPr>
                <w:lang w:eastAsia="en-AU"/>
              </w:rPr>
              <w:t>SA</w:t>
            </w:r>
          </w:p>
        </w:tc>
        <w:tc>
          <w:tcPr>
            <w:tcW w:w="660" w:type="dxa"/>
            <w:tcBorders>
              <w:top w:val="single" w:sz="4" w:space="0" w:color="auto"/>
              <w:left w:val="nil"/>
              <w:bottom w:val="single" w:sz="4" w:space="0" w:color="auto"/>
              <w:right w:val="nil"/>
            </w:tcBorders>
            <w:shd w:val="clear" w:color="auto" w:fill="auto"/>
            <w:noWrap/>
            <w:vAlign w:val="center"/>
            <w:hideMark/>
          </w:tcPr>
          <w:p w14:paraId="3884F8C2" w14:textId="77777777" w:rsidR="001A19BC" w:rsidRPr="00FC5D74" w:rsidRDefault="001A19BC" w:rsidP="0053331C">
            <w:pPr>
              <w:pStyle w:val="TableColHeadings"/>
              <w:rPr>
                <w:lang w:eastAsia="en-AU"/>
              </w:rPr>
            </w:pPr>
            <w:proofErr w:type="spellStart"/>
            <w:r w:rsidRPr="00FC5D74">
              <w:rPr>
                <w:lang w:eastAsia="en-AU"/>
              </w:rPr>
              <w:t>Tas</w:t>
            </w:r>
            <w:proofErr w:type="spellEnd"/>
          </w:p>
        </w:tc>
        <w:tc>
          <w:tcPr>
            <w:tcW w:w="660" w:type="dxa"/>
            <w:tcBorders>
              <w:top w:val="single" w:sz="4" w:space="0" w:color="auto"/>
              <w:left w:val="nil"/>
              <w:bottom w:val="single" w:sz="4" w:space="0" w:color="auto"/>
              <w:right w:val="nil"/>
            </w:tcBorders>
            <w:shd w:val="clear" w:color="auto" w:fill="auto"/>
            <w:noWrap/>
            <w:vAlign w:val="center"/>
            <w:hideMark/>
          </w:tcPr>
          <w:p w14:paraId="6047F5C7" w14:textId="77777777" w:rsidR="001A19BC" w:rsidRPr="00FC5D74" w:rsidRDefault="001A19BC" w:rsidP="0053331C">
            <w:pPr>
              <w:pStyle w:val="TableColHeadings"/>
              <w:rPr>
                <w:lang w:eastAsia="en-AU"/>
              </w:rPr>
            </w:pPr>
            <w:r w:rsidRPr="00FC5D74">
              <w:rPr>
                <w:lang w:eastAsia="en-AU"/>
              </w:rPr>
              <w:t>ACT</w:t>
            </w:r>
          </w:p>
        </w:tc>
        <w:tc>
          <w:tcPr>
            <w:tcW w:w="660" w:type="dxa"/>
            <w:tcBorders>
              <w:top w:val="single" w:sz="4" w:space="0" w:color="auto"/>
              <w:left w:val="nil"/>
              <w:bottom w:val="single" w:sz="4" w:space="0" w:color="auto"/>
              <w:right w:val="nil"/>
            </w:tcBorders>
            <w:shd w:val="clear" w:color="auto" w:fill="auto"/>
            <w:noWrap/>
            <w:vAlign w:val="center"/>
            <w:hideMark/>
          </w:tcPr>
          <w:p w14:paraId="43ACC230" w14:textId="77777777" w:rsidR="001A19BC" w:rsidRPr="00FC5D74" w:rsidRDefault="001A19BC" w:rsidP="0053331C">
            <w:pPr>
              <w:pStyle w:val="TableColHeadings"/>
              <w:rPr>
                <w:lang w:eastAsia="en-AU"/>
              </w:rPr>
            </w:pPr>
            <w:r w:rsidRPr="00FC5D74">
              <w:rPr>
                <w:lang w:eastAsia="en-AU"/>
              </w:rPr>
              <w:t>NT</w:t>
            </w:r>
          </w:p>
        </w:tc>
        <w:tc>
          <w:tcPr>
            <w:tcW w:w="880" w:type="dxa"/>
            <w:tcBorders>
              <w:top w:val="single" w:sz="4" w:space="0" w:color="auto"/>
              <w:left w:val="nil"/>
              <w:bottom w:val="single" w:sz="4" w:space="0" w:color="auto"/>
              <w:right w:val="nil"/>
            </w:tcBorders>
            <w:shd w:val="clear" w:color="auto" w:fill="auto"/>
            <w:noWrap/>
            <w:vAlign w:val="center"/>
            <w:hideMark/>
          </w:tcPr>
          <w:p w14:paraId="55A27EAF" w14:textId="77777777" w:rsidR="001A19BC" w:rsidRPr="00FC5D74" w:rsidRDefault="001A19BC" w:rsidP="0053331C">
            <w:pPr>
              <w:pStyle w:val="TableColHeadings"/>
              <w:rPr>
                <w:lang w:eastAsia="en-AU"/>
              </w:rPr>
            </w:pPr>
            <w:proofErr w:type="spellStart"/>
            <w:r w:rsidRPr="00FC5D74">
              <w:rPr>
                <w:lang w:eastAsia="en-AU"/>
              </w:rPr>
              <w:t>Redist</w:t>
            </w:r>
            <w:proofErr w:type="spellEnd"/>
          </w:p>
        </w:tc>
      </w:tr>
      <w:tr w:rsidR="001A19BC" w:rsidRPr="003F0CB7" w14:paraId="32A6FC69" w14:textId="77777777" w:rsidTr="0053331C">
        <w:trPr>
          <w:trHeight w:val="259"/>
        </w:trPr>
        <w:tc>
          <w:tcPr>
            <w:tcW w:w="2720" w:type="dxa"/>
            <w:tcBorders>
              <w:top w:val="nil"/>
              <w:left w:val="nil"/>
              <w:bottom w:val="nil"/>
              <w:right w:val="nil"/>
            </w:tcBorders>
            <w:shd w:val="clear" w:color="auto" w:fill="auto"/>
            <w:noWrap/>
            <w:vAlign w:val="bottom"/>
            <w:hideMark/>
          </w:tcPr>
          <w:p w14:paraId="7999363D" w14:textId="77777777" w:rsidR="001A19BC" w:rsidRPr="003F0CB7" w:rsidRDefault="001A19BC" w:rsidP="0053331C">
            <w:pPr>
              <w:pStyle w:val="TableRowNormal"/>
              <w:spacing w:before="0" w:after="0" w:line="240" w:lineRule="auto"/>
              <w:ind w:left="0" w:firstLine="0"/>
              <w:rPr>
                <w:rFonts w:cstheme="minorHAnsi"/>
              </w:rPr>
            </w:pPr>
          </w:p>
        </w:tc>
        <w:tc>
          <w:tcPr>
            <w:tcW w:w="760" w:type="dxa"/>
            <w:tcBorders>
              <w:top w:val="nil"/>
              <w:left w:val="nil"/>
              <w:bottom w:val="nil"/>
              <w:right w:val="nil"/>
            </w:tcBorders>
            <w:shd w:val="clear" w:color="auto" w:fill="auto"/>
            <w:noWrap/>
            <w:vAlign w:val="bottom"/>
            <w:hideMark/>
          </w:tcPr>
          <w:p w14:paraId="05C2BC26" w14:textId="77777777" w:rsidR="001A19BC" w:rsidRPr="003F0CB7" w:rsidRDefault="001A19BC" w:rsidP="0053331C">
            <w:pPr>
              <w:pStyle w:val="TableRowNormal"/>
              <w:spacing w:before="0" w:after="0" w:line="240" w:lineRule="auto"/>
              <w:ind w:left="0" w:firstLine="0"/>
              <w:rPr>
                <w:rFonts w:cstheme="minorHAnsi"/>
              </w:rPr>
            </w:pPr>
            <w:r w:rsidRPr="003F0CB7">
              <w:rPr>
                <w:rFonts w:cstheme="minorHAnsi"/>
              </w:rPr>
              <w:t>$m</w:t>
            </w:r>
          </w:p>
        </w:tc>
        <w:tc>
          <w:tcPr>
            <w:tcW w:w="660" w:type="dxa"/>
            <w:tcBorders>
              <w:top w:val="nil"/>
              <w:left w:val="nil"/>
              <w:bottom w:val="nil"/>
              <w:right w:val="nil"/>
            </w:tcBorders>
            <w:shd w:val="clear" w:color="auto" w:fill="auto"/>
            <w:noWrap/>
            <w:vAlign w:val="bottom"/>
            <w:hideMark/>
          </w:tcPr>
          <w:p w14:paraId="1AB8A632" w14:textId="77777777" w:rsidR="001A19BC" w:rsidRPr="003F0CB7" w:rsidRDefault="001A19BC" w:rsidP="0053331C">
            <w:pPr>
              <w:pStyle w:val="TableRowNormal"/>
              <w:spacing w:before="0" w:after="0" w:line="240" w:lineRule="auto"/>
              <w:ind w:left="0" w:firstLine="0"/>
              <w:rPr>
                <w:rFonts w:cstheme="minorHAnsi"/>
              </w:rPr>
            </w:pPr>
            <w:r w:rsidRPr="003F0CB7">
              <w:rPr>
                <w:rFonts w:cstheme="minorHAnsi"/>
              </w:rPr>
              <w:t>$m</w:t>
            </w:r>
          </w:p>
        </w:tc>
        <w:tc>
          <w:tcPr>
            <w:tcW w:w="660" w:type="dxa"/>
            <w:tcBorders>
              <w:top w:val="nil"/>
              <w:left w:val="nil"/>
              <w:bottom w:val="nil"/>
              <w:right w:val="nil"/>
            </w:tcBorders>
            <w:shd w:val="clear" w:color="auto" w:fill="auto"/>
            <w:noWrap/>
            <w:vAlign w:val="bottom"/>
            <w:hideMark/>
          </w:tcPr>
          <w:p w14:paraId="38CC7BF8" w14:textId="77777777" w:rsidR="001A19BC" w:rsidRPr="003F0CB7" w:rsidRDefault="001A19BC" w:rsidP="0053331C">
            <w:pPr>
              <w:pStyle w:val="TableRowNormal"/>
              <w:spacing w:before="0" w:after="0" w:line="240" w:lineRule="auto"/>
              <w:ind w:left="0" w:firstLine="0"/>
              <w:rPr>
                <w:rFonts w:cstheme="minorHAnsi"/>
              </w:rPr>
            </w:pPr>
            <w:r w:rsidRPr="003F0CB7">
              <w:rPr>
                <w:rFonts w:cstheme="minorHAnsi"/>
              </w:rPr>
              <w:t>$m</w:t>
            </w:r>
          </w:p>
        </w:tc>
        <w:tc>
          <w:tcPr>
            <w:tcW w:w="660" w:type="dxa"/>
            <w:tcBorders>
              <w:top w:val="nil"/>
              <w:left w:val="nil"/>
              <w:bottom w:val="nil"/>
              <w:right w:val="nil"/>
            </w:tcBorders>
            <w:shd w:val="clear" w:color="auto" w:fill="auto"/>
            <w:noWrap/>
            <w:vAlign w:val="bottom"/>
            <w:hideMark/>
          </w:tcPr>
          <w:p w14:paraId="17BCAE97" w14:textId="77777777" w:rsidR="001A19BC" w:rsidRPr="003F0CB7" w:rsidRDefault="001A19BC" w:rsidP="0053331C">
            <w:pPr>
              <w:pStyle w:val="TableRowNormal"/>
              <w:spacing w:before="0" w:after="0" w:line="240" w:lineRule="auto"/>
              <w:ind w:left="0" w:firstLine="0"/>
              <w:rPr>
                <w:rFonts w:cstheme="minorHAnsi"/>
              </w:rPr>
            </w:pPr>
            <w:r w:rsidRPr="003F0CB7">
              <w:rPr>
                <w:rFonts w:cstheme="minorHAnsi"/>
              </w:rPr>
              <w:t>$m</w:t>
            </w:r>
          </w:p>
        </w:tc>
        <w:tc>
          <w:tcPr>
            <w:tcW w:w="660" w:type="dxa"/>
            <w:tcBorders>
              <w:top w:val="nil"/>
              <w:left w:val="nil"/>
              <w:bottom w:val="nil"/>
              <w:right w:val="nil"/>
            </w:tcBorders>
            <w:shd w:val="clear" w:color="auto" w:fill="auto"/>
            <w:noWrap/>
            <w:vAlign w:val="bottom"/>
            <w:hideMark/>
          </w:tcPr>
          <w:p w14:paraId="3C8293FF" w14:textId="77777777" w:rsidR="001A19BC" w:rsidRPr="003F0CB7" w:rsidRDefault="001A19BC" w:rsidP="0053331C">
            <w:pPr>
              <w:pStyle w:val="TableRowNormal"/>
              <w:spacing w:before="0" w:after="0" w:line="240" w:lineRule="auto"/>
              <w:ind w:left="0" w:firstLine="0"/>
              <w:rPr>
                <w:rFonts w:cstheme="minorHAnsi"/>
              </w:rPr>
            </w:pPr>
            <w:r w:rsidRPr="003F0CB7">
              <w:rPr>
                <w:rFonts w:cstheme="minorHAnsi"/>
              </w:rPr>
              <w:t>$m</w:t>
            </w:r>
          </w:p>
        </w:tc>
        <w:tc>
          <w:tcPr>
            <w:tcW w:w="660" w:type="dxa"/>
            <w:tcBorders>
              <w:top w:val="nil"/>
              <w:left w:val="nil"/>
              <w:bottom w:val="nil"/>
              <w:right w:val="nil"/>
            </w:tcBorders>
            <w:shd w:val="clear" w:color="auto" w:fill="auto"/>
            <w:noWrap/>
            <w:vAlign w:val="bottom"/>
            <w:hideMark/>
          </w:tcPr>
          <w:p w14:paraId="78747FDD" w14:textId="77777777" w:rsidR="001A19BC" w:rsidRPr="003F0CB7" w:rsidRDefault="001A19BC" w:rsidP="0053331C">
            <w:pPr>
              <w:pStyle w:val="TableRowNormal"/>
              <w:spacing w:before="0" w:after="0" w:line="240" w:lineRule="auto"/>
              <w:ind w:left="0" w:firstLine="0"/>
              <w:rPr>
                <w:rFonts w:cstheme="minorHAnsi"/>
              </w:rPr>
            </w:pPr>
            <w:r w:rsidRPr="003F0CB7">
              <w:rPr>
                <w:rFonts w:cstheme="minorHAnsi"/>
              </w:rPr>
              <w:t>$m</w:t>
            </w:r>
          </w:p>
        </w:tc>
        <w:tc>
          <w:tcPr>
            <w:tcW w:w="660" w:type="dxa"/>
            <w:tcBorders>
              <w:top w:val="nil"/>
              <w:left w:val="nil"/>
              <w:bottom w:val="nil"/>
              <w:right w:val="nil"/>
            </w:tcBorders>
            <w:shd w:val="clear" w:color="auto" w:fill="auto"/>
            <w:noWrap/>
            <w:vAlign w:val="bottom"/>
            <w:hideMark/>
          </w:tcPr>
          <w:p w14:paraId="285A4682" w14:textId="77777777" w:rsidR="001A19BC" w:rsidRPr="003F0CB7" w:rsidRDefault="001A19BC" w:rsidP="0053331C">
            <w:pPr>
              <w:pStyle w:val="TableRowNormal"/>
              <w:spacing w:before="0" w:after="0" w:line="240" w:lineRule="auto"/>
              <w:ind w:left="0" w:firstLine="0"/>
              <w:rPr>
                <w:rFonts w:cstheme="minorHAnsi"/>
              </w:rPr>
            </w:pPr>
            <w:r w:rsidRPr="003F0CB7">
              <w:rPr>
                <w:rFonts w:cstheme="minorHAnsi"/>
              </w:rPr>
              <w:t>$m</w:t>
            </w:r>
          </w:p>
        </w:tc>
        <w:tc>
          <w:tcPr>
            <w:tcW w:w="660" w:type="dxa"/>
            <w:tcBorders>
              <w:top w:val="nil"/>
              <w:left w:val="nil"/>
              <w:bottom w:val="nil"/>
              <w:right w:val="nil"/>
            </w:tcBorders>
            <w:shd w:val="clear" w:color="auto" w:fill="auto"/>
            <w:noWrap/>
            <w:vAlign w:val="bottom"/>
            <w:hideMark/>
          </w:tcPr>
          <w:p w14:paraId="2A4FC192" w14:textId="77777777" w:rsidR="001A19BC" w:rsidRPr="003F0CB7" w:rsidRDefault="001A19BC" w:rsidP="0053331C">
            <w:pPr>
              <w:pStyle w:val="TableRowNormal"/>
              <w:spacing w:before="0" w:after="0" w:line="240" w:lineRule="auto"/>
              <w:ind w:left="0" w:firstLine="0"/>
              <w:rPr>
                <w:rFonts w:cstheme="minorHAnsi"/>
              </w:rPr>
            </w:pPr>
            <w:r w:rsidRPr="003F0CB7">
              <w:rPr>
                <w:rFonts w:cstheme="minorHAnsi"/>
              </w:rPr>
              <w:t>$m</w:t>
            </w:r>
          </w:p>
        </w:tc>
        <w:tc>
          <w:tcPr>
            <w:tcW w:w="880" w:type="dxa"/>
            <w:tcBorders>
              <w:top w:val="nil"/>
              <w:left w:val="nil"/>
              <w:bottom w:val="nil"/>
              <w:right w:val="nil"/>
            </w:tcBorders>
            <w:shd w:val="clear" w:color="auto" w:fill="auto"/>
            <w:noWrap/>
            <w:vAlign w:val="bottom"/>
            <w:hideMark/>
          </w:tcPr>
          <w:p w14:paraId="50C1B76F" w14:textId="77777777" w:rsidR="001A19BC" w:rsidRPr="003F0CB7" w:rsidRDefault="001A19BC" w:rsidP="0053331C">
            <w:pPr>
              <w:pStyle w:val="TableRowNormal"/>
              <w:spacing w:before="0" w:after="0" w:line="240" w:lineRule="auto"/>
              <w:ind w:left="0" w:firstLine="0"/>
              <w:rPr>
                <w:rFonts w:cstheme="minorHAnsi"/>
              </w:rPr>
            </w:pPr>
            <w:r w:rsidRPr="003F0CB7">
              <w:rPr>
                <w:rFonts w:cstheme="minorHAnsi"/>
              </w:rPr>
              <w:t>$m</w:t>
            </w:r>
          </w:p>
        </w:tc>
      </w:tr>
      <w:tr w:rsidR="001A19BC" w:rsidRPr="00FC5D74" w14:paraId="424BC6A1" w14:textId="77777777" w:rsidTr="0053331C">
        <w:trPr>
          <w:trHeight w:val="315"/>
        </w:trPr>
        <w:tc>
          <w:tcPr>
            <w:tcW w:w="2720" w:type="dxa"/>
            <w:tcBorders>
              <w:top w:val="nil"/>
              <w:left w:val="nil"/>
              <w:bottom w:val="nil"/>
              <w:right w:val="nil"/>
            </w:tcBorders>
            <w:shd w:val="clear" w:color="auto" w:fill="auto"/>
            <w:vAlign w:val="bottom"/>
            <w:hideMark/>
          </w:tcPr>
          <w:p w14:paraId="4B2E0EE0" w14:textId="77777777" w:rsidR="001A19BC" w:rsidRPr="003F0CB7" w:rsidRDefault="001A19BC" w:rsidP="0053331C">
            <w:pPr>
              <w:pStyle w:val="CGCTableStub"/>
              <w:tabs>
                <w:tab w:val="left" w:pos="142"/>
                <w:tab w:val="left" w:pos="425"/>
                <w:tab w:val="left" w:pos="709"/>
                <w:tab w:val="left" w:pos="851"/>
              </w:tabs>
              <w:ind w:left="142" w:hanging="142"/>
              <w:rPr>
                <w:rFonts w:cstheme="minorHAnsi"/>
              </w:rPr>
            </w:pPr>
            <w:r w:rsidRPr="003F0CB7">
              <w:rPr>
                <w:rFonts w:cstheme="minorHAnsi"/>
              </w:rPr>
              <w:t>Heavy vehicle regulatory costs</w:t>
            </w:r>
          </w:p>
        </w:tc>
        <w:tc>
          <w:tcPr>
            <w:tcW w:w="760" w:type="dxa"/>
            <w:tcBorders>
              <w:top w:val="nil"/>
              <w:left w:val="nil"/>
              <w:bottom w:val="nil"/>
              <w:right w:val="nil"/>
            </w:tcBorders>
            <w:shd w:val="clear" w:color="auto" w:fill="auto"/>
            <w:vAlign w:val="bottom"/>
            <w:hideMark/>
          </w:tcPr>
          <w:p w14:paraId="40FD9332" w14:textId="77777777" w:rsidR="001A19BC" w:rsidRPr="003F0CB7" w:rsidRDefault="001A19BC" w:rsidP="0053331C">
            <w:pPr>
              <w:pStyle w:val="TableRowNormal"/>
              <w:ind w:left="0" w:firstLine="0"/>
              <w:rPr>
                <w:rFonts w:cstheme="minorHAnsi"/>
              </w:rPr>
            </w:pPr>
            <w:r w:rsidRPr="003F0CB7">
              <w:rPr>
                <w:rFonts w:cstheme="minorHAnsi"/>
              </w:rPr>
              <w:t>-9</w:t>
            </w:r>
          </w:p>
        </w:tc>
        <w:tc>
          <w:tcPr>
            <w:tcW w:w="660" w:type="dxa"/>
            <w:tcBorders>
              <w:top w:val="nil"/>
              <w:left w:val="nil"/>
              <w:bottom w:val="nil"/>
              <w:right w:val="nil"/>
            </w:tcBorders>
            <w:shd w:val="clear" w:color="auto" w:fill="auto"/>
            <w:vAlign w:val="bottom"/>
            <w:hideMark/>
          </w:tcPr>
          <w:p w14:paraId="5B04CD9D" w14:textId="77777777" w:rsidR="001A19BC" w:rsidRPr="003F0CB7" w:rsidRDefault="001A19BC" w:rsidP="0053331C">
            <w:pPr>
              <w:pStyle w:val="TableRowNormal"/>
              <w:ind w:left="0" w:firstLine="0"/>
              <w:rPr>
                <w:rFonts w:cstheme="minorHAnsi"/>
              </w:rPr>
            </w:pPr>
            <w:r w:rsidRPr="003F0CB7">
              <w:rPr>
                <w:rFonts w:cstheme="minorHAnsi"/>
              </w:rPr>
              <w:t>-3</w:t>
            </w:r>
          </w:p>
        </w:tc>
        <w:tc>
          <w:tcPr>
            <w:tcW w:w="660" w:type="dxa"/>
            <w:tcBorders>
              <w:top w:val="nil"/>
              <w:left w:val="nil"/>
              <w:bottom w:val="nil"/>
              <w:right w:val="nil"/>
            </w:tcBorders>
            <w:shd w:val="clear" w:color="auto" w:fill="auto"/>
            <w:vAlign w:val="bottom"/>
            <w:hideMark/>
          </w:tcPr>
          <w:p w14:paraId="6250E1D1" w14:textId="77777777" w:rsidR="001A19BC" w:rsidRPr="003F0CB7" w:rsidRDefault="001A19BC" w:rsidP="0053331C">
            <w:pPr>
              <w:pStyle w:val="TableRowNormal"/>
              <w:ind w:left="0" w:firstLine="0"/>
              <w:rPr>
                <w:rFonts w:cstheme="minorHAnsi"/>
              </w:rPr>
            </w:pPr>
            <w:r w:rsidRPr="003F0CB7">
              <w:rPr>
                <w:rFonts w:cstheme="minorHAnsi"/>
              </w:rPr>
              <w:t>3</w:t>
            </w:r>
          </w:p>
        </w:tc>
        <w:tc>
          <w:tcPr>
            <w:tcW w:w="660" w:type="dxa"/>
            <w:tcBorders>
              <w:top w:val="nil"/>
              <w:left w:val="nil"/>
              <w:bottom w:val="nil"/>
              <w:right w:val="nil"/>
            </w:tcBorders>
            <w:shd w:val="clear" w:color="auto" w:fill="auto"/>
            <w:vAlign w:val="bottom"/>
            <w:hideMark/>
          </w:tcPr>
          <w:p w14:paraId="53F3EA56" w14:textId="77777777" w:rsidR="001A19BC" w:rsidRPr="003F0CB7" w:rsidRDefault="001A19BC" w:rsidP="0053331C">
            <w:pPr>
              <w:pStyle w:val="TableRowNormal"/>
              <w:ind w:left="0" w:firstLine="0"/>
              <w:rPr>
                <w:rFonts w:cstheme="minorHAnsi"/>
              </w:rPr>
            </w:pPr>
            <w:r w:rsidRPr="003F0CB7">
              <w:rPr>
                <w:rFonts w:cstheme="minorHAnsi"/>
              </w:rPr>
              <w:t>9</w:t>
            </w:r>
          </w:p>
        </w:tc>
        <w:tc>
          <w:tcPr>
            <w:tcW w:w="660" w:type="dxa"/>
            <w:tcBorders>
              <w:top w:val="nil"/>
              <w:left w:val="nil"/>
              <w:bottom w:val="nil"/>
              <w:right w:val="nil"/>
            </w:tcBorders>
            <w:shd w:val="clear" w:color="auto" w:fill="auto"/>
            <w:vAlign w:val="bottom"/>
            <w:hideMark/>
          </w:tcPr>
          <w:p w14:paraId="4F71D629"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nil"/>
              <w:right w:val="nil"/>
            </w:tcBorders>
            <w:shd w:val="clear" w:color="auto" w:fill="auto"/>
            <w:vAlign w:val="bottom"/>
            <w:hideMark/>
          </w:tcPr>
          <w:p w14:paraId="5D31B278" w14:textId="77777777" w:rsidR="001A19BC" w:rsidRPr="003F0CB7" w:rsidRDefault="001A19BC" w:rsidP="0053331C">
            <w:pPr>
              <w:pStyle w:val="TableRowNormal"/>
              <w:ind w:left="0" w:firstLine="0"/>
              <w:rPr>
                <w:rFonts w:cstheme="minorHAnsi"/>
              </w:rPr>
            </w:pPr>
            <w:r w:rsidRPr="003F0CB7">
              <w:rPr>
                <w:rFonts w:cstheme="minorHAnsi"/>
              </w:rPr>
              <w:t>1</w:t>
            </w:r>
          </w:p>
        </w:tc>
        <w:tc>
          <w:tcPr>
            <w:tcW w:w="660" w:type="dxa"/>
            <w:tcBorders>
              <w:top w:val="nil"/>
              <w:left w:val="nil"/>
              <w:bottom w:val="nil"/>
              <w:right w:val="nil"/>
            </w:tcBorders>
            <w:shd w:val="clear" w:color="auto" w:fill="auto"/>
            <w:vAlign w:val="bottom"/>
            <w:hideMark/>
          </w:tcPr>
          <w:p w14:paraId="56987BAF" w14:textId="77777777" w:rsidR="001A19BC" w:rsidRPr="003F0CB7" w:rsidRDefault="001A19BC" w:rsidP="0053331C">
            <w:pPr>
              <w:pStyle w:val="TableRowNormal"/>
              <w:ind w:left="0" w:firstLine="0"/>
              <w:rPr>
                <w:rFonts w:cstheme="minorHAnsi"/>
              </w:rPr>
            </w:pPr>
            <w:r w:rsidRPr="003F0CB7">
              <w:rPr>
                <w:rFonts w:cstheme="minorHAnsi"/>
              </w:rPr>
              <w:t>-2</w:t>
            </w:r>
          </w:p>
        </w:tc>
        <w:tc>
          <w:tcPr>
            <w:tcW w:w="660" w:type="dxa"/>
            <w:tcBorders>
              <w:top w:val="nil"/>
              <w:left w:val="nil"/>
              <w:bottom w:val="nil"/>
              <w:right w:val="nil"/>
            </w:tcBorders>
            <w:shd w:val="clear" w:color="auto" w:fill="auto"/>
            <w:vAlign w:val="bottom"/>
            <w:hideMark/>
          </w:tcPr>
          <w:p w14:paraId="32CDDD77" w14:textId="77777777" w:rsidR="001A19BC" w:rsidRPr="003F0CB7" w:rsidRDefault="001A19BC" w:rsidP="0053331C">
            <w:pPr>
              <w:pStyle w:val="TableRowNormal"/>
              <w:ind w:left="0" w:firstLine="0"/>
              <w:rPr>
                <w:rFonts w:cstheme="minorHAnsi"/>
              </w:rPr>
            </w:pPr>
            <w:r w:rsidRPr="003F0CB7">
              <w:rPr>
                <w:rFonts w:cstheme="minorHAnsi"/>
              </w:rPr>
              <w:t>1</w:t>
            </w:r>
          </w:p>
        </w:tc>
        <w:tc>
          <w:tcPr>
            <w:tcW w:w="880" w:type="dxa"/>
            <w:tcBorders>
              <w:top w:val="nil"/>
              <w:left w:val="nil"/>
              <w:bottom w:val="nil"/>
              <w:right w:val="nil"/>
            </w:tcBorders>
            <w:shd w:val="clear" w:color="auto" w:fill="auto"/>
            <w:vAlign w:val="bottom"/>
            <w:hideMark/>
          </w:tcPr>
          <w:p w14:paraId="1EB5DF7F" w14:textId="77777777" w:rsidR="001A19BC" w:rsidRPr="003F0CB7" w:rsidRDefault="001A19BC" w:rsidP="0053331C">
            <w:pPr>
              <w:pStyle w:val="TableRowNormal"/>
              <w:ind w:left="0" w:firstLine="0"/>
              <w:rPr>
                <w:rFonts w:cstheme="minorHAnsi"/>
              </w:rPr>
            </w:pPr>
            <w:r w:rsidRPr="003F0CB7">
              <w:rPr>
                <w:rFonts w:cstheme="minorHAnsi"/>
              </w:rPr>
              <w:t>14</w:t>
            </w:r>
          </w:p>
        </w:tc>
      </w:tr>
      <w:tr w:rsidR="001A19BC" w:rsidRPr="00FC5D74" w14:paraId="3BFEA7A4" w14:textId="77777777" w:rsidTr="0053331C">
        <w:trPr>
          <w:trHeight w:val="315"/>
        </w:trPr>
        <w:tc>
          <w:tcPr>
            <w:tcW w:w="2720" w:type="dxa"/>
            <w:tcBorders>
              <w:top w:val="nil"/>
              <w:left w:val="nil"/>
              <w:bottom w:val="nil"/>
              <w:right w:val="nil"/>
            </w:tcBorders>
            <w:shd w:val="clear" w:color="auto" w:fill="auto"/>
            <w:noWrap/>
            <w:vAlign w:val="bottom"/>
            <w:hideMark/>
          </w:tcPr>
          <w:p w14:paraId="700FF0DE" w14:textId="77777777" w:rsidR="001A19BC" w:rsidRPr="003F0CB7" w:rsidRDefault="001A19BC" w:rsidP="0053331C">
            <w:pPr>
              <w:pStyle w:val="CGCTableStub"/>
              <w:tabs>
                <w:tab w:val="left" w:pos="142"/>
                <w:tab w:val="left" w:pos="425"/>
                <w:tab w:val="left" w:pos="709"/>
                <w:tab w:val="left" w:pos="851"/>
              </w:tabs>
              <w:ind w:left="142" w:hanging="142"/>
              <w:rPr>
                <w:rFonts w:cstheme="minorHAnsi"/>
              </w:rPr>
            </w:pPr>
            <w:r w:rsidRPr="003F0CB7">
              <w:rPr>
                <w:rFonts w:cstheme="minorHAnsi"/>
              </w:rPr>
              <w:t>Vehicle registration</w:t>
            </w:r>
          </w:p>
        </w:tc>
        <w:tc>
          <w:tcPr>
            <w:tcW w:w="760" w:type="dxa"/>
            <w:tcBorders>
              <w:top w:val="nil"/>
              <w:left w:val="nil"/>
              <w:bottom w:val="nil"/>
              <w:right w:val="nil"/>
            </w:tcBorders>
            <w:shd w:val="clear" w:color="auto" w:fill="auto"/>
            <w:noWrap/>
            <w:vAlign w:val="bottom"/>
            <w:hideMark/>
          </w:tcPr>
          <w:p w14:paraId="2E986172" w14:textId="77777777" w:rsidR="001A19BC" w:rsidRPr="003F0CB7" w:rsidRDefault="001A19BC" w:rsidP="0053331C">
            <w:pPr>
              <w:pStyle w:val="TableRowNormal"/>
              <w:ind w:left="0" w:firstLine="0"/>
              <w:rPr>
                <w:rFonts w:cstheme="minorHAnsi"/>
              </w:rPr>
            </w:pPr>
            <w:r w:rsidRPr="003F0CB7">
              <w:rPr>
                <w:rFonts w:cstheme="minorHAnsi"/>
              </w:rPr>
              <w:t>-14</w:t>
            </w:r>
          </w:p>
        </w:tc>
        <w:tc>
          <w:tcPr>
            <w:tcW w:w="660" w:type="dxa"/>
            <w:tcBorders>
              <w:top w:val="nil"/>
              <w:left w:val="nil"/>
              <w:bottom w:val="nil"/>
              <w:right w:val="nil"/>
            </w:tcBorders>
            <w:shd w:val="clear" w:color="auto" w:fill="auto"/>
            <w:noWrap/>
            <w:vAlign w:val="bottom"/>
            <w:hideMark/>
          </w:tcPr>
          <w:p w14:paraId="26DF225D"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nil"/>
              <w:right w:val="nil"/>
            </w:tcBorders>
            <w:shd w:val="clear" w:color="auto" w:fill="auto"/>
            <w:noWrap/>
            <w:vAlign w:val="bottom"/>
            <w:hideMark/>
          </w:tcPr>
          <w:p w14:paraId="59361C5B" w14:textId="77777777" w:rsidR="001A19BC" w:rsidRPr="003F0CB7" w:rsidRDefault="001A19BC" w:rsidP="0053331C">
            <w:pPr>
              <w:pStyle w:val="TableRowNormal"/>
              <w:ind w:left="0" w:firstLine="0"/>
              <w:rPr>
                <w:rFonts w:cstheme="minorHAnsi"/>
              </w:rPr>
            </w:pPr>
            <w:r w:rsidRPr="003F0CB7">
              <w:rPr>
                <w:rFonts w:cstheme="minorHAnsi"/>
              </w:rPr>
              <w:t>4</w:t>
            </w:r>
          </w:p>
        </w:tc>
        <w:tc>
          <w:tcPr>
            <w:tcW w:w="660" w:type="dxa"/>
            <w:tcBorders>
              <w:top w:val="nil"/>
              <w:left w:val="nil"/>
              <w:bottom w:val="nil"/>
              <w:right w:val="nil"/>
            </w:tcBorders>
            <w:shd w:val="clear" w:color="auto" w:fill="auto"/>
            <w:noWrap/>
            <w:vAlign w:val="bottom"/>
            <w:hideMark/>
          </w:tcPr>
          <w:p w14:paraId="0BEAAF58" w14:textId="77777777" w:rsidR="001A19BC" w:rsidRPr="003F0CB7" w:rsidRDefault="001A19BC" w:rsidP="0053331C">
            <w:pPr>
              <w:pStyle w:val="TableRowNormal"/>
              <w:ind w:left="0" w:firstLine="0"/>
              <w:rPr>
                <w:rFonts w:cstheme="minorHAnsi"/>
              </w:rPr>
            </w:pPr>
            <w:r w:rsidRPr="003F0CB7">
              <w:rPr>
                <w:rFonts w:cstheme="minorHAnsi"/>
              </w:rPr>
              <w:t>7</w:t>
            </w:r>
          </w:p>
        </w:tc>
        <w:tc>
          <w:tcPr>
            <w:tcW w:w="660" w:type="dxa"/>
            <w:tcBorders>
              <w:top w:val="nil"/>
              <w:left w:val="nil"/>
              <w:bottom w:val="nil"/>
              <w:right w:val="nil"/>
            </w:tcBorders>
            <w:shd w:val="clear" w:color="auto" w:fill="auto"/>
            <w:noWrap/>
            <w:vAlign w:val="bottom"/>
            <w:hideMark/>
          </w:tcPr>
          <w:p w14:paraId="4555861B" w14:textId="77777777" w:rsidR="001A19BC" w:rsidRPr="003F0CB7" w:rsidRDefault="001A19BC" w:rsidP="0053331C">
            <w:pPr>
              <w:pStyle w:val="TableRowNormal"/>
              <w:ind w:left="0" w:firstLine="0"/>
              <w:rPr>
                <w:rFonts w:cstheme="minorHAnsi"/>
              </w:rPr>
            </w:pPr>
            <w:r w:rsidRPr="003F0CB7">
              <w:rPr>
                <w:rFonts w:cstheme="minorHAnsi"/>
              </w:rPr>
              <w:t>2</w:t>
            </w:r>
          </w:p>
        </w:tc>
        <w:tc>
          <w:tcPr>
            <w:tcW w:w="660" w:type="dxa"/>
            <w:tcBorders>
              <w:top w:val="nil"/>
              <w:left w:val="nil"/>
              <w:bottom w:val="nil"/>
              <w:right w:val="nil"/>
            </w:tcBorders>
            <w:shd w:val="clear" w:color="auto" w:fill="auto"/>
            <w:noWrap/>
            <w:vAlign w:val="bottom"/>
            <w:hideMark/>
          </w:tcPr>
          <w:p w14:paraId="7D068A0E" w14:textId="77777777" w:rsidR="001A19BC" w:rsidRPr="003F0CB7" w:rsidRDefault="001A19BC" w:rsidP="0053331C">
            <w:pPr>
              <w:pStyle w:val="TableRowNormal"/>
              <w:ind w:left="0" w:firstLine="0"/>
              <w:rPr>
                <w:rFonts w:cstheme="minorHAnsi"/>
              </w:rPr>
            </w:pPr>
            <w:r w:rsidRPr="003F0CB7">
              <w:rPr>
                <w:rFonts w:cstheme="minorHAnsi"/>
              </w:rPr>
              <w:t>2</w:t>
            </w:r>
          </w:p>
        </w:tc>
        <w:tc>
          <w:tcPr>
            <w:tcW w:w="660" w:type="dxa"/>
            <w:tcBorders>
              <w:top w:val="nil"/>
              <w:left w:val="nil"/>
              <w:bottom w:val="nil"/>
              <w:right w:val="nil"/>
            </w:tcBorders>
            <w:shd w:val="clear" w:color="auto" w:fill="auto"/>
            <w:noWrap/>
            <w:vAlign w:val="bottom"/>
            <w:hideMark/>
          </w:tcPr>
          <w:p w14:paraId="7EEB2987"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nil"/>
              <w:right w:val="nil"/>
            </w:tcBorders>
            <w:shd w:val="clear" w:color="auto" w:fill="auto"/>
            <w:noWrap/>
            <w:vAlign w:val="bottom"/>
            <w:hideMark/>
          </w:tcPr>
          <w:p w14:paraId="1EA5165B" w14:textId="77777777" w:rsidR="001A19BC" w:rsidRPr="003F0CB7" w:rsidRDefault="001A19BC" w:rsidP="0053331C">
            <w:pPr>
              <w:pStyle w:val="TableRowNormal"/>
              <w:ind w:left="0" w:firstLine="0"/>
              <w:rPr>
                <w:rFonts w:cstheme="minorHAnsi"/>
              </w:rPr>
            </w:pPr>
            <w:r w:rsidRPr="003F0CB7">
              <w:rPr>
                <w:rFonts w:cstheme="minorHAnsi"/>
              </w:rPr>
              <w:t>-1</w:t>
            </w:r>
          </w:p>
        </w:tc>
        <w:tc>
          <w:tcPr>
            <w:tcW w:w="880" w:type="dxa"/>
            <w:tcBorders>
              <w:top w:val="nil"/>
              <w:left w:val="nil"/>
              <w:bottom w:val="nil"/>
              <w:right w:val="nil"/>
            </w:tcBorders>
            <w:shd w:val="clear" w:color="auto" w:fill="auto"/>
            <w:noWrap/>
            <w:vAlign w:val="bottom"/>
            <w:hideMark/>
          </w:tcPr>
          <w:p w14:paraId="3E5773B4" w14:textId="77777777" w:rsidR="001A19BC" w:rsidRPr="003F0CB7" w:rsidRDefault="001A19BC" w:rsidP="0053331C">
            <w:pPr>
              <w:pStyle w:val="TableRowNormal"/>
              <w:ind w:left="0" w:firstLine="0"/>
              <w:rPr>
                <w:rFonts w:cstheme="minorHAnsi"/>
              </w:rPr>
            </w:pPr>
            <w:r w:rsidRPr="003F0CB7">
              <w:rPr>
                <w:rFonts w:cstheme="minorHAnsi"/>
              </w:rPr>
              <w:t>15</w:t>
            </w:r>
          </w:p>
        </w:tc>
      </w:tr>
      <w:tr w:rsidR="001A19BC" w:rsidRPr="00FC5D74" w14:paraId="55086AAB" w14:textId="77777777" w:rsidTr="0053331C">
        <w:trPr>
          <w:trHeight w:val="315"/>
        </w:trPr>
        <w:tc>
          <w:tcPr>
            <w:tcW w:w="2720" w:type="dxa"/>
            <w:tcBorders>
              <w:top w:val="nil"/>
              <w:left w:val="nil"/>
              <w:bottom w:val="nil"/>
              <w:right w:val="nil"/>
            </w:tcBorders>
            <w:shd w:val="clear" w:color="auto" w:fill="auto"/>
            <w:noWrap/>
            <w:vAlign w:val="bottom"/>
            <w:hideMark/>
          </w:tcPr>
          <w:p w14:paraId="337223F5" w14:textId="77777777" w:rsidR="001A19BC" w:rsidRPr="003F0CB7" w:rsidRDefault="001A19BC" w:rsidP="0053331C">
            <w:pPr>
              <w:pStyle w:val="CGCTableStub"/>
              <w:tabs>
                <w:tab w:val="left" w:pos="142"/>
                <w:tab w:val="left" w:pos="425"/>
                <w:tab w:val="left" w:pos="709"/>
                <w:tab w:val="left" w:pos="851"/>
              </w:tabs>
              <w:ind w:left="142" w:hanging="142"/>
              <w:rPr>
                <w:rFonts w:cstheme="minorHAnsi"/>
              </w:rPr>
            </w:pPr>
            <w:r w:rsidRPr="003F0CB7">
              <w:rPr>
                <w:rFonts w:cstheme="minorHAnsi"/>
              </w:rPr>
              <w:t>Driver licensing</w:t>
            </w:r>
          </w:p>
        </w:tc>
        <w:tc>
          <w:tcPr>
            <w:tcW w:w="760" w:type="dxa"/>
            <w:tcBorders>
              <w:top w:val="nil"/>
              <w:left w:val="nil"/>
              <w:bottom w:val="single" w:sz="4" w:space="0" w:color="auto"/>
              <w:right w:val="nil"/>
            </w:tcBorders>
            <w:shd w:val="clear" w:color="auto" w:fill="auto"/>
            <w:noWrap/>
            <w:vAlign w:val="bottom"/>
            <w:hideMark/>
          </w:tcPr>
          <w:p w14:paraId="3CDA3EA1"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single" w:sz="4" w:space="0" w:color="auto"/>
              <w:right w:val="nil"/>
            </w:tcBorders>
            <w:shd w:val="clear" w:color="auto" w:fill="auto"/>
            <w:noWrap/>
            <w:vAlign w:val="bottom"/>
            <w:hideMark/>
          </w:tcPr>
          <w:p w14:paraId="1BA16B0D" w14:textId="77777777" w:rsidR="001A19BC" w:rsidRPr="003F0CB7" w:rsidRDefault="001A19BC" w:rsidP="0053331C">
            <w:pPr>
              <w:pStyle w:val="TableRowNormal"/>
              <w:ind w:left="0" w:firstLine="0"/>
              <w:rPr>
                <w:rFonts w:cstheme="minorHAnsi"/>
              </w:rPr>
            </w:pPr>
            <w:r w:rsidRPr="003F0CB7">
              <w:rPr>
                <w:rFonts w:cstheme="minorHAnsi"/>
              </w:rPr>
              <w:t>-1</w:t>
            </w:r>
          </w:p>
        </w:tc>
        <w:tc>
          <w:tcPr>
            <w:tcW w:w="660" w:type="dxa"/>
            <w:tcBorders>
              <w:top w:val="nil"/>
              <w:left w:val="nil"/>
              <w:bottom w:val="single" w:sz="4" w:space="0" w:color="auto"/>
              <w:right w:val="nil"/>
            </w:tcBorders>
            <w:shd w:val="clear" w:color="auto" w:fill="auto"/>
            <w:noWrap/>
            <w:vAlign w:val="bottom"/>
            <w:hideMark/>
          </w:tcPr>
          <w:p w14:paraId="1A948CEB"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single" w:sz="4" w:space="0" w:color="auto"/>
              <w:right w:val="nil"/>
            </w:tcBorders>
            <w:shd w:val="clear" w:color="auto" w:fill="auto"/>
            <w:noWrap/>
            <w:vAlign w:val="bottom"/>
            <w:hideMark/>
          </w:tcPr>
          <w:p w14:paraId="4FEED9E1"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single" w:sz="4" w:space="0" w:color="auto"/>
              <w:right w:val="nil"/>
            </w:tcBorders>
            <w:shd w:val="clear" w:color="auto" w:fill="auto"/>
            <w:noWrap/>
            <w:vAlign w:val="bottom"/>
            <w:hideMark/>
          </w:tcPr>
          <w:p w14:paraId="192963A8" w14:textId="77777777" w:rsidR="001A19BC" w:rsidRPr="003F0CB7" w:rsidRDefault="001A19BC" w:rsidP="0053331C">
            <w:pPr>
              <w:pStyle w:val="TableRowNormal"/>
              <w:ind w:left="0" w:firstLine="0"/>
              <w:rPr>
                <w:rFonts w:cstheme="minorHAnsi"/>
              </w:rPr>
            </w:pPr>
            <w:r w:rsidRPr="003F0CB7">
              <w:rPr>
                <w:rFonts w:cstheme="minorHAnsi"/>
              </w:rPr>
              <w:t>1</w:t>
            </w:r>
          </w:p>
        </w:tc>
        <w:tc>
          <w:tcPr>
            <w:tcW w:w="660" w:type="dxa"/>
            <w:tcBorders>
              <w:top w:val="nil"/>
              <w:left w:val="nil"/>
              <w:bottom w:val="single" w:sz="4" w:space="0" w:color="auto"/>
              <w:right w:val="nil"/>
            </w:tcBorders>
            <w:shd w:val="clear" w:color="auto" w:fill="auto"/>
            <w:noWrap/>
            <w:vAlign w:val="bottom"/>
            <w:hideMark/>
          </w:tcPr>
          <w:p w14:paraId="63E0F27B"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single" w:sz="4" w:space="0" w:color="auto"/>
              <w:right w:val="nil"/>
            </w:tcBorders>
            <w:shd w:val="clear" w:color="auto" w:fill="auto"/>
            <w:noWrap/>
            <w:vAlign w:val="bottom"/>
            <w:hideMark/>
          </w:tcPr>
          <w:p w14:paraId="47C33957"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single" w:sz="4" w:space="0" w:color="auto"/>
              <w:right w:val="nil"/>
            </w:tcBorders>
            <w:shd w:val="clear" w:color="auto" w:fill="auto"/>
            <w:noWrap/>
            <w:vAlign w:val="bottom"/>
            <w:hideMark/>
          </w:tcPr>
          <w:p w14:paraId="277BA496" w14:textId="77777777" w:rsidR="001A19BC" w:rsidRPr="003F0CB7" w:rsidRDefault="001A19BC" w:rsidP="0053331C">
            <w:pPr>
              <w:pStyle w:val="TableRowNormal"/>
              <w:ind w:left="0" w:firstLine="0"/>
              <w:rPr>
                <w:rFonts w:cstheme="minorHAnsi"/>
              </w:rPr>
            </w:pPr>
            <w:r w:rsidRPr="003F0CB7">
              <w:rPr>
                <w:rFonts w:cstheme="minorHAnsi"/>
              </w:rPr>
              <w:t>0</w:t>
            </w:r>
          </w:p>
        </w:tc>
        <w:tc>
          <w:tcPr>
            <w:tcW w:w="880" w:type="dxa"/>
            <w:tcBorders>
              <w:top w:val="nil"/>
              <w:left w:val="nil"/>
              <w:bottom w:val="single" w:sz="4" w:space="0" w:color="auto"/>
              <w:right w:val="nil"/>
            </w:tcBorders>
            <w:shd w:val="clear" w:color="auto" w:fill="auto"/>
            <w:noWrap/>
            <w:vAlign w:val="bottom"/>
            <w:hideMark/>
          </w:tcPr>
          <w:p w14:paraId="4D65CA22" w14:textId="77777777" w:rsidR="001A19BC" w:rsidRPr="003F0CB7" w:rsidRDefault="001A19BC" w:rsidP="0053331C">
            <w:pPr>
              <w:pStyle w:val="TableRowNormal"/>
              <w:ind w:left="0" w:firstLine="0"/>
              <w:rPr>
                <w:rFonts w:cstheme="minorHAnsi"/>
              </w:rPr>
            </w:pPr>
            <w:r w:rsidRPr="003F0CB7">
              <w:rPr>
                <w:rFonts w:cstheme="minorHAnsi"/>
              </w:rPr>
              <w:t>1</w:t>
            </w:r>
          </w:p>
        </w:tc>
      </w:tr>
      <w:tr w:rsidR="001A19BC" w:rsidRPr="00FC5D74" w14:paraId="4663DC9D" w14:textId="77777777" w:rsidTr="0053331C">
        <w:trPr>
          <w:trHeight w:val="259"/>
        </w:trPr>
        <w:tc>
          <w:tcPr>
            <w:tcW w:w="2720" w:type="dxa"/>
            <w:tcBorders>
              <w:top w:val="nil"/>
              <w:left w:val="nil"/>
              <w:bottom w:val="nil"/>
              <w:right w:val="nil"/>
            </w:tcBorders>
            <w:shd w:val="clear" w:color="auto" w:fill="auto"/>
            <w:noWrap/>
            <w:vAlign w:val="bottom"/>
            <w:hideMark/>
          </w:tcPr>
          <w:p w14:paraId="3EF106AD" w14:textId="77777777" w:rsidR="001A19BC" w:rsidRPr="003F0CB7" w:rsidRDefault="001A19BC" w:rsidP="0053331C">
            <w:pPr>
              <w:pStyle w:val="TableRowUnits"/>
            </w:pPr>
          </w:p>
        </w:tc>
        <w:tc>
          <w:tcPr>
            <w:tcW w:w="760" w:type="dxa"/>
            <w:tcBorders>
              <w:top w:val="nil"/>
              <w:left w:val="nil"/>
              <w:bottom w:val="nil"/>
              <w:right w:val="nil"/>
            </w:tcBorders>
            <w:shd w:val="clear" w:color="auto" w:fill="auto"/>
            <w:noWrap/>
            <w:vAlign w:val="bottom"/>
            <w:hideMark/>
          </w:tcPr>
          <w:p w14:paraId="3F99EB8C" w14:textId="77777777" w:rsidR="001A19BC" w:rsidRPr="003F0CB7" w:rsidRDefault="001A19BC" w:rsidP="0053331C">
            <w:pPr>
              <w:pStyle w:val="TableRowUnits"/>
            </w:pPr>
            <w:r w:rsidRPr="003F0CB7">
              <w:t>$pc</w:t>
            </w:r>
          </w:p>
        </w:tc>
        <w:tc>
          <w:tcPr>
            <w:tcW w:w="660" w:type="dxa"/>
            <w:tcBorders>
              <w:top w:val="nil"/>
              <w:left w:val="nil"/>
              <w:bottom w:val="nil"/>
              <w:right w:val="nil"/>
            </w:tcBorders>
            <w:shd w:val="clear" w:color="auto" w:fill="auto"/>
            <w:noWrap/>
            <w:vAlign w:val="bottom"/>
            <w:hideMark/>
          </w:tcPr>
          <w:p w14:paraId="0EEE2564" w14:textId="77777777" w:rsidR="001A19BC" w:rsidRPr="003F0CB7" w:rsidRDefault="001A19BC" w:rsidP="0053331C">
            <w:pPr>
              <w:pStyle w:val="TableRowUnits"/>
            </w:pPr>
            <w:r w:rsidRPr="003F0CB7">
              <w:t>$pc</w:t>
            </w:r>
          </w:p>
        </w:tc>
        <w:tc>
          <w:tcPr>
            <w:tcW w:w="660" w:type="dxa"/>
            <w:tcBorders>
              <w:top w:val="nil"/>
              <w:left w:val="nil"/>
              <w:bottom w:val="nil"/>
              <w:right w:val="nil"/>
            </w:tcBorders>
            <w:shd w:val="clear" w:color="auto" w:fill="auto"/>
            <w:noWrap/>
            <w:vAlign w:val="bottom"/>
            <w:hideMark/>
          </w:tcPr>
          <w:p w14:paraId="611D2466" w14:textId="77777777" w:rsidR="001A19BC" w:rsidRPr="003F0CB7" w:rsidRDefault="001A19BC" w:rsidP="0053331C">
            <w:pPr>
              <w:pStyle w:val="TableRowUnits"/>
            </w:pPr>
            <w:r w:rsidRPr="003F0CB7">
              <w:t>$pc</w:t>
            </w:r>
          </w:p>
        </w:tc>
        <w:tc>
          <w:tcPr>
            <w:tcW w:w="660" w:type="dxa"/>
            <w:tcBorders>
              <w:top w:val="nil"/>
              <w:left w:val="nil"/>
              <w:bottom w:val="nil"/>
              <w:right w:val="nil"/>
            </w:tcBorders>
            <w:shd w:val="clear" w:color="auto" w:fill="auto"/>
            <w:noWrap/>
            <w:vAlign w:val="bottom"/>
            <w:hideMark/>
          </w:tcPr>
          <w:p w14:paraId="360A4A4D" w14:textId="77777777" w:rsidR="001A19BC" w:rsidRPr="003F0CB7" w:rsidRDefault="001A19BC" w:rsidP="0053331C">
            <w:pPr>
              <w:pStyle w:val="TableRowUnits"/>
            </w:pPr>
            <w:r w:rsidRPr="003F0CB7">
              <w:t>$pc</w:t>
            </w:r>
          </w:p>
        </w:tc>
        <w:tc>
          <w:tcPr>
            <w:tcW w:w="660" w:type="dxa"/>
            <w:tcBorders>
              <w:top w:val="nil"/>
              <w:left w:val="nil"/>
              <w:bottom w:val="nil"/>
              <w:right w:val="nil"/>
            </w:tcBorders>
            <w:shd w:val="clear" w:color="auto" w:fill="auto"/>
            <w:noWrap/>
            <w:vAlign w:val="bottom"/>
            <w:hideMark/>
          </w:tcPr>
          <w:p w14:paraId="43D13F5E" w14:textId="77777777" w:rsidR="001A19BC" w:rsidRPr="003F0CB7" w:rsidRDefault="001A19BC" w:rsidP="0053331C">
            <w:pPr>
              <w:pStyle w:val="TableRowUnits"/>
            </w:pPr>
            <w:r w:rsidRPr="003F0CB7">
              <w:t>$pc</w:t>
            </w:r>
          </w:p>
        </w:tc>
        <w:tc>
          <w:tcPr>
            <w:tcW w:w="660" w:type="dxa"/>
            <w:tcBorders>
              <w:top w:val="nil"/>
              <w:left w:val="nil"/>
              <w:bottom w:val="nil"/>
              <w:right w:val="nil"/>
            </w:tcBorders>
            <w:shd w:val="clear" w:color="auto" w:fill="auto"/>
            <w:noWrap/>
            <w:vAlign w:val="bottom"/>
            <w:hideMark/>
          </w:tcPr>
          <w:p w14:paraId="4D78D95B" w14:textId="77777777" w:rsidR="001A19BC" w:rsidRPr="003F0CB7" w:rsidRDefault="001A19BC" w:rsidP="0053331C">
            <w:pPr>
              <w:pStyle w:val="TableRowUnits"/>
            </w:pPr>
            <w:r w:rsidRPr="003F0CB7">
              <w:t>$pc</w:t>
            </w:r>
          </w:p>
        </w:tc>
        <w:tc>
          <w:tcPr>
            <w:tcW w:w="660" w:type="dxa"/>
            <w:tcBorders>
              <w:top w:val="nil"/>
              <w:left w:val="nil"/>
              <w:bottom w:val="nil"/>
              <w:right w:val="nil"/>
            </w:tcBorders>
            <w:shd w:val="clear" w:color="auto" w:fill="auto"/>
            <w:noWrap/>
            <w:vAlign w:val="bottom"/>
            <w:hideMark/>
          </w:tcPr>
          <w:p w14:paraId="30375A97" w14:textId="77777777" w:rsidR="001A19BC" w:rsidRPr="003F0CB7" w:rsidRDefault="001A19BC" w:rsidP="0053331C">
            <w:pPr>
              <w:pStyle w:val="TableRowUnits"/>
            </w:pPr>
            <w:r w:rsidRPr="003F0CB7">
              <w:t>$pc</w:t>
            </w:r>
          </w:p>
        </w:tc>
        <w:tc>
          <w:tcPr>
            <w:tcW w:w="660" w:type="dxa"/>
            <w:tcBorders>
              <w:top w:val="nil"/>
              <w:left w:val="nil"/>
              <w:bottom w:val="nil"/>
              <w:right w:val="nil"/>
            </w:tcBorders>
            <w:shd w:val="clear" w:color="auto" w:fill="auto"/>
            <w:noWrap/>
            <w:vAlign w:val="bottom"/>
            <w:hideMark/>
          </w:tcPr>
          <w:p w14:paraId="569B2739" w14:textId="77777777" w:rsidR="001A19BC" w:rsidRPr="003F0CB7" w:rsidRDefault="001A19BC" w:rsidP="0053331C">
            <w:pPr>
              <w:pStyle w:val="TableRowUnits"/>
            </w:pPr>
            <w:r w:rsidRPr="003F0CB7">
              <w:t>$pc</w:t>
            </w:r>
          </w:p>
        </w:tc>
        <w:tc>
          <w:tcPr>
            <w:tcW w:w="880" w:type="dxa"/>
            <w:tcBorders>
              <w:top w:val="nil"/>
              <w:left w:val="nil"/>
              <w:bottom w:val="nil"/>
              <w:right w:val="nil"/>
            </w:tcBorders>
            <w:shd w:val="clear" w:color="auto" w:fill="auto"/>
            <w:noWrap/>
            <w:vAlign w:val="bottom"/>
            <w:hideMark/>
          </w:tcPr>
          <w:p w14:paraId="193CA3C8" w14:textId="77777777" w:rsidR="001A19BC" w:rsidRPr="003F0CB7" w:rsidRDefault="001A19BC" w:rsidP="0053331C">
            <w:pPr>
              <w:pStyle w:val="TableRowUnits"/>
            </w:pPr>
            <w:r w:rsidRPr="003F0CB7">
              <w:t>$pc</w:t>
            </w:r>
          </w:p>
        </w:tc>
      </w:tr>
      <w:tr w:rsidR="001A19BC" w:rsidRPr="00FC5D74" w14:paraId="653507BE" w14:textId="77777777" w:rsidTr="0053331C">
        <w:trPr>
          <w:trHeight w:val="315"/>
        </w:trPr>
        <w:tc>
          <w:tcPr>
            <w:tcW w:w="2720" w:type="dxa"/>
            <w:tcBorders>
              <w:top w:val="nil"/>
              <w:left w:val="nil"/>
              <w:bottom w:val="nil"/>
              <w:right w:val="nil"/>
            </w:tcBorders>
            <w:shd w:val="clear" w:color="auto" w:fill="auto"/>
            <w:vAlign w:val="bottom"/>
            <w:hideMark/>
          </w:tcPr>
          <w:p w14:paraId="00134C47" w14:textId="77777777" w:rsidR="001A19BC" w:rsidRPr="003F0CB7" w:rsidRDefault="001A19BC" w:rsidP="0053331C">
            <w:pPr>
              <w:pStyle w:val="CGCTableStub"/>
              <w:tabs>
                <w:tab w:val="left" w:pos="142"/>
                <w:tab w:val="left" w:pos="425"/>
                <w:tab w:val="left" w:pos="709"/>
                <w:tab w:val="left" w:pos="851"/>
              </w:tabs>
              <w:ind w:left="142" w:hanging="142"/>
              <w:rPr>
                <w:rFonts w:cstheme="minorHAnsi"/>
              </w:rPr>
            </w:pPr>
            <w:r w:rsidRPr="003F0CB7">
              <w:rPr>
                <w:rFonts w:cstheme="minorHAnsi"/>
              </w:rPr>
              <w:t>Heavy vehicle regulatory costs</w:t>
            </w:r>
          </w:p>
        </w:tc>
        <w:tc>
          <w:tcPr>
            <w:tcW w:w="760" w:type="dxa"/>
            <w:tcBorders>
              <w:top w:val="nil"/>
              <w:left w:val="nil"/>
              <w:bottom w:val="nil"/>
              <w:right w:val="nil"/>
            </w:tcBorders>
            <w:shd w:val="clear" w:color="auto" w:fill="auto"/>
            <w:vAlign w:val="bottom"/>
            <w:hideMark/>
          </w:tcPr>
          <w:p w14:paraId="7F620014" w14:textId="77777777" w:rsidR="001A19BC" w:rsidRPr="003F0CB7" w:rsidRDefault="001A19BC" w:rsidP="0053331C">
            <w:pPr>
              <w:pStyle w:val="TableRowNormal"/>
              <w:ind w:left="0" w:firstLine="0"/>
              <w:rPr>
                <w:rFonts w:cstheme="minorHAnsi"/>
              </w:rPr>
            </w:pPr>
            <w:r w:rsidRPr="003F0CB7">
              <w:rPr>
                <w:rFonts w:cstheme="minorHAnsi"/>
              </w:rPr>
              <w:t>-1</w:t>
            </w:r>
          </w:p>
        </w:tc>
        <w:tc>
          <w:tcPr>
            <w:tcW w:w="660" w:type="dxa"/>
            <w:tcBorders>
              <w:top w:val="nil"/>
              <w:left w:val="nil"/>
              <w:bottom w:val="nil"/>
              <w:right w:val="nil"/>
            </w:tcBorders>
            <w:shd w:val="clear" w:color="auto" w:fill="auto"/>
            <w:vAlign w:val="bottom"/>
            <w:hideMark/>
          </w:tcPr>
          <w:p w14:paraId="6DA9F99F"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nil"/>
              <w:right w:val="nil"/>
            </w:tcBorders>
            <w:shd w:val="clear" w:color="auto" w:fill="auto"/>
            <w:vAlign w:val="bottom"/>
            <w:hideMark/>
          </w:tcPr>
          <w:p w14:paraId="2CDA4811" w14:textId="77777777" w:rsidR="001A19BC" w:rsidRPr="003F0CB7" w:rsidRDefault="001A19BC" w:rsidP="0053331C">
            <w:pPr>
              <w:pStyle w:val="TableRowNormal"/>
              <w:ind w:left="0" w:firstLine="0"/>
              <w:rPr>
                <w:rFonts w:cstheme="minorHAnsi"/>
              </w:rPr>
            </w:pPr>
            <w:r w:rsidRPr="003F0CB7">
              <w:rPr>
                <w:rFonts w:cstheme="minorHAnsi"/>
              </w:rPr>
              <w:t>1</w:t>
            </w:r>
          </w:p>
        </w:tc>
        <w:tc>
          <w:tcPr>
            <w:tcW w:w="660" w:type="dxa"/>
            <w:tcBorders>
              <w:top w:val="nil"/>
              <w:left w:val="nil"/>
              <w:bottom w:val="nil"/>
              <w:right w:val="nil"/>
            </w:tcBorders>
            <w:shd w:val="clear" w:color="auto" w:fill="auto"/>
            <w:vAlign w:val="bottom"/>
            <w:hideMark/>
          </w:tcPr>
          <w:p w14:paraId="4D0B7F07" w14:textId="77777777" w:rsidR="001A19BC" w:rsidRPr="003F0CB7" w:rsidRDefault="001A19BC" w:rsidP="0053331C">
            <w:pPr>
              <w:pStyle w:val="TableRowNormal"/>
              <w:ind w:left="0" w:firstLine="0"/>
              <w:rPr>
                <w:rFonts w:cstheme="minorHAnsi"/>
              </w:rPr>
            </w:pPr>
            <w:r w:rsidRPr="003F0CB7">
              <w:rPr>
                <w:rFonts w:cstheme="minorHAnsi"/>
              </w:rPr>
              <w:t>4</w:t>
            </w:r>
          </w:p>
        </w:tc>
        <w:tc>
          <w:tcPr>
            <w:tcW w:w="660" w:type="dxa"/>
            <w:tcBorders>
              <w:top w:val="nil"/>
              <w:left w:val="nil"/>
              <w:bottom w:val="nil"/>
              <w:right w:val="nil"/>
            </w:tcBorders>
            <w:shd w:val="clear" w:color="auto" w:fill="auto"/>
            <w:vAlign w:val="bottom"/>
            <w:hideMark/>
          </w:tcPr>
          <w:p w14:paraId="4D151AFD"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nil"/>
              <w:right w:val="nil"/>
            </w:tcBorders>
            <w:shd w:val="clear" w:color="auto" w:fill="auto"/>
            <w:vAlign w:val="bottom"/>
            <w:hideMark/>
          </w:tcPr>
          <w:p w14:paraId="3DB947E2" w14:textId="77777777" w:rsidR="001A19BC" w:rsidRPr="003F0CB7" w:rsidRDefault="001A19BC" w:rsidP="0053331C">
            <w:pPr>
              <w:pStyle w:val="TableRowNormal"/>
              <w:ind w:left="0" w:firstLine="0"/>
              <w:rPr>
                <w:rFonts w:cstheme="minorHAnsi"/>
              </w:rPr>
            </w:pPr>
            <w:r w:rsidRPr="003F0CB7">
              <w:rPr>
                <w:rFonts w:cstheme="minorHAnsi"/>
              </w:rPr>
              <w:t>1</w:t>
            </w:r>
          </w:p>
        </w:tc>
        <w:tc>
          <w:tcPr>
            <w:tcW w:w="660" w:type="dxa"/>
            <w:tcBorders>
              <w:top w:val="nil"/>
              <w:left w:val="nil"/>
              <w:bottom w:val="nil"/>
              <w:right w:val="nil"/>
            </w:tcBorders>
            <w:shd w:val="clear" w:color="auto" w:fill="auto"/>
            <w:vAlign w:val="bottom"/>
            <w:hideMark/>
          </w:tcPr>
          <w:p w14:paraId="08077921" w14:textId="77777777" w:rsidR="001A19BC" w:rsidRPr="003F0CB7" w:rsidRDefault="001A19BC" w:rsidP="0053331C">
            <w:pPr>
              <w:pStyle w:val="TableRowNormal"/>
              <w:ind w:left="0" w:firstLine="0"/>
              <w:rPr>
                <w:rFonts w:cstheme="minorHAnsi"/>
              </w:rPr>
            </w:pPr>
            <w:r w:rsidRPr="003F0CB7">
              <w:rPr>
                <w:rFonts w:cstheme="minorHAnsi"/>
              </w:rPr>
              <w:t>-5</w:t>
            </w:r>
          </w:p>
        </w:tc>
        <w:tc>
          <w:tcPr>
            <w:tcW w:w="660" w:type="dxa"/>
            <w:tcBorders>
              <w:top w:val="nil"/>
              <w:left w:val="nil"/>
              <w:bottom w:val="nil"/>
              <w:right w:val="nil"/>
            </w:tcBorders>
            <w:shd w:val="clear" w:color="auto" w:fill="auto"/>
            <w:vAlign w:val="bottom"/>
            <w:hideMark/>
          </w:tcPr>
          <w:p w14:paraId="21BE9A2B" w14:textId="77777777" w:rsidR="001A19BC" w:rsidRPr="003F0CB7" w:rsidRDefault="001A19BC" w:rsidP="0053331C">
            <w:pPr>
              <w:pStyle w:val="TableRowNormal"/>
              <w:ind w:left="0" w:firstLine="0"/>
              <w:rPr>
                <w:rFonts w:cstheme="minorHAnsi"/>
              </w:rPr>
            </w:pPr>
            <w:r w:rsidRPr="003F0CB7">
              <w:rPr>
                <w:rFonts w:cstheme="minorHAnsi"/>
              </w:rPr>
              <w:t>6</w:t>
            </w:r>
          </w:p>
        </w:tc>
        <w:tc>
          <w:tcPr>
            <w:tcW w:w="880" w:type="dxa"/>
            <w:tcBorders>
              <w:top w:val="nil"/>
              <w:left w:val="nil"/>
              <w:bottom w:val="nil"/>
              <w:right w:val="nil"/>
            </w:tcBorders>
            <w:shd w:val="clear" w:color="auto" w:fill="auto"/>
            <w:vAlign w:val="bottom"/>
            <w:hideMark/>
          </w:tcPr>
          <w:p w14:paraId="282D196C" w14:textId="77777777" w:rsidR="001A19BC" w:rsidRPr="003F0CB7" w:rsidRDefault="001A19BC" w:rsidP="0053331C">
            <w:pPr>
              <w:pStyle w:val="TableRowNormal"/>
              <w:ind w:left="0" w:firstLine="0"/>
              <w:rPr>
                <w:rFonts w:cstheme="minorHAnsi"/>
              </w:rPr>
            </w:pPr>
            <w:r w:rsidRPr="003F0CB7">
              <w:rPr>
                <w:rFonts w:cstheme="minorHAnsi"/>
              </w:rPr>
              <w:t>1</w:t>
            </w:r>
          </w:p>
        </w:tc>
      </w:tr>
      <w:tr w:rsidR="001A19BC" w:rsidRPr="00FC5D74" w14:paraId="47B91C36" w14:textId="77777777" w:rsidTr="0053331C">
        <w:trPr>
          <w:trHeight w:val="315"/>
        </w:trPr>
        <w:tc>
          <w:tcPr>
            <w:tcW w:w="2720" w:type="dxa"/>
            <w:tcBorders>
              <w:top w:val="nil"/>
              <w:left w:val="nil"/>
              <w:bottom w:val="nil"/>
              <w:right w:val="nil"/>
            </w:tcBorders>
            <w:shd w:val="clear" w:color="auto" w:fill="auto"/>
            <w:noWrap/>
            <w:vAlign w:val="bottom"/>
            <w:hideMark/>
          </w:tcPr>
          <w:p w14:paraId="3E76F71D" w14:textId="77777777" w:rsidR="001A19BC" w:rsidRPr="003F0CB7" w:rsidRDefault="001A19BC" w:rsidP="0053331C">
            <w:pPr>
              <w:pStyle w:val="CGCTableStub"/>
              <w:tabs>
                <w:tab w:val="left" w:pos="142"/>
                <w:tab w:val="left" w:pos="425"/>
                <w:tab w:val="left" w:pos="709"/>
                <w:tab w:val="left" w:pos="851"/>
              </w:tabs>
              <w:ind w:left="142" w:hanging="142"/>
              <w:rPr>
                <w:rFonts w:cstheme="minorHAnsi"/>
              </w:rPr>
            </w:pPr>
            <w:r w:rsidRPr="003F0CB7">
              <w:rPr>
                <w:rFonts w:cstheme="minorHAnsi"/>
              </w:rPr>
              <w:t>Vehicle registration</w:t>
            </w:r>
          </w:p>
        </w:tc>
        <w:tc>
          <w:tcPr>
            <w:tcW w:w="760" w:type="dxa"/>
            <w:tcBorders>
              <w:top w:val="nil"/>
              <w:left w:val="nil"/>
              <w:bottom w:val="nil"/>
              <w:right w:val="nil"/>
            </w:tcBorders>
            <w:shd w:val="clear" w:color="auto" w:fill="auto"/>
            <w:noWrap/>
            <w:vAlign w:val="bottom"/>
            <w:hideMark/>
          </w:tcPr>
          <w:p w14:paraId="74F2ED5F" w14:textId="77777777" w:rsidR="001A19BC" w:rsidRPr="003F0CB7" w:rsidRDefault="001A19BC" w:rsidP="0053331C">
            <w:pPr>
              <w:pStyle w:val="TableRowNormal"/>
              <w:ind w:left="0" w:firstLine="0"/>
              <w:rPr>
                <w:rFonts w:cstheme="minorHAnsi"/>
              </w:rPr>
            </w:pPr>
            <w:r w:rsidRPr="003F0CB7">
              <w:rPr>
                <w:rFonts w:cstheme="minorHAnsi"/>
              </w:rPr>
              <w:t>-2</w:t>
            </w:r>
          </w:p>
        </w:tc>
        <w:tc>
          <w:tcPr>
            <w:tcW w:w="660" w:type="dxa"/>
            <w:tcBorders>
              <w:top w:val="nil"/>
              <w:left w:val="nil"/>
              <w:bottom w:val="nil"/>
              <w:right w:val="nil"/>
            </w:tcBorders>
            <w:shd w:val="clear" w:color="auto" w:fill="auto"/>
            <w:noWrap/>
            <w:vAlign w:val="bottom"/>
            <w:hideMark/>
          </w:tcPr>
          <w:p w14:paraId="26894D8C"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nil"/>
              <w:right w:val="nil"/>
            </w:tcBorders>
            <w:shd w:val="clear" w:color="auto" w:fill="auto"/>
            <w:noWrap/>
            <w:vAlign w:val="bottom"/>
            <w:hideMark/>
          </w:tcPr>
          <w:p w14:paraId="7C70CD65" w14:textId="77777777" w:rsidR="001A19BC" w:rsidRPr="003F0CB7" w:rsidRDefault="001A19BC" w:rsidP="0053331C">
            <w:pPr>
              <w:pStyle w:val="TableRowNormal"/>
              <w:ind w:left="0" w:firstLine="0"/>
              <w:rPr>
                <w:rFonts w:cstheme="minorHAnsi"/>
              </w:rPr>
            </w:pPr>
            <w:r w:rsidRPr="003F0CB7">
              <w:rPr>
                <w:rFonts w:cstheme="minorHAnsi"/>
              </w:rPr>
              <w:t>1</w:t>
            </w:r>
          </w:p>
        </w:tc>
        <w:tc>
          <w:tcPr>
            <w:tcW w:w="660" w:type="dxa"/>
            <w:tcBorders>
              <w:top w:val="nil"/>
              <w:left w:val="nil"/>
              <w:bottom w:val="nil"/>
              <w:right w:val="nil"/>
            </w:tcBorders>
            <w:shd w:val="clear" w:color="auto" w:fill="auto"/>
            <w:noWrap/>
            <w:vAlign w:val="bottom"/>
            <w:hideMark/>
          </w:tcPr>
          <w:p w14:paraId="0E849E38" w14:textId="77777777" w:rsidR="001A19BC" w:rsidRPr="003F0CB7" w:rsidRDefault="001A19BC" w:rsidP="0053331C">
            <w:pPr>
              <w:pStyle w:val="TableRowNormal"/>
              <w:ind w:left="0" w:firstLine="0"/>
              <w:rPr>
                <w:rFonts w:cstheme="minorHAnsi"/>
              </w:rPr>
            </w:pPr>
            <w:r w:rsidRPr="003F0CB7">
              <w:rPr>
                <w:rFonts w:cstheme="minorHAnsi"/>
              </w:rPr>
              <w:t>3</w:t>
            </w:r>
          </w:p>
        </w:tc>
        <w:tc>
          <w:tcPr>
            <w:tcW w:w="660" w:type="dxa"/>
            <w:tcBorders>
              <w:top w:val="nil"/>
              <w:left w:val="nil"/>
              <w:bottom w:val="nil"/>
              <w:right w:val="nil"/>
            </w:tcBorders>
            <w:shd w:val="clear" w:color="auto" w:fill="auto"/>
            <w:noWrap/>
            <w:vAlign w:val="bottom"/>
            <w:hideMark/>
          </w:tcPr>
          <w:p w14:paraId="10B68E02" w14:textId="77777777" w:rsidR="001A19BC" w:rsidRPr="003F0CB7" w:rsidRDefault="001A19BC" w:rsidP="0053331C">
            <w:pPr>
              <w:pStyle w:val="TableRowNormal"/>
              <w:ind w:left="0" w:firstLine="0"/>
              <w:rPr>
                <w:rFonts w:cstheme="minorHAnsi"/>
              </w:rPr>
            </w:pPr>
            <w:r w:rsidRPr="003F0CB7">
              <w:rPr>
                <w:rFonts w:cstheme="minorHAnsi"/>
              </w:rPr>
              <w:t>1</w:t>
            </w:r>
          </w:p>
        </w:tc>
        <w:tc>
          <w:tcPr>
            <w:tcW w:w="660" w:type="dxa"/>
            <w:tcBorders>
              <w:top w:val="nil"/>
              <w:left w:val="nil"/>
              <w:bottom w:val="nil"/>
              <w:right w:val="nil"/>
            </w:tcBorders>
            <w:shd w:val="clear" w:color="auto" w:fill="auto"/>
            <w:noWrap/>
            <w:vAlign w:val="bottom"/>
            <w:hideMark/>
          </w:tcPr>
          <w:p w14:paraId="46729707" w14:textId="77777777" w:rsidR="001A19BC" w:rsidRPr="003F0CB7" w:rsidRDefault="001A19BC" w:rsidP="0053331C">
            <w:pPr>
              <w:pStyle w:val="TableRowNormal"/>
              <w:ind w:left="0" w:firstLine="0"/>
              <w:rPr>
                <w:rFonts w:cstheme="minorHAnsi"/>
              </w:rPr>
            </w:pPr>
            <w:r w:rsidRPr="003F0CB7">
              <w:rPr>
                <w:rFonts w:cstheme="minorHAnsi"/>
              </w:rPr>
              <w:t>3</w:t>
            </w:r>
          </w:p>
        </w:tc>
        <w:tc>
          <w:tcPr>
            <w:tcW w:w="660" w:type="dxa"/>
            <w:tcBorders>
              <w:top w:val="nil"/>
              <w:left w:val="nil"/>
              <w:bottom w:val="nil"/>
              <w:right w:val="nil"/>
            </w:tcBorders>
            <w:shd w:val="clear" w:color="auto" w:fill="auto"/>
            <w:noWrap/>
            <w:vAlign w:val="bottom"/>
            <w:hideMark/>
          </w:tcPr>
          <w:p w14:paraId="3518B924" w14:textId="77777777" w:rsidR="001A19BC" w:rsidRPr="003F0CB7" w:rsidRDefault="001A19BC" w:rsidP="0053331C">
            <w:pPr>
              <w:pStyle w:val="TableRowNormal"/>
              <w:ind w:left="0" w:firstLine="0"/>
              <w:rPr>
                <w:rFonts w:cstheme="minorHAnsi"/>
              </w:rPr>
            </w:pPr>
            <w:r w:rsidRPr="003F0CB7">
              <w:rPr>
                <w:rFonts w:cstheme="minorHAnsi"/>
              </w:rPr>
              <w:t>-1</w:t>
            </w:r>
          </w:p>
        </w:tc>
        <w:tc>
          <w:tcPr>
            <w:tcW w:w="660" w:type="dxa"/>
            <w:tcBorders>
              <w:top w:val="nil"/>
              <w:left w:val="nil"/>
              <w:bottom w:val="nil"/>
              <w:right w:val="nil"/>
            </w:tcBorders>
            <w:shd w:val="clear" w:color="auto" w:fill="auto"/>
            <w:noWrap/>
            <w:vAlign w:val="bottom"/>
            <w:hideMark/>
          </w:tcPr>
          <w:p w14:paraId="10836C81" w14:textId="77777777" w:rsidR="001A19BC" w:rsidRPr="003F0CB7" w:rsidRDefault="001A19BC" w:rsidP="0053331C">
            <w:pPr>
              <w:pStyle w:val="TableRowNormal"/>
              <w:ind w:left="0" w:firstLine="0"/>
              <w:rPr>
                <w:rFonts w:cstheme="minorHAnsi"/>
              </w:rPr>
            </w:pPr>
            <w:r w:rsidRPr="003F0CB7">
              <w:rPr>
                <w:rFonts w:cstheme="minorHAnsi"/>
              </w:rPr>
              <w:t>-3</w:t>
            </w:r>
          </w:p>
        </w:tc>
        <w:tc>
          <w:tcPr>
            <w:tcW w:w="880" w:type="dxa"/>
            <w:tcBorders>
              <w:top w:val="nil"/>
              <w:left w:val="nil"/>
              <w:bottom w:val="nil"/>
              <w:right w:val="nil"/>
            </w:tcBorders>
            <w:shd w:val="clear" w:color="auto" w:fill="auto"/>
            <w:noWrap/>
            <w:vAlign w:val="bottom"/>
            <w:hideMark/>
          </w:tcPr>
          <w:p w14:paraId="1CE63CD9" w14:textId="77777777" w:rsidR="001A19BC" w:rsidRPr="003F0CB7" w:rsidRDefault="001A19BC" w:rsidP="0053331C">
            <w:pPr>
              <w:pStyle w:val="TableRowNormal"/>
              <w:ind w:left="0" w:firstLine="0"/>
              <w:rPr>
                <w:rFonts w:cstheme="minorHAnsi"/>
              </w:rPr>
            </w:pPr>
            <w:r w:rsidRPr="003F0CB7">
              <w:rPr>
                <w:rFonts w:cstheme="minorHAnsi"/>
              </w:rPr>
              <w:t>1</w:t>
            </w:r>
          </w:p>
        </w:tc>
      </w:tr>
      <w:tr w:rsidR="001A19BC" w:rsidRPr="00FC5D74" w14:paraId="01B776A1" w14:textId="77777777" w:rsidTr="0053331C">
        <w:trPr>
          <w:trHeight w:val="315"/>
        </w:trPr>
        <w:tc>
          <w:tcPr>
            <w:tcW w:w="2720" w:type="dxa"/>
            <w:tcBorders>
              <w:top w:val="nil"/>
              <w:left w:val="nil"/>
              <w:bottom w:val="single" w:sz="4" w:space="0" w:color="auto"/>
              <w:right w:val="nil"/>
            </w:tcBorders>
            <w:shd w:val="clear" w:color="auto" w:fill="auto"/>
            <w:noWrap/>
            <w:vAlign w:val="bottom"/>
            <w:hideMark/>
          </w:tcPr>
          <w:p w14:paraId="237C131E" w14:textId="77777777" w:rsidR="001A19BC" w:rsidRPr="003F0CB7" w:rsidRDefault="001A19BC" w:rsidP="0053331C">
            <w:pPr>
              <w:pStyle w:val="CGCTableStub"/>
              <w:tabs>
                <w:tab w:val="left" w:pos="142"/>
                <w:tab w:val="left" w:pos="425"/>
                <w:tab w:val="left" w:pos="709"/>
                <w:tab w:val="left" w:pos="851"/>
              </w:tabs>
              <w:ind w:left="142" w:hanging="142"/>
              <w:rPr>
                <w:rFonts w:cstheme="minorHAnsi"/>
              </w:rPr>
            </w:pPr>
            <w:r w:rsidRPr="003F0CB7">
              <w:rPr>
                <w:rFonts w:cstheme="minorHAnsi"/>
              </w:rPr>
              <w:t>Driver licensing</w:t>
            </w:r>
          </w:p>
        </w:tc>
        <w:tc>
          <w:tcPr>
            <w:tcW w:w="760" w:type="dxa"/>
            <w:tcBorders>
              <w:top w:val="nil"/>
              <w:left w:val="nil"/>
              <w:bottom w:val="single" w:sz="4" w:space="0" w:color="auto"/>
              <w:right w:val="nil"/>
            </w:tcBorders>
            <w:shd w:val="clear" w:color="auto" w:fill="auto"/>
            <w:noWrap/>
            <w:vAlign w:val="bottom"/>
            <w:hideMark/>
          </w:tcPr>
          <w:p w14:paraId="69F63505"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single" w:sz="4" w:space="0" w:color="auto"/>
              <w:right w:val="nil"/>
            </w:tcBorders>
            <w:shd w:val="clear" w:color="auto" w:fill="auto"/>
            <w:noWrap/>
            <w:vAlign w:val="bottom"/>
            <w:hideMark/>
          </w:tcPr>
          <w:p w14:paraId="255CF9D4"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single" w:sz="4" w:space="0" w:color="auto"/>
              <w:right w:val="nil"/>
            </w:tcBorders>
            <w:shd w:val="clear" w:color="auto" w:fill="auto"/>
            <w:noWrap/>
            <w:vAlign w:val="bottom"/>
            <w:hideMark/>
          </w:tcPr>
          <w:p w14:paraId="7AE8FAE6"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single" w:sz="4" w:space="0" w:color="auto"/>
              <w:right w:val="nil"/>
            </w:tcBorders>
            <w:shd w:val="clear" w:color="auto" w:fill="auto"/>
            <w:noWrap/>
            <w:vAlign w:val="bottom"/>
            <w:hideMark/>
          </w:tcPr>
          <w:p w14:paraId="56EE554B"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single" w:sz="4" w:space="0" w:color="auto"/>
              <w:right w:val="nil"/>
            </w:tcBorders>
            <w:shd w:val="clear" w:color="auto" w:fill="auto"/>
            <w:noWrap/>
            <w:vAlign w:val="bottom"/>
            <w:hideMark/>
          </w:tcPr>
          <w:p w14:paraId="104B154F"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single" w:sz="4" w:space="0" w:color="auto"/>
              <w:right w:val="nil"/>
            </w:tcBorders>
            <w:shd w:val="clear" w:color="auto" w:fill="auto"/>
            <w:noWrap/>
            <w:vAlign w:val="bottom"/>
            <w:hideMark/>
          </w:tcPr>
          <w:p w14:paraId="2B7D433B" w14:textId="77777777" w:rsidR="001A19BC" w:rsidRPr="003F0CB7" w:rsidRDefault="001A19BC" w:rsidP="0053331C">
            <w:pPr>
              <w:pStyle w:val="TableRowNormal"/>
              <w:ind w:left="0" w:firstLine="0"/>
              <w:rPr>
                <w:rFonts w:cstheme="minorHAnsi"/>
              </w:rPr>
            </w:pPr>
            <w:r w:rsidRPr="003F0CB7">
              <w:rPr>
                <w:rFonts w:cstheme="minorHAnsi"/>
              </w:rPr>
              <w:t>1</w:t>
            </w:r>
          </w:p>
        </w:tc>
        <w:tc>
          <w:tcPr>
            <w:tcW w:w="660" w:type="dxa"/>
            <w:tcBorders>
              <w:top w:val="nil"/>
              <w:left w:val="nil"/>
              <w:bottom w:val="single" w:sz="4" w:space="0" w:color="auto"/>
              <w:right w:val="nil"/>
            </w:tcBorders>
            <w:shd w:val="clear" w:color="auto" w:fill="auto"/>
            <w:noWrap/>
            <w:vAlign w:val="bottom"/>
            <w:hideMark/>
          </w:tcPr>
          <w:p w14:paraId="7F88E581" w14:textId="77777777" w:rsidR="001A19BC" w:rsidRPr="003F0CB7" w:rsidRDefault="001A19BC" w:rsidP="0053331C">
            <w:pPr>
              <w:pStyle w:val="TableRowNormal"/>
              <w:ind w:left="0" w:firstLine="0"/>
              <w:rPr>
                <w:rFonts w:cstheme="minorHAnsi"/>
              </w:rPr>
            </w:pPr>
            <w:r w:rsidRPr="003F0CB7">
              <w:rPr>
                <w:rFonts w:cstheme="minorHAnsi"/>
              </w:rPr>
              <w:t>0</w:t>
            </w:r>
          </w:p>
        </w:tc>
        <w:tc>
          <w:tcPr>
            <w:tcW w:w="660" w:type="dxa"/>
            <w:tcBorders>
              <w:top w:val="nil"/>
              <w:left w:val="nil"/>
              <w:bottom w:val="single" w:sz="4" w:space="0" w:color="auto"/>
              <w:right w:val="nil"/>
            </w:tcBorders>
            <w:shd w:val="clear" w:color="auto" w:fill="auto"/>
            <w:noWrap/>
            <w:vAlign w:val="bottom"/>
            <w:hideMark/>
          </w:tcPr>
          <w:p w14:paraId="41D9731C" w14:textId="77777777" w:rsidR="001A19BC" w:rsidRPr="003F0CB7" w:rsidRDefault="001A19BC" w:rsidP="0053331C">
            <w:pPr>
              <w:pStyle w:val="TableRowNormal"/>
              <w:ind w:left="0" w:firstLine="0"/>
              <w:rPr>
                <w:rFonts w:cstheme="minorHAnsi"/>
              </w:rPr>
            </w:pPr>
            <w:r w:rsidRPr="003F0CB7">
              <w:rPr>
                <w:rFonts w:cstheme="minorHAnsi"/>
              </w:rPr>
              <w:t>0</w:t>
            </w:r>
          </w:p>
        </w:tc>
        <w:tc>
          <w:tcPr>
            <w:tcW w:w="880" w:type="dxa"/>
            <w:tcBorders>
              <w:top w:val="nil"/>
              <w:left w:val="nil"/>
              <w:bottom w:val="single" w:sz="4" w:space="0" w:color="auto"/>
              <w:right w:val="nil"/>
            </w:tcBorders>
            <w:shd w:val="clear" w:color="auto" w:fill="auto"/>
            <w:noWrap/>
            <w:vAlign w:val="bottom"/>
            <w:hideMark/>
          </w:tcPr>
          <w:p w14:paraId="4E21CCB7" w14:textId="77777777" w:rsidR="001A19BC" w:rsidRPr="003F0CB7" w:rsidRDefault="001A19BC" w:rsidP="0053331C">
            <w:pPr>
              <w:pStyle w:val="TableRowNormal"/>
              <w:ind w:left="0" w:firstLine="0"/>
              <w:rPr>
                <w:rFonts w:cstheme="minorHAnsi"/>
              </w:rPr>
            </w:pPr>
            <w:r w:rsidRPr="003F0CB7">
              <w:rPr>
                <w:rFonts w:cstheme="minorHAnsi"/>
              </w:rPr>
              <w:t>0</w:t>
            </w:r>
          </w:p>
        </w:tc>
      </w:tr>
    </w:tbl>
    <w:p w14:paraId="764EB269" w14:textId="77777777" w:rsidR="001A19BC" w:rsidRDefault="001A19BC" w:rsidP="001A19BC">
      <w:pPr>
        <w:pStyle w:val="CGCTableFootnote"/>
      </w:pPr>
      <w:r>
        <w:t>Source:</w:t>
      </w:r>
      <w:r>
        <w:tab/>
        <w:t>Commission staff calculation.</w:t>
      </w:r>
    </w:p>
    <w:p w14:paraId="441F61A1" w14:textId="15A87E75" w:rsidR="00740B0C" w:rsidRDefault="00740B0C" w:rsidP="00740B0C">
      <w:pPr>
        <w:pStyle w:val="CGCNumberedPara"/>
      </w:pPr>
      <w:r>
        <w:t xml:space="preserve">For the 2020 Review, EPC assessment of the expenses on enforcement of heavy vehicle regulatory costs, vehicle registration and driver </w:t>
      </w:r>
      <w:r w:rsidRPr="001C6227">
        <w:t>licensing</w:t>
      </w:r>
      <w:r w:rsidR="006572DD">
        <w:t xml:space="preserve"> could be retained</w:t>
      </w:r>
      <w:r>
        <w:t xml:space="preserve">. However, because </w:t>
      </w:r>
      <w:r w:rsidR="00C01EEE">
        <w:t xml:space="preserve">regulation </w:t>
      </w:r>
      <w:r w:rsidR="00E41461">
        <w:t xml:space="preserve">type </w:t>
      </w:r>
      <w:r>
        <w:t xml:space="preserve">expenses </w:t>
      </w:r>
      <w:r w:rsidR="00E41461">
        <w:t xml:space="preserve">(such as professional registration agencies in education and health services) </w:t>
      </w:r>
      <w:r w:rsidR="00C01EEE">
        <w:t>are normally included as part of service delivery expenses in other categories and they are</w:t>
      </w:r>
      <w:r>
        <w:t xml:space="preserve"> partly related to road use, staff propose to reallocate them to all components on a proportional basis, similar to the proposal for corporate services. </w:t>
      </w:r>
    </w:p>
    <w:tbl>
      <w:tblPr>
        <w:tblW w:w="0" w:type="auto"/>
        <w:tblInd w:w="108" w:type="dxa"/>
        <w:shd w:val="clear" w:color="auto" w:fill="D9F3E6"/>
        <w:tblLook w:val="04A0" w:firstRow="1" w:lastRow="0" w:firstColumn="1" w:lastColumn="0" w:noHBand="0" w:noVBand="1"/>
      </w:tblPr>
      <w:tblGrid>
        <w:gridCol w:w="8931"/>
      </w:tblGrid>
      <w:tr w:rsidR="001A19BC" w:rsidRPr="00E674AF" w14:paraId="06004192" w14:textId="77777777" w:rsidTr="0053331C">
        <w:tc>
          <w:tcPr>
            <w:tcW w:w="8931" w:type="dxa"/>
            <w:shd w:val="clear" w:color="auto" w:fill="D9F3E6"/>
          </w:tcPr>
          <w:p w14:paraId="7A93E6CE" w14:textId="77777777" w:rsidR="001A19BC" w:rsidRPr="00E674AF" w:rsidRDefault="001A19BC" w:rsidP="00ED0A43">
            <w:pPr>
              <w:keepNext/>
            </w:pPr>
            <w:r w:rsidRPr="00B7517F">
              <w:t>Staff propose to recommend the Commission:</w:t>
            </w:r>
          </w:p>
          <w:p w14:paraId="170A6CE5" w14:textId="52617E4B" w:rsidR="001A19BC" w:rsidRPr="00E674AF" w:rsidRDefault="00D47702" w:rsidP="00ED0A43">
            <w:pPr>
              <w:pStyle w:val="CGCBulletlist"/>
              <w:keepNext/>
            </w:pPr>
            <w:proofErr w:type="gramStart"/>
            <w:r>
              <w:t>remove</w:t>
            </w:r>
            <w:proofErr w:type="gramEnd"/>
            <w:r w:rsidR="006F1A1A">
              <w:t xml:space="preserve"> the other services component from the roads category and </w:t>
            </w:r>
            <w:r w:rsidR="001A19BC" w:rsidRPr="00BE41A6">
              <w:t xml:space="preserve">reallocate </w:t>
            </w:r>
            <w:r w:rsidR="001A19BC">
              <w:t xml:space="preserve">other services expenses </w:t>
            </w:r>
            <w:r w:rsidR="001A19BC" w:rsidRPr="00BE41A6">
              <w:t xml:space="preserve">to </w:t>
            </w:r>
            <w:r>
              <w:t>the other</w:t>
            </w:r>
            <w:r w:rsidR="001A19BC" w:rsidRPr="00BE41A6">
              <w:t xml:space="preserve"> components </w:t>
            </w:r>
            <w:r w:rsidR="001A19BC">
              <w:t xml:space="preserve">of the Roads category </w:t>
            </w:r>
            <w:r>
              <w:t xml:space="preserve">on a proportional </w:t>
            </w:r>
            <w:r w:rsidR="001A19BC" w:rsidRPr="00BE41A6">
              <w:t>basis</w:t>
            </w:r>
            <w:r w:rsidR="001A19BC">
              <w:t xml:space="preserve"> and apply to them the component disabilities.</w:t>
            </w:r>
          </w:p>
        </w:tc>
      </w:tr>
    </w:tbl>
    <w:p w14:paraId="52E0303D" w14:textId="77777777" w:rsidR="00FA46A7" w:rsidRDefault="00FA46A7" w:rsidP="00FA46A7">
      <w:pPr>
        <w:pStyle w:val="Heading4"/>
      </w:pPr>
      <w:bookmarkStart w:id="75" w:name="_Toc509326367"/>
      <w:bookmarkStart w:id="76" w:name="_Toc511380297"/>
      <w:r>
        <w:t>National network</w:t>
      </w:r>
      <w:r w:rsidR="002D2FCD">
        <w:t xml:space="preserve"> roads</w:t>
      </w:r>
      <w:bookmarkEnd w:id="75"/>
      <w:bookmarkEnd w:id="76"/>
    </w:p>
    <w:p w14:paraId="7DA788D2" w14:textId="43081428" w:rsidR="00760A9A" w:rsidRDefault="00760A9A" w:rsidP="00760A9A">
      <w:pPr>
        <w:pStyle w:val="CGCNumberedPara"/>
        <w:numPr>
          <w:ilvl w:val="1"/>
          <w:numId w:val="3"/>
        </w:numPr>
      </w:pPr>
      <w:r>
        <w:t xml:space="preserve">In the 2010 Review, the Commission was </w:t>
      </w:r>
      <w:r w:rsidRPr="00194CB1">
        <w:t>concerned that the roads disab</w:t>
      </w:r>
      <w:r>
        <w:t>ilities may not capture all non</w:t>
      </w:r>
      <w:r>
        <w:noBreakHyphen/>
      </w:r>
      <w:r w:rsidRPr="00194CB1">
        <w:t>policy influences on State expenditure on the construction of N</w:t>
      </w:r>
      <w:r>
        <w:t xml:space="preserve">ational </w:t>
      </w:r>
      <w:r w:rsidRPr="00194CB1">
        <w:t>N</w:t>
      </w:r>
      <w:r>
        <w:t xml:space="preserve">etwork </w:t>
      </w:r>
      <w:r w:rsidRPr="00194CB1">
        <w:t>R</w:t>
      </w:r>
      <w:r>
        <w:t>oads (</w:t>
      </w:r>
      <w:proofErr w:type="spellStart"/>
      <w:r>
        <w:t>NNR</w:t>
      </w:r>
      <w:proofErr w:type="spellEnd"/>
      <w:r>
        <w:t>).</w:t>
      </w:r>
      <w:r w:rsidRPr="00194CB1">
        <w:t xml:space="preserve"> </w:t>
      </w:r>
      <w:r w:rsidR="00CD1353">
        <w:t>The Commission</w:t>
      </w:r>
      <w:r w:rsidRPr="00194CB1">
        <w:t xml:space="preserve"> </w:t>
      </w:r>
      <w:r w:rsidR="00C35F96">
        <w:t>considered</w:t>
      </w:r>
      <w:r w:rsidRPr="00194CB1">
        <w:t xml:space="preserve"> part of the Commonwealth support for these roads and the consequent investment</w:t>
      </w:r>
      <w:r w:rsidR="00C35F96">
        <w:t xml:space="preserve"> was</w:t>
      </w:r>
      <w:r w:rsidRPr="00194CB1">
        <w:t xml:space="preserve"> influenced by Commonwealth considerations </w:t>
      </w:r>
      <w:r w:rsidR="00BA1178">
        <w:t>that</w:t>
      </w:r>
      <w:r w:rsidRPr="00194CB1">
        <w:t xml:space="preserve"> </w:t>
      </w:r>
      <w:r>
        <w:t xml:space="preserve">were not captured in </w:t>
      </w:r>
      <w:r w:rsidR="00BA1178">
        <w:t>the</w:t>
      </w:r>
      <w:r>
        <w:t xml:space="preserve"> State </w:t>
      </w:r>
      <w:r w:rsidRPr="00194CB1">
        <w:t>based disability measures</w:t>
      </w:r>
      <w:r>
        <w:t>, for example, the</w:t>
      </w:r>
      <w:r w:rsidRPr="00194CB1">
        <w:t xml:space="preserve"> need to develop an efficient national transport network to facilitate national economic growth</w:t>
      </w:r>
      <w:r w:rsidR="005E554F">
        <w:t>,</w:t>
      </w:r>
      <w:r w:rsidR="00FB3BE7">
        <w:t xml:space="preserve"> long</w:t>
      </w:r>
      <w:r w:rsidR="005E554F">
        <w:t xml:space="preserve"> term</w:t>
      </w:r>
      <w:r w:rsidRPr="00194CB1">
        <w:t xml:space="preserve"> productivity gains</w:t>
      </w:r>
      <w:r w:rsidR="005E554F">
        <w:t xml:space="preserve"> and national economic stimulus benefits</w:t>
      </w:r>
      <w:r w:rsidRPr="00194CB1">
        <w:t>.</w:t>
      </w:r>
      <w:r>
        <w:t xml:space="preserve"> </w:t>
      </w:r>
      <w:r w:rsidRPr="00CB7583">
        <w:t xml:space="preserve">For this reason, </w:t>
      </w:r>
      <w:r>
        <w:t xml:space="preserve">it decided to treat </w:t>
      </w:r>
      <w:r w:rsidRPr="00CB7583">
        <w:t xml:space="preserve">half of the Commonwealth </w:t>
      </w:r>
      <w:r>
        <w:t>payments</w:t>
      </w:r>
      <w:r w:rsidRPr="00CB7583">
        <w:t xml:space="preserve"> for this investment </w:t>
      </w:r>
      <w:r>
        <w:t>as having no impact on the GST distribution. This treatment was continued in the 2015 Review</w:t>
      </w:r>
      <w:r w:rsidR="005E554F">
        <w:t xml:space="preserve"> and broadened to Commonwealth support for national rail projects</w:t>
      </w:r>
      <w:r>
        <w:t>.</w:t>
      </w:r>
      <w:r w:rsidR="0090697C">
        <w:t xml:space="preserve"> </w:t>
      </w:r>
    </w:p>
    <w:p w14:paraId="21D0E285" w14:textId="511A9BD3" w:rsidR="00D62FB5" w:rsidRDefault="00D62FB5" w:rsidP="00D62FB5">
      <w:pPr>
        <w:pStyle w:val="CGCNumberedPara"/>
      </w:pPr>
      <w:r>
        <w:t xml:space="preserve">However, this approach has been contentious. Some States </w:t>
      </w:r>
      <w:r w:rsidR="00294A80">
        <w:t xml:space="preserve">have </w:t>
      </w:r>
      <w:r>
        <w:t xml:space="preserve">argued it was inappropriate to treat half the Commonwealth funding as having no impact on the GST because the Commission’s assessments, especially the road use disabilities, </w:t>
      </w:r>
      <w:r>
        <w:lastRenderedPageBreak/>
        <w:t xml:space="preserve">adequately captured all the main drivers of investment on national network roads. It was also suggested that States had some influence on Commonwealth decisions on which roads were on the national network and which projects received Commonwealth funding. </w:t>
      </w:r>
      <w:r w:rsidR="00FD6556">
        <w:t xml:space="preserve">The Grattan Institute has also highlighted this issue by querying the justification for the </w:t>
      </w:r>
      <w:proofErr w:type="spellStart"/>
      <w:r w:rsidR="00FD6556">
        <w:t>NNR</w:t>
      </w:r>
      <w:proofErr w:type="spellEnd"/>
      <w:r w:rsidR="00FD6556">
        <w:t xml:space="preserve"> status of the Geelong–Coolac road as it did not consider it a project of national significance.</w:t>
      </w:r>
      <w:r w:rsidR="00FD6556">
        <w:rPr>
          <w:rStyle w:val="FootnoteReference"/>
        </w:rPr>
        <w:footnoteReference w:id="12"/>
      </w:r>
      <w:r w:rsidR="00FD6556">
        <w:t xml:space="preserve"> </w:t>
      </w:r>
      <w:r>
        <w:fldChar w:fldCharType="begin"/>
      </w:r>
      <w:r>
        <w:instrText xml:space="preserve"> REF _Ref509222160 \h </w:instrText>
      </w:r>
      <w:r>
        <w:fldChar w:fldCharType="separate"/>
      </w:r>
      <w:r w:rsidR="004B3502">
        <w:t xml:space="preserve">Table </w:t>
      </w:r>
      <w:r w:rsidR="004B3502">
        <w:rPr>
          <w:noProof/>
        </w:rPr>
        <w:t>13</w:t>
      </w:r>
      <w:r>
        <w:fldChar w:fldCharType="end"/>
      </w:r>
      <w:r>
        <w:t xml:space="preserve"> shows the payments made under the </w:t>
      </w:r>
      <w:r w:rsidRPr="00D62FB5">
        <w:t xml:space="preserve">Infrastructure investment program </w:t>
      </w:r>
      <w:r w:rsidR="00A0542F">
        <w:t xml:space="preserve">– </w:t>
      </w:r>
      <w:r w:rsidRPr="00D62FB5">
        <w:t>National network roads</w:t>
      </w:r>
      <w:r>
        <w:t xml:space="preserve"> for 2013-14 to 2016-17</w:t>
      </w:r>
      <w:r w:rsidR="00891AA2">
        <w:t xml:space="preserve">. On average during those years, New South Wales and Queensland received above average shares of the payments.   </w:t>
      </w:r>
    </w:p>
    <w:p w14:paraId="3F19ACE7" w14:textId="7CEE7776" w:rsidR="0090697C" w:rsidRDefault="0090697C" w:rsidP="007006E8">
      <w:pPr>
        <w:pStyle w:val="CGCTableHeading"/>
      </w:pPr>
      <w:bookmarkStart w:id="77" w:name="_Ref509222160"/>
      <w:r>
        <w:t xml:space="preserve">Table </w:t>
      </w:r>
      <w:fldSimple w:instr=" SEQ Table \* ARABIC ">
        <w:r w:rsidR="004B3502">
          <w:rPr>
            <w:noProof/>
          </w:rPr>
          <w:t>13</w:t>
        </w:r>
      </w:fldSimple>
      <w:bookmarkEnd w:id="77"/>
      <w:r>
        <w:tab/>
      </w:r>
      <w:r w:rsidRPr="0090697C">
        <w:t>Infrastructure investment program - National network roads</w:t>
      </w:r>
      <w:r w:rsidR="00D62FB5">
        <w:t>,</w:t>
      </w:r>
      <w:r>
        <w:t xml:space="preserve"> 2013-14 to 2016-17</w:t>
      </w:r>
    </w:p>
    <w:tbl>
      <w:tblPr>
        <w:tblW w:w="8920" w:type="dxa"/>
        <w:tblInd w:w="93" w:type="dxa"/>
        <w:tblLook w:val="04A0" w:firstRow="1" w:lastRow="0" w:firstColumn="1" w:lastColumn="0" w:noHBand="0" w:noVBand="1"/>
      </w:tblPr>
      <w:tblGrid>
        <w:gridCol w:w="1180"/>
        <w:gridCol w:w="880"/>
        <w:gridCol w:w="880"/>
        <w:gridCol w:w="880"/>
        <w:gridCol w:w="880"/>
        <w:gridCol w:w="880"/>
        <w:gridCol w:w="780"/>
        <w:gridCol w:w="780"/>
        <w:gridCol w:w="780"/>
        <w:gridCol w:w="1000"/>
      </w:tblGrid>
      <w:tr w:rsidR="00F133E0" w:rsidRPr="00F133E0" w14:paraId="664256AA" w14:textId="77777777" w:rsidTr="00F133E0">
        <w:trPr>
          <w:trHeight w:val="379"/>
        </w:trPr>
        <w:tc>
          <w:tcPr>
            <w:tcW w:w="1180" w:type="dxa"/>
            <w:tcBorders>
              <w:top w:val="single" w:sz="4" w:space="0" w:color="auto"/>
              <w:left w:val="nil"/>
              <w:bottom w:val="single" w:sz="4" w:space="0" w:color="auto"/>
              <w:right w:val="nil"/>
            </w:tcBorders>
            <w:shd w:val="clear" w:color="auto" w:fill="auto"/>
            <w:noWrap/>
            <w:vAlign w:val="center"/>
            <w:hideMark/>
          </w:tcPr>
          <w:p w14:paraId="3DE8D4F5"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bookmarkStart w:id="78" w:name="RANGE!A6:J18"/>
            <w:r w:rsidRPr="00F133E0">
              <w:rPr>
                <w:rFonts w:ascii="Calibri" w:eastAsia="Times New Roman" w:hAnsi="Calibri" w:cs="Times New Roman"/>
                <w:sz w:val="20"/>
                <w:szCs w:val="20"/>
                <w:lang w:eastAsia="en-AU"/>
              </w:rPr>
              <w:t> </w:t>
            </w:r>
            <w:bookmarkEnd w:id="78"/>
          </w:p>
        </w:tc>
        <w:tc>
          <w:tcPr>
            <w:tcW w:w="880" w:type="dxa"/>
            <w:tcBorders>
              <w:top w:val="single" w:sz="4" w:space="0" w:color="auto"/>
              <w:left w:val="nil"/>
              <w:bottom w:val="single" w:sz="4" w:space="0" w:color="auto"/>
              <w:right w:val="nil"/>
            </w:tcBorders>
            <w:shd w:val="clear" w:color="auto" w:fill="auto"/>
            <w:noWrap/>
            <w:vAlign w:val="center"/>
            <w:hideMark/>
          </w:tcPr>
          <w:p w14:paraId="283E8662"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NSW</w:t>
            </w:r>
          </w:p>
        </w:tc>
        <w:tc>
          <w:tcPr>
            <w:tcW w:w="880" w:type="dxa"/>
            <w:tcBorders>
              <w:top w:val="single" w:sz="4" w:space="0" w:color="auto"/>
              <w:left w:val="nil"/>
              <w:bottom w:val="single" w:sz="4" w:space="0" w:color="auto"/>
              <w:right w:val="nil"/>
            </w:tcBorders>
            <w:shd w:val="clear" w:color="auto" w:fill="auto"/>
            <w:noWrap/>
            <w:vAlign w:val="center"/>
            <w:hideMark/>
          </w:tcPr>
          <w:p w14:paraId="01B62D1B"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Vic</w:t>
            </w:r>
          </w:p>
        </w:tc>
        <w:tc>
          <w:tcPr>
            <w:tcW w:w="880" w:type="dxa"/>
            <w:tcBorders>
              <w:top w:val="single" w:sz="4" w:space="0" w:color="auto"/>
              <w:left w:val="nil"/>
              <w:bottom w:val="single" w:sz="4" w:space="0" w:color="auto"/>
              <w:right w:val="nil"/>
            </w:tcBorders>
            <w:shd w:val="clear" w:color="auto" w:fill="auto"/>
            <w:noWrap/>
            <w:vAlign w:val="center"/>
            <w:hideMark/>
          </w:tcPr>
          <w:p w14:paraId="44ED0D92"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Qld</w:t>
            </w:r>
          </w:p>
        </w:tc>
        <w:tc>
          <w:tcPr>
            <w:tcW w:w="880" w:type="dxa"/>
            <w:tcBorders>
              <w:top w:val="single" w:sz="4" w:space="0" w:color="auto"/>
              <w:left w:val="nil"/>
              <w:bottom w:val="single" w:sz="4" w:space="0" w:color="auto"/>
              <w:right w:val="nil"/>
            </w:tcBorders>
            <w:shd w:val="clear" w:color="auto" w:fill="auto"/>
            <w:noWrap/>
            <w:vAlign w:val="center"/>
            <w:hideMark/>
          </w:tcPr>
          <w:p w14:paraId="552E6CB0"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WA</w:t>
            </w:r>
          </w:p>
        </w:tc>
        <w:tc>
          <w:tcPr>
            <w:tcW w:w="880" w:type="dxa"/>
            <w:tcBorders>
              <w:top w:val="single" w:sz="4" w:space="0" w:color="auto"/>
              <w:left w:val="nil"/>
              <w:bottom w:val="single" w:sz="4" w:space="0" w:color="auto"/>
              <w:right w:val="nil"/>
            </w:tcBorders>
            <w:shd w:val="clear" w:color="auto" w:fill="auto"/>
            <w:noWrap/>
            <w:vAlign w:val="center"/>
            <w:hideMark/>
          </w:tcPr>
          <w:p w14:paraId="710C73D3"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SA</w:t>
            </w:r>
          </w:p>
        </w:tc>
        <w:tc>
          <w:tcPr>
            <w:tcW w:w="780" w:type="dxa"/>
            <w:tcBorders>
              <w:top w:val="single" w:sz="4" w:space="0" w:color="auto"/>
              <w:left w:val="nil"/>
              <w:bottom w:val="single" w:sz="4" w:space="0" w:color="auto"/>
              <w:right w:val="nil"/>
            </w:tcBorders>
            <w:shd w:val="clear" w:color="auto" w:fill="auto"/>
            <w:noWrap/>
            <w:vAlign w:val="center"/>
            <w:hideMark/>
          </w:tcPr>
          <w:p w14:paraId="05C46855"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proofErr w:type="spellStart"/>
            <w:r w:rsidRPr="00F133E0">
              <w:rPr>
                <w:rFonts w:ascii="Calibri" w:eastAsia="Times New Roman" w:hAnsi="Calibri" w:cs="Times New Roman"/>
                <w:sz w:val="20"/>
                <w:szCs w:val="20"/>
                <w:lang w:eastAsia="en-AU"/>
              </w:rPr>
              <w:t>Tas</w:t>
            </w:r>
            <w:proofErr w:type="spellEnd"/>
          </w:p>
        </w:tc>
        <w:tc>
          <w:tcPr>
            <w:tcW w:w="780" w:type="dxa"/>
            <w:tcBorders>
              <w:top w:val="single" w:sz="4" w:space="0" w:color="auto"/>
              <w:left w:val="nil"/>
              <w:bottom w:val="single" w:sz="4" w:space="0" w:color="auto"/>
              <w:right w:val="nil"/>
            </w:tcBorders>
            <w:shd w:val="clear" w:color="auto" w:fill="auto"/>
            <w:noWrap/>
            <w:vAlign w:val="center"/>
            <w:hideMark/>
          </w:tcPr>
          <w:p w14:paraId="5AE32FF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ACT</w:t>
            </w:r>
          </w:p>
        </w:tc>
        <w:tc>
          <w:tcPr>
            <w:tcW w:w="780" w:type="dxa"/>
            <w:tcBorders>
              <w:top w:val="single" w:sz="4" w:space="0" w:color="auto"/>
              <w:left w:val="nil"/>
              <w:bottom w:val="single" w:sz="4" w:space="0" w:color="auto"/>
              <w:right w:val="nil"/>
            </w:tcBorders>
            <w:shd w:val="clear" w:color="auto" w:fill="auto"/>
            <w:noWrap/>
            <w:vAlign w:val="center"/>
            <w:hideMark/>
          </w:tcPr>
          <w:p w14:paraId="58B3DB37"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NT</w:t>
            </w:r>
          </w:p>
        </w:tc>
        <w:tc>
          <w:tcPr>
            <w:tcW w:w="1000" w:type="dxa"/>
            <w:tcBorders>
              <w:top w:val="single" w:sz="4" w:space="0" w:color="auto"/>
              <w:left w:val="nil"/>
              <w:bottom w:val="single" w:sz="4" w:space="0" w:color="auto"/>
              <w:right w:val="nil"/>
            </w:tcBorders>
            <w:shd w:val="clear" w:color="auto" w:fill="auto"/>
            <w:noWrap/>
            <w:vAlign w:val="center"/>
            <w:hideMark/>
          </w:tcPr>
          <w:p w14:paraId="06EDA793"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Total</w:t>
            </w:r>
          </w:p>
        </w:tc>
      </w:tr>
      <w:tr w:rsidR="00F133E0" w:rsidRPr="00F133E0" w14:paraId="6704F49D" w14:textId="77777777" w:rsidTr="00F133E0">
        <w:trPr>
          <w:trHeight w:val="259"/>
        </w:trPr>
        <w:tc>
          <w:tcPr>
            <w:tcW w:w="1180" w:type="dxa"/>
            <w:tcBorders>
              <w:top w:val="nil"/>
              <w:left w:val="nil"/>
              <w:bottom w:val="nil"/>
              <w:right w:val="nil"/>
            </w:tcBorders>
            <w:shd w:val="clear" w:color="auto" w:fill="auto"/>
            <w:noWrap/>
            <w:vAlign w:val="bottom"/>
            <w:hideMark/>
          </w:tcPr>
          <w:p w14:paraId="1A03B4AA"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p>
        </w:tc>
        <w:tc>
          <w:tcPr>
            <w:tcW w:w="880" w:type="dxa"/>
            <w:tcBorders>
              <w:top w:val="nil"/>
              <w:left w:val="nil"/>
              <w:bottom w:val="nil"/>
              <w:right w:val="nil"/>
            </w:tcBorders>
            <w:shd w:val="clear" w:color="auto" w:fill="auto"/>
            <w:noWrap/>
            <w:vAlign w:val="bottom"/>
            <w:hideMark/>
          </w:tcPr>
          <w:p w14:paraId="1B36AFBB"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14:paraId="1C0067D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14:paraId="569C3A7B"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14:paraId="427C744C"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$m</w:t>
            </w:r>
          </w:p>
        </w:tc>
        <w:tc>
          <w:tcPr>
            <w:tcW w:w="880" w:type="dxa"/>
            <w:tcBorders>
              <w:top w:val="nil"/>
              <w:left w:val="nil"/>
              <w:bottom w:val="nil"/>
              <w:right w:val="nil"/>
            </w:tcBorders>
            <w:shd w:val="clear" w:color="auto" w:fill="auto"/>
            <w:noWrap/>
            <w:vAlign w:val="bottom"/>
            <w:hideMark/>
          </w:tcPr>
          <w:p w14:paraId="3B866BDD"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14:paraId="2EE4D879"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14:paraId="1C5175F9"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$m</w:t>
            </w:r>
          </w:p>
        </w:tc>
        <w:tc>
          <w:tcPr>
            <w:tcW w:w="780" w:type="dxa"/>
            <w:tcBorders>
              <w:top w:val="nil"/>
              <w:left w:val="nil"/>
              <w:bottom w:val="nil"/>
              <w:right w:val="nil"/>
            </w:tcBorders>
            <w:shd w:val="clear" w:color="auto" w:fill="auto"/>
            <w:noWrap/>
            <w:vAlign w:val="bottom"/>
            <w:hideMark/>
          </w:tcPr>
          <w:p w14:paraId="7C278707"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$m</w:t>
            </w:r>
          </w:p>
        </w:tc>
        <w:tc>
          <w:tcPr>
            <w:tcW w:w="1000" w:type="dxa"/>
            <w:tcBorders>
              <w:top w:val="nil"/>
              <w:left w:val="nil"/>
              <w:bottom w:val="nil"/>
              <w:right w:val="nil"/>
            </w:tcBorders>
            <w:shd w:val="clear" w:color="auto" w:fill="auto"/>
            <w:noWrap/>
            <w:vAlign w:val="bottom"/>
            <w:hideMark/>
          </w:tcPr>
          <w:p w14:paraId="137412E1"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$m</w:t>
            </w:r>
          </w:p>
        </w:tc>
      </w:tr>
      <w:tr w:rsidR="00F133E0" w:rsidRPr="00F133E0" w14:paraId="062FE494" w14:textId="77777777" w:rsidTr="00F133E0">
        <w:trPr>
          <w:trHeight w:val="315"/>
        </w:trPr>
        <w:tc>
          <w:tcPr>
            <w:tcW w:w="1180" w:type="dxa"/>
            <w:tcBorders>
              <w:top w:val="nil"/>
              <w:left w:val="nil"/>
              <w:bottom w:val="nil"/>
              <w:right w:val="nil"/>
            </w:tcBorders>
            <w:shd w:val="clear" w:color="auto" w:fill="auto"/>
            <w:vAlign w:val="bottom"/>
            <w:hideMark/>
          </w:tcPr>
          <w:p w14:paraId="442911B0" w14:textId="77777777" w:rsidR="00F133E0" w:rsidRPr="00F133E0" w:rsidRDefault="00F133E0" w:rsidP="00F133E0">
            <w:pPr>
              <w:tabs>
                <w:tab w:val="clear" w:pos="567"/>
              </w:tabs>
              <w:spacing w:after="0" w:line="240" w:lineRule="auto"/>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2013-14</w:t>
            </w:r>
          </w:p>
        </w:tc>
        <w:tc>
          <w:tcPr>
            <w:tcW w:w="880" w:type="dxa"/>
            <w:tcBorders>
              <w:top w:val="nil"/>
              <w:left w:val="nil"/>
              <w:bottom w:val="nil"/>
              <w:right w:val="nil"/>
            </w:tcBorders>
            <w:shd w:val="clear" w:color="auto" w:fill="auto"/>
            <w:vAlign w:val="bottom"/>
            <w:hideMark/>
          </w:tcPr>
          <w:p w14:paraId="769860EE"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1 628</w:t>
            </w:r>
          </w:p>
        </w:tc>
        <w:tc>
          <w:tcPr>
            <w:tcW w:w="880" w:type="dxa"/>
            <w:tcBorders>
              <w:top w:val="nil"/>
              <w:left w:val="nil"/>
              <w:bottom w:val="nil"/>
              <w:right w:val="nil"/>
            </w:tcBorders>
            <w:shd w:val="clear" w:color="auto" w:fill="auto"/>
            <w:vAlign w:val="bottom"/>
            <w:hideMark/>
          </w:tcPr>
          <w:p w14:paraId="4ECB7C0D"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1 663</w:t>
            </w:r>
          </w:p>
        </w:tc>
        <w:tc>
          <w:tcPr>
            <w:tcW w:w="880" w:type="dxa"/>
            <w:tcBorders>
              <w:top w:val="nil"/>
              <w:left w:val="nil"/>
              <w:bottom w:val="nil"/>
              <w:right w:val="nil"/>
            </w:tcBorders>
            <w:shd w:val="clear" w:color="auto" w:fill="auto"/>
            <w:vAlign w:val="bottom"/>
            <w:hideMark/>
          </w:tcPr>
          <w:p w14:paraId="6F62E6A5"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621</w:t>
            </w:r>
          </w:p>
        </w:tc>
        <w:tc>
          <w:tcPr>
            <w:tcW w:w="880" w:type="dxa"/>
            <w:tcBorders>
              <w:top w:val="nil"/>
              <w:left w:val="nil"/>
              <w:bottom w:val="nil"/>
              <w:right w:val="nil"/>
            </w:tcBorders>
            <w:shd w:val="clear" w:color="auto" w:fill="auto"/>
            <w:vAlign w:val="bottom"/>
            <w:hideMark/>
          </w:tcPr>
          <w:p w14:paraId="403745AC"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254</w:t>
            </w:r>
          </w:p>
        </w:tc>
        <w:tc>
          <w:tcPr>
            <w:tcW w:w="880" w:type="dxa"/>
            <w:tcBorders>
              <w:top w:val="nil"/>
              <w:left w:val="nil"/>
              <w:bottom w:val="nil"/>
              <w:right w:val="nil"/>
            </w:tcBorders>
            <w:shd w:val="clear" w:color="auto" w:fill="auto"/>
            <w:vAlign w:val="bottom"/>
            <w:hideMark/>
          </w:tcPr>
          <w:p w14:paraId="2378A988"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39</w:t>
            </w:r>
          </w:p>
        </w:tc>
        <w:tc>
          <w:tcPr>
            <w:tcW w:w="780" w:type="dxa"/>
            <w:tcBorders>
              <w:top w:val="nil"/>
              <w:left w:val="nil"/>
              <w:bottom w:val="nil"/>
              <w:right w:val="nil"/>
            </w:tcBorders>
            <w:shd w:val="clear" w:color="auto" w:fill="auto"/>
            <w:vAlign w:val="bottom"/>
            <w:hideMark/>
          </w:tcPr>
          <w:p w14:paraId="670C9C4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8</w:t>
            </w:r>
          </w:p>
        </w:tc>
        <w:tc>
          <w:tcPr>
            <w:tcW w:w="780" w:type="dxa"/>
            <w:tcBorders>
              <w:top w:val="nil"/>
              <w:left w:val="nil"/>
              <w:bottom w:val="nil"/>
              <w:right w:val="nil"/>
            </w:tcBorders>
            <w:shd w:val="clear" w:color="auto" w:fill="auto"/>
            <w:vAlign w:val="bottom"/>
            <w:hideMark/>
          </w:tcPr>
          <w:p w14:paraId="69D40969"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0</w:t>
            </w:r>
          </w:p>
        </w:tc>
        <w:tc>
          <w:tcPr>
            <w:tcW w:w="780" w:type="dxa"/>
            <w:tcBorders>
              <w:top w:val="nil"/>
              <w:left w:val="nil"/>
              <w:bottom w:val="nil"/>
              <w:right w:val="nil"/>
            </w:tcBorders>
            <w:shd w:val="clear" w:color="auto" w:fill="auto"/>
            <w:vAlign w:val="bottom"/>
            <w:hideMark/>
          </w:tcPr>
          <w:p w14:paraId="0679F523"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48</w:t>
            </w:r>
          </w:p>
        </w:tc>
        <w:tc>
          <w:tcPr>
            <w:tcW w:w="1000" w:type="dxa"/>
            <w:tcBorders>
              <w:top w:val="nil"/>
              <w:left w:val="nil"/>
              <w:bottom w:val="nil"/>
              <w:right w:val="nil"/>
            </w:tcBorders>
            <w:shd w:val="clear" w:color="auto" w:fill="auto"/>
            <w:vAlign w:val="bottom"/>
            <w:hideMark/>
          </w:tcPr>
          <w:p w14:paraId="0FBDFA1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4 261</w:t>
            </w:r>
          </w:p>
        </w:tc>
      </w:tr>
      <w:tr w:rsidR="00F133E0" w:rsidRPr="00F133E0" w14:paraId="350BEE86" w14:textId="77777777" w:rsidTr="00F133E0">
        <w:trPr>
          <w:trHeight w:val="315"/>
        </w:trPr>
        <w:tc>
          <w:tcPr>
            <w:tcW w:w="1180" w:type="dxa"/>
            <w:tcBorders>
              <w:top w:val="nil"/>
              <w:left w:val="nil"/>
              <w:bottom w:val="nil"/>
              <w:right w:val="nil"/>
            </w:tcBorders>
            <w:shd w:val="clear" w:color="auto" w:fill="auto"/>
            <w:vAlign w:val="bottom"/>
            <w:hideMark/>
          </w:tcPr>
          <w:p w14:paraId="7660B949" w14:textId="77777777" w:rsidR="00F133E0" w:rsidRPr="00F133E0" w:rsidRDefault="00F133E0" w:rsidP="00F133E0">
            <w:pPr>
              <w:tabs>
                <w:tab w:val="clear" w:pos="567"/>
              </w:tabs>
              <w:spacing w:after="0" w:line="240" w:lineRule="auto"/>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2014-15</w:t>
            </w:r>
          </w:p>
        </w:tc>
        <w:tc>
          <w:tcPr>
            <w:tcW w:w="880" w:type="dxa"/>
            <w:tcBorders>
              <w:top w:val="nil"/>
              <w:left w:val="nil"/>
              <w:bottom w:val="nil"/>
              <w:right w:val="nil"/>
            </w:tcBorders>
            <w:shd w:val="clear" w:color="auto" w:fill="auto"/>
            <w:vAlign w:val="bottom"/>
            <w:hideMark/>
          </w:tcPr>
          <w:p w14:paraId="77B11635"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1 168</w:t>
            </w:r>
          </w:p>
        </w:tc>
        <w:tc>
          <w:tcPr>
            <w:tcW w:w="880" w:type="dxa"/>
            <w:tcBorders>
              <w:top w:val="nil"/>
              <w:left w:val="nil"/>
              <w:bottom w:val="nil"/>
              <w:right w:val="nil"/>
            </w:tcBorders>
            <w:shd w:val="clear" w:color="auto" w:fill="auto"/>
            <w:vAlign w:val="bottom"/>
            <w:hideMark/>
          </w:tcPr>
          <w:p w14:paraId="5FADF6A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204</w:t>
            </w:r>
          </w:p>
        </w:tc>
        <w:tc>
          <w:tcPr>
            <w:tcW w:w="880" w:type="dxa"/>
            <w:tcBorders>
              <w:top w:val="nil"/>
              <w:left w:val="nil"/>
              <w:bottom w:val="nil"/>
              <w:right w:val="nil"/>
            </w:tcBorders>
            <w:shd w:val="clear" w:color="auto" w:fill="auto"/>
            <w:vAlign w:val="bottom"/>
            <w:hideMark/>
          </w:tcPr>
          <w:p w14:paraId="2FDC20D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646</w:t>
            </w:r>
          </w:p>
        </w:tc>
        <w:tc>
          <w:tcPr>
            <w:tcW w:w="880" w:type="dxa"/>
            <w:tcBorders>
              <w:top w:val="nil"/>
              <w:left w:val="nil"/>
              <w:bottom w:val="nil"/>
              <w:right w:val="nil"/>
            </w:tcBorders>
            <w:shd w:val="clear" w:color="auto" w:fill="auto"/>
            <w:vAlign w:val="bottom"/>
            <w:hideMark/>
          </w:tcPr>
          <w:p w14:paraId="2AE4861D"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495</w:t>
            </w:r>
          </w:p>
        </w:tc>
        <w:tc>
          <w:tcPr>
            <w:tcW w:w="880" w:type="dxa"/>
            <w:tcBorders>
              <w:top w:val="nil"/>
              <w:left w:val="nil"/>
              <w:bottom w:val="nil"/>
              <w:right w:val="nil"/>
            </w:tcBorders>
            <w:shd w:val="clear" w:color="auto" w:fill="auto"/>
            <w:vAlign w:val="bottom"/>
            <w:hideMark/>
          </w:tcPr>
          <w:p w14:paraId="1BF9CE3E"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81</w:t>
            </w:r>
          </w:p>
        </w:tc>
        <w:tc>
          <w:tcPr>
            <w:tcW w:w="780" w:type="dxa"/>
            <w:tcBorders>
              <w:top w:val="nil"/>
              <w:left w:val="nil"/>
              <w:bottom w:val="nil"/>
              <w:right w:val="nil"/>
            </w:tcBorders>
            <w:shd w:val="clear" w:color="auto" w:fill="auto"/>
            <w:vAlign w:val="bottom"/>
            <w:hideMark/>
          </w:tcPr>
          <w:p w14:paraId="5969F3D8"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29</w:t>
            </w:r>
          </w:p>
        </w:tc>
        <w:tc>
          <w:tcPr>
            <w:tcW w:w="780" w:type="dxa"/>
            <w:tcBorders>
              <w:top w:val="nil"/>
              <w:left w:val="nil"/>
              <w:bottom w:val="nil"/>
              <w:right w:val="nil"/>
            </w:tcBorders>
            <w:shd w:val="clear" w:color="auto" w:fill="auto"/>
            <w:vAlign w:val="bottom"/>
            <w:hideMark/>
          </w:tcPr>
          <w:p w14:paraId="50BC7EB5"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w:t>
            </w:r>
          </w:p>
        </w:tc>
        <w:tc>
          <w:tcPr>
            <w:tcW w:w="780" w:type="dxa"/>
            <w:tcBorders>
              <w:top w:val="nil"/>
              <w:left w:val="nil"/>
              <w:bottom w:val="nil"/>
              <w:right w:val="nil"/>
            </w:tcBorders>
            <w:shd w:val="clear" w:color="auto" w:fill="auto"/>
            <w:vAlign w:val="bottom"/>
            <w:hideMark/>
          </w:tcPr>
          <w:p w14:paraId="6A55CC67"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28</w:t>
            </w:r>
          </w:p>
        </w:tc>
        <w:tc>
          <w:tcPr>
            <w:tcW w:w="1000" w:type="dxa"/>
            <w:tcBorders>
              <w:top w:val="nil"/>
              <w:left w:val="nil"/>
              <w:bottom w:val="nil"/>
              <w:right w:val="nil"/>
            </w:tcBorders>
            <w:shd w:val="clear" w:color="auto" w:fill="auto"/>
            <w:vAlign w:val="bottom"/>
            <w:hideMark/>
          </w:tcPr>
          <w:p w14:paraId="788F85C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2 652</w:t>
            </w:r>
          </w:p>
        </w:tc>
      </w:tr>
      <w:tr w:rsidR="00F133E0" w:rsidRPr="00F133E0" w14:paraId="22586E9A" w14:textId="77777777" w:rsidTr="00F133E0">
        <w:trPr>
          <w:trHeight w:val="315"/>
        </w:trPr>
        <w:tc>
          <w:tcPr>
            <w:tcW w:w="1180" w:type="dxa"/>
            <w:tcBorders>
              <w:top w:val="nil"/>
              <w:left w:val="nil"/>
              <w:bottom w:val="nil"/>
              <w:right w:val="nil"/>
            </w:tcBorders>
            <w:shd w:val="clear" w:color="auto" w:fill="auto"/>
            <w:vAlign w:val="bottom"/>
            <w:hideMark/>
          </w:tcPr>
          <w:p w14:paraId="25CA4C3E" w14:textId="77777777" w:rsidR="00F133E0" w:rsidRPr="00F133E0" w:rsidRDefault="00F133E0" w:rsidP="00F133E0">
            <w:pPr>
              <w:tabs>
                <w:tab w:val="clear" w:pos="567"/>
              </w:tabs>
              <w:spacing w:after="0" w:line="240" w:lineRule="auto"/>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2015-16</w:t>
            </w:r>
          </w:p>
        </w:tc>
        <w:tc>
          <w:tcPr>
            <w:tcW w:w="880" w:type="dxa"/>
            <w:tcBorders>
              <w:top w:val="nil"/>
              <w:left w:val="nil"/>
              <w:bottom w:val="nil"/>
              <w:right w:val="nil"/>
            </w:tcBorders>
            <w:shd w:val="clear" w:color="auto" w:fill="auto"/>
            <w:vAlign w:val="bottom"/>
            <w:hideMark/>
          </w:tcPr>
          <w:p w14:paraId="5CDBBDE3"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1 350</w:t>
            </w:r>
          </w:p>
        </w:tc>
        <w:tc>
          <w:tcPr>
            <w:tcW w:w="880" w:type="dxa"/>
            <w:tcBorders>
              <w:top w:val="nil"/>
              <w:left w:val="nil"/>
              <w:bottom w:val="nil"/>
              <w:right w:val="nil"/>
            </w:tcBorders>
            <w:shd w:val="clear" w:color="auto" w:fill="auto"/>
            <w:vAlign w:val="bottom"/>
            <w:hideMark/>
          </w:tcPr>
          <w:p w14:paraId="7510A5B9"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162</w:t>
            </w:r>
          </w:p>
        </w:tc>
        <w:tc>
          <w:tcPr>
            <w:tcW w:w="880" w:type="dxa"/>
            <w:tcBorders>
              <w:top w:val="nil"/>
              <w:left w:val="nil"/>
              <w:bottom w:val="nil"/>
              <w:right w:val="nil"/>
            </w:tcBorders>
            <w:shd w:val="clear" w:color="auto" w:fill="auto"/>
            <w:vAlign w:val="bottom"/>
            <w:hideMark/>
          </w:tcPr>
          <w:p w14:paraId="1AB29881"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840</w:t>
            </w:r>
          </w:p>
        </w:tc>
        <w:tc>
          <w:tcPr>
            <w:tcW w:w="880" w:type="dxa"/>
            <w:tcBorders>
              <w:top w:val="nil"/>
              <w:left w:val="nil"/>
              <w:bottom w:val="nil"/>
              <w:right w:val="nil"/>
            </w:tcBorders>
            <w:shd w:val="clear" w:color="auto" w:fill="auto"/>
            <w:vAlign w:val="bottom"/>
            <w:hideMark/>
          </w:tcPr>
          <w:p w14:paraId="50914EB9"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196</w:t>
            </w:r>
          </w:p>
        </w:tc>
        <w:tc>
          <w:tcPr>
            <w:tcW w:w="880" w:type="dxa"/>
            <w:tcBorders>
              <w:top w:val="nil"/>
              <w:left w:val="nil"/>
              <w:bottom w:val="nil"/>
              <w:right w:val="nil"/>
            </w:tcBorders>
            <w:shd w:val="clear" w:color="auto" w:fill="auto"/>
            <w:vAlign w:val="bottom"/>
            <w:hideMark/>
          </w:tcPr>
          <w:p w14:paraId="71860272"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145</w:t>
            </w:r>
          </w:p>
        </w:tc>
        <w:tc>
          <w:tcPr>
            <w:tcW w:w="780" w:type="dxa"/>
            <w:tcBorders>
              <w:top w:val="nil"/>
              <w:left w:val="nil"/>
              <w:bottom w:val="nil"/>
              <w:right w:val="nil"/>
            </w:tcBorders>
            <w:shd w:val="clear" w:color="auto" w:fill="auto"/>
            <w:vAlign w:val="bottom"/>
            <w:hideMark/>
          </w:tcPr>
          <w:p w14:paraId="3D18B731"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69</w:t>
            </w:r>
          </w:p>
        </w:tc>
        <w:tc>
          <w:tcPr>
            <w:tcW w:w="780" w:type="dxa"/>
            <w:tcBorders>
              <w:top w:val="nil"/>
              <w:left w:val="nil"/>
              <w:bottom w:val="nil"/>
              <w:right w:val="nil"/>
            </w:tcBorders>
            <w:shd w:val="clear" w:color="auto" w:fill="auto"/>
            <w:vAlign w:val="bottom"/>
            <w:hideMark/>
          </w:tcPr>
          <w:p w14:paraId="78389C4D"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w:t>
            </w:r>
          </w:p>
        </w:tc>
        <w:tc>
          <w:tcPr>
            <w:tcW w:w="780" w:type="dxa"/>
            <w:tcBorders>
              <w:top w:val="nil"/>
              <w:left w:val="nil"/>
              <w:bottom w:val="nil"/>
              <w:right w:val="nil"/>
            </w:tcBorders>
            <w:shd w:val="clear" w:color="auto" w:fill="auto"/>
            <w:vAlign w:val="bottom"/>
            <w:hideMark/>
          </w:tcPr>
          <w:p w14:paraId="2ED13D72"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17</w:t>
            </w:r>
          </w:p>
        </w:tc>
        <w:tc>
          <w:tcPr>
            <w:tcW w:w="1000" w:type="dxa"/>
            <w:tcBorders>
              <w:top w:val="nil"/>
              <w:left w:val="nil"/>
              <w:bottom w:val="nil"/>
              <w:right w:val="nil"/>
            </w:tcBorders>
            <w:shd w:val="clear" w:color="auto" w:fill="auto"/>
            <w:vAlign w:val="bottom"/>
            <w:hideMark/>
          </w:tcPr>
          <w:p w14:paraId="2C2F017A"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2 781</w:t>
            </w:r>
          </w:p>
        </w:tc>
      </w:tr>
      <w:tr w:rsidR="00F133E0" w:rsidRPr="00F133E0" w14:paraId="14FE3C2A" w14:textId="77777777" w:rsidTr="00F133E0">
        <w:trPr>
          <w:trHeight w:val="315"/>
        </w:trPr>
        <w:tc>
          <w:tcPr>
            <w:tcW w:w="1180" w:type="dxa"/>
            <w:tcBorders>
              <w:top w:val="nil"/>
              <w:left w:val="nil"/>
              <w:bottom w:val="nil"/>
              <w:right w:val="nil"/>
            </w:tcBorders>
            <w:shd w:val="clear" w:color="auto" w:fill="auto"/>
            <w:vAlign w:val="bottom"/>
            <w:hideMark/>
          </w:tcPr>
          <w:p w14:paraId="3597D626" w14:textId="77777777" w:rsidR="00F133E0" w:rsidRPr="00F133E0" w:rsidRDefault="00F133E0" w:rsidP="00F133E0">
            <w:pPr>
              <w:tabs>
                <w:tab w:val="clear" w:pos="567"/>
              </w:tabs>
              <w:spacing w:after="0" w:line="240" w:lineRule="auto"/>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2016-17</w:t>
            </w:r>
          </w:p>
        </w:tc>
        <w:tc>
          <w:tcPr>
            <w:tcW w:w="880" w:type="dxa"/>
            <w:tcBorders>
              <w:top w:val="nil"/>
              <w:left w:val="nil"/>
              <w:bottom w:val="nil"/>
              <w:right w:val="nil"/>
            </w:tcBorders>
            <w:shd w:val="clear" w:color="auto" w:fill="auto"/>
            <w:vAlign w:val="bottom"/>
            <w:hideMark/>
          </w:tcPr>
          <w:p w14:paraId="1CFF3F3B"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1 859</w:t>
            </w:r>
          </w:p>
        </w:tc>
        <w:tc>
          <w:tcPr>
            <w:tcW w:w="880" w:type="dxa"/>
            <w:tcBorders>
              <w:top w:val="nil"/>
              <w:left w:val="nil"/>
              <w:bottom w:val="nil"/>
              <w:right w:val="nil"/>
            </w:tcBorders>
            <w:shd w:val="clear" w:color="auto" w:fill="auto"/>
            <w:vAlign w:val="bottom"/>
            <w:hideMark/>
          </w:tcPr>
          <w:p w14:paraId="07298298"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-69</w:t>
            </w:r>
          </w:p>
        </w:tc>
        <w:tc>
          <w:tcPr>
            <w:tcW w:w="880" w:type="dxa"/>
            <w:tcBorders>
              <w:top w:val="nil"/>
              <w:left w:val="nil"/>
              <w:bottom w:val="nil"/>
              <w:right w:val="nil"/>
            </w:tcBorders>
            <w:shd w:val="clear" w:color="auto" w:fill="auto"/>
            <w:vAlign w:val="bottom"/>
            <w:hideMark/>
          </w:tcPr>
          <w:p w14:paraId="5E83B19F"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1 070</w:t>
            </w:r>
          </w:p>
        </w:tc>
        <w:tc>
          <w:tcPr>
            <w:tcW w:w="880" w:type="dxa"/>
            <w:tcBorders>
              <w:top w:val="nil"/>
              <w:left w:val="nil"/>
              <w:bottom w:val="nil"/>
              <w:right w:val="nil"/>
            </w:tcBorders>
            <w:shd w:val="clear" w:color="auto" w:fill="auto"/>
            <w:vAlign w:val="bottom"/>
            <w:hideMark/>
          </w:tcPr>
          <w:p w14:paraId="7D4207A3"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222</w:t>
            </w:r>
          </w:p>
        </w:tc>
        <w:tc>
          <w:tcPr>
            <w:tcW w:w="880" w:type="dxa"/>
            <w:tcBorders>
              <w:top w:val="nil"/>
              <w:left w:val="nil"/>
              <w:bottom w:val="nil"/>
              <w:right w:val="nil"/>
            </w:tcBorders>
            <w:shd w:val="clear" w:color="auto" w:fill="auto"/>
            <w:vAlign w:val="bottom"/>
            <w:hideMark/>
          </w:tcPr>
          <w:p w14:paraId="692BE11D"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364</w:t>
            </w:r>
          </w:p>
        </w:tc>
        <w:tc>
          <w:tcPr>
            <w:tcW w:w="780" w:type="dxa"/>
            <w:tcBorders>
              <w:top w:val="nil"/>
              <w:left w:val="nil"/>
              <w:bottom w:val="nil"/>
              <w:right w:val="nil"/>
            </w:tcBorders>
            <w:shd w:val="clear" w:color="auto" w:fill="auto"/>
            <w:vAlign w:val="bottom"/>
            <w:hideMark/>
          </w:tcPr>
          <w:p w14:paraId="5367FAC3"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76</w:t>
            </w:r>
          </w:p>
        </w:tc>
        <w:tc>
          <w:tcPr>
            <w:tcW w:w="780" w:type="dxa"/>
            <w:tcBorders>
              <w:top w:val="nil"/>
              <w:left w:val="nil"/>
              <w:bottom w:val="nil"/>
              <w:right w:val="nil"/>
            </w:tcBorders>
            <w:shd w:val="clear" w:color="auto" w:fill="auto"/>
            <w:vAlign w:val="bottom"/>
            <w:hideMark/>
          </w:tcPr>
          <w:p w14:paraId="570BF3E3"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w:t>
            </w:r>
          </w:p>
        </w:tc>
        <w:tc>
          <w:tcPr>
            <w:tcW w:w="780" w:type="dxa"/>
            <w:tcBorders>
              <w:top w:val="nil"/>
              <w:left w:val="nil"/>
              <w:bottom w:val="nil"/>
              <w:right w:val="nil"/>
            </w:tcBorders>
            <w:shd w:val="clear" w:color="auto" w:fill="auto"/>
            <w:vAlign w:val="bottom"/>
            <w:hideMark/>
          </w:tcPr>
          <w:p w14:paraId="00983EA2"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18</w:t>
            </w:r>
          </w:p>
        </w:tc>
        <w:tc>
          <w:tcPr>
            <w:tcW w:w="1000" w:type="dxa"/>
            <w:tcBorders>
              <w:top w:val="nil"/>
              <w:left w:val="nil"/>
              <w:bottom w:val="nil"/>
              <w:right w:val="nil"/>
            </w:tcBorders>
            <w:shd w:val="clear" w:color="auto" w:fill="auto"/>
            <w:vAlign w:val="bottom"/>
            <w:hideMark/>
          </w:tcPr>
          <w:p w14:paraId="6BA7874B"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3 541</w:t>
            </w:r>
          </w:p>
        </w:tc>
      </w:tr>
      <w:tr w:rsidR="00F133E0" w:rsidRPr="00F133E0" w14:paraId="733070E4" w14:textId="77777777" w:rsidTr="00F133E0">
        <w:trPr>
          <w:trHeight w:val="315"/>
        </w:trPr>
        <w:tc>
          <w:tcPr>
            <w:tcW w:w="1180" w:type="dxa"/>
            <w:tcBorders>
              <w:top w:val="nil"/>
              <w:left w:val="nil"/>
              <w:bottom w:val="nil"/>
              <w:right w:val="nil"/>
            </w:tcBorders>
            <w:shd w:val="clear" w:color="auto" w:fill="auto"/>
            <w:vAlign w:val="bottom"/>
            <w:hideMark/>
          </w:tcPr>
          <w:p w14:paraId="7856D645" w14:textId="77777777" w:rsidR="00F133E0" w:rsidRPr="00F133E0" w:rsidRDefault="00F133E0" w:rsidP="00F133E0">
            <w:pPr>
              <w:tabs>
                <w:tab w:val="clear" w:pos="567"/>
              </w:tabs>
              <w:spacing w:after="0" w:line="240" w:lineRule="auto"/>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Average</w:t>
            </w:r>
          </w:p>
        </w:tc>
        <w:tc>
          <w:tcPr>
            <w:tcW w:w="880" w:type="dxa"/>
            <w:tcBorders>
              <w:top w:val="single" w:sz="4" w:space="0" w:color="auto"/>
              <w:left w:val="nil"/>
              <w:bottom w:val="single" w:sz="4" w:space="0" w:color="auto"/>
              <w:right w:val="nil"/>
            </w:tcBorders>
            <w:shd w:val="clear" w:color="auto" w:fill="auto"/>
            <w:vAlign w:val="bottom"/>
            <w:hideMark/>
          </w:tcPr>
          <w:p w14:paraId="36670C0E"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1502</w:t>
            </w:r>
          </w:p>
        </w:tc>
        <w:tc>
          <w:tcPr>
            <w:tcW w:w="880" w:type="dxa"/>
            <w:tcBorders>
              <w:top w:val="single" w:sz="4" w:space="0" w:color="auto"/>
              <w:left w:val="nil"/>
              <w:bottom w:val="single" w:sz="4" w:space="0" w:color="auto"/>
              <w:right w:val="nil"/>
            </w:tcBorders>
            <w:shd w:val="clear" w:color="auto" w:fill="auto"/>
            <w:vAlign w:val="bottom"/>
            <w:hideMark/>
          </w:tcPr>
          <w:p w14:paraId="2A4639A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490</w:t>
            </w:r>
          </w:p>
        </w:tc>
        <w:tc>
          <w:tcPr>
            <w:tcW w:w="880" w:type="dxa"/>
            <w:tcBorders>
              <w:top w:val="single" w:sz="4" w:space="0" w:color="auto"/>
              <w:left w:val="nil"/>
              <w:bottom w:val="single" w:sz="4" w:space="0" w:color="auto"/>
              <w:right w:val="nil"/>
            </w:tcBorders>
            <w:shd w:val="clear" w:color="auto" w:fill="auto"/>
            <w:vAlign w:val="bottom"/>
            <w:hideMark/>
          </w:tcPr>
          <w:p w14:paraId="631E507F"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794</w:t>
            </w:r>
          </w:p>
        </w:tc>
        <w:tc>
          <w:tcPr>
            <w:tcW w:w="880" w:type="dxa"/>
            <w:tcBorders>
              <w:top w:val="single" w:sz="4" w:space="0" w:color="auto"/>
              <w:left w:val="nil"/>
              <w:bottom w:val="single" w:sz="4" w:space="0" w:color="auto"/>
              <w:right w:val="nil"/>
            </w:tcBorders>
            <w:shd w:val="clear" w:color="auto" w:fill="auto"/>
            <w:vAlign w:val="bottom"/>
            <w:hideMark/>
          </w:tcPr>
          <w:p w14:paraId="1D030503"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292</w:t>
            </w:r>
          </w:p>
        </w:tc>
        <w:tc>
          <w:tcPr>
            <w:tcW w:w="880" w:type="dxa"/>
            <w:tcBorders>
              <w:top w:val="single" w:sz="4" w:space="0" w:color="auto"/>
              <w:left w:val="nil"/>
              <w:bottom w:val="single" w:sz="4" w:space="0" w:color="auto"/>
              <w:right w:val="nil"/>
            </w:tcBorders>
            <w:shd w:val="clear" w:color="auto" w:fill="auto"/>
            <w:vAlign w:val="bottom"/>
            <w:hideMark/>
          </w:tcPr>
          <w:p w14:paraId="17E3F4A5"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157</w:t>
            </w:r>
          </w:p>
        </w:tc>
        <w:tc>
          <w:tcPr>
            <w:tcW w:w="780" w:type="dxa"/>
            <w:tcBorders>
              <w:top w:val="single" w:sz="4" w:space="0" w:color="auto"/>
              <w:left w:val="nil"/>
              <w:bottom w:val="single" w:sz="4" w:space="0" w:color="auto"/>
              <w:right w:val="nil"/>
            </w:tcBorders>
            <w:shd w:val="clear" w:color="auto" w:fill="auto"/>
            <w:vAlign w:val="bottom"/>
            <w:hideMark/>
          </w:tcPr>
          <w:p w14:paraId="1F2D2C65"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46</w:t>
            </w:r>
          </w:p>
        </w:tc>
        <w:tc>
          <w:tcPr>
            <w:tcW w:w="780" w:type="dxa"/>
            <w:tcBorders>
              <w:top w:val="single" w:sz="4" w:space="0" w:color="auto"/>
              <w:left w:val="nil"/>
              <w:bottom w:val="single" w:sz="4" w:space="0" w:color="auto"/>
              <w:right w:val="nil"/>
            </w:tcBorders>
            <w:shd w:val="clear" w:color="auto" w:fill="auto"/>
            <w:vAlign w:val="bottom"/>
            <w:hideMark/>
          </w:tcPr>
          <w:p w14:paraId="230CD8FD"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w:t>
            </w:r>
          </w:p>
        </w:tc>
        <w:tc>
          <w:tcPr>
            <w:tcW w:w="780" w:type="dxa"/>
            <w:tcBorders>
              <w:top w:val="single" w:sz="4" w:space="0" w:color="auto"/>
              <w:left w:val="nil"/>
              <w:bottom w:val="single" w:sz="4" w:space="0" w:color="auto"/>
              <w:right w:val="nil"/>
            </w:tcBorders>
            <w:shd w:val="clear" w:color="auto" w:fill="auto"/>
            <w:vAlign w:val="bottom"/>
            <w:hideMark/>
          </w:tcPr>
          <w:p w14:paraId="3EED218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28</w:t>
            </w:r>
          </w:p>
        </w:tc>
        <w:tc>
          <w:tcPr>
            <w:tcW w:w="1000" w:type="dxa"/>
            <w:tcBorders>
              <w:top w:val="single" w:sz="4" w:space="0" w:color="auto"/>
              <w:left w:val="nil"/>
              <w:bottom w:val="single" w:sz="4" w:space="0" w:color="auto"/>
              <w:right w:val="nil"/>
            </w:tcBorders>
            <w:shd w:val="clear" w:color="auto" w:fill="auto"/>
            <w:vAlign w:val="bottom"/>
            <w:hideMark/>
          </w:tcPr>
          <w:p w14:paraId="2A2BF3B0"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3309</w:t>
            </w:r>
          </w:p>
        </w:tc>
      </w:tr>
      <w:tr w:rsidR="00F133E0" w:rsidRPr="00F133E0" w14:paraId="607AF0F8" w14:textId="77777777" w:rsidTr="00F133E0">
        <w:trPr>
          <w:trHeight w:val="259"/>
        </w:trPr>
        <w:tc>
          <w:tcPr>
            <w:tcW w:w="1180" w:type="dxa"/>
            <w:tcBorders>
              <w:top w:val="nil"/>
              <w:left w:val="nil"/>
              <w:bottom w:val="nil"/>
              <w:right w:val="nil"/>
            </w:tcBorders>
            <w:shd w:val="clear" w:color="auto" w:fill="auto"/>
            <w:noWrap/>
            <w:vAlign w:val="bottom"/>
            <w:hideMark/>
          </w:tcPr>
          <w:p w14:paraId="2467BF62"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p>
        </w:tc>
        <w:tc>
          <w:tcPr>
            <w:tcW w:w="880" w:type="dxa"/>
            <w:tcBorders>
              <w:top w:val="nil"/>
              <w:left w:val="nil"/>
              <w:bottom w:val="nil"/>
              <w:right w:val="nil"/>
            </w:tcBorders>
            <w:shd w:val="clear" w:color="auto" w:fill="auto"/>
            <w:noWrap/>
            <w:vAlign w:val="bottom"/>
            <w:hideMark/>
          </w:tcPr>
          <w:p w14:paraId="3B25E373"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$pc</w:t>
            </w:r>
          </w:p>
        </w:tc>
        <w:tc>
          <w:tcPr>
            <w:tcW w:w="880" w:type="dxa"/>
            <w:tcBorders>
              <w:top w:val="nil"/>
              <w:left w:val="nil"/>
              <w:bottom w:val="nil"/>
              <w:right w:val="nil"/>
            </w:tcBorders>
            <w:shd w:val="clear" w:color="auto" w:fill="auto"/>
            <w:noWrap/>
            <w:vAlign w:val="bottom"/>
            <w:hideMark/>
          </w:tcPr>
          <w:p w14:paraId="37938C3E"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$pc</w:t>
            </w:r>
          </w:p>
        </w:tc>
        <w:tc>
          <w:tcPr>
            <w:tcW w:w="880" w:type="dxa"/>
            <w:tcBorders>
              <w:top w:val="nil"/>
              <w:left w:val="nil"/>
              <w:bottom w:val="nil"/>
              <w:right w:val="nil"/>
            </w:tcBorders>
            <w:shd w:val="clear" w:color="auto" w:fill="auto"/>
            <w:noWrap/>
            <w:vAlign w:val="bottom"/>
            <w:hideMark/>
          </w:tcPr>
          <w:p w14:paraId="3277FBB8"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$pc</w:t>
            </w:r>
          </w:p>
        </w:tc>
        <w:tc>
          <w:tcPr>
            <w:tcW w:w="880" w:type="dxa"/>
            <w:tcBorders>
              <w:top w:val="nil"/>
              <w:left w:val="nil"/>
              <w:bottom w:val="nil"/>
              <w:right w:val="nil"/>
            </w:tcBorders>
            <w:shd w:val="clear" w:color="auto" w:fill="auto"/>
            <w:noWrap/>
            <w:vAlign w:val="bottom"/>
            <w:hideMark/>
          </w:tcPr>
          <w:p w14:paraId="4000897A"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$pc</w:t>
            </w:r>
          </w:p>
        </w:tc>
        <w:tc>
          <w:tcPr>
            <w:tcW w:w="880" w:type="dxa"/>
            <w:tcBorders>
              <w:top w:val="nil"/>
              <w:left w:val="nil"/>
              <w:bottom w:val="nil"/>
              <w:right w:val="nil"/>
            </w:tcBorders>
            <w:shd w:val="clear" w:color="auto" w:fill="auto"/>
            <w:noWrap/>
            <w:vAlign w:val="bottom"/>
            <w:hideMark/>
          </w:tcPr>
          <w:p w14:paraId="6FA6D9AB"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$pc</w:t>
            </w:r>
          </w:p>
        </w:tc>
        <w:tc>
          <w:tcPr>
            <w:tcW w:w="780" w:type="dxa"/>
            <w:tcBorders>
              <w:top w:val="nil"/>
              <w:left w:val="nil"/>
              <w:bottom w:val="nil"/>
              <w:right w:val="nil"/>
            </w:tcBorders>
            <w:shd w:val="clear" w:color="auto" w:fill="auto"/>
            <w:noWrap/>
            <w:vAlign w:val="bottom"/>
            <w:hideMark/>
          </w:tcPr>
          <w:p w14:paraId="6EF978D8"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$pc</w:t>
            </w:r>
          </w:p>
        </w:tc>
        <w:tc>
          <w:tcPr>
            <w:tcW w:w="780" w:type="dxa"/>
            <w:tcBorders>
              <w:top w:val="nil"/>
              <w:left w:val="nil"/>
              <w:bottom w:val="nil"/>
              <w:right w:val="nil"/>
            </w:tcBorders>
            <w:shd w:val="clear" w:color="auto" w:fill="auto"/>
            <w:noWrap/>
            <w:vAlign w:val="bottom"/>
            <w:hideMark/>
          </w:tcPr>
          <w:p w14:paraId="739DDCE5"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$pc</w:t>
            </w:r>
          </w:p>
        </w:tc>
        <w:tc>
          <w:tcPr>
            <w:tcW w:w="780" w:type="dxa"/>
            <w:tcBorders>
              <w:top w:val="nil"/>
              <w:left w:val="nil"/>
              <w:bottom w:val="nil"/>
              <w:right w:val="nil"/>
            </w:tcBorders>
            <w:shd w:val="clear" w:color="auto" w:fill="auto"/>
            <w:noWrap/>
            <w:vAlign w:val="bottom"/>
            <w:hideMark/>
          </w:tcPr>
          <w:p w14:paraId="0A3022B9"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$pc</w:t>
            </w:r>
          </w:p>
        </w:tc>
        <w:tc>
          <w:tcPr>
            <w:tcW w:w="1000" w:type="dxa"/>
            <w:tcBorders>
              <w:top w:val="nil"/>
              <w:left w:val="nil"/>
              <w:bottom w:val="nil"/>
              <w:right w:val="nil"/>
            </w:tcBorders>
            <w:shd w:val="clear" w:color="auto" w:fill="auto"/>
            <w:noWrap/>
            <w:vAlign w:val="bottom"/>
            <w:hideMark/>
          </w:tcPr>
          <w:p w14:paraId="73B0CB7A"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$pc</w:t>
            </w:r>
          </w:p>
        </w:tc>
      </w:tr>
      <w:tr w:rsidR="00F133E0" w:rsidRPr="00F133E0" w14:paraId="6A77FE3A" w14:textId="77777777" w:rsidTr="00F133E0">
        <w:trPr>
          <w:trHeight w:val="315"/>
        </w:trPr>
        <w:tc>
          <w:tcPr>
            <w:tcW w:w="1180" w:type="dxa"/>
            <w:tcBorders>
              <w:top w:val="nil"/>
              <w:left w:val="nil"/>
              <w:bottom w:val="nil"/>
              <w:right w:val="nil"/>
            </w:tcBorders>
            <w:shd w:val="clear" w:color="auto" w:fill="auto"/>
            <w:vAlign w:val="bottom"/>
            <w:hideMark/>
          </w:tcPr>
          <w:p w14:paraId="677B386D" w14:textId="77777777" w:rsidR="00F133E0" w:rsidRPr="00F133E0" w:rsidRDefault="00F133E0" w:rsidP="00F133E0">
            <w:pPr>
              <w:tabs>
                <w:tab w:val="clear" w:pos="567"/>
              </w:tabs>
              <w:spacing w:after="0" w:line="240" w:lineRule="auto"/>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2013-14</w:t>
            </w:r>
          </w:p>
        </w:tc>
        <w:tc>
          <w:tcPr>
            <w:tcW w:w="880" w:type="dxa"/>
            <w:tcBorders>
              <w:top w:val="nil"/>
              <w:left w:val="nil"/>
              <w:bottom w:val="nil"/>
              <w:right w:val="nil"/>
            </w:tcBorders>
            <w:shd w:val="clear" w:color="auto" w:fill="auto"/>
            <w:vAlign w:val="bottom"/>
            <w:hideMark/>
          </w:tcPr>
          <w:p w14:paraId="7D30A1BC"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218</w:t>
            </w:r>
          </w:p>
        </w:tc>
        <w:tc>
          <w:tcPr>
            <w:tcW w:w="880" w:type="dxa"/>
            <w:tcBorders>
              <w:top w:val="nil"/>
              <w:left w:val="nil"/>
              <w:bottom w:val="nil"/>
              <w:right w:val="nil"/>
            </w:tcBorders>
            <w:shd w:val="clear" w:color="auto" w:fill="auto"/>
            <w:vAlign w:val="bottom"/>
            <w:hideMark/>
          </w:tcPr>
          <w:p w14:paraId="4DB997F7"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285</w:t>
            </w:r>
          </w:p>
        </w:tc>
        <w:tc>
          <w:tcPr>
            <w:tcW w:w="880" w:type="dxa"/>
            <w:tcBorders>
              <w:top w:val="nil"/>
              <w:left w:val="nil"/>
              <w:bottom w:val="nil"/>
              <w:right w:val="nil"/>
            </w:tcBorders>
            <w:shd w:val="clear" w:color="auto" w:fill="auto"/>
            <w:vAlign w:val="bottom"/>
            <w:hideMark/>
          </w:tcPr>
          <w:p w14:paraId="6407C382"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132</w:t>
            </w:r>
          </w:p>
        </w:tc>
        <w:tc>
          <w:tcPr>
            <w:tcW w:w="880" w:type="dxa"/>
            <w:tcBorders>
              <w:top w:val="nil"/>
              <w:left w:val="nil"/>
              <w:bottom w:val="nil"/>
              <w:right w:val="nil"/>
            </w:tcBorders>
            <w:shd w:val="clear" w:color="auto" w:fill="auto"/>
            <w:vAlign w:val="bottom"/>
            <w:hideMark/>
          </w:tcPr>
          <w:p w14:paraId="18E437D5"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101</w:t>
            </w:r>
          </w:p>
        </w:tc>
        <w:tc>
          <w:tcPr>
            <w:tcW w:w="880" w:type="dxa"/>
            <w:tcBorders>
              <w:top w:val="nil"/>
              <w:left w:val="nil"/>
              <w:bottom w:val="nil"/>
              <w:right w:val="nil"/>
            </w:tcBorders>
            <w:shd w:val="clear" w:color="auto" w:fill="auto"/>
            <w:vAlign w:val="bottom"/>
            <w:hideMark/>
          </w:tcPr>
          <w:p w14:paraId="063EA58C"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23</w:t>
            </w:r>
          </w:p>
        </w:tc>
        <w:tc>
          <w:tcPr>
            <w:tcW w:w="780" w:type="dxa"/>
            <w:tcBorders>
              <w:top w:val="nil"/>
              <w:left w:val="nil"/>
              <w:bottom w:val="nil"/>
              <w:right w:val="nil"/>
            </w:tcBorders>
            <w:shd w:val="clear" w:color="auto" w:fill="auto"/>
            <w:vAlign w:val="bottom"/>
            <w:hideMark/>
          </w:tcPr>
          <w:p w14:paraId="2C61A40F"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16</w:t>
            </w:r>
          </w:p>
        </w:tc>
        <w:tc>
          <w:tcPr>
            <w:tcW w:w="780" w:type="dxa"/>
            <w:tcBorders>
              <w:top w:val="nil"/>
              <w:left w:val="nil"/>
              <w:bottom w:val="nil"/>
              <w:right w:val="nil"/>
            </w:tcBorders>
            <w:shd w:val="clear" w:color="auto" w:fill="auto"/>
            <w:vAlign w:val="bottom"/>
            <w:hideMark/>
          </w:tcPr>
          <w:p w14:paraId="38DF8FC4"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w:t>
            </w:r>
          </w:p>
        </w:tc>
        <w:tc>
          <w:tcPr>
            <w:tcW w:w="780" w:type="dxa"/>
            <w:tcBorders>
              <w:top w:val="nil"/>
              <w:left w:val="nil"/>
              <w:bottom w:val="nil"/>
              <w:right w:val="nil"/>
            </w:tcBorders>
            <w:shd w:val="clear" w:color="auto" w:fill="auto"/>
            <w:vAlign w:val="bottom"/>
            <w:hideMark/>
          </w:tcPr>
          <w:p w14:paraId="739B3482"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197</w:t>
            </w:r>
          </w:p>
        </w:tc>
        <w:tc>
          <w:tcPr>
            <w:tcW w:w="1000" w:type="dxa"/>
            <w:tcBorders>
              <w:top w:val="nil"/>
              <w:left w:val="nil"/>
              <w:bottom w:val="nil"/>
              <w:right w:val="nil"/>
            </w:tcBorders>
            <w:shd w:val="clear" w:color="auto" w:fill="auto"/>
            <w:vAlign w:val="bottom"/>
            <w:hideMark/>
          </w:tcPr>
          <w:p w14:paraId="243A450E"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183</w:t>
            </w:r>
          </w:p>
        </w:tc>
      </w:tr>
      <w:tr w:rsidR="00F133E0" w:rsidRPr="00F133E0" w14:paraId="6BCF2F10" w14:textId="77777777" w:rsidTr="00F133E0">
        <w:trPr>
          <w:trHeight w:val="315"/>
        </w:trPr>
        <w:tc>
          <w:tcPr>
            <w:tcW w:w="1180" w:type="dxa"/>
            <w:tcBorders>
              <w:top w:val="nil"/>
              <w:left w:val="nil"/>
              <w:bottom w:val="nil"/>
              <w:right w:val="nil"/>
            </w:tcBorders>
            <w:shd w:val="clear" w:color="auto" w:fill="auto"/>
            <w:vAlign w:val="bottom"/>
            <w:hideMark/>
          </w:tcPr>
          <w:p w14:paraId="1860F69A" w14:textId="77777777" w:rsidR="00F133E0" w:rsidRPr="00F133E0" w:rsidRDefault="00F133E0" w:rsidP="00F133E0">
            <w:pPr>
              <w:tabs>
                <w:tab w:val="clear" w:pos="567"/>
              </w:tabs>
              <w:spacing w:after="0" w:line="240" w:lineRule="auto"/>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2014-15</w:t>
            </w:r>
          </w:p>
        </w:tc>
        <w:tc>
          <w:tcPr>
            <w:tcW w:w="880" w:type="dxa"/>
            <w:tcBorders>
              <w:top w:val="nil"/>
              <w:left w:val="nil"/>
              <w:bottom w:val="nil"/>
              <w:right w:val="nil"/>
            </w:tcBorders>
            <w:shd w:val="clear" w:color="auto" w:fill="auto"/>
            <w:vAlign w:val="bottom"/>
            <w:hideMark/>
          </w:tcPr>
          <w:p w14:paraId="5AE12B44"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154</w:t>
            </w:r>
          </w:p>
        </w:tc>
        <w:tc>
          <w:tcPr>
            <w:tcW w:w="880" w:type="dxa"/>
            <w:tcBorders>
              <w:top w:val="nil"/>
              <w:left w:val="nil"/>
              <w:bottom w:val="nil"/>
              <w:right w:val="nil"/>
            </w:tcBorders>
            <w:shd w:val="clear" w:color="auto" w:fill="auto"/>
            <w:vAlign w:val="bottom"/>
            <w:hideMark/>
          </w:tcPr>
          <w:p w14:paraId="0B45A7D3"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34</w:t>
            </w:r>
          </w:p>
        </w:tc>
        <w:tc>
          <w:tcPr>
            <w:tcW w:w="880" w:type="dxa"/>
            <w:tcBorders>
              <w:top w:val="nil"/>
              <w:left w:val="nil"/>
              <w:bottom w:val="nil"/>
              <w:right w:val="nil"/>
            </w:tcBorders>
            <w:shd w:val="clear" w:color="auto" w:fill="auto"/>
            <w:vAlign w:val="bottom"/>
            <w:hideMark/>
          </w:tcPr>
          <w:p w14:paraId="0A43EE25"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136</w:t>
            </w:r>
          </w:p>
        </w:tc>
        <w:tc>
          <w:tcPr>
            <w:tcW w:w="880" w:type="dxa"/>
            <w:tcBorders>
              <w:top w:val="nil"/>
              <w:left w:val="nil"/>
              <w:bottom w:val="nil"/>
              <w:right w:val="nil"/>
            </w:tcBorders>
            <w:shd w:val="clear" w:color="auto" w:fill="auto"/>
            <w:vAlign w:val="bottom"/>
            <w:hideMark/>
          </w:tcPr>
          <w:p w14:paraId="6B13C68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195</w:t>
            </w:r>
          </w:p>
        </w:tc>
        <w:tc>
          <w:tcPr>
            <w:tcW w:w="880" w:type="dxa"/>
            <w:tcBorders>
              <w:top w:val="nil"/>
              <w:left w:val="nil"/>
              <w:bottom w:val="nil"/>
              <w:right w:val="nil"/>
            </w:tcBorders>
            <w:shd w:val="clear" w:color="auto" w:fill="auto"/>
            <w:vAlign w:val="bottom"/>
            <w:hideMark/>
          </w:tcPr>
          <w:p w14:paraId="70B3EEA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48</w:t>
            </w:r>
          </w:p>
        </w:tc>
        <w:tc>
          <w:tcPr>
            <w:tcW w:w="780" w:type="dxa"/>
            <w:tcBorders>
              <w:top w:val="nil"/>
              <w:left w:val="nil"/>
              <w:bottom w:val="nil"/>
              <w:right w:val="nil"/>
            </w:tcBorders>
            <w:shd w:val="clear" w:color="auto" w:fill="auto"/>
            <w:vAlign w:val="bottom"/>
            <w:hideMark/>
          </w:tcPr>
          <w:p w14:paraId="41D74CC4"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56</w:t>
            </w:r>
          </w:p>
        </w:tc>
        <w:tc>
          <w:tcPr>
            <w:tcW w:w="780" w:type="dxa"/>
            <w:tcBorders>
              <w:top w:val="nil"/>
              <w:left w:val="nil"/>
              <w:bottom w:val="nil"/>
              <w:right w:val="nil"/>
            </w:tcBorders>
            <w:shd w:val="clear" w:color="auto" w:fill="auto"/>
            <w:vAlign w:val="bottom"/>
            <w:hideMark/>
          </w:tcPr>
          <w:p w14:paraId="7BA8DBC8"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w:t>
            </w:r>
          </w:p>
        </w:tc>
        <w:tc>
          <w:tcPr>
            <w:tcW w:w="780" w:type="dxa"/>
            <w:tcBorders>
              <w:top w:val="nil"/>
              <w:left w:val="nil"/>
              <w:bottom w:val="nil"/>
              <w:right w:val="nil"/>
            </w:tcBorders>
            <w:shd w:val="clear" w:color="auto" w:fill="auto"/>
            <w:vAlign w:val="bottom"/>
            <w:hideMark/>
          </w:tcPr>
          <w:p w14:paraId="18048D08"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117</w:t>
            </w:r>
          </w:p>
        </w:tc>
        <w:tc>
          <w:tcPr>
            <w:tcW w:w="1000" w:type="dxa"/>
            <w:tcBorders>
              <w:top w:val="nil"/>
              <w:left w:val="nil"/>
              <w:bottom w:val="nil"/>
              <w:right w:val="nil"/>
            </w:tcBorders>
            <w:shd w:val="clear" w:color="auto" w:fill="auto"/>
            <w:vAlign w:val="bottom"/>
            <w:hideMark/>
          </w:tcPr>
          <w:p w14:paraId="01A32BAD"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112</w:t>
            </w:r>
          </w:p>
        </w:tc>
      </w:tr>
      <w:tr w:rsidR="00F133E0" w:rsidRPr="00F133E0" w14:paraId="1A279331" w14:textId="77777777" w:rsidTr="00F133E0">
        <w:trPr>
          <w:trHeight w:val="315"/>
        </w:trPr>
        <w:tc>
          <w:tcPr>
            <w:tcW w:w="1180" w:type="dxa"/>
            <w:tcBorders>
              <w:top w:val="nil"/>
              <w:left w:val="nil"/>
              <w:bottom w:val="nil"/>
              <w:right w:val="nil"/>
            </w:tcBorders>
            <w:shd w:val="clear" w:color="auto" w:fill="auto"/>
            <w:vAlign w:val="bottom"/>
            <w:hideMark/>
          </w:tcPr>
          <w:p w14:paraId="064D60E5" w14:textId="77777777" w:rsidR="00F133E0" w:rsidRPr="00F133E0" w:rsidRDefault="00F133E0" w:rsidP="00F133E0">
            <w:pPr>
              <w:tabs>
                <w:tab w:val="clear" w:pos="567"/>
              </w:tabs>
              <w:spacing w:after="0" w:line="240" w:lineRule="auto"/>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2015-16</w:t>
            </w:r>
          </w:p>
        </w:tc>
        <w:tc>
          <w:tcPr>
            <w:tcW w:w="880" w:type="dxa"/>
            <w:tcBorders>
              <w:top w:val="nil"/>
              <w:left w:val="nil"/>
              <w:bottom w:val="nil"/>
              <w:right w:val="nil"/>
            </w:tcBorders>
            <w:shd w:val="clear" w:color="auto" w:fill="auto"/>
            <w:vAlign w:val="bottom"/>
            <w:hideMark/>
          </w:tcPr>
          <w:p w14:paraId="618AD561"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176</w:t>
            </w:r>
          </w:p>
        </w:tc>
        <w:tc>
          <w:tcPr>
            <w:tcW w:w="880" w:type="dxa"/>
            <w:tcBorders>
              <w:top w:val="nil"/>
              <w:left w:val="nil"/>
              <w:bottom w:val="nil"/>
              <w:right w:val="nil"/>
            </w:tcBorders>
            <w:shd w:val="clear" w:color="auto" w:fill="auto"/>
            <w:vAlign w:val="bottom"/>
            <w:hideMark/>
          </w:tcPr>
          <w:p w14:paraId="2628E02D"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27</w:t>
            </w:r>
          </w:p>
        </w:tc>
        <w:tc>
          <w:tcPr>
            <w:tcW w:w="880" w:type="dxa"/>
            <w:tcBorders>
              <w:top w:val="nil"/>
              <w:left w:val="nil"/>
              <w:bottom w:val="nil"/>
              <w:right w:val="nil"/>
            </w:tcBorders>
            <w:shd w:val="clear" w:color="auto" w:fill="auto"/>
            <w:vAlign w:val="bottom"/>
            <w:hideMark/>
          </w:tcPr>
          <w:p w14:paraId="092CF472"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175</w:t>
            </w:r>
          </w:p>
        </w:tc>
        <w:tc>
          <w:tcPr>
            <w:tcW w:w="880" w:type="dxa"/>
            <w:tcBorders>
              <w:top w:val="nil"/>
              <w:left w:val="nil"/>
              <w:bottom w:val="nil"/>
              <w:right w:val="nil"/>
            </w:tcBorders>
            <w:shd w:val="clear" w:color="auto" w:fill="auto"/>
            <w:vAlign w:val="bottom"/>
            <w:hideMark/>
          </w:tcPr>
          <w:p w14:paraId="1CAA6194"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77</w:t>
            </w:r>
          </w:p>
        </w:tc>
        <w:tc>
          <w:tcPr>
            <w:tcW w:w="880" w:type="dxa"/>
            <w:tcBorders>
              <w:top w:val="nil"/>
              <w:left w:val="nil"/>
              <w:bottom w:val="nil"/>
              <w:right w:val="nil"/>
            </w:tcBorders>
            <w:shd w:val="clear" w:color="auto" w:fill="auto"/>
            <w:vAlign w:val="bottom"/>
            <w:hideMark/>
          </w:tcPr>
          <w:p w14:paraId="4F6E2C07"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85</w:t>
            </w:r>
          </w:p>
        </w:tc>
        <w:tc>
          <w:tcPr>
            <w:tcW w:w="780" w:type="dxa"/>
            <w:tcBorders>
              <w:top w:val="nil"/>
              <w:left w:val="nil"/>
              <w:bottom w:val="nil"/>
              <w:right w:val="nil"/>
            </w:tcBorders>
            <w:shd w:val="clear" w:color="auto" w:fill="auto"/>
            <w:vAlign w:val="bottom"/>
            <w:hideMark/>
          </w:tcPr>
          <w:p w14:paraId="509BEA6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134</w:t>
            </w:r>
          </w:p>
        </w:tc>
        <w:tc>
          <w:tcPr>
            <w:tcW w:w="780" w:type="dxa"/>
            <w:tcBorders>
              <w:top w:val="nil"/>
              <w:left w:val="nil"/>
              <w:bottom w:val="nil"/>
              <w:right w:val="nil"/>
            </w:tcBorders>
            <w:shd w:val="clear" w:color="auto" w:fill="auto"/>
            <w:vAlign w:val="bottom"/>
            <w:hideMark/>
          </w:tcPr>
          <w:p w14:paraId="087C2D70"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w:t>
            </w:r>
          </w:p>
        </w:tc>
        <w:tc>
          <w:tcPr>
            <w:tcW w:w="780" w:type="dxa"/>
            <w:tcBorders>
              <w:top w:val="nil"/>
              <w:left w:val="nil"/>
              <w:bottom w:val="nil"/>
              <w:right w:val="nil"/>
            </w:tcBorders>
            <w:shd w:val="clear" w:color="auto" w:fill="auto"/>
            <w:vAlign w:val="bottom"/>
            <w:hideMark/>
          </w:tcPr>
          <w:p w14:paraId="1EE7E81F"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71</w:t>
            </w:r>
          </w:p>
        </w:tc>
        <w:tc>
          <w:tcPr>
            <w:tcW w:w="1000" w:type="dxa"/>
            <w:tcBorders>
              <w:top w:val="nil"/>
              <w:left w:val="nil"/>
              <w:bottom w:val="nil"/>
              <w:right w:val="nil"/>
            </w:tcBorders>
            <w:shd w:val="clear" w:color="auto" w:fill="auto"/>
            <w:vAlign w:val="bottom"/>
            <w:hideMark/>
          </w:tcPr>
          <w:p w14:paraId="41C0BD3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116</w:t>
            </w:r>
          </w:p>
        </w:tc>
      </w:tr>
      <w:tr w:rsidR="00F133E0" w:rsidRPr="00F133E0" w14:paraId="116C555C" w14:textId="77777777" w:rsidTr="00F133E0">
        <w:trPr>
          <w:trHeight w:val="315"/>
        </w:trPr>
        <w:tc>
          <w:tcPr>
            <w:tcW w:w="1180" w:type="dxa"/>
            <w:tcBorders>
              <w:top w:val="nil"/>
              <w:left w:val="nil"/>
              <w:bottom w:val="nil"/>
              <w:right w:val="nil"/>
            </w:tcBorders>
            <w:shd w:val="clear" w:color="auto" w:fill="auto"/>
            <w:vAlign w:val="bottom"/>
            <w:hideMark/>
          </w:tcPr>
          <w:p w14:paraId="7B4678B8" w14:textId="77777777" w:rsidR="00F133E0" w:rsidRPr="00F133E0" w:rsidRDefault="00F133E0" w:rsidP="00F133E0">
            <w:pPr>
              <w:tabs>
                <w:tab w:val="clear" w:pos="567"/>
              </w:tabs>
              <w:spacing w:after="0" w:line="240" w:lineRule="auto"/>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2016-17</w:t>
            </w:r>
          </w:p>
        </w:tc>
        <w:tc>
          <w:tcPr>
            <w:tcW w:w="880" w:type="dxa"/>
            <w:tcBorders>
              <w:top w:val="nil"/>
              <w:left w:val="nil"/>
              <w:bottom w:val="nil"/>
              <w:right w:val="nil"/>
            </w:tcBorders>
            <w:shd w:val="clear" w:color="auto" w:fill="auto"/>
            <w:vAlign w:val="bottom"/>
            <w:hideMark/>
          </w:tcPr>
          <w:p w14:paraId="59921457"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238</w:t>
            </w:r>
          </w:p>
        </w:tc>
        <w:tc>
          <w:tcPr>
            <w:tcW w:w="880" w:type="dxa"/>
            <w:tcBorders>
              <w:top w:val="nil"/>
              <w:left w:val="nil"/>
              <w:bottom w:val="nil"/>
              <w:right w:val="nil"/>
            </w:tcBorders>
            <w:shd w:val="clear" w:color="auto" w:fill="auto"/>
            <w:vAlign w:val="bottom"/>
            <w:hideMark/>
          </w:tcPr>
          <w:p w14:paraId="54234437"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-11</w:t>
            </w:r>
          </w:p>
        </w:tc>
        <w:tc>
          <w:tcPr>
            <w:tcW w:w="880" w:type="dxa"/>
            <w:tcBorders>
              <w:top w:val="nil"/>
              <w:left w:val="nil"/>
              <w:bottom w:val="nil"/>
              <w:right w:val="nil"/>
            </w:tcBorders>
            <w:shd w:val="clear" w:color="auto" w:fill="auto"/>
            <w:vAlign w:val="bottom"/>
            <w:hideMark/>
          </w:tcPr>
          <w:p w14:paraId="67FCE06C"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219</w:t>
            </w:r>
          </w:p>
        </w:tc>
        <w:tc>
          <w:tcPr>
            <w:tcW w:w="880" w:type="dxa"/>
            <w:tcBorders>
              <w:top w:val="nil"/>
              <w:left w:val="nil"/>
              <w:bottom w:val="nil"/>
              <w:right w:val="nil"/>
            </w:tcBorders>
            <w:shd w:val="clear" w:color="auto" w:fill="auto"/>
            <w:vAlign w:val="bottom"/>
            <w:hideMark/>
          </w:tcPr>
          <w:p w14:paraId="6B3A8565"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86</w:t>
            </w:r>
          </w:p>
        </w:tc>
        <w:tc>
          <w:tcPr>
            <w:tcW w:w="880" w:type="dxa"/>
            <w:tcBorders>
              <w:top w:val="nil"/>
              <w:left w:val="nil"/>
              <w:bottom w:val="nil"/>
              <w:right w:val="nil"/>
            </w:tcBorders>
            <w:shd w:val="clear" w:color="auto" w:fill="auto"/>
            <w:vAlign w:val="bottom"/>
            <w:hideMark/>
          </w:tcPr>
          <w:p w14:paraId="3F1C5EB0"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212</w:t>
            </w:r>
          </w:p>
        </w:tc>
        <w:tc>
          <w:tcPr>
            <w:tcW w:w="780" w:type="dxa"/>
            <w:tcBorders>
              <w:top w:val="nil"/>
              <w:left w:val="nil"/>
              <w:bottom w:val="nil"/>
              <w:right w:val="nil"/>
            </w:tcBorders>
            <w:shd w:val="clear" w:color="auto" w:fill="auto"/>
            <w:vAlign w:val="bottom"/>
            <w:hideMark/>
          </w:tcPr>
          <w:p w14:paraId="3E696E76"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147</w:t>
            </w:r>
          </w:p>
        </w:tc>
        <w:tc>
          <w:tcPr>
            <w:tcW w:w="780" w:type="dxa"/>
            <w:tcBorders>
              <w:top w:val="nil"/>
              <w:left w:val="nil"/>
              <w:bottom w:val="nil"/>
              <w:right w:val="nil"/>
            </w:tcBorders>
            <w:shd w:val="clear" w:color="auto" w:fill="auto"/>
            <w:vAlign w:val="bottom"/>
            <w:hideMark/>
          </w:tcPr>
          <w:p w14:paraId="6DBF8D9D"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w:t>
            </w:r>
          </w:p>
        </w:tc>
        <w:tc>
          <w:tcPr>
            <w:tcW w:w="780" w:type="dxa"/>
            <w:tcBorders>
              <w:top w:val="nil"/>
              <w:left w:val="nil"/>
              <w:bottom w:val="nil"/>
              <w:right w:val="nil"/>
            </w:tcBorders>
            <w:shd w:val="clear" w:color="auto" w:fill="auto"/>
            <w:vAlign w:val="bottom"/>
            <w:hideMark/>
          </w:tcPr>
          <w:p w14:paraId="68A8BDB0"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73</w:t>
            </w:r>
          </w:p>
        </w:tc>
        <w:tc>
          <w:tcPr>
            <w:tcW w:w="1000" w:type="dxa"/>
            <w:tcBorders>
              <w:top w:val="nil"/>
              <w:left w:val="nil"/>
              <w:bottom w:val="nil"/>
              <w:right w:val="nil"/>
            </w:tcBorders>
            <w:shd w:val="clear" w:color="auto" w:fill="auto"/>
            <w:vAlign w:val="bottom"/>
            <w:hideMark/>
          </w:tcPr>
          <w:p w14:paraId="2C81FA4E"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145</w:t>
            </w:r>
          </w:p>
        </w:tc>
      </w:tr>
      <w:tr w:rsidR="00F133E0" w:rsidRPr="00F133E0" w14:paraId="16CFB1E9" w14:textId="77777777" w:rsidTr="00F133E0">
        <w:trPr>
          <w:trHeight w:val="315"/>
        </w:trPr>
        <w:tc>
          <w:tcPr>
            <w:tcW w:w="1180" w:type="dxa"/>
            <w:tcBorders>
              <w:top w:val="nil"/>
              <w:left w:val="nil"/>
              <w:bottom w:val="single" w:sz="4" w:space="0" w:color="auto"/>
              <w:right w:val="nil"/>
            </w:tcBorders>
            <w:shd w:val="clear" w:color="auto" w:fill="auto"/>
            <w:vAlign w:val="bottom"/>
            <w:hideMark/>
          </w:tcPr>
          <w:p w14:paraId="041367CB" w14:textId="77777777" w:rsidR="00F133E0" w:rsidRPr="00F133E0" w:rsidRDefault="00F133E0" w:rsidP="00F133E0">
            <w:pPr>
              <w:tabs>
                <w:tab w:val="clear" w:pos="567"/>
              </w:tabs>
              <w:spacing w:after="0" w:line="240" w:lineRule="auto"/>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Average</w:t>
            </w:r>
          </w:p>
        </w:tc>
        <w:tc>
          <w:tcPr>
            <w:tcW w:w="880" w:type="dxa"/>
            <w:tcBorders>
              <w:top w:val="single" w:sz="4" w:space="0" w:color="auto"/>
              <w:left w:val="nil"/>
              <w:bottom w:val="single" w:sz="4" w:space="0" w:color="auto"/>
              <w:right w:val="nil"/>
            </w:tcBorders>
            <w:shd w:val="clear" w:color="auto" w:fill="auto"/>
            <w:vAlign w:val="bottom"/>
            <w:hideMark/>
          </w:tcPr>
          <w:p w14:paraId="77818127"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197</w:t>
            </w:r>
          </w:p>
        </w:tc>
        <w:tc>
          <w:tcPr>
            <w:tcW w:w="880" w:type="dxa"/>
            <w:tcBorders>
              <w:top w:val="single" w:sz="4" w:space="0" w:color="auto"/>
              <w:left w:val="nil"/>
              <w:bottom w:val="single" w:sz="4" w:space="0" w:color="auto"/>
              <w:right w:val="nil"/>
            </w:tcBorders>
            <w:shd w:val="clear" w:color="auto" w:fill="auto"/>
            <w:vAlign w:val="bottom"/>
            <w:hideMark/>
          </w:tcPr>
          <w:p w14:paraId="3E44AE07"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84</w:t>
            </w:r>
          </w:p>
        </w:tc>
        <w:tc>
          <w:tcPr>
            <w:tcW w:w="880" w:type="dxa"/>
            <w:tcBorders>
              <w:top w:val="single" w:sz="4" w:space="0" w:color="auto"/>
              <w:left w:val="nil"/>
              <w:bottom w:val="single" w:sz="4" w:space="0" w:color="auto"/>
              <w:right w:val="nil"/>
            </w:tcBorders>
            <w:shd w:val="clear" w:color="auto" w:fill="auto"/>
            <w:vAlign w:val="bottom"/>
            <w:hideMark/>
          </w:tcPr>
          <w:p w14:paraId="6BD51BEE"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165</w:t>
            </w:r>
          </w:p>
        </w:tc>
        <w:tc>
          <w:tcPr>
            <w:tcW w:w="880" w:type="dxa"/>
            <w:tcBorders>
              <w:top w:val="single" w:sz="4" w:space="0" w:color="auto"/>
              <w:left w:val="nil"/>
              <w:bottom w:val="single" w:sz="4" w:space="0" w:color="auto"/>
              <w:right w:val="nil"/>
            </w:tcBorders>
            <w:shd w:val="clear" w:color="auto" w:fill="auto"/>
            <w:vAlign w:val="bottom"/>
            <w:hideMark/>
          </w:tcPr>
          <w:p w14:paraId="699D6E0C"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115</w:t>
            </w:r>
          </w:p>
        </w:tc>
        <w:tc>
          <w:tcPr>
            <w:tcW w:w="880" w:type="dxa"/>
            <w:tcBorders>
              <w:top w:val="single" w:sz="4" w:space="0" w:color="auto"/>
              <w:left w:val="nil"/>
              <w:bottom w:val="single" w:sz="4" w:space="0" w:color="auto"/>
              <w:right w:val="nil"/>
            </w:tcBorders>
            <w:shd w:val="clear" w:color="auto" w:fill="auto"/>
            <w:vAlign w:val="bottom"/>
            <w:hideMark/>
          </w:tcPr>
          <w:p w14:paraId="5793B479"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92</w:t>
            </w:r>
          </w:p>
        </w:tc>
        <w:tc>
          <w:tcPr>
            <w:tcW w:w="780" w:type="dxa"/>
            <w:tcBorders>
              <w:top w:val="single" w:sz="4" w:space="0" w:color="auto"/>
              <w:left w:val="nil"/>
              <w:bottom w:val="single" w:sz="4" w:space="0" w:color="auto"/>
              <w:right w:val="nil"/>
            </w:tcBorders>
            <w:shd w:val="clear" w:color="auto" w:fill="auto"/>
            <w:vAlign w:val="bottom"/>
            <w:hideMark/>
          </w:tcPr>
          <w:p w14:paraId="587F784C"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88</w:t>
            </w:r>
          </w:p>
        </w:tc>
        <w:tc>
          <w:tcPr>
            <w:tcW w:w="780" w:type="dxa"/>
            <w:tcBorders>
              <w:top w:val="single" w:sz="4" w:space="0" w:color="auto"/>
              <w:left w:val="nil"/>
              <w:bottom w:val="single" w:sz="4" w:space="0" w:color="auto"/>
              <w:right w:val="nil"/>
            </w:tcBorders>
            <w:shd w:val="clear" w:color="auto" w:fill="auto"/>
            <w:vAlign w:val="bottom"/>
            <w:hideMark/>
          </w:tcPr>
          <w:p w14:paraId="2D36DC7E"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w:t>
            </w:r>
          </w:p>
        </w:tc>
        <w:tc>
          <w:tcPr>
            <w:tcW w:w="780" w:type="dxa"/>
            <w:tcBorders>
              <w:top w:val="single" w:sz="4" w:space="0" w:color="auto"/>
              <w:left w:val="nil"/>
              <w:bottom w:val="single" w:sz="4" w:space="0" w:color="auto"/>
              <w:right w:val="nil"/>
            </w:tcBorders>
            <w:shd w:val="clear" w:color="auto" w:fill="auto"/>
            <w:vAlign w:val="bottom"/>
            <w:hideMark/>
          </w:tcPr>
          <w:p w14:paraId="2CB5A24B"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114</w:t>
            </w:r>
          </w:p>
        </w:tc>
        <w:tc>
          <w:tcPr>
            <w:tcW w:w="1000" w:type="dxa"/>
            <w:tcBorders>
              <w:top w:val="single" w:sz="4" w:space="0" w:color="auto"/>
              <w:left w:val="nil"/>
              <w:bottom w:val="single" w:sz="4" w:space="0" w:color="auto"/>
              <w:right w:val="nil"/>
            </w:tcBorders>
            <w:shd w:val="clear" w:color="auto" w:fill="auto"/>
            <w:vAlign w:val="bottom"/>
            <w:hideMark/>
          </w:tcPr>
          <w:p w14:paraId="4F1FECE3" w14:textId="77777777" w:rsidR="00F133E0" w:rsidRPr="00F133E0" w:rsidRDefault="00F133E0" w:rsidP="00F133E0">
            <w:pPr>
              <w:tabs>
                <w:tab w:val="clear" w:pos="567"/>
              </w:tabs>
              <w:spacing w:after="0" w:line="240" w:lineRule="auto"/>
              <w:jc w:val="right"/>
              <w:rPr>
                <w:rFonts w:ascii="Calibri" w:eastAsia="Times New Roman" w:hAnsi="Calibri" w:cs="Times New Roman"/>
                <w:sz w:val="20"/>
                <w:szCs w:val="20"/>
                <w:lang w:eastAsia="en-AU"/>
              </w:rPr>
            </w:pPr>
            <w:r w:rsidRPr="00F133E0">
              <w:rPr>
                <w:rFonts w:ascii="Calibri" w:eastAsia="Times New Roman" w:hAnsi="Calibri" w:cs="Times New Roman"/>
                <w:sz w:val="20"/>
                <w:szCs w:val="20"/>
                <w:lang w:eastAsia="en-AU"/>
              </w:rPr>
              <w:t>139</w:t>
            </w:r>
          </w:p>
        </w:tc>
      </w:tr>
    </w:tbl>
    <w:p w14:paraId="38E8EB45" w14:textId="5A9695AC" w:rsidR="00F133E0" w:rsidRDefault="00F133E0" w:rsidP="007006E8">
      <w:pPr>
        <w:pStyle w:val="CGCTableFootnote"/>
      </w:pPr>
      <w:r>
        <w:t>Note:</w:t>
      </w:r>
      <w:r>
        <w:tab/>
        <w:t>These figures include impact and no impact payments for on-network roads.</w:t>
      </w:r>
    </w:p>
    <w:p w14:paraId="65DADEA0" w14:textId="4A26C012" w:rsidR="0090697C" w:rsidRDefault="0090697C" w:rsidP="007006E8">
      <w:pPr>
        <w:pStyle w:val="CGCTableFootnote"/>
      </w:pPr>
      <w:r>
        <w:t>Source:</w:t>
      </w:r>
      <w:r>
        <w:tab/>
        <w:t>Commonwealth Budget Papers, Final Budget Outcome, various years.</w:t>
      </w:r>
    </w:p>
    <w:p w14:paraId="189B8C79" w14:textId="77777777" w:rsidR="0090697C" w:rsidRDefault="0090697C" w:rsidP="007006E8">
      <w:pPr>
        <w:pStyle w:val="Single"/>
      </w:pPr>
    </w:p>
    <w:p w14:paraId="62F7FFBB" w14:textId="14AA78DF" w:rsidR="00BA0CDC" w:rsidRPr="00A350A1" w:rsidRDefault="00BA0CDC" w:rsidP="00BA0CDC">
      <w:pPr>
        <w:pStyle w:val="CGCNumberedPara"/>
        <w:numPr>
          <w:ilvl w:val="1"/>
          <w:numId w:val="3"/>
        </w:numPr>
      </w:pPr>
      <w:r>
        <w:t xml:space="preserve">Recent discussions between </w:t>
      </w:r>
      <w:r w:rsidR="005E554F">
        <w:t xml:space="preserve">staff of the </w:t>
      </w:r>
      <w:r>
        <w:t xml:space="preserve">Commission and </w:t>
      </w:r>
      <w:r w:rsidR="005E554F">
        <w:t xml:space="preserve">the </w:t>
      </w:r>
      <w:r w:rsidRPr="00A350A1">
        <w:t>Department of Infrastructure and Regional Development</w:t>
      </w:r>
      <w:r>
        <w:t xml:space="preserve"> revealed the following.</w:t>
      </w:r>
    </w:p>
    <w:p w14:paraId="5F1A8A30" w14:textId="04FFD439" w:rsidR="00BA0CDC" w:rsidRDefault="00BA0CDC" w:rsidP="00BA0CDC">
      <w:pPr>
        <w:pStyle w:val="CGCBulletlist"/>
        <w:numPr>
          <w:ilvl w:val="0"/>
          <w:numId w:val="1"/>
        </w:numPr>
        <w:tabs>
          <w:tab w:val="clear" w:pos="786"/>
        </w:tabs>
        <w:ind w:left="1134" w:hanging="567"/>
      </w:pPr>
      <w:r>
        <w:t xml:space="preserve">The concept of </w:t>
      </w:r>
      <w:r w:rsidR="00F7100F">
        <w:t xml:space="preserve">a </w:t>
      </w:r>
      <w:r>
        <w:t xml:space="preserve">‘National Network’ is fading as an influence on investment funding allocation. </w:t>
      </w:r>
      <w:r w:rsidR="00BA4753">
        <w:t xml:space="preserve">Investment funding </w:t>
      </w:r>
      <w:r w:rsidR="00F7100F">
        <w:t>for new projects is more focus</w:t>
      </w:r>
      <w:r>
        <w:t xml:space="preserve">ed on achieving objectives, such as improving productivity/access, freight transport, connectivity (to ports </w:t>
      </w:r>
      <w:proofErr w:type="spellStart"/>
      <w:r>
        <w:t>etc</w:t>
      </w:r>
      <w:proofErr w:type="spellEnd"/>
      <w:r>
        <w:t xml:space="preserve">), improving commuter times, reducing congestion, improving safety </w:t>
      </w:r>
      <w:proofErr w:type="spellStart"/>
      <w:r>
        <w:t>etc</w:t>
      </w:r>
      <w:proofErr w:type="spellEnd"/>
      <w:r w:rsidR="005E554F">
        <w:t>, rather than building a national network</w:t>
      </w:r>
      <w:r>
        <w:t xml:space="preserve">. That is, similar objectives apply to both </w:t>
      </w:r>
      <w:proofErr w:type="spellStart"/>
      <w:r w:rsidR="00FA21ED">
        <w:t>NNR</w:t>
      </w:r>
      <w:proofErr w:type="spellEnd"/>
      <w:r>
        <w:t xml:space="preserve"> and </w:t>
      </w:r>
      <w:r w:rsidR="00FA21ED">
        <w:t>non-</w:t>
      </w:r>
      <w:proofErr w:type="spellStart"/>
      <w:r w:rsidR="00FA21ED">
        <w:t>NNR</w:t>
      </w:r>
      <w:proofErr w:type="spellEnd"/>
      <w:r>
        <w:t xml:space="preserve"> project funding. </w:t>
      </w:r>
    </w:p>
    <w:p w14:paraId="18344ACD" w14:textId="77777777" w:rsidR="00CD1353" w:rsidRDefault="00CD1353" w:rsidP="00BA0CDC">
      <w:pPr>
        <w:pStyle w:val="CGCBulletlist"/>
        <w:numPr>
          <w:ilvl w:val="0"/>
          <w:numId w:val="1"/>
        </w:numPr>
        <w:tabs>
          <w:tab w:val="clear" w:pos="786"/>
        </w:tabs>
        <w:ind w:left="1134" w:hanging="567"/>
      </w:pPr>
      <w:r>
        <w:t xml:space="preserve">Roads on the </w:t>
      </w:r>
      <w:proofErr w:type="spellStart"/>
      <w:r>
        <w:t>NNR</w:t>
      </w:r>
      <w:proofErr w:type="spellEnd"/>
      <w:r>
        <w:t xml:space="preserve"> are generally better maintained than those not on the </w:t>
      </w:r>
      <w:proofErr w:type="spellStart"/>
      <w:r>
        <w:t>NNR</w:t>
      </w:r>
      <w:proofErr w:type="spellEnd"/>
      <w:r>
        <w:t>, but this is because they are the most trafficked roads, carry more freight, connect commuters, support industry, connect to ports etc.</w:t>
      </w:r>
    </w:p>
    <w:p w14:paraId="37EE3995" w14:textId="50CDCFB3" w:rsidR="00ED3D47" w:rsidRDefault="00ED3D47" w:rsidP="002D206A">
      <w:pPr>
        <w:pStyle w:val="CGCNumberedPara"/>
      </w:pPr>
      <w:r>
        <w:lastRenderedPageBreak/>
        <w:t xml:space="preserve">This discussion is also relevant to the treatment of Commonwealth payments for investment on the National Network Rail projects. </w:t>
      </w:r>
    </w:p>
    <w:p w14:paraId="712FAE84" w14:textId="4923DEFF" w:rsidR="002D206A" w:rsidRDefault="002D206A" w:rsidP="002D206A">
      <w:pPr>
        <w:pStyle w:val="CGCNumberedPara"/>
      </w:pPr>
      <w:r>
        <w:t xml:space="preserve">Commission </w:t>
      </w:r>
      <w:proofErr w:type="gramStart"/>
      <w:r>
        <w:t>staff, therefore, seek</w:t>
      </w:r>
      <w:proofErr w:type="gramEnd"/>
      <w:r>
        <w:t xml:space="preserve"> States</w:t>
      </w:r>
      <w:r w:rsidR="00A0542F">
        <w:t>’</w:t>
      </w:r>
      <w:r>
        <w:t xml:space="preserve"> views on whether 50%, or some other proportion,</w:t>
      </w:r>
      <w:r w:rsidRPr="00CB7583">
        <w:t xml:space="preserve"> of the Commonwealth </w:t>
      </w:r>
      <w:r>
        <w:t>payments</w:t>
      </w:r>
      <w:r w:rsidRPr="00CB7583">
        <w:t xml:space="preserve"> for investment </w:t>
      </w:r>
      <w:r>
        <w:t>on national network road and rail projects should be treated as having no impact on the GST distribution</w:t>
      </w:r>
      <w:r w:rsidR="00190490">
        <w:t xml:space="preserve"> in the 2020 Review</w:t>
      </w:r>
      <w:r>
        <w:t>.</w:t>
      </w:r>
    </w:p>
    <w:tbl>
      <w:tblPr>
        <w:tblW w:w="0" w:type="auto"/>
        <w:shd w:val="clear" w:color="auto" w:fill="D9F3E6"/>
        <w:tblLayout w:type="fixed"/>
        <w:tblLook w:val="0000" w:firstRow="0" w:lastRow="0" w:firstColumn="0" w:lastColumn="0" w:noHBand="0" w:noVBand="0"/>
      </w:tblPr>
      <w:tblGrid>
        <w:gridCol w:w="9167"/>
      </w:tblGrid>
      <w:tr w:rsidR="00FA46A7" w:rsidRPr="00614F04" w14:paraId="42CBFBEA" w14:textId="77777777" w:rsidTr="00CB7583">
        <w:tc>
          <w:tcPr>
            <w:tcW w:w="9167" w:type="dxa"/>
            <w:shd w:val="clear" w:color="auto" w:fill="D9F3E6"/>
          </w:tcPr>
          <w:p w14:paraId="25C2F209" w14:textId="77777777" w:rsidR="00FA46A7" w:rsidRPr="00614F04" w:rsidRDefault="00FA46A7" w:rsidP="00CB7583">
            <w:r w:rsidRPr="00614F04">
              <w:t>Staff propose to recommend the Commission:</w:t>
            </w:r>
          </w:p>
        </w:tc>
      </w:tr>
      <w:tr w:rsidR="00FA46A7" w:rsidRPr="00614F04" w14:paraId="699FD64B" w14:textId="77777777" w:rsidTr="00CB7583">
        <w:tc>
          <w:tcPr>
            <w:tcW w:w="9167" w:type="dxa"/>
            <w:shd w:val="clear" w:color="auto" w:fill="D9F3E6"/>
          </w:tcPr>
          <w:p w14:paraId="268C2623" w14:textId="19D26619" w:rsidR="00FA46A7" w:rsidRPr="00614F04" w:rsidRDefault="00190490" w:rsidP="0088312E">
            <w:pPr>
              <w:pStyle w:val="CGCBulletlist"/>
            </w:pPr>
            <w:proofErr w:type="gramStart"/>
            <w:r>
              <w:t>defer</w:t>
            </w:r>
            <w:proofErr w:type="gramEnd"/>
            <w:r w:rsidR="004279FF">
              <w:t xml:space="preserve"> a decision on the treatment of Commonwealth payments for investment on </w:t>
            </w:r>
            <w:r>
              <w:t xml:space="preserve">national network road and rail projects until State comments on the issue have been received and examined.  </w:t>
            </w:r>
          </w:p>
        </w:tc>
      </w:tr>
    </w:tbl>
    <w:p w14:paraId="33ECE353" w14:textId="77777777" w:rsidR="0053331C" w:rsidRDefault="0053331C" w:rsidP="0053331C">
      <w:pPr>
        <w:pStyle w:val="Heading4"/>
      </w:pPr>
      <w:bookmarkStart w:id="79" w:name="_Toc509326368"/>
      <w:bookmarkStart w:id="80" w:name="_Toc511380298"/>
      <w:r>
        <w:t>Investment</w:t>
      </w:r>
      <w:bookmarkEnd w:id="79"/>
      <w:bookmarkEnd w:id="80"/>
    </w:p>
    <w:p w14:paraId="35C5B060" w14:textId="5C0B0414" w:rsidR="0053331C" w:rsidRDefault="00E3308D" w:rsidP="00E3308D">
      <w:pPr>
        <w:pStyle w:val="CGCNumberedPara"/>
      </w:pPr>
      <w:r>
        <w:t>Roads investment is further discussed in the 2018-01/2</w:t>
      </w:r>
      <w:r w:rsidR="001D1F48">
        <w:t>1</w:t>
      </w:r>
      <w:r>
        <w:t xml:space="preserve">-S </w:t>
      </w:r>
      <w:r w:rsidRPr="00E3308D">
        <w:t xml:space="preserve">Draft assessment paper </w:t>
      </w:r>
      <w:r w:rsidR="001D1F48">
        <w:t>–</w:t>
      </w:r>
      <w:r w:rsidRPr="00E3308D">
        <w:t xml:space="preserve"> </w:t>
      </w:r>
      <w:r w:rsidR="001D1F48">
        <w:t>Physical and financial assets</w:t>
      </w:r>
      <w:r w:rsidR="00190490">
        <w:t>. However, it is noted that any changes made to the recurrent assessment will flow through to that assessment</w:t>
      </w:r>
      <w:r>
        <w:t xml:space="preserve">. </w:t>
      </w:r>
    </w:p>
    <w:p w14:paraId="2EF2B5F2" w14:textId="77777777" w:rsidR="00B7517F" w:rsidRDefault="00B7517F" w:rsidP="00FC0795">
      <w:pPr>
        <w:pStyle w:val="Heading3"/>
      </w:pPr>
      <w:bookmarkStart w:id="81" w:name="_Toc509326369"/>
      <w:bookmarkStart w:id="82" w:name="_Toc511380299"/>
      <w:r>
        <w:t>Other issues considered and settled</w:t>
      </w:r>
      <w:bookmarkEnd w:id="81"/>
      <w:bookmarkEnd w:id="82"/>
      <w:r w:rsidR="00E07621">
        <w:t xml:space="preserve"> </w:t>
      </w:r>
    </w:p>
    <w:p w14:paraId="303AD29E" w14:textId="77777777" w:rsidR="00EE56D8" w:rsidRDefault="00EE56D8" w:rsidP="00EE56D8">
      <w:pPr>
        <w:pStyle w:val="Heading4"/>
      </w:pPr>
      <w:bookmarkStart w:id="83" w:name="_Toc509326370"/>
      <w:bookmarkStart w:id="84" w:name="_Toc511380300"/>
      <w:r>
        <w:t>Physical environment</w:t>
      </w:r>
      <w:bookmarkEnd w:id="83"/>
      <w:bookmarkEnd w:id="84"/>
    </w:p>
    <w:p w14:paraId="5BAEB8BC" w14:textId="77777777" w:rsidR="00EE56D8" w:rsidRDefault="00EE56D8" w:rsidP="00EE56D8">
      <w:pPr>
        <w:pStyle w:val="CGCNumberedPara"/>
      </w:pPr>
      <w:r w:rsidRPr="00FE65AA">
        <w:t xml:space="preserve">Evidence </w:t>
      </w:r>
      <w:r>
        <w:t>shows</w:t>
      </w:r>
      <w:r w:rsidRPr="00FE65AA">
        <w:t xml:space="preserve"> that the physical environment does have an impact on </w:t>
      </w:r>
      <w:r>
        <w:t xml:space="preserve">the cost of </w:t>
      </w:r>
      <w:r w:rsidRPr="00FE65AA">
        <w:t xml:space="preserve">roads maintenance. </w:t>
      </w:r>
      <w:r w:rsidR="00981B6A">
        <w:t>However, t</w:t>
      </w:r>
      <w:r>
        <w:t>he impact has proven difficult to measure</w:t>
      </w:r>
      <w:r w:rsidR="00981B6A">
        <w:t>. For example, a c</w:t>
      </w:r>
      <w:r>
        <w:t>onsultan</w:t>
      </w:r>
      <w:r w:rsidR="00981B6A">
        <w:t xml:space="preserve">t employed by the Commission during the 2015 Review </w:t>
      </w:r>
      <w:r>
        <w:t xml:space="preserve">was unable </w:t>
      </w:r>
      <w:r w:rsidR="008A32A5">
        <w:t>to develop a m</w:t>
      </w:r>
      <w:r>
        <w:t xml:space="preserve">easure </w:t>
      </w:r>
      <w:r w:rsidR="008A32A5">
        <w:t>of needs that would capture all the relevant physical environment influences</w:t>
      </w:r>
      <w:r w:rsidRPr="00EE56D8">
        <w:t>.</w:t>
      </w:r>
      <w:r w:rsidR="008A32A5">
        <w:rPr>
          <w:rStyle w:val="FootnoteReference"/>
        </w:rPr>
        <w:footnoteReference w:id="13"/>
      </w:r>
      <w:r w:rsidRPr="00EE56D8">
        <w:t xml:space="preserve"> </w:t>
      </w:r>
      <w:r>
        <w:t xml:space="preserve">However, </w:t>
      </w:r>
      <w:r w:rsidRPr="00EE56D8">
        <w:t xml:space="preserve">the </w:t>
      </w:r>
      <w:r w:rsidR="005B471F">
        <w:t xml:space="preserve">inclusion of the </w:t>
      </w:r>
      <w:r w:rsidRPr="00EE56D8">
        <w:t>Rawlinson’s index</w:t>
      </w:r>
      <w:r w:rsidR="005B471F">
        <w:t xml:space="preserve"> in the</w:t>
      </w:r>
      <w:r w:rsidR="005B471F" w:rsidRPr="00EE56D8">
        <w:t xml:space="preserve"> investment assessment </w:t>
      </w:r>
      <w:r w:rsidR="005B471F" w:rsidRPr="00F46B46">
        <w:t>provides some recognition of environmental effects</w:t>
      </w:r>
      <w:r w:rsidRPr="00EE56D8">
        <w:t>.</w:t>
      </w:r>
    </w:p>
    <w:p w14:paraId="58F1ED1F" w14:textId="1A268F1E" w:rsidR="00EE56D8" w:rsidRPr="00EE56D8" w:rsidRDefault="0038226E" w:rsidP="00EE56D8">
      <w:pPr>
        <w:pStyle w:val="CGCNumberedPara"/>
      </w:pPr>
      <w:r>
        <w:t xml:space="preserve">For the 2020 Review, </w:t>
      </w:r>
      <w:proofErr w:type="gramStart"/>
      <w:r>
        <w:t>staff</w:t>
      </w:r>
      <w:r w:rsidR="00190490">
        <w:t xml:space="preserve"> consider</w:t>
      </w:r>
      <w:proofErr w:type="gramEnd"/>
      <w:r>
        <w:t xml:space="preserve"> that further attempts at measuring the impact of physical environment are </w:t>
      </w:r>
      <w:r w:rsidR="00190490">
        <w:t xml:space="preserve">not </w:t>
      </w:r>
      <w:r>
        <w:t xml:space="preserve">likely to deliver an improved outcome. As a result, </w:t>
      </w:r>
      <w:proofErr w:type="gramStart"/>
      <w:r>
        <w:t>staff propose</w:t>
      </w:r>
      <w:proofErr w:type="gramEnd"/>
      <w:r>
        <w:t xml:space="preserve"> not to pursue this issue in the 2020 Review. </w:t>
      </w:r>
    </w:p>
    <w:tbl>
      <w:tblPr>
        <w:tblW w:w="0" w:type="auto"/>
        <w:tblInd w:w="108" w:type="dxa"/>
        <w:shd w:val="clear" w:color="auto" w:fill="D9F3E6"/>
        <w:tblLook w:val="04A0" w:firstRow="1" w:lastRow="0" w:firstColumn="1" w:lastColumn="0" w:noHBand="0" w:noVBand="1"/>
      </w:tblPr>
      <w:tblGrid>
        <w:gridCol w:w="8931"/>
      </w:tblGrid>
      <w:tr w:rsidR="00EE56D8" w:rsidRPr="00E674AF" w14:paraId="59B30012" w14:textId="77777777" w:rsidTr="007E0F66">
        <w:tc>
          <w:tcPr>
            <w:tcW w:w="8931" w:type="dxa"/>
            <w:shd w:val="clear" w:color="auto" w:fill="D9F3E6"/>
          </w:tcPr>
          <w:p w14:paraId="4EDB877D" w14:textId="77777777" w:rsidR="00EE56D8" w:rsidRPr="00E674AF" w:rsidRDefault="00EE56D8" w:rsidP="00F83284">
            <w:pPr>
              <w:keepNext/>
            </w:pPr>
            <w:r w:rsidRPr="00B7517F">
              <w:lastRenderedPageBreak/>
              <w:t>Staff propose to recommend the Commission:</w:t>
            </w:r>
          </w:p>
          <w:p w14:paraId="56E992D6" w14:textId="1C293CCF" w:rsidR="00EE56D8" w:rsidRPr="00E674AF" w:rsidRDefault="0038226E" w:rsidP="00F83284">
            <w:pPr>
              <w:pStyle w:val="CGCBulletlist"/>
              <w:keepNext/>
            </w:pPr>
            <w:proofErr w:type="gramStart"/>
            <w:r>
              <w:t>not</w:t>
            </w:r>
            <w:proofErr w:type="gramEnd"/>
            <w:r>
              <w:t xml:space="preserve"> pursue the development of a physical environment assessment for road</w:t>
            </w:r>
            <w:r w:rsidR="00E001B1">
              <w:t xml:space="preserve"> maintenance expense</w:t>
            </w:r>
            <w:r>
              <w:t>s</w:t>
            </w:r>
            <w:r w:rsidR="00EE56D8">
              <w:t xml:space="preserve">. </w:t>
            </w:r>
          </w:p>
        </w:tc>
      </w:tr>
    </w:tbl>
    <w:p w14:paraId="5453488E" w14:textId="77777777" w:rsidR="00876373" w:rsidRPr="00876373" w:rsidRDefault="00876373" w:rsidP="00FC0795">
      <w:pPr>
        <w:pStyle w:val="Heading4"/>
      </w:pPr>
      <w:bookmarkStart w:id="85" w:name="_Toc509326371"/>
      <w:bookmarkStart w:id="86" w:name="_Toc511380301"/>
      <w:r>
        <w:t>Location factor</w:t>
      </w:r>
      <w:bookmarkEnd w:id="85"/>
      <w:bookmarkEnd w:id="86"/>
    </w:p>
    <w:p w14:paraId="1A134BE6" w14:textId="75C0CD8F" w:rsidR="00B7517F" w:rsidRDefault="0012252D" w:rsidP="0012252D">
      <w:pPr>
        <w:pStyle w:val="CGCNumberedPara"/>
      </w:pPr>
      <w:r w:rsidRPr="0012252D">
        <w:t>Wage costs and regional costs disabilities are applied to recognise the differences in wage costs between States and the higher costs of providing services with increasing remoteness</w:t>
      </w:r>
      <w:r>
        <w:t xml:space="preserve"> respectively</w:t>
      </w:r>
      <w:r w:rsidRPr="0012252D">
        <w:t>.</w:t>
      </w:r>
      <w:r>
        <w:t xml:space="preserve"> </w:t>
      </w:r>
    </w:p>
    <w:p w14:paraId="1B805C3D" w14:textId="4E3223A6" w:rsidR="00E001B1" w:rsidRDefault="00E001B1" w:rsidP="00F675D4">
      <w:pPr>
        <w:pStyle w:val="CGCNumberedPara"/>
      </w:pPr>
      <w:proofErr w:type="gramStart"/>
      <w:r>
        <w:t>Staff propose</w:t>
      </w:r>
      <w:proofErr w:type="gramEnd"/>
      <w:r>
        <w:t xml:space="preserve"> to continue to apply the wage costs factor to all components of the Roads category and the regional costs factor to the rural road length component. These disabilities are discussed further in the Wage costs and </w:t>
      </w:r>
      <w:r w:rsidR="00F675D4" w:rsidRPr="00F675D4">
        <w:t xml:space="preserve">Geography based measures </w:t>
      </w:r>
      <w:r>
        <w:t>assessment papers.</w:t>
      </w:r>
    </w:p>
    <w:tbl>
      <w:tblPr>
        <w:tblW w:w="0" w:type="auto"/>
        <w:tblInd w:w="108" w:type="dxa"/>
        <w:shd w:val="clear" w:color="auto" w:fill="D9F3E6"/>
        <w:tblLook w:val="04A0" w:firstRow="1" w:lastRow="0" w:firstColumn="1" w:lastColumn="0" w:noHBand="0" w:noVBand="1"/>
      </w:tblPr>
      <w:tblGrid>
        <w:gridCol w:w="8931"/>
      </w:tblGrid>
      <w:tr w:rsidR="00DE327D" w:rsidRPr="00E674AF" w14:paraId="71F46EC1" w14:textId="77777777" w:rsidTr="00114DDA">
        <w:tc>
          <w:tcPr>
            <w:tcW w:w="8931" w:type="dxa"/>
            <w:shd w:val="clear" w:color="auto" w:fill="D9F3E6"/>
          </w:tcPr>
          <w:p w14:paraId="2C9552D9" w14:textId="77777777" w:rsidR="00DE327D" w:rsidRPr="00E674AF" w:rsidRDefault="00DE327D" w:rsidP="00114DDA">
            <w:r w:rsidRPr="00B7517F">
              <w:t>Staff propose to recommend the Commission:</w:t>
            </w:r>
          </w:p>
          <w:p w14:paraId="77982991" w14:textId="77777777" w:rsidR="00DE327D" w:rsidRDefault="00DE327D" w:rsidP="00DE327D">
            <w:pPr>
              <w:pStyle w:val="CGCBulletlist"/>
            </w:pPr>
            <w:r>
              <w:t xml:space="preserve">continue to apply the wage costs factor to all components of the </w:t>
            </w:r>
            <w:r w:rsidR="006046E1">
              <w:t>Roads category</w:t>
            </w:r>
          </w:p>
          <w:p w14:paraId="237F9E9B" w14:textId="63DD7271" w:rsidR="00DE327D" w:rsidRPr="00E674AF" w:rsidRDefault="00DE327D" w:rsidP="006046E1">
            <w:pPr>
              <w:pStyle w:val="CGCBulletlist"/>
            </w:pPr>
            <w:proofErr w:type="gramStart"/>
            <w:r>
              <w:t>continue</w:t>
            </w:r>
            <w:proofErr w:type="gramEnd"/>
            <w:r>
              <w:t xml:space="preserve"> to apply the regional </w:t>
            </w:r>
            <w:r w:rsidR="006046E1">
              <w:t>costs factor to the rural road</w:t>
            </w:r>
            <w:r w:rsidR="00DE505B">
              <w:t>s</w:t>
            </w:r>
            <w:r w:rsidR="006046E1">
              <w:t xml:space="preserve"> </w:t>
            </w:r>
            <w:r>
              <w:t>component.</w:t>
            </w:r>
          </w:p>
        </w:tc>
      </w:tr>
    </w:tbl>
    <w:p w14:paraId="4949E922" w14:textId="77777777" w:rsidR="002553F2" w:rsidRDefault="002553F2" w:rsidP="002553F2">
      <w:pPr>
        <w:pStyle w:val="Heading4"/>
      </w:pPr>
      <w:bookmarkStart w:id="87" w:name="_Toc509326372"/>
      <w:bookmarkStart w:id="88" w:name="_Toc511380302"/>
      <w:r>
        <w:t>User charges</w:t>
      </w:r>
      <w:bookmarkEnd w:id="87"/>
      <w:bookmarkEnd w:id="88"/>
    </w:p>
    <w:p w14:paraId="16A16C4D" w14:textId="1275F116" w:rsidR="00E001B1" w:rsidRDefault="002553F2" w:rsidP="002553F2">
      <w:pPr>
        <w:pStyle w:val="CGCNumberedPara"/>
      </w:pPr>
      <w:r w:rsidRPr="0091261C">
        <w:t xml:space="preserve">States raise roads user charges from various sources such as road tolls and driver’s licence fees. The capacity to raise these user charges is not the same as the disabilities used to assess road expenses. </w:t>
      </w:r>
      <w:r w:rsidR="000323CD">
        <w:t>In addition, g</w:t>
      </w:r>
      <w:r w:rsidRPr="0091261C">
        <w:t xml:space="preserve">iven the degree of policy variation between States in </w:t>
      </w:r>
      <w:r w:rsidR="00E001B1">
        <w:t xml:space="preserve">the </w:t>
      </w:r>
      <w:r w:rsidRPr="0091261C">
        <w:t xml:space="preserve">use of toll roads and </w:t>
      </w:r>
      <w:r w:rsidR="00136B09">
        <w:t>in</w:t>
      </w:r>
      <w:r w:rsidRPr="0091261C">
        <w:t xml:space="preserve"> driver’s licence fees (including differing fees for various license classifications), </w:t>
      </w:r>
      <w:r w:rsidR="006572DD">
        <w:t>staff</w:t>
      </w:r>
      <w:r w:rsidRPr="0091261C">
        <w:t xml:space="preserve"> </w:t>
      </w:r>
      <w:r w:rsidRPr="0012252D">
        <w:t>consider net</w:t>
      </w:r>
      <w:r w:rsidR="00136B09">
        <w:t>ting off user charges against roads expenses</w:t>
      </w:r>
      <w:r w:rsidRPr="0012252D">
        <w:t xml:space="preserve"> </w:t>
      </w:r>
      <w:r w:rsidR="00E001B1">
        <w:t xml:space="preserve">is not </w:t>
      </w:r>
      <w:r w:rsidRPr="0012252D">
        <w:t xml:space="preserve">appropriate. </w:t>
      </w:r>
    </w:p>
    <w:p w14:paraId="3381A37B" w14:textId="70A6DC83" w:rsidR="002553F2" w:rsidRDefault="00E001B1" w:rsidP="002553F2">
      <w:pPr>
        <w:pStyle w:val="CGCNumberedPara"/>
      </w:pPr>
      <w:r>
        <w:t>Staff, t</w:t>
      </w:r>
      <w:r w:rsidR="000323CD">
        <w:t>herefore</w:t>
      </w:r>
      <w:r w:rsidR="002553F2" w:rsidRPr="0012252D">
        <w:t xml:space="preserve">, propose to assess roads user </w:t>
      </w:r>
      <w:r w:rsidR="000323CD" w:rsidRPr="0012252D">
        <w:t>charges</w:t>
      </w:r>
      <w:r w:rsidR="000323CD">
        <w:t xml:space="preserve"> on an</w:t>
      </w:r>
      <w:r>
        <w:t xml:space="preserve"> equal per capita</w:t>
      </w:r>
      <w:r w:rsidR="000323CD">
        <w:t xml:space="preserve"> basis</w:t>
      </w:r>
      <w:r w:rsidR="002553F2" w:rsidRPr="0012252D">
        <w:t xml:space="preserve"> in the </w:t>
      </w:r>
      <w:proofErr w:type="gramStart"/>
      <w:r w:rsidR="002553F2" w:rsidRPr="0012252D">
        <w:t>Other</w:t>
      </w:r>
      <w:proofErr w:type="gramEnd"/>
      <w:r w:rsidR="002553F2" w:rsidRPr="0012252D">
        <w:t xml:space="preserve"> revenue category</w:t>
      </w:r>
      <w:r>
        <w:t>, as was done in the 2015 Review</w:t>
      </w:r>
      <w:r w:rsidR="002553F2" w:rsidRPr="0012252D">
        <w:t>.</w:t>
      </w:r>
    </w:p>
    <w:p w14:paraId="0F696F44" w14:textId="6BBDEBA4" w:rsidR="00136B09" w:rsidRPr="0012252D" w:rsidRDefault="00136B09" w:rsidP="002553F2">
      <w:pPr>
        <w:pStyle w:val="CGCNumberedPara"/>
      </w:pPr>
      <w:r w:rsidRPr="0091261C">
        <w:t>Driver’s licence fees</w:t>
      </w:r>
      <w:r>
        <w:t xml:space="preserve"> have been assessed EPC since the 2010 Review because a needs assessment was found to be </w:t>
      </w:r>
      <w:r w:rsidR="00E001B1">
        <w:t>im</w:t>
      </w:r>
      <w:r>
        <w:t>material.</w:t>
      </w:r>
    </w:p>
    <w:tbl>
      <w:tblPr>
        <w:tblW w:w="0" w:type="auto"/>
        <w:tblInd w:w="108" w:type="dxa"/>
        <w:shd w:val="clear" w:color="auto" w:fill="D9F3E6"/>
        <w:tblLook w:val="04A0" w:firstRow="1" w:lastRow="0" w:firstColumn="1" w:lastColumn="0" w:noHBand="0" w:noVBand="1"/>
      </w:tblPr>
      <w:tblGrid>
        <w:gridCol w:w="8931"/>
      </w:tblGrid>
      <w:tr w:rsidR="000D5B36" w:rsidRPr="00E674AF" w14:paraId="4D2DC606" w14:textId="77777777" w:rsidTr="00794898">
        <w:tc>
          <w:tcPr>
            <w:tcW w:w="8931" w:type="dxa"/>
            <w:shd w:val="clear" w:color="auto" w:fill="D9F3E6"/>
          </w:tcPr>
          <w:p w14:paraId="1C19D8D0" w14:textId="77777777" w:rsidR="000D5B36" w:rsidRPr="00E674AF" w:rsidRDefault="000D5B36" w:rsidP="00794898">
            <w:r w:rsidRPr="00B7517F">
              <w:t>Staff propose to recommend the Commission:</w:t>
            </w:r>
          </w:p>
          <w:p w14:paraId="269F6D38" w14:textId="417C3C55" w:rsidR="000D5B36" w:rsidRPr="00E674AF" w:rsidRDefault="00114DDA" w:rsidP="00774A2B">
            <w:pPr>
              <w:pStyle w:val="CGCBulletlist"/>
            </w:pPr>
            <w:proofErr w:type="gramStart"/>
            <w:r>
              <w:t>continue</w:t>
            </w:r>
            <w:proofErr w:type="gramEnd"/>
            <w:r>
              <w:t xml:space="preserve"> to </w:t>
            </w:r>
            <w:r w:rsidR="00774A2B">
              <w:t>assess</w:t>
            </w:r>
            <w:r w:rsidR="00774A2B" w:rsidRPr="0012252D">
              <w:t xml:space="preserve"> roads user charges </w:t>
            </w:r>
            <w:r w:rsidR="000323CD">
              <w:t xml:space="preserve">on an </w:t>
            </w:r>
            <w:proofErr w:type="spellStart"/>
            <w:r w:rsidR="000323CD">
              <w:t>EPC</w:t>
            </w:r>
            <w:proofErr w:type="spellEnd"/>
            <w:r w:rsidR="000323CD">
              <w:t xml:space="preserve"> </w:t>
            </w:r>
            <w:r w:rsidR="00DE505B">
              <w:t xml:space="preserve">basis </w:t>
            </w:r>
            <w:r w:rsidR="00774A2B" w:rsidRPr="0012252D">
              <w:t>in the Other revenue category</w:t>
            </w:r>
            <w:r w:rsidR="00774A2B">
              <w:t>.</w:t>
            </w:r>
          </w:p>
        </w:tc>
      </w:tr>
    </w:tbl>
    <w:p w14:paraId="7012B55C" w14:textId="77777777" w:rsidR="00FF1F3F" w:rsidRDefault="00FF1F3F" w:rsidP="00FF1F3F">
      <w:pPr>
        <w:pStyle w:val="Heading3"/>
      </w:pPr>
      <w:bookmarkStart w:id="89" w:name="_Toc509326373"/>
      <w:bookmarkStart w:id="90" w:name="_Toc511380303"/>
      <w:bookmarkEnd w:id="6"/>
      <w:bookmarkEnd w:id="7"/>
      <w:bookmarkEnd w:id="8"/>
      <w:bookmarkEnd w:id="9"/>
      <w:bookmarkEnd w:id="10"/>
      <w:bookmarkEnd w:id="11"/>
      <w:bookmarkEnd w:id="12"/>
      <w:bookmarkEnd w:id="13"/>
      <w:r>
        <w:t>Conclusion and way forward</w:t>
      </w:r>
      <w:bookmarkEnd w:id="89"/>
      <w:bookmarkEnd w:id="90"/>
    </w:p>
    <w:p w14:paraId="18C47AD1" w14:textId="2834DBBD" w:rsidR="0098557D" w:rsidRDefault="00AF75D0" w:rsidP="00FF1F3F">
      <w:pPr>
        <w:pStyle w:val="CGCNumberedPara"/>
        <w:numPr>
          <w:ilvl w:val="1"/>
          <w:numId w:val="3"/>
        </w:numPr>
      </w:pPr>
      <w:r>
        <w:t xml:space="preserve">The major issue for this review is the estimation of urban and rural road length. </w:t>
      </w:r>
      <w:proofErr w:type="gramStart"/>
      <w:r>
        <w:t>Staff are</w:t>
      </w:r>
      <w:proofErr w:type="gramEnd"/>
      <w:r>
        <w:t xml:space="preserve"> proposing a number of options for investigation</w:t>
      </w:r>
      <w:r w:rsidR="0098557D">
        <w:t xml:space="preserve">. We have engaged with </w:t>
      </w:r>
      <w:r>
        <w:t xml:space="preserve">State </w:t>
      </w:r>
      <w:r>
        <w:lastRenderedPageBreak/>
        <w:t>roads authorities</w:t>
      </w:r>
      <w:r w:rsidR="00294A80">
        <w:t xml:space="preserve"> to obtain</w:t>
      </w:r>
      <w:r w:rsidR="0098557D">
        <w:t xml:space="preserve"> spatial roads data</w:t>
      </w:r>
      <w:r>
        <w:t>.</w:t>
      </w:r>
      <w:r w:rsidR="00FF1F3F">
        <w:t xml:space="preserve"> </w:t>
      </w:r>
      <w:r w:rsidR="0098557D">
        <w:t xml:space="preserve">While we cannot say at this stage when the planned work will be finished, we </w:t>
      </w:r>
      <w:r w:rsidR="00E001B1">
        <w:t>will</w:t>
      </w:r>
      <w:r w:rsidR="0098557D">
        <w:t xml:space="preserve"> keep State</w:t>
      </w:r>
      <w:r w:rsidR="00E001B1">
        <w:t>s</w:t>
      </w:r>
      <w:r w:rsidR="0098557D">
        <w:t xml:space="preserve"> informed</w:t>
      </w:r>
      <w:r w:rsidR="006B6877">
        <w:t xml:space="preserve"> of the results</w:t>
      </w:r>
      <w:r w:rsidR="0098557D">
        <w:t xml:space="preserve">. </w:t>
      </w:r>
    </w:p>
    <w:p w14:paraId="44A86916" w14:textId="54BC37F1" w:rsidR="006C7DC0" w:rsidRDefault="006C7DC0" w:rsidP="00FF1F3F">
      <w:pPr>
        <w:pStyle w:val="CGCNumberedPara"/>
        <w:numPr>
          <w:ilvl w:val="1"/>
          <w:numId w:val="3"/>
        </w:numPr>
      </w:pPr>
      <w:r>
        <w:t xml:space="preserve">The </w:t>
      </w:r>
      <w:r w:rsidR="00E001B1">
        <w:t xml:space="preserve">proposed </w:t>
      </w:r>
      <w:r>
        <w:t xml:space="preserve">work on the appropriate classification of local roads expenses could result in significant amounts of expenses being moved out of the local roads component to the urban and rural roads components. This would lead to a material change in GST distribution. </w:t>
      </w:r>
      <w:r w:rsidR="00E001B1">
        <w:t>As part of the work, staff will</w:t>
      </w:r>
      <w:r>
        <w:t xml:space="preserve"> seek clarifications from States on the expenses </w:t>
      </w:r>
      <w:r w:rsidR="002F4774">
        <w:t xml:space="preserve">currently included </w:t>
      </w:r>
      <w:r>
        <w:t>in the local roads component.</w:t>
      </w:r>
    </w:p>
    <w:p w14:paraId="0BD43D93" w14:textId="7381DED6" w:rsidR="002F4774" w:rsidRDefault="002F4774" w:rsidP="00FF1F3F">
      <w:pPr>
        <w:pStyle w:val="CGCNumberedPara"/>
        <w:numPr>
          <w:ilvl w:val="1"/>
          <w:numId w:val="3"/>
        </w:numPr>
      </w:pPr>
      <w:r>
        <w:t>We have options for developing a bridge and tunnel factor</w:t>
      </w:r>
      <w:r w:rsidR="006B6877">
        <w:t xml:space="preserve"> for the bridges component. </w:t>
      </w:r>
      <w:r w:rsidR="006572DD">
        <w:t>Staff</w:t>
      </w:r>
      <w:r w:rsidR="006B6877">
        <w:t xml:space="preserve"> </w:t>
      </w:r>
      <w:r w:rsidR="00E001B1">
        <w:t>will</w:t>
      </w:r>
      <w:r w:rsidR="006B6877">
        <w:t xml:space="preserve"> keep State</w:t>
      </w:r>
      <w:r w:rsidR="00E41461">
        <w:t>s</w:t>
      </w:r>
      <w:r w:rsidR="006B6877">
        <w:t xml:space="preserve"> informed of the results.</w:t>
      </w:r>
    </w:p>
    <w:p w14:paraId="684AD5F0" w14:textId="1EEED3AB" w:rsidR="00855507" w:rsidRDefault="00E001B1" w:rsidP="00FF1F3F">
      <w:pPr>
        <w:pStyle w:val="CGCNumberedPara"/>
        <w:numPr>
          <w:ilvl w:val="1"/>
          <w:numId w:val="3"/>
        </w:numPr>
      </w:pPr>
      <w:proofErr w:type="gramStart"/>
      <w:r>
        <w:t xml:space="preserve">Staff </w:t>
      </w:r>
      <w:r w:rsidR="00855507">
        <w:t>propose</w:t>
      </w:r>
      <w:proofErr w:type="gramEnd"/>
      <w:r w:rsidR="00855507">
        <w:t xml:space="preserve"> </w:t>
      </w:r>
      <w:r>
        <w:t xml:space="preserve">that expenses currently included in the </w:t>
      </w:r>
      <w:r w:rsidR="00855507">
        <w:t xml:space="preserve">other services component </w:t>
      </w:r>
      <w:r>
        <w:t xml:space="preserve">no longer be separated from the roads and bridge maintenance </w:t>
      </w:r>
      <w:r w:rsidR="00855507">
        <w:t>expenses</w:t>
      </w:r>
      <w:r>
        <w:t>.</w:t>
      </w:r>
      <w:r w:rsidR="00855507">
        <w:t xml:space="preserve"> </w:t>
      </w:r>
    </w:p>
    <w:p w14:paraId="19FE5878" w14:textId="64CCB638" w:rsidR="00855507" w:rsidRDefault="00855507" w:rsidP="00FF1F3F">
      <w:pPr>
        <w:pStyle w:val="CGCNumberedPara"/>
        <w:numPr>
          <w:ilvl w:val="1"/>
          <w:numId w:val="3"/>
        </w:numPr>
      </w:pPr>
      <w:proofErr w:type="gramStart"/>
      <w:r>
        <w:t>Staff seek</w:t>
      </w:r>
      <w:proofErr w:type="gramEnd"/>
      <w:r>
        <w:t xml:space="preserve"> State views on the treatment of Commonwealth </w:t>
      </w:r>
      <w:r w:rsidR="000A763F">
        <w:t xml:space="preserve">funding to support </w:t>
      </w:r>
      <w:r>
        <w:t>investment on National Network Road</w:t>
      </w:r>
      <w:r w:rsidR="000A763F">
        <w:t xml:space="preserve"> and rail project</w:t>
      </w:r>
      <w:r>
        <w:t xml:space="preserve">s. </w:t>
      </w:r>
    </w:p>
    <w:p w14:paraId="4D94A5DF" w14:textId="5490D541" w:rsidR="00FF1F3F" w:rsidRPr="00E07621" w:rsidRDefault="00855507" w:rsidP="00FF1F3F">
      <w:pPr>
        <w:pStyle w:val="CGCNumberedPara"/>
        <w:numPr>
          <w:ilvl w:val="1"/>
          <w:numId w:val="3"/>
        </w:numPr>
      </w:pPr>
      <w:r>
        <w:t xml:space="preserve">Any assessment features included in the 2015 Review assessments that </w:t>
      </w:r>
      <w:proofErr w:type="gramStart"/>
      <w:r w:rsidR="00E41461">
        <w:t>is</w:t>
      </w:r>
      <w:proofErr w:type="gramEnd"/>
      <w:r w:rsidR="00E41461">
        <w:t xml:space="preserve"> </w:t>
      </w:r>
      <w:r>
        <w:t xml:space="preserve">not discussed in the paper are intended to be retained by staff. Where possible, we will update the data used in the assessments.  </w:t>
      </w:r>
    </w:p>
    <w:p w14:paraId="5AAC3147" w14:textId="77777777" w:rsidR="00FF1F3F" w:rsidRDefault="00FF1F3F" w:rsidP="00FF1F3F">
      <w:pPr>
        <w:pStyle w:val="Heading4"/>
      </w:pPr>
      <w:bookmarkStart w:id="91" w:name="_Toc509326374"/>
      <w:bookmarkStart w:id="92" w:name="_Toc511380304"/>
      <w:r>
        <w:t>Proposed assessment structure</w:t>
      </w:r>
      <w:bookmarkEnd w:id="91"/>
      <w:bookmarkEnd w:id="92"/>
    </w:p>
    <w:p w14:paraId="1AEB65C2" w14:textId="75F3F83D" w:rsidR="00FF1F3F" w:rsidRDefault="00FF1F3F" w:rsidP="00FF1F3F">
      <w:pPr>
        <w:pStyle w:val="CGCNumberedPara"/>
        <w:numPr>
          <w:ilvl w:val="1"/>
          <w:numId w:val="3"/>
        </w:numPr>
      </w:pPr>
      <w:proofErr w:type="gramStart"/>
      <w:r>
        <w:t>Staff propose</w:t>
      </w:r>
      <w:proofErr w:type="gramEnd"/>
      <w:r>
        <w:t xml:space="preserve"> the following assessment structures in the 2020 Review. </w:t>
      </w:r>
      <w:r w:rsidR="00E3308D">
        <w:t>Roads investment is further discussed in the 2018-01/2</w:t>
      </w:r>
      <w:r w:rsidR="004F065D">
        <w:t>1</w:t>
      </w:r>
      <w:r w:rsidR="00E3308D">
        <w:t xml:space="preserve">-S </w:t>
      </w:r>
      <w:r w:rsidR="00E3308D" w:rsidRPr="00E3308D">
        <w:t>Draft assessment paper</w:t>
      </w:r>
      <w:r w:rsidR="00E3308D">
        <w:t> </w:t>
      </w:r>
      <w:r w:rsidR="004F065D">
        <w:t>–</w:t>
      </w:r>
      <w:r w:rsidR="00C0093E">
        <w:t xml:space="preserve"> </w:t>
      </w:r>
      <w:r w:rsidR="004F065D">
        <w:t>Physical and financial assets</w:t>
      </w:r>
      <w:r w:rsidR="00E3308D">
        <w:t xml:space="preserve">. </w:t>
      </w:r>
    </w:p>
    <w:p w14:paraId="53AB8BB5" w14:textId="77777777" w:rsidR="00FF1F3F" w:rsidRDefault="00FF1F3F" w:rsidP="00FF1F3F">
      <w:pPr>
        <w:pStyle w:val="CGCTableHeading"/>
      </w:pPr>
      <w:r>
        <w:lastRenderedPageBreak/>
        <w:t xml:space="preserve">Table </w:t>
      </w:r>
      <w:fldSimple w:instr=" SEQ Table \* ARABIC ">
        <w:r w:rsidR="004B3502">
          <w:rPr>
            <w:noProof/>
          </w:rPr>
          <w:t>14</w:t>
        </w:r>
      </w:fldSimple>
      <w:r>
        <w:tab/>
      </w:r>
      <w:r w:rsidRPr="00B7517F">
        <w:t xml:space="preserve">Proposed </w:t>
      </w:r>
      <w:r>
        <w:t>Roads</w:t>
      </w:r>
      <w:r w:rsidRPr="00B7517F">
        <w:t xml:space="preserve"> category structure</w:t>
      </w:r>
    </w:p>
    <w:tbl>
      <w:tblPr>
        <w:tblW w:w="5000" w:type="pct"/>
        <w:tblCellMar>
          <w:left w:w="85" w:type="dxa"/>
          <w:right w:w="85" w:type="dxa"/>
        </w:tblCellMar>
        <w:tblLook w:val="0000" w:firstRow="0" w:lastRow="0" w:firstColumn="0" w:lastColumn="0" w:noHBand="0" w:noVBand="0"/>
      </w:tblPr>
      <w:tblGrid>
        <w:gridCol w:w="1361"/>
        <w:gridCol w:w="1627"/>
        <w:gridCol w:w="6133"/>
      </w:tblGrid>
      <w:tr w:rsidR="00FF1F3F" w:rsidRPr="004537EA" w14:paraId="50BB60EE" w14:textId="77777777" w:rsidTr="00600B03">
        <w:tc>
          <w:tcPr>
            <w:tcW w:w="746" w:type="pct"/>
            <w:tcBorders>
              <w:top w:val="single" w:sz="6" w:space="0" w:color="auto"/>
              <w:bottom w:val="single" w:sz="4" w:space="0" w:color="auto"/>
            </w:tcBorders>
            <w:vAlign w:val="bottom"/>
          </w:tcPr>
          <w:p w14:paraId="771B7C7C" w14:textId="77777777" w:rsidR="00FF1F3F" w:rsidRPr="004537EA" w:rsidRDefault="00FF1F3F" w:rsidP="00600B03">
            <w:pPr>
              <w:pStyle w:val="TableColHeadings"/>
              <w:jc w:val="left"/>
              <w:rPr>
                <w:rFonts w:cstheme="minorHAnsi"/>
              </w:rPr>
            </w:pPr>
            <w:r w:rsidRPr="00134594">
              <w:rPr>
                <w:rFonts w:cstheme="minorHAnsi"/>
              </w:rPr>
              <w:t>Component</w:t>
            </w:r>
          </w:p>
        </w:tc>
        <w:tc>
          <w:tcPr>
            <w:tcW w:w="892" w:type="pct"/>
            <w:tcBorders>
              <w:top w:val="single" w:sz="6" w:space="0" w:color="auto"/>
              <w:bottom w:val="single" w:sz="4" w:space="0" w:color="auto"/>
            </w:tcBorders>
            <w:vAlign w:val="bottom"/>
          </w:tcPr>
          <w:p w14:paraId="7483AA2A" w14:textId="77777777" w:rsidR="00FF1F3F" w:rsidRPr="004537EA" w:rsidRDefault="00FF1F3F" w:rsidP="00600B03">
            <w:pPr>
              <w:pStyle w:val="TableColHeadings"/>
              <w:jc w:val="left"/>
              <w:rPr>
                <w:rFonts w:cstheme="minorHAnsi"/>
              </w:rPr>
            </w:pPr>
            <w:r w:rsidRPr="00134594">
              <w:rPr>
                <w:rFonts w:cstheme="minorHAnsi"/>
              </w:rPr>
              <w:t>Disability</w:t>
            </w:r>
          </w:p>
        </w:tc>
        <w:tc>
          <w:tcPr>
            <w:tcW w:w="3362" w:type="pct"/>
            <w:tcBorders>
              <w:top w:val="single" w:sz="6" w:space="0" w:color="auto"/>
              <w:bottom w:val="single" w:sz="4" w:space="0" w:color="auto"/>
            </w:tcBorders>
            <w:vAlign w:val="bottom"/>
          </w:tcPr>
          <w:p w14:paraId="7A23F6AE" w14:textId="77777777" w:rsidR="00FF1F3F" w:rsidRPr="004537EA" w:rsidRDefault="00FF1F3F" w:rsidP="00600B03">
            <w:pPr>
              <w:pStyle w:val="TableColHeadings"/>
              <w:jc w:val="left"/>
              <w:rPr>
                <w:rFonts w:cstheme="minorHAnsi"/>
              </w:rPr>
            </w:pPr>
            <w:r w:rsidRPr="00134594">
              <w:rPr>
                <w:rFonts w:cstheme="minorHAnsi"/>
              </w:rPr>
              <w:t>Influence measured by disability</w:t>
            </w:r>
          </w:p>
        </w:tc>
      </w:tr>
      <w:tr w:rsidR="00FF1F3F" w:rsidRPr="004537EA" w14:paraId="1750C743" w14:textId="77777777" w:rsidTr="00600B03">
        <w:trPr>
          <w:trHeight w:val="191"/>
        </w:trPr>
        <w:tc>
          <w:tcPr>
            <w:tcW w:w="746" w:type="pct"/>
            <w:tcBorders>
              <w:top w:val="single" w:sz="4" w:space="0" w:color="auto"/>
            </w:tcBorders>
            <w:tcMar>
              <w:top w:w="0" w:type="dxa"/>
              <w:bottom w:w="0" w:type="dxa"/>
            </w:tcMar>
            <w:vAlign w:val="bottom"/>
          </w:tcPr>
          <w:p w14:paraId="3F825DB5" w14:textId="77777777" w:rsidR="00FF1F3F" w:rsidRPr="004537EA" w:rsidRDefault="00FF1F3F" w:rsidP="00600B03">
            <w:pPr>
              <w:pStyle w:val="TableRowUnits"/>
              <w:jc w:val="left"/>
              <w:rPr>
                <w:rFonts w:cstheme="minorHAnsi"/>
              </w:rPr>
            </w:pPr>
          </w:p>
        </w:tc>
        <w:tc>
          <w:tcPr>
            <w:tcW w:w="892" w:type="pct"/>
            <w:tcBorders>
              <w:top w:val="single" w:sz="4" w:space="0" w:color="auto"/>
            </w:tcBorders>
            <w:tcMar>
              <w:top w:w="0" w:type="dxa"/>
              <w:bottom w:w="0" w:type="dxa"/>
            </w:tcMar>
            <w:vAlign w:val="bottom"/>
          </w:tcPr>
          <w:p w14:paraId="0751BB07" w14:textId="77777777" w:rsidR="00FF1F3F" w:rsidRPr="004537EA" w:rsidRDefault="00FF1F3F" w:rsidP="00600B03">
            <w:pPr>
              <w:pStyle w:val="TableRowUnits"/>
              <w:jc w:val="left"/>
              <w:rPr>
                <w:rFonts w:cstheme="minorHAnsi"/>
              </w:rPr>
            </w:pPr>
          </w:p>
        </w:tc>
        <w:tc>
          <w:tcPr>
            <w:tcW w:w="3362" w:type="pct"/>
            <w:tcBorders>
              <w:top w:val="single" w:sz="4" w:space="0" w:color="auto"/>
            </w:tcBorders>
            <w:tcMar>
              <w:top w:w="0" w:type="dxa"/>
              <w:bottom w:w="0" w:type="dxa"/>
            </w:tcMar>
            <w:vAlign w:val="bottom"/>
          </w:tcPr>
          <w:p w14:paraId="6580BFF3" w14:textId="77777777" w:rsidR="00FF1F3F" w:rsidRPr="004537EA" w:rsidRDefault="00FF1F3F" w:rsidP="00600B03">
            <w:pPr>
              <w:pStyle w:val="TableRowUnits"/>
              <w:jc w:val="left"/>
              <w:rPr>
                <w:rFonts w:cstheme="minorHAnsi"/>
              </w:rPr>
            </w:pPr>
          </w:p>
        </w:tc>
      </w:tr>
      <w:tr w:rsidR="00FF1F3F" w:rsidRPr="004537EA" w14:paraId="7AB2B97C" w14:textId="77777777" w:rsidTr="00600B03">
        <w:tc>
          <w:tcPr>
            <w:tcW w:w="746" w:type="pct"/>
          </w:tcPr>
          <w:p w14:paraId="10F92418" w14:textId="77777777" w:rsidR="00FF1F3F" w:rsidRPr="004537EA" w:rsidRDefault="00FF1F3F" w:rsidP="00600B03">
            <w:pPr>
              <w:pStyle w:val="CGCTableStub"/>
              <w:rPr>
                <w:rFonts w:cstheme="minorHAnsi"/>
              </w:rPr>
            </w:pPr>
            <w:r w:rsidRPr="002D5ECA">
              <w:rPr>
                <w:rFonts w:ascii="Calibri" w:eastAsia="Times New Roman" w:hAnsi="Calibri" w:cs="Arial"/>
                <w:lang w:eastAsia="en-AU"/>
              </w:rPr>
              <w:t>Rural roads</w:t>
            </w:r>
          </w:p>
        </w:tc>
        <w:tc>
          <w:tcPr>
            <w:tcW w:w="892" w:type="pct"/>
          </w:tcPr>
          <w:p w14:paraId="40EA5C86" w14:textId="77777777" w:rsidR="00FF1F3F" w:rsidRPr="004537EA" w:rsidRDefault="00FF1F3F" w:rsidP="00600B03">
            <w:pPr>
              <w:pStyle w:val="TableRowNormal"/>
              <w:jc w:val="left"/>
              <w:rPr>
                <w:rFonts w:cstheme="minorHAnsi"/>
              </w:rPr>
            </w:pPr>
            <w:r>
              <w:rPr>
                <w:rFonts w:cstheme="minorHAnsi"/>
              </w:rPr>
              <w:t>Length and use</w:t>
            </w:r>
          </w:p>
        </w:tc>
        <w:tc>
          <w:tcPr>
            <w:tcW w:w="3362" w:type="pct"/>
          </w:tcPr>
          <w:p w14:paraId="79EC562B" w14:textId="2FA728BB" w:rsidR="00FF1F3F" w:rsidRPr="004537EA" w:rsidRDefault="00FF1F3F" w:rsidP="00600B03">
            <w:pPr>
              <w:pStyle w:val="TableRowNormal"/>
              <w:ind w:left="0" w:firstLine="0"/>
              <w:jc w:val="left"/>
              <w:rPr>
                <w:rFonts w:cstheme="minorHAnsi"/>
              </w:rPr>
            </w:pPr>
            <w:r>
              <w:rPr>
                <w:rFonts w:cstheme="minorHAnsi"/>
              </w:rPr>
              <w:t>R</w:t>
            </w:r>
            <w:r w:rsidRPr="0098689D">
              <w:rPr>
                <w:rFonts w:cstheme="minorHAnsi"/>
              </w:rPr>
              <w:t>ecognises that the length of the rural road network, traffic volume and heavy vehicle use influence the cost of providing road maintenance services in rural areas.</w:t>
            </w:r>
          </w:p>
        </w:tc>
      </w:tr>
      <w:tr w:rsidR="00FF1F3F" w:rsidRPr="004537EA" w14:paraId="2226AF9A" w14:textId="77777777" w:rsidTr="00600B03">
        <w:tc>
          <w:tcPr>
            <w:tcW w:w="746" w:type="pct"/>
          </w:tcPr>
          <w:p w14:paraId="3582D2A4" w14:textId="77777777" w:rsidR="00FF1F3F" w:rsidRPr="002D5ECA" w:rsidRDefault="00FF1F3F" w:rsidP="00600B03">
            <w:pPr>
              <w:pStyle w:val="CGCTableStub"/>
              <w:rPr>
                <w:rFonts w:ascii="Calibri" w:eastAsia="Times New Roman" w:hAnsi="Calibri" w:cs="Arial"/>
                <w:lang w:eastAsia="en-AU"/>
              </w:rPr>
            </w:pPr>
          </w:p>
        </w:tc>
        <w:tc>
          <w:tcPr>
            <w:tcW w:w="892" w:type="pct"/>
          </w:tcPr>
          <w:p w14:paraId="76D7BC82" w14:textId="77777777" w:rsidR="00FF1F3F" w:rsidRDefault="00FF1F3F" w:rsidP="00600B03">
            <w:pPr>
              <w:pStyle w:val="TableRowNormal"/>
              <w:jc w:val="left"/>
              <w:rPr>
                <w:rFonts w:cstheme="minorHAnsi"/>
              </w:rPr>
            </w:pPr>
            <w:r>
              <w:rPr>
                <w:rFonts w:cstheme="minorHAnsi"/>
              </w:rPr>
              <w:t>Location</w:t>
            </w:r>
          </w:p>
        </w:tc>
        <w:tc>
          <w:tcPr>
            <w:tcW w:w="3362" w:type="pct"/>
          </w:tcPr>
          <w:p w14:paraId="4D67CCC0" w14:textId="77777777" w:rsidR="00FF1F3F" w:rsidRPr="0098689D" w:rsidRDefault="00FF1F3F" w:rsidP="00855507">
            <w:pPr>
              <w:pStyle w:val="TableRowNormal"/>
              <w:ind w:left="0" w:firstLine="0"/>
              <w:jc w:val="left"/>
              <w:rPr>
                <w:rFonts w:cstheme="minorHAnsi"/>
              </w:rPr>
            </w:pPr>
            <w:r w:rsidRPr="00100F95">
              <w:rPr>
                <w:rFonts w:cstheme="minorHAnsi"/>
              </w:rPr>
              <w:t>Recognises the differenc</w:t>
            </w:r>
            <w:r w:rsidR="00855507">
              <w:rPr>
                <w:rFonts w:cstheme="minorHAnsi"/>
              </w:rPr>
              <w:t xml:space="preserve">es in wage costs between States </w:t>
            </w:r>
            <w:r w:rsidRPr="00100F95">
              <w:rPr>
                <w:rFonts w:cstheme="minorHAnsi"/>
              </w:rPr>
              <w:t>and in the cost of providing services to different areas within a State</w:t>
            </w:r>
            <w:r>
              <w:rPr>
                <w:rFonts w:cstheme="minorHAnsi"/>
              </w:rPr>
              <w:t xml:space="preserve"> (applied to </w:t>
            </w:r>
            <w:r w:rsidR="00855507">
              <w:rPr>
                <w:rFonts w:cstheme="minorHAnsi"/>
              </w:rPr>
              <w:t xml:space="preserve">road </w:t>
            </w:r>
            <w:r>
              <w:rPr>
                <w:rFonts w:cstheme="minorHAnsi"/>
              </w:rPr>
              <w:t>length only)</w:t>
            </w:r>
            <w:r w:rsidRPr="00100F95">
              <w:rPr>
                <w:rFonts w:cstheme="minorHAnsi"/>
              </w:rPr>
              <w:t>.</w:t>
            </w:r>
          </w:p>
        </w:tc>
      </w:tr>
      <w:tr w:rsidR="00FF1F3F" w:rsidRPr="004537EA" w14:paraId="59469AEF" w14:textId="77777777" w:rsidTr="00600B03">
        <w:tc>
          <w:tcPr>
            <w:tcW w:w="746" w:type="pct"/>
          </w:tcPr>
          <w:p w14:paraId="412B7638" w14:textId="77777777" w:rsidR="00FF1F3F" w:rsidRPr="004537EA" w:rsidRDefault="00FF1F3F" w:rsidP="00600B03">
            <w:pPr>
              <w:pStyle w:val="CGCTableStub"/>
              <w:rPr>
                <w:rFonts w:cstheme="minorHAnsi"/>
              </w:rPr>
            </w:pPr>
            <w:r w:rsidRPr="002D5ECA">
              <w:rPr>
                <w:rFonts w:ascii="Calibri" w:eastAsia="Times New Roman" w:hAnsi="Calibri" w:cs="Arial"/>
                <w:lang w:eastAsia="en-AU"/>
              </w:rPr>
              <w:t>Urban roads</w:t>
            </w:r>
          </w:p>
        </w:tc>
        <w:tc>
          <w:tcPr>
            <w:tcW w:w="892" w:type="pct"/>
          </w:tcPr>
          <w:p w14:paraId="3B6322ED" w14:textId="77777777" w:rsidR="00FF1F3F" w:rsidRPr="004537EA" w:rsidRDefault="00FF1F3F" w:rsidP="00600B03">
            <w:pPr>
              <w:pStyle w:val="TableRowNormal"/>
              <w:jc w:val="left"/>
              <w:rPr>
                <w:rFonts w:cstheme="minorHAnsi"/>
              </w:rPr>
            </w:pPr>
            <w:r>
              <w:rPr>
                <w:rFonts w:cstheme="minorHAnsi"/>
              </w:rPr>
              <w:t>Length and use</w:t>
            </w:r>
          </w:p>
        </w:tc>
        <w:tc>
          <w:tcPr>
            <w:tcW w:w="3362" w:type="pct"/>
          </w:tcPr>
          <w:p w14:paraId="653FBD1B" w14:textId="1C778146" w:rsidR="00FF1F3F" w:rsidRPr="004537EA" w:rsidRDefault="00FF1F3F" w:rsidP="00600B03">
            <w:pPr>
              <w:pStyle w:val="TableRowNormal"/>
              <w:ind w:left="0" w:firstLine="0"/>
              <w:jc w:val="left"/>
              <w:rPr>
                <w:rFonts w:cstheme="minorHAnsi"/>
              </w:rPr>
            </w:pPr>
            <w:r>
              <w:rPr>
                <w:rFonts w:cstheme="minorHAnsi"/>
              </w:rPr>
              <w:t>Recognises</w:t>
            </w:r>
            <w:r w:rsidRPr="0098689D">
              <w:rPr>
                <w:rFonts w:cstheme="minorHAnsi"/>
              </w:rPr>
              <w:t xml:space="preserve"> that the length of the </w:t>
            </w:r>
            <w:r>
              <w:rPr>
                <w:rFonts w:cstheme="minorHAnsi"/>
              </w:rPr>
              <w:t>urban</w:t>
            </w:r>
            <w:r w:rsidRPr="0098689D">
              <w:rPr>
                <w:rFonts w:cstheme="minorHAnsi"/>
              </w:rPr>
              <w:t xml:space="preserve"> road network, traffic volume and heavy vehicle use influence the cost of providing road maintenance services in </w:t>
            </w:r>
            <w:r>
              <w:rPr>
                <w:rFonts w:cstheme="minorHAnsi"/>
              </w:rPr>
              <w:t>urban</w:t>
            </w:r>
            <w:r w:rsidRPr="0098689D">
              <w:rPr>
                <w:rFonts w:cstheme="minorHAnsi"/>
              </w:rPr>
              <w:t xml:space="preserve"> areas.</w:t>
            </w:r>
          </w:p>
        </w:tc>
      </w:tr>
      <w:tr w:rsidR="00FF1F3F" w:rsidRPr="004537EA" w14:paraId="5D1D86BC" w14:textId="77777777" w:rsidTr="00600B03">
        <w:tc>
          <w:tcPr>
            <w:tcW w:w="746" w:type="pct"/>
          </w:tcPr>
          <w:p w14:paraId="04B2B2C5" w14:textId="77777777" w:rsidR="00FF1F3F" w:rsidRPr="002D5ECA" w:rsidRDefault="00FF1F3F" w:rsidP="00600B03">
            <w:pPr>
              <w:pStyle w:val="CGCTableStub"/>
              <w:rPr>
                <w:rFonts w:ascii="Calibri" w:eastAsia="Times New Roman" w:hAnsi="Calibri" w:cs="Arial"/>
                <w:lang w:eastAsia="en-AU"/>
              </w:rPr>
            </w:pPr>
          </w:p>
        </w:tc>
        <w:tc>
          <w:tcPr>
            <w:tcW w:w="892" w:type="pct"/>
          </w:tcPr>
          <w:p w14:paraId="5680F147" w14:textId="77777777" w:rsidR="00FF1F3F" w:rsidRDefault="00FF1F3F" w:rsidP="00600B03">
            <w:pPr>
              <w:pStyle w:val="TableRowNormal"/>
              <w:jc w:val="left"/>
              <w:rPr>
                <w:rFonts w:cstheme="minorHAnsi"/>
              </w:rPr>
            </w:pPr>
            <w:r>
              <w:rPr>
                <w:rFonts w:cstheme="minorHAnsi"/>
              </w:rPr>
              <w:t>Location</w:t>
            </w:r>
          </w:p>
        </w:tc>
        <w:tc>
          <w:tcPr>
            <w:tcW w:w="3362" w:type="pct"/>
          </w:tcPr>
          <w:p w14:paraId="2BB51619" w14:textId="77777777" w:rsidR="00FF1F3F" w:rsidRPr="0098689D" w:rsidRDefault="00FF1F3F" w:rsidP="00600B03">
            <w:pPr>
              <w:pStyle w:val="TableRowNormal"/>
              <w:ind w:left="0" w:firstLine="0"/>
              <w:jc w:val="left"/>
              <w:rPr>
                <w:rFonts w:cstheme="minorHAnsi"/>
              </w:rPr>
            </w:pPr>
            <w:r w:rsidRPr="00100F95">
              <w:rPr>
                <w:rFonts w:cstheme="minorHAnsi"/>
              </w:rPr>
              <w:t>Recognises the differences in wage costs between States.</w:t>
            </w:r>
          </w:p>
        </w:tc>
      </w:tr>
      <w:tr w:rsidR="00FF1F3F" w:rsidRPr="004537EA" w14:paraId="68FFC1AA" w14:textId="77777777" w:rsidTr="00600B03">
        <w:tc>
          <w:tcPr>
            <w:tcW w:w="746" w:type="pct"/>
          </w:tcPr>
          <w:p w14:paraId="50C6C957" w14:textId="77777777" w:rsidR="00FF1F3F" w:rsidRPr="004537EA" w:rsidRDefault="00FF1F3F" w:rsidP="00600B03">
            <w:pPr>
              <w:pStyle w:val="CGCTableStub"/>
              <w:rPr>
                <w:rFonts w:cstheme="minorHAnsi"/>
              </w:rPr>
            </w:pPr>
            <w:r w:rsidRPr="002D5ECA">
              <w:rPr>
                <w:rFonts w:ascii="Calibri" w:eastAsia="Times New Roman" w:hAnsi="Calibri" w:cs="Arial"/>
                <w:lang w:eastAsia="en-AU"/>
              </w:rPr>
              <w:t>Local roads</w:t>
            </w:r>
          </w:p>
        </w:tc>
        <w:tc>
          <w:tcPr>
            <w:tcW w:w="892" w:type="pct"/>
          </w:tcPr>
          <w:p w14:paraId="7526EFC9" w14:textId="77777777" w:rsidR="00FF1F3F" w:rsidRPr="004537EA" w:rsidRDefault="00FF1F3F" w:rsidP="00600B03">
            <w:pPr>
              <w:pStyle w:val="TableRowNormal"/>
              <w:jc w:val="left"/>
              <w:rPr>
                <w:rFonts w:cstheme="minorHAnsi"/>
              </w:rPr>
            </w:pPr>
            <w:r>
              <w:rPr>
                <w:rFonts w:cstheme="minorHAnsi"/>
              </w:rPr>
              <w:t>Length</w:t>
            </w:r>
          </w:p>
        </w:tc>
        <w:tc>
          <w:tcPr>
            <w:tcW w:w="3362" w:type="pct"/>
          </w:tcPr>
          <w:p w14:paraId="71C9E269" w14:textId="77777777" w:rsidR="00FF1F3F" w:rsidRPr="004537EA" w:rsidRDefault="00FF1F3F" w:rsidP="00600B03">
            <w:pPr>
              <w:pStyle w:val="TableRowNormal"/>
              <w:ind w:left="0" w:firstLine="0"/>
              <w:jc w:val="left"/>
              <w:rPr>
                <w:rFonts w:cstheme="minorHAnsi"/>
              </w:rPr>
            </w:pPr>
            <w:r w:rsidRPr="0098689D">
              <w:rPr>
                <w:rFonts w:cstheme="minorHAnsi"/>
              </w:rPr>
              <w:t>Recognises the differences between States in the cost of maintaining local roads managed by State governments</w:t>
            </w:r>
            <w:r w:rsidR="00855507">
              <w:rPr>
                <w:rFonts w:cstheme="minorHAnsi"/>
              </w:rPr>
              <w:t xml:space="preserve"> in sparsely populated areas</w:t>
            </w:r>
            <w:r w:rsidRPr="0098689D">
              <w:rPr>
                <w:rFonts w:cstheme="minorHAnsi"/>
              </w:rPr>
              <w:t>.</w:t>
            </w:r>
          </w:p>
        </w:tc>
      </w:tr>
      <w:tr w:rsidR="00FF1F3F" w:rsidRPr="004537EA" w14:paraId="75F43ACA" w14:textId="77777777" w:rsidTr="00600B03">
        <w:tc>
          <w:tcPr>
            <w:tcW w:w="746" w:type="pct"/>
          </w:tcPr>
          <w:p w14:paraId="36B589C6" w14:textId="77777777" w:rsidR="00FF1F3F" w:rsidRPr="002D5ECA" w:rsidRDefault="00FF1F3F" w:rsidP="00600B03">
            <w:pPr>
              <w:pStyle w:val="CGCTableStub"/>
              <w:rPr>
                <w:rFonts w:ascii="Calibri" w:eastAsia="Times New Roman" w:hAnsi="Calibri" w:cs="Arial"/>
                <w:lang w:eastAsia="en-AU"/>
              </w:rPr>
            </w:pPr>
          </w:p>
        </w:tc>
        <w:tc>
          <w:tcPr>
            <w:tcW w:w="892" w:type="pct"/>
          </w:tcPr>
          <w:p w14:paraId="6D7343CC" w14:textId="77777777" w:rsidR="00FF1F3F" w:rsidRDefault="00FF1F3F" w:rsidP="00600B03">
            <w:pPr>
              <w:pStyle w:val="TableRowNormal"/>
              <w:jc w:val="left"/>
              <w:rPr>
                <w:rFonts w:cstheme="minorHAnsi"/>
              </w:rPr>
            </w:pPr>
            <w:r>
              <w:rPr>
                <w:rFonts w:cstheme="minorHAnsi"/>
              </w:rPr>
              <w:t>Location</w:t>
            </w:r>
          </w:p>
        </w:tc>
        <w:tc>
          <w:tcPr>
            <w:tcW w:w="3362" w:type="pct"/>
          </w:tcPr>
          <w:p w14:paraId="79FCE543" w14:textId="77777777" w:rsidR="00FF1F3F" w:rsidRPr="0098689D" w:rsidRDefault="00FF1F3F" w:rsidP="00600B03">
            <w:pPr>
              <w:pStyle w:val="TableRowNormal"/>
              <w:ind w:left="0" w:firstLine="0"/>
              <w:jc w:val="left"/>
              <w:rPr>
                <w:rFonts w:cstheme="minorHAnsi"/>
              </w:rPr>
            </w:pPr>
            <w:r w:rsidRPr="00100F95">
              <w:rPr>
                <w:rFonts w:cstheme="minorHAnsi"/>
              </w:rPr>
              <w:t>Recognises the differences in wage costs between States.</w:t>
            </w:r>
          </w:p>
        </w:tc>
      </w:tr>
      <w:tr w:rsidR="00FF1F3F" w:rsidRPr="004537EA" w14:paraId="1ED82896" w14:textId="77777777" w:rsidTr="00600B03">
        <w:tc>
          <w:tcPr>
            <w:tcW w:w="746" w:type="pct"/>
          </w:tcPr>
          <w:p w14:paraId="35805689" w14:textId="79D9E450" w:rsidR="00FF1F3F" w:rsidRPr="004537EA" w:rsidRDefault="00FF1F3F" w:rsidP="00600B03">
            <w:pPr>
              <w:pStyle w:val="CGCTableStub"/>
              <w:rPr>
                <w:rFonts w:cstheme="minorHAnsi"/>
              </w:rPr>
            </w:pPr>
            <w:r w:rsidRPr="002D5ECA">
              <w:rPr>
                <w:rFonts w:ascii="Calibri" w:eastAsia="Times New Roman" w:hAnsi="Calibri" w:cs="Arial"/>
                <w:lang w:eastAsia="en-AU"/>
              </w:rPr>
              <w:t>Bridges</w:t>
            </w:r>
            <w:r w:rsidR="00C75724">
              <w:rPr>
                <w:rFonts w:ascii="Calibri" w:eastAsia="Times New Roman" w:hAnsi="Calibri" w:cs="Arial"/>
                <w:lang w:eastAsia="en-AU"/>
              </w:rPr>
              <w:t xml:space="preserve"> and tunnels</w:t>
            </w:r>
          </w:p>
        </w:tc>
        <w:tc>
          <w:tcPr>
            <w:tcW w:w="892" w:type="pct"/>
          </w:tcPr>
          <w:p w14:paraId="1784A90D" w14:textId="77777777" w:rsidR="00FF1F3F" w:rsidRPr="004537EA" w:rsidRDefault="00FF1F3F" w:rsidP="00600B03">
            <w:pPr>
              <w:pStyle w:val="TableRowNormal"/>
              <w:jc w:val="left"/>
              <w:rPr>
                <w:rFonts w:cstheme="minorHAnsi"/>
              </w:rPr>
            </w:pPr>
            <w:r>
              <w:rPr>
                <w:rFonts w:cstheme="minorHAnsi"/>
              </w:rPr>
              <w:t>To be determined</w:t>
            </w:r>
          </w:p>
        </w:tc>
        <w:tc>
          <w:tcPr>
            <w:tcW w:w="3362" w:type="pct"/>
          </w:tcPr>
          <w:p w14:paraId="5756250C" w14:textId="3718CF8B" w:rsidR="00FF1F3F" w:rsidRPr="004537EA" w:rsidRDefault="00FF1F3F" w:rsidP="00600B03">
            <w:pPr>
              <w:pStyle w:val="TableRowNormal"/>
              <w:ind w:left="0" w:firstLine="0"/>
              <w:jc w:val="left"/>
              <w:rPr>
                <w:rFonts w:cstheme="minorHAnsi"/>
              </w:rPr>
            </w:pPr>
            <w:r w:rsidRPr="0098689D">
              <w:rPr>
                <w:rFonts w:cstheme="minorHAnsi"/>
              </w:rPr>
              <w:t xml:space="preserve">Recognises the differences between States in the cost of maintaining </w:t>
            </w:r>
            <w:r>
              <w:rPr>
                <w:rFonts w:cstheme="minorHAnsi"/>
              </w:rPr>
              <w:t>bridges</w:t>
            </w:r>
            <w:r w:rsidRPr="0098689D">
              <w:rPr>
                <w:rFonts w:cstheme="minorHAnsi"/>
              </w:rPr>
              <w:t xml:space="preserve"> </w:t>
            </w:r>
            <w:r w:rsidR="00C75724">
              <w:rPr>
                <w:rFonts w:cstheme="minorHAnsi"/>
              </w:rPr>
              <w:t xml:space="preserve">and tunnels </w:t>
            </w:r>
            <w:r w:rsidRPr="0098689D">
              <w:rPr>
                <w:rFonts w:cstheme="minorHAnsi"/>
              </w:rPr>
              <w:t>managed by State governments</w:t>
            </w:r>
            <w:r>
              <w:rPr>
                <w:rFonts w:cstheme="minorHAnsi"/>
              </w:rPr>
              <w:t>.</w:t>
            </w:r>
          </w:p>
        </w:tc>
      </w:tr>
      <w:tr w:rsidR="00FF1F3F" w:rsidRPr="004537EA" w14:paraId="09B7F1F2" w14:textId="77777777" w:rsidTr="00600B03">
        <w:tc>
          <w:tcPr>
            <w:tcW w:w="746" w:type="pct"/>
            <w:tcBorders>
              <w:bottom w:val="single" w:sz="4" w:space="0" w:color="auto"/>
            </w:tcBorders>
          </w:tcPr>
          <w:p w14:paraId="6599B332" w14:textId="77777777" w:rsidR="00FF1F3F" w:rsidRPr="002D5ECA" w:rsidRDefault="00FF1F3F" w:rsidP="00600B03">
            <w:pPr>
              <w:pStyle w:val="CGCTableStub"/>
              <w:rPr>
                <w:rFonts w:ascii="Calibri" w:eastAsia="Times New Roman" w:hAnsi="Calibri" w:cs="Arial"/>
                <w:lang w:eastAsia="en-AU"/>
              </w:rPr>
            </w:pPr>
          </w:p>
        </w:tc>
        <w:tc>
          <w:tcPr>
            <w:tcW w:w="892" w:type="pct"/>
            <w:tcBorders>
              <w:bottom w:val="single" w:sz="4" w:space="0" w:color="auto"/>
            </w:tcBorders>
          </w:tcPr>
          <w:p w14:paraId="547C618D" w14:textId="77777777" w:rsidR="00FF1F3F" w:rsidRDefault="00FF1F3F" w:rsidP="00600B03">
            <w:pPr>
              <w:pStyle w:val="TableRowNormal"/>
              <w:jc w:val="left"/>
              <w:rPr>
                <w:rFonts w:cstheme="minorHAnsi"/>
              </w:rPr>
            </w:pPr>
            <w:r>
              <w:rPr>
                <w:rFonts w:cstheme="minorHAnsi"/>
              </w:rPr>
              <w:t>Location</w:t>
            </w:r>
          </w:p>
        </w:tc>
        <w:tc>
          <w:tcPr>
            <w:tcW w:w="3362" w:type="pct"/>
            <w:tcBorders>
              <w:bottom w:val="single" w:sz="4" w:space="0" w:color="auto"/>
            </w:tcBorders>
          </w:tcPr>
          <w:p w14:paraId="42B736A3" w14:textId="77777777" w:rsidR="00FF1F3F" w:rsidRPr="0098689D" w:rsidRDefault="00FF1F3F" w:rsidP="00600B03">
            <w:pPr>
              <w:pStyle w:val="TableRowNormal"/>
              <w:ind w:left="0" w:firstLine="0"/>
              <w:jc w:val="left"/>
              <w:rPr>
                <w:rFonts w:cstheme="minorHAnsi"/>
              </w:rPr>
            </w:pPr>
            <w:r w:rsidRPr="00100F95">
              <w:rPr>
                <w:rFonts w:cstheme="minorHAnsi"/>
              </w:rPr>
              <w:t>Recognises the differences in wage costs between States.</w:t>
            </w:r>
          </w:p>
        </w:tc>
      </w:tr>
    </w:tbl>
    <w:p w14:paraId="70C98583" w14:textId="77777777" w:rsidR="00FF1F3F" w:rsidRDefault="00FF1F3F" w:rsidP="00FF1F3F">
      <w:pPr>
        <w:pStyle w:val="NoSpacing"/>
      </w:pPr>
    </w:p>
    <w:p w14:paraId="7E13E00E" w14:textId="77777777" w:rsidR="00FF1F3F" w:rsidRDefault="00FF1F3F" w:rsidP="00FF1F3F">
      <w:pPr>
        <w:pStyle w:val="CGCTableHeading"/>
      </w:pPr>
      <w:r>
        <w:t xml:space="preserve">Table </w:t>
      </w:r>
      <w:fldSimple w:instr=" SEQ Table \* ARABIC ">
        <w:r w:rsidR="004B3502">
          <w:rPr>
            <w:noProof/>
          </w:rPr>
          <w:t>15</w:t>
        </w:r>
      </w:fldSimple>
      <w:r>
        <w:tab/>
      </w:r>
      <w:r w:rsidRPr="00B7517F">
        <w:t xml:space="preserve">Proposed </w:t>
      </w:r>
      <w:r>
        <w:t>roads investment component</w:t>
      </w:r>
      <w:r w:rsidRPr="00B7517F">
        <w:t xml:space="preserve"> category structure</w:t>
      </w:r>
    </w:p>
    <w:tbl>
      <w:tblPr>
        <w:tblW w:w="5000" w:type="pct"/>
        <w:tblCellMar>
          <w:left w:w="85" w:type="dxa"/>
          <w:right w:w="85" w:type="dxa"/>
        </w:tblCellMar>
        <w:tblLook w:val="0000" w:firstRow="0" w:lastRow="0" w:firstColumn="0" w:lastColumn="0" w:noHBand="0" w:noVBand="0"/>
      </w:tblPr>
      <w:tblGrid>
        <w:gridCol w:w="1361"/>
        <w:gridCol w:w="1842"/>
        <w:gridCol w:w="5918"/>
      </w:tblGrid>
      <w:tr w:rsidR="00FF1F3F" w:rsidRPr="004537EA" w14:paraId="54AD9B46" w14:textId="77777777" w:rsidTr="00600B03">
        <w:tc>
          <w:tcPr>
            <w:tcW w:w="746" w:type="pct"/>
            <w:tcBorders>
              <w:top w:val="single" w:sz="6" w:space="0" w:color="auto"/>
              <w:bottom w:val="single" w:sz="4" w:space="0" w:color="auto"/>
            </w:tcBorders>
            <w:vAlign w:val="bottom"/>
          </w:tcPr>
          <w:p w14:paraId="5B8787D3" w14:textId="77777777" w:rsidR="00FF1F3F" w:rsidRPr="004537EA" w:rsidRDefault="00FF1F3F" w:rsidP="00600B03">
            <w:pPr>
              <w:pStyle w:val="TableColHeadings"/>
              <w:jc w:val="left"/>
              <w:rPr>
                <w:rFonts w:cstheme="minorHAnsi"/>
              </w:rPr>
            </w:pPr>
            <w:r w:rsidRPr="00134594">
              <w:rPr>
                <w:rFonts w:cstheme="minorHAnsi"/>
              </w:rPr>
              <w:t>Component</w:t>
            </w:r>
          </w:p>
        </w:tc>
        <w:tc>
          <w:tcPr>
            <w:tcW w:w="1010" w:type="pct"/>
            <w:tcBorders>
              <w:top w:val="single" w:sz="6" w:space="0" w:color="auto"/>
              <w:bottom w:val="single" w:sz="4" w:space="0" w:color="auto"/>
            </w:tcBorders>
            <w:vAlign w:val="bottom"/>
          </w:tcPr>
          <w:p w14:paraId="7972848A" w14:textId="77777777" w:rsidR="00FF1F3F" w:rsidRPr="004537EA" w:rsidRDefault="00FF1F3F" w:rsidP="00600B03">
            <w:pPr>
              <w:pStyle w:val="TableColHeadings"/>
              <w:jc w:val="left"/>
              <w:rPr>
                <w:rFonts w:cstheme="minorHAnsi"/>
              </w:rPr>
            </w:pPr>
            <w:r w:rsidRPr="00134594">
              <w:rPr>
                <w:rFonts w:cstheme="minorHAnsi"/>
              </w:rPr>
              <w:t>Disability</w:t>
            </w:r>
          </w:p>
        </w:tc>
        <w:tc>
          <w:tcPr>
            <w:tcW w:w="3244" w:type="pct"/>
            <w:tcBorders>
              <w:top w:val="single" w:sz="6" w:space="0" w:color="auto"/>
              <w:bottom w:val="single" w:sz="4" w:space="0" w:color="auto"/>
            </w:tcBorders>
            <w:vAlign w:val="bottom"/>
          </w:tcPr>
          <w:p w14:paraId="395388A3" w14:textId="77777777" w:rsidR="00FF1F3F" w:rsidRPr="004537EA" w:rsidRDefault="00FF1F3F" w:rsidP="00600B03">
            <w:pPr>
              <w:pStyle w:val="TableColHeadings"/>
              <w:jc w:val="left"/>
              <w:rPr>
                <w:rFonts w:cstheme="minorHAnsi"/>
              </w:rPr>
            </w:pPr>
            <w:r w:rsidRPr="00134594">
              <w:rPr>
                <w:rFonts w:cstheme="minorHAnsi"/>
              </w:rPr>
              <w:t>Influence measured by disability</w:t>
            </w:r>
          </w:p>
        </w:tc>
      </w:tr>
      <w:tr w:rsidR="00FF1F3F" w:rsidRPr="004537EA" w14:paraId="0670C1B7" w14:textId="77777777" w:rsidTr="00600B03">
        <w:trPr>
          <w:trHeight w:val="191"/>
        </w:trPr>
        <w:tc>
          <w:tcPr>
            <w:tcW w:w="746" w:type="pct"/>
            <w:tcBorders>
              <w:top w:val="single" w:sz="4" w:space="0" w:color="auto"/>
            </w:tcBorders>
            <w:tcMar>
              <w:top w:w="0" w:type="dxa"/>
              <w:bottom w:w="0" w:type="dxa"/>
            </w:tcMar>
            <w:vAlign w:val="bottom"/>
          </w:tcPr>
          <w:p w14:paraId="232A9FE7" w14:textId="77777777" w:rsidR="00FF1F3F" w:rsidRPr="004537EA" w:rsidRDefault="00FF1F3F" w:rsidP="00600B03">
            <w:pPr>
              <w:pStyle w:val="TableRowUnits"/>
              <w:jc w:val="left"/>
              <w:rPr>
                <w:rFonts w:cstheme="minorHAnsi"/>
              </w:rPr>
            </w:pPr>
          </w:p>
        </w:tc>
        <w:tc>
          <w:tcPr>
            <w:tcW w:w="1010" w:type="pct"/>
            <w:tcBorders>
              <w:top w:val="single" w:sz="4" w:space="0" w:color="auto"/>
            </w:tcBorders>
            <w:tcMar>
              <w:top w:w="0" w:type="dxa"/>
              <w:bottom w:w="0" w:type="dxa"/>
            </w:tcMar>
            <w:vAlign w:val="bottom"/>
          </w:tcPr>
          <w:p w14:paraId="354521BB" w14:textId="77777777" w:rsidR="00FF1F3F" w:rsidRPr="004537EA" w:rsidRDefault="00FF1F3F" w:rsidP="00600B03">
            <w:pPr>
              <w:pStyle w:val="TableRowUnits"/>
              <w:jc w:val="left"/>
              <w:rPr>
                <w:rFonts w:cstheme="minorHAnsi"/>
              </w:rPr>
            </w:pPr>
          </w:p>
        </w:tc>
        <w:tc>
          <w:tcPr>
            <w:tcW w:w="3244" w:type="pct"/>
            <w:tcBorders>
              <w:top w:val="single" w:sz="4" w:space="0" w:color="auto"/>
            </w:tcBorders>
            <w:tcMar>
              <w:top w:w="0" w:type="dxa"/>
              <w:bottom w:w="0" w:type="dxa"/>
            </w:tcMar>
            <w:vAlign w:val="bottom"/>
          </w:tcPr>
          <w:p w14:paraId="382BE158" w14:textId="77777777" w:rsidR="00FF1F3F" w:rsidRPr="004537EA" w:rsidRDefault="00FF1F3F" w:rsidP="00600B03">
            <w:pPr>
              <w:pStyle w:val="TableRowUnits"/>
              <w:jc w:val="left"/>
              <w:rPr>
                <w:rFonts w:cstheme="minorHAnsi"/>
              </w:rPr>
            </w:pPr>
          </w:p>
        </w:tc>
      </w:tr>
      <w:tr w:rsidR="00FF1F3F" w:rsidRPr="004537EA" w14:paraId="290AB19B" w14:textId="77777777" w:rsidTr="00600B03">
        <w:tc>
          <w:tcPr>
            <w:tcW w:w="746" w:type="pct"/>
          </w:tcPr>
          <w:p w14:paraId="2EC44DAB" w14:textId="77777777" w:rsidR="00FF1F3F" w:rsidRPr="004537EA" w:rsidRDefault="00FF1F3F" w:rsidP="00600B03">
            <w:pPr>
              <w:pStyle w:val="CGCTableStub"/>
              <w:rPr>
                <w:rFonts w:cstheme="minorHAnsi"/>
              </w:rPr>
            </w:pPr>
            <w:r w:rsidRPr="002D5ECA">
              <w:rPr>
                <w:rFonts w:ascii="Calibri" w:eastAsia="Times New Roman" w:hAnsi="Calibri" w:cs="Arial"/>
                <w:lang w:eastAsia="en-AU"/>
              </w:rPr>
              <w:t>Rural roads</w:t>
            </w:r>
          </w:p>
        </w:tc>
        <w:tc>
          <w:tcPr>
            <w:tcW w:w="1010" w:type="pct"/>
          </w:tcPr>
          <w:p w14:paraId="3BE457D6" w14:textId="77777777" w:rsidR="00FF1F3F" w:rsidRPr="004537EA" w:rsidRDefault="00FF1F3F" w:rsidP="00600B03">
            <w:pPr>
              <w:pStyle w:val="TableRowNormal"/>
              <w:jc w:val="left"/>
              <w:rPr>
                <w:rFonts w:cstheme="minorHAnsi"/>
              </w:rPr>
            </w:pPr>
            <w:r>
              <w:rPr>
                <w:rFonts w:cstheme="minorHAnsi"/>
              </w:rPr>
              <w:t>Capital stock</w:t>
            </w:r>
          </w:p>
        </w:tc>
        <w:tc>
          <w:tcPr>
            <w:tcW w:w="3244" w:type="pct"/>
          </w:tcPr>
          <w:p w14:paraId="420A87DB" w14:textId="3AD260A8" w:rsidR="00FF1F3F" w:rsidRPr="004537EA" w:rsidRDefault="00FF1F3F" w:rsidP="00600B03">
            <w:pPr>
              <w:pStyle w:val="TableRowNormal"/>
              <w:ind w:left="0" w:firstLine="0"/>
              <w:jc w:val="left"/>
              <w:rPr>
                <w:rFonts w:cstheme="minorHAnsi"/>
              </w:rPr>
            </w:pPr>
            <w:r w:rsidRPr="00F46B46">
              <w:rPr>
                <w:rFonts w:ascii="Calibri" w:eastAsia="Times New Roman" w:hAnsi="Calibri" w:cs="Times New Roman"/>
                <w:lang w:eastAsia="en-AU"/>
              </w:rPr>
              <w:t xml:space="preserve">Recognises the impact </w:t>
            </w:r>
            <w:r>
              <w:rPr>
                <w:rFonts w:ascii="Calibri" w:eastAsia="Times New Roman" w:hAnsi="Calibri" w:cs="Times New Roman"/>
                <w:lang w:eastAsia="en-AU"/>
              </w:rPr>
              <w:t>of the recurrent disability factors on the need for rural road infrastructure</w:t>
            </w:r>
            <w:r w:rsidRPr="00F46B46">
              <w:rPr>
                <w:rFonts w:ascii="Calibri" w:eastAsia="Times New Roman" w:hAnsi="Calibri" w:cs="Times New Roman"/>
                <w:lang w:eastAsia="en-AU"/>
              </w:rPr>
              <w:t>.</w:t>
            </w:r>
          </w:p>
        </w:tc>
      </w:tr>
      <w:tr w:rsidR="00FF1F3F" w:rsidRPr="004537EA" w14:paraId="59006A5B" w14:textId="77777777" w:rsidTr="00600B03">
        <w:tc>
          <w:tcPr>
            <w:tcW w:w="746" w:type="pct"/>
          </w:tcPr>
          <w:p w14:paraId="1A4C4102" w14:textId="77777777" w:rsidR="00FF1F3F" w:rsidRPr="004537EA" w:rsidRDefault="00FF1F3F" w:rsidP="00600B03">
            <w:pPr>
              <w:pStyle w:val="CGCTableStub"/>
              <w:rPr>
                <w:rFonts w:cstheme="minorHAnsi"/>
              </w:rPr>
            </w:pPr>
          </w:p>
        </w:tc>
        <w:tc>
          <w:tcPr>
            <w:tcW w:w="1010" w:type="pct"/>
          </w:tcPr>
          <w:p w14:paraId="7A6697F4" w14:textId="77777777" w:rsidR="00FF1F3F" w:rsidRPr="004537EA" w:rsidRDefault="00FF1F3F" w:rsidP="00600B03">
            <w:pPr>
              <w:pStyle w:val="TableRowNormal"/>
              <w:jc w:val="left"/>
              <w:rPr>
                <w:rFonts w:cstheme="minorHAnsi"/>
              </w:rPr>
            </w:pPr>
            <w:r>
              <w:rPr>
                <w:rFonts w:cstheme="minorHAnsi"/>
              </w:rPr>
              <w:t>Capital cost</w:t>
            </w:r>
          </w:p>
        </w:tc>
        <w:tc>
          <w:tcPr>
            <w:tcW w:w="3244" w:type="pct"/>
          </w:tcPr>
          <w:p w14:paraId="4CE06E9D" w14:textId="33D2D4E3" w:rsidR="00FF1F3F" w:rsidRPr="004537EA" w:rsidRDefault="00FF1F3F" w:rsidP="00600B03">
            <w:pPr>
              <w:pStyle w:val="TableRowNormal"/>
              <w:ind w:left="0" w:firstLine="0"/>
              <w:jc w:val="left"/>
              <w:rPr>
                <w:rFonts w:cstheme="minorHAnsi"/>
              </w:rPr>
            </w:pPr>
            <w:r w:rsidRPr="00F46B46">
              <w:rPr>
                <w:rFonts w:ascii="Calibri" w:eastAsia="Times New Roman" w:hAnsi="Calibri" w:cs="Times New Roman"/>
                <w:lang w:eastAsia="en-AU"/>
              </w:rPr>
              <w:t xml:space="preserve">Recognises the impact of differences between States in the cost of </w:t>
            </w:r>
            <w:r>
              <w:rPr>
                <w:rFonts w:ascii="Calibri" w:eastAsia="Times New Roman" w:hAnsi="Calibri" w:cs="Times New Roman"/>
                <w:lang w:eastAsia="en-AU"/>
              </w:rPr>
              <w:t>rural road infrastructure.</w:t>
            </w:r>
          </w:p>
        </w:tc>
      </w:tr>
      <w:tr w:rsidR="00FF1F3F" w:rsidRPr="004537EA" w14:paraId="73ECF761" w14:textId="77777777" w:rsidTr="00600B03">
        <w:tc>
          <w:tcPr>
            <w:tcW w:w="746" w:type="pct"/>
          </w:tcPr>
          <w:p w14:paraId="7FFCFF6B" w14:textId="77777777" w:rsidR="00FF1F3F" w:rsidRPr="004537EA" w:rsidRDefault="00FF1F3F" w:rsidP="00600B03">
            <w:pPr>
              <w:pStyle w:val="CGCTableStub"/>
              <w:rPr>
                <w:rFonts w:cstheme="minorHAnsi"/>
              </w:rPr>
            </w:pPr>
            <w:r>
              <w:rPr>
                <w:rFonts w:cstheme="minorHAnsi"/>
              </w:rPr>
              <w:t>Urban roads</w:t>
            </w:r>
          </w:p>
        </w:tc>
        <w:tc>
          <w:tcPr>
            <w:tcW w:w="1010" w:type="pct"/>
          </w:tcPr>
          <w:p w14:paraId="27DFAE53" w14:textId="77777777" w:rsidR="00FF1F3F" w:rsidRPr="004537EA" w:rsidRDefault="00FF1F3F" w:rsidP="00600B03">
            <w:pPr>
              <w:pStyle w:val="TableRowNormal"/>
              <w:jc w:val="left"/>
              <w:rPr>
                <w:rFonts w:cstheme="minorHAnsi"/>
              </w:rPr>
            </w:pPr>
            <w:r>
              <w:rPr>
                <w:rFonts w:cstheme="minorHAnsi"/>
              </w:rPr>
              <w:t>Capital stock</w:t>
            </w:r>
          </w:p>
        </w:tc>
        <w:tc>
          <w:tcPr>
            <w:tcW w:w="3244" w:type="pct"/>
          </w:tcPr>
          <w:p w14:paraId="4B2F62C5" w14:textId="3A3DE9B9" w:rsidR="00FF1F3F" w:rsidRPr="004537EA" w:rsidRDefault="00FF1F3F" w:rsidP="00600B03">
            <w:pPr>
              <w:pStyle w:val="TableRowNormal"/>
              <w:ind w:left="0" w:firstLine="0"/>
              <w:jc w:val="left"/>
              <w:rPr>
                <w:rFonts w:cstheme="minorHAnsi"/>
              </w:rPr>
            </w:pPr>
            <w:r w:rsidRPr="00F46B46">
              <w:rPr>
                <w:rFonts w:ascii="Calibri" w:eastAsia="Times New Roman" w:hAnsi="Calibri" w:cs="Times New Roman"/>
                <w:lang w:eastAsia="en-AU"/>
              </w:rPr>
              <w:t xml:space="preserve">Recognises the impact </w:t>
            </w:r>
            <w:r>
              <w:rPr>
                <w:rFonts w:ascii="Calibri" w:eastAsia="Times New Roman" w:hAnsi="Calibri" w:cs="Times New Roman"/>
                <w:lang w:eastAsia="en-AU"/>
              </w:rPr>
              <w:t>of the recurrent disability factors on the need for urban road infrastructure</w:t>
            </w:r>
            <w:r w:rsidRPr="00F46B46">
              <w:rPr>
                <w:rFonts w:ascii="Calibri" w:eastAsia="Times New Roman" w:hAnsi="Calibri" w:cs="Times New Roman"/>
                <w:lang w:eastAsia="en-AU"/>
              </w:rPr>
              <w:t>.</w:t>
            </w:r>
          </w:p>
        </w:tc>
      </w:tr>
      <w:tr w:rsidR="00FF1F3F" w:rsidRPr="004537EA" w14:paraId="79747787" w14:textId="77777777" w:rsidTr="00600B03">
        <w:tc>
          <w:tcPr>
            <w:tcW w:w="746" w:type="pct"/>
          </w:tcPr>
          <w:p w14:paraId="64DB3FF1" w14:textId="77777777" w:rsidR="00FF1F3F" w:rsidRPr="004537EA" w:rsidRDefault="00FF1F3F" w:rsidP="00600B03">
            <w:pPr>
              <w:pStyle w:val="CGCTableStub"/>
              <w:rPr>
                <w:rFonts w:cstheme="minorHAnsi"/>
              </w:rPr>
            </w:pPr>
          </w:p>
        </w:tc>
        <w:tc>
          <w:tcPr>
            <w:tcW w:w="1010" w:type="pct"/>
          </w:tcPr>
          <w:p w14:paraId="4A30FC8F" w14:textId="77777777" w:rsidR="00FF1F3F" w:rsidRPr="004537EA" w:rsidRDefault="00FF1F3F" w:rsidP="00600B03">
            <w:pPr>
              <w:pStyle w:val="TableRowNormal"/>
              <w:jc w:val="left"/>
              <w:rPr>
                <w:rFonts w:cstheme="minorHAnsi"/>
              </w:rPr>
            </w:pPr>
            <w:r>
              <w:rPr>
                <w:rFonts w:cstheme="minorHAnsi"/>
              </w:rPr>
              <w:t>Population growth</w:t>
            </w:r>
          </w:p>
        </w:tc>
        <w:tc>
          <w:tcPr>
            <w:tcW w:w="3244" w:type="pct"/>
          </w:tcPr>
          <w:p w14:paraId="5455C507" w14:textId="743C2F34" w:rsidR="00FF1F3F" w:rsidRPr="004537EA" w:rsidRDefault="00FF1F3F" w:rsidP="00600B03">
            <w:pPr>
              <w:pStyle w:val="TableRowNormal"/>
              <w:ind w:left="0" w:firstLine="0"/>
              <w:jc w:val="left"/>
              <w:rPr>
                <w:rFonts w:cstheme="minorHAnsi"/>
              </w:rPr>
            </w:pPr>
            <w:r w:rsidRPr="00F46B46">
              <w:rPr>
                <w:rFonts w:ascii="Calibri" w:eastAsia="Times New Roman" w:hAnsi="Calibri" w:cs="Times New Roman"/>
                <w:lang w:eastAsia="en-AU"/>
              </w:rPr>
              <w:t xml:space="preserve">Recognises the impact of differences in population growth on the need for </w:t>
            </w:r>
            <w:r>
              <w:rPr>
                <w:rFonts w:ascii="Calibri" w:eastAsia="Times New Roman" w:hAnsi="Calibri" w:cs="Times New Roman"/>
                <w:lang w:eastAsia="en-AU"/>
              </w:rPr>
              <w:t>urban road</w:t>
            </w:r>
            <w:r w:rsidRPr="00F46B46">
              <w:rPr>
                <w:rFonts w:ascii="Calibri" w:eastAsia="Times New Roman" w:hAnsi="Calibri" w:cs="Times New Roman"/>
                <w:lang w:eastAsia="en-AU"/>
              </w:rPr>
              <w:t xml:space="preserve"> infrastructure.</w:t>
            </w:r>
          </w:p>
        </w:tc>
      </w:tr>
      <w:tr w:rsidR="00FF1F3F" w:rsidRPr="004537EA" w14:paraId="7EF3E271" w14:textId="77777777" w:rsidTr="00600B03">
        <w:tc>
          <w:tcPr>
            <w:tcW w:w="746" w:type="pct"/>
            <w:tcBorders>
              <w:bottom w:val="single" w:sz="4" w:space="0" w:color="auto"/>
            </w:tcBorders>
          </w:tcPr>
          <w:p w14:paraId="041A7C05" w14:textId="77777777" w:rsidR="00FF1F3F" w:rsidRPr="004537EA" w:rsidRDefault="00FF1F3F" w:rsidP="00600B03">
            <w:pPr>
              <w:pStyle w:val="CGCTableStub"/>
              <w:rPr>
                <w:rFonts w:cstheme="minorHAnsi"/>
              </w:rPr>
            </w:pPr>
          </w:p>
        </w:tc>
        <w:tc>
          <w:tcPr>
            <w:tcW w:w="1010" w:type="pct"/>
            <w:tcBorders>
              <w:bottom w:val="single" w:sz="4" w:space="0" w:color="auto"/>
            </w:tcBorders>
          </w:tcPr>
          <w:p w14:paraId="0714769B" w14:textId="77777777" w:rsidR="00FF1F3F" w:rsidRPr="004537EA" w:rsidRDefault="00FF1F3F" w:rsidP="00600B03">
            <w:pPr>
              <w:pStyle w:val="TableRowNormal"/>
              <w:jc w:val="left"/>
              <w:rPr>
                <w:rFonts w:cstheme="minorHAnsi"/>
              </w:rPr>
            </w:pPr>
            <w:r>
              <w:rPr>
                <w:rFonts w:cstheme="minorHAnsi"/>
              </w:rPr>
              <w:t>Capital cost</w:t>
            </w:r>
          </w:p>
        </w:tc>
        <w:tc>
          <w:tcPr>
            <w:tcW w:w="3244" w:type="pct"/>
            <w:tcBorders>
              <w:bottom w:val="single" w:sz="4" w:space="0" w:color="auto"/>
            </w:tcBorders>
          </w:tcPr>
          <w:p w14:paraId="3716C0EC" w14:textId="43EBC54B" w:rsidR="00FF1F3F" w:rsidRPr="004537EA" w:rsidRDefault="00FF1F3F" w:rsidP="00600B03">
            <w:pPr>
              <w:pStyle w:val="TableRowNormal"/>
              <w:ind w:left="0" w:firstLine="0"/>
              <w:jc w:val="left"/>
              <w:rPr>
                <w:rFonts w:cstheme="minorHAnsi"/>
              </w:rPr>
            </w:pPr>
            <w:r w:rsidRPr="00F46B46">
              <w:rPr>
                <w:rFonts w:ascii="Calibri" w:eastAsia="Times New Roman" w:hAnsi="Calibri" w:cs="Times New Roman"/>
                <w:lang w:eastAsia="en-AU"/>
              </w:rPr>
              <w:t xml:space="preserve">Recognises the impact of differences between States in the cost of </w:t>
            </w:r>
            <w:r>
              <w:rPr>
                <w:rFonts w:ascii="Calibri" w:eastAsia="Times New Roman" w:hAnsi="Calibri" w:cs="Times New Roman"/>
                <w:lang w:eastAsia="en-AU"/>
              </w:rPr>
              <w:t>urban road infrastructure.</w:t>
            </w:r>
          </w:p>
        </w:tc>
      </w:tr>
    </w:tbl>
    <w:p w14:paraId="6D42F88B" w14:textId="77777777" w:rsidR="00FF1F3F" w:rsidRDefault="00FF1F3F" w:rsidP="00FF1F3F"/>
    <w:p w14:paraId="3D45D120" w14:textId="77777777" w:rsidR="00FF1F3F" w:rsidRDefault="00FF1F3F" w:rsidP="00FF1F3F">
      <w:pPr>
        <w:pStyle w:val="Heading4"/>
      </w:pPr>
      <w:bookmarkStart w:id="93" w:name="_Toc509326375"/>
      <w:bookmarkStart w:id="94" w:name="_Toc511380305"/>
      <w:r>
        <w:t>Data / information sought from States</w:t>
      </w:r>
      <w:bookmarkEnd w:id="93"/>
      <w:bookmarkEnd w:id="94"/>
    </w:p>
    <w:p w14:paraId="3A74905E" w14:textId="3D317158" w:rsidR="00FF1F3F" w:rsidRDefault="006572DD" w:rsidP="00FF1F3F">
      <w:pPr>
        <w:pStyle w:val="CGCNumberedPara"/>
        <w:numPr>
          <w:ilvl w:val="1"/>
          <w:numId w:val="3"/>
        </w:numPr>
      </w:pPr>
      <w:proofErr w:type="gramStart"/>
      <w:r>
        <w:t>Staff</w:t>
      </w:r>
      <w:r w:rsidR="00FF1F3F" w:rsidRPr="00EA5939">
        <w:t xml:space="preserve"> </w:t>
      </w:r>
      <w:r w:rsidR="00E3308D">
        <w:t>intend</w:t>
      </w:r>
      <w:proofErr w:type="gramEnd"/>
      <w:r w:rsidR="00FF1F3F" w:rsidRPr="00EA5939">
        <w:t xml:space="preserve"> </w:t>
      </w:r>
      <w:r w:rsidR="000A763F">
        <w:t>to</w:t>
      </w:r>
      <w:r w:rsidR="00E3308D">
        <w:t xml:space="preserve"> </w:t>
      </w:r>
      <w:r w:rsidR="00FF1F3F">
        <w:t>provid</w:t>
      </w:r>
      <w:r w:rsidR="000A763F">
        <w:t>e</w:t>
      </w:r>
      <w:r w:rsidR="00FF1F3F">
        <w:t xml:space="preserve"> States with a draft Roads da</w:t>
      </w:r>
      <w:r w:rsidR="00082F68">
        <w:t xml:space="preserve">ta request for comment in early </w:t>
      </w:r>
      <w:r w:rsidR="00FF1F3F">
        <w:t xml:space="preserve">2019. This data request will reflect the data item definitions agreed upon for the </w:t>
      </w:r>
      <w:proofErr w:type="spellStart"/>
      <w:r w:rsidR="00FF1F3F">
        <w:t>Austroads</w:t>
      </w:r>
      <w:proofErr w:type="spellEnd"/>
      <w:r w:rsidR="00FF1F3F">
        <w:t xml:space="preserve"> Standard, as discussed in the rural road length section</w:t>
      </w:r>
      <w:r w:rsidR="000A763F">
        <w:t xml:space="preserve"> of this paper</w:t>
      </w:r>
      <w:r w:rsidR="00FF1F3F">
        <w:t>. This will include data items intended to feed into the rural roads, urban roads and bridges components.</w:t>
      </w:r>
    </w:p>
    <w:p w14:paraId="24D33487" w14:textId="1FB9E6CF" w:rsidR="00FF1F3F" w:rsidRDefault="006572DD" w:rsidP="00DE505B">
      <w:pPr>
        <w:pStyle w:val="CGCNumberedPara"/>
      </w:pPr>
      <w:proofErr w:type="gramStart"/>
      <w:r>
        <w:lastRenderedPageBreak/>
        <w:t>Staff</w:t>
      </w:r>
      <w:r w:rsidR="00FF1F3F">
        <w:t xml:space="preserve"> </w:t>
      </w:r>
      <w:r w:rsidR="00E3308D">
        <w:t>intend</w:t>
      </w:r>
      <w:proofErr w:type="gramEnd"/>
      <w:r w:rsidR="00FF1F3F">
        <w:t xml:space="preserve"> to contact States to collect further information regarding local roads spending, in particular spending that has been allocated to </w:t>
      </w:r>
      <w:proofErr w:type="spellStart"/>
      <w:r w:rsidR="00FF1F3F">
        <w:t>NTC</w:t>
      </w:r>
      <w:proofErr w:type="spellEnd"/>
      <w:r w:rsidR="00FF1F3F">
        <w:t xml:space="preserve"> categories H3, H4 and H5</w:t>
      </w:r>
      <w:r w:rsidR="00DE505B">
        <w:t xml:space="preserve"> (that is,</w:t>
      </w:r>
      <w:r w:rsidR="00DE505B" w:rsidRPr="00DE505B">
        <w:t xml:space="preserve"> </w:t>
      </w:r>
      <w:r w:rsidR="00DE505B">
        <w:t>spending on local access roads in unincorporated areas, direct spending on council managed local access roads, and any other direct State spending on local access roads respectively)</w:t>
      </w:r>
      <w:r w:rsidR="00FF1F3F">
        <w:t>.</w:t>
      </w:r>
    </w:p>
    <w:p w14:paraId="5592D25E" w14:textId="77777777" w:rsidR="00DE2175" w:rsidRDefault="00DE2175" w:rsidP="00DE2175">
      <w:pPr>
        <w:pStyle w:val="CGCNumberedPara"/>
        <w:numPr>
          <w:ilvl w:val="0"/>
          <w:numId w:val="0"/>
        </w:numPr>
        <w:ind w:left="567" w:hanging="567"/>
      </w:pPr>
    </w:p>
    <w:p w14:paraId="7C9D4A3E" w14:textId="77777777" w:rsidR="00892120" w:rsidRDefault="00892120" w:rsidP="00892120">
      <w:pPr>
        <w:sectPr w:rsidR="00892120" w:rsidSect="00B7517F">
          <w:footerReference w:type="default" r:id="rId19"/>
          <w:footerReference w:type="first" r:id="rId20"/>
          <w:pgSz w:w="11899" w:h="16838" w:code="9"/>
          <w:pgMar w:top="1701" w:right="1474" w:bottom="1701" w:left="1474" w:header="709" w:footer="709" w:gutter="0"/>
          <w:pgNumType w:start="1"/>
          <w:cols w:space="708"/>
          <w:titlePg/>
          <w:docGrid w:linePitch="299"/>
        </w:sectPr>
      </w:pPr>
    </w:p>
    <w:p w14:paraId="6F899FDD" w14:textId="194EB309" w:rsidR="00630B28" w:rsidRDefault="009F57D4" w:rsidP="008E2F55">
      <w:pPr>
        <w:pStyle w:val="Heading2"/>
      </w:pPr>
      <w:bookmarkStart w:id="95" w:name="_Toc509326376"/>
      <w:bookmarkStart w:id="96" w:name="_Toc511380306"/>
      <w:r>
        <w:lastRenderedPageBreak/>
        <w:t xml:space="preserve">Attachment A: </w:t>
      </w:r>
      <w:r w:rsidR="00630B28">
        <w:t>Road length data source research</w:t>
      </w:r>
      <w:bookmarkEnd w:id="95"/>
      <w:bookmarkEnd w:id="96"/>
    </w:p>
    <w:p w14:paraId="0DC6E16A" w14:textId="63267D92" w:rsidR="00630B28" w:rsidRDefault="006572DD" w:rsidP="008E2F55">
      <w:pPr>
        <w:pStyle w:val="CGCNumberedPara"/>
        <w:numPr>
          <w:ilvl w:val="1"/>
          <w:numId w:val="42"/>
        </w:numPr>
      </w:pPr>
      <w:proofErr w:type="gramStart"/>
      <w:r>
        <w:t>Staff</w:t>
      </w:r>
      <w:r w:rsidR="00630B28">
        <w:t xml:space="preserve"> have</w:t>
      </w:r>
      <w:proofErr w:type="gramEnd"/>
      <w:r w:rsidR="00630B28">
        <w:t xml:space="preserve"> investigated road length data sources from third parties with the following findings. </w:t>
      </w:r>
    </w:p>
    <w:p w14:paraId="21C26A5D" w14:textId="4445CD54" w:rsidR="00630B28" w:rsidRDefault="00630B28" w:rsidP="00630B28">
      <w:pPr>
        <w:pStyle w:val="CGCBulletlist"/>
      </w:pPr>
      <w:r>
        <w:t>The Public Sector Mapping Authority (</w:t>
      </w:r>
      <w:proofErr w:type="spellStart"/>
      <w:r>
        <w:t>PSMA</w:t>
      </w:r>
      <w:proofErr w:type="spellEnd"/>
      <w:r>
        <w:t xml:space="preserve">) Transport and Topography dataset specifies data items that would be useful to our work. However, the data </w:t>
      </w:r>
      <w:r w:rsidR="000A763F">
        <w:t>are</w:t>
      </w:r>
      <w:r>
        <w:t xml:space="preserve"> sourced primarily from State land agencies and </w:t>
      </w:r>
      <w:proofErr w:type="spellStart"/>
      <w:r>
        <w:t>PSMA</w:t>
      </w:r>
      <w:proofErr w:type="spellEnd"/>
      <w:r>
        <w:t xml:space="preserve"> has advised that several key data items are not currently reliable: </w:t>
      </w:r>
    </w:p>
    <w:p w14:paraId="3A7736DF" w14:textId="77777777" w:rsidR="00630B28" w:rsidRDefault="00630B28" w:rsidP="00630B28">
      <w:pPr>
        <w:pStyle w:val="CGCSubbulletlist"/>
      </w:pPr>
      <w:r>
        <w:t>‘authority code’, which identifies the responsible authority for a road, is only reliably present for two States</w:t>
      </w:r>
    </w:p>
    <w:p w14:paraId="0A80CEA0" w14:textId="77777777" w:rsidR="00630B28" w:rsidRDefault="00630B28" w:rsidP="00630B28">
      <w:pPr>
        <w:pStyle w:val="CGCSubbulletlist"/>
      </w:pPr>
      <w:r>
        <w:t>‘number of lanes’ is only provided for three States and so would not support a calculation of lane-kilometres</w:t>
      </w:r>
    </w:p>
    <w:p w14:paraId="0A8379CA" w14:textId="77777777" w:rsidR="00630B28" w:rsidRDefault="00630B28" w:rsidP="00630B28">
      <w:pPr>
        <w:pStyle w:val="CGCSubbulletlist"/>
      </w:pPr>
      <w:r>
        <w:t>‘</w:t>
      </w:r>
      <w:proofErr w:type="spellStart"/>
      <w:r>
        <w:t>route_class_code</w:t>
      </w:r>
      <w:proofErr w:type="spellEnd"/>
      <w:r>
        <w:t xml:space="preserve">’, which identifies the type of road (national, state, tourist, </w:t>
      </w:r>
      <w:proofErr w:type="spellStart"/>
      <w:r>
        <w:t>auslink</w:t>
      </w:r>
      <w:proofErr w:type="spellEnd"/>
      <w:r>
        <w:t xml:space="preserve">, motorway </w:t>
      </w:r>
      <w:proofErr w:type="spellStart"/>
      <w:r>
        <w:t>etc</w:t>
      </w:r>
      <w:proofErr w:type="spellEnd"/>
      <w:r>
        <w:t>) is not populated for all route classes.</w:t>
      </w:r>
    </w:p>
    <w:p w14:paraId="70E3ED8E" w14:textId="77777777" w:rsidR="00630B28" w:rsidRDefault="00630B28" w:rsidP="00630B28">
      <w:pPr>
        <w:pStyle w:val="CGCBulletlist"/>
      </w:pPr>
      <w:r>
        <w:t xml:space="preserve">Geoscience Australia’s existing datasets are out of date and do not have the level of granularity needed for our purpose. Geoscience has advised that a new dataset combining commercial data, </w:t>
      </w:r>
      <w:proofErr w:type="spellStart"/>
      <w:r>
        <w:t>PSMA</w:t>
      </w:r>
      <w:proofErr w:type="spellEnd"/>
      <w:r>
        <w:t xml:space="preserve"> data and Geoscience data has not yet been implemented, but is expected within two years.</w:t>
      </w:r>
    </w:p>
    <w:p w14:paraId="731D631C" w14:textId="44E950E9" w:rsidR="00630B28" w:rsidRDefault="00630B28" w:rsidP="00C574EA">
      <w:pPr>
        <w:pStyle w:val="CGCBulletlist"/>
      </w:pPr>
      <w:proofErr w:type="spellStart"/>
      <w:r>
        <w:t>Austroads</w:t>
      </w:r>
      <w:proofErr w:type="spellEnd"/>
      <w:r>
        <w:t xml:space="preserve"> is continuing to develop a </w:t>
      </w:r>
      <w:r w:rsidR="00C574EA" w:rsidRPr="00C574EA">
        <w:t>Data Standard for Road Management and Investment</w:t>
      </w:r>
      <w:r>
        <w:t xml:space="preserve">, which will harmonise road asset data across all jurisdictions and contains relevant data items for our purposes. However, it is still the subject of consultation and has not yet been agreed by the </w:t>
      </w:r>
      <w:proofErr w:type="spellStart"/>
      <w:r>
        <w:t>Austroads</w:t>
      </w:r>
      <w:proofErr w:type="spellEnd"/>
      <w:r>
        <w:t xml:space="preserve"> board. Once agreed, State road authorities will need to implement the Standard within their own data holdings; there is no compulsion for them to do so. </w:t>
      </w:r>
    </w:p>
    <w:p w14:paraId="49701332" w14:textId="77777777" w:rsidR="00630B28" w:rsidRDefault="00630B28" w:rsidP="00630B28">
      <w:pPr>
        <w:pStyle w:val="CGCBulletlist"/>
      </w:pPr>
      <w:r>
        <w:t xml:space="preserve">Commercial roads data providers such as Google, Tom </w:t>
      </w:r>
      <w:proofErr w:type="spellStart"/>
      <w:r>
        <w:t>Tom</w:t>
      </w:r>
      <w:proofErr w:type="spellEnd"/>
      <w:r>
        <w:t xml:space="preserve"> and </w:t>
      </w:r>
      <w:proofErr w:type="spellStart"/>
      <w:r>
        <w:t>OpenStreetMap</w:t>
      </w:r>
      <w:proofErr w:type="spellEnd"/>
      <w:r>
        <w:t xml:space="preserve"> do not have all the data items needed to support a policy neutral road measurement (such as responsible authority, needed to distinguish between State and local government roads). </w:t>
      </w:r>
    </w:p>
    <w:p w14:paraId="6B9D3FE6" w14:textId="3CCD1902" w:rsidR="00630B28" w:rsidRDefault="006572DD" w:rsidP="00630B28">
      <w:pPr>
        <w:pStyle w:val="CGCNumberedPara"/>
      </w:pPr>
      <w:proofErr w:type="gramStart"/>
      <w:r>
        <w:t>Staff</w:t>
      </w:r>
      <w:r w:rsidR="00630B28">
        <w:t xml:space="preserve"> have</w:t>
      </w:r>
      <w:proofErr w:type="gramEnd"/>
      <w:r w:rsidR="00630B28">
        <w:t xml:space="preserve"> identified several alternatives for a rural road length measure, sourced from States’ data. </w:t>
      </w:r>
    </w:p>
    <w:p w14:paraId="0AA9597D" w14:textId="40D3C1CA" w:rsidR="00630B28" w:rsidRDefault="00630B28" w:rsidP="00630B28">
      <w:pPr>
        <w:pStyle w:val="CGCBulletlist"/>
      </w:pPr>
      <w:r w:rsidRPr="00B257B6">
        <w:rPr>
          <w:b/>
        </w:rPr>
        <w:t>Routes.</w:t>
      </w:r>
      <w:r>
        <w:t xml:space="preserve"> </w:t>
      </w:r>
      <w:proofErr w:type="spellStart"/>
      <w:r>
        <w:t>Austroads</w:t>
      </w:r>
      <w:proofErr w:type="spellEnd"/>
      <w:r>
        <w:t xml:space="preserve"> has defined a national route numbering system with an implicit policy neutral road hierarchy which would support simple assumptions about the number of lanes for each route class.</w:t>
      </w:r>
      <w:r>
        <w:rPr>
          <w:rStyle w:val="FootnoteReference"/>
        </w:rPr>
        <w:footnoteReference w:id="14"/>
      </w:r>
      <w:r>
        <w:t xml:space="preserve"> We believe all State road authorities (</w:t>
      </w:r>
      <w:proofErr w:type="spellStart"/>
      <w:r>
        <w:t>SRAs</w:t>
      </w:r>
      <w:proofErr w:type="spellEnd"/>
      <w:r>
        <w:t>) have data that support the measurement of lane length by route class.  However, to use th</w:t>
      </w:r>
      <w:r w:rsidR="00B257B6">
        <w:t>ose</w:t>
      </w:r>
      <w:r>
        <w:t xml:space="preserve"> data we would need to allocate a weight to </w:t>
      </w:r>
      <w:r>
        <w:lastRenderedPageBreak/>
        <w:t>the different route classes to derive a weighted rural road length. Furthermore, State Roads Tasmania has advised that its use of the route numbering system does not reflect a functional classification (that is, the route classes are more for tourist interest than reflective of the different route classes). We would need to confirm with States whether they consider th</w:t>
      </w:r>
      <w:r w:rsidR="00B257B6">
        <w:t>e</w:t>
      </w:r>
      <w:r>
        <w:t xml:space="preserve"> data to be appropriate for our purpose and then determine appropriate weights for the four route classes. </w:t>
      </w:r>
    </w:p>
    <w:p w14:paraId="1DDAB880" w14:textId="68F3A2A7" w:rsidR="00630B28" w:rsidRDefault="00630B28" w:rsidP="00630B28">
      <w:pPr>
        <w:pStyle w:val="CGCBulletlist"/>
      </w:pPr>
      <w:r w:rsidRPr="00045F4C">
        <w:rPr>
          <w:b/>
        </w:rPr>
        <w:t>SRA geospatial data.</w:t>
      </w:r>
      <w:r>
        <w:t xml:space="preserve"> </w:t>
      </w:r>
      <w:proofErr w:type="spellStart"/>
      <w:r>
        <w:t>SRAs</w:t>
      </w:r>
      <w:proofErr w:type="spellEnd"/>
      <w:r>
        <w:t xml:space="preserve"> have advised that they all maintain geospatial road datasets of their State controlled road networks. They also maintain road asset datasets which are either part of the main geospatial datasets or can be linked to them, which include road attributes such as ‘number of lanes’ and ‘surface type’. We have reviewed the data of </w:t>
      </w:r>
      <w:r w:rsidR="00114DDA">
        <w:t>States</w:t>
      </w:r>
      <w:r>
        <w:t xml:space="preserve"> and compared their networks with the synthetic network used in the 2015 Review, with the following findings.</w:t>
      </w:r>
      <w:r w:rsidR="00114DDA">
        <w:t xml:space="preserve"> </w:t>
      </w:r>
    </w:p>
    <w:p w14:paraId="6AE4C0CB" w14:textId="77777777" w:rsidR="00630B28" w:rsidRDefault="00630B28" w:rsidP="00630B28">
      <w:pPr>
        <w:pStyle w:val="CGCSubbulletlist"/>
      </w:pPr>
      <w:r>
        <w:t xml:space="preserve">There are no obvious common criteria applied to include roads or localities within the State road network, suggesting that policy remains an influence. </w:t>
      </w:r>
    </w:p>
    <w:p w14:paraId="64C511B9" w14:textId="77777777" w:rsidR="00630B28" w:rsidRDefault="00630B28" w:rsidP="00630B28">
      <w:pPr>
        <w:pStyle w:val="CGCSubbulletlist"/>
      </w:pPr>
      <w:r>
        <w:t xml:space="preserve">States commonly include roads connecting localities with a population lower than the current synthetic network’s threshold of 400. </w:t>
      </w:r>
    </w:p>
    <w:p w14:paraId="7745C849" w14:textId="57F51FD7" w:rsidR="00630B28" w:rsidRDefault="00630B28" w:rsidP="00630B28">
      <w:pPr>
        <w:pStyle w:val="CGCSubbulletlist"/>
      </w:pPr>
      <w:r>
        <w:t>There are localities of more than 400 p</w:t>
      </w:r>
      <w:r w:rsidR="000A763F">
        <w:t>eople</w:t>
      </w:r>
      <w:r>
        <w:t xml:space="preserve"> not connected in the State networks, which are connected in the synthetic network.</w:t>
      </w:r>
      <w:r>
        <w:rPr>
          <w:rStyle w:val="FootnoteReference"/>
        </w:rPr>
        <w:footnoteReference w:id="15"/>
      </w:r>
      <w:r>
        <w:t xml:space="preserve"> In several cases</w:t>
      </w:r>
      <w:r w:rsidR="000A763F">
        <w:t>,</w:t>
      </w:r>
      <w:r>
        <w:t xml:space="preserve"> this appears to occur where the localities are in remote or very remote locations.</w:t>
      </w:r>
    </w:p>
    <w:p w14:paraId="4B218FCE" w14:textId="77777777" w:rsidR="00630B28" w:rsidRDefault="00630B28" w:rsidP="00630B28">
      <w:pPr>
        <w:pStyle w:val="CGCSubbulletlist"/>
      </w:pPr>
      <w:r>
        <w:t>The synthetic network frequently uses roads managed by local governments rather than State-controlled roads to make connections between localities. These roads are generally substitutes for the State roads, rather than additional connections.</w:t>
      </w:r>
    </w:p>
    <w:p w14:paraId="6196B244" w14:textId="7939EC40" w:rsidR="00630B28" w:rsidRDefault="00630B28" w:rsidP="00630B28">
      <w:pPr>
        <w:pStyle w:val="CGCSubbulletlist"/>
      </w:pPr>
      <w:r>
        <w:t xml:space="preserve">We conclude that it is theoretically possible to apply the current rural road measurement algorithm to States’ geospatial data to derive lane length (that is, in lane-kilometres) by surface type (that is, sealed/unsealed). This would create a policy neutral rural road length measure that accounts for road width (number of lanes) and surface </w:t>
      </w:r>
      <w:proofErr w:type="gramStart"/>
      <w:r>
        <w:t>type, that</w:t>
      </w:r>
      <w:proofErr w:type="gramEnd"/>
      <w:r>
        <w:t xml:space="preserve"> could replace the current measure based on </w:t>
      </w:r>
      <w:proofErr w:type="spellStart"/>
      <w:r>
        <w:t>Mapinfo</w:t>
      </w:r>
      <w:proofErr w:type="spellEnd"/>
      <w:r>
        <w:t xml:space="preserve"> data. Since States appear to connect localities with fewer than 400 p</w:t>
      </w:r>
      <w:r w:rsidR="000A763F">
        <w:t>eople</w:t>
      </w:r>
      <w:r>
        <w:t xml:space="preserve"> and the ABS defines localities as being of population 200 or more, it may be appropriate to use this threshold for including localities in the spatial road measurement. </w:t>
      </w:r>
    </w:p>
    <w:p w14:paraId="6D41D223" w14:textId="77777777" w:rsidR="00630B28" w:rsidRDefault="00630B28" w:rsidP="00630B28">
      <w:pPr>
        <w:pStyle w:val="CGCBulletlist"/>
      </w:pPr>
      <w:r w:rsidRPr="00045F4C">
        <w:rPr>
          <w:b/>
        </w:rPr>
        <w:t>State reported lane length measure.</w:t>
      </w:r>
      <w:r>
        <w:t xml:space="preserve"> If the Commission was convinced that policy was not a significant influence on the length of State controlled road </w:t>
      </w:r>
      <w:r>
        <w:lastRenderedPageBreak/>
        <w:t>networks, then State reported lane lengths could be used in the assessment – in lane-kilometres by sealed/unsealed.</w:t>
      </w:r>
    </w:p>
    <w:p w14:paraId="11277716" w14:textId="77777777" w:rsidR="005A5666" w:rsidRDefault="005A5666" w:rsidP="00630B28">
      <w:pPr>
        <w:sectPr w:rsidR="005A5666" w:rsidSect="00630B28">
          <w:pgSz w:w="11899" w:h="16838" w:code="9"/>
          <w:pgMar w:top="1701" w:right="1474" w:bottom="1701" w:left="1474" w:header="709" w:footer="709" w:gutter="0"/>
          <w:cols w:space="708"/>
          <w:titlePg/>
          <w:docGrid w:linePitch="299"/>
        </w:sectPr>
      </w:pPr>
    </w:p>
    <w:p w14:paraId="36D5FA47" w14:textId="7B371730" w:rsidR="005A5666" w:rsidRDefault="009F57D4" w:rsidP="008E2F55">
      <w:pPr>
        <w:pStyle w:val="Heading2"/>
        <w:spacing w:after="480"/>
      </w:pPr>
      <w:bookmarkStart w:id="97" w:name="_Toc511380307"/>
      <w:bookmarkStart w:id="98" w:name="_Toc509326377"/>
      <w:r>
        <w:lastRenderedPageBreak/>
        <w:t xml:space="preserve">Attachment B: </w:t>
      </w:r>
      <w:proofErr w:type="spellStart"/>
      <w:r w:rsidR="005A5666">
        <w:t>Austroads</w:t>
      </w:r>
      <w:proofErr w:type="spellEnd"/>
      <w:r w:rsidR="005A5666">
        <w:t xml:space="preserve"> Road Asset Data Standard </w:t>
      </w:r>
      <w:r w:rsidR="00B918AA">
        <w:t xml:space="preserve">– </w:t>
      </w:r>
      <w:r w:rsidR="00F62AA6">
        <w:t xml:space="preserve">Draft </w:t>
      </w:r>
      <w:r w:rsidR="00B918AA">
        <w:t xml:space="preserve">Priority </w:t>
      </w:r>
      <w:r w:rsidR="00F62AA6">
        <w:t>Harmonisation subset</w:t>
      </w:r>
      <w:bookmarkEnd w:id="97"/>
      <w:r w:rsidR="00F62AA6">
        <w:t xml:space="preserve"> </w:t>
      </w:r>
      <w:bookmarkEnd w:id="98"/>
    </w:p>
    <w:tbl>
      <w:tblPr>
        <w:tblW w:w="8960" w:type="dxa"/>
        <w:tblInd w:w="93" w:type="dxa"/>
        <w:tblLook w:val="04A0" w:firstRow="1" w:lastRow="0" w:firstColumn="1" w:lastColumn="0" w:noHBand="0" w:noVBand="1"/>
      </w:tblPr>
      <w:tblGrid>
        <w:gridCol w:w="2580"/>
        <w:gridCol w:w="1060"/>
        <w:gridCol w:w="5320"/>
      </w:tblGrid>
      <w:tr w:rsidR="002E2A6E" w:rsidRPr="002E2A6E" w14:paraId="4073CA03" w14:textId="77777777" w:rsidTr="00C0093E">
        <w:trPr>
          <w:trHeight w:val="375"/>
          <w:tblHeader/>
        </w:trPr>
        <w:tc>
          <w:tcPr>
            <w:tcW w:w="2580" w:type="dxa"/>
            <w:tcBorders>
              <w:top w:val="single" w:sz="4" w:space="0" w:color="auto"/>
              <w:left w:val="nil"/>
              <w:bottom w:val="single" w:sz="4" w:space="0" w:color="auto"/>
              <w:right w:val="nil"/>
            </w:tcBorders>
            <w:shd w:val="clear" w:color="auto" w:fill="auto"/>
            <w:noWrap/>
            <w:vAlign w:val="center"/>
            <w:hideMark/>
          </w:tcPr>
          <w:p w14:paraId="7E55B9E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Group</w:t>
            </w:r>
          </w:p>
        </w:tc>
        <w:tc>
          <w:tcPr>
            <w:tcW w:w="1060" w:type="dxa"/>
            <w:tcBorders>
              <w:top w:val="single" w:sz="4" w:space="0" w:color="auto"/>
              <w:left w:val="nil"/>
              <w:bottom w:val="single" w:sz="4" w:space="0" w:color="auto"/>
              <w:right w:val="nil"/>
            </w:tcBorders>
            <w:shd w:val="clear" w:color="auto" w:fill="auto"/>
            <w:noWrap/>
            <w:vAlign w:val="center"/>
            <w:hideMark/>
          </w:tcPr>
          <w:p w14:paraId="39CAEE3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Reference</w:t>
            </w:r>
          </w:p>
        </w:tc>
        <w:tc>
          <w:tcPr>
            <w:tcW w:w="5320" w:type="dxa"/>
            <w:tcBorders>
              <w:top w:val="single" w:sz="4" w:space="0" w:color="auto"/>
              <w:left w:val="nil"/>
              <w:bottom w:val="single" w:sz="4" w:space="0" w:color="auto"/>
              <w:right w:val="nil"/>
            </w:tcBorders>
            <w:shd w:val="clear" w:color="auto" w:fill="auto"/>
            <w:noWrap/>
            <w:vAlign w:val="center"/>
            <w:hideMark/>
          </w:tcPr>
          <w:p w14:paraId="3920F56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Name</w:t>
            </w:r>
          </w:p>
        </w:tc>
      </w:tr>
      <w:tr w:rsidR="002E2A6E" w:rsidRPr="002E2A6E" w14:paraId="5FCEE0B7" w14:textId="77777777" w:rsidTr="00C0093E">
        <w:trPr>
          <w:trHeight w:val="255"/>
        </w:trPr>
        <w:tc>
          <w:tcPr>
            <w:tcW w:w="2580" w:type="dxa"/>
            <w:tcBorders>
              <w:top w:val="single" w:sz="4" w:space="0" w:color="auto"/>
              <w:left w:val="nil"/>
              <w:bottom w:val="nil"/>
              <w:right w:val="nil"/>
            </w:tcBorders>
            <w:shd w:val="clear" w:color="auto" w:fill="auto"/>
            <w:noWrap/>
            <w:vAlign w:val="bottom"/>
            <w:hideMark/>
          </w:tcPr>
          <w:p w14:paraId="35199B2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Identification</w:t>
            </w:r>
          </w:p>
        </w:tc>
        <w:tc>
          <w:tcPr>
            <w:tcW w:w="1060" w:type="dxa"/>
            <w:tcBorders>
              <w:top w:val="single" w:sz="4" w:space="0" w:color="auto"/>
              <w:left w:val="nil"/>
              <w:bottom w:val="nil"/>
              <w:right w:val="nil"/>
            </w:tcBorders>
            <w:shd w:val="clear" w:color="auto" w:fill="auto"/>
            <w:noWrap/>
            <w:vAlign w:val="bottom"/>
            <w:hideMark/>
          </w:tcPr>
          <w:p w14:paraId="3261D44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8.13.2</w:t>
            </w:r>
          </w:p>
        </w:tc>
        <w:tc>
          <w:tcPr>
            <w:tcW w:w="5320" w:type="dxa"/>
            <w:tcBorders>
              <w:top w:val="single" w:sz="4" w:space="0" w:color="auto"/>
              <w:left w:val="nil"/>
              <w:bottom w:val="nil"/>
              <w:right w:val="nil"/>
            </w:tcBorders>
            <w:shd w:val="clear" w:color="auto" w:fill="auto"/>
            <w:noWrap/>
            <w:vAlign w:val="bottom"/>
            <w:hideMark/>
          </w:tcPr>
          <w:p w14:paraId="6E19689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Restriction type</w:t>
            </w:r>
          </w:p>
        </w:tc>
      </w:tr>
      <w:tr w:rsidR="002E2A6E" w:rsidRPr="002E2A6E" w14:paraId="4EDCA53B" w14:textId="77777777" w:rsidTr="002E2A6E">
        <w:trPr>
          <w:trHeight w:val="255"/>
        </w:trPr>
        <w:tc>
          <w:tcPr>
            <w:tcW w:w="2580" w:type="dxa"/>
            <w:tcBorders>
              <w:top w:val="nil"/>
              <w:left w:val="nil"/>
              <w:bottom w:val="nil"/>
              <w:right w:val="nil"/>
            </w:tcBorders>
            <w:shd w:val="clear" w:color="auto" w:fill="auto"/>
            <w:noWrap/>
            <w:vAlign w:val="bottom"/>
          </w:tcPr>
          <w:p w14:paraId="1E8FC79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CE8B00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8.13.3</w:t>
            </w:r>
          </w:p>
        </w:tc>
        <w:tc>
          <w:tcPr>
            <w:tcW w:w="5320" w:type="dxa"/>
            <w:tcBorders>
              <w:top w:val="nil"/>
              <w:left w:val="nil"/>
              <w:bottom w:val="nil"/>
              <w:right w:val="nil"/>
            </w:tcBorders>
            <w:shd w:val="clear" w:color="auto" w:fill="auto"/>
            <w:noWrap/>
            <w:vAlign w:val="bottom"/>
            <w:hideMark/>
          </w:tcPr>
          <w:p w14:paraId="55B654B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Restriction reason</w:t>
            </w:r>
          </w:p>
        </w:tc>
      </w:tr>
      <w:tr w:rsidR="002E2A6E" w:rsidRPr="002E2A6E" w14:paraId="2A3C20FF" w14:textId="77777777" w:rsidTr="002E2A6E">
        <w:trPr>
          <w:trHeight w:val="255"/>
        </w:trPr>
        <w:tc>
          <w:tcPr>
            <w:tcW w:w="2580" w:type="dxa"/>
            <w:tcBorders>
              <w:top w:val="nil"/>
              <w:left w:val="nil"/>
              <w:bottom w:val="nil"/>
              <w:right w:val="nil"/>
            </w:tcBorders>
            <w:shd w:val="clear" w:color="auto" w:fill="auto"/>
            <w:noWrap/>
            <w:vAlign w:val="bottom"/>
          </w:tcPr>
          <w:p w14:paraId="01BB9D7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595316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8.13.4</w:t>
            </w:r>
          </w:p>
        </w:tc>
        <w:tc>
          <w:tcPr>
            <w:tcW w:w="5320" w:type="dxa"/>
            <w:tcBorders>
              <w:top w:val="nil"/>
              <w:left w:val="nil"/>
              <w:bottom w:val="nil"/>
              <w:right w:val="nil"/>
            </w:tcBorders>
            <w:shd w:val="clear" w:color="auto" w:fill="auto"/>
            <w:noWrap/>
            <w:vAlign w:val="bottom"/>
            <w:hideMark/>
          </w:tcPr>
          <w:p w14:paraId="17942AD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User group restriction applies to</w:t>
            </w:r>
          </w:p>
        </w:tc>
      </w:tr>
      <w:tr w:rsidR="002E2A6E" w:rsidRPr="002E2A6E" w14:paraId="6D5F2259" w14:textId="77777777" w:rsidTr="002E2A6E">
        <w:trPr>
          <w:trHeight w:val="255"/>
        </w:trPr>
        <w:tc>
          <w:tcPr>
            <w:tcW w:w="2580" w:type="dxa"/>
            <w:tcBorders>
              <w:top w:val="nil"/>
              <w:left w:val="nil"/>
              <w:bottom w:val="nil"/>
              <w:right w:val="nil"/>
            </w:tcBorders>
            <w:shd w:val="clear" w:color="auto" w:fill="auto"/>
            <w:noWrap/>
            <w:vAlign w:val="bottom"/>
          </w:tcPr>
          <w:p w14:paraId="5FCA948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79B0DA3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8.13.5</w:t>
            </w:r>
          </w:p>
        </w:tc>
        <w:tc>
          <w:tcPr>
            <w:tcW w:w="5320" w:type="dxa"/>
            <w:tcBorders>
              <w:top w:val="nil"/>
              <w:left w:val="nil"/>
              <w:bottom w:val="nil"/>
              <w:right w:val="nil"/>
            </w:tcBorders>
            <w:shd w:val="clear" w:color="auto" w:fill="auto"/>
            <w:noWrap/>
            <w:vAlign w:val="bottom"/>
            <w:hideMark/>
          </w:tcPr>
          <w:p w14:paraId="10B0E57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Restriction unit</w:t>
            </w:r>
          </w:p>
        </w:tc>
      </w:tr>
      <w:tr w:rsidR="002E2A6E" w:rsidRPr="002E2A6E" w14:paraId="07BF0CC0" w14:textId="77777777" w:rsidTr="002E2A6E">
        <w:trPr>
          <w:trHeight w:val="255"/>
        </w:trPr>
        <w:tc>
          <w:tcPr>
            <w:tcW w:w="2580" w:type="dxa"/>
            <w:tcBorders>
              <w:top w:val="nil"/>
              <w:left w:val="nil"/>
              <w:bottom w:val="nil"/>
              <w:right w:val="nil"/>
            </w:tcBorders>
            <w:shd w:val="clear" w:color="auto" w:fill="auto"/>
            <w:noWrap/>
            <w:vAlign w:val="bottom"/>
            <w:hideMark/>
          </w:tcPr>
          <w:p w14:paraId="75B5ABA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Functional Classification</w:t>
            </w:r>
          </w:p>
        </w:tc>
        <w:tc>
          <w:tcPr>
            <w:tcW w:w="1060" w:type="dxa"/>
            <w:tcBorders>
              <w:top w:val="nil"/>
              <w:left w:val="nil"/>
              <w:bottom w:val="nil"/>
              <w:right w:val="nil"/>
            </w:tcBorders>
            <w:shd w:val="clear" w:color="auto" w:fill="auto"/>
            <w:noWrap/>
            <w:vAlign w:val="bottom"/>
            <w:hideMark/>
          </w:tcPr>
          <w:p w14:paraId="558771F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8.2.1</w:t>
            </w:r>
          </w:p>
        </w:tc>
        <w:tc>
          <w:tcPr>
            <w:tcW w:w="5320" w:type="dxa"/>
            <w:tcBorders>
              <w:top w:val="nil"/>
              <w:left w:val="nil"/>
              <w:bottom w:val="nil"/>
              <w:right w:val="nil"/>
            </w:tcBorders>
            <w:shd w:val="clear" w:color="auto" w:fill="auto"/>
            <w:noWrap/>
            <w:vAlign w:val="bottom"/>
            <w:hideMark/>
          </w:tcPr>
          <w:p w14:paraId="482D2A5D" w14:textId="565BA9C0" w:rsidR="002E2A6E" w:rsidRPr="002E2A6E" w:rsidRDefault="002E2A6E" w:rsidP="00F62AA6">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Functional Classification </w:t>
            </w:r>
          </w:p>
        </w:tc>
      </w:tr>
      <w:tr w:rsidR="002E2A6E" w:rsidRPr="002E2A6E" w14:paraId="7866CADB" w14:textId="77777777" w:rsidTr="002E2A6E">
        <w:trPr>
          <w:trHeight w:val="255"/>
        </w:trPr>
        <w:tc>
          <w:tcPr>
            <w:tcW w:w="2580" w:type="dxa"/>
            <w:tcBorders>
              <w:top w:val="nil"/>
              <w:left w:val="nil"/>
              <w:bottom w:val="nil"/>
              <w:right w:val="nil"/>
            </w:tcBorders>
            <w:shd w:val="clear" w:color="auto" w:fill="auto"/>
            <w:noWrap/>
            <w:vAlign w:val="bottom"/>
            <w:hideMark/>
          </w:tcPr>
          <w:p w14:paraId="4758E8DB" w14:textId="36657C0A"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Subjective C</w:t>
            </w:r>
            <w:r w:rsidR="002E2A6E" w:rsidRPr="002E2A6E">
              <w:rPr>
                <w:rFonts w:ascii="Calibri" w:eastAsia="Times New Roman" w:hAnsi="Calibri" w:cs="Times New Roman"/>
                <w:color w:val="000000"/>
                <w:sz w:val="20"/>
                <w:szCs w:val="20"/>
                <w:lang w:eastAsia="en-AU"/>
              </w:rPr>
              <w:t>ondition</w:t>
            </w:r>
          </w:p>
        </w:tc>
        <w:tc>
          <w:tcPr>
            <w:tcW w:w="1060" w:type="dxa"/>
            <w:tcBorders>
              <w:top w:val="nil"/>
              <w:left w:val="nil"/>
              <w:bottom w:val="nil"/>
              <w:right w:val="nil"/>
            </w:tcBorders>
            <w:shd w:val="clear" w:color="auto" w:fill="auto"/>
            <w:noWrap/>
            <w:vAlign w:val="bottom"/>
            <w:hideMark/>
          </w:tcPr>
          <w:p w14:paraId="38EA01D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8.4.2</w:t>
            </w:r>
          </w:p>
        </w:tc>
        <w:tc>
          <w:tcPr>
            <w:tcW w:w="5320" w:type="dxa"/>
            <w:tcBorders>
              <w:top w:val="nil"/>
              <w:left w:val="nil"/>
              <w:bottom w:val="nil"/>
              <w:right w:val="nil"/>
            </w:tcBorders>
            <w:shd w:val="clear" w:color="auto" w:fill="auto"/>
            <w:noWrap/>
            <w:vAlign w:val="bottom"/>
            <w:hideMark/>
          </w:tcPr>
          <w:p w14:paraId="045628C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Subjective condition survey date-time</w:t>
            </w:r>
          </w:p>
        </w:tc>
      </w:tr>
      <w:tr w:rsidR="002E2A6E" w:rsidRPr="002E2A6E" w14:paraId="4557F4E8" w14:textId="77777777" w:rsidTr="002E2A6E">
        <w:trPr>
          <w:trHeight w:val="255"/>
        </w:trPr>
        <w:tc>
          <w:tcPr>
            <w:tcW w:w="2580" w:type="dxa"/>
            <w:tcBorders>
              <w:top w:val="nil"/>
              <w:left w:val="nil"/>
              <w:bottom w:val="nil"/>
              <w:right w:val="nil"/>
            </w:tcBorders>
            <w:shd w:val="clear" w:color="auto" w:fill="auto"/>
            <w:noWrap/>
            <w:vAlign w:val="bottom"/>
            <w:hideMark/>
          </w:tcPr>
          <w:p w14:paraId="1A8123BB" w14:textId="7FC799EA"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Visually Assessed C</w:t>
            </w:r>
            <w:r w:rsidR="002E2A6E" w:rsidRPr="002E2A6E">
              <w:rPr>
                <w:rFonts w:ascii="Calibri" w:eastAsia="Times New Roman" w:hAnsi="Calibri" w:cs="Times New Roman"/>
                <w:color w:val="000000"/>
                <w:sz w:val="20"/>
                <w:szCs w:val="20"/>
                <w:lang w:eastAsia="en-AU"/>
              </w:rPr>
              <w:t>ondition</w:t>
            </w:r>
          </w:p>
        </w:tc>
        <w:tc>
          <w:tcPr>
            <w:tcW w:w="1060" w:type="dxa"/>
            <w:tcBorders>
              <w:top w:val="nil"/>
              <w:left w:val="nil"/>
              <w:bottom w:val="nil"/>
              <w:right w:val="nil"/>
            </w:tcBorders>
            <w:shd w:val="clear" w:color="auto" w:fill="auto"/>
            <w:noWrap/>
            <w:vAlign w:val="bottom"/>
            <w:hideMark/>
          </w:tcPr>
          <w:p w14:paraId="67446D4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8.4.4</w:t>
            </w:r>
          </w:p>
        </w:tc>
        <w:tc>
          <w:tcPr>
            <w:tcW w:w="5320" w:type="dxa"/>
            <w:tcBorders>
              <w:top w:val="nil"/>
              <w:left w:val="nil"/>
              <w:bottom w:val="nil"/>
              <w:right w:val="nil"/>
            </w:tcBorders>
            <w:shd w:val="clear" w:color="auto" w:fill="auto"/>
            <w:noWrap/>
            <w:vAlign w:val="bottom"/>
            <w:hideMark/>
          </w:tcPr>
          <w:p w14:paraId="4720833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Visual assessed condition</w:t>
            </w:r>
          </w:p>
        </w:tc>
      </w:tr>
      <w:tr w:rsidR="002E2A6E" w:rsidRPr="002E2A6E" w14:paraId="3DFCCC03" w14:textId="77777777" w:rsidTr="002E2A6E">
        <w:trPr>
          <w:trHeight w:val="255"/>
        </w:trPr>
        <w:tc>
          <w:tcPr>
            <w:tcW w:w="2580" w:type="dxa"/>
            <w:tcBorders>
              <w:top w:val="nil"/>
              <w:left w:val="nil"/>
              <w:bottom w:val="nil"/>
              <w:right w:val="nil"/>
            </w:tcBorders>
            <w:shd w:val="clear" w:color="auto" w:fill="auto"/>
            <w:noWrap/>
            <w:vAlign w:val="bottom"/>
          </w:tcPr>
          <w:p w14:paraId="5A5B4D2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7BAAFDE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8.4.9</w:t>
            </w:r>
          </w:p>
        </w:tc>
        <w:tc>
          <w:tcPr>
            <w:tcW w:w="5320" w:type="dxa"/>
            <w:tcBorders>
              <w:top w:val="nil"/>
              <w:left w:val="nil"/>
              <w:bottom w:val="nil"/>
              <w:right w:val="nil"/>
            </w:tcBorders>
            <w:shd w:val="clear" w:color="auto" w:fill="auto"/>
            <w:noWrap/>
            <w:vAlign w:val="bottom"/>
            <w:hideMark/>
          </w:tcPr>
          <w:p w14:paraId="69DC282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Visual cracking area</w:t>
            </w:r>
          </w:p>
        </w:tc>
      </w:tr>
      <w:tr w:rsidR="002E2A6E" w:rsidRPr="002E2A6E" w14:paraId="0D5476A6" w14:textId="77777777" w:rsidTr="002E2A6E">
        <w:trPr>
          <w:trHeight w:val="255"/>
        </w:trPr>
        <w:tc>
          <w:tcPr>
            <w:tcW w:w="2580" w:type="dxa"/>
            <w:tcBorders>
              <w:top w:val="nil"/>
              <w:left w:val="nil"/>
              <w:bottom w:val="nil"/>
              <w:right w:val="nil"/>
            </w:tcBorders>
            <w:shd w:val="clear" w:color="auto" w:fill="auto"/>
            <w:noWrap/>
            <w:vAlign w:val="bottom"/>
          </w:tcPr>
          <w:p w14:paraId="262B6E4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B315AF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8.4.10</w:t>
            </w:r>
          </w:p>
        </w:tc>
        <w:tc>
          <w:tcPr>
            <w:tcW w:w="5320" w:type="dxa"/>
            <w:tcBorders>
              <w:top w:val="nil"/>
              <w:left w:val="nil"/>
              <w:bottom w:val="nil"/>
              <w:right w:val="nil"/>
            </w:tcBorders>
            <w:shd w:val="clear" w:color="auto" w:fill="auto"/>
            <w:noWrap/>
            <w:vAlign w:val="bottom"/>
            <w:hideMark/>
          </w:tcPr>
          <w:p w14:paraId="5F7B03F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Visual measured rutting</w:t>
            </w:r>
          </w:p>
        </w:tc>
      </w:tr>
      <w:tr w:rsidR="002E2A6E" w:rsidRPr="002E2A6E" w14:paraId="473D1057" w14:textId="77777777" w:rsidTr="002E2A6E">
        <w:trPr>
          <w:trHeight w:val="255"/>
        </w:trPr>
        <w:tc>
          <w:tcPr>
            <w:tcW w:w="2580" w:type="dxa"/>
            <w:tcBorders>
              <w:top w:val="nil"/>
              <w:left w:val="nil"/>
              <w:bottom w:val="nil"/>
              <w:right w:val="nil"/>
            </w:tcBorders>
            <w:shd w:val="clear" w:color="auto" w:fill="auto"/>
            <w:noWrap/>
            <w:vAlign w:val="bottom"/>
            <w:hideMark/>
          </w:tcPr>
          <w:p w14:paraId="7C58763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 Cracking</w:t>
            </w:r>
          </w:p>
        </w:tc>
        <w:tc>
          <w:tcPr>
            <w:tcW w:w="1060" w:type="dxa"/>
            <w:tcBorders>
              <w:top w:val="nil"/>
              <w:left w:val="nil"/>
              <w:bottom w:val="nil"/>
              <w:right w:val="nil"/>
            </w:tcBorders>
            <w:shd w:val="clear" w:color="auto" w:fill="auto"/>
            <w:noWrap/>
            <w:vAlign w:val="bottom"/>
            <w:hideMark/>
          </w:tcPr>
          <w:p w14:paraId="68BB6FB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8.4.12</w:t>
            </w:r>
          </w:p>
        </w:tc>
        <w:tc>
          <w:tcPr>
            <w:tcW w:w="5320" w:type="dxa"/>
            <w:tcBorders>
              <w:top w:val="nil"/>
              <w:left w:val="nil"/>
              <w:bottom w:val="nil"/>
              <w:right w:val="nil"/>
            </w:tcBorders>
            <w:shd w:val="clear" w:color="auto" w:fill="auto"/>
            <w:noWrap/>
            <w:vAlign w:val="bottom"/>
            <w:hideMark/>
          </w:tcPr>
          <w:p w14:paraId="79B8F28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All cracking extent</w:t>
            </w:r>
          </w:p>
        </w:tc>
      </w:tr>
      <w:tr w:rsidR="002E2A6E" w:rsidRPr="002E2A6E" w14:paraId="5951582E" w14:textId="77777777" w:rsidTr="002E2A6E">
        <w:trPr>
          <w:trHeight w:val="255"/>
        </w:trPr>
        <w:tc>
          <w:tcPr>
            <w:tcW w:w="2580" w:type="dxa"/>
            <w:tcBorders>
              <w:top w:val="nil"/>
              <w:left w:val="nil"/>
              <w:bottom w:val="nil"/>
              <w:right w:val="nil"/>
            </w:tcBorders>
            <w:shd w:val="clear" w:color="auto" w:fill="auto"/>
            <w:noWrap/>
            <w:vAlign w:val="bottom"/>
          </w:tcPr>
          <w:p w14:paraId="0CA8B7A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F99E6D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8.4.20</w:t>
            </w:r>
          </w:p>
        </w:tc>
        <w:tc>
          <w:tcPr>
            <w:tcW w:w="5320" w:type="dxa"/>
            <w:tcBorders>
              <w:top w:val="nil"/>
              <w:left w:val="nil"/>
              <w:bottom w:val="nil"/>
              <w:right w:val="nil"/>
            </w:tcBorders>
            <w:shd w:val="clear" w:color="auto" w:fill="auto"/>
            <w:noWrap/>
            <w:vAlign w:val="bottom"/>
            <w:hideMark/>
          </w:tcPr>
          <w:p w14:paraId="0E39C54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Cracking survey date-time</w:t>
            </w:r>
          </w:p>
        </w:tc>
      </w:tr>
      <w:tr w:rsidR="002E2A6E" w:rsidRPr="002E2A6E" w14:paraId="5994E773" w14:textId="77777777" w:rsidTr="002E2A6E">
        <w:trPr>
          <w:trHeight w:val="255"/>
        </w:trPr>
        <w:tc>
          <w:tcPr>
            <w:tcW w:w="2580" w:type="dxa"/>
            <w:tcBorders>
              <w:top w:val="nil"/>
              <w:left w:val="nil"/>
              <w:bottom w:val="nil"/>
              <w:right w:val="nil"/>
            </w:tcBorders>
            <w:shd w:val="clear" w:color="auto" w:fill="auto"/>
            <w:noWrap/>
            <w:vAlign w:val="bottom"/>
            <w:hideMark/>
          </w:tcPr>
          <w:p w14:paraId="20B0C96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 Deflection</w:t>
            </w:r>
          </w:p>
        </w:tc>
        <w:tc>
          <w:tcPr>
            <w:tcW w:w="1060" w:type="dxa"/>
            <w:tcBorders>
              <w:top w:val="nil"/>
              <w:left w:val="nil"/>
              <w:bottom w:val="nil"/>
              <w:right w:val="nil"/>
            </w:tcBorders>
            <w:shd w:val="clear" w:color="auto" w:fill="auto"/>
            <w:noWrap/>
            <w:vAlign w:val="bottom"/>
            <w:hideMark/>
          </w:tcPr>
          <w:p w14:paraId="392C704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8.4.22</w:t>
            </w:r>
          </w:p>
        </w:tc>
        <w:tc>
          <w:tcPr>
            <w:tcW w:w="5320" w:type="dxa"/>
            <w:tcBorders>
              <w:top w:val="nil"/>
              <w:left w:val="nil"/>
              <w:bottom w:val="nil"/>
              <w:right w:val="nil"/>
            </w:tcBorders>
            <w:shd w:val="clear" w:color="auto" w:fill="auto"/>
            <w:noWrap/>
            <w:vAlign w:val="bottom"/>
            <w:hideMark/>
          </w:tcPr>
          <w:p w14:paraId="78DD370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Deflection testing vehicle</w:t>
            </w:r>
          </w:p>
        </w:tc>
      </w:tr>
      <w:tr w:rsidR="002E2A6E" w:rsidRPr="002E2A6E" w14:paraId="4FB2E298" w14:textId="77777777" w:rsidTr="002E2A6E">
        <w:trPr>
          <w:trHeight w:val="255"/>
        </w:trPr>
        <w:tc>
          <w:tcPr>
            <w:tcW w:w="2580" w:type="dxa"/>
            <w:tcBorders>
              <w:top w:val="nil"/>
              <w:left w:val="nil"/>
              <w:bottom w:val="nil"/>
              <w:right w:val="nil"/>
            </w:tcBorders>
            <w:shd w:val="clear" w:color="auto" w:fill="auto"/>
            <w:noWrap/>
            <w:vAlign w:val="bottom"/>
          </w:tcPr>
          <w:p w14:paraId="408013C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C845DF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8.4.23</w:t>
            </w:r>
          </w:p>
        </w:tc>
        <w:tc>
          <w:tcPr>
            <w:tcW w:w="5320" w:type="dxa"/>
            <w:tcBorders>
              <w:top w:val="nil"/>
              <w:left w:val="nil"/>
              <w:bottom w:val="nil"/>
              <w:right w:val="nil"/>
            </w:tcBorders>
            <w:shd w:val="clear" w:color="auto" w:fill="auto"/>
            <w:noWrap/>
            <w:vAlign w:val="bottom"/>
            <w:hideMark/>
          </w:tcPr>
          <w:p w14:paraId="4D1592F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deflection d0</w:t>
            </w:r>
          </w:p>
        </w:tc>
      </w:tr>
      <w:tr w:rsidR="002E2A6E" w:rsidRPr="002E2A6E" w14:paraId="514DE8AE" w14:textId="77777777" w:rsidTr="002E2A6E">
        <w:trPr>
          <w:trHeight w:val="255"/>
        </w:trPr>
        <w:tc>
          <w:tcPr>
            <w:tcW w:w="2580" w:type="dxa"/>
            <w:tcBorders>
              <w:top w:val="nil"/>
              <w:left w:val="nil"/>
              <w:bottom w:val="nil"/>
              <w:right w:val="nil"/>
            </w:tcBorders>
            <w:shd w:val="clear" w:color="auto" w:fill="auto"/>
            <w:noWrap/>
            <w:vAlign w:val="bottom"/>
          </w:tcPr>
          <w:p w14:paraId="1CABC02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3F7775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8.4.31</w:t>
            </w:r>
          </w:p>
        </w:tc>
        <w:tc>
          <w:tcPr>
            <w:tcW w:w="5320" w:type="dxa"/>
            <w:tcBorders>
              <w:top w:val="nil"/>
              <w:left w:val="nil"/>
              <w:bottom w:val="nil"/>
              <w:right w:val="nil"/>
            </w:tcBorders>
            <w:shd w:val="clear" w:color="auto" w:fill="auto"/>
            <w:noWrap/>
            <w:vAlign w:val="bottom"/>
            <w:hideMark/>
          </w:tcPr>
          <w:p w14:paraId="47A99F3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Deflection survey date-time</w:t>
            </w:r>
          </w:p>
        </w:tc>
      </w:tr>
      <w:tr w:rsidR="002E2A6E" w:rsidRPr="002E2A6E" w14:paraId="116A1569" w14:textId="77777777" w:rsidTr="002E2A6E">
        <w:trPr>
          <w:trHeight w:val="255"/>
        </w:trPr>
        <w:tc>
          <w:tcPr>
            <w:tcW w:w="2580" w:type="dxa"/>
            <w:tcBorders>
              <w:top w:val="nil"/>
              <w:left w:val="nil"/>
              <w:bottom w:val="nil"/>
              <w:right w:val="nil"/>
            </w:tcBorders>
            <w:shd w:val="clear" w:color="auto" w:fill="auto"/>
            <w:noWrap/>
            <w:vAlign w:val="bottom"/>
            <w:hideMark/>
          </w:tcPr>
          <w:p w14:paraId="34E4440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 Roughness</w:t>
            </w:r>
          </w:p>
        </w:tc>
        <w:tc>
          <w:tcPr>
            <w:tcW w:w="1060" w:type="dxa"/>
            <w:tcBorders>
              <w:top w:val="nil"/>
              <w:left w:val="nil"/>
              <w:bottom w:val="nil"/>
              <w:right w:val="nil"/>
            </w:tcBorders>
            <w:shd w:val="clear" w:color="auto" w:fill="auto"/>
            <w:noWrap/>
            <w:vAlign w:val="bottom"/>
            <w:hideMark/>
          </w:tcPr>
          <w:p w14:paraId="3412EB8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8.4.33</w:t>
            </w:r>
          </w:p>
        </w:tc>
        <w:tc>
          <w:tcPr>
            <w:tcW w:w="5320" w:type="dxa"/>
            <w:tcBorders>
              <w:top w:val="nil"/>
              <w:left w:val="nil"/>
              <w:bottom w:val="nil"/>
              <w:right w:val="nil"/>
            </w:tcBorders>
            <w:shd w:val="clear" w:color="auto" w:fill="auto"/>
            <w:noWrap/>
            <w:vAlign w:val="bottom"/>
            <w:hideMark/>
          </w:tcPr>
          <w:p w14:paraId="54E2873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Lane roughness quarter car</w:t>
            </w:r>
          </w:p>
        </w:tc>
      </w:tr>
      <w:tr w:rsidR="002E2A6E" w:rsidRPr="002E2A6E" w14:paraId="5CC6A317" w14:textId="77777777" w:rsidTr="002E2A6E">
        <w:trPr>
          <w:trHeight w:val="255"/>
        </w:trPr>
        <w:tc>
          <w:tcPr>
            <w:tcW w:w="2580" w:type="dxa"/>
            <w:tcBorders>
              <w:top w:val="nil"/>
              <w:left w:val="nil"/>
              <w:bottom w:val="nil"/>
              <w:right w:val="nil"/>
            </w:tcBorders>
            <w:shd w:val="clear" w:color="auto" w:fill="auto"/>
            <w:noWrap/>
            <w:vAlign w:val="bottom"/>
          </w:tcPr>
          <w:p w14:paraId="2DC41B1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750E35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8.4.34</w:t>
            </w:r>
          </w:p>
        </w:tc>
        <w:tc>
          <w:tcPr>
            <w:tcW w:w="5320" w:type="dxa"/>
            <w:tcBorders>
              <w:top w:val="nil"/>
              <w:left w:val="nil"/>
              <w:bottom w:val="nil"/>
              <w:right w:val="nil"/>
            </w:tcBorders>
            <w:shd w:val="clear" w:color="auto" w:fill="auto"/>
            <w:noWrap/>
            <w:vAlign w:val="bottom"/>
            <w:hideMark/>
          </w:tcPr>
          <w:p w14:paraId="552DE56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Inner wheel path roughness</w:t>
            </w:r>
          </w:p>
        </w:tc>
      </w:tr>
      <w:tr w:rsidR="002E2A6E" w:rsidRPr="002E2A6E" w14:paraId="6F392CC1" w14:textId="77777777" w:rsidTr="002E2A6E">
        <w:trPr>
          <w:trHeight w:val="255"/>
        </w:trPr>
        <w:tc>
          <w:tcPr>
            <w:tcW w:w="2580" w:type="dxa"/>
            <w:tcBorders>
              <w:top w:val="nil"/>
              <w:left w:val="nil"/>
              <w:bottom w:val="nil"/>
              <w:right w:val="nil"/>
            </w:tcBorders>
            <w:shd w:val="clear" w:color="auto" w:fill="auto"/>
            <w:noWrap/>
            <w:vAlign w:val="bottom"/>
          </w:tcPr>
          <w:p w14:paraId="4B6BA12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7B12B31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8.4.35</w:t>
            </w:r>
          </w:p>
        </w:tc>
        <w:tc>
          <w:tcPr>
            <w:tcW w:w="5320" w:type="dxa"/>
            <w:tcBorders>
              <w:top w:val="nil"/>
              <w:left w:val="nil"/>
              <w:bottom w:val="nil"/>
              <w:right w:val="nil"/>
            </w:tcBorders>
            <w:shd w:val="clear" w:color="auto" w:fill="auto"/>
            <w:noWrap/>
            <w:vAlign w:val="bottom"/>
            <w:hideMark/>
          </w:tcPr>
          <w:p w14:paraId="176DED6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Outer wheel path roughness</w:t>
            </w:r>
          </w:p>
        </w:tc>
      </w:tr>
      <w:tr w:rsidR="002E2A6E" w:rsidRPr="002E2A6E" w14:paraId="216046FE" w14:textId="77777777" w:rsidTr="002E2A6E">
        <w:trPr>
          <w:trHeight w:val="255"/>
        </w:trPr>
        <w:tc>
          <w:tcPr>
            <w:tcW w:w="2580" w:type="dxa"/>
            <w:tcBorders>
              <w:top w:val="nil"/>
              <w:left w:val="nil"/>
              <w:bottom w:val="nil"/>
              <w:right w:val="nil"/>
            </w:tcBorders>
            <w:shd w:val="clear" w:color="auto" w:fill="auto"/>
            <w:noWrap/>
            <w:vAlign w:val="bottom"/>
          </w:tcPr>
          <w:p w14:paraId="7F76EBF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04816C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8.4.36</w:t>
            </w:r>
          </w:p>
        </w:tc>
        <w:tc>
          <w:tcPr>
            <w:tcW w:w="5320" w:type="dxa"/>
            <w:tcBorders>
              <w:top w:val="nil"/>
              <w:left w:val="nil"/>
              <w:bottom w:val="nil"/>
              <w:right w:val="nil"/>
            </w:tcBorders>
            <w:shd w:val="clear" w:color="auto" w:fill="auto"/>
            <w:noWrap/>
            <w:vAlign w:val="bottom"/>
            <w:hideMark/>
          </w:tcPr>
          <w:p w14:paraId="389E063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Roughness survey date-time</w:t>
            </w:r>
          </w:p>
        </w:tc>
      </w:tr>
      <w:tr w:rsidR="002E2A6E" w:rsidRPr="002E2A6E" w14:paraId="48489730" w14:textId="77777777" w:rsidTr="002E2A6E">
        <w:trPr>
          <w:trHeight w:val="255"/>
        </w:trPr>
        <w:tc>
          <w:tcPr>
            <w:tcW w:w="2580" w:type="dxa"/>
            <w:tcBorders>
              <w:top w:val="nil"/>
              <w:left w:val="nil"/>
              <w:bottom w:val="nil"/>
              <w:right w:val="nil"/>
            </w:tcBorders>
            <w:shd w:val="clear" w:color="auto" w:fill="auto"/>
            <w:noWrap/>
            <w:vAlign w:val="bottom"/>
            <w:hideMark/>
          </w:tcPr>
          <w:p w14:paraId="059032C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 Rutting</w:t>
            </w:r>
          </w:p>
        </w:tc>
        <w:tc>
          <w:tcPr>
            <w:tcW w:w="1060" w:type="dxa"/>
            <w:tcBorders>
              <w:top w:val="nil"/>
              <w:left w:val="nil"/>
              <w:bottom w:val="nil"/>
              <w:right w:val="nil"/>
            </w:tcBorders>
            <w:shd w:val="clear" w:color="auto" w:fill="auto"/>
            <w:noWrap/>
            <w:vAlign w:val="bottom"/>
            <w:hideMark/>
          </w:tcPr>
          <w:p w14:paraId="07F9A29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8.4.39</w:t>
            </w:r>
          </w:p>
        </w:tc>
        <w:tc>
          <w:tcPr>
            <w:tcW w:w="5320" w:type="dxa"/>
            <w:tcBorders>
              <w:top w:val="nil"/>
              <w:left w:val="nil"/>
              <w:bottom w:val="nil"/>
              <w:right w:val="nil"/>
            </w:tcBorders>
            <w:shd w:val="clear" w:color="auto" w:fill="auto"/>
            <w:noWrap/>
            <w:vAlign w:val="bottom"/>
            <w:hideMark/>
          </w:tcPr>
          <w:p w14:paraId="0EE0271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Rut depth inner</w:t>
            </w:r>
          </w:p>
        </w:tc>
      </w:tr>
      <w:tr w:rsidR="002E2A6E" w:rsidRPr="002E2A6E" w14:paraId="08F9F728" w14:textId="77777777" w:rsidTr="002E2A6E">
        <w:trPr>
          <w:trHeight w:val="255"/>
        </w:trPr>
        <w:tc>
          <w:tcPr>
            <w:tcW w:w="2580" w:type="dxa"/>
            <w:tcBorders>
              <w:top w:val="nil"/>
              <w:left w:val="nil"/>
              <w:bottom w:val="nil"/>
              <w:right w:val="nil"/>
            </w:tcBorders>
            <w:shd w:val="clear" w:color="auto" w:fill="auto"/>
            <w:noWrap/>
            <w:vAlign w:val="bottom"/>
          </w:tcPr>
          <w:p w14:paraId="23DCF39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E7AAC7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8.4.50</w:t>
            </w:r>
          </w:p>
        </w:tc>
        <w:tc>
          <w:tcPr>
            <w:tcW w:w="5320" w:type="dxa"/>
            <w:tcBorders>
              <w:top w:val="nil"/>
              <w:left w:val="nil"/>
              <w:bottom w:val="nil"/>
              <w:right w:val="nil"/>
            </w:tcBorders>
            <w:shd w:val="clear" w:color="auto" w:fill="auto"/>
            <w:noWrap/>
            <w:vAlign w:val="bottom"/>
            <w:hideMark/>
          </w:tcPr>
          <w:p w14:paraId="7336662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Rut depth outer</w:t>
            </w:r>
          </w:p>
        </w:tc>
      </w:tr>
      <w:tr w:rsidR="002E2A6E" w:rsidRPr="002E2A6E" w14:paraId="33781DDB" w14:textId="77777777" w:rsidTr="002E2A6E">
        <w:trPr>
          <w:trHeight w:val="255"/>
        </w:trPr>
        <w:tc>
          <w:tcPr>
            <w:tcW w:w="2580" w:type="dxa"/>
            <w:tcBorders>
              <w:top w:val="nil"/>
              <w:left w:val="nil"/>
              <w:bottom w:val="nil"/>
              <w:right w:val="nil"/>
            </w:tcBorders>
            <w:shd w:val="clear" w:color="auto" w:fill="auto"/>
            <w:noWrap/>
            <w:vAlign w:val="bottom"/>
          </w:tcPr>
          <w:p w14:paraId="788B7F4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A9F17D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8.4.61</w:t>
            </w:r>
          </w:p>
        </w:tc>
        <w:tc>
          <w:tcPr>
            <w:tcW w:w="5320" w:type="dxa"/>
            <w:tcBorders>
              <w:top w:val="nil"/>
              <w:left w:val="nil"/>
              <w:bottom w:val="nil"/>
              <w:right w:val="nil"/>
            </w:tcBorders>
            <w:shd w:val="clear" w:color="auto" w:fill="auto"/>
            <w:noWrap/>
            <w:vAlign w:val="bottom"/>
            <w:hideMark/>
          </w:tcPr>
          <w:p w14:paraId="64628AE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Rutting survey date-time</w:t>
            </w:r>
          </w:p>
        </w:tc>
      </w:tr>
      <w:tr w:rsidR="002E2A6E" w:rsidRPr="002E2A6E" w14:paraId="32C113B2" w14:textId="77777777" w:rsidTr="002E2A6E">
        <w:trPr>
          <w:trHeight w:val="255"/>
        </w:trPr>
        <w:tc>
          <w:tcPr>
            <w:tcW w:w="2580" w:type="dxa"/>
            <w:tcBorders>
              <w:top w:val="nil"/>
              <w:left w:val="nil"/>
              <w:bottom w:val="nil"/>
              <w:right w:val="nil"/>
            </w:tcBorders>
            <w:shd w:val="clear" w:color="auto" w:fill="auto"/>
            <w:noWrap/>
            <w:vAlign w:val="bottom"/>
            <w:hideMark/>
          </w:tcPr>
          <w:p w14:paraId="221E352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Surface - Texture</w:t>
            </w:r>
          </w:p>
        </w:tc>
        <w:tc>
          <w:tcPr>
            <w:tcW w:w="1060" w:type="dxa"/>
            <w:tcBorders>
              <w:top w:val="nil"/>
              <w:left w:val="nil"/>
              <w:bottom w:val="nil"/>
              <w:right w:val="nil"/>
            </w:tcBorders>
            <w:shd w:val="clear" w:color="auto" w:fill="auto"/>
            <w:noWrap/>
            <w:vAlign w:val="bottom"/>
            <w:hideMark/>
          </w:tcPr>
          <w:p w14:paraId="7BE9BD6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8.4.74</w:t>
            </w:r>
          </w:p>
        </w:tc>
        <w:tc>
          <w:tcPr>
            <w:tcW w:w="5320" w:type="dxa"/>
            <w:tcBorders>
              <w:top w:val="nil"/>
              <w:left w:val="nil"/>
              <w:bottom w:val="nil"/>
              <w:right w:val="nil"/>
            </w:tcBorders>
            <w:shd w:val="clear" w:color="auto" w:fill="auto"/>
            <w:noWrap/>
            <w:vAlign w:val="bottom"/>
            <w:hideMark/>
          </w:tcPr>
          <w:p w14:paraId="511521D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roofErr w:type="spellStart"/>
            <w:r w:rsidRPr="002E2A6E">
              <w:rPr>
                <w:rFonts w:ascii="Calibri" w:eastAsia="Times New Roman" w:hAnsi="Calibri" w:cs="Times New Roman"/>
                <w:color w:val="000000"/>
                <w:sz w:val="20"/>
                <w:szCs w:val="20"/>
                <w:lang w:eastAsia="en-AU"/>
              </w:rPr>
              <w:t>MPD</w:t>
            </w:r>
            <w:proofErr w:type="spellEnd"/>
            <w:r w:rsidRPr="002E2A6E">
              <w:rPr>
                <w:rFonts w:ascii="Calibri" w:eastAsia="Times New Roman" w:hAnsi="Calibri" w:cs="Times New Roman"/>
                <w:color w:val="000000"/>
                <w:sz w:val="20"/>
                <w:szCs w:val="20"/>
                <w:lang w:eastAsia="en-AU"/>
              </w:rPr>
              <w:t xml:space="preserve"> Pavement texture inner wheel path</w:t>
            </w:r>
          </w:p>
        </w:tc>
      </w:tr>
      <w:tr w:rsidR="002E2A6E" w:rsidRPr="002E2A6E" w14:paraId="76D38C5F" w14:textId="77777777" w:rsidTr="002E2A6E">
        <w:trPr>
          <w:trHeight w:val="255"/>
        </w:trPr>
        <w:tc>
          <w:tcPr>
            <w:tcW w:w="2580" w:type="dxa"/>
            <w:tcBorders>
              <w:top w:val="nil"/>
              <w:left w:val="nil"/>
              <w:bottom w:val="nil"/>
              <w:right w:val="nil"/>
            </w:tcBorders>
            <w:shd w:val="clear" w:color="auto" w:fill="auto"/>
            <w:noWrap/>
            <w:vAlign w:val="bottom"/>
          </w:tcPr>
          <w:p w14:paraId="341D698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766666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8.4.75</w:t>
            </w:r>
          </w:p>
        </w:tc>
        <w:tc>
          <w:tcPr>
            <w:tcW w:w="5320" w:type="dxa"/>
            <w:tcBorders>
              <w:top w:val="nil"/>
              <w:left w:val="nil"/>
              <w:bottom w:val="nil"/>
              <w:right w:val="nil"/>
            </w:tcBorders>
            <w:shd w:val="clear" w:color="auto" w:fill="auto"/>
            <w:noWrap/>
            <w:vAlign w:val="bottom"/>
            <w:hideMark/>
          </w:tcPr>
          <w:p w14:paraId="5E72D7F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roofErr w:type="spellStart"/>
            <w:r w:rsidRPr="002E2A6E">
              <w:rPr>
                <w:rFonts w:ascii="Calibri" w:eastAsia="Times New Roman" w:hAnsi="Calibri" w:cs="Times New Roman"/>
                <w:color w:val="000000"/>
                <w:sz w:val="20"/>
                <w:szCs w:val="20"/>
                <w:lang w:eastAsia="en-AU"/>
              </w:rPr>
              <w:t>MPD</w:t>
            </w:r>
            <w:proofErr w:type="spellEnd"/>
            <w:r w:rsidRPr="002E2A6E">
              <w:rPr>
                <w:rFonts w:ascii="Calibri" w:eastAsia="Times New Roman" w:hAnsi="Calibri" w:cs="Times New Roman"/>
                <w:color w:val="000000"/>
                <w:sz w:val="20"/>
                <w:szCs w:val="20"/>
                <w:lang w:eastAsia="en-AU"/>
              </w:rPr>
              <w:t xml:space="preserve"> Pavement texture outer wheel path</w:t>
            </w:r>
          </w:p>
        </w:tc>
      </w:tr>
      <w:tr w:rsidR="002E2A6E" w:rsidRPr="002E2A6E" w14:paraId="70F2FED8" w14:textId="77777777" w:rsidTr="002E2A6E">
        <w:trPr>
          <w:trHeight w:val="255"/>
        </w:trPr>
        <w:tc>
          <w:tcPr>
            <w:tcW w:w="2580" w:type="dxa"/>
            <w:tcBorders>
              <w:top w:val="nil"/>
              <w:left w:val="nil"/>
              <w:bottom w:val="nil"/>
              <w:right w:val="nil"/>
            </w:tcBorders>
            <w:shd w:val="clear" w:color="auto" w:fill="auto"/>
            <w:noWrap/>
            <w:vAlign w:val="bottom"/>
          </w:tcPr>
          <w:p w14:paraId="2CBD057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A87378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8.4.76</w:t>
            </w:r>
          </w:p>
        </w:tc>
        <w:tc>
          <w:tcPr>
            <w:tcW w:w="5320" w:type="dxa"/>
            <w:tcBorders>
              <w:top w:val="nil"/>
              <w:left w:val="nil"/>
              <w:bottom w:val="nil"/>
              <w:right w:val="nil"/>
            </w:tcBorders>
            <w:shd w:val="clear" w:color="auto" w:fill="auto"/>
            <w:noWrap/>
            <w:vAlign w:val="bottom"/>
            <w:hideMark/>
          </w:tcPr>
          <w:p w14:paraId="606A816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roofErr w:type="spellStart"/>
            <w:r w:rsidRPr="002E2A6E">
              <w:rPr>
                <w:rFonts w:ascii="Calibri" w:eastAsia="Times New Roman" w:hAnsi="Calibri" w:cs="Times New Roman"/>
                <w:color w:val="000000"/>
                <w:sz w:val="20"/>
                <w:szCs w:val="20"/>
                <w:lang w:eastAsia="en-AU"/>
              </w:rPr>
              <w:t>MPD</w:t>
            </w:r>
            <w:proofErr w:type="spellEnd"/>
            <w:r w:rsidRPr="002E2A6E">
              <w:rPr>
                <w:rFonts w:ascii="Calibri" w:eastAsia="Times New Roman" w:hAnsi="Calibri" w:cs="Times New Roman"/>
                <w:color w:val="000000"/>
                <w:sz w:val="20"/>
                <w:szCs w:val="20"/>
                <w:lang w:eastAsia="en-AU"/>
              </w:rPr>
              <w:t xml:space="preserve"> Pavement texture between wheel path</w:t>
            </w:r>
          </w:p>
        </w:tc>
      </w:tr>
      <w:tr w:rsidR="002E2A6E" w:rsidRPr="002E2A6E" w14:paraId="2600947E" w14:textId="77777777" w:rsidTr="002E2A6E">
        <w:trPr>
          <w:trHeight w:val="255"/>
        </w:trPr>
        <w:tc>
          <w:tcPr>
            <w:tcW w:w="2580" w:type="dxa"/>
            <w:tcBorders>
              <w:top w:val="nil"/>
              <w:left w:val="nil"/>
              <w:bottom w:val="nil"/>
              <w:right w:val="nil"/>
            </w:tcBorders>
            <w:shd w:val="clear" w:color="auto" w:fill="auto"/>
            <w:noWrap/>
            <w:vAlign w:val="bottom"/>
          </w:tcPr>
          <w:p w14:paraId="352787A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488CBE3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8.4.77</w:t>
            </w:r>
          </w:p>
        </w:tc>
        <w:tc>
          <w:tcPr>
            <w:tcW w:w="5320" w:type="dxa"/>
            <w:tcBorders>
              <w:top w:val="nil"/>
              <w:left w:val="nil"/>
              <w:bottom w:val="nil"/>
              <w:right w:val="nil"/>
            </w:tcBorders>
            <w:shd w:val="clear" w:color="auto" w:fill="auto"/>
            <w:noWrap/>
            <w:vAlign w:val="bottom"/>
            <w:hideMark/>
          </w:tcPr>
          <w:p w14:paraId="5A69C03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Texture survey date-time</w:t>
            </w:r>
          </w:p>
        </w:tc>
      </w:tr>
      <w:tr w:rsidR="002E2A6E" w:rsidRPr="002E2A6E" w14:paraId="5B523A25" w14:textId="77777777" w:rsidTr="002E2A6E">
        <w:trPr>
          <w:trHeight w:val="255"/>
        </w:trPr>
        <w:tc>
          <w:tcPr>
            <w:tcW w:w="2580" w:type="dxa"/>
            <w:tcBorders>
              <w:top w:val="nil"/>
              <w:left w:val="nil"/>
              <w:bottom w:val="nil"/>
              <w:right w:val="nil"/>
            </w:tcBorders>
            <w:shd w:val="clear" w:color="auto" w:fill="auto"/>
            <w:noWrap/>
            <w:vAlign w:val="bottom"/>
            <w:hideMark/>
          </w:tcPr>
          <w:p w14:paraId="7F4D5F5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Bridge</w:t>
            </w:r>
          </w:p>
        </w:tc>
        <w:tc>
          <w:tcPr>
            <w:tcW w:w="1060" w:type="dxa"/>
            <w:tcBorders>
              <w:top w:val="nil"/>
              <w:left w:val="nil"/>
              <w:bottom w:val="nil"/>
              <w:right w:val="nil"/>
            </w:tcBorders>
            <w:shd w:val="clear" w:color="auto" w:fill="auto"/>
            <w:noWrap/>
            <w:vAlign w:val="bottom"/>
            <w:hideMark/>
          </w:tcPr>
          <w:p w14:paraId="564E937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8.4.79</w:t>
            </w:r>
          </w:p>
        </w:tc>
        <w:tc>
          <w:tcPr>
            <w:tcW w:w="5320" w:type="dxa"/>
            <w:tcBorders>
              <w:top w:val="nil"/>
              <w:left w:val="nil"/>
              <w:bottom w:val="nil"/>
              <w:right w:val="nil"/>
            </w:tcBorders>
            <w:shd w:val="clear" w:color="auto" w:fill="auto"/>
            <w:noWrap/>
            <w:vAlign w:val="bottom"/>
            <w:hideMark/>
          </w:tcPr>
          <w:p w14:paraId="1F7B615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Bridge </w:t>
            </w:r>
            <w:proofErr w:type="spellStart"/>
            <w:r w:rsidRPr="002E2A6E">
              <w:rPr>
                <w:rFonts w:ascii="Calibri" w:eastAsia="Times New Roman" w:hAnsi="Calibri" w:cs="Times New Roman"/>
                <w:color w:val="000000"/>
                <w:sz w:val="20"/>
                <w:szCs w:val="20"/>
                <w:lang w:eastAsia="en-AU"/>
              </w:rPr>
              <w:t>conditIon</w:t>
            </w:r>
            <w:proofErr w:type="spellEnd"/>
            <w:r w:rsidRPr="002E2A6E">
              <w:rPr>
                <w:rFonts w:ascii="Calibri" w:eastAsia="Times New Roman" w:hAnsi="Calibri" w:cs="Times New Roman"/>
                <w:color w:val="000000"/>
                <w:sz w:val="20"/>
                <w:szCs w:val="20"/>
                <w:lang w:eastAsia="en-AU"/>
              </w:rPr>
              <w:t xml:space="preserve"> state 1</w:t>
            </w:r>
          </w:p>
        </w:tc>
      </w:tr>
      <w:tr w:rsidR="002E2A6E" w:rsidRPr="002E2A6E" w14:paraId="122F3956" w14:textId="77777777" w:rsidTr="002E2A6E">
        <w:trPr>
          <w:trHeight w:val="255"/>
        </w:trPr>
        <w:tc>
          <w:tcPr>
            <w:tcW w:w="2580" w:type="dxa"/>
            <w:tcBorders>
              <w:top w:val="nil"/>
              <w:left w:val="nil"/>
              <w:bottom w:val="nil"/>
              <w:right w:val="nil"/>
            </w:tcBorders>
            <w:shd w:val="clear" w:color="auto" w:fill="auto"/>
            <w:noWrap/>
            <w:vAlign w:val="bottom"/>
          </w:tcPr>
          <w:p w14:paraId="7C8D7AB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AAA10E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8.4.80</w:t>
            </w:r>
          </w:p>
        </w:tc>
        <w:tc>
          <w:tcPr>
            <w:tcW w:w="5320" w:type="dxa"/>
            <w:tcBorders>
              <w:top w:val="nil"/>
              <w:left w:val="nil"/>
              <w:bottom w:val="nil"/>
              <w:right w:val="nil"/>
            </w:tcBorders>
            <w:shd w:val="clear" w:color="auto" w:fill="auto"/>
            <w:noWrap/>
            <w:vAlign w:val="bottom"/>
            <w:hideMark/>
          </w:tcPr>
          <w:p w14:paraId="4956636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Bridge </w:t>
            </w:r>
            <w:proofErr w:type="spellStart"/>
            <w:r w:rsidRPr="002E2A6E">
              <w:rPr>
                <w:rFonts w:ascii="Calibri" w:eastAsia="Times New Roman" w:hAnsi="Calibri" w:cs="Times New Roman"/>
                <w:color w:val="000000"/>
                <w:sz w:val="20"/>
                <w:szCs w:val="20"/>
                <w:lang w:eastAsia="en-AU"/>
              </w:rPr>
              <w:t>conditIon</w:t>
            </w:r>
            <w:proofErr w:type="spellEnd"/>
            <w:r w:rsidRPr="002E2A6E">
              <w:rPr>
                <w:rFonts w:ascii="Calibri" w:eastAsia="Times New Roman" w:hAnsi="Calibri" w:cs="Times New Roman"/>
                <w:color w:val="000000"/>
                <w:sz w:val="20"/>
                <w:szCs w:val="20"/>
                <w:lang w:eastAsia="en-AU"/>
              </w:rPr>
              <w:t xml:space="preserve"> state 2</w:t>
            </w:r>
          </w:p>
        </w:tc>
      </w:tr>
      <w:tr w:rsidR="002E2A6E" w:rsidRPr="002E2A6E" w14:paraId="622B40D9" w14:textId="77777777" w:rsidTr="002E2A6E">
        <w:trPr>
          <w:trHeight w:val="255"/>
        </w:trPr>
        <w:tc>
          <w:tcPr>
            <w:tcW w:w="2580" w:type="dxa"/>
            <w:tcBorders>
              <w:top w:val="nil"/>
              <w:left w:val="nil"/>
              <w:bottom w:val="nil"/>
              <w:right w:val="nil"/>
            </w:tcBorders>
            <w:shd w:val="clear" w:color="auto" w:fill="auto"/>
            <w:noWrap/>
            <w:vAlign w:val="bottom"/>
          </w:tcPr>
          <w:p w14:paraId="38B75B7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D3C485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8.4.81</w:t>
            </w:r>
          </w:p>
        </w:tc>
        <w:tc>
          <w:tcPr>
            <w:tcW w:w="5320" w:type="dxa"/>
            <w:tcBorders>
              <w:top w:val="nil"/>
              <w:left w:val="nil"/>
              <w:bottom w:val="nil"/>
              <w:right w:val="nil"/>
            </w:tcBorders>
            <w:shd w:val="clear" w:color="auto" w:fill="auto"/>
            <w:noWrap/>
            <w:vAlign w:val="bottom"/>
            <w:hideMark/>
          </w:tcPr>
          <w:p w14:paraId="3CB0B56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Bridge </w:t>
            </w:r>
            <w:proofErr w:type="spellStart"/>
            <w:r w:rsidRPr="002E2A6E">
              <w:rPr>
                <w:rFonts w:ascii="Calibri" w:eastAsia="Times New Roman" w:hAnsi="Calibri" w:cs="Times New Roman"/>
                <w:color w:val="000000"/>
                <w:sz w:val="20"/>
                <w:szCs w:val="20"/>
                <w:lang w:eastAsia="en-AU"/>
              </w:rPr>
              <w:t>conditIon</w:t>
            </w:r>
            <w:proofErr w:type="spellEnd"/>
            <w:r w:rsidRPr="002E2A6E">
              <w:rPr>
                <w:rFonts w:ascii="Calibri" w:eastAsia="Times New Roman" w:hAnsi="Calibri" w:cs="Times New Roman"/>
                <w:color w:val="000000"/>
                <w:sz w:val="20"/>
                <w:szCs w:val="20"/>
                <w:lang w:eastAsia="en-AU"/>
              </w:rPr>
              <w:t xml:space="preserve"> state 3</w:t>
            </w:r>
          </w:p>
        </w:tc>
      </w:tr>
      <w:tr w:rsidR="002E2A6E" w:rsidRPr="002E2A6E" w14:paraId="7ED3DCB7" w14:textId="77777777" w:rsidTr="002E2A6E">
        <w:trPr>
          <w:trHeight w:val="255"/>
        </w:trPr>
        <w:tc>
          <w:tcPr>
            <w:tcW w:w="2580" w:type="dxa"/>
            <w:tcBorders>
              <w:top w:val="nil"/>
              <w:left w:val="nil"/>
              <w:bottom w:val="nil"/>
              <w:right w:val="nil"/>
            </w:tcBorders>
            <w:shd w:val="clear" w:color="auto" w:fill="auto"/>
            <w:noWrap/>
            <w:vAlign w:val="bottom"/>
          </w:tcPr>
          <w:p w14:paraId="3063B34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7BE17A9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8.4.82</w:t>
            </w:r>
          </w:p>
        </w:tc>
        <w:tc>
          <w:tcPr>
            <w:tcW w:w="5320" w:type="dxa"/>
            <w:tcBorders>
              <w:top w:val="nil"/>
              <w:left w:val="nil"/>
              <w:bottom w:val="nil"/>
              <w:right w:val="nil"/>
            </w:tcBorders>
            <w:shd w:val="clear" w:color="auto" w:fill="auto"/>
            <w:noWrap/>
            <w:vAlign w:val="bottom"/>
            <w:hideMark/>
          </w:tcPr>
          <w:p w14:paraId="1428DDD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Bridge </w:t>
            </w:r>
            <w:proofErr w:type="spellStart"/>
            <w:r w:rsidRPr="002E2A6E">
              <w:rPr>
                <w:rFonts w:ascii="Calibri" w:eastAsia="Times New Roman" w:hAnsi="Calibri" w:cs="Times New Roman"/>
                <w:color w:val="000000"/>
                <w:sz w:val="20"/>
                <w:szCs w:val="20"/>
                <w:lang w:eastAsia="en-AU"/>
              </w:rPr>
              <w:t>conditIon</w:t>
            </w:r>
            <w:proofErr w:type="spellEnd"/>
            <w:r w:rsidRPr="002E2A6E">
              <w:rPr>
                <w:rFonts w:ascii="Calibri" w:eastAsia="Times New Roman" w:hAnsi="Calibri" w:cs="Times New Roman"/>
                <w:color w:val="000000"/>
                <w:sz w:val="20"/>
                <w:szCs w:val="20"/>
                <w:lang w:eastAsia="en-AU"/>
              </w:rPr>
              <w:t xml:space="preserve"> state 4</w:t>
            </w:r>
          </w:p>
        </w:tc>
      </w:tr>
      <w:tr w:rsidR="002E2A6E" w:rsidRPr="002E2A6E" w14:paraId="7076DB26" w14:textId="77777777" w:rsidTr="002E2A6E">
        <w:trPr>
          <w:trHeight w:val="255"/>
        </w:trPr>
        <w:tc>
          <w:tcPr>
            <w:tcW w:w="2580" w:type="dxa"/>
            <w:tcBorders>
              <w:top w:val="nil"/>
              <w:left w:val="nil"/>
              <w:bottom w:val="nil"/>
              <w:right w:val="nil"/>
            </w:tcBorders>
            <w:shd w:val="clear" w:color="auto" w:fill="auto"/>
            <w:noWrap/>
            <w:vAlign w:val="bottom"/>
          </w:tcPr>
          <w:p w14:paraId="20C7679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CDE09A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8.4.83</w:t>
            </w:r>
          </w:p>
        </w:tc>
        <w:tc>
          <w:tcPr>
            <w:tcW w:w="5320" w:type="dxa"/>
            <w:tcBorders>
              <w:top w:val="nil"/>
              <w:left w:val="nil"/>
              <w:bottom w:val="nil"/>
              <w:right w:val="nil"/>
            </w:tcBorders>
            <w:shd w:val="clear" w:color="auto" w:fill="auto"/>
            <w:noWrap/>
            <w:vAlign w:val="bottom"/>
            <w:hideMark/>
          </w:tcPr>
          <w:p w14:paraId="0D25714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Bridge </w:t>
            </w:r>
            <w:proofErr w:type="spellStart"/>
            <w:r w:rsidRPr="002E2A6E">
              <w:rPr>
                <w:rFonts w:ascii="Calibri" w:eastAsia="Times New Roman" w:hAnsi="Calibri" w:cs="Times New Roman"/>
                <w:color w:val="000000"/>
                <w:sz w:val="20"/>
                <w:szCs w:val="20"/>
                <w:lang w:eastAsia="en-AU"/>
              </w:rPr>
              <w:t>conditIon</w:t>
            </w:r>
            <w:proofErr w:type="spellEnd"/>
            <w:r w:rsidRPr="002E2A6E">
              <w:rPr>
                <w:rFonts w:ascii="Calibri" w:eastAsia="Times New Roman" w:hAnsi="Calibri" w:cs="Times New Roman"/>
                <w:color w:val="000000"/>
                <w:sz w:val="20"/>
                <w:szCs w:val="20"/>
                <w:lang w:eastAsia="en-AU"/>
              </w:rPr>
              <w:t xml:space="preserve"> state overall</w:t>
            </w:r>
          </w:p>
        </w:tc>
      </w:tr>
      <w:tr w:rsidR="002E2A6E" w:rsidRPr="002E2A6E" w14:paraId="3C8160C5" w14:textId="77777777" w:rsidTr="002E2A6E">
        <w:trPr>
          <w:trHeight w:val="255"/>
        </w:trPr>
        <w:tc>
          <w:tcPr>
            <w:tcW w:w="2580" w:type="dxa"/>
            <w:tcBorders>
              <w:top w:val="nil"/>
              <w:left w:val="nil"/>
              <w:bottom w:val="nil"/>
              <w:right w:val="nil"/>
            </w:tcBorders>
            <w:shd w:val="clear" w:color="auto" w:fill="auto"/>
            <w:noWrap/>
            <w:vAlign w:val="bottom"/>
          </w:tcPr>
          <w:p w14:paraId="1AC2296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25BB442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8.4.84</w:t>
            </w:r>
          </w:p>
        </w:tc>
        <w:tc>
          <w:tcPr>
            <w:tcW w:w="5320" w:type="dxa"/>
            <w:tcBorders>
              <w:top w:val="nil"/>
              <w:left w:val="nil"/>
              <w:bottom w:val="nil"/>
              <w:right w:val="nil"/>
            </w:tcBorders>
            <w:shd w:val="clear" w:color="auto" w:fill="auto"/>
            <w:noWrap/>
            <w:vAlign w:val="bottom"/>
            <w:hideMark/>
          </w:tcPr>
          <w:p w14:paraId="1C31C5E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Bridge survey date-time</w:t>
            </w:r>
          </w:p>
        </w:tc>
      </w:tr>
      <w:tr w:rsidR="002E2A6E" w:rsidRPr="002E2A6E" w14:paraId="74A559CA" w14:textId="77777777" w:rsidTr="002E2A6E">
        <w:trPr>
          <w:trHeight w:val="255"/>
        </w:trPr>
        <w:tc>
          <w:tcPr>
            <w:tcW w:w="2580" w:type="dxa"/>
            <w:tcBorders>
              <w:top w:val="nil"/>
              <w:left w:val="nil"/>
              <w:bottom w:val="nil"/>
              <w:right w:val="nil"/>
            </w:tcBorders>
            <w:shd w:val="clear" w:color="auto" w:fill="auto"/>
            <w:noWrap/>
            <w:vAlign w:val="bottom"/>
            <w:hideMark/>
          </w:tcPr>
          <w:p w14:paraId="4A6A2E1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Traffic Growth</w:t>
            </w:r>
          </w:p>
        </w:tc>
        <w:tc>
          <w:tcPr>
            <w:tcW w:w="1060" w:type="dxa"/>
            <w:tcBorders>
              <w:top w:val="nil"/>
              <w:left w:val="nil"/>
              <w:bottom w:val="nil"/>
              <w:right w:val="nil"/>
            </w:tcBorders>
            <w:shd w:val="clear" w:color="auto" w:fill="auto"/>
            <w:noWrap/>
            <w:vAlign w:val="bottom"/>
            <w:hideMark/>
          </w:tcPr>
          <w:p w14:paraId="6677485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8.5.8</w:t>
            </w:r>
          </w:p>
        </w:tc>
        <w:tc>
          <w:tcPr>
            <w:tcW w:w="5320" w:type="dxa"/>
            <w:tcBorders>
              <w:top w:val="nil"/>
              <w:left w:val="nil"/>
              <w:bottom w:val="nil"/>
              <w:right w:val="nil"/>
            </w:tcBorders>
            <w:shd w:val="clear" w:color="auto" w:fill="auto"/>
            <w:noWrap/>
            <w:vAlign w:val="bottom"/>
            <w:hideMark/>
          </w:tcPr>
          <w:p w14:paraId="091E90C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Annual growth (% / year) of all vehicle classes</w:t>
            </w:r>
          </w:p>
        </w:tc>
      </w:tr>
      <w:tr w:rsidR="002E2A6E" w:rsidRPr="002E2A6E" w14:paraId="5F136FD9" w14:textId="77777777" w:rsidTr="002E2A6E">
        <w:trPr>
          <w:trHeight w:val="255"/>
        </w:trPr>
        <w:tc>
          <w:tcPr>
            <w:tcW w:w="2580" w:type="dxa"/>
            <w:tcBorders>
              <w:top w:val="nil"/>
              <w:left w:val="nil"/>
              <w:bottom w:val="nil"/>
              <w:right w:val="nil"/>
            </w:tcBorders>
            <w:shd w:val="clear" w:color="auto" w:fill="auto"/>
            <w:noWrap/>
            <w:vAlign w:val="bottom"/>
          </w:tcPr>
          <w:p w14:paraId="0672945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74B2A8E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8.5.11</w:t>
            </w:r>
          </w:p>
        </w:tc>
        <w:tc>
          <w:tcPr>
            <w:tcW w:w="5320" w:type="dxa"/>
            <w:tcBorders>
              <w:top w:val="nil"/>
              <w:left w:val="nil"/>
              <w:bottom w:val="nil"/>
              <w:right w:val="nil"/>
            </w:tcBorders>
            <w:shd w:val="clear" w:color="auto" w:fill="auto"/>
            <w:noWrap/>
            <w:vAlign w:val="bottom"/>
            <w:hideMark/>
          </w:tcPr>
          <w:p w14:paraId="050655B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Annual growth (% / year) of all heavy vehicles</w:t>
            </w:r>
          </w:p>
        </w:tc>
      </w:tr>
      <w:tr w:rsidR="002E2A6E" w:rsidRPr="002E2A6E" w14:paraId="4737C3D5" w14:textId="77777777" w:rsidTr="002E2A6E">
        <w:trPr>
          <w:trHeight w:val="255"/>
        </w:trPr>
        <w:tc>
          <w:tcPr>
            <w:tcW w:w="2580" w:type="dxa"/>
            <w:tcBorders>
              <w:top w:val="nil"/>
              <w:left w:val="nil"/>
              <w:bottom w:val="nil"/>
              <w:right w:val="nil"/>
            </w:tcBorders>
            <w:shd w:val="clear" w:color="auto" w:fill="auto"/>
            <w:noWrap/>
            <w:vAlign w:val="bottom"/>
            <w:hideMark/>
          </w:tcPr>
          <w:p w14:paraId="07B6C94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All - A General</w:t>
            </w:r>
          </w:p>
        </w:tc>
        <w:tc>
          <w:tcPr>
            <w:tcW w:w="1060" w:type="dxa"/>
            <w:tcBorders>
              <w:top w:val="nil"/>
              <w:left w:val="nil"/>
              <w:bottom w:val="nil"/>
              <w:right w:val="nil"/>
            </w:tcBorders>
            <w:shd w:val="clear" w:color="auto" w:fill="auto"/>
            <w:noWrap/>
            <w:vAlign w:val="bottom"/>
            <w:hideMark/>
          </w:tcPr>
          <w:p w14:paraId="0A545C6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8.3.0.1</w:t>
            </w:r>
          </w:p>
        </w:tc>
        <w:tc>
          <w:tcPr>
            <w:tcW w:w="5320" w:type="dxa"/>
            <w:tcBorders>
              <w:top w:val="nil"/>
              <w:left w:val="nil"/>
              <w:bottom w:val="nil"/>
              <w:right w:val="nil"/>
            </w:tcBorders>
            <w:shd w:val="clear" w:color="auto" w:fill="auto"/>
            <w:noWrap/>
            <w:vAlign w:val="bottom"/>
            <w:hideMark/>
          </w:tcPr>
          <w:p w14:paraId="616A547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Unique asset identifier</w:t>
            </w:r>
          </w:p>
        </w:tc>
      </w:tr>
      <w:tr w:rsidR="002E2A6E" w:rsidRPr="002E2A6E" w14:paraId="1B0A9B4C" w14:textId="77777777" w:rsidTr="002E2A6E">
        <w:trPr>
          <w:trHeight w:val="255"/>
        </w:trPr>
        <w:tc>
          <w:tcPr>
            <w:tcW w:w="2580" w:type="dxa"/>
            <w:tcBorders>
              <w:top w:val="nil"/>
              <w:left w:val="nil"/>
              <w:bottom w:val="nil"/>
              <w:right w:val="nil"/>
            </w:tcBorders>
            <w:shd w:val="clear" w:color="auto" w:fill="auto"/>
            <w:noWrap/>
            <w:vAlign w:val="bottom"/>
          </w:tcPr>
          <w:p w14:paraId="4160915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0B514C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8.3.0.2</w:t>
            </w:r>
          </w:p>
        </w:tc>
        <w:tc>
          <w:tcPr>
            <w:tcW w:w="5320" w:type="dxa"/>
            <w:tcBorders>
              <w:top w:val="nil"/>
              <w:left w:val="nil"/>
              <w:bottom w:val="nil"/>
              <w:right w:val="nil"/>
            </w:tcBorders>
            <w:shd w:val="clear" w:color="auto" w:fill="auto"/>
            <w:noWrap/>
            <w:vAlign w:val="bottom"/>
            <w:hideMark/>
          </w:tcPr>
          <w:p w14:paraId="2DEA92B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Asset class</w:t>
            </w:r>
          </w:p>
        </w:tc>
      </w:tr>
      <w:tr w:rsidR="002E2A6E" w:rsidRPr="002E2A6E" w14:paraId="17315F9E" w14:textId="77777777" w:rsidTr="002E2A6E">
        <w:trPr>
          <w:trHeight w:val="255"/>
        </w:trPr>
        <w:tc>
          <w:tcPr>
            <w:tcW w:w="2580" w:type="dxa"/>
            <w:tcBorders>
              <w:top w:val="nil"/>
              <w:left w:val="nil"/>
              <w:bottom w:val="nil"/>
              <w:right w:val="nil"/>
            </w:tcBorders>
            <w:shd w:val="clear" w:color="auto" w:fill="auto"/>
            <w:noWrap/>
            <w:vAlign w:val="bottom"/>
          </w:tcPr>
          <w:p w14:paraId="00F463E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AA9CF6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8.3.0.14</w:t>
            </w:r>
          </w:p>
        </w:tc>
        <w:tc>
          <w:tcPr>
            <w:tcW w:w="5320" w:type="dxa"/>
            <w:tcBorders>
              <w:top w:val="nil"/>
              <w:left w:val="nil"/>
              <w:bottom w:val="nil"/>
              <w:right w:val="nil"/>
            </w:tcBorders>
            <w:shd w:val="clear" w:color="auto" w:fill="auto"/>
            <w:noWrap/>
            <w:vAlign w:val="bottom"/>
            <w:hideMark/>
          </w:tcPr>
          <w:p w14:paraId="1F86F35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Design life</w:t>
            </w:r>
          </w:p>
        </w:tc>
      </w:tr>
      <w:tr w:rsidR="002E2A6E" w:rsidRPr="002E2A6E" w14:paraId="5FD777E5" w14:textId="77777777" w:rsidTr="002E2A6E">
        <w:trPr>
          <w:trHeight w:val="255"/>
        </w:trPr>
        <w:tc>
          <w:tcPr>
            <w:tcW w:w="2580" w:type="dxa"/>
            <w:tcBorders>
              <w:top w:val="nil"/>
              <w:left w:val="nil"/>
              <w:bottom w:val="nil"/>
              <w:right w:val="nil"/>
            </w:tcBorders>
            <w:shd w:val="clear" w:color="auto" w:fill="auto"/>
            <w:noWrap/>
            <w:vAlign w:val="bottom"/>
          </w:tcPr>
          <w:p w14:paraId="5C2DE72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80A545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8.3.0.4</w:t>
            </w:r>
          </w:p>
        </w:tc>
        <w:tc>
          <w:tcPr>
            <w:tcW w:w="5320" w:type="dxa"/>
            <w:tcBorders>
              <w:top w:val="nil"/>
              <w:left w:val="nil"/>
              <w:bottom w:val="nil"/>
              <w:right w:val="nil"/>
            </w:tcBorders>
            <w:shd w:val="clear" w:color="auto" w:fill="auto"/>
            <w:noWrap/>
            <w:vAlign w:val="bottom"/>
            <w:hideMark/>
          </w:tcPr>
          <w:p w14:paraId="6F530AE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Owner of the asset</w:t>
            </w:r>
          </w:p>
        </w:tc>
      </w:tr>
      <w:tr w:rsidR="002E2A6E" w:rsidRPr="002E2A6E" w14:paraId="49B7B766" w14:textId="77777777" w:rsidTr="002E2A6E">
        <w:trPr>
          <w:trHeight w:val="255"/>
        </w:trPr>
        <w:tc>
          <w:tcPr>
            <w:tcW w:w="2580" w:type="dxa"/>
            <w:tcBorders>
              <w:top w:val="nil"/>
              <w:left w:val="nil"/>
              <w:bottom w:val="nil"/>
              <w:right w:val="nil"/>
            </w:tcBorders>
            <w:shd w:val="clear" w:color="auto" w:fill="auto"/>
            <w:noWrap/>
            <w:vAlign w:val="bottom"/>
            <w:hideMark/>
          </w:tcPr>
          <w:p w14:paraId="681F7CC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All - B Valuation</w:t>
            </w:r>
          </w:p>
        </w:tc>
        <w:tc>
          <w:tcPr>
            <w:tcW w:w="1060" w:type="dxa"/>
            <w:tcBorders>
              <w:top w:val="nil"/>
              <w:left w:val="nil"/>
              <w:bottom w:val="nil"/>
              <w:right w:val="nil"/>
            </w:tcBorders>
            <w:shd w:val="clear" w:color="auto" w:fill="auto"/>
            <w:noWrap/>
            <w:vAlign w:val="bottom"/>
            <w:hideMark/>
          </w:tcPr>
          <w:p w14:paraId="1B03EB4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8.3.0.15</w:t>
            </w:r>
          </w:p>
        </w:tc>
        <w:tc>
          <w:tcPr>
            <w:tcW w:w="5320" w:type="dxa"/>
            <w:tcBorders>
              <w:top w:val="nil"/>
              <w:left w:val="nil"/>
              <w:bottom w:val="nil"/>
              <w:right w:val="nil"/>
            </w:tcBorders>
            <w:shd w:val="clear" w:color="auto" w:fill="auto"/>
            <w:noWrap/>
            <w:vAlign w:val="bottom"/>
            <w:hideMark/>
          </w:tcPr>
          <w:p w14:paraId="00654FE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Construction date</w:t>
            </w:r>
          </w:p>
        </w:tc>
      </w:tr>
      <w:tr w:rsidR="002E2A6E" w:rsidRPr="002E2A6E" w14:paraId="386CC7B2" w14:textId="77777777" w:rsidTr="002E2A6E">
        <w:trPr>
          <w:trHeight w:val="255"/>
        </w:trPr>
        <w:tc>
          <w:tcPr>
            <w:tcW w:w="2580" w:type="dxa"/>
            <w:tcBorders>
              <w:top w:val="nil"/>
              <w:left w:val="nil"/>
              <w:right w:val="nil"/>
            </w:tcBorders>
            <w:shd w:val="clear" w:color="auto" w:fill="auto"/>
            <w:noWrap/>
            <w:vAlign w:val="bottom"/>
          </w:tcPr>
          <w:p w14:paraId="2803936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right w:val="nil"/>
            </w:tcBorders>
            <w:shd w:val="clear" w:color="auto" w:fill="auto"/>
            <w:noWrap/>
            <w:vAlign w:val="bottom"/>
            <w:hideMark/>
          </w:tcPr>
          <w:p w14:paraId="2C3ACC5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8.3.0.16</w:t>
            </w:r>
          </w:p>
        </w:tc>
        <w:tc>
          <w:tcPr>
            <w:tcW w:w="5320" w:type="dxa"/>
            <w:tcBorders>
              <w:top w:val="nil"/>
              <w:left w:val="nil"/>
              <w:right w:val="nil"/>
            </w:tcBorders>
            <w:shd w:val="clear" w:color="auto" w:fill="auto"/>
            <w:noWrap/>
            <w:vAlign w:val="bottom"/>
            <w:hideMark/>
          </w:tcPr>
          <w:p w14:paraId="66BE952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Construction cost</w:t>
            </w:r>
          </w:p>
        </w:tc>
      </w:tr>
      <w:tr w:rsidR="002E2A6E" w:rsidRPr="002E2A6E" w14:paraId="2273589D" w14:textId="77777777" w:rsidTr="00C0093E">
        <w:trPr>
          <w:trHeight w:val="255"/>
        </w:trPr>
        <w:tc>
          <w:tcPr>
            <w:tcW w:w="2580" w:type="dxa"/>
            <w:tcBorders>
              <w:top w:val="nil"/>
              <w:left w:val="nil"/>
              <w:right w:val="nil"/>
            </w:tcBorders>
            <w:shd w:val="clear" w:color="auto" w:fill="auto"/>
            <w:noWrap/>
            <w:vAlign w:val="bottom"/>
          </w:tcPr>
          <w:p w14:paraId="4035B8E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right w:val="nil"/>
            </w:tcBorders>
            <w:shd w:val="clear" w:color="auto" w:fill="auto"/>
            <w:noWrap/>
            <w:vAlign w:val="bottom"/>
            <w:hideMark/>
          </w:tcPr>
          <w:p w14:paraId="68043DF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8.3.0.17</w:t>
            </w:r>
          </w:p>
        </w:tc>
        <w:tc>
          <w:tcPr>
            <w:tcW w:w="5320" w:type="dxa"/>
            <w:tcBorders>
              <w:top w:val="nil"/>
              <w:left w:val="nil"/>
              <w:right w:val="nil"/>
            </w:tcBorders>
            <w:shd w:val="clear" w:color="auto" w:fill="auto"/>
            <w:noWrap/>
            <w:vAlign w:val="bottom"/>
            <w:hideMark/>
          </w:tcPr>
          <w:p w14:paraId="05C99C0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Operation status</w:t>
            </w:r>
          </w:p>
        </w:tc>
      </w:tr>
      <w:tr w:rsidR="002E2A6E" w:rsidRPr="002E2A6E" w14:paraId="776B9D35" w14:textId="77777777" w:rsidTr="00C0093E">
        <w:trPr>
          <w:trHeight w:val="255"/>
        </w:trPr>
        <w:tc>
          <w:tcPr>
            <w:tcW w:w="2580" w:type="dxa"/>
            <w:tcBorders>
              <w:left w:val="nil"/>
              <w:bottom w:val="nil"/>
              <w:right w:val="nil"/>
            </w:tcBorders>
            <w:shd w:val="clear" w:color="auto" w:fill="auto"/>
            <w:noWrap/>
            <w:vAlign w:val="bottom"/>
          </w:tcPr>
          <w:p w14:paraId="3E1B4EF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left w:val="nil"/>
              <w:bottom w:val="nil"/>
              <w:right w:val="nil"/>
            </w:tcBorders>
            <w:shd w:val="clear" w:color="auto" w:fill="auto"/>
            <w:noWrap/>
            <w:vAlign w:val="bottom"/>
            <w:hideMark/>
          </w:tcPr>
          <w:p w14:paraId="38B1EC1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8.3.0.19</w:t>
            </w:r>
          </w:p>
        </w:tc>
        <w:tc>
          <w:tcPr>
            <w:tcW w:w="5320" w:type="dxa"/>
            <w:tcBorders>
              <w:left w:val="nil"/>
              <w:bottom w:val="nil"/>
              <w:right w:val="nil"/>
            </w:tcBorders>
            <w:shd w:val="clear" w:color="auto" w:fill="auto"/>
            <w:noWrap/>
            <w:vAlign w:val="bottom"/>
            <w:hideMark/>
          </w:tcPr>
          <w:p w14:paraId="1CBC1B2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Valuation type</w:t>
            </w:r>
          </w:p>
        </w:tc>
      </w:tr>
      <w:tr w:rsidR="002E2A6E" w:rsidRPr="002E2A6E" w14:paraId="6CCFB7B1" w14:textId="77777777" w:rsidTr="002E2A6E">
        <w:trPr>
          <w:trHeight w:val="255"/>
        </w:trPr>
        <w:tc>
          <w:tcPr>
            <w:tcW w:w="2580" w:type="dxa"/>
            <w:tcBorders>
              <w:top w:val="nil"/>
              <w:left w:val="nil"/>
              <w:bottom w:val="nil"/>
              <w:right w:val="nil"/>
            </w:tcBorders>
            <w:shd w:val="clear" w:color="auto" w:fill="auto"/>
            <w:noWrap/>
            <w:vAlign w:val="bottom"/>
          </w:tcPr>
          <w:p w14:paraId="767AF0D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5773CC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8.3.0.20</w:t>
            </w:r>
          </w:p>
        </w:tc>
        <w:tc>
          <w:tcPr>
            <w:tcW w:w="5320" w:type="dxa"/>
            <w:tcBorders>
              <w:top w:val="nil"/>
              <w:left w:val="nil"/>
              <w:bottom w:val="nil"/>
              <w:right w:val="nil"/>
            </w:tcBorders>
            <w:shd w:val="clear" w:color="auto" w:fill="auto"/>
            <w:noWrap/>
            <w:vAlign w:val="bottom"/>
            <w:hideMark/>
          </w:tcPr>
          <w:p w14:paraId="2A6481A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Assessed cost in Australian/New Zealand Dollars</w:t>
            </w:r>
          </w:p>
        </w:tc>
      </w:tr>
      <w:tr w:rsidR="002E2A6E" w:rsidRPr="002E2A6E" w14:paraId="26BEAAAC" w14:textId="77777777" w:rsidTr="00C0093E">
        <w:trPr>
          <w:trHeight w:val="255"/>
        </w:trPr>
        <w:tc>
          <w:tcPr>
            <w:tcW w:w="2580" w:type="dxa"/>
            <w:tcBorders>
              <w:top w:val="nil"/>
              <w:left w:val="nil"/>
              <w:bottom w:val="single" w:sz="4" w:space="0" w:color="auto"/>
              <w:right w:val="nil"/>
            </w:tcBorders>
            <w:shd w:val="clear" w:color="auto" w:fill="auto"/>
            <w:noWrap/>
            <w:vAlign w:val="bottom"/>
          </w:tcPr>
          <w:p w14:paraId="77C6E61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single" w:sz="4" w:space="0" w:color="auto"/>
              <w:right w:val="nil"/>
            </w:tcBorders>
            <w:shd w:val="clear" w:color="auto" w:fill="auto"/>
            <w:noWrap/>
            <w:vAlign w:val="bottom"/>
            <w:hideMark/>
          </w:tcPr>
          <w:p w14:paraId="247572F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8.3.0.22</w:t>
            </w:r>
          </w:p>
        </w:tc>
        <w:tc>
          <w:tcPr>
            <w:tcW w:w="5320" w:type="dxa"/>
            <w:tcBorders>
              <w:top w:val="nil"/>
              <w:left w:val="nil"/>
              <w:bottom w:val="single" w:sz="4" w:space="0" w:color="auto"/>
              <w:right w:val="nil"/>
            </w:tcBorders>
            <w:shd w:val="clear" w:color="auto" w:fill="auto"/>
            <w:noWrap/>
            <w:vAlign w:val="bottom"/>
            <w:hideMark/>
          </w:tcPr>
          <w:p w14:paraId="48C7741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Valuation year</w:t>
            </w:r>
          </w:p>
        </w:tc>
      </w:tr>
      <w:tr w:rsidR="002E2A6E" w:rsidRPr="002E2A6E" w14:paraId="7351A4EE" w14:textId="77777777" w:rsidTr="00C0093E">
        <w:trPr>
          <w:trHeight w:val="255"/>
        </w:trPr>
        <w:tc>
          <w:tcPr>
            <w:tcW w:w="2580" w:type="dxa"/>
            <w:tcBorders>
              <w:top w:val="single" w:sz="4" w:space="0" w:color="auto"/>
              <w:left w:val="nil"/>
              <w:bottom w:val="nil"/>
              <w:right w:val="nil"/>
            </w:tcBorders>
            <w:shd w:val="clear" w:color="auto" w:fill="auto"/>
            <w:noWrap/>
            <w:vAlign w:val="bottom"/>
          </w:tcPr>
          <w:p w14:paraId="7BA6410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single" w:sz="4" w:space="0" w:color="auto"/>
              <w:left w:val="nil"/>
              <w:bottom w:val="nil"/>
              <w:right w:val="nil"/>
            </w:tcBorders>
            <w:shd w:val="clear" w:color="auto" w:fill="auto"/>
            <w:noWrap/>
            <w:vAlign w:val="bottom"/>
            <w:hideMark/>
          </w:tcPr>
          <w:p w14:paraId="341A953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8.3.0.21</w:t>
            </w:r>
          </w:p>
        </w:tc>
        <w:tc>
          <w:tcPr>
            <w:tcW w:w="5320" w:type="dxa"/>
            <w:tcBorders>
              <w:top w:val="single" w:sz="4" w:space="0" w:color="auto"/>
              <w:left w:val="nil"/>
              <w:bottom w:val="nil"/>
              <w:right w:val="nil"/>
            </w:tcBorders>
            <w:shd w:val="clear" w:color="auto" w:fill="auto"/>
            <w:noWrap/>
            <w:vAlign w:val="bottom"/>
            <w:hideMark/>
          </w:tcPr>
          <w:p w14:paraId="7ADC5FB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Unit cost</w:t>
            </w:r>
          </w:p>
        </w:tc>
      </w:tr>
      <w:tr w:rsidR="002E2A6E" w:rsidRPr="002E2A6E" w14:paraId="21E98178" w14:textId="77777777" w:rsidTr="002E2A6E">
        <w:trPr>
          <w:trHeight w:val="255"/>
        </w:trPr>
        <w:tc>
          <w:tcPr>
            <w:tcW w:w="2580" w:type="dxa"/>
            <w:tcBorders>
              <w:top w:val="nil"/>
              <w:left w:val="nil"/>
              <w:bottom w:val="nil"/>
              <w:right w:val="nil"/>
            </w:tcBorders>
            <w:shd w:val="clear" w:color="auto" w:fill="auto"/>
            <w:noWrap/>
            <w:vAlign w:val="bottom"/>
            <w:hideMark/>
          </w:tcPr>
          <w:p w14:paraId="1E31458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Bridge Major Culvert</w:t>
            </w:r>
          </w:p>
        </w:tc>
        <w:tc>
          <w:tcPr>
            <w:tcW w:w="1060" w:type="dxa"/>
            <w:tcBorders>
              <w:top w:val="nil"/>
              <w:left w:val="nil"/>
              <w:bottom w:val="nil"/>
              <w:right w:val="nil"/>
            </w:tcBorders>
            <w:shd w:val="clear" w:color="auto" w:fill="auto"/>
            <w:noWrap/>
            <w:vAlign w:val="bottom"/>
            <w:hideMark/>
          </w:tcPr>
          <w:p w14:paraId="6346459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8.3.3.6</w:t>
            </w:r>
          </w:p>
        </w:tc>
        <w:tc>
          <w:tcPr>
            <w:tcW w:w="5320" w:type="dxa"/>
            <w:tcBorders>
              <w:top w:val="nil"/>
              <w:left w:val="nil"/>
              <w:bottom w:val="nil"/>
              <w:right w:val="nil"/>
            </w:tcBorders>
            <w:shd w:val="clear" w:color="auto" w:fill="auto"/>
            <w:noWrap/>
            <w:vAlign w:val="bottom"/>
            <w:hideMark/>
          </w:tcPr>
          <w:p w14:paraId="19E9302A" w14:textId="2FE680B4"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Deck m</w:t>
            </w:r>
            <w:r w:rsidR="002E2A6E" w:rsidRPr="002E2A6E">
              <w:rPr>
                <w:rFonts w:ascii="Calibri" w:eastAsia="Times New Roman" w:hAnsi="Calibri" w:cs="Times New Roman"/>
                <w:color w:val="000000"/>
                <w:sz w:val="20"/>
                <w:szCs w:val="20"/>
                <w:lang w:eastAsia="en-AU"/>
              </w:rPr>
              <w:t>aterial</w:t>
            </w:r>
          </w:p>
        </w:tc>
      </w:tr>
      <w:tr w:rsidR="002E2A6E" w:rsidRPr="002E2A6E" w14:paraId="0A07AC6F" w14:textId="77777777" w:rsidTr="002E2A6E">
        <w:trPr>
          <w:trHeight w:val="255"/>
        </w:trPr>
        <w:tc>
          <w:tcPr>
            <w:tcW w:w="2580" w:type="dxa"/>
            <w:tcBorders>
              <w:top w:val="nil"/>
              <w:left w:val="nil"/>
              <w:bottom w:val="nil"/>
              <w:right w:val="nil"/>
            </w:tcBorders>
            <w:shd w:val="clear" w:color="auto" w:fill="auto"/>
            <w:noWrap/>
            <w:vAlign w:val="bottom"/>
          </w:tcPr>
          <w:p w14:paraId="161893A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47E4B32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8.3.3.21</w:t>
            </w:r>
          </w:p>
        </w:tc>
        <w:tc>
          <w:tcPr>
            <w:tcW w:w="5320" w:type="dxa"/>
            <w:tcBorders>
              <w:top w:val="nil"/>
              <w:left w:val="nil"/>
              <w:bottom w:val="nil"/>
              <w:right w:val="nil"/>
            </w:tcBorders>
            <w:shd w:val="clear" w:color="auto" w:fill="auto"/>
            <w:noWrap/>
            <w:vAlign w:val="bottom"/>
            <w:hideMark/>
          </w:tcPr>
          <w:p w14:paraId="2BB997F7" w14:textId="4E8F2643"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Feature </w:t>
            </w:r>
            <w:r w:rsidR="004614F2">
              <w:rPr>
                <w:rFonts w:ascii="Calibri" w:eastAsia="Times New Roman" w:hAnsi="Calibri" w:cs="Times New Roman"/>
                <w:color w:val="000000"/>
                <w:sz w:val="20"/>
                <w:szCs w:val="20"/>
                <w:lang w:eastAsia="en-AU"/>
              </w:rPr>
              <w:t>structure t</w:t>
            </w:r>
            <w:r w:rsidRPr="002E2A6E">
              <w:rPr>
                <w:rFonts w:ascii="Calibri" w:eastAsia="Times New Roman" w:hAnsi="Calibri" w:cs="Times New Roman"/>
                <w:color w:val="000000"/>
                <w:sz w:val="20"/>
                <w:szCs w:val="20"/>
                <w:lang w:eastAsia="en-AU"/>
              </w:rPr>
              <w:t>ype</w:t>
            </w:r>
          </w:p>
        </w:tc>
      </w:tr>
      <w:tr w:rsidR="002E2A6E" w:rsidRPr="002E2A6E" w14:paraId="455C721E" w14:textId="77777777" w:rsidTr="002E2A6E">
        <w:trPr>
          <w:trHeight w:val="255"/>
        </w:trPr>
        <w:tc>
          <w:tcPr>
            <w:tcW w:w="2580" w:type="dxa"/>
            <w:tcBorders>
              <w:top w:val="nil"/>
              <w:left w:val="nil"/>
              <w:bottom w:val="nil"/>
              <w:right w:val="nil"/>
            </w:tcBorders>
            <w:shd w:val="clear" w:color="auto" w:fill="auto"/>
            <w:noWrap/>
            <w:vAlign w:val="bottom"/>
          </w:tcPr>
          <w:p w14:paraId="636EDFA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2F873F3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8.3.3.23</w:t>
            </w:r>
          </w:p>
        </w:tc>
        <w:tc>
          <w:tcPr>
            <w:tcW w:w="5320" w:type="dxa"/>
            <w:tcBorders>
              <w:top w:val="nil"/>
              <w:left w:val="nil"/>
              <w:bottom w:val="nil"/>
              <w:right w:val="nil"/>
            </w:tcBorders>
            <w:shd w:val="clear" w:color="auto" w:fill="auto"/>
            <w:noWrap/>
            <w:vAlign w:val="bottom"/>
            <w:hideMark/>
          </w:tcPr>
          <w:p w14:paraId="7291259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Length</w:t>
            </w:r>
          </w:p>
        </w:tc>
      </w:tr>
      <w:tr w:rsidR="002E2A6E" w:rsidRPr="002E2A6E" w14:paraId="31E5ED33" w14:textId="77777777" w:rsidTr="002E2A6E">
        <w:trPr>
          <w:trHeight w:val="255"/>
        </w:trPr>
        <w:tc>
          <w:tcPr>
            <w:tcW w:w="2580" w:type="dxa"/>
            <w:tcBorders>
              <w:top w:val="nil"/>
              <w:left w:val="nil"/>
              <w:bottom w:val="nil"/>
              <w:right w:val="nil"/>
            </w:tcBorders>
            <w:shd w:val="clear" w:color="auto" w:fill="auto"/>
            <w:noWrap/>
            <w:vAlign w:val="bottom"/>
          </w:tcPr>
          <w:p w14:paraId="0692B56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4545F55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8.3.3.24</w:t>
            </w:r>
          </w:p>
        </w:tc>
        <w:tc>
          <w:tcPr>
            <w:tcW w:w="5320" w:type="dxa"/>
            <w:tcBorders>
              <w:top w:val="nil"/>
              <w:left w:val="nil"/>
              <w:bottom w:val="nil"/>
              <w:right w:val="nil"/>
            </w:tcBorders>
            <w:shd w:val="clear" w:color="auto" w:fill="auto"/>
            <w:noWrap/>
            <w:vAlign w:val="bottom"/>
            <w:hideMark/>
          </w:tcPr>
          <w:p w14:paraId="27E25BB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Width</w:t>
            </w:r>
          </w:p>
        </w:tc>
      </w:tr>
      <w:tr w:rsidR="002E2A6E" w:rsidRPr="002E2A6E" w14:paraId="20AC3D99" w14:textId="77777777" w:rsidTr="002E2A6E">
        <w:trPr>
          <w:trHeight w:val="255"/>
        </w:trPr>
        <w:tc>
          <w:tcPr>
            <w:tcW w:w="2580" w:type="dxa"/>
            <w:tcBorders>
              <w:top w:val="nil"/>
              <w:left w:val="nil"/>
              <w:bottom w:val="nil"/>
              <w:right w:val="nil"/>
            </w:tcBorders>
            <w:shd w:val="clear" w:color="auto" w:fill="auto"/>
            <w:noWrap/>
            <w:vAlign w:val="bottom"/>
          </w:tcPr>
          <w:p w14:paraId="5CC9965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C9884A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8.3.3.26</w:t>
            </w:r>
          </w:p>
        </w:tc>
        <w:tc>
          <w:tcPr>
            <w:tcW w:w="5320" w:type="dxa"/>
            <w:tcBorders>
              <w:top w:val="nil"/>
              <w:left w:val="nil"/>
              <w:bottom w:val="nil"/>
              <w:right w:val="nil"/>
            </w:tcBorders>
            <w:shd w:val="clear" w:color="auto" w:fill="auto"/>
            <w:noWrap/>
            <w:vAlign w:val="bottom"/>
            <w:hideMark/>
          </w:tcPr>
          <w:p w14:paraId="42250136" w14:textId="21F09119"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Vehicular load l</w:t>
            </w:r>
            <w:r w:rsidR="002E2A6E" w:rsidRPr="002E2A6E">
              <w:rPr>
                <w:rFonts w:ascii="Calibri" w:eastAsia="Times New Roman" w:hAnsi="Calibri" w:cs="Times New Roman"/>
                <w:color w:val="000000"/>
                <w:sz w:val="20"/>
                <w:szCs w:val="20"/>
                <w:lang w:eastAsia="en-AU"/>
              </w:rPr>
              <w:t xml:space="preserve">imit </w:t>
            </w:r>
          </w:p>
        </w:tc>
      </w:tr>
      <w:tr w:rsidR="002E2A6E" w:rsidRPr="002E2A6E" w14:paraId="4E542531" w14:textId="77777777" w:rsidTr="002E2A6E">
        <w:trPr>
          <w:trHeight w:val="255"/>
        </w:trPr>
        <w:tc>
          <w:tcPr>
            <w:tcW w:w="2580" w:type="dxa"/>
            <w:tcBorders>
              <w:top w:val="nil"/>
              <w:left w:val="nil"/>
              <w:bottom w:val="nil"/>
              <w:right w:val="nil"/>
            </w:tcBorders>
            <w:shd w:val="clear" w:color="auto" w:fill="auto"/>
            <w:noWrap/>
            <w:vAlign w:val="bottom"/>
            <w:hideMark/>
          </w:tcPr>
          <w:p w14:paraId="0AC3ED4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All</w:t>
            </w:r>
          </w:p>
        </w:tc>
        <w:tc>
          <w:tcPr>
            <w:tcW w:w="1060" w:type="dxa"/>
            <w:tcBorders>
              <w:top w:val="nil"/>
              <w:left w:val="nil"/>
              <w:bottom w:val="nil"/>
              <w:right w:val="nil"/>
            </w:tcBorders>
            <w:shd w:val="clear" w:color="auto" w:fill="auto"/>
            <w:noWrap/>
            <w:vAlign w:val="bottom"/>
            <w:hideMark/>
          </w:tcPr>
          <w:p w14:paraId="1972765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8.3.14.3</w:t>
            </w:r>
          </w:p>
        </w:tc>
        <w:tc>
          <w:tcPr>
            <w:tcW w:w="5320" w:type="dxa"/>
            <w:tcBorders>
              <w:top w:val="nil"/>
              <w:left w:val="nil"/>
              <w:bottom w:val="nil"/>
              <w:right w:val="nil"/>
            </w:tcBorders>
            <w:shd w:val="clear" w:color="auto" w:fill="auto"/>
            <w:noWrap/>
            <w:vAlign w:val="bottom"/>
            <w:hideMark/>
          </w:tcPr>
          <w:p w14:paraId="5732AE4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Chainage at start of street segment</w:t>
            </w:r>
          </w:p>
        </w:tc>
      </w:tr>
      <w:tr w:rsidR="002E2A6E" w:rsidRPr="002E2A6E" w14:paraId="64A1DB7E" w14:textId="77777777" w:rsidTr="002E2A6E">
        <w:trPr>
          <w:trHeight w:val="255"/>
        </w:trPr>
        <w:tc>
          <w:tcPr>
            <w:tcW w:w="2580" w:type="dxa"/>
            <w:tcBorders>
              <w:top w:val="nil"/>
              <w:left w:val="nil"/>
              <w:bottom w:val="nil"/>
              <w:right w:val="nil"/>
            </w:tcBorders>
            <w:shd w:val="clear" w:color="auto" w:fill="auto"/>
            <w:noWrap/>
            <w:vAlign w:val="bottom"/>
            <w:hideMark/>
          </w:tcPr>
          <w:p w14:paraId="0D23B56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2DF1DEE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8.3.14.4</w:t>
            </w:r>
          </w:p>
        </w:tc>
        <w:tc>
          <w:tcPr>
            <w:tcW w:w="5320" w:type="dxa"/>
            <w:tcBorders>
              <w:top w:val="nil"/>
              <w:left w:val="nil"/>
              <w:bottom w:val="nil"/>
              <w:right w:val="nil"/>
            </w:tcBorders>
            <w:shd w:val="clear" w:color="auto" w:fill="auto"/>
            <w:noWrap/>
            <w:vAlign w:val="bottom"/>
            <w:hideMark/>
          </w:tcPr>
          <w:p w14:paraId="3301BC4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Chainage at end of street segment</w:t>
            </w:r>
          </w:p>
        </w:tc>
      </w:tr>
      <w:tr w:rsidR="002E2A6E" w:rsidRPr="002E2A6E" w14:paraId="505BFFA2" w14:textId="77777777" w:rsidTr="002E2A6E">
        <w:trPr>
          <w:trHeight w:val="255"/>
        </w:trPr>
        <w:tc>
          <w:tcPr>
            <w:tcW w:w="2580" w:type="dxa"/>
            <w:tcBorders>
              <w:top w:val="nil"/>
              <w:left w:val="nil"/>
              <w:bottom w:val="nil"/>
              <w:right w:val="nil"/>
            </w:tcBorders>
            <w:shd w:val="clear" w:color="auto" w:fill="auto"/>
            <w:noWrap/>
            <w:vAlign w:val="bottom"/>
            <w:hideMark/>
          </w:tcPr>
          <w:p w14:paraId="306E64D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Surfacing All</w:t>
            </w:r>
          </w:p>
        </w:tc>
        <w:tc>
          <w:tcPr>
            <w:tcW w:w="1060" w:type="dxa"/>
            <w:tcBorders>
              <w:top w:val="nil"/>
              <w:left w:val="nil"/>
              <w:bottom w:val="nil"/>
              <w:right w:val="nil"/>
            </w:tcBorders>
            <w:shd w:val="clear" w:color="auto" w:fill="auto"/>
            <w:noWrap/>
            <w:vAlign w:val="bottom"/>
            <w:hideMark/>
          </w:tcPr>
          <w:p w14:paraId="161F4D7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8.3.15.5</w:t>
            </w:r>
          </w:p>
        </w:tc>
        <w:tc>
          <w:tcPr>
            <w:tcW w:w="5320" w:type="dxa"/>
            <w:tcBorders>
              <w:top w:val="nil"/>
              <w:left w:val="nil"/>
              <w:bottom w:val="nil"/>
              <w:right w:val="nil"/>
            </w:tcBorders>
            <w:shd w:val="clear" w:color="auto" w:fill="auto"/>
            <w:noWrap/>
            <w:vAlign w:val="bottom"/>
            <w:hideMark/>
          </w:tcPr>
          <w:p w14:paraId="49EAD0E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Road surface status</w:t>
            </w:r>
          </w:p>
        </w:tc>
      </w:tr>
      <w:tr w:rsidR="002E2A6E" w:rsidRPr="002E2A6E" w14:paraId="6EF12A5E" w14:textId="77777777" w:rsidTr="002E2A6E">
        <w:trPr>
          <w:trHeight w:val="255"/>
        </w:trPr>
        <w:tc>
          <w:tcPr>
            <w:tcW w:w="2580" w:type="dxa"/>
            <w:tcBorders>
              <w:top w:val="nil"/>
              <w:left w:val="nil"/>
              <w:bottom w:val="nil"/>
              <w:right w:val="nil"/>
            </w:tcBorders>
            <w:shd w:val="clear" w:color="auto" w:fill="auto"/>
            <w:noWrap/>
            <w:vAlign w:val="bottom"/>
            <w:hideMark/>
          </w:tcPr>
          <w:p w14:paraId="746AD70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41C7CD9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8.3.15.6</w:t>
            </w:r>
          </w:p>
        </w:tc>
        <w:tc>
          <w:tcPr>
            <w:tcW w:w="5320" w:type="dxa"/>
            <w:tcBorders>
              <w:top w:val="nil"/>
              <w:left w:val="nil"/>
              <w:bottom w:val="nil"/>
              <w:right w:val="nil"/>
            </w:tcBorders>
            <w:shd w:val="clear" w:color="auto" w:fill="auto"/>
            <w:noWrap/>
            <w:vAlign w:val="bottom"/>
            <w:hideMark/>
          </w:tcPr>
          <w:p w14:paraId="292797A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Year of current surface installation</w:t>
            </w:r>
          </w:p>
        </w:tc>
      </w:tr>
      <w:tr w:rsidR="002E2A6E" w:rsidRPr="002E2A6E" w14:paraId="1EA889FB" w14:textId="77777777" w:rsidTr="002E2A6E">
        <w:trPr>
          <w:trHeight w:val="255"/>
        </w:trPr>
        <w:tc>
          <w:tcPr>
            <w:tcW w:w="2580" w:type="dxa"/>
            <w:tcBorders>
              <w:top w:val="nil"/>
              <w:left w:val="nil"/>
              <w:bottom w:val="nil"/>
              <w:right w:val="nil"/>
            </w:tcBorders>
            <w:shd w:val="clear" w:color="auto" w:fill="auto"/>
            <w:noWrap/>
            <w:vAlign w:val="bottom"/>
            <w:hideMark/>
          </w:tcPr>
          <w:p w14:paraId="34F3566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Surfacing</w:t>
            </w:r>
          </w:p>
        </w:tc>
        <w:tc>
          <w:tcPr>
            <w:tcW w:w="1060" w:type="dxa"/>
            <w:tcBorders>
              <w:top w:val="nil"/>
              <w:left w:val="nil"/>
              <w:bottom w:val="nil"/>
              <w:right w:val="nil"/>
            </w:tcBorders>
            <w:shd w:val="clear" w:color="auto" w:fill="auto"/>
            <w:noWrap/>
            <w:vAlign w:val="bottom"/>
            <w:hideMark/>
          </w:tcPr>
          <w:p w14:paraId="764689C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8.3.15.13</w:t>
            </w:r>
          </w:p>
        </w:tc>
        <w:tc>
          <w:tcPr>
            <w:tcW w:w="5320" w:type="dxa"/>
            <w:tcBorders>
              <w:top w:val="nil"/>
              <w:left w:val="nil"/>
              <w:bottom w:val="nil"/>
              <w:right w:val="nil"/>
            </w:tcBorders>
            <w:shd w:val="clear" w:color="auto" w:fill="auto"/>
            <w:noWrap/>
            <w:vAlign w:val="bottom"/>
            <w:hideMark/>
          </w:tcPr>
          <w:p w14:paraId="0B217C4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Surfacing material  type</w:t>
            </w:r>
          </w:p>
        </w:tc>
      </w:tr>
      <w:tr w:rsidR="002E2A6E" w:rsidRPr="002E2A6E" w14:paraId="3CA762F1" w14:textId="77777777" w:rsidTr="002E2A6E">
        <w:trPr>
          <w:trHeight w:val="255"/>
        </w:trPr>
        <w:tc>
          <w:tcPr>
            <w:tcW w:w="2580" w:type="dxa"/>
            <w:tcBorders>
              <w:top w:val="nil"/>
              <w:left w:val="nil"/>
              <w:bottom w:val="nil"/>
              <w:right w:val="nil"/>
            </w:tcBorders>
            <w:shd w:val="clear" w:color="auto" w:fill="auto"/>
            <w:noWrap/>
            <w:vAlign w:val="bottom"/>
            <w:hideMark/>
          </w:tcPr>
          <w:p w14:paraId="42C216C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Tunnels</w:t>
            </w:r>
          </w:p>
        </w:tc>
        <w:tc>
          <w:tcPr>
            <w:tcW w:w="1060" w:type="dxa"/>
            <w:tcBorders>
              <w:top w:val="nil"/>
              <w:left w:val="nil"/>
              <w:bottom w:val="nil"/>
              <w:right w:val="nil"/>
            </w:tcBorders>
            <w:shd w:val="clear" w:color="auto" w:fill="auto"/>
            <w:noWrap/>
            <w:vAlign w:val="bottom"/>
            <w:hideMark/>
          </w:tcPr>
          <w:p w14:paraId="2AF0E42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8.3.31.1</w:t>
            </w:r>
          </w:p>
        </w:tc>
        <w:tc>
          <w:tcPr>
            <w:tcW w:w="5320" w:type="dxa"/>
            <w:tcBorders>
              <w:top w:val="nil"/>
              <w:left w:val="nil"/>
              <w:bottom w:val="nil"/>
              <w:right w:val="nil"/>
            </w:tcBorders>
            <w:shd w:val="clear" w:color="auto" w:fill="auto"/>
            <w:noWrap/>
            <w:vAlign w:val="bottom"/>
            <w:hideMark/>
          </w:tcPr>
          <w:p w14:paraId="766C87EC" w14:textId="27930DEE" w:rsidR="002E2A6E" w:rsidRPr="002E2A6E" w:rsidRDefault="004614F2" w:rsidP="004614F2">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Left tunnel w</w:t>
            </w:r>
            <w:r w:rsidR="002E2A6E" w:rsidRPr="002E2A6E">
              <w:rPr>
                <w:rFonts w:ascii="Calibri" w:eastAsia="Times New Roman" w:hAnsi="Calibri" w:cs="Times New Roman"/>
                <w:color w:val="000000"/>
                <w:sz w:val="20"/>
                <w:szCs w:val="20"/>
                <w:lang w:eastAsia="en-AU"/>
              </w:rPr>
              <w:t>idth</w:t>
            </w:r>
          </w:p>
        </w:tc>
      </w:tr>
      <w:tr w:rsidR="002E2A6E" w:rsidRPr="002E2A6E" w14:paraId="07484D10" w14:textId="77777777" w:rsidTr="002E2A6E">
        <w:trPr>
          <w:trHeight w:val="255"/>
        </w:trPr>
        <w:tc>
          <w:tcPr>
            <w:tcW w:w="2580" w:type="dxa"/>
            <w:tcBorders>
              <w:top w:val="nil"/>
              <w:left w:val="nil"/>
              <w:bottom w:val="nil"/>
              <w:right w:val="nil"/>
            </w:tcBorders>
            <w:shd w:val="clear" w:color="auto" w:fill="auto"/>
            <w:noWrap/>
            <w:vAlign w:val="bottom"/>
          </w:tcPr>
          <w:p w14:paraId="7C8B9B4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2D0E9E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8.3.31.2</w:t>
            </w:r>
          </w:p>
        </w:tc>
        <w:tc>
          <w:tcPr>
            <w:tcW w:w="5320" w:type="dxa"/>
            <w:tcBorders>
              <w:top w:val="nil"/>
              <w:left w:val="nil"/>
              <w:bottom w:val="nil"/>
              <w:right w:val="nil"/>
            </w:tcBorders>
            <w:shd w:val="clear" w:color="auto" w:fill="auto"/>
            <w:noWrap/>
            <w:vAlign w:val="bottom"/>
            <w:hideMark/>
          </w:tcPr>
          <w:p w14:paraId="73AB221B" w14:textId="0A808C6A" w:rsidR="002E2A6E" w:rsidRPr="002E2A6E" w:rsidRDefault="002E2A6E" w:rsidP="004614F2">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Right</w:t>
            </w:r>
            <w:r w:rsidR="004614F2">
              <w:rPr>
                <w:rFonts w:ascii="Calibri" w:eastAsia="Times New Roman" w:hAnsi="Calibri" w:cs="Times New Roman"/>
                <w:color w:val="000000"/>
                <w:sz w:val="20"/>
                <w:szCs w:val="20"/>
                <w:lang w:eastAsia="en-AU"/>
              </w:rPr>
              <w:t xml:space="preserve"> t</w:t>
            </w:r>
            <w:r w:rsidRPr="002E2A6E">
              <w:rPr>
                <w:rFonts w:ascii="Calibri" w:eastAsia="Times New Roman" w:hAnsi="Calibri" w:cs="Times New Roman"/>
                <w:color w:val="000000"/>
                <w:sz w:val="20"/>
                <w:szCs w:val="20"/>
                <w:lang w:eastAsia="en-AU"/>
              </w:rPr>
              <w:t xml:space="preserve">unnel </w:t>
            </w:r>
            <w:r w:rsidR="004614F2">
              <w:rPr>
                <w:rFonts w:ascii="Calibri" w:eastAsia="Times New Roman" w:hAnsi="Calibri" w:cs="Times New Roman"/>
                <w:color w:val="000000"/>
                <w:sz w:val="20"/>
                <w:szCs w:val="20"/>
                <w:lang w:eastAsia="en-AU"/>
              </w:rPr>
              <w:t>w</w:t>
            </w:r>
            <w:r w:rsidRPr="002E2A6E">
              <w:rPr>
                <w:rFonts w:ascii="Calibri" w:eastAsia="Times New Roman" w:hAnsi="Calibri" w:cs="Times New Roman"/>
                <w:color w:val="000000"/>
                <w:sz w:val="20"/>
                <w:szCs w:val="20"/>
                <w:lang w:eastAsia="en-AU"/>
              </w:rPr>
              <w:t>idth</w:t>
            </w:r>
          </w:p>
        </w:tc>
      </w:tr>
      <w:tr w:rsidR="002E2A6E" w:rsidRPr="002E2A6E" w14:paraId="24C1066C" w14:textId="77777777" w:rsidTr="002E2A6E">
        <w:trPr>
          <w:trHeight w:val="255"/>
        </w:trPr>
        <w:tc>
          <w:tcPr>
            <w:tcW w:w="2580" w:type="dxa"/>
            <w:tcBorders>
              <w:top w:val="nil"/>
              <w:left w:val="nil"/>
              <w:bottom w:val="nil"/>
              <w:right w:val="nil"/>
            </w:tcBorders>
            <w:shd w:val="clear" w:color="auto" w:fill="auto"/>
            <w:noWrap/>
            <w:vAlign w:val="bottom"/>
          </w:tcPr>
          <w:p w14:paraId="7BC11DF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AA7DE6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8.3.31.3</w:t>
            </w:r>
          </w:p>
        </w:tc>
        <w:tc>
          <w:tcPr>
            <w:tcW w:w="5320" w:type="dxa"/>
            <w:tcBorders>
              <w:top w:val="nil"/>
              <w:left w:val="nil"/>
              <w:bottom w:val="nil"/>
              <w:right w:val="nil"/>
            </w:tcBorders>
            <w:shd w:val="clear" w:color="auto" w:fill="auto"/>
            <w:noWrap/>
            <w:vAlign w:val="bottom"/>
            <w:hideMark/>
          </w:tcPr>
          <w:p w14:paraId="550B121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Tunnel length</w:t>
            </w:r>
          </w:p>
        </w:tc>
      </w:tr>
      <w:tr w:rsidR="002E2A6E" w:rsidRPr="002E2A6E" w14:paraId="62C5694B" w14:textId="77777777" w:rsidTr="002E2A6E">
        <w:trPr>
          <w:trHeight w:val="255"/>
        </w:trPr>
        <w:tc>
          <w:tcPr>
            <w:tcW w:w="2580" w:type="dxa"/>
            <w:tcBorders>
              <w:top w:val="nil"/>
              <w:left w:val="nil"/>
              <w:bottom w:val="nil"/>
              <w:right w:val="nil"/>
            </w:tcBorders>
            <w:shd w:val="clear" w:color="auto" w:fill="auto"/>
            <w:noWrap/>
            <w:vAlign w:val="bottom"/>
          </w:tcPr>
          <w:p w14:paraId="1C20147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5BDA15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8.3.31.4</w:t>
            </w:r>
          </w:p>
        </w:tc>
        <w:tc>
          <w:tcPr>
            <w:tcW w:w="5320" w:type="dxa"/>
            <w:tcBorders>
              <w:top w:val="nil"/>
              <w:left w:val="nil"/>
              <w:bottom w:val="nil"/>
              <w:right w:val="nil"/>
            </w:tcBorders>
            <w:shd w:val="clear" w:color="auto" w:fill="auto"/>
            <w:noWrap/>
            <w:vAlign w:val="bottom"/>
            <w:hideMark/>
          </w:tcPr>
          <w:p w14:paraId="26E2B84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Tunnel services</w:t>
            </w:r>
          </w:p>
        </w:tc>
      </w:tr>
      <w:tr w:rsidR="002E2A6E" w:rsidRPr="002E2A6E" w14:paraId="37C97C7E" w14:textId="77777777" w:rsidTr="002E2A6E">
        <w:trPr>
          <w:trHeight w:val="255"/>
        </w:trPr>
        <w:tc>
          <w:tcPr>
            <w:tcW w:w="2580" w:type="dxa"/>
            <w:tcBorders>
              <w:top w:val="nil"/>
              <w:left w:val="nil"/>
              <w:bottom w:val="nil"/>
              <w:right w:val="nil"/>
            </w:tcBorders>
            <w:shd w:val="clear" w:color="auto" w:fill="auto"/>
            <w:noWrap/>
            <w:vAlign w:val="bottom"/>
          </w:tcPr>
          <w:p w14:paraId="4A653DB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28FE26D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8.3.31.6</w:t>
            </w:r>
          </w:p>
        </w:tc>
        <w:tc>
          <w:tcPr>
            <w:tcW w:w="5320" w:type="dxa"/>
            <w:tcBorders>
              <w:top w:val="nil"/>
              <w:left w:val="nil"/>
              <w:bottom w:val="nil"/>
              <w:right w:val="nil"/>
            </w:tcBorders>
            <w:shd w:val="clear" w:color="auto" w:fill="auto"/>
            <w:noWrap/>
            <w:vAlign w:val="bottom"/>
            <w:hideMark/>
          </w:tcPr>
          <w:p w14:paraId="392411B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Maximum trafficable height</w:t>
            </w:r>
          </w:p>
        </w:tc>
      </w:tr>
      <w:tr w:rsidR="002E2A6E" w:rsidRPr="002E2A6E" w14:paraId="3621C185" w14:textId="77777777" w:rsidTr="002E2A6E">
        <w:trPr>
          <w:trHeight w:val="255"/>
        </w:trPr>
        <w:tc>
          <w:tcPr>
            <w:tcW w:w="2580" w:type="dxa"/>
            <w:tcBorders>
              <w:top w:val="nil"/>
              <w:left w:val="nil"/>
              <w:bottom w:val="nil"/>
              <w:right w:val="nil"/>
            </w:tcBorders>
            <w:shd w:val="clear" w:color="auto" w:fill="auto"/>
            <w:noWrap/>
            <w:vAlign w:val="bottom"/>
            <w:hideMark/>
          </w:tcPr>
          <w:p w14:paraId="47B9B8C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Point</w:t>
            </w:r>
          </w:p>
        </w:tc>
        <w:tc>
          <w:tcPr>
            <w:tcW w:w="1060" w:type="dxa"/>
            <w:tcBorders>
              <w:top w:val="nil"/>
              <w:left w:val="nil"/>
              <w:bottom w:val="nil"/>
              <w:right w:val="nil"/>
            </w:tcBorders>
            <w:shd w:val="clear" w:color="auto" w:fill="auto"/>
            <w:noWrap/>
            <w:vAlign w:val="bottom"/>
            <w:hideMark/>
          </w:tcPr>
          <w:p w14:paraId="3AF27D5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7.1.1.2</w:t>
            </w:r>
          </w:p>
        </w:tc>
        <w:tc>
          <w:tcPr>
            <w:tcW w:w="5320" w:type="dxa"/>
            <w:tcBorders>
              <w:top w:val="nil"/>
              <w:left w:val="nil"/>
              <w:bottom w:val="nil"/>
              <w:right w:val="nil"/>
            </w:tcBorders>
            <w:shd w:val="clear" w:color="auto" w:fill="auto"/>
            <w:noWrap/>
            <w:vAlign w:val="bottom"/>
            <w:hideMark/>
          </w:tcPr>
          <w:p w14:paraId="03BE49C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Location distance</w:t>
            </w:r>
          </w:p>
        </w:tc>
      </w:tr>
      <w:tr w:rsidR="002E2A6E" w:rsidRPr="002E2A6E" w14:paraId="76274182" w14:textId="77777777" w:rsidTr="002E2A6E">
        <w:trPr>
          <w:trHeight w:val="255"/>
        </w:trPr>
        <w:tc>
          <w:tcPr>
            <w:tcW w:w="2580" w:type="dxa"/>
            <w:tcBorders>
              <w:top w:val="nil"/>
              <w:left w:val="nil"/>
              <w:bottom w:val="nil"/>
              <w:right w:val="nil"/>
            </w:tcBorders>
            <w:shd w:val="clear" w:color="auto" w:fill="auto"/>
            <w:noWrap/>
            <w:vAlign w:val="bottom"/>
          </w:tcPr>
          <w:p w14:paraId="4809DDD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D8F4DE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7.1.1.7</w:t>
            </w:r>
          </w:p>
        </w:tc>
        <w:tc>
          <w:tcPr>
            <w:tcW w:w="5320" w:type="dxa"/>
            <w:tcBorders>
              <w:top w:val="nil"/>
              <w:left w:val="nil"/>
              <w:bottom w:val="nil"/>
              <w:right w:val="nil"/>
            </w:tcBorders>
            <w:shd w:val="clear" w:color="auto" w:fill="auto"/>
            <w:noWrap/>
            <w:vAlign w:val="bottom"/>
            <w:hideMark/>
          </w:tcPr>
          <w:p w14:paraId="3DAB77F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X coordinate</w:t>
            </w:r>
          </w:p>
        </w:tc>
      </w:tr>
      <w:tr w:rsidR="002E2A6E" w:rsidRPr="002E2A6E" w14:paraId="7EBD891C" w14:textId="77777777" w:rsidTr="002E2A6E">
        <w:trPr>
          <w:trHeight w:val="255"/>
        </w:trPr>
        <w:tc>
          <w:tcPr>
            <w:tcW w:w="2580" w:type="dxa"/>
            <w:tcBorders>
              <w:top w:val="nil"/>
              <w:left w:val="nil"/>
              <w:bottom w:val="nil"/>
              <w:right w:val="nil"/>
            </w:tcBorders>
            <w:shd w:val="clear" w:color="auto" w:fill="auto"/>
            <w:noWrap/>
            <w:vAlign w:val="bottom"/>
          </w:tcPr>
          <w:p w14:paraId="5B090A3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4D8DE4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7.1.1.8</w:t>
            </w:r>
          </w:p>
        </w:tc>
        <w:tc>
          <w:tcPr>
            <w:tcW w:w="5320" w:type="dxa"/>
            <w:tcBorders>
              <w:top w:val="nil"/>
              <w:left w:val="nil"/>
              <w:bottom w:val="nil"/>
              <w:right w:val="nil"/>
            </w:tcBorders>
            <w:shd w:val="clear" w:color="auto" w:fill="auto"/>
            <w:noWrap/>
            <w:vAlign w:val="bottom"/>
            <w:hideMark/>
          </w:tcPr>
          <w:p w14:paraId="0ED439E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Y coordinate</w:t>
            </w:r>
          </w:p>
        </w:tc>
      </w:tr>
      <w:tr w:rsidR="002E2A6E" w:rsidRPr="002E2A6E" w14:paraId="17385CFA" w14:textId="77777777" w:rsidTr="002E2A6E">
        <w:trPr>
          <w:trHeight w:val="255"/>
        </w:trPr>
        <w:tc>
          <w:tcPr>
            <w:tcW w:w="2580" w:type="dxa"/>
            <w:tcBorders>
              <w:top w:val="nil"/>
              <w:left w:val="nil"/>
              <w:bottom w:val="nil"/>
              <w:right w:val="nil"/>
            </w:tcBorders>
            <w:shd w:val="clear" w:color="auto" w:fill="auto"/>
            <w:noWrap/>
            <w:vAlign w:val="bottom"/>
          </w:tcPr>
          <w:p w14:paraId="4841FA9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26378A2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7.1.1.9</w:t>
            </w:r>
          </w:p>
        </w:tc>
        <w:tc>
          <w:tcPr>
            <w:tcW w:w="5320" w:type="dxa"/>
            <w:tcBorders>
              <w:top w:val="nil"/>
              <w:left w:val="nil"/>
              <w:bottom w:val="nil"/>
              <w:right w:val="nil"/>
            </w:tcBorders>
            <w:shd w:val="clear" w:color="auto" w:fill="auto"/>
            <w:noWrap/>
            <w:vAlign w:val="bottom"/>
            <w:hideMark/>
          </w:tcPr>
          <w:p w14:paraId="3BBB304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Z coordinate</w:t>
            </w:r>
          </w:p>
        </w:tc>
      </w:tr>
      <w:tr w:rsidR="002E2A6E" w:rsidRPr="002E2A6E" w14:paraId="447BA46F" w14:textId="77777777" w:rsidTr="002E2A6E">
        <w:trPr>
          <w:trHeight w:val="255"/>
        </w:trPr>
        <w:tc>
          <w:tcPr>
            <w:tcW w:w="2580" w:type="dxa"/>
            <w:tcBorders>
              <w:top w:val="nil"/>
              <w:left w:val="nil"/>
              <w:bottom w:val="nil"/>
              <w:right w:val="nil"/>
            </w:tcBorders>
            <w:shd w:val="clear" w:color="auto" w:fill="auto"/>
            <w:noWrap/>
            <w:vAlign w:val="bottom"/>
            <w:hideMark/>
          </w:tcPr>
          <w:p w14:paraId="6853B15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Polyline</w:t>
            </w:r>
          </w:p>
        </w:tc>
        <w:tc>
          <w:tcPr>
            <w:tcW w:w="1060" w:type="dxa"/>
            <w:tcBorders>
              <w:top w:val="nil"/>
              <w:left w:val="nil"/>
              <w:bottom w:val="nil"/>
              <w:right w:val="nil"/>
            </w:tcBorders>
            <w:shd w:val="clear" w:color="auto" w:fill="auto"/>
            <w:noWrap/>
            <w:vAlign w:val="bottom"/>
            <w:hideMark/>
          </w:tcPr>
          <w:p w14:paraId="6DC7649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7.1.2.11</w:t>
            </w:r>
          </w:p>
        </w:tc>
        <w:tc>
          <w:tcPr>
            <w:tcW w:w="5320" w:type="dxa"/>
            <w:tcBorders>
              <w:top w:val="nil"/>
              <w:left w:val="nil"/>
              <w:bottom w:val="nil"/>
              <w:right w:val="nil"/>
            </w:tcBorders>
            <w:shd w:val="clear" w:color="auto" w:fill="auto"/>
            <w:noWrap/>
            <w:vAlign w:val="bottom"/>
            <w:hideMark/>
          </w:tcPr>
          <w:p w14:paraId="156AFD1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Vertical datum</w:t>
            </w:r>
          </w:p>
        </w:tc>
      </w:tr>
      <w:tr w:rsidR="002E2A6E" w:rsidRPr="002E2A6E" w14:paraId="6C897D9E" w14:textId="77777777" w:rsidTr="002E2A6E">
        <w:trPr>
          <w:trHeight w:val="255"/>
        </w:trPr>
        <w:tc>
          <w:tcPr>
            <w:tcW w:w="2580" w:type="dxa"/>
            <w:tcBorders>
              <w:top w:val="nil"/>
              <w:left w:val="nil"/>
              <w:bottom w:val="nil"/>
              <w:right w:val="nil"/>
            </w:tcBorders>
            <w:shd w:val="clear" w:color="auto" w:fill="auto"/>
            <w:noWrap/>
            <w:vAlign w:val="bottom"/>
          </w:tcPr>
          <w:p w14:paraId="56600AB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D87165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7.1.2.12</w:t>
            </w:r>
          </w:p>
        </w:tc>
        <w:tc>
          <w:tcPr>
            <w:tcW w:w="5320" w:type="dxa"/>
            <w:tcBorders>
              <w:top w:val="nil"/>
              <w:left w:val="nil"/>
              <w:bottom w:val="nil"/>
              <w:right w:val="nil"/>
            </w:tcBorders>
            <w:shd w:val="clear" w:color="auto" w:fill="auto"/>
            <w:noWrap/>
            <w:vAlign w:val="bottom"/>
            <w:hideMark/>
          </w:tcPr>
          <w:p w14:paraId="02720DD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X coordinate start</w:t>
            </w:r>
          </w:p>
        </w:tc>
      </w:tr>
      <w:tr w:rsidR="002E2A6E" w:rsidRPr="002E2A6E" w14:paraId="29106DA9" w14:textId="77777777" w:rsidTr="002E2A6E">
        <w:trPr>
          <w:trHeight w:val="255"/>
        </w:trPr>
        <w:tc>
          <w:tcPr>
            <w:tcW w:w="2580" w:type="dxa"/>
            <w:tcBorders>
              <w:top w:val="nil"/>
              <w:left w:val="nil"/>
              <w:bottom w:val="nil"/>
              <w:right w:val="nil"/>
            </w:tcBorders>
            <w:shd w:val="clear" w:color="auto" w:fill="auto"/>
            <w:noWrap/>
            <w:vAlign w:val="bottom"/>
          </w:tcPr>
          <w:p w14:paraId="71A4FD0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18CC6C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7.1.2.13</w:t>
            </w:r>
          </w:p>
        </w:tc>
        <w:tc>
          <w:tcPr>
            <w:tcW w:w="5320" w:type="dxa"/>
            <w:tcBorders>
              <w:top w:val="nil"/>
              <w:left w:val="nil"/>
              <w:bottom w:val="nil"/>
              <w:right w:val="nil"/>
            </w:tcBorders>
            <w:shd w:val="clear" w:color="auto" w:fill="auto"/>
            <w:noWrap/>
            <w:vAlign w:val="bottom"/>
            <w:hideMark/>
          </w:tcPr>
          <w:p w14:paraId="70B3495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Y coordinate start</w:t>
            </w:r>
          </w:p>
        </w:tc>
      </w:tr>
      <w:tr w:rsidR="002E2A6E" w:rsidRPr="002E2A6E" w14:paraId="76F6697A" w14:textId="77777777" w:rsidTr="002E2A6E">
        <w:trPr>
          <w:trHeight w:val="255"/>
        </w:trPr>
        <w:tc>
          <w:tcPr>
            <w:tcW w:w="2580" w:type="dxa"/>
            <w:tcBorders>
              <w:top w:val="nil"/>
              <w:left w:val="nil"/>
              <w:bottom w:val="nil"/>
              <w:right w:val="nil"/>
            </w:tcBorders>
            <w:shd w:val="clear" w:color="auto" w:fill="auto"/>
            <w:noWrap/>
            <w:vAlign w:val="bottom"/>
          </w:tcPr>
          <w:p w14:paraId="764BBFF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30F485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7.1.2.14</w:t>
            </w:r>
          </w:p>
        </w:tc>
        <w:tc>
          <w:tcPr>
            <w:tcW w:w="5320" w:type="dxa"/>
            <w:tcBorders>
              <w:top w:val="nil"/>
              <w:left w:val="nil"/>
              <w:bottom w:val="nil"/>
              <w:right w:val="nil"/>
            </w:tcBorders>
            <w:shd w:val="clear" w:color="auto" w:fill="auto"/>
            <w:noWrap/>
            <w:vAlign w:val="bottom"/>
            <w:hideMark/>
          </w:tcPr>
          <w:p w14:paraId="0C56BF5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Y coordinate end</w:t>
            </w:r>
          </w:p>
        </w:tc>
      </w:tr>
      <w:tr w:rsidR="002E2A6E" w:rsidRPr="002E2A6E" w14:paraId="0842267F" w14:textId="77777777" w:rsidTr="002E2A6E">
        <w:trPr>
          <w:trHeight w:val="255"/>
        </w:trPr>
        <w:tc>
          <w:tcPr>
            <w:tcW w:w="2580" w:type="dxa"/>
            <w:tcBorders>
              <w:top w:val="nil"/>
              <w:left w:val="nil"/>
              <w:bottom w:val="nil"/>
              <w:right w:val="nil"/>
            </w:tcBorders>
            <w:shd w:val="clear" w:color="auto" w:fill="auto"/>
            <w:noWrap/>
            <w:vAlign w:val="bottom"/>
          </w:tcPr>
          <w:p w14:paraId="6639727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44E936E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7.1.2.15</w:t>
            </w:r>
          </w:p>
        </w:tc>
        <w:tc>
          <w:tcPr>
            <w:tcW w:w="5320" w:type="dxa"/>
            <w:tcBorders>
              <w:top w:val="nil"/>
              <w:left w:val="nil"/>
              <w:bottom w:val="nil"/>
              <w:right w:val="nil"/>
            </w:tcBorders>
            <w:shd w:val="clear" w:color="auto" w:fill="auto"/>
            <w:noWrap/>
            <w:vAlign w:val="bottom"/>
            <w:hideMark/>
          </w:tcPr>
          <w:p w14:paraId="41EBA5B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X coordinate end</w:t>
            </w:r>
          </w:p>
        </w:tc>
      </w:tr>
      <w:tr w:rsidR="002E2A6E" w:rsidRPr="002E2A6E" w14:paraId="0394B85A" w14:textId="77777777" w:rsidTr="002E2A6E">
        <w:trPr>
          <w:trHeight w:val="255"/>
        </w:trPr>
        <w:tc>
          <w:tcPr>
            <w:tcW w:w="2580" w:type="dxa"/>
            <w:tcBorders>
              <w:top w:val="nil"/>
              <w:left w:val="nil"/>
              <w:bottom w:val="nil"/>
              <w:right w:val="nil"/>
            </w:tcBorders>
            <w:shd w:val="clear" w:color="auto" w:fill="auto"/>
            <w:noWrap/>
            <w:vAlign w:val="bottom"/>
          </w:tcPr>
          <w:p w14:paraId="6CCB79A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506D94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7.1.2.16</w:t>
            </w:r>
          </w:p>
        </w:tc>
        <w:tc>
          <w:tcPr>
            <w:tcW w:w="5320" w:type="dxa"/>
            <w:tcBorders>
              <w:top w:val="nil"/>
              <w:left w:val="nil"/>
              <w:bottom w:val="nil"/>
              <w:right w:val="nil"/>
            </w:tcBorders>
            <w:shd w:val="clear" w:color="auto" w:fill="auto"/>
            <w:noWrap/>
            <w:vAlign w:val="bottom"/>
            <w:hideMark/>
          </w:tcPr>
          <w:p w14:paraId="02C9678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Z coordinate start</w:t>
            </w:r>
          </w:p>
        </w:tc>
      </w:tr>
      <w:tr w:rsidR="002E2A6E" w:rsidRPr="002E2A6E" w14:paraId="0E9F47B1" w14:textId="77777777" w:rsidTr="002E2A6E">
        <w:trPr>
          <w:trHeight w:val="255"/>
        </w:trPr>
        <w:tc>
          <w:tcPr>
            <w:tcW w:w="2580" w:type="dxa"/>
            <w:tcBorders>
              <w:top w:val="nil"/>
              <w:left w:val="nil"/>
              <w:bottom w:val="nil"/>
              <w:right w:val="nil"/>
            </w:tcBorders>
            <w:shd w:val="clear" w:color="auto" w:fill="auto"/>
            <w:noWrap/>
            <w:vAlign w:val="bottom"/>
          </w:tcPr>
          <w:p w14:paraId="7B710B2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AC6637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7.1.2.17</w:t>
            </w:r>
          </w:p>
        </w:tc>
        <w:tc>
          <w:tcPr>
            <w:tcW w:w="5320" w:type="dxa"/>
            <w:tcBorders>
              <w:top w:val="nil"/>
              <w:left w:val="nil"/>
              <w:bottom w:val="nil"/>
              <w:right w:val="nil"/>
            </w:tcBorders>
            <w:shd w:val="clear" w:color="auto" w:fill="auto"/>
            <w:noWrap/>
            <w:vAlign w:val="bottom"/>
            <w:hideMark/>
          </w:tcPr>
          <w:p w14:paraId="67E31B6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Z coordinate end</w:t>
            </w:r>
          </w:p>
        </w:tc>
      </w:tr>
      <w:tr w:rsidR="002E2A6E" w:rsidRPr="002E2A6E" w14:paraId="4FEE3327" w14:textId="77777777" w:rsidTr="002E2A6E">
        <w:trPr>
          <w:trHeight w:val="255"/>
        </w:trPr>
        <w:tc>
          <w:tcPr>
            <w:tcW w:w="2580" w:type="dxa"/>
            <w:tcBorders>
              <w:top w:val="nil"/>
              <w:left w:val="nil"/>
              <w:bottom w:val="nil"/>
              <w:right w:val="nil"/>
            </w:tcBorders>
            <w:shd w:val="clear" w:color="auto" w:fill="auto"/>
            <w:noWrap/>
            <w:vAlign w:val="bottom"/>
            <w:hideMark/>
          </w:tcPr>
          <w:p w14:paraId="0F8DFBC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Polygon</w:t>
            </w:r>
          </w:p>
        </w:tc>
        <w:tc>
          <w:tcPr>
            <w:tcW w:w="1060" w:type="dxa"/>
            <w:tcBorders>
              <w:top w:val="nil"/>
              <w:left w:val="nil"/>
              <w:bottom w:val="nil"/>
              <w:right w:val="nil"/>
            </w:tcBorders>
            <w:shd w:val="clear" w:color="auto" w:fill="auto"/>
            <w:noWrap/>
            <w:vAlign w:val="bottom"/>
            <w:hideMark/>
          </w:tcPr>
          <w:p w14:paraId="5501277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7.1.3.11</w:t>
            </w:r>
          </w:p>
        </w:tc>
        <w:tc>
          <w:tcPr>
            <w:tcW w:w="5320" w:type="dxa"/>
            <w:tcBorders>
              <w:top w:val="nil"/>
              <w:left w:val="nil"/>
              <w:bottom w:val="nil"/>
              <w:right w:val="nil"/>
            </w:tcBorders>
            <w:shd w:val="clear" w:color="auto" w:fill="auto"/>
            <w:noWrap/>
            <w:vAlign w:val="bottom"/>
            <w:hideMark/>
          </w:tcPr>
          <w:p w14:paraId="2854953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Vertical datum</w:t>
            </w:r>
          </w:p>
        </w:tc>
      </w:tr>
      <w:tr w:rsidR="002E2A6E" w:rsidRPr="002E2A6E" w14:paraId="0736FA59" w14:textId="77777777" w:rsidTr="002E2A6E">
        <w:trPr>
          <w:trHeight w:val="255"/>
        </w:trPr>
        <w:tc>
          <w:tcPr>
            <w:tcW w:w="2580" w:type="dxa"/>
            <w:tcBorders>
              <w:top w:val="nil"/>
              <w:left w:val="nil"/>
              <w:bottom w:val="nil"/>
              <w:right w:val="nil"/>
            </w:tcBorders>
            <w:shd w:val="clear" w:color="auto" w:fill="auto"/>
            <w:noWrap/>
            <w:vAlign w:val="bottom"/>
            <w:hideMark/>
          </w:tcPr>
          <w:p w14:paraId="002D51E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Network</w:t>
            </w:r>
          </w:p>
        </w:tc>
        <w:tc>
          <w:tcPr>
            <w:tcW w:w="1060" w:type="dxa"/>
            <w:tcBorders>
              <w:top w:val="nil"/>
              <w:left w:val="nil"/>
              <w:bottom w:val="nil"/>
              <w:right w:val="nil"/>
            </w:tcBorders>
            <w:shd w:val="clear" w:color="auto" w:fill="auto"/>
            <w:noWrap/>
            <w:vAlign w:val="bottom"/>
            <w:hideMark/>
          </w:tcPr>
          <w:p w14:paraId="65AB287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w:t>
            </w:r>
          </w:p>
        </w:tc>
        <w:tc>
          <w:tcPr>
            <w:tcW w:w="5320" w:type="dxa"/>
            <w:tcBorders>
              <w:top w:val="nil"/>
              <w:left w:val="nil"/>
              <w:bottom w:val="nil"/>
              <w:right w:val="nil"/>
            </w:tcBorders>
            <w:shd w:val="clear" w:color="auto" w:fill="auto"/>
            <w:noWrap/>
            <w:vAlign w:val="bottom"/>
            <w:hideMark/>
          </w:tcPr>
          <w:p w14:paraId="723C1D25" w14:textId="43CA9D82"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Network n</w:t>
            </w:r>
            <w:r w:rsidR="002E2A6E" w:rsidRPr="002E2A6E">
              <w:rPr>
                <w:rFonts w:ascii="Calibri" w:eastAsia="Times New Roman" w:hAnsi="Calibri" w:cs="Times New Roman"/>
                <w:color w:val="000000"/>
                <w:sz w:val="20"/>
                <w:szCs w:val="20"/>
                <w:lang w:eastAsia="en-AU"/>
              </w:rPr>
              <w:t>ame</w:t>
            </w:r>
          </w:p>
        </w:tc>
      </w:tr>
      <w:tr w:rsidR="002E2A6E" w:rsidRPr="002E2A6E" w14:paraId="763341E2" w14:textId="77777777" w:rsidTr="002E2A6E">
        <w:trPr>
          <w:trHeight w:val="255"/>
        </w:trPr>
        <w:tc>
          <w:tcPr>
            <w:tcW w:w="2580" w:type="dxa"/>
            <w:tcBorders>
              <w:top w:val="nil"/>
              <w:left w:val="nil"/>
              <w:bottom w:val="nil"/>
              <w:right w:val="nil"/>
            </w:tcBorders>
            <w:shd w:val="clear" w:color="auto" w:fill="auto"/>
            <w:noWrap/>
            <w:vAlign w:val="bottom"/>
            <w:hideMark/>
          </w:tcPr>
          <w:p w14:paraId="632EDD0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Node</w:t>
            </w:r>
          </w:p>
        </w:tc>
        <w:tc>
          <w:tcPr>
            <w:tcW w:w="1060" w:type="dxa"/>
            <w:tcBorders>
              <w:top w:val="nil"/>
              <w:left w:val="nil"/>
              <w:bottom w:val="nil"/>
              <w:right w:val="nil"/>
            </w:tcBorders>
            <w:shd w:val="clear" w:color="auto" w:fill="auto"/>
            <w:noWrap/>
            <w:vAlign w:val="bottom"/>
            <w:hideMark/>
          </w:tcPr>
          <w:p w14:paraId="17E163C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8.1.2</w:t>
            </w:r>
          </w:p>
        </w:tc>
        <w:tc>
          <w:tcPr>
            <w:tcW w:w="5320" w:type="dxa"/>
            <w:tcBorders>
              <w:top w:val="nil"/>
              <w:left w:val="nil"/>
              <w:bottom w:val="nil"/>
              <w:right w:val="nil"/>
            </w:tcBorders>
            <w:shd w:val="clear" w:color="auto" w:fill="auto"/>
            <w:noWrap/>
            <w:vAlign w:val="bottom"/>
            <w:hideMark/>
          </w:tcPr>
          <w:p w14:paraId="3CBE93A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Node ID</w:t>
            </w:r>
          </w:p>
        </w:tc>
      </w:tr>
      <w:tr w:rsidR="002E2A6E" w:rsidRPr="002E2A6E" w14:paraId="205E4F0D" w14:textId="77777777" w:rsidTr="002E2A6E">
        <w:trPr>
          <w:trHeight w:val="255"/>
        </w:trPr>
        <w:tc>
          <w:tcPr>
            <w:tcW w:w="2580" w:type="dxa"/>
            <w:tcBorders>
              <w:top w:val="nil"/>
              <w:left w:val="nil"/>
              <w:bottom w:val="nil"/>
              <w:right w:val="nil"/>
            </w:tcBorders>
            <w:shd w:val="clear" w:color="auto" w:fill="auto"/>
            <w:noWrap/>
            <w:vAlign w:val="bottom"/>
          </w:tcPr>
          <w:p w14:paraId="2773819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53FA63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8.1.3</w:t>
            </w:r>
          </w:p>
        </w:tc>
        <w:tc>
          <w:tcPr>
            <w:tcW w:w="5320" w:type="dxa"/>
            <w:tcBorders>
              <w:top w:val="nil"/>
              <w:left w:val="nil"/>
              <w:bottom w:val="nil"/>
              <w:right w:val="nil"/>
            </w:tcBorders>
            <w:shd w:val="clear" w:color="auto" w:fill="auto"/>
            <w:noWrap/>
            <w:vAlign w:val="bottom"/>
            <w:hideMark/>
          </w:tcPr>
          <w:p w14:paraId="45D891C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X coordinate start node</w:t>
            </w:r>
          </w:p>
        </w:tc>
      </w:tr>
      <w:tr w:rsidR="002E2A6E" w:rsidRPr="002E2A6E" w14:paraId="7AAFDA7F" w14:textId="77777777" w:rsidTr="002E2A6E">
        <w:trPr>
          <w:trHeight w:val="255"/>
        </w:trPr>
        <w:tc>
          <w:tcPr>
            <w:tcW w:w="2580" w:type="dxa"/>
            <w:tcBorders>
              <w:top w:val="nil"/>
              <w:left w:val="nil"/>
              <w:bottom w:val="nil"/>
              <w:right w:val="nil"/>
            </w:tcBorders>
            <w:shd w:val="clear" w:color="auto" w:fill="auto"/>
            <w:noWrap/>
            <w:vAlign w:val="bottom"/>
          </w:tcPr>
          <w:p w14:paraId="5D0B569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7052FB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w:t>
            </w:r>
          </w:p>
        </w:tc>
        <w:tc>
          <w:tcPr>
            <w:tcW w:w="5320" w:type="dxa"/>
            <w:tcBorders>
              <w:top w:val="nil"/>
              <w:left w:val="nil"/>
              <w:bottom w:val="nil"/>
              <w:right w:val="nil"/>
            </w:tcBorders>
            <w:shd w:val="clear" w:color="auto" w:fill="auto"/>
            <w:noWrap/>
            <w:vAlign w:val="bottom"/>
            <w:hideMark/>
          </w:tcPr>
          <w:p w14:paraId="3D04C2B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Y coordinate start node</w:t>
            </w:r>
          </w:p>
        </w:tc>
      </w:tr>
      <w:tr w:rsidR="002E2A6E" w:rsidRPr="002E2A6E" w14:paraId="7DC09747" w14:textId="77777777" w:rsidTr="002E2A6E">
        <w:trPr>
          <w:trHeight w:val="255"/>
        </w:trPr>
        <w:tc>
          <w:tcPr>
            <w:tcW w:w="2580" w:type="dxa"/>
            <w:tcBorders>
              <w:top w:val="nil"/>
              <w:left w:val="nil"/>
              <w:bottom w:val="nil"/>
              <w:right w:val="nil"/>
            </w:tcBorders>
            <w:shd w:val="clear" w:color="auto" w:fill="auto"/>
            <w:noWrap/>
            <w:vAlign w:val="bottom"/>
          </w:tcPr>
          <w:p w14:paraId="475E346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40DD77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8.1.5</w:t>
            </w:r>
          </w:p>
        </w:tc>
        <w:tc>
          <w:tcPr>
            <w:tcW w:w="5320" w:type="dxa"/>
            <w:tcBorders>
              <w:top w:val="nil"/>
              <w:left w:val="nil"/>
              <w:bottom w:val="nil"/>
              <w:right w:val="nil"/>
            </w:tcBorders>
            <w:shd w:val="clear" w:color="auto" w:fill="auto"/>
            <w:noWrap/>
            <w:vAlign w:val="bottom"/>
            <w:hideMark/>
          </w:tcPr>
          <w:p w14:paraId="2210E8D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Z coordinate start node</w:t>
            </w:r>
          </w:p>
        </w:tc>
      </w:tr>
      <w:tr w:rsidR="002E2A6E" w:rsidRPr="002E2A6E" w14:paraId="3955729E" w14:textId="77777777" w:rsidTr="002E2A6E">
        <w:trPr>
          <w:trHeight w:val="255"/>
        </w:trPr>
        <w:tc>
          <w:tcPr>
            <w:tcW w:w="2580" w:type="dxa"/>
            <w:tcBorders>
              <w:top w:val="nil"/>
              <w:left w:val="nil"/>
              <w:bottom w:val="nil"/>
              <w:right w:val="nil"/>
            </w:tcBorders>
            <w:shd w:val="clear" w:color="auto" w:fill="auto"/>
            <w:noWrap/>
            <w:vAlign w:val="bottom"/>
          </w:tcPr>
          <w:p w14:paraId="60787A9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90335F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8.1.6</w:t>
            </w:r>
          </w:p>
        </w:tc>
        <w:tc>
          <w:tcPr>
            <w:tcW w:w="5320" w:type="dxa"/>
            <w:tcBorders>
              <w:top w:val="nil"/>
              <w:left w:val="nil"/>
              <w:bottom w:val="nil"/>
              <w:right w:val="nil"/>
            </w:tcBorders>
            <w:shd w:val="clear" w:color="auto" w:fill="auto"/>
            <w:noWrap/>
            <w:vAlign w:val="bottom"/>
            <w:hideMark/>
          </w:tcPr>
          <w:p w14:paraId="5B391E8A" w14:textId="50892E44"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X coordinate end n</w:t>
            </w:r>
            <w:r w:rsidR="002E2A6E" w:rsidRPr="002E2A6E">
              <w:rPr>
                <w:rFonts w:ascii="Calibri" w:eastAsia="Times New Roman" w:hAnsi="Calibri" w:cs="Times New Roman"/>
                <w:color w:val="000000"/>
                <w:sz w:val="20"/>
                <w:szCs w:val="20"/>
                <w:lang w:eastAsia="en-AU"/>
              </w:rPr>
              <w:t>ode</w:t>
            </w:r>
          </w:p>
        </w:tc>
      </w:tr>
      <w:tr w:rsidR="002E2A6E" w:rsidRPr="002E2A6E" w14:paraId="7CE66EDB" w14:textId="77777777" w:rsidTr="002E2A6E">
        <w:trPr>
          <w:trHeight w:val="255"/>
        </w:trPr>
        <w:tc>
          <w:tcPr>
            <w:tcW w:w="2580" w:type="dxa"/>
            <w:tcBorders>
              <w:top w:val="nil"/>
              <w:left w:val="nil"/>
              <w:bottom w:val="nil"/>
              <w:right w:val="nil"/>
            </w:tcBorders>
            <w:shd w:val="clear" w:color="auto" w:fill="auto"/>
            <w:noWrap/>
            <w:vAlign w:val="bottom"/>
          </w:tcPr>
          <w:p w14:paraId="1E1AF31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AED5F9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8.1.7</w:t>
            </w:r>
          </w:p>
        </w:tc>
        <w:tc>
          <w:tcPr>
            <w:tcW w:w="5320" w:type="dxa"/>
            <w:tcBorders>
              <w:top w:val="nil"/>
              <w:left w:val="nil"/>
              <w:bottom w:val="nil"/>
              <w:right w:val="nil"/>
            </w:tcBorders>
            <w:shd w:val="clear" w:color="auto" w:fill="auto"/>
            <w:noWrap/>
            <w:vAlign w:val="bottom"/>
            <w:hideMark/>
          </w:tcPr>
          <w:p w14:paraId="4F795609" w14:textId="1A522132"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Y coordinate end n</w:t>
            </w:r>
            <w:r w:rsidR="002E2A6E" w:rsidRPr="002E2A6E">
              <w:rPr>
                <w:rFonts w:ascii="Calibri" w:eastAsia="Times New Roman" w:hAnsi="Calibri" w:cs="Times New Roman"/>
                <w:color w:val="000000"/>
                <w:sz w:val="20"/>
                <w:szCs w:val="20"/>
                <w:lang w:eastAsia="en-AU"/>
              </w:rPr>
              <w:t>ode</w:t>
            </w:r>
          </w:p>
        </w:tc>
      </w:tr>
      <w:tr w:rsidR="002E2A6E" w:rsidRPr="002E2A6E" w14:paraId="5A9FAD7C" w14:textId="77777777" w:rsidTr="002E2A6E">
        <w:trPr>
          <w:trHeight w:val="255"/>
        </w:trPr>
        <w:tc>
          <w:tcPr>
            <w:tcW w:w="2580" w:type="dxa"/>
            <w:tcBorders>
              <w:top w:val="nil"/>
              <w:left w:val="nil"/>
              <w:bottom w:val="nil"/>
              <w:right w:val="nil"/>
            </w:tcBorders>
            <w:shd w:val="clear" w:color="auto" w:fill="auto"/>
            <w:noWrap/>
            <w:vAlign w:val="bottom"/>
          </w:tcPr>
          <w:p w14:paraId="2F37D4B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BE89F2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8.1.8</w:t>
            </w:r>
          </w:p>
        </w:tc>
        <w:tc>
          <w:tcPr>
            <w:tcW w:w="5320" w:type="dxa"/>
            <w:tcBorders>
              <w:top w:val="nil"/>
              <w:left w:val="nil"/>
              <w:bottom w:val="nil"/>
              <w:right w:val="nil"/>
            </w:tcBorders>
            <w:shd w:val="clear" w:color="auto" w:fill="auto"/>
            <w:noWrap/>
            <w:vAlign w:val="bottom"/>
            <w:hideMark/>
          </w:tcPr>
          <w:p w14:paraId="762DEB10" w14:textId="308F9B89"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Z coordinate end n</w:t>
            </w:r>
            <w:r w:rsidR="002E2A6E" w:rsidRPr="002E2A6E">
              <w:rPr>
                <w:rFonts w:ascii="Calibri" w:eastAsia="Times New Roman" w:hAnsi="Calibri" w:cs="Times New Roman"/>
                <w:color w:val="000000"/>
                <w:sz w:val="20"/>
                <w:szCs w:val="20"/>
                <w:lang w:eastAsia="en-AU"/>
              </w:rPr>
              <w:t>ode</w:t>
            </w:r>
          </w:p>
        </w:tc>
      </w:tr>
      <w:tr w:rsidR="002E2A6E" w:rsidRPr="002E2A6E" w14:paraId="498CE94D" w14:textId="77777777" w:rsidTr="002E2A6E">
        <w:trPr>
          <w:trHeight w:val="255"/>
        </w:trPr>
        <w:tc>
          <w:tcPr>
            <w:tcW w:w="2580" w:type="dxa"/>
            <w:tcBorders>
              <w:top w:val="nil"/>
              <w:left w:val="nil"/>
              <w:bottom w:val="nil"/>
              <w:right w:val="nil"/>
            </w:tcBorders>
            <w:shd w:val="clear" w:color="auto" w:fill="auto"/>
            <w:noWrap/>
            <w:vAlign w:val="bottom"/>
            <w:hideMark/>
          </w:tcPr>
          <w:p w14:paraId="3ACF64C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Road</w:t>
            </w:r>
          </w:p>
        </w:tc>
        <w:tc>
          <w:tcPr>
            <w:tcW w:w="1060" w:type="dxa"/>
            <w:tcBorders>
              <w:top w:val="nil"/>
              <w:left w:val="nil"/>
              <w:bottom w:val="nil"/>
              <w:right w:val="nil"/>
            </w:tcBorders>
            <w:shd w:val="clear" w:color="auto" w:fill="auto"/>
            <w:noWrap/>
            <w:vAlign w:val="bottom"/>
            <w:hideMark/>
          </w:tcPr>
          <w:p w14:paraId="415B2F3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8.1.12</w:t>
            </w:r>
          </w:p>
        </w:tc>
        <w:tc>
          <w:tcPr>
            <w:tcW w:w="5320" w:type="dxa"/>
            <w:tcBorders>
              <w:top w:val="nil"/>
              <w:left w:val="nil"/>
              <w:bottom w:val="nil"/>
              <w:right w:val="nil"/>
            </w:tcBorders>
            <w:shd w:val="clear" w:color="auto" w:fill="auto"/>
            <w:noWrap/>
            <w:vAlign w:val="bottom"/>
            <w:hideMark/>
          </w:tcPr>
          <w:p w14:paraId="622F3EE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Road ID</w:t>
            </w:r>
          </w:p>
        </w:tc>
      </w:tr>
      <w:tr w:rsidR="002E2A6E" w:rsidRPr="002E2A6E" w14:paraId="1E42DC59" w14:textId="77777777" w:rsidTr="002E2A6E">
        <w:trPr>
          <w:trHeight w:val="255"/>
        </w:trPr>
        <w:tc>
          <w:tcPr>
            <w:tcW w:w="2580" w:type="dxa"/>
            <w:tcBorders>
              <w:top w:val="nil"/>
              <w:left w:val="nil"/>
              <w:bottom w:val="nil"/>
              <w:right w:val="nil"/>
            </w:tcBorders>
            <w:shd w:val="clear" w:color="auto" w:fill="auto"/>
            <w:noWrap/>
            <w:vAlign w:val="bottom"/>
          </w:tcPr>
          <w:p w14:paraId="3DDF107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187180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8.1.13</w:t>
            </w:r>
          </w:p>
        </w:tc>
        <w:tc>
          <w:tcPr>
            <w:tcW w:w="5320" w:type="dxa"/>
            <w:tcBorders>
              <w:top w:val="nil"/>
              <w:left w:val="nil"/>
              <w:bottom w:val="nil"/>
              <w:right w:val="nil"/>
            </w:tcBorders>
            <w:shd w:val="clear" w:color="auto" w:fill="auto"/>
            <w:noWrap/>
            <w:vAlign w:val="bottom"/>
            <w:hideMark/>
          </w:tcPr>
          <w:p w14:paraId="26B2390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Road name</w:t>
            </w:r>
          </w:p>
        </w:tc>
      </w:tr>
      <w:tr w:rsidR="002E2A6E" w:rsidRPr="002E2A6E" w14:paraId="6132FCA0" w14:textId="77777777" w:rsidTr="002E2A6E">
        <w:trPr>
          <w:trHeight w:val="255"/>
        </w:trPr>
        <w:tc>
          <w:tcPr>
            <w:tcW w:w="2580" w:type="dxa"/>
            <w:tcBorders>
              <w:top w:val="nil"/>
              <w:left w:val="nil"/>
              <w:bottom w:val="nil"/>
              <w:right w:val="nil"/>
            </w:tcBorders>
            <w:shd w:val="clear" w:color="auto" w:fill="auto"/>
            <w:noWrap/>
            <w:vAlign w:val="bottom"/>
          </w:tcPr>
          <w:p w14:paraId="060C002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56E860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8.1.14</w:t>
            </w:r>
          </w:p>
        </w:tc>
        <w:tc>
          <w:tcPr>
            <w:tcW w:w="5320" w:type="dxa"/>
            <w:tcBorders>
              <w:top w:val="nil"/>
              <w:left w:val="nil"/>
              <w:bottom w:val="nil"/>
              <w:right w:val="nil"/>
            </w:tcBorders>
            <w:shd w:val="clear" w:color="auto" w:fill="auto"/>
            <w:noWrap/>
            <w:vAlign w:val="bottom"/>
            <w:hideMark/>
          </w:tcPr>
          <w:p w14:paraId="4C18745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Road Length</w:t>
            </w:r>
          </w:p>
        </w:tc>
      </w:tr>
      <w:tr w:rsidR="002E2A6E" w:rsidRPr="002E2A6E" w14:paraId="0EB96FC7" w14:textId="77777777" w:rsidTr="002E2A6E">
        <w:trPr>
          <w:trHeight w:val="255"/>
        </w:trPr>
        <w:tc>
          <w:tcPr>
            <w:tcW w:w="2580" w:type="dxa"/>
            <w:tcBorders>
              <w:top w:val="nil"/>
              <w:left w:val="nil"/>
              <w:bottom w:val="nil"/>
              <w:right w:val="nil"/>
            </w:tcBorders>
            <w:shd w:val="clear" w:color="auto" w:fill="auto"/>
            <w:noWrap/>
            <w:vAlign w:val="bottom"/>
          </w:tcPr>
          <w:p w14:paraId="7C125E9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7C49AB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8.1.15</w:t>
            </w:r>
          </w:p>
        </w:tc>
        <w:tc>
          <w:tcPr>
            <w:tcW w:w="5320" w:type="dxa"/>
            <w:tcBorders>
              <w:top w:val="nil"/>
              <w:left w:val="nil"/>
              <w:bottom w:val="nil"/>
              <w:right w:val="nil"/>
            </w:tcBorders>
            <w:shd w:val="clear" w:color="auto" w:fill="auto"/>
            <w:noWrap/>
            <w:vAlign w:val="bottom"/>
            <w:hideMark/>
          </w:tcPr>
          <w:p w14:paraId="7C70CEC6" w14:textId="2D26457C"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Lane kilometre l</w:t>
            </w:r>
            <w:r w:rsidR="002E2A6E" w:rsidRPr="002E2A6E">
              <w:rPr>
                <w:rFonts w:ascii="Calibri" w:eastAsia="Times New Roman" w:hAnsi="Calibri" w:cs="Times New Roman"/>
                <w:color w:val="000000"/>
                <w:sz w:val="20"/>
                <w:szCs w:val="20"/>
                <w:lang w:eastAsia="en-AU"/>
              </w:rPr>
              <w:t>ength</w:t>
            </w:r>
          </w:p>
        </w:tc>
      </w:tr>
      <w:tr w:rsidR="002E2A6E" w:rsidRPr="002E2A6E" w14:paraId="7D137D32" w14:textId="77777777" w:rsidTr="002E2A6E">
        <w:trPr>
          <w:trHeight w:val="255"/>
        </w:trPr>
        <w:tc>
          <w:tcPr>
            <w:tcW w:w="2580" w:type="dxa"/>
            <w:tcBorders>
              <w:top w:val="nil"/>
              <w:left w:val="nil"/>
              <w:bottom w:val="nil"/>
              <w:right w:val="nil"/>
            </w:tcBorders>
            <w:shd w:val="clear" w:color="auto" w:fill="auto"/>
            <w:noWrap/>
            <w:vAlign w:val="bottom"/>
          </w:tcPr>
          <w:p w14:paraId="7B01E3D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28F3C1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8.1.17</w:t>
            </w:r>
          </w:p>
        </w:tc>
        <w:tc>
          <w:tcPr>
            <w:tcW w:w="5320" w:type="dxa"/>
            <w:tcBorders>
              <w:top w:val="nil"/>
              <w:left w:val="nil"/>
              <w:bottom w:val="nil"/>
              <w:right w:val="nil"/>
            </w:tcBorders>
            <w:shd w:val="clear" w:color="auto" w:fill="auto"/>
            <w:noWrap/>
            <w:vAlign w:val="bottom"/>
            <w:hideMark/>
          </w:tcPr>
          <w:p w14:paraId="1C016885" w14:textId="4059B0EB"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Number of bridge s</w:t>
            </w:r>
            <w:r w:rsidR="002E2A6E" w:rsidRPr="002E2A6E">
              <w:rPr>
                <w:rFonts w:ascii="Calibri" w:eastAsia="Times New Roman" w:hAnsi="Calibri" w:cs="Times New Roman"/>
                <w:color w:val="000000"/>
                <w:sz w:val="20"/>
                <w:szCs w:val="20"/>
                <w:lang w:eastAsia="en-AU"/>
              </w:rPr>
              <w:t>tructures</w:t>
            </w:r>
          </w:p>
        </w:tc>
      </w:tr>
      <w:tr w:rsidR="002E2A6E" w:rsidRPr="002E2A6E" w14:paraId="56A188C2" w14:textId="77777777" w:rsidTr="002E2A6E">
        <w:trPr>
          <w:trHeight w:val="255"/>
        </w:trPr>
        <w:tc>
          <w:tcPr>
            <w:tcW w:w="2580" w:type="dxa"/>
            <w:tcBorders>
              <w:top w:val="nil"/>
              <w:left w:val="nil"/>
              <w:bottom w:val="nil"/>
              <w:right w:val="nil"/>
            </w:tcBorders>
            <w:shd w:val="clear" w:color="auto" w:fill="auto"/>
            <w:noWrap/>
            <w:vAlign w:val="bottom"/>
          </w:tcPr>
          <w:p w14:paraId="6FB6E0E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5DF9E0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8.1.18</w:t>
            </w:r>
          </w:p>
        </w:tc>
        <w:tc>
          <w:tcPr>
            <w:tcW w:w="5320" w:type="dxa"/>
            <w:tcBorders>
              <w:top w:val="nil"/>
              <w:left w:val="nil"/>
              <w:bottom w:val="nil"/>
              <w:right w:val="nil"/>
            </w:tcBorders>
            <w:shd w:val="clear" w:color="auto" w:fill="auto"/>
            <w:noWrap/>
            <w:vAlign w:val="bottom"/>
            <w:hideMark/>
          </w:tcPr>
          <w:p w14:paraId="7EBDE906" w14:textId="2F869224" w:rsidR="002E2A6E" w:rsidRPr="002E2A6E" w:rsidRDefault="004614F2" w:rsidP="004614F2">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Number of major c</w:t>
            </w:r>
            <w:r w:rsidR="002E2A6E" w:rsidRPr="002E2A6E">
              <w:rPr>
                <w:rFonts w:ascii="Calibri" w:eastAsia="Times New Roman" w:hAnsi="Calibri" w:cs="Times New Roman"/>
                <w:color w:val="000000"/>
                <w:sz w:val="20"/>
                <w:szCs w:val="20"/>
                <w:lang w:eastAsia="en-AU"/>
              </w:rPr>
              <w:t xml:space="preserve">ulvert </w:t>
            </w:r>
            <w:r>
              <w:rPr>
                <w:rFonts w:ascii="Calibri" w:eastAsia="Times New Roman" w:hAnsi="Calibri" w:cs="Times New Roman"/>
                <w:color w:val="000000"/>
                <w:sz w:val="20"/>
                <w:szCs w:val="20"/>
                <w:lang w:eastAsia="en-AU"/>
              </w:rPr>
              <w:t>s</w:t>
            </w:r>
            <w:r w:rsidR="002E2A6E" w:rsidRPr="002E2A6E">
              <w:rPr>
                <w:rFonts w:ascii="Calibri" w:eastAsia="Times New Roman" w:hAnsi="Calibri" w:cs="Times New Roman"/>
                <w:color w:val="000000"/>
                <w:sz w:val="20"/>
                <w:szCs w:val="20"/>
                <w:lang w:eastAsia="en-AU"/>
              </w:rPr>
              <w:t>tructures</w:t>
            </w:r>
          </w:p>
        </w:tc>
      </w:tr>
      <w:tr w:rsidR="002E2A6E" w:rsidRPr="002E2A6E" w14:paraId="3E8E15DE" w14:textId="77777777" w:rsidTr="002E2A6E">
        <w:trPr>
          <w:trHeight w:val="255"/>
        </w:trPr>
        <w:tc>
          <w:tcPr>
            <w:tcW w:w="2580" w:type="dxa"/>
            <w:tcBorders>
              <w:top w:val="nil"/>
              <w:left w:val="nil"/>
              <w:bottom w:val="nil"/>
              <w:right w:val="nil"/>
            </w:tcBorders>
            <w:shd w:val="clear" w:color="auto" w:fill="auto"/>
            <w:noWrap/>
            <w:vAlign w:val="bottom"/>
            <w:hideMark/>
          </w:tcPr>
          <w:p w14:paraId="0E0864C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Link Section</w:t>
            </w:r>
          </w:p>
        </w:tc>
        <w:tc>
          <w:tcPr>
            <w:tcW w:w="1060" w:type="dxa"/>
            <w:tcBorders>
              <w:top w:val="nil"/>
              <w:left w:val="nil"/>
              <w:bottom w:val="nil"/>
              <w:right w:val="nil"/>
            </w:tcBorders>
            <w:shd w:val="clear" w:color="auto" w:fill="auto"/>
            <w:noWrap/>
            <w:vAlign w:val="bottom"/>
            <w:hideMark/>
          </w:tcPr>
          <w:p w14:paraId="730FDCA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8.1.19</w:t>
            </w:r>
          </w:p>
        </w:tc>
        <w:tc>
          <w:tcPr>
            <w:tcW w:w="5320" w:type="dxa"/>
            <w:tcBorders>
              <w:top w:val="nil"/>
              <w:left w:val="nil"/>
              <w:bottom w:val="nil"/>
              <w:right w:val="nil"/>
            </w:tcBorders>
            <w:shd w:val="clear" w:color="auto" w:fill="auto"/>
            <w:noWrap/>
            <w:vAlign w:val="bottom"/>
            <w:hideMark/>
          </w:tcPr>
          <w:p w14:paraId="42908D6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Link section ID</w:t>
            </w:r>
          </w:p>
        </w:tc>
      </w:tr>
      <w:tr w:rsidR="002E2A6E" w:rsidRPr="002E2A6E" w14:paraId="3C406973" w14:textId="77777777" w:rsidTr="002E2A6E">
        <w:trPr>
          <w:trHeight w:val="255"/>
        </w:trPr>
        <w:tc>
          <w:tcPr>
            <w:tcW w:w="2580" w:type="dxa"/>
            <w:tcBorders>
              <w:top w:val="nil"/>
              <w:left w:val="nil"/>
              <w:bottom w:val="nil"/>
              <w:right w:val="nil"/>
            </w:tcBorders>
            <w:shd w:val="clear" w:color="auto" w:fill="auto"/>
            <w:noWrap/>
            <w:vAlign w:val="bottom"/>
          </w:tcPr>
          <w:p w14:paraId="6BE9B0E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7F33694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8.1.20</w:t>
            </w:r>
          </w:p>
        </w:tc>
        <w:tc>
          <w:tcPr>
            <w:tcW w:w="5320" w:type="dxa"/>
            <w:tcBorders>
              <w:top w:val="nil"/>
              <w:left w:val="nil"/>
              <w:bottom w:val="nil"/>
              <w:right w:val="nil"/>
            </w:tcBorders>
            <w:shd w:val="clear" w:color="auto" w:fill="auto"/>
            <w:noWrap/>
            <w:vAlign w:val="bottom"/>
            <w:hideMark/>
          </w:tcPr>
          <w:p w14:paraId="725B866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Link section start displacement</w:t>
            </w:r>
          </w:p>
        </w:tc>
      </w:tr>
      <w:tr w:rsidR="002E2A6E" w:rsidRPr="002E2A6E" w14:paraId="3F172822" w14:textId="77777777" w:rsidTr="002E2A6E">
        <w:trPr>
          <w:trHeight w:val="255"/>
        </w:trPr>
        <w:tc>
          <w:tcPr>
            <w:tcW w:w="2580" w:type="dxa"/>
            <w:tcBorders>
              <w:top w:val="nil"/>
              <w:left w:val="nil"/>
              <w:bottom w:val="nil"/>
              <w:right w:val="nil"/>
            </w:tcBorders>
            <w:shd w:val="clear" w:color="auto" w:fill="auto"/>
            <w:noWrap/>
            <w:vAlign w:val="bottom"/>
          </w:tcPr>
          <w:p w14:paraId="0E1A2BA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D08AAF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8.1.21</w:t>
            </w:r>
          </w:p>
        </w:tc>
        <w:tc>
          <w:tcPr>
            <w:tcW w:w="5320" w:type="dxa"/>
            <w:tcBorders>
              <w:top w:val="nil"/>
              <w:left w:val="nil"/>
              <w:bottom w:val="nil"/>
              <w:right w:val="nil"/>
            </w:tcBorders>
            <w:shd w:val="clear" w:color="auto" w:fill="auto"/>
            <w:noWrap/>
            <w:vAlign w:val="bottom"/>
            <w:hideMark/>
          </w:tcPr>
          <w:p w14:paraId="70927EC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Link section end displacement</w:t>
            </w:r>
          </w:p>
        </w:tc>
      </w:tr>
      <w:tr w:rsidR="002E2A6E" w:rsidRPr="002E2A6E" w14:paraId="12F4657E" w14:textId="77777777" w:rsidTr="002E2A6E">
        <w:trPr>
          <w:trHeight w:val="255"/>
        </w:trPr>
        <w:tc>
          <w:tcPr>
            <w:tcW w:w="2580" w:type="dxa"/>
            <w:tcBorders>
              <w:top w:val="nil"/>
              <w:left w:val="nil"/>
              <w:bottom w:val="nil"/>
              <w:right w:val="nil"/>
            </w:tcBorders>
            <w:shd w:val="clear" w:color="auto" w:fill="auto"/>
            <w:noWrap/>
            <w:vAlign w:val="bottom"/>
          </w:tcPr>
          <w:p w14:paraId="766B79E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42FFBF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8.1.22</w:t>
            </w:r>
          </w:p>
        </w:tc>
        <w:tc>
          <w:tcPr>
            <w:tcW w:w="5320" w:type="dxa"/>
            <w:tcBorders>
              <w:top w:val="nil"/>
              <w:left w:val="nil"/>
              <w:bottom w:val="nil"/>
              <w:right w:val="nil"/>
            </w:tcBorders>
            <w:shd w:val="clear" w:color="auto" w:fill="auto"/>
            <w:noWrap/>
            <w:vAlign w:val="bottom"/>
            <w:hideMark/>
          </w:tcPr>
          <w:p w14:paraId="0FE302F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Link section length</w:t>
            </w:r>
          </w:p>
        </w:tc>
      </w:tr>
      <w:tr w:rsidR="002E2A6E" w:rsidRPr="002E2A6E" w14:paraId="1184248D" w14:textId="77777777" w:rsidTr="002E2A6E">
        <w:trPr>
          <w:trHeight w:val="255"/>
        </w:trPr>
        <w:tc>
          <w:tcPr>
            <w:tcW w:w="2580" w:type="dxa"/>
            <w:tcBorders>
              <w:top w:val="nil"/>
              <w:left w:val="nil"/>
              <w:right w:val="nil"/>
            </w:tcBorders>
            <w:shd w:val="clear" w:color="auto" w:fill="auto"/>
            <w:noWrap/>
            <w:vAlign w:val="bottom"/>
          </w:tcPr>
          <w:p w14:paraId="44E63E0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right w:val="nil"/>
            </w:tcBorders>
            <w:shd w:val="clear" w:color="auto" w:fill="auto"/>
            <w:noWrap/>
            <w:vAlign w:val="bottom"/>
            <w:hideMark/>
          </w:tcPr>
          <w:p w14:paraId="4FE5A52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8.1.23</w:t>
            </w:r>
          </w:p>
        </w:tc>
        <w:tc>
          <w:tcPr>
            <w:tcW w:w="5320" w:type="dxa"/>
            <w:tcBorders>
              <w:top w:val="nil"/>
              <w:left w:val="nil"/>
              <w:right w:val="nil"/>
            </w:tcBorders>
            <w:shd w:val="clear" w:color="auto" w:fill="auto"/>
            <w:noWrap/>
            <w:vAlign w:val="bottom"/>
            <w:hideMark/>
          </w:tcPr>
          <w:p w14:paraId="37FD752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Link section average width</w:t>
            </w:r>
          </w:p>
        </w:tc>
      </w:tr>
      <w:tr w:rsidR="002E2A6E" w:rsidRPr="002E2A6E" w14:paraId="2FC5631E" w14:textId="77777777" w:rsidTr="00C0093E">
        <w:trPr>
          <w:trHeight w:val="255"/>
        </w:trPr>
        <w:tc>
          <w:tcPr>
            <w:tcW w:w="2580" w:type="dxa"/>
            <w:tcBorders>
              <w:top w:val="nil"/>
              <w:left w:val="nil"/>
              <w:right w:val="nil"/>
            </w:tcBorders>
            <w:shd w:val="clear" w:color="auto" w:fill="auto"/>
            <w:noWrap/>
            <w:vAlign w:val="bottom"/>
          </w:tcPr>
          <w:p w14:paraId="157ADE5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right w:val="nil"/>
            </w:tcBorders>
            <w:shd w:val="clear" w:color="auto" w:fill="auto"/>
            <w:noWrap/>
            <w:vAlign w:val="bottom"/>
            <w:hideMark/>
          </w:tcPr>
          <w:p w14:paraId="25B13E8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8.1.27</w:t>
            </w:r>
          </w:p>
        </w:tc>
        <w:tc>
          <w:tcPr>
            <w:tcW w:w="5320" w:type="dxa"/>
            <w:tcBorders>
              <w:top w:val="nil"/>
              <w:left w:val="nil"/>
              <w:right w:val="nil"/>
            </w:tcBorders>
            <w:shd w:val="clear" w:color="auto" w:fill="auto"/>
            <w:noWrap/>
            <w:vAlign w:val="bottom"/>
            <w:hideMark/>
          </w:tcPr>
          <w:p w14:paraId="1BB9538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Number of lanes left of centreline</w:t>
            </w:r>
          </w:p>
        </w:tc>
      </w:tr>
      <w:tr w:rsidR="002E2A6E" w:rsidRPr="002E2A6E" w14:paraId="18E149B4" w14:textId="77777777" w:rsidTr="00C0093E">
        <w:trPr>
          <w:trHeight w:val="255"/>
        </w:trPr>
        <w:tc>
          <w:tcPr>
            <w:tcW w:w="2580" w:type="dxa"/>
            <w:tcBorders>
              <w:left w:val="nil"/>
              <w:bottom w:val="nil"/>
              <w:right w:val="nil"/>
            </w:tcBorders>
            <w:shd w:val="clear" w:color="auto" w:fill="auto"/>
            <w:noWrap/>
            <w:vAlign w:val="bottom"/>
          </w:tcPr>
          <w:p w14:paraId="427834E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left w:val="nil"/>
              <w:bottom w:val="nil"/>
              <w:right w:val="nil"/>
            </w:tcBorders>
            <w:shd w:val="clear" w:color="auto" w:fill="auto"/>
            <w:noWrap/>
            <w:vAlign w:val="bottom"/>
            <w:hideMark/>
          </w:tcPr>
          <w:p w14:paraId="1892C5A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8.1.28</w:t>
            </w:r>
          </w:p>
        </w:tc>
        <w:tc>
          <w:tcPr>
            <w:tcW w:w="5320" w:type="dxa"/>
            <w:tcBorders>
              <w:left w:val="nil"/>
              <w:bottom w:val="nil"/>
              <w:right w:val="nil"/>
            </w:tcBorders>
            <w:shd w:val="clear" w:color="auto" w:fill="auto"/>
            <w:noWrap/>
            <w:vAlign w:val="bottom"/>
            <w:hideMark/>
          </w:tcPr>
          <w:p w14:paraId="51B49C6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Number of lanes right of centreline</w:t>
            </w:r>
          </w:p>
        </w:tc>
      </w:tr>
      <w:tr w:rsidR="002E2A6E" w:rsidRPr="002E2A6E" w14:paraId="19FE3871" w14:textId="77777777" w:rsidTr="002E2A6E">
        <w:trPr>
          <w:trHeight w:val="255"/>
        </w:trPr>
        <w:tc>
          <w:tcPr>
            <w:tcW w:w="2580" w:type="dxa"/>
            <w:tcBorders>
              <w:top w:val="nil"/>
              <w:left w:val="nil"/>
              <w:bottom w:val="nil"/>
              <w:right w:val="nil"/>
            </w:tcBorders>
            <w:shd w:val="clear" w:color="auto" w:fill="auto"/>
            <w:noWrap/>
            <w:vAlign w:val="bottom"/>
            <w:hideMark/>
          </w:tcPr>
          <w:p w14:paraId="15D544E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Link Section</w:t>
            </w:r>
          </w:p>
        </w:tc>
        <w:tc>
          <w:tcPr>
            <w:tcW w:w="1060" w:type="dxa"/>
            <w:tcBorders>
              <w:top w:val="nil"/>
              <w:left w:val="nil"/>
              <w:bottom w:val="nil"/>
              <w:right w:val="nil"/>
            </w:tcBorders>
            <w:shd w:val="clear" w:color="auto" w:fill="auto"/>
            <w:noWrap/>
            <w:vAlign w:val="bottom"/>
            <w:hideMark/>
          </w:tcPr>
          <w:p w14:paraId="31C1027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8.1.29</w:t>
            </w:r>
          </w:p>
        </w:tc>
        <w:tc>
          <w:tcPr>
            <w:tcW w:w="5320" w:type="dxa"/>
            <w:tcBorders>
              <w:top w:val="nil"/>
              <w:left w:val="nil"/>
              <w:bottom w:val="nil"/>
              <w:right w:val="nil"/>
            </w:tcBorders>
            <w:shd w:val="clear" w:color="auto" w:fill="auto"/>
            <w:noWrap/>
            <w:vAlign w:val="bottom"/>
            <w:hideMark/>
          </w:tcPr>
          <w:p w14:paraId="5488AA6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Average lane width left of centreline</w:t>
            </w:r>
          </w:p>
        </w:tc>
      </w:tr>
      <w:tr w:rsidR="002E2A6E" w:rsidRPr="002E2A6E" w14:paraId="655E5915" w14:textId="77777777" w:rsidTr="00C0093E">
        <w:trPr>
          <w:trHeight w:val="255"/>
        </w:trPr>
        <w:tc>
          <w:tcPr>
            <w:tcW w:w="2580" w:type="dxa"/>
            <w:tcBorders>
              <w:top w:val="nil"/>
              <w:left w:val="nil"/>
              <w:bottom w:val="single" w:sz="4" w:space="0" w:color="auto"/>
              <w:right w:val="nil"/>
            </w:tcBorders>
            <w:shd w:val="clear" w:color="auto" w:fill="auto"/>
            <w:noWrap/>
            <w:vAlign w:val="bottom"/>
          </w:tcPr>
          <w:p w14:paraId="48C806A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single" w:sz="4" w:space="0" w:color="auto"/>
              <w:right w:val="nil"/>
            </w:tcBorders>
            <w:shd w:val="clear" w:color="auto" w:fill="auto"/>
            <w:noWrap/>
            <w:vAlign w:val="bottom"/>
            <w:hideMark/>
          </w:tcPr>
          <w:p w14:paraId="3CB489C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8.1.30</w:t>
            </w:r>
          </w:p>
        </w:tc>
        <w:tc>
          <w:tcPr>
            <w:tcW w:w="5320" w:type="dxa"/>
            <w:tcBorders>
              <w:top w:val="nil"/>
              <w:left w:val="nil"/>
              <w:bottom w:val="single" w:sz="4" w:space="0" w:color="auto"/>
              <w:right w:val="nil"/>
            </w:tcBorders>
            <w:shd w:val="clear" w:color="auto" w:fill="auto"/>
            <w:noWrap/>
            <w:vAlign w:val="bottom"/>
            <w:hideMark/>
          </w:tcPr>
          <w:p w14:paraId="7515EE2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Average lane width right of centreline</w:t>
            </w:r>
          </w:p>
        </w:tc>
      </w:tr>
      <w:tr w:rsidR="002E2A6E" w:rsidRPr="002E2A6E" w14:paraId="71B1313E" w14:textId="77777777" w:rsidTr="00C0093E">
        <w:trPr>
          <w:trHeight w:val="255"/>
        </w:trPr>
        <w:tc>
          <w:tcPr>
            <w:tcW w:w="2580" w:type="dxa"/>
            <w:tcBorders>
              <w:top w:val="single" w:sz="4" w:space="0" w:color="auto"/>
              <w:left w:val="nil"/>
              <w:bottom w:val="nil"/>
              <w:right w:val="nil"/>
            </w:tcBorders>
            <w:shd w:val="clear" w:color="auto" w:fill="auto"/>
            <w:noWrap/>
            <w:vAlign w:val="bottom"/>
          </w:tcPr>
          <w:p w14:paraId="6F8C71D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single" w:sz="4" w:space="0" w:color="auto"/>
              <w:left w:val="nil"/>
              <w:bottom w:val="nil"/>
              <w:right w:val="nil"/>
            </w:tcBorders>
            <w:shd w:val="clear" w:color="auto" w:fill="auto"/>
            <w:noWrap/>
            <w:vAlign w:val="bottom"/>
            <w:hideMark/>
          </w:tcPr>
          <w:p w14:paraId="79F81E9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8.1.31</w:t>
            </w:r>
          </w:p>
        </w:tc>
        <w:tc>
          <w:tcPr>
            <w:tcW w:w="5320" w:type="dxa"/>
            <w:tcBorders>
              <w:top w:val="single" w:sz="4" w:space="0" w:color="auto"/>
              <w:left w:val="nil"/>
              <w:bottom w:val="nil"/>
              <w:right w:val="nil"/>
            </w:tcBorders>
            <w:shd w:val="clear" w:color="auto" w:fill="auto"/>
            <w:noWrap/>
            <w:vAlign w:val="bottom"/>
            <w:hideMark/>
          </w:tcPr>
          <w:p w14:paraId="3EB99C6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Separate link sections for traffic flow direction </w:t>
            </w:r>
          </w:p>
        </w:tc>
      </w:tr>
      <w:tr w:rsidR="002E2A6E" w:rsidRPr="002E2A6E" w14:paraId="267F1E12" w14:textId="77777777" w:rsidTr="002E2A6E">
        <w:trPr>
          <w:trHeight w:val="255"/>
        </w:trPr>
        <w:tc>
          <w:tcPr>
            <w:tcW w:w="2580" w:type="dxa"/>
            <w:tcBorders>
              <w:top w:val="nil"/>
              <w:left w:val="nil"/>
              <w:bottom w:val="nil"/>
              <w:right w:val="nil"/>
            </w:tcBorders>
            <w:shd w:val="clear" w:color="auto" w:fill="auto"/>
            <w:noWrap/>
            <w:vAlign w:val="bottom"/>
          </w:tcPr>
          <w:p w14:paraId="35BB08F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353C5D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8.1.32</w:t>
            </w:r>
          </w:p>
        </w:tc>
        <w:tc>
          <w:tcPr>
            <w:tcW w:w="5320" w:type="dxa"/>
            <w:tcBorders>
              <w:top w:val="nil"/>
              <w:left w:val="nil"/>
              <w:bottom w:val="nil"/>
              <w:right w:val="nil"/>
            </w:tcBorders>
            <w:shd w:val="clear" w:color="auto" w:fill="auto"/>
            <w:noWrap/>
            <w:vAlign w:val="bottom"/>
            <w:hideMark/>
          </w:tcPr>
          <w:p w14:paraId="1FDAC33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Traffic flow direction</w:t>
            </w:r>
          </w:p>
        </w:tc>
      </w:tr>
      <w:tr w:rsidR="002E2A6E" w:rsidRPr="002E2A6E" w14:paraId="58B7D3FE" w14:textId="77777777" w:rsidTr="002E2A6E">
        <w:trPr>
          <w:trHeight w:val="255"/>
        </w:trPr>
        <w:tc>
          <w:tcPr>
            <w:tcW w:w="2580" w:type="dxa"/>
            <w:tcBorders>
              <w:top w:val="nil"/>
              <w:left w:val="nil"/>
              <w:bottom w:val="nil"/>
              <w:right w:val="nil"/>
            </w:tcBorders>
            <w:shd w:val="clear" w:color="auto" w:fill="auto"/>
            <w:noWrap/>
            <w:vAlign w:val="bottom"/>
          </w:tcPr>
          <w:p w14:paraId="75B1684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1F9B65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8.1.33</w:t>
            </w:r>
          </w:p>
        </w:tc>
        <w:tc>
          <w:tcPr>
            <w:tcW w:w="5320" w:type="dxa"/>
            <w:tcBorders>
              <w:top w:val="nil"/>
              <w:left w:val="nil"/>
              <w:bottom w:val="nil"/>
              <w:right w:val="nil"/>
            </w:tcBorders>
            <w:shd w:val="clear" w:color="auto" w:fill="auto"/>
            <w:noWrap/>
            <w:vAlign w:val="bottom"/>
            <w:hideMark/>
          </w:tcPr>
          <w:p w14:paraId="53D620D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Traffic setting</w:t>
            </w:r>
          </w:p>
        </w:tc>
      </w:tr>
      <w:tr w:rsidR="002E2A6E" w:rsidRPr="002E2A6E" w14:paraId="306C90A7" w14:textId="77777777" w:rsidTr="002E2A6E">
        <w:trPr>
          <w:trHeight w:val="255"/>
        </w:trPr>
        <w:tc>
          <w:tcPr>
            <w:tcW w:w="2580" w:type="dxa"/>
            <w:tcBorders>
              <w:top w:val="nil"/>
              <w:left w:val="nil"/>
              <w:bottom w:val="nil"/>
              <w:right w:val="nil"/>
            </w:tcBorders>
            <w:shd w:val="clear" w:color="auto" w:fill="auto"/>
            <w:noWrap/>
            <w:vAlign w:val="bottom"/>
          </w:tcPr>
          <w:p w14:paraId="1F4C8DF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6EF1CA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8.1.34</w:t>
            </w:r>
          </w:p>
        </w:tc>
        <w:tc>
          <w:tcPr>
            <w:tcW w:w="5320" w:type="dxa"/>
            <w:tcBorders>
              <w:top w:val="nil"/>
              <w:left w:val="nil"/>
              <w:bottom w:val="nil"/>
              <w:right w:val="nil"/>
            </w:tcBorders>
            <w:shd w:val="clear" w:color="auto" w:fill="auto"/>
            <w:noWrap/>
            <w:vAlign w:val="bottom"/>
            <w:hideMark/>
          </w:tcPr>
          <w:p w14:paraId="2E2A863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Type of pavement construction</w:t>
            </w:r>
          </w:p>
        </w:tc>
      </w:tr>
      <w:tr w:rsidR="002E2A6E" w:rsidRPr="002E2A6E" w14:paraId="6EEDA903" w14:textId="77777777" w:rsidTr="002E2A6E">
        <w:trPr>
          <w:trHeight w:val="255"/>
        </w:trPr>
        <w:tc>
          <w:tcPr>
            <w:tcW w:w="2580" w:type="dxa"/>
            <w:tcBorders>
              <w:top w:val="nil"/>
              <w:left w:val="nil"/>
              <w:bottom w:val="nil"/>
              <w:right w:val="nil"/>
            </w:tcBorders>
            <w:shd w:val="clear" w:color="auto" w:fill="auto"/>
            <w:noWrap/>
            <w:vAlign w:val="bottom"/>
          </w:tcPr>
          <w:p w14:paraId="4FF61CE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2FBE9EC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8.1.35</w:t>
            </w:r>
          </w:p>
        </w:tc>
        <w:tc>
          <w:tcPr>
            <w:tcW w:w="5320" w:type="dxa"/>
            <w:tcBorders>
              <w:top w:val="nil"/>
              <w:left w:val="nil"/>
              <w:bottom w:val="nil"/>
              <w:right w:val="nil"/>
            </w:tcBorders>
            <w:shd w:val="clear" w:color="auto" w:fill="auto"/>
            <w:noWrap/>
            <w:vAlign w:val="bottom"/>
            <w:hideMark/>
          </w:tcPr>
          <w:p w14:paraId="3EDE3D9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Ownership organisation</w:t>
            </w:r>
          </w:p>
        </w:tc>
      </w:tr>
      <w:tr w:rsidR="002E2A6E" w:rsidRPr="002E2A6E" w14:paraId="1155B61C" w14:textId="77777777" w:rsidTr="002E2A6E">
        <w:trPr>
          <w:trHeight w:val="255"/>
        </w:trPr>
        <w:tc>
          <w:tcPr>
            <w:tcW w:w="2580" w:type="dxa"/>
            <w:tcBorders>
              <w:top w:val="nil"/>
              <w:left w:val="nil"/>
              <w:bottom w:val="nil"/>
              <w:right w:val="nil"/>
            </w:tcBorders>
            <w:shd w:val="clear" w:color="auto" w:fill="auto"/>
            <w:noWrap/>
            <w:vAlign w:val="bottom"/>
            <w:hideMark/>
          </w:tcPr>
          <w:p w14:paraId="2E79CC2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Asset Life</w:t>
            </w:r>
          </w:p>
        </w:tc>
        <w:tc>
          <w:tcPr>
            <w:tcW w:w="1060" w:type="dxa"/>
            <w:tcBorders>
              <w:top w:val="nil"/>
              <w:left w:val="nil"/>
              <w:bottom w:val="nil"/>
              <w:right w:val="nil"/>
            </w:tcBorders>
            <w:shd w:val="clear" w:color="auto" w:fill="auto"/>
            <w:noWrap/>
            <w:vAlign w:val="bottom"/>
            <w:hideMark/>
          </w:tcPr>
          <w:p w14:paraId="1199DBF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8.10.8</w:t>
            </w:r>
          </w:p>
        </w:tc>
        <w:tc>
          <w:tcPr>
            <w:tcW w:w="5320" w:type="dxa"/>
            <w:tcBorders>
              <w:top w:val="nil"/>
              <w:left w:val="nil"/>
              <w:bottom w:val="nil"/>
              <w:right w:val="nil"/>
            </w:tcBorders>
            <w:shd w:val="clear" w:color="auto" w:fill="auto"/>
            <w:noWrap/>
            <w:vAlign w:val="bottom"/>
            <w:hideMark/>
          </w:tcPr>
          <w:p w14:paraId="56979C5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Design life</w:t>
            </w:r>
          </w:p>
        </w:tc>
      </w:tr>
      <w:tr w:rsidR="002E2A6E" w:rsidRPr="002E2A6E" w14:paraId="6757632B" w14:textId="77777777" w:rsidTr="002E2A6E">
        <w:trPr>
          <w:trHeight w:val="255"/>
        </w:trPr>
        <w:tc>
          <w:tcPr>
            <w:tcW w:w="2580" w:type="dxa"/>
            <w:tcBorders>
              <w:top w:val="nil"/>
              <w:left w:val="nil"/>
              <w:bottom w:val="nil"/>
              <w:right w:val="nil"/>
            </w:tcBorders>
            <w:shd w:val="clear" w:color="auto" w:fill="auto"/>
            <w:noWrap/>
            <w:vAlign w:val="bottom"/>
          </w:tcPr>
          <w:p w14:paraId="2038175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22E4C6F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8.10.15</w:t>
            </w:r>
          </w:p>
        </w:tc>
        <w:tc>
          <w:tcPr>
            <w:tcW w:w="5320" w:type="dxa"/>
            <w:tcBorders>
              <w:top w:val="nil"/>
              <w:left w:val="nil"/>
              <w:bottom w:val="nil"/>
              <w:right w:val="nil"/>
            </w:tcBorders>
            <w:shd w:val="clear" w:color="auto" w:fill="auto"/>
            <w:noWrap/>
            <w:vAlign w:val="bottom"/>
            <w:hideMark/>
          </w:tcPr>
          <w:p w14:paraId="3DB1C17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Asset age</w:t>
            </w:r>
          </w:p>
        </w:tc>
      </w:tr>
      <w:tr w:rsidR="002E2A6E" w:rsidRPr="002E2A6E" w14:paraId="4DC35ACC" w14:textId="77777777" w:rsidTr="002E2A6E">
        <w:trPr>
          <w:trHeight w:val="255"/>
        </w:trPr>
        <w:tc>
          <w:tcPr>
            <w:tcW w:w="2580" w:type="dxa"/>
            <w:tcBorders>
              <w:top w:val="nil"/>
              <w:left w:val="nil"/>
              <w:bottom w:val="nil"/>
              <w:right w:val="nil"/>
            </w:tcBorders>
            <w:shd w:val="clear" w:color="auto" w:fill="auto"/>
            <w:noWrap/>
            <w:vAlign w:val="bottom"/>
          </w:tcPr>
          <w:p w14:paraId="1E84554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5C7FA1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8.10.9</w:t>
            </w:r>
          </w:p>
        </w:tc>
        <w:tc>
          <w:tcPr>
            <w:tcW w:w="5320" w:type="dxa"/>
            <w:tcBorders>
              <w:top w:val="nil"/>
              <w:left w:val="nil"/>
              <w:bottom w:val="nil"/>
              <w:right w:val="nil"/>
            </w:tcBorders>
            <w:shd w:val="clear" w:color="auto" w:fill="auto"/>
            <w:noWrap/>
            <w:vAlign w:val="bottom"/>
            <w:hideMark/>
          </w:tcPr>
          <w:p w14:paraId="73D1AC1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Useful life assessed</w:t>
            </w:r>
          </w:p>
        </w:tc>
      </w:tr>
      <w:tr w:rsidR="002E2A6E" w:rsidRPr="002E2A6E" w14:paraId="67F6E6FC" w14:textId="77777777" w:rsidTr="002E2A6E">
        <w:trPr>
          <w:trHeight w:val="255"/>
        </w:trPr>
        <w:tc>
          <w:tcPr>
            <w:tcW w:w="2580" w:type="dxa"/>
            <w:tcBorders>
              <w:top w:val="nil"/>
              <w:left w:val="nil"/>
              <w:bottom w:val="nil"/>
              <w:right w:val="nil"/>
            </w:tcBorders>
            <w:shd w:val="clear" w:color="auto" w:fill="auto"/>
            <w:noWrap/>
            <w:vAlign w:val="bottom"/>
          </w:tcPr>
          <w:p w14:paraId="5A7F34B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D169DA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8.10.16</w:t>
            </w:r>
          </w:p>
        </w:tc>
        <w:tc>
          <w:tcPr>
            <w:tcW w:w="5320" w:type="dxa"/>
            <w:tcBorders>
              <w:top w:val="nil"/>
              <w:left w:val="nil"/>
              <w:bottom w:val="nil"/>
              <w:right w:val="nil"/>
            </w:tcBorders>
            <w:shd w:val="clear" w:color="auto" w:fill="auto"/>
            <w:noWrap/>
            <w:vAlign w:val="bottom"/>
            <w:hideMark/>
          </w:tcPr>
          <w:p w14:paraId="47AA366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Remaining life assessed</w:t>
            </w:r>
          </w:p>
        </w:tc>
      </w:tr>
      <w:tr w:rsidR="002E2A6E" w:rsidRPr="002E2A6E" w14:paraId="07B8F7F7" w14:textId="77777777" w:rsidTr="002E2A6E">
        <w:trPr>
          <w:trHeight w:val="255"/>
        </w:trPr>
        <w:tc>
          <w:tcPr>
            <w:tcW w:w="2580" w:type="dxa"/>
            <w:tcBorders>
              <w:top w:val="nil"/>
              <w:left w:val="nil"/>
              <w:bottom w:val="nil"/>
              <w:right w:val="nil"/>
            </w:tcBorders>
            <w:shd w:val="clear" w:color="auto" w:fill="auto"/>
            <w:noWrap/>
            <w:vAlign w:val="bottom"/>
            <w:hideMark/>
          </w:tcPr>
          <w:p w14:paraId="0608474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Output</w:t>
            </w:r>
          </w:p>
        </w:tc>
        <w:tc>
          <w:tcPr>
            <w:tcW w:w="1060" w:type="dxa"/>
            <w:tcBorders>
              <w:top w:val="nil"/>
              <w:left w:val="nil"/>
              <w:bottom w:val="nil"/>
              <w:right w:val="nil"/>
            </w:tcBorders>
            <w:shd w:val="clear" w:color="auto" w:fill="auto"/>
            <w:noWrap/>
            <w:vAlign w:val="bottom"/>
            <w:hideMark/>
          </w:tcPr>
          <w:p w14:paraId="06A2968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8.10.19</w:t>
            </w:r>
          </w:p>
        </w:tc>
        <w:tc>
          <w:tcPr>
            <w:tcW w:w="5320" w:type="dxa"/>
            <w:tcBorders>
              <w:top w:val="nil"/>
              <w:left w:val="nil"/>
              <w:bottom w:val="nil"/>
              <w:right w:val="nil"/>
            </w:tcBorders>
            <w:shd w:val="clear" w:color="auto" w:fill="auto"/>
            <w:noWrap/>
            <w:vAlign w:val="bottom"/>
            <w:hideMark/>
          </w:tcPr>
          <w:p w14:paraId="267593E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Resurfacing coverage across total network</w:t>
            </w:r>
          </w:p>
        </w:tc>
      </w:tr>
      <w:tr w:rsidR="002E2A6E" w:rsidRPr="002E2A6E" w14:paraId="7D4690EB" w14:textId="77777777" w:rsidTr="002E2A6E">
        <w:trPr>
          <w:trHeight w:val="255"/>
        </w:trPr>
        <w:tc>
          <w:tcPr>
            <w:tcW w:w="2580" w:type="dxa"/>
            <w:tcBorders>
              <w:top w:val="nil"/>
              <w:left w:val="nil"/>
              <w:bottom w:val="nil"/>
              <w:right w:val="nil"/>
            </w:tcBorders>
            <w:shd w:val="clear" w:color="auto" w:fill="auto"/>
            <w:noWrap/>
            <w:vAlign w:val="bottom"/>
          </w:tcPr>
          <w:p w14:paraId="5E0D84C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47AC0CD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8.10.20</w:t>
            </w:r>
          </w:p>
        </w:tc>
        <w:tc>
          <w:tcPr>
            <w:tcW w:w="5320" w:type="dxa"/>
            <w:tcBorders>
              <w:top w:val="nil"/>
              <w:left w:val="nil"/>
              <w:bottom w:val="nil"/>
              <w:right w:val="nil"/>
            </w:tcBorders>
            <w:shd w:val="clear" w:color="auto" w:fill="auto"/>
            <w:noWrap/>
            <w:vAlign w:val="bottom"/>
            <w:hideMark/>
          </w:tcPr>
          <w:p w14:paraId="2E75EE5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roofErr w:type="spellStart"/>
            <w:r w:rsidRPr="002E2A6E">
              <w:rPr>
                <w:rFonts w:ascii="Calibri" w:eastAsia="Times New Roman" w:hAnsi="Calibri" w:cs="Times New Roman"/>
                <w:color w:val="000000"/>
                <w:sz w:val="20"/>
                <w:szCs w:val="20"/>
                <w:lang w:eastAsia="en-AU"/>
              </w:rPr>
              <w:t>Resheeting</w:t>
            </w:r>
            <w:proofErr w:type="spellEnd"/>
            <w:r w:rsidRPr="002E2A6E">
              <w:rPr>
                <w:rFonts w:ascii="Calibri" w:eastAsia="Times New Roman" w:hAnsi="Calibri" w:cs="Times New Roman"/>
                <w:color w:val="000000"/>
                <w:sz w:val="20"/>
                <w:szCs w:val="20"/>
                <w:lang w:eastAsia="en-AU"/>
              </w:rPr>
              <w:t xml:space="preserve"> coverage across unsealed network</w:t>
            </w:r>
          </w:p>
        </w:tc>
      </w:tr>
      <w:tr w:rsidR="002E2A6E" w:rsidRPr="002E2A6E" w14:paraId="743ED592" w14:textId="77777777" w:rsidTr="002E2A6E">
        <w:trPr>
          <w:trHeight w:val="255"/>
        </w:trPr>
        <w:tc>
          <w:tcPr>
            <w:tcW w:w="2580" w:type="dxa"/>
            <w:tcBorders>
              <w:top w:val="nil"/>
              <w:left w:val="nil"/>
              <w:bottom w:val="nil"/>
              <w:right w:val="nil"/>
            </w:tcBorders>
            <w:shd w:val="clear" w:color="auto" w:fill="auto"/>
            <w:noWrap/>
            <w:vAlign w:val="bottom"/>
          </w:tcPr>
          <w:p w14:paraId="1732827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7C46CF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8.10.21</w:t>
            </w:r>
          </w:p>
        </w:tc>
        <w:tc>
          <w:tcPr>
            <w:tcW w:w="5320" w:type="dxa"/>
            <w:tcBorders>
              <w:top w:val="nil"/>
              <w:left w:val="nil"/>
              <w:bottom w:val="nil"/>
              <w:right w:val="nil"/>
            </w:tcBorders>
            <w:shd w:val="clear" w:color="auto" w:fill="auto"/>
            <w:noWrap/>
            <w:vAlign w:val="bottom"/>
            <w:hideMark/>
          </w:tcPr>
          <w:p w14:paraId="1594459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Resurfacing coverage across sealed network</w:t>
            </w:r>
          </w:p>
        </w:tc>
      </w:tr>
      <w:tr w:rsidR="002E2A6E" w:rsidRPr="002E2A6E" w14:paraId="38567AD9" w14:textId="77777777" w:rsidTr="002E2A6E">
        <w:trPr>
          <w:trHeight w:val="255"/>
        </w:trPr>
        <w:tc>
          <w:tcPr>
            <w:tcW w:w="2580" w:type="dxa"/>
            <w:tcBorders>
              <w:top w:val="nil"/>
              <w:left w:val="nil"/>
              <w:bottom w:val="nil"/>
              <w:right w:val="nil"/>
            </w:tcBorders>
            <w:shd w:val="clear" w:color="auto" w:fill="auto"/>
            <w:noWrap/>
            <w:vAlign w:val="bottom"/>
          </w:tcPr>
          <w:p w14:paraId="29943DD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7147DD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8.10.22</w:t>
            </w:r>
          </w:p>
        </w:tc>
        <w:tc>
          <w:tcPr>
            <w:tcW w:w="5320" w:type="dxa"/>
            <w:tcBorders>
              <w:top w:val="nil"/>
              <w:left w:val="nil"/>
              <w:bottom w:val="nil"/>
              <w:right w:val="nil"/>
            </w:tcBorders>
            <w:shd w:val="clear" w:color="auto" w:fill="auto"/>
            <w:noWrap/>
            <w:vAlign w:val="bottom"/>
            <w:hideMark/>
          </w:tcPr>
          <w:p w14:paraId="282BEE0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Spray seal resurfacing coverage across sealed network</w:t>
            </w:r>
          </w:p>
        </w:tc>
      </w:tr>
      <w:tr w:rsidR="002E2A6E" w:rsidRPr="002E2A6E" w14:paraId="43EDE407" w14:textId="77777777" w:rsidTr="002E2A6E">
        <w:trPr>
          <w:trHeight w:val="255"/>
        </w:trPr>
        <w:tc>
          <w:tcPr>
            <w:tcW w:w="2580" w:type="dxa"/>
            <w:tcBorders>
              <w:top w:val="nil"/>
              <w:left w:val="nil"/>
              <w:bottom w:val="nil"/>
              <w:right w:val="nil"/>
            </w:tcBorders>
            <w:shd w:val="clear" w:color="auto" w:fill="auto"/>
            <w:noWrap/>
            <w:vAlign w:val="bottom"/>
          </w:tcPr>
          <w:p w14:paraId="68B3B28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0D564E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8.10.23</w:t>
            </w:r>
          </w:p>
        </w:tc>
        <w:tc>
          <w:tcPr>
            <w:tcW w:w="5320" w:type="dxa"/>
            <w:tcBorders>
              <w:top w:val="nil"/>
              <w:left w:val="nil"/>
              <w:bottom w:val="nil"/>
              <w:right w:val="nil"/>
            </w:tcBorders>
            <w:shd w:val="clear" w:color="auto" w:fill="auto"/>
            <w:noWrap/>
            <w:vAlign w:val="bottom"/>
            <w:hideMark/>
          </w:tcPr>
          <w:p w14:paraId="258D973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Asphalt resurfacing coverage across sealed network</w:t>
            </w:r>
          </w:p>
        </w:tc>
      </w:tr>
      <w:tr w:rsidR="002E2A6E" w:rsidRPr="002E2A6E" w14:paraId="1ABAA298" w14:textId="77777777" w:rsidTr="002E2A6E">
        <w:trPr>
          <w:trHeight w:val="255"/>
        </w:trPr>
        <w:tc>
          <w:tcPr>
            <w:tcW w:w="2580" w:type="dxa"/>
            <w:tcBorders>
              <w:top w:val="nil"/>
              <w:left w:val="nil"/>
              <w:bottom w:val="nil"/>
              <w:right w:val="nil"/>
            </w:tcBorders>
            <w:shd w:val="clear" w:color="auto" w:fill="auto"/>
            <w:noWrap/>
            <w:vAlign w:val="bottom"/>
          </w:tcPr>
          <w:p w14:paraId="1851C75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4595CE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8.10.24</w:t>
            </w:r>
          </w:p>
        </w:tc>
        <w:tc>
          <w:tcPr>
            <w:tcW w:w="5320" w:type="dxa"/>
            <w:tcBorders>
              <w:top w:val="nil"/>
              <w:left w:val="nil"/>
              <w:bottom w:val="nil"/>
              <w:right w:val="nil"/>
            </w:tcBorders>
            <w:shd w:val="clear" w:color="auto" w:fill="auto"/>
            <w:noWrap/>
            <w:vAlign w:val="bottom"/>
            <w:hideMark/>
          </w:tcPr>
          <w:p w14:paraId="434DCCE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rehabilitation network coverage</w:t>
            </w:r>
          </w:p>
        </w:tc>
      </w:tr>
      <w:tr w:rsidR="002E2A6E" w:rsidRPr="002E2A6E" w14:paraId="2DC09125" w14:textId="77777777" w:rsidTr="002E2A6E">
        <w:trPr>
          <w:trHeight w:val="255"/>
        </w:trPr>
        <w:tc>
          <w:tcPr>
            <w:tcW w:w="2580" w:type="dxa"/>
            <w:tcBorders>
              <w:top w:val="nil"/>
              <w:left w:val="nil"/>
              <w:bottom w:val="nil"/>
              <w:right w:val="nil"/>
            </w:tcBorders>
            <w:shd w:val="clear" w:color="auto" w:fill="auto"/>
            <w:noWrap/>
            <w:vAlign w:val="bottom"/>
          </w:tcPr>
          <w:p w14:paraId="04FC718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39CB08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8.10.25</w:t>
            </w:r>
          </w:p>
        </w:tc>
        <w:tc>
          <w:tcPr>
            <w:tcW w:w="5320" w:type="dxa"/>
            <w:tcBorders>
              <w:top w:val="nil"/>
              <w:left w:val="nil"/>
              <w:bottom w:val="nil"/>
              <w:right w:val="nil"/>
            </w:tcBorders>
            <w:shd w:val="clear" w:color="auto" w:fill="auto"/>
            <w:noWrap/>
            <w:vAlign w:val="bottom"/>
            <w:hideMark/>
          </w:tcPr>
          <w:p w14:paraId="0D2DB68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Major structures replaced</w:t>
            </w:r>
          </w:p>
        </w:tc>
      </w:tr>
      <w:tr w:rsidR="002E2A6E" w:rsidRPr="002E2A6E" w14:paraId="5E591D8D" w14:textId="77777777" w:rsidTr="002E2A6E">
        <w:trPr>
          <w:trHeight w:val="255"/>
        </w:trPr>
        <w:tc>
          <w:tcPr>
            <w:tcW w:w="2580" w:type="dxa"/>
            <w:tcBorders>
              <w:top w:val="nil"/>
              <w:left w:val="nil"/>
              <w:bottom w:val="nil"/>
              <w:right w:val="nil"/>
            </w:tcBorders>
            <w:shd w:val="clear" w:color="auto" w:fill="auto"/>
            <w:noWrap/>
            <w:vAlign w:val="bottom"/>
          </w:tcPr>
          <w:p w14:paraId="4F8CF71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DEFB4C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8.10.26</w:t>
            </w:r>
          </w:p>
        </w:tc>
        <w:tc>
          <w:tcPr>
            <w:tcW w:w="5320" w:type="dxa"/>
            <w:tcBorders>
              <w:top w:val="nil"/>
              <w:left w:val="nil"/>
              <w:bottom w:val="nil"/>
              <w:right w:val="nil"/>
            </w:tcBorders>
            <w:shd w:val="clear" w:color="auto" w:fill="auto"/>
            <w:noWrap/>
            <w:vAlign w:val="bottom"/>
            <w:hideMark/>
          </w:tcPr>
          <w:p w14:paraId="1FF6E91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Bridges replaced</w:t>
            </w:r>
          </w:p>
        </w:tc>
      </w:tr>
      <w:tr w:rsidR="002E2A6E" w:rsidRPr="002E2A6E" w14:paraId="332E60F7" w14:textId="77777777" w:rsidTr="002E2A6E">
        <w:trPr>
          <w:trHeight w:val="255"/>
        </w:trPr>
        <w:tc>
          <w:tcPr>
            <w:tcW w:w="2580" w:type="dxa"/>
            <w:tcBorders>
              <w:top w:val="nil"/>
              <w:left w:val="nil"/>
              <w:bottom w:val="nil"/>
              <w:right w:val="nil"/>
            </w:tcBorders>
            <w:shd w:val="clear" w:color="auto" w:fill="auto"/>
            <w:noWrap/>
            <w:vAlign w:val="bottom"/>
          </w:tcPr>
          <w:p w14:paraId="1BCF904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4DEB66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8.10.27</w:t>
            </w:r>
          </w:p>
        </w:tc>
        <w:tc>
          <w:tcPr>
            <w:tcW w:w="5320" w:type="dxa"/>
            <w:tcBorders>
              <w:top w:val="nil"/>
              <w:left w:val="nil"/>
              <w:bottom w:val="nil"/>
              <w:right w:val="nil"/>
            </w:tcBorders>
            <w:shd w:val="clear" w:color="auto" w:fill="auto"/>
            <w:noWrap/>
            <w:vAlign w:val="bottom"/>
            <w:hideMark/>
          </w:tcPr>
          <w:p w14:paraId="6F08799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Major culverts replaced</w:t>
            </w:r>
          </w:p>
        </w:tc>
      </w:tr>
      <w:tr w:rsidR="002E2A6E" w:rsidRPr="002E2A6E" w14:paraId="11FE5D77" w14:textId="77777777" w:rsidTr="002E2A6E">
        <w:trPr>
          <w:trHeight w:val="255"/>
        </w:trPr>
        <w:tc>
          <w:tcPr>
            <w:tcW w:w="2580" w:type="dxa"/>
            <w:tcBorders>
              <w:top w:val="nil"/>
              <w:left w:val="nil"/>
              <w:bottom w:val="nil"/>
              <w:right w:val="nil"/>
            </w:tcBorders>
            <w:shd w:val="clear" w:color="auto" w:fill="auto"/>
            <w:noWrap/>
            <w:vAlign w:val="bottom"/>
            <w:hideMark/>
          </w:tcPr>
          <w:p w14:paraId="154AB0F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Investment</w:t>
            </w:r>
          </w:p>
        </w:tc>
        <w:tc>
          <w:tcPr>
            <w:tcW w:w="1060" w:type="dxa"/>
            <w:tcBorders>
              <w:top w:val="nil"/>
              <w:left w:val="nil"/>
              <w:bottom w:val="nil"/>
              <w:right w:val="nil"/>
            </w:tcBorders>
            <w:shd w:val="clear" w:color="auto" w:fill="auto"/>
            <w:noWrap/>
            <w:vAlign w:val="bottom"/>
            <w:hideMark/>
          </w:tcPr>
          <w:p w14:paraId="6D74716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8.11.11</w:t>
            </w:r>
          </w:p>
        </w:tc>
        <w:tc>
          <w:tcPr>
            <w:tcW w:w="5320" w:type="dxa"/>
            <w:tcBorders>
              <w:top w:val="nil"/>
              <w:left w:val="nil"/>
              <w:bottom w:val="nil"/>
              <w:right w:val="nil"/>
            </w:tcBorders>
            <w:shd w:val="clear" w:color="auto" w:fill="auto"/>
            <w:noWrap/>
            <w:vAlign w:val="bottom"/>
            <w:hideMark/>
          </w:tcPr>
          <w:p w14:paraId="2730B0E1" w14:textId="31DD5718" w:rsidR="002E2A6E" w:rsidRPr="002E2A6E" w:rsidRDefault="002E2A6E" w:rsidP="004614F2">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Total </w:t>
            </w:r>
            <w:r w:rsidR="004614F2">
              <w:rPr>
                <w:rFonts w:ascii="Calibri" w:eastAsia="Times New Roman" w:hAnsi="Calibri" w:cs="Times New Roman"/>
                <w:color w:val="000000"/>
                <w:sz w:val="20"/>
                <w:szCs w:val="20"/>
                <w:lang w:eastAsia="en-AU"/>
              </w:rPr>
              <w:t>capital s</w:t>
            </w:r>
            <w:r w:rsidRPr="002E2A6E">
              <w:rPr>
                <w:rFonts w:ascii="Calibri" w:eastAsia="Times New Roman" w:hAnsi="Calibri" w:cs="Times New Roman"/>
                <w:color w:val="000000"/>
                <w:sz w:val="20"/>
                <w:szCs w:val="20"/>
                <w:lang w:eastAsia="en-AU"/>
              </w:rPr>
              <w:t>pend</w:t>
            </w:r>
          </w:p>
        </w:tc>
      </w:tr>
      <w:tr w:rsidR="002E2A6E" w:rsidRPr="002E2A6E" w14:paraId="18E924AC" w14:textId="77777777" w:rsidTr="002E2A6E">
        <w:trPr>
          <w:trHeight w:val="255"/>
        </w:trPr>
        <w:tc>
          <w:tcPr>
            <w:tcW w:w="2580" w:type="dxa"/>
            <w:tcBorders>
              <w:top w:val="nil"/>
              <w:left w:val="nil"/>
              <w:bottom w:val="nil"/>
              <w:right w:val="nil"/>
            </w:tcBorders>
            <w:shd w:val="clear" w:color="auto" w:fill="auto"/>
            <w:noWrap/>
            <w:vAlign w:val="bottom"/>
          </w:tcPr>
          <w:p w14:paraId="66545AC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4D2B2EC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8.11.12</w:t>
            </w:r>
          </w:p>
        </w:tc>
        <w:tc>
          <w:tcPr>
            <w:tcW w:w="5320" w:type="dxa"/>
            <w:tcBorders>
              <w:top w:val="nil"/>
              <w:left w:val="nil"/>
              <w:bottom w:val="nil"/>
              <w:right w:val="nil"/>
            </w:tcBorders>
            <w:shd w:val="clear" w:color="auto" w:fill="auto"/>
            <w:noWrap/>
            <w:vAlign w:val="bottom"/>
            <w:hideMark/>
          </w:tcPr>
          <w:p w14:paraId="0CAE61C3" w14:textId="15E806B3"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Capital spend – Upgrade and e</w:t>
            </w:r>
            <w:r w:rsidR="002E2A6E" w:rsidRPr="002E2A6E">
              <w:rPr>
                <w:rFonts w:ascii="Calibri" w:eastAsia="Times New Roman" w:hAnsi="Calibri" w:cs="Times New Roman"/>
                <w:color w:val="000000"/>
                <w:sz w:val="20"/>
                <w:szCs w:val="20"/>
                <w:lang w:eastAsia="en-AU"/>
              </w:rPr>
              <w:t>xpansion</w:t>
            </w:r>
          </w:p>
        </w:tc>
      </w:tr>
      <w:tr w:rsidR="002E2A6E" w:rsidRPr="002E2A6E" w14:paraId="15FA77F4" w14:textId="77777777" w:rsidTr="002E2A6E">
        <w:trPr>
          <w:trHeight w:val="255"/>
        </w:trPr>
        <w:tc>
          <w:tcPr>
            <w:tcW w:w="2580" w:type="dxa"/>
            <w:tcBorders>
              <w:top w:val="nil"/>
              <w:left w:val="nil"/>
              <w:bottom w:val="nil"/>
              <w:right w:val="nil"/>
            </w:tcBorders>
            <w:shd w:val="clear" w:color="auto" w:fill="auto"/>
            <w:noWrap/>
            <w:vAlign w:val="bottom"/>
          </w:tcPr>
          <w:p w14:paraId="4330A21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BC8254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8.11.13</w:t>
            </w:r>
          </w:p>
        </w:tc>
        <w:tc>
          <w:tcPr>
            <w:tcW w:w="5320" w:type="dxa"/>
            <w:tcBorders>
              <w:top w:val="nil"/>
              <w:left w:val="nil"/>
              <w:bottom w:val="nil"/>
              <w:right w:val="nil"/>
            </w:tcBorders>
            <w:shd w:val="clear" w:color="auto" w:fill="auto"/>
            <w:noWrap/>
            <w:vAlign w:val="bottom"/>
            <w:hideMark/>
          </w:tcPr>
          <w:p w14:paraId="0849E59D" w14:textId="06B246E1"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Capital s</w:t>
            </w:r>
            <w:r w:rsidR="002E2A6E" w:rsidRPr="002E2A6E">
              <w:rPr>
                <w:rFonts w:ascii="Calibri" w:eastAsia="Times New Roman" w:hAnsi="Calibri" w:cs="Times New Roman"/>
                <w:color w:val="000000"/>
                <w:sz w:val="20"/>
                <w:szCs w:val="20"/>
                <w:lang w:eastAsia="en-AU"/>
              </w:rPr>
              <w:t>pend – Renewals</w:t>
            </w:r>
          </w:p>
        </w:tc>
      </w:tr>
      <w:tr w:rsidR="002E2A6E" w:rsidRPr="002E2A6E" w14:paraId="193370E7" w14:textId="77777777" w:rsidTr="002E2A6E">
        <w:trPr>
          <w:trHeight w:val="255"/>
        </w:trPr>
        <w:tc>
          <w:tcPr>
            <w:tcW w:w="2580" w:type="dxa"/>
            <w:tcBorders>
              <w:top w:val="nil"/>
              <w:left w:val="nil"/>
              <w:bottom w:val="nil"/>
              <w:right w:val="nil"/>
            </w:tcBorders>
            <w:shd w:val="clear" w:color="auto" w:fill="auto"/>
            <w:noWrap/>
            <w:vAlign w:val="bottom"/>
          </w:tcPr>
          <w:p w14:paraId="44D87CC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4038579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8.11.14</w:t>
            </w:r>
          </w:p>
        </w:tc>
        <w:tc>
          <w:tcPr>
            <w:tcW w:w="5320" w:type="dxa"/>
            <w:tcBorders>
              <w:top w:val="nil"/>
              <w:left w:val="nil"/>
              <w:bottom w:val="nil"/>
              <w:right w:val="nil"/>
            </w:tcBorders>
            <w:shd w:val="clear" w:color="auto" w:fill="auto"/>
            <w:noWrap/>
            <w:vAlign w:val="bottom"/>
            <w:hideMark/>
          </w:tcPr>
          <w:p w14:paraId="4C84AED1" w14:textId="1A05EE0E" w:rsidR="002E2A6E" w:rsidRPr="002E2A6E" w:rsidRDefault="004614F2" w:rsidP="004614F2">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Total r</w:t>
            </w:r>
            <w:r w:rsidR="002E2A6E" w:rsidRPr="002E2A6E">
              <w:rPr>
                <w:rFonts w:ascii="Calibri" w:eastAsia="Times New Roman" w:hAnsi="Calibri" w:cs="Times New Roman"/>
                <w:color w:val="000000"/>
                <w:sz w:val="20"/>
                <w:szCs w:val="20"/>
                <w:lang w:eastAsia="en-AU"/>
              </w:rPr>
              <w:t xml:space="preserve">ecurrent </w:t>
            </w:r>
            <w:r>
              <w:rPr>
                <w:rFonts w:ascii="Calibri" w:eastAsia="Times New Roman" w:hAnsi="Calibri" w:cs="Times New Roman"/>
                <w:color w:val="000000"/>
                <w:sz w:val="20"/>
                <w:szCs w:val="20"/>
                <w:lang w:eastAsia="en-AU"/>
              </w:rPr>
              <w:t>s</w:t>
            </w:r>
            <w:r w:rsidR="002E2A6E" w:rsidRPr="002E2A6E">
              <w:rPr>
                <w:rFonts w:ascii="Calibri" w:eastAsia="Times New Roman" w:hAnsi="Calibri" w:cs="Times New Roman"/>
                <w:color w:val="000000"/>
                <w:sz w:val="20"/>
                <w:szCs w:val="20"/>
                <w:lang w:eastAsia="en-AU"/>
              </w:rPr>
              <w:t>pend</w:t>
            </w:r>
          </w:p>
        </w:tc>
      </w:tr>
      <w:tr w:rsidR="002E2A6E" w:rsidRPr="002E2A6E" w14:paraId="1506EC41" w14:textId="77777777" w:rsidTr="002E2A6E">
        <w:trPr>
          <w:trHeight w:val="255"/>
        </w:trPr>
        <w:tc>
          <w:tcPr>
            <w:tcW w:w="2580" w:type="dxa"/>
            <w:tcBorders>
              <w:top w:val="nil"/>
              <w:left w:val="nil"/>
              <w:bottom w:val="nil"/>
              <w:right w:val="nil"/>
            </w:tcBorders>
            <w:shd w:val="clear" w:color="auto" w:fill="auto"/>
            <w:noWrap/>
            <w:vAlign w:val="bottom"/>
          </w:tcPr>
          <w:p w14:paraId="657F13C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72591A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8.11.15</w:t>
            </w:r>
          </w:p>
        </w:tc>
        <w:tc>
          <w:tcPr>
            <w:tcW w:w="5320" w:type="dxa"/>
            <w:tcBorders>
              <w:top w:val="nil"/>
              <w:left w:val="nil"/>
              <w:bottom w:val="nil"/>
              <w:right w:val="nil"/>
            </w:tcBorders>
            <w:shd w:val="clear" w:color="auto" w:fill="auto"/>
            <w:noWrap/>
            <w:vAlign w:val="bottom"/>
            <w:hideMark/>
          </w:tcPr>
          <w:p w14:paraId="57528D63" w14:textId="6FBA8899"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Recurrent s</w:t>
            </w:r>
            <w:r w:rsidR="002E2A6E" w:rsidRPr="002E2A6E">
              <w:rPr>
                <w:rFonts w:ascii="Calibri" w:eastAsia="Times New Roman" w:hAnsi="Calibri" w:cs="Times New Roman"/>
                <w:color w:val="000000"/>
                <w:sz w:val="20"/>
                <w:szCs w:val="20"/>
                <w:lang w:eastAsia="en-AU"/>
              </w:rPr>
              <w:t>pend – Maintenance</w:t>
            </w:r>
          </w:p>
        </w:tc>
      </w:tr>
      <w:tr w:rsidR="002E2A6E" w:rsidRPr="002E2A6E" w14:paraId="1449F401" w14:textId="77777777" w:rsidTr="002E2A6E">
        <w:trPr>
          <w:trHeight w:val="255"/>
        </w:trPr>
        <w:tc>
          <w:tcPr>
            <w:tcW w:w="2580" w:type="dxa"/>
            <w:tcBorders>
              <w:top w:val="nil"/>
              <w:left w:val="nil"/>
              <w:bottom w:val="nil"/>
              <w:right w:val="nil"/>
            </w:tcBorders>
            <w:shd w:val="clear" w:color="auto" w:fill="auto"/>
            <w:noWrap/>
            <w:vAlign w:val="bottom"/>
          </w:tcPr>
          <w:p w14:paraId="45A2328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7A7A739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8.11.16</w:t>
            </w:r>
          </w:p>
        </w:tc>
        <w:tc>
          <w:tcPr>
            <w:tcW w:w="5320" w:type="dxa"/>
            <w:tcBorders>
              <w:top w:val="nil"/>
              <w:left w:val="nil"/>
              <w:bottom w:val="nil"/>
              <w:right w:val="nil"/>
            </w:tcBorders>
            <w:shd w:val="clear" w:color="auto" w:fill="auto"/>
            <w:noWrap/>
            <w:vAlign w:val="bottom"/>
            <w:hideMark/>
          </w:tcPr>
          <w:p w14:paraId="46B120F3" w14:textId="18006AAC" w:rsidR="002E2A6E" w:rsidRPr="002E2A6E" w:rsidRDefault="004614F2"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Recurrent s</w:t>
            </w:r>
            <w:r w:rsidR="002E2A6E" w:rsidRPr="002E2A6E">
              <w:rPr>
                <w:rFonts w:ascii="Calibri" w:eastAsia="Times New Roman" w:hAnsi="Calibri" w:cs="Times New Roman"/>
                <w:color w:val="000000"/>
                <w:sz w:val="20"/>
                <w:szCs w:val="20"/>
                <w:lang w:eastAsia="en-AU"/>
              </w:rPr>
              <w:t>pend – Operations</w:t>
            </w:r>
          </w:p>
        </w:tc>
      </w:tr>
      <w:tr w:rsidR="002E2A6E" w:rsidRPr="002E2A6E" w14:paraId="4B64D75D" w14:textId="77777777" w:rsidTr="002E2A6E">
        <w:trPr>
          <w:trHeight w:val="255"/>
        </w:trPr>
        <w:tc>
          <w:tcPr>
            <w:tcW w:w="2580" w:type="dxa"/>
            <w:tcBorders>
              <w:top w:val="nil"/>
              <w:left w:val="nil"/>
              <w:bottom w:val="nil"/>
              <w:right w:val="nil"/>
            </w:tcBorders>
            <w:shd w:val="clear" w:color="auto" w:fill="auto"/>
            <w:noWrap/>
            <w:vAlign w:val="bottom"/>
            <w:hideMark/>
          </w:tcPr>
          <w:p w14:paraId="7422892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Traffic volumes</w:t>
            </w:r>
          </w:p>
        </w:tc>
        <w:tc>
          <w:tcPr>
            <w:tcW w:w="1060" w:type="dxa"/>
            <w:tcBorders>
              <w:top w:val="nil"/>
              <w:left w:val="nil"/>
              <w:bottom w:val="nil"/>
              <w:right w:val="nil"/>
            </w:tcBorders>
            <w:shd w:val="clear" w:color="auto" w:fill="auto"/>
            <w:noWrap/>
            <w:vAlign w:val="bottom"/>
            <w:hideMark/>
          </w:tcPr>
          <w:p w14:paraId="6BF47F3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8.6.12</w:t>
            </w:r>
          </w:p>
        </w:tc>
        <w:tc>
          <w:tcPr>
            <w:tcW w:w="5320" w:type="dxa"/>
            <w:tcBorders>
              <w:top w:val="nil"/>
              <w:left w:val="nil"/>
              <w:bottom w:val="nil"/>
              <w:right w:val="nil"/>
            </w:tcBorders>
            <w:shd w:val="clear" w:color="auto" w:fill="auto"/>
            <w:noWrap/>
            <w:vAlign w:val="bottom"/>
            <w:hideMark/>
          </w:tcPr>
          <w:p w14:paraId="1DC28B4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Average annual daily traffic</w:t>
            </w:r>
          </w:p>
        </w:tc>
      </w:tr>
      <w:tr w:rsidR="002E2A6E" w:rsidRPr="002E2A6E" w14:paraId="7562D2A6" w14:textId="77777777" w:rsidTr="002E2A6E">
        <w:trPr>
          <w:trHeight w:val="255"/>
        </w:trPr>
        <w:tc>
          <w:tcPr>
            <w:tcW w:w="2580" w:type="dxa"/>
            <w:tcBorders>
              <w:top w:val="nil"/>
              <w:left w:val="nil"/>
              <w:bottom w:val="nil"/>
              <w:right w:val="nil"/>
            </w:tcBorders>
            <w:shd w:val="clear" w:color="auto" w:fill="auto"/>
            <w:noWrap/>
            <w:vAlign w:val="bottom"/>
            <w:hideMark/>
          </w:tcPr>
          <w:p w14:paraId="76A6DEB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7ABA8A0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8.6.26</w:t>
            </w:r>
          </w:p>
        </w:tc>
        <w:tc>
          <w:tcPr>
            <w:tcW w:w="5320" w:type="dxa"/>
            <w:tcBorders>
              <w:top w:val="nil"/>
              <w:left w:val="nil"/>
              <w:bottom w:val="nil"/>
              <w:right w:val="nil"/>
            </w:tcBorders>
            <w:shd w:val="clear" w:color="auto" w:fill="auto"/>
            <w:noWrap/>
            <w:vAlign w:val="bottom"/>
            <w:hideMark/>
          </w:tcPr>
          <w:p w14:paraId="614D813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Percentage of </w:t>
            </w:r>
            <w:proofErr w:type="spellStart"/>
            <w:r w:rsidRPr="002E2A6E">
              <w:rPr>
                <w:rFonts w:ascii="Calibri" w:eastAsia="Times New Roman" w:hAnsi="Calibri" w:cs="Times New Roman"/>
                <w:color w:val="000000"/>
                <w:sz w:val="20"/>
                <w:szCs w:val="20"/>
                <w:lang w:eastAsia="en-AU"/>
              </w:rPr>
              <w:t>aadt</w:t>
            </w:r>
            <w:proofErr w:type="spellEnd"/>
            <w:r w:rsidRPr="002E2A6E">
              <w:rPr>
                <w:rFonts w:ascii="Calibri" w:eastAsia="Times New Roman" w:hAnsi="Calibri" w:cs="Times New Roman"/>
                <w:color w:val="000000"/>
                <w:sz w:val="20"/>
                <w:szCs w:val="20"/>
                <w:lang w:eastAsia="en-AU"/>
              </w:rPr>
              <w:t xml:space="preserve"> classified as heavy vehicles</w:t>
            </w:r>
          </w:p>
        </w:tc>
      </w:tr>
      <w:tr w:rsidR="002E2A6E" w:rsidRPr="002E2A6E" w14:paraId="07EEBF89" w14:textId="77777777" w:rsidTr="002E2A6E">
        <w:trPr>
          <w:trHeight w:val="255"/>
        </w:trPr>
        <w:tc>
          <w:tcPr>
            <w:tcW w:w="2580" w:type="dxa"/>
            <w:tcBorders>
              <w:top w:val="nil"/>
              <w:left w:val="nil"/>
              <w:bottom w:val="nil"/>
              <w:right w:val="nil"/>
            </w:tcBorders>
            <w:shd w:val="clear" w:color="auto" w:fill="auto"/>
            <w:noWrap/>
            <w:vAlign w:val="bottom"/>
            <w:hideMark/>
          </w:tcPr>
          <w:p w14:paraId="6B3828E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roofErr w:type="spellStart"/>
            <w:r w:rsidRPr="002E2A6E">
              <w:rPr>
                <w:rFonts w:ascii="Calibri" w:eastAsia="Times New Roman" w:hAnsi="Calibri" w:cs="Times New Roman"/>
                <w:color w:val="000000"/>
                <w:sz w:val="20"/>
                <w:szCs w:val="20"/>
                <w:lang w:eastAsia="en-AU"/>
              </w:rPr>
              <w:t>FWP</w:t>
            </w:r>
            <w:proofErr w:type="spellEnd"/>
          </w:p>
        </w:tc>
        <w:tc>
          <w:tcPr>
            <w:tcW w:w="1060" w:type="dxa"/>
            <w:tcBorders>
              <w:top w:val="nil"/>
              <w:left w:val="nil"/>
              <w:bottom w:val="nil"/>
              <w:right w:val="nil"/>
            </w:tcBorders>
            <w:shd w:val="clear" w:color="auto" w:fill="auto"/>
            <w:noWrap/>
            <w:vAlign w:val="bottom"/>
            <w:hideMark/>
          </w:tcPr>
          <w:p w14:paraId="648731C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8.14.1</w:t>
            </w:r>
          </w:p>
        </w:tc>
        <w:tc>
          <w:tcPr>
            <w:tcW w:w="5320" w:type="dxa"/>
            <w:tcBorders>
              <w:top w:val="nil"/>
              <w:left w:val="nil"/>
              <w:bottom w:val="nil"/>
              <w:right w:val="nil"/>
            </w:tcBorders>
            <w:shd w:val="clear" w:color="auto" w:fill="auto"/>
            <w:noWrap/>
            <w:vAlign w:val="bottom"/>
            <w:hideMark/>
          </w:tcPr>
          <w:p w14:paraId="318CF70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Forward works program category</w:t>
            </w:r>
          </w:p>
        </w:tc>
      </w:tr>
      <w:tr w:rsidR="002E2A6E" w:rsidRPr="002E2A6E" w14:paraId="23F05BE7" w14:textId="77777777" w:rsidTr="002E2A6E">
        <w:trPr>
          <w:trHeight w:val="255"/>
        </w:trPr>
        <w:tc>
          <w:tcPr>
            <w:tcW w:w="2580" w:type="dxa"/>
            <w:tcBorders>
              <w:top w:val="nil"/>
              <w:left w:val="nil"/>
              <w:bottom w:val="nil"/>
              <w:right w:val="nil"/>
            </w:tcBorders>
            <w:shd w:val="clear" w:color="auto" w:fill="auto"/>
            <w:noWrap/>
            <w:vAlign w:val="bottom"/>
          </w:tcPr>
          <w:p w14:paraId="6D36B06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619494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8.14.2</w:t>
            </w:r>
          </w:p>
        </w:tc>
        <w:tc>
          <w:tcPr>
            <w:tcW w:w="5320" w:type="dxa"/>
            <w:tcBorders>
              <w:top w:val="nil"/>
              <w:left w:val="nil"/>
              <w:bottom w:val="nil"/>
              <w:right w:val="nil"/>
            </w:tcBorders>
            <w:shd w:val="clear" w:color="auto" w:fill="auto"/>
            <w:noWrap/>
            <w:vAlign w:val="bottom"/>
            <w:hideMark/>
          </w:tcPr>
          <w:p w14:paraId="731C68E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Forward works program treatment reason</w:t>
            </w:r>
          </w:p>
        </w:tc>
      </w:tr>
      <w:tr w:rsidR="002E2A6E" w:rsidRPr="002E2A6E" w14:paraId="5C2AB15E" w14:textId="77777777" w:rsidTr="002E2A6E">
        <w:trPr>
          <w:trHeight w:val="255"/>
        </w:trPr>
        <w:tc>
          <w:tcPr>
            <w:tcW w:w="2580" w:type="dxa"/>
            <w:tcBorders>
              <w:top w:val="nil"/>
              <w:left w:val="nil"/>
              <w:bottom w:val="nil"/>
              <w:right w:val="nil"/>
            </w:tcBorders>
            <w:shd w:val="clear" w:color="auto" w:fill="auto"/>
            <w:noWrap/>
            <w:vAlign w:val="bottom"/>
          </w:tcPr>
          <w:p w14:paraId="5702709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3A5B86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8.14.3</w:t>
            </w:r>
          </w:p>
        </w:tc>
        <w:tc>
          <w:tcPr>
            <w:tcW w:w="5320" w:type="dxa"/>
            <w:tcBorders>
              <w:top w:val="nil"/>
              <w:left w:val="nil"/>
              <w:bottom w:val="nil"/>
              <w:right w:val="nil"/>
            </w:tcBorders>
            <w:shd w:val="clear" w:color="auto" w:fill="auto"/>
            <w:noWrap/>
            <w:vAlign w:val="bottom"/>
            <w:hideMark/>
          </w:tcPr>
          <w:p w14:paraId="57A1258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Planned forward work treatment start year</w:t>
            </w:r>
          </w:p>
        </w:tc>
      </w:tr>
      <w:tr w:rsidR="002E2A6E" w:rsidRPr="002E2A6E" w14:paraId="6DA0E7D2" w14:textId="77777777" w:rsidTr="002E2A6E">
        <w:trPr>
          <w:trHeight w:val="255"/>
        </w:trPr>
        <w:tc>
          <w:tcPr>
            <w:tcW w:w="2580" w:type="dxa"/>
            <w:tcBorders>
              <w:top w:val="nil"/>
              <w:left w:val="nil"/>
              <w:bottom w:val="nil"/>
              <w:right w:val="nil"/>
            </w:tcBorders>
            <w:shd w:val="clear" w:color="auto" w:fill="auto"/>
            <w:noWrap/>
            <w:vAlign w:val="bottom"/>
          </w:tcPr>
          <w:p w14:paraId="6CE35BD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947D24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8.14.4</w:t>
            </w:r>
          </w:p>
        </w:tc>
        <w:tc>
          <w:tcPr>
            <w:tcW w:w="5320" w:type="dxa"/>
            <w:tcBorders>
              <w:top w:val="nil"/>
              <w:left w:val="nil"/>
              <w:bottom w:val="nil"/>
              <w:right w:val="nil"/>
            </w:tcBorders>
            <w:shd w:val="clear" w:color="auto" w:fill="auto"/>
            <w:noWrap/>
            <w:vAlign w:val="bottom"/>
            <w:hideMark/>
          </w:tcPr>
          <w:p w14:paraId="035BA3A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Forward works program treatment location start</w:t>
            </w:r>
          </w:p>
        </w:tc>
      </w:tr>
      <w:tr w:rsidR="002E2A6E" w:rsidRPr="002E2A6E" w14:paraId="38337D2F" w14:textId="77777777" w:rsidTr="002E2A6E">
        <w:trPr>
          <w:trHeight w:val="255"/>
        </w:trPr>
        <w:tc>
          <w:tcPr>
            <w:tcW w:w="2580" w:type="dxa"/>
            <w:tcBorders>
              <w:top w:val="nil"/>
              <w:left w:val="nil"/>
              <w:bottom w:val="nil"/>
              <w:right w:val="nil"/>
            </w:tcBorders>
            <w:shd w:val="clear" w:color="auto" w:fill="auto"/>
            <w:noWrap/>
            <w:vAlign w:val="bottom"/>
          </w:tcPr>
          <w:p w14:paraId="50EA540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48A7852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8.14.5</w:t>
            </w:r>
          </w:p>
        </w:tc>
        <w:tc>
          <w:tcPr>
            <w:tcW w:w="5320" w:type="dxa"/>
            <w:tcBorders>
              <w:top w:val="nil"/>
              <w:left w:val="nil"/>
              <w:bottom w:val="nil"/>
              <w:right w:val="nil"/>
            </w:tcBorders>
            <w:shd w:val="clear" w:color="auto" w:fill="auto"/>
            <w:noWrap/>
            <w:vAlign w:val="bottom"/>
            <w:hideMark/>
          </w:tcPr>
          <w:p w14:paraId="5DAC5B3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Forward works program treatment location end</w:t>
            </w:r>
          </w:p>
        </w:tc>
      </w:tr>
      <w:tr w:rsidR="002E2A6E" w:rsidRPr="002E2A6E" w14:paraId="5355D2BC" w14:textId="77777777" w:rsidTr="002E2A6E">
        <w:trPr>
          <w:trHeight w:val="255"/>
        </w:trPr>
        <w:tc>
          <w:tcPr>
            <w:tcW w:w="2580" w:type="dxa"/>
            <w:tcBorders>
              <w:top w:val="nil"/>
              <w:left w:val="nil"/>
              <w:bottom w:val="nil"/>
              <w:right w:val="nil"/>
            </w:tcBorders>
            <w:shd w:val="clear" w:color="auto" w:fill="auto"/>
            <w:noWrap/>
            <w:vAlign w:val="bottom"/>
          </w:tcPr>
          <w:p w14:paraId="2A563CC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4965994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8.14.7</w:t>
            </w:r>
          </w:p>
        </w:tc>
        <w:tc>
          <w:tcPr>
            <w:tcW w:w="5320" w:type="dxa"/>
            <w:tcBorders>
              <w:top w:val="nil"/>
              <w:left w:val="nil"/>
              <w:bottom w:val="nil"/>
              <w:right w:val="nil"/>
            </w:tcBorders>
            <w:shd w:val="clear" w:color="auto" w:fill="auto"/>
            <w:noWrap/>
            <w:vAlign w:val="bottom"/>
            <w:hideMark/>
          </w:tcPr>
          <w:p w14:paraId="59B6C2A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Forward work program intervention threshold</w:t>
            </w:r>
          </w:p>
        </w:tc>
      </w:tr>
      <w:tr w:rsidR="002E2A6E" w:rsidRPr="002E2A6E" w14:paraId="3F0A1836" w14:textId="77777777" w:rsidTr="002E2A6E">
        <w:trPr>
          <w:trHeight w:val="255"/>
        </w:trPr>
        <w:tc>
          <w:tcPr>
            <w:tcW w:w="2580" w:type="dxa"/>
            <w:tcBorders>
              <w:top w:val="nil"/>
              <w:left w:val="nil"/>
              <w:bottom w:val="nil"/>
              <w:right w:val="nil"/>
            </w:tcBorders>
            <w:shd w:val="clear" w:color="auto" w:fill="auto"/>
            <w:noWrap/>
            <w:vAlign w:val="bottom"/>
          </w:tcPr>
          <w:p w14:paraId="1E82693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C0C151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8.14.8</w:t>
            </w:r>
          </w:p>
        </w:tc>
        <w:tc>
          <w:tcPr>
            <w:tcW w:w="5320" w:type="dxa"/>
            <w:tcBorders>
              <w:top w:val="nil"/>
              <w:left w:val="nil"/>
              <w:bottom w:val="nil"/>
              <w:right w:val="nil"/>
            </w:tcBorders>
            <w:shd w:val="clear" w:color="auto" w:fill="auto"/>
            <w:noWrap/>
            <w:vAlign w:val="bottom"/>
            <w:hideMark/>
          </w:tcPr>
          <w:p w14:paraId="4690E0B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Forward works treatment estimated cost</w:t>
            </w:r>
          </w:p>
        </w:tc>
      </w:tr>
      <w:tr w:rsidR="002E2A6E" w:rsidRPr="002E2A6E" w14:paraId="775EE1FA" w14:textId="77777777" w:rsidTr="002E2A6E">
        <w:trPr>
          <w:trHeight w:val="255"/>
        </w:trPr>
        <w:tc>
          <w:tcPr>
            <w:tcW w:w="2580" w:type="dxa"/>
            <w:tcBorders>
              <w:top w:val="nil"/>
              <w:left w:val="nil"/>
              <w:bottom w:val="nil"/>
              <w:right w:val="nil"/>
            </w:tcBorders>
            <w:shd w:val="clear" w:color="auto" w:fill="auto"/>
            <w:noWrap/>
            <w:vAlign w:val="bottom"/>
          </w:tcPr>
          <w:p w14:paraId="014FA4E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775671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8.14.9</w:t>
            </w:r>
          </w:p>
        </w:tc>
        <w:tc>
          <w:tcPr>
            <w:tcW w:w="5320" w:type="dxa"/>
            <w:tcBorders>
              <w:top w:val="nil"/>
              <w:left w:val="nil"/>
              <w:bottom w:val="nil"/>
              <w:right w:val="nil"/>
            </w:tcBorders>
            <w:shd w:val="clear" w:color="auto" w:fill="auto"/>
            <w:noWrap/>
            <w:vAlign w:val="bottom"/>
            <w:hideMark/>
          </w:tcPr>
          <w:p w14:paraId="1DFFBF6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Planned forward treatment end year</w:t>
            </w:r>
          </w:p>
        </w:tc>
      </w:tr>
      <w:tr w:rsidR="002E2A6E" w:rsidRPr="002E2A6E" w14:paraId="03EF1C0C" w14:textId="77777777" w:rsidTr="002E2A6E">
        <w:trPr>
          <w:trHeight w:val="255"/>
        </w:trPr>
        <w:tc>
          <w:tcPr>
            <w:tcW w:w="2580" w:type="dxa"/>
            <w:tcBorders>
              <w:top w:val="nil"/>
              <w:left w:val="nil"/>
              <w:bottom w:val="nil"/>
              <w:right w:val="nil"/>
            </w:tcBorders>
            <w:shd w:val="clear" w:color="auto" w:fill="auto"/>
            <w:noWrap/>
            <w:vAlign w:val="bottom"/>
            <w:hideMark/>
          </w:tcPr>
          <w:p w14:paraId="0E1034E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Maintenance</w:t>
            </w:r>
          </w:p>
        </w:tc>
        <w:tc>
          <w:tcPr>
            <w:tcW w:w="1060" w:type="dxa"/>
            <w:tcBorders>
              <w:top w:val="nil"/>
              <w:left w:val="nil"/>
              <w:bottom w:val="nil"/>
              <w:right w:val="nil"/>
            </w:tcBorders>
            <w:shd w:val="clear" w:color="auto" w:fill="auto"/>
            <w:noWrap/>
            <w:vAlign w:val="bottom"/>
            <w:hideMark/>
          </w:tcPr>
          <w:p w14:paraId="1ECB1A6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8.14.11</w:t>
            </w:r>
          </w:p>
        </w:tc>
        <w:tc>
          <w:tcPr>
            <w:tcW w:w="5320" w:type="dxa"/>
            <w:tcBorders>
              <w:top w:val="nil"/>
              <w:left w:val="nil"/>
              <w:bottom w:val="nil"/>
              <w:right w:val="nil"/>
            </w:tcBorders>
            <w:shd w:val="clear" w:color="auto" w:fill="auto"/>
            <w:noWrap/>
            <w:vAlign w:val="bottom"/>
            <w:hideMark/>
          </w:tcPr>
          <w:p w14:paraId="70BFAA2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Defect description</w:t>
            </w:r>
          </w:p>
        </w:tc>
      </w:tr>
      <w:tr w:rsidR="002E2A6E" w:rsidRPr="002E2A6E" w14:paraId="7D6F7754" w14:textId="77777777" w:rsidTr="002E2A6E">
        <w:trPr>
          <w:trHeight w:val="255"/>
        </w:trPr>
        <w:tc>
          <w:tcPr>
            <w:tcW w:w="2580" w:type="dxa"/>
            <w:tcBorders>
              <w:top w:val="nil"/>
              <w:left w:val="nil"/>
              <w:bottom w:val="nil"/>
              <w:right w:val="nil"/>
            </w:tcBorders>
            <w:shd w:val="clear" w:color="auto" w:fill="auto"/>
            <w:noWrap/>
            <w:vAlign w:val="bottom"/>
          </w:tcPr>
          <w:p w14:paraId="07139A4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61360A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8.14.12</w:t>
            </w:r>
          </w:p>
        </w:tc>
        <w:tc>
          <w:tcPr>
            <w:tcW w:w="5320" w:type="dxa"/>
            <w:tcBorders>
              <w:top w:val="nil"/>
              <w:left w:val="nil"/>
              <w:bottom w:val="nil"/>
              <w:right w:val="nil"/>
            </w:tcBorders>
            <w:shd w:val="clear" w:color="auto" w:fill="auto"/>
            <w:noWrap/>
            <w:vAlign w:val="bottom"/>
            <w:hideMark/>
          </w:tcPr>
          <w:p w14:paraId="0070AB7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Status of work</w:t>
            </w:r>
          </w:p>
        </w:tc>
      </w:tr>
      <w:tr w:rsidR="002E2A6E" w:rsidRPr="002E2A6E" w14:paraId="59E25D02" w14:textId="77777777" w:rsidTr="002E2A6E">
        <w:trPr>
          <w:trHeight w:val="255"/>
        </w:trPr>
        <w:tc>
          <w:tcPr>
            <w:tcW w:w="2580" w:type="dxa"/>
            <w:tcBorders>
              <w:top w:val="nil"/>
              <w:left w:val="nil"/>
              <w:bottom w:val="nil"/>
              <w:right w:val="nil"/>
            </w:tcBorders>
            <w:shd w:val="clear" w:color="auto" w:fill="auto"/>
            <w:noWrap/>
            <w:vAlign w:val="bottom"/>
          </w:tcPr>
          <w:p w14:paraId="3841D61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0BE15A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8.14.14</w:t>
            </w:r>
          </w:p>
        </w:tc>
        <w:tc>
          <w:tcPr>
            <w:tcW w:w="5320" w:type="dxa"/>
            <w:tcBorders>
              <w:top w:val="nil"/>
              <w:left w:val="nil"/>
              <w:bottom w:val="nil"/>
              <w:right w:val="nil"/>
            </w:tcBorders>
            <w:shd w:val="clear" w:color="auto" w:fill="auto"/>
            <w:noWrap/>
            <w:vAlign w:val="bottom"/>
            <w:hideMark/>
          </w:tcPr>
          <w:p w14:paraId="275097F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Work quantity</w:t>
            </w:r>
          </w:p>
        </w:tc>
      </w:tr>
      <w:tr w:rsidR="002E2A6E" w:rsidRPr="002E2A6E" w14:paraId="222BAF22" w14:textId="77777777" w:rsidTr="002E2A6E">
        <w:trPr>
          <w:trHeight w:val="255"/>
        </w:trPr>
        <w:tc>
          <w:tcPr>
            <w:tcW w:w="2580" w:type="dxa"/>
            <w:tcBorders>
              <w:top w:val="nil"/>
              <w:left w:val="nil"/>
              <w:bottom w:val="nil"/>
              <w:right w:val="nil"/>
            </w:tcBorders>
            <w:shd w:val="clear" w:color="auto" w:fill="auto"/>
            <w:noWrap/>
            <w:vAlign w:val="bottom"/>
          </w:tcPr>
          <w:p w14:paraId="5C16E8B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75EBCB1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8.14.16</w:t>
            </w:r>
          </w:p>
        </w:tc>
        <w:tc>
          <w:tcPr>
            <w:tcW w:w="5320" w:type="dxa"/>
            <w:tcBorders>
              <w:top w:val="nil"/>
              <w:left w:val="nil"/>
              <w:bottom w:val="nil"/>
              <w:right w:val="nil"/>
            </w:tcBorders>
            <w:shd w:val="clear" w:color="auto" w:fill="auto"/>
            <w:noWrap/>
            <w:vAlign w:val="bottom"/>
            <w:hideMark/>
          </w:tcPr>
          <w:p w14:paraId="71DC0EA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Maintenance paid amount</w:t>
            </w:r>
          </w:p>
        </w:tc>
      </w:tr>
      <w:tr w:rsidR="002E2A6E" w:rsidRPr="002E2A6E" w14:paraId="5F3B25B3" w14:textId="77777777" w:rsidTr="002E2A6E">
        <w:trPr>
          <w:trHeight w:val="255"/>
        </w:trPr>
        <w:tc>
          <w:tcPr>
            <w:tcW w:w="2580" w:type="dxa"/>
            <w:tcBorders>
              <w:top w:val="nil"/>
              <w:left w:val="nil"/>
              <w:bottom w:val="nil"/>
              <w:right w:val="nil"/>
            </w:tcBorders>
            <w:shd w:val="clear" w:color="auto" w:fill="auto"/>
            <w:noWrap/>
            <w:vAlign w:val="bottom"/>
          </w:tcPr>
          <w:p w14:paraId="00EA6C5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3C4A256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8.14.28</w:t>
            </w:r>
          </w:p>
        </w:tc>
        <w:tc>
          <w:tcPr>
            <w:tcW w:w="5320" w:type="dxa"/>
            <w:tcBorders>
              <w:top w:val="nil"/>
              <w:left w:val="nil"/>
              <w:bottom w:val="nil"/>
              <w:right w:val="nil"/>
            </w:tcBorders>
            <w:shd w:val="clear" w:color="auto" w:fill="auto"/>
            <w:noWrap/>
            <w:vAlign w:val="bottom"/>
            <w:hideMark/>
          </w:tcPr>
          <w:p w14:paraId="0389F9A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Activity group</w:t>
            </w:r>
          </w:p>
        </w:tc>
      </w:tr>
      <w:tr w:rsidR="002E2A6E" w:rsidRPr="002E2A6E" w14:paraId="5B968E5B" w14:textId="77777777" w:rsidTr="002E2A6E">
        <w:trPr>
          <w:trHeight w:val="255"/>
        </w:trPr>
        <w:tc>
          <w:tcPr>
            <w:tcW w:w="2580" w:type="dxa"/>
            <w:tcBorders>
              <w:top w:val="nil"/>
              <w:left w:val="nil"/>
              <w:bottom w:val="nil"/>
              <w:right w:val="nil"/>
            </w:tcBorders>
            <w:shd w:val="clear" w:color="auto" w:fill="auto"/>
            <w:noWrap/>
            <w:vAlign w:val="bottom"/>
          </w:tcPr>
          <w:p w14:paraId="7B22406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C0DC3B3"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8.14.29</w:t>
            </w:r>
          </w:p>
        </w:tc>
        <w:tc>
          <w:tcPr>
            <w:tcW w:w="5320" w:type="dxa"/>
            <w:tcBorders>
              <w:top w:val="nil"/>
              <w:left w:val="nil"/>
              <w:bottom w:val="nil"/>
              <w:right w:val="nil"/>
            </w:tcBorders>
            <w:shd w:val="clear" w:color="auto" w:fill="auto"/>
            <w:noWrap/>
            <w:vAlign w:val="bottom"/>
            <w:hideMark/>
          </w:tcPr>
          <w:p w14:paraId="671995D9"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Work activity</w:t>
            </w:r>
          </w:p>
        </w:tc>
      </w:tr>
      <w:tr w:rsidR="002E2A6E" w:rsidRPr="002E2A6E" w14:paraId="7235A271" w14:textId="77777777" w:rsidTr="002E2A6E">
        <w:trPr>
          <w:trHeight w:val="255"/>
        </w:trPr>
        <w:tc>
          <w:tcPr>
            <w:tcW w:w="2580" w:type="dxa"/>
            <w:tcBorders>
              <w:top w:val="nil"/>
              <w:left w:val="nil"/>
              <w:bottom w:val="nil"/>
              <w:right w:val="nil"/>
            </w:tcBorders>
            <w:shd w:val="clear" w:color="auto" w:fill="auto"/>
            <w:noWrap/>
            <w:vAlign w:val="bottom"/>
            <w:hideMark/>
          </w:tcPr>
          <w:p w14:paraId="39E021C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Population</w:t>
            </w:r>
          </w:p>
        </w:tc>
        <w:tc>
          <w:tcPr>
            <w:tcW w:w="1060" w:type="dxa"/>
            <w:tcBorders>
              <w:top w:val="nil"/>
              <w:left w:val="nil"/>
              <w:bottom w:val="nil"/>
              <w:right w:val="nil"/>
            </w:tcBorders>
            <w:shd w:val="clear" w:color="auto" w:fill="auto"/>
            <w:noWrap/>
            <w:vAlign w:val="bottom"/>
            <w:hideMark/>
          </w:tcPr>
          <w:p w14:paraId="667DD97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8.5.3</w:t>
            </w:r>
          </w:p>
        </w:tc>
        <w:tc>
          <w:tcPr>
            <w:tcW w:w="5320" w:type="dxa"/>
            <w:tcBorders>
              <w:top w:val="nil"/>
              <w:left w:val="nil"/>
              <w:bottom w:val="nil"/>
              <w:right w:val="nil"/>
            </w:tcBorders>
            <w:shd w:val="clear" w:color="auto" w:fill="auto"/>
            <w:noWrap/>
            <w:vAlign w:val="bottom"/>
            <w:hideMark/>
          </w:tcPr>
          <w:p w14:paraId="050D81B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Population</w:t>
            </w:r>
          </w:p>
        </w:tc>
      </w:tr>
      <w:tr w:rsidR="002E2A6E" w:rsidRPr="002E2A6E" w14:paraId="3DE2F3C1" w14:textId="77777777" w:rsidTr="002E2A6E">
        <w:trPr>
          <w:trHeight w:val="255"/>
        </w:trPr>
        <w:tc>
          <w:tcPr>
            <w:tcW w:w="2580" w:type="dxa"/>
            <w:tcBorders>
              <w:top w:val="nil"/>
              <w:left w:val="nil"/>
              <w:bottom w:val="nil"/>
              <w:right w:val="nil"/>
            </w:tcBorders>
            <w:shd w:val="clear" w:color="auto" w:fill="auto"/>
            <w:noWrap/>
            <w:vAlign w:val="bottom"/>
            <w:hideMark/>
          </w:tcPr>
          <w:p w14:paraId="0EA5B0E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Road Use</w:t>
            </w:r>
          </w:p>
        </w:tc>
        <w:tc>
          <w:tcPr>
            <w:tcW w:w="1060" w:type="dxa"/>
            <w:tcBorders>
              <w:top w:val="nil"/>
              <w:left w:val="nil"/>
              <w:bottom w:val="nil"/>
              <w:right w:val="nil"/>
            </w:tcBorders>
            <w:shd w:val="clear" w:color="auto" w:fill="auto"/>
            <w:noWrap/>
            <w:vAlign w:val="bottom"/>
            <w:hideMark/>
          </w:tcPr>
          <w:p w14:paraId="05805E7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8.5.6</w:t>
            </w:r>
          </w:p>
        </w:tc>
        <w:tc>
          <w:tcPr>
            <w:tcW w:w="5320" w:type="dxa"/>
            <w:tcBorders>
              <w:top w:val="nil"/>
              <w:left w:val="nil"/>
              <w:bottom w:val="nil"/>
              <w:right w:val="nil"/>
            </w:tcBorders>
            <w:shd w:val="clear" w:color="auto" w:fill="auto"/>
            <w:noWrap/>
            <w:vAlign w:val="bottom"/>
            <w:hideMark/>
          </w:tcPr>
          <w:p w14:paraId="28B4DF30" w14:textId="752440BC" w:rsidR="002E2A6E" w:rsidRPr="002E2A6E" w:rsidRDefault="002E2A6E" w:rsidP="00086BB8">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Equivalent </w:t>
            </w:r>
            <w:r w:rsidR="00086BB8">
              <w:rPr>
                <w:rFonts w:ascii="Calibri" w:eastAsia="Times New Roman" w:hAnsi="Calibri" w:cs="Times New Roman"/>
                <w:color w:val="000000"/>
                <w:sz w:val="20"/>
                <w:szCs w:val="20"/>
                <w:lang w:eastAsia="en-AU"/>
              </w:rPr>
              <w:t>standard a</w:t>
            </w:r>
            <w:r w:rsidRPr="002E2A6E">
              <w:rPr>
                <w:rFonts w:ascii="Calibri" w:eastAsia="Times New Roman" w:hAnsi="Calibri" w:cs="Times New Roman"/>
                <w:color w:val="000000"/>
                <w:sz w:val="20"/>
                <w:szCs w:val="20"/>
                <w:lang w:eastAsia="en-AU"/>
              </w:rPr>
              <w:t xml:space="preserve">xles </w:t>
            </w:r>
            <w:r w:rsidR="00086BB8">
              <w:rPr>
                <w:rFonts w:ascii="Calibri" w:eastAsia="Times New Roman" w:hAnsi="Calibri" w:cs="Times New Roman"/>
                <w:color w:val="000000"/>
                <w:sz w:val="20"/>
                <w:szCs w:val="20"/>
                <w:lang w:eastAsia="en-AU"/>
              </w:rPr>
              <w:t>k</w:t>
            </w:r>
            <w:r w:rsidRPr="002E2A6E">
              <w:rPr>
                <w:rFonts w:ascii="Calibri" w:eastAsia="Times New Roman" w:hAnsi="Calibri" w:cs="Times New Roman"/>
                <w:color w:val="000000"/>
                <w:sz w:val="20"/>
                <w:szCs w:val="20"/>
                <w:lang w:eastAsia="en-AU"/>
              </w:rPr>
              <w:t>ilometres</w:t>
            </w:r>
          </w:p>
        </w:tc>
      </w:tr>
      <w:tr w:rsidR="002E2A6E" w:rsidRPr="002E2A6E" w14:paraId="6B67B709" w14:textId="77777777" w:rsidTr="002E2A6E">
        <w:trPr>
          <w:trHeight w:val="255"/>
        </w:trPr>
        <w:tc>
          <w:tcPr>
            <w:tcW w:w="2580" w:type="dxa"/>
            <w:tcBorders>
              <w:top w:val="nil"/>
              <w:left w:val="nil"/>
              <w:bottom w:val="nil"/>
              <w:right w:val="nil"/>
            </w:tcBorders>
            <w:shd w:val="clear" w:color="auto" w:fill="auto"/>
            <w:noWrap/>
            <w:vAlign w:val="bottom"/>
          </w:tcPr>
          <w:p w14:paraId="46ADF93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B3FC05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8.5.5</w:t>
            </w:r>
          </w:p>
        </w:tc>
        <w:tc>
          <w:tcPr>
            <w:tcW w:w="5320" w:type="dxa"/>
            <w:tcBorders>
              <w:top w:val="nil"/>
              <w:left w:val="nil"/>
              <w:bottom w:val="nil"/>
              <w:right w:val="nil"/>
            </w:tcBorders>
            <w:shd w:val="clear" w:color="auto" w:fill="auto"/>
            <w:noWrap/>
            <w:vAlign w:val="bottom"/>
            <w:hideMark/>
          </w:tcPr>
          <w:p w14:paraId="77C21334" w14:textId="1648BDD1" w:rsidR="002E2A6E" w:rsidRPr="002E2A6E" w:rsidRDefault="00086BB8" w:rsidP="00086BB8">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Gross v</w:t>
            </w:r>
            <w:r w:rsidR="002E2A6E" w:rsidRPr="002E2A6E">
              <w:rPr>
                <w:rFonts w:ascii="Calibri" w:eastAsia="Times New Roman" w:hAnsi="Calibri" w:cs="Times New Roman"/>
                <w:color w:val="000000"/>
                <w:sz w:val="20"/>
                <w:szCs w:val="20"/>
                <w:lang w:eastAsia="en-AU"/>
              </w:rPr>
              <w:t xml:space="preserve">ehicle </w:t>
            </w:r>
            <w:r>
              <w:rPr>
                <w:rFonts w:ascii="Calibri" w:eastAsia="Times New Roman" w:hAnsi="Calibri" w:cs="Times New Roman"/>
                <w:color w:val="000000"/>
                <w:sz w:val="20"/>
                <w:szCs w:val="20"/>
                <w:lang w:eastAsia="en-AU"/>
              </w:rPr>
              <w:t>m</w:t>
            </w:r>
            <w:r w:rsidR="002E2A6E" w:rsidRPr="002E2A6E">
              <w:rPr>
                <w:rFonts w:ascii="Calibri" w:eastAsia="Times New Roman" w:hAnsi="Calibri" w:cs="Times New Roman"/>
                <w:color w:val="000000"/>
                <w:sz w:val="20"/>
                <w:szCs w:val="20"/>
                <w:lang w:eastAsia="en-AU"/>
              </w:rPr>
              <w:t>ass kilometres</w:t>
            </w:r>
          </w:p>
        </w:tc>
      </w:tr>
      <w:tr w:rsidR="002E2A6E" w:rsidRPr="002E2A6E" w14:paraId="3EAE9CBD" w14:textId="77777777" w:rsidTr="002E2A6E">
        <w:trPr>
          <w:trHeight w:val="255"/>
        </w:trPr>
        <w:tc>
          <w:tcPr>
            <w:tcW w:w="2580" w:type="dxa"/>
            <w:tcBorders>
              <w:top w:val="nil"/>
              <w:left w:val="nil"/>
              <w:bottom w:val="nil"/>
              <w:right w:val="nil"/>
            </w:tcBorders>
            <w:shd w:val="clear" w:color="auto" w:fill="auto"/>
            <w:noWrap/>
            <w:vAlign w:val="bottom"/>
          </w:tcPr>
          <w:p w14:paraId="04E5CBE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7ECD467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8.5.7</w:t>
            </w:r>
          </w:p>
        </w:tc>
        <w:tc>
          <w:tcPr>
            <w:tcW w:w="5320" w:type="dxa"/>
            <w:tcBorders>
              <w:top w:val="nil"/>
              <w:left w:val="nil"/>
              <w:bottom w:val="nil"/>
              <w:right w:val="nil"/>
            </w:tcBorders>
            <w:shd w:val="clear" w:color="auto" w:fill="auto"/>
            <w:noWrap/>
            <w:vAlign w:val="bottom"/>
            <w:hideMark/>
          </w:tcPr>
          <w:p w14:paraId="24146D37" w14:textId="73C95652" w:rsidR="002E2A6E" w:rsidRPr="002E2A6E" w:rsidRDefault="00086BB8"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Passenger car u</w:t>
            </w:r>
            <w:r w:rsidR="002E2A6E" w:rsidRPr="002E2A6E">
              <w:rPr>
                <w:rFonts w:ascii="Calibri" w:eastAsia="Times New Roman" w:hAnsi="Calibri" w:cs="Times New Roman"/>
                <w:color w:val="000000"/>
                <w:sz w:val="20"/>
                <w:szCs w:val="20"/>
                <w:lang w:eastAsia="en-AU"/>
              </w:rPr>
              <w:t>nit equivalent kilometres</w:t>
            </w:r>
          </w:p>
        </w:tc>
      </w:tr>
      <w:tr w:rsidR="002E2A6E" w:rsidRPr="002E2A6E" w14:paraId="58F5B140" w14:textId="77777777" w:rsidTr="002E2A6E">
        <w:trPr>
          <w:trHeight w:val="255"/>
        </w:trPr>
        <w:tc>
          <w:tcPr>
            <w:tcW w:w="2580" w:type="dxa"/>
            <w:tcBorders>
              <w:top w:val="nil"/>
              <w:left w:val="nil"/>
              <w:bottom w:val="nil"/>
              <w:right w:val="nil"/>
            </w:tcBorders>
            <w:shd w:val="clear" w:color="auto" w:fill="auto"/>
            <w:noWrap/>
            <w:vAlign w:val="bottom"/>
          </w:tcPr>
          <w:p w14:paraId="4BBFDC9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1A7F911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8.5.4</w:t>
            </w:r>
          </w:p>
        </w:tc>
        <w:tc>
          <w:tcPr>
            <w:tcW w:w="5320" w:type="dxa"/>
            <w:tcBorders>
              <w:top w:val="nil"/>
              <w:left w:val="nil"/>
              <w:bottom w:val="nil"/>
              <w:right w:val="nil"/>
            </w:tcBorders>
            <w:shd w:val="clear" w:color="auto" w:fill="auto"/>
            <w:noWrap/>
            <w:vAlign w:val="bottom"/>
            <w:hideMark/>
          </w:tcPr>
          <w:p w14:paraId="2AECC95D" w14:textId="626E4CB1" w:rsidR="002E2A6E" w:rsidRPr="002E2A6E" w:rsidRDefault="00086BB8"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 xml:space="preserve">Vehicle </w:t>
            </w:r>
            <w:proofErr w:type="spellStart"/>
            <w:r>
              <w:rPr>
                <w:rFonts w:ascii="Calibri" w:eastAsia="Times New Roman" w:hAnsi="Calibri" w:cs="Times New Roman"/>
                <w:color w:val="000000"/>
                <w:sz w:val="20"/>
                <w:szCs w:val="20"/>
                <w:lang w:eastAsia="en-AU"/>
              </w:rPr>
              <w:t>kilometers</w:t>
            </w:r>
            <w:proofErr w:type="spellEnd"/>
            <w:r>
              <w:rPr>
                <w:rFonts w:ascii="Calibri" w:eastAsia="Times New Roman" w:hAnsi="Calibri" w:cs="Times New Roman"/>
                <w:color w:val="000000"/>
                <w:sz w:val="20"/>
                <w:szCs w:val="20"/>
                <w:lang w:eastAsia="en-AU"/>
              </w:rPr>
              <w:t xml:space="preserve"> t</w:t>
            </w:r>
            <w:r w:rsidR="002E2A6E" w:rsidRPr="002E2A6E">
              <w:rPr>
                <w:rFonts w:ascii="Calibri" w:eastAsia="Times New Roman" w:hAnsi="Calibri" w:cs="Times New Roman"/>
                <w:color w:val="000000"/>
                <w:sz w:val="20"/>
                <w:szCs w:val="20"/>
                <w:lang w:eastAsia="en-AU"/>
              </w:rPr>
              <w:t>ravelled</w:t>
            </w:r>
          </w:p>
        </w:tc>
      </w:tr>
      <w:tr w:rsidR="002E2A6E" w:rsidRPr="002E2A6E" w14:paraId="24DA96AE" w14:textId="77777777" w:rsidTr="002E2A6E">
        <w:trPr>
          <w:trHeight w:val="255"/>
        </w:trPr>
        <w:tc>
          <w:tcPr>
            <w:tcW w:w="2580" w:type="dxa"/>
            <w:tcBorders>
              <w:top w:val="nil"/>
              <w:left w:val="nil"/>
              <w:right w:val="nil"/>
            </w:tcBorders>
            <w:shd w:val="clear" w:color="auto" w:fill="auto"/>
            <w:noWrap/>
            <w:vAlign w:val="bottom"/>
            <w:hideMark/>
          </w:tcPr>
          <w:p w14:paraId="649DD47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Bridge Major Culvert</w:t>
            </w:r>
          </w:p>
        </w:tc>
        <w:tc>
          <w:tcPr>
            <w:tcW w:w="1060" w:type="dxa"/>
            <w:tcBorders>
              <w:top w:val="nil"/>
              <w:left w:val="nil"/>
              <w:right w:val="nil"/>
            </w:tcBorders>
            <w:shd w:val="clear" w:color="auto" w:fill="auto"/>
            <w:noWrap/>
            <w:vAlign w:val="bottom"/>
            <w:hideMark/>
          </w:tcPr>
          <w:p w14:paraId="15EDC35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8.3.3.17</w:t>
            </w:r>
          </w:p>
        </w:tc>
        <w:tc>
          <w:tcPr>
            <w:tcW w:w="5320" w:type="dxa"/>
            <w:tcBorders>
              <w:top w:val="nil"/>
              <w:left w:val="nil"/>
              <w:right w:val="nil"/>
            </w:tcBorders>
            <w:shd w:val="clear" w:color="auto" w:fill="auto"/>
            <w:noWrap/>
            <w:vAlign w:val="bottom"/>
            <w:hideMark/>
          </w:tcPr>
          <w:p w14:paraId="5D6C753D" w14:textId="287D289D" w:rsidR="002E2A6E" w:rsidRPr="002E2A6E" w:rsidRDefault="00086BB8" w:rsidP="002E2A6E">
            <w:pPr>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Cell type for major c</w:t>
            </w:r>
            <w:r w:rsidR="002E2A6E" w:rsidRPr="002E2A6E">
              <w:rPr>
                <w:rFonts w:ascii="Calibri" w:eastAsia="Times New Roman" w:hAnsi="Calibri" w:cs="Times New Roman"/>
                <w:color w:val="000000"/>
                <w:sz w:val="20"/>
                <w:szCs w:val="20"/>
                <w:lang w:eastAsia="en-AU"/>
              </w:rPr>
              <w:t>ulvert</w:t>
            </w:r>
          </w:p>
        </w:tc>
      </w:tr>
      <w:tr w:rsidR="002E2A6E" w:rsidRPr="002E2A6E" w14:paraId="2E5BB63F" w14:textId="77777777" w:rsidTr="002E2A6E">
        <w:trPr>
          <w:trHeight w:val="255"/>
        </w:trPr>
        <w:tc>
          <w:tcPr>
            <w:tcW w:w="2580" w:type="dxa"/>
            <w:tcBorders>
              <w:top w:val="nil"/>
              <w:left w:val="nil"/>
              <w:bottom w:val="nil"/>
              <w:right w:val="nil"/>
            </w:tcBorders>
            <w:shd w:val="clear" w:color="auto" w:fill="auto"/>
            <w:noWrap/>
            <w:vAlign w:val="bottom"/>
          </w:tcPr>
          <w:p w14:paraId="70D34BC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750FF95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8.3.3.20</w:t>
            </w:r>
          </w:p>
        </w:tc>
        <w:tc>
          <w:tcPr>
            <w:tcW w:w="5320" w:type="dxa"/>
            <w:tcBorders>
              <w:top w:val="nil"/>
              <w:left w:val="nil"/>
              <w:bottom w:val="nil"/>
              <w:right w:val="nil"/>
            </w:tcBorders>
            <w:shd w:val="clear" w:color="auto" w:fill="auto"/>
            <w:noWrap/>
            <w:vAlign w:val="bottom"/>
            <w:hideMark/>
          </w:tcPr>
          <w:p w14:paraId="00DCB6C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Number of spans or cells</w:t>
            </w:r>
          </w:p>
        </w:tc>
      </w:tr>
      <w:tr w:rsidR="002E2A6E" w:rsidRPr="002E2A6E" w14:paraId="1E87E408" w14:textId="77777777" w:rsidTr="00C0093E">
        <w:trPr>
          <w:trHeight w:val="255"/>
        </w:trPr>
        <w:tc>
          <w:tcPr>
            <w:tcW w:w="2580" w:type="dxa"/>
            <w:tcBorders>
              <w:top w:val="nil"/>
              <w:left w:val="nil"/>
              <w:right w:val="nil"/>
            </w:tcBorders>
            <w:shd w:val="clear" w:color="auto" w:fill="auto"/>
            <w:noWrap/>
            <w:vAlign w:val="bottom"/>
          </w:tcPr>
          <w:p w14:paraId="0F6B6835"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right w:val="nil"/>
            </w:tcBorders>
            <w:shd w:val="clear" w:color="auto" w:fill="auto"/>
            <w:noWrap/>
            <w:vAlign w:val="bottom"/>
            <w:hideMark/>
          </w:tcPr>
          <w:p w14:paraId="268965A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5320" w:type="dxa"/>
            <w:tcBorders>
              <w:top w:val="nil"/>
              <w:left w:val="nil"/>
              <w:right w:val="nil"/>
            </w:tcBorders>
            <w:shd w:val="clear" w:color="auto" w:fill="auto"/>
            <w:noWrap/>
            <w:vAlign w:val="bottom"/>
            <w:hideMark/>
          </w:tcPr>
          <w:p w14:paraId="000D6FD5" w14:textId="44F4C3E7" w:rsidR="002E2A6E" w:rsidRPr="002E2A6E" w:rsidRDefault="002E2A6E" w:rsidP="00086BB8">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Structure </w:t>
            </w:r>
            <w:r w:rsidR="00086BB8">
              <w:rPr>
                <w:rFonts w:ascii="Calibri" w:eastAsia="Times New Roman" w:hAnsi="Calibri" w:cs="Times New Roman"/>
                <w:color w:val="000000"/>
                <w:sz w:val="20"/>
                <w:szCs w:val="20"/>
                <w:lang w:eastAsia="en-AU"/>
              </w:rPr>
              <w:t>u</w:t>
            </w:r>
            <w:r w:rsidRPr="002E2A6E">
              <w:rPr>
                <w:rFonts w:ascii="Calibri" w:eastAsia="Times New Roman" w:hAnsi="Calibri" w:cs="Times New Roman"/>
                <w:color w:val="000000"/>
                <w:sz w:val="20"/>
                <w:szCs w:val="20"/>
                <w:lang w:eastAsia="en-AU"/>
              </w:rPr>
              <w:t xml:space="preserve">nique </w:t>
            </w:r>
            <w:r w:rsidR="00086BB8">
              <w:rPr>
                <w:rFonts w:ascii="Calibri" w:eastAsia="Times New Roman" w:hAnsi="Calibri" w:cs="Times New Roman"/>
                <w:color w:val="000000"/>
                <w:sz w:val="20"/>
                <w:szCs w:val="20"/>
                <w:lang w:eastAsia="en-AU"/>
              </w:rPr>
              <w:t>i</w:t>
            </w:r>
            <w:r w:rsidRPr="002E2A6E">
              <w:rPr>
                <w:rFonts w:ascii="Calibri" w:eastAsia="Times New Roman" w:hAnsi="Calibri" w:cs="Times New Roman"/>
                <w:color w:val="000000"/>
                <w:sz w:val="20"/>
                <w:szCs w:val="20"/>
                <w:lang w:eastAsia="en-AU"/>
              </w:rPr>
              <w:t>dentifier</w:t>
            </w:r>
          </w:p>
        </w:tc>
      </w:tr>
      <w:tr w:rsidR="002E2A6E" w:rsidRPr="002E2A6E" w14:paraId="0FA55FF3" w14:textId="77777777" w:rsidTr="00C0093E">
        <w:trPr>
          <w:trHeight w:val="255"/>
        </w:trPr>
        <w:tc>
          <w:tcPr>
            <w:tcW w:w="2580" w:type="dxa"/>
            <w:tcBorders>
              <w:left w:val="nil"/>
              <w:bottom w:val="nil"/>
              <w:right w:val="nil"/>
            </w:tcBorders>
            <w:shd w:val="clear" w:color="auto" w:fill="auto"/>
            <w:noWrap/>
            <w:vAlign w:val="bottom"/>
            <w:hideMark/>
          </w:tcPr>
          <w:p w14:paraId="5E43D81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Layers</w:t>
            </w:r>
          </w:p>
        </w:tc>
        <w:tc>
          <w:tcPr>
            <w:tcW w:w="1060" w:type="dxa"/>
            <w:tcBorders>
              <w:left w:val="nil"/>
              <w:bottom w:val="nil"/>
              <w:right w:val="nil"/>
            </w:tcBorders>
            <w:shd w:val="clear" w:color="auto" w:fill="auto"/>
            <w:noWrap/>
            <w:vAlign w:val="bottom"/>
            <w:hideMark/>
          </w:tcPr>
          <w:p w14:paraId="6BC5DDA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8.3.14.13</w:t>
            </w:r>
          </w:p>
        </w:tc>
        <w:tc>
          <w:tcPr>
            <w:tcW w:w="5320" w:type="dxa"/>
            <w:tcBorders>
              <w:left w:val="nil"/>
              <w:bottom w:val="nil"/>
              <w:right w:val="nil"/>
            </w:tcBorders>
            <w:shd w:val="clear" w:color="auto" w:fill="auto"/>
            <w:noWrap/>
            <w:vAlign w:val="bottom"/>
            <w:hideMark/>
          </w:tcPr>
          <w:p w14:paraId="20D467F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Layer material</w:t>
            </w:r>
          </w:p>
        </w:tc>
      </w:tr>
      <w:tr w:rsidR="002E2A6E" w:rsidRPr="002E2A6E" w14:paraId="05BDC706" w14:textId="77777777" w:rsidTr="002E2A6E">
        <w:trPr>
          <w:trHeight w:val="255"/>
        </w:trPr>
        <w:tc>
          <w:tcPr>
            <w:tcW w:w="2580" w:type="dxa"/>
            <w:tcBorders>
              <w:top w:val="nil"/>
              <w:left w:val="nil"/>
              <w:bottom w:val="nil"/>
              <w:right w:val="nil"/>
            </w:tcBorders>
            <w:shd w:val="clear" w:color="auto" w:fill="auto"/>
            <w:noWrap/>
            <w:vAlign w:val="bottom"/>
            <w:hideMark/>
          </w:tcPr>
          <w:p w14:paraId="565EB25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09ED5F6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8.3.14.18</w:t>
            </w:r>
          </w:p>
        </w:tc>
        <w:tc>
          <w:tcPr>
            <w:tcW w:w="5320" w:type="dxa"/>
            <w:tcBorders>
              <w:top w:val="nil"/>
              <w:left w:val="nil"/>
              <w:bottom w:val="nil"/>
              <w:right w:val="nil"/>
            </w:tcBorders>
            <w:shd w:val="clear" w:color="auto" w:fill="auto"/>
            <w:noWrap/>
            <w:vAlign w:val="bottom"/>
            <w:hideMark/>
          </w:tcPr>
          <w:p w14:paraId="727175B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Layer width</w:t>
            </w:r>
          </w:p>
        </w:tc>
      </w:tr>
      <w:tr w:rsidR="002E2A6E" w:rsidRPr="002E2A6E" w14:paraId="577EF95E" w14:textId="77777777" w:rsidTr="00C0093E">
        <w:trPr>
          <w:trHeight w:val="255"/>
        </w:trPr>
        <w:tc>
          <w:tcPr>
            <w:tcW w:w="2580" w:type="dxa"/>
            <w:tcBorders>
              <w:top w:val="nil"/>
              <w:left w:val="nil"/>
              <w:bottom w:val="single" w:sz="4" w:space="0" w:color="auto"/>
              <w:right w:val="nil"/>
            </w:tcBorders>
            <w:shd w:val="clear" w:color="auto" w:fill="auto"/>
            <w:noWrap/>
            <w:vAlign w:val="bottom"/>
            <w:hideMark/>
          </w:tcPr>
          <w:p w14:paraId="5C88E70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Pavement General</w:t>
            </w:r>
          </w:p>
        </w:tc>
        <w:tc>
          <w:tcPr>
            <w:tcW w:w="1060" w:type="dxa"/>
            <w:tcBorders>
              <w:top w:val="nil"/>
              <w:left w:val="nil"/>
              <w:bottom w:val="single" w:sz="4" w:space="0" w:color="auto"/>
              <w:right w:val="nil"/>
            </w:tcBorders>
            <w:shd w:val="clear" w:color="auto" w:fill="auto"/>
            <w:noWrap/>
            <w:vAlign w:val="bottom"/>
            <w:hideMark/>
          </w:tcPr>
          <w:p w14:paraId="0B14CE9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8.3.14.5</w:t>
            </w:r>
          </w:p>
        </w:tc>
        <w:tc>
          <w:tcPr>
            <w:tcW w:w="5320" w:type="dxa"/>
            <w:tcBorders>
              <w:top w:val="nil"/>
              <w:left w:val="nil"/>
              <w:bottom w:val="single" w:sz="4" w:space="0" w:color="auto"/>
              <w:right w:val="nil"/>
            </w:tcBorders>
            <w:shd w:val="clear" w:color="auto" w:fill="auto"/>
            <w:noWrap/>
            <w:vAlign w:val="bottom"/>
            <w:hideMark/>
          </w:tcPr>
          <w:p w14:paraId="38455948"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Centreline segment length</w:t>
            </w:r>
          </w:p>
        </w:tc>
      </w:tr>
      <w:tr w:rsidR="002E2A6E" w:rsidRPr="002E2A6E" w14:paraId="4DB064BA" w14:textId="77777777" w:rsidTr="00C0093E">
        <w:trPr>
          <w:trHeight w:val="255"/>
        </w:trPr>
        <w:tc>
          <w:tcPr>
            <w:tcW w:w="2580" w:type="dxa"/>
            <w:tcBorders>
              <w:top w:val="single" w:sz="4" w:space="0" w:color="auto"/>
              <w:left w:val="nil"/>
              <w:bottom w:val="nil"/>
              <w:right w:val="nil"/>
            </w:tcBorders>
            <w:shd w:val="clear" w:color="auto" w:fill="auto"/>
            <w:noWrap/>
            <w:vAlign w:val="bottom"/>
            <w:hideMark/>
          </w:tcPr>
          <w:p w14:paraId="3D317FAA"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lastRenderedPageBreak/>
              <w:t>Pavement Surfacing - General</w:t>
            </w:r>
          </w:p>
        </w:tc>
        <w:tc>
          <w:tcPr>
            <w:tcW w:w="1060" w:type="dxa"/>
            <w:tcBorders>
              <w:top w:val="single" w:sz="4" w:space="0" w:color="auto"/>
              <w:left w:val="nil"/>
              <w:bottom w:val="nil"/>
              <w:right w:val="nil"/>
            </w:tcBorders>
            <w:shd w:val="clear" w:color="auto" w:fill="auto"/>
            <w:noWrap/>
            <w:vAlign w:val="bottom"/>
            <w:hideMark/>
          </w:tcPr>
          <w:p w14:paraId="2EFB618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8.3.15.3</w:t>
            </w:r>
          </w:p>
        </w:tc>
        <w:tc>
          <w:tcPr>
            <w:tcW w:w="5320" w:type="dxa"/>
            <w:tcBorders>
              <w:top w:val="single" w:sz="4" w:space="0" w:color="auto"/>
              <w:left w:val="nil"/>
              <w:bottom w:val="nil"/>
              <w:right w:val="nil"/>
            </w:tcBorders>
            <w:shd w:val="clear" w:color="auto" w:fill="auto"/>
            <w:noWrap/>
            <w:vAlign w:val="bottom"/>
            <w:hideMark/>
          </w:tcPr>
          <w:p w14:paraId="7CD9E19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Length of seal</w:t>
            </w:r>
          </w:p>
        </w:tc>
      </w:tr>
      <w:tr w:rsidR="002E2A6E" w:rsidRPr="002E2A6E" w14:paraId="027418CB" w14:textId="77777777" w:rsidTr="002E2A6E">
        <w:trPr>
          <w:trHeight w:val="255"/>
        </w:trPr>
        <w:tc>
          <w:tcPr>
            <w:tcW w:w="2580" w:type="dxa"/>
            <w:tcBorders>
              <w:top w:val="nil"/>
              <w:left w:val="nil"/>
              <w:bottom w:val="nil"/>
              <w:right w:val="nil"/>
            </w:tcBorders>
            <w:shd w:val="clear" w:color="auto" w:fill="auto"/>
            <w:noWrap/>
            <w:vAlign w:val="bottom"/>
          </w:tcPr>
          <w:p w14:paraId="03150B9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596B49E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8.3.15.7</w:t>
            </w:r>
          </w:p>
        </w:tc>
        <w:tc>
          <w:tcPr>
            <w:tcW w:w="5320" w:type="dxa"/>
            <w:tcBorders>
              <w:top w:val="nil"/>
              <w:left w:val="nil"/>
              <w:bottom w:val="nil"/>
              <w:right w:val="nil"/>
            </w:tcBorders>
            <w:shd w:val="clear" w:color="auto" w:fill="auto"/>
            <w:noWrap/>
            <w:vAlign w:val="bottom"/>
            <w:hideMark/>
          </w:tcPr>
          <w:p w14:paraId="03FFABF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Design life</w:t>
            </w:r>
          </w:p>
        </w:tc>
      </w:tr>
      <w:tr w:rsidR="002E2A6E" w:rsidRPr="002E2A6E" w14:paraId="0C2A3672" w14:textId="77777777" w:rsidTr="002E2A6E">
        <w:trPr>
          <w:trHeight w:val="255"/>
        </w:trPr>
        <w:tc>
          <w:tcPr>
            <w:tcW w:w="2580" w:type="dxa"/>
            <w:tcBorders>
              <w:top w:val="nil"/>
              <w:left w:val="nil"/>
              <w:bottom w:val="nil"/>
              <w:right w:val="nil"/>
            </w:tcBorders>
            <w:shd w:val="clear" w:color="auto" w:fill="auto"/>
            <w:noWrap/>
            <w:vAlign w:val="bottom"/>
          </w:tcPr>
          <w:p w14:paraId="3AE7C7D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8EB31E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5320" w:type="dxa"/>
            <w:tcBorders>
              <w:top w:val="nil"/>
              <w:left w:val="nil"/>
              <w:bottom w:val="nil"/>
              <w:right w:val="nil"/>
            </w:tcBorders>
            <w:shd w:val="clear" w:color="auto" w:fill="auto"/>
            <w:noWrap/>
            <w:vAlign w:val="bottom"/>
            <w:hideMark/>
          </w:tcPr>
          <w:p w14:paraId="21E5E90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Number of lanes</w:t>
            </w:r>
          </w:p>
        </w:tc>
      </w:tr>
      <w:tr w:rsidR="002E2A6E" w:rsidRPr="002E2A6E" w14:paraId="2EF42F20" w14:textId="77777777" w:rsidTr="002E2A6E">
        <w:trPr>
          <w:trHeight w:val="255"/>
        </w:trPr>
        <w:tc>
          <w:tcPr>
            <w:tcW w:w="2580" w:type="dxa"/>
            <w:tcBorders>
              <w:top w:val="nil"/>
              <w:left w:val="nil"/>
              <w:bottom w:val="nil"/>
              <w:right w:val="nil"/>
            </w:tcBorders>
            <w:shd w:val="clear" w:color="auto" w:fill="auto"/>
            <w:noWrap/>
            <w:vAlign w:val="bottom"/>
          </w:tcPr>
          <w:p w14:paraId="4A777906"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646AAB3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8.3.15.4</w:t>
            </w:r>
          </w:p>
        </w:tc>
        <w:tc>
          <w:tcPr>
            <w:tcW w:w="5320" w:type="dxa"/>
            <w:tcBorders>
              <w:top w:val="nil"/>
              <w:left w:val="nil"/>
              <w:bottom w:val="nil"/>
              <w:right w:val="nil"/>
            </w:tcBorders>
            <w:shd w:val="clear" w:color="auto" w:fill="auto"/>
            <w:noWrap/>
            <w:vAlign w:val="bottom"/>
            <w:hideMark/>
          </w:tcPr>
          <w:p w14:paraId="6B36C36D"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Width of Seal</w:t>
            </w:r>
          </w:p>
        </w:tc>
      </w:tr>
      <w:tr w:rsidR="002E2A6E" w:rsidRPr="002E2A6E" w14:paraId="3FE611E8" w14:textId="77777777" w:rsidTr="002E2A6E">
        <w:trPr>
          <w:trHeight w:val="255"/>
        </w:trPr>
        <w:tc>
          <w:tcPr>
            <w:tcW w:w="2580" w:type="dxa"/>
            <w:tcBorders>
              <w:top w:val="nil"/>
              <w:left w:val="nil"/>
              <w:bottom w:val="nil"/>
              <w:right w:val="nil"/>
            </w:tcBorders>
            <w:shd w:val="clear" w:color="auto" w:fill="auto"/>
            <w:noWrap/>
            <w:vAlign w:val="bottom"/>
            <w:hideMark/>
          </w:tcPr>
          <w:p w14:paraId="68C0A248" w14:textId="5A9B2CA4" w:rsidR="002E2A6E" w:rsidRPr="002E2A6E" w:rsidRDefault="002E2A6E" w:rsidP="00086BB8">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 xml:space="preserve">Traffic </w:t>
            </w:r>
            <w:r w:rsidR="00086BB8">
              <w:rPr>
                <w:rFonts w:ascii="Calibri" w:eastAsia="Times New Roman" w:hAnsi="Calibri" w:cs="Times New Roman"/>
                <w:color w:val="000000"/>
                <w:sz w:val="20"/>
                <w:szCs w:val="20"/>
                <w:lang w:eastAsia="en-AU"/>
              </w:rPr>
              <w:t>V</w:t>
            </w:r>
            <w:r w:rsidRPr="002E2A6E">
              <w:rPr>
                <w:rFonts w:ascii="Calibri" w:eastAsia="Times New Roman" w:hAnsi="Calibri" w:cs="Times New Roman"/>
                <w:color w:val="000000"/>
                <w:sz w:val="20"/>
                <w:szCs w:val="20"/>
                <w:lang w:eastAsia="en-AU"/>
              </w:rPr>
              <w:t>olumes</w:t>
            </w:r>
          </w:p>
        </w:tc>
        <w:tc>
          <w:tcPr>
            <w:tcW w:w="1060" w:type="dxa"/>
            <w:tcBorders>
              <w:top w:val="nil"/>
              <w:left w:val="nil"/>
              <w:bottom w:val="nil"/>
              <w:right w:val="nil"/>
            </w:tcBorders>
            <w:shd w:val="clear" w:color="auto" w:fill="auto"/>
            <w:noWrap/>
            <w:vAlign w:val="bottom"/>
            <w:hideMark/>
          </w:tcPr>
          <w:p w14:paraId="411EA52F"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8.6.28</w:t>
            </w:r>
          </w:p>
        </w:tc>
        <w:tc>
          <w:tcPr>
            <w:tcW w:w="5320" w:type="dxa"/>
            <w:tcBorders>
              <w:top w:val="nil"/>
              <w:left w:val="nil"/>
              <w:bottom w:val="nil"/>
              <w:right w:val="nil"/>
            </w:tcBorders>
            <w:shd w:val="clear" w:color="auto" w:fill="auto"/>
            <w:noWrap/>
            <w:vAlign w:val="bottom"/>
            <w:hideMark/>
          </w:tcPr>
          <w:p w14:paraId="4FB3CDA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Average annual daily traffic per class</w:t>
            </w:r>
          </w:p>
        </w:tc>
      </w:tr>
      <w:tr w:rsidR="002E2A6E" w:rsidRPr="002E2A6E" w14:paraId="6B11D6AB" w14:textId="77777777" w:rsidTr="002E2A6E">
        <w:trPr>
          <w:trHeight w:val="255"/>
        </w:trPr>
        <w:tc>
          <w:tcPr>
            <w:tcW w:w="2580" w:type="dxa"/>
            <w:tcBorders>
              <w:top w:val="nil"/>
              <w:left w:val="nil"/>
              <w:bottom w:val="nil"/>
              <w:right w:val="nil"/>
            </w:tcBorders>
            <w:shd w:val="clear" w:color="auto" w:fill="auto"/>
            <w:noWrap/>
            <w:vAlign w:val="bottom"/>
            <w:hideMark/>
          </w:tcPr>
          <w:p w14:paraId="7849C3A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roofErr w:type="spellStart"/>
            <w:r w:rsidRPr="002E2A6E">
              <w:rPr>
                <w:rFonts w:ascii="Calibri" w:eastAsia="Times New Roman" w:hAnsi="Calibri" w:cs="Times New Roman"/>
                <w:color w:val="000000"/>
                <w:sz w:val="20"/>
                <w:szCs w:val="20"/>
                <w:lang w:eastAsia="en-AU"/>
              </w:rPr>
              <w:t>FWP</w:t>
            </w:r>
            <w:proofErr w:type="spellEnd"/>
          </w:p>
        </w:tc>
        <w:tc>
          <w:tcPr>
            <w:tcW w:w="1060" w:type="dxa"/>
            <w:tcBorders>
              <w:top w:val="nil"/>
              <w:left w:val="nil"/>
              <w:bottom w:val="nil"/>
              <w:right w:val="nil"/>
            </w:tcBorders>
            <w:shd w:val="clear" w:color="auto" w:fill="auto"/>
            <w:noWrap/>
            <w:vAlign w:val="bottom"/>
            <w:hideMark/>
          </w:tcPr>
          <w:p w14:paraId="40E2C2DE"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8.14.31</w:t>
            </w:r>
          </w:p>
        </w:tc>
        <w:tc>
          <w:tcPr>
            <w:tcW w:w="5320" w:type="dxa"/>
            <w:tcBorders>
              <w:top w:val="nil"/>
              <w:left w:val="nil"/>
              <w:bottom w:val="nil"/>
              <w:right w:val="nil"/>
            </w:tcBorders>
            <w:shd w:val="clear" w:color="auto" w:fill="auto"/>
            <w:noWrap/>
            <w:vAlign w:val="bottom"/>
            <w:hideMark/>
          </w:tcPr>
          <w:p w14:paraId="565A8E4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Forward work treatment actual completed cost</w:t>
            </w:r>
          </w:p>
        </w:tc>
      </w:tr>
      <w:tr w:rsidR="002E2A6E" w:rsidRPr="002E2A6E" w14:paraId="311FCB58" w14:textId="77777777" w:rsidTr="002E2A6E">
        <w:trPr>
          <w:trHeight w:val="255"/>
        </w:trPr>
        <w:tc>
          <w:tcPr>
            <w:tcW w:w="2580" w:type="dxa"/>
            <w:tcBorders>
              <w:top w:val="nil"/>
              <w:left w:val="nil"/>
              <w:bottom w:val="nil"/>
              <w:right w:val="nil"/>
            </w:tcBorders>
            <w:shd w:val="clear" w:color="auto" w:fill="auto"/>
            <w:noWrap/>
            <w:vAlign w:val="bottom"/>
            <w:hideMark/>
          </w:tcPr>
          <w:p w14:paraId="26654EE4"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Output</w:t>
            </w:r>
          </w:p>
        </w:tc>
        <w:tc>
          <w:tcPr>
            <w:tcW w:w="1060" w:type="dxa"/>
            <w:tcBorders>
              <w:top w:val="nil"/>
              <w:left w:val="nil"/>
              <w:bottom w:val="nil"/>
              <w:right w:val="nil"/>
            </w:tcBorders>
            <w:shd w:val="clear" w:color="auto" w:fill="auto"/>
            <w:noWrap/>
            <w:vAlign w:val="bottom"/>
            <w:hideMark/>
          </w:tcPr>
          <w:p w14:paraId="1790428B"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8.14.37</w:t>
            </w:r>
          </w:p>
        </w:tc>
        <w:tc>
          <w:tcPr>
            <w:tcW w:w="5320" w:type="dxa"/>
            <w:tcBorders>
              <w:top w:val="nil"/>
              <w:left w:val="nil"/>
              <w:bottom w:val="nil"/>
              <w:right w:val="nil"/>
            </w:tcBorders>
            <w:shd w:val="clear" w:color="auto" w:fill="auto"/>
            <w:noWrap/>
            <w:vAlign w:val="bottom"/>
            <w:hideMark/>
          </w:tcPr>
          <w:p w14:paraId="14558D70"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Actual work treatment end date</w:t>
            </w:r>
          </w:p>
        </w:tc>
      </w:tr>
      <w:tr w:rsidR="002E2A6E" w:rsidRPr="002E2A6E" w14:paraId="51542135" w14:textId="77777777" w:rsidTr="002E2A6E">
        <w:trPr>
          <w:trHeight w:val="255"/>
        </w:trPr>
        <w:tc>
          <w:tcPr>
            <w:tcW w:w="2580" w:type="dxa"/>
            <w:tcBorders>
              <w:top w:val="nil"/>
              <w:left w:val="nil"/>
              <w:bottom w:val="nil"/>
              <w:right w:val="nil"/>
            </w:tcBorders>
            <w:shd w:val="clear" w:color="auto" w:fill="auto"/>
            <w:noWrap/>
            <w:vAlign w:val="bottom"/>
          </w:tcPr>
          <w:p w14:paraId="2BC8B7A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14:paraId="4E3A3C7C"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8.14.34</w:t>
            </w:r>
          </w:p>
        </w:tc>
        <w:tc>
          <w:tcPr>
            <w:tcW w:w="5320" w:type="dxa"/>
            <w:tcBorders>
              <w:top w:val="nil"/>
              <w:left w:val="nil"/>
              <w:bottom w:val="nil"/>
              <w:right w:val="nil"/>
            </w:tcBorders>
            <w:shd w:val="clear" w:color="auto" w:fill="auto"/>
            <w:noWrap/>
            <w:vAlign w:val="bottom"/>
            <w:hideMark/>
          </w:tcPr>
          <w:p w14:paraId="2B2F5171"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Benefit cost ratio</w:t>
            </w:r>
          </w:p>
        </w:tc>
      </w:tr>
      <w:tr w:rsidR="002E2A6E" w:rsidRPr="002E2A6E" w14:paraId="50DAD7FF" w14:textId="77777777" w:rsidTr="002E2A6E">
        <w:trPr>
          <w:trHeight w:val="255"/>
        </w:trPr>
        <w:tc>
          <w:tcPr>
            <w:tcW w:w="2580" w:type="dxa"/>
            <w:tcBorders>
              <w:top w:val="nil"/>
              <w:left w:val="nil"/>
              <w:bottom w:val="single" w:sz="4" w:space="0" w:color="auto"/>
              <w:right w:val="nil"/>
            </w:tcBorders>
            <w:shd w:val="clear" w:color="auto" w:fill="auto"/>
            <w:noWrap/>
            <w:vAlign w:val="bottom"/>
            <w:hideMark/>
          </w:tcPr>
          <w:p w14:paraId="238AE13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Asset Life</w:t>
            </w:r>
          </w:p>
        </w:tc>
        <w:tc>
          <w:tcPr>
            <w:tcW w:w="1060" w:type="dxa"/>
            <w:tcBorders>
              <w:top w:val="nil"/>
              <w:left w:val="nil"/>
              <w:bottom w:val="single" w:sz="4" w:space="0" w:color="auto"/>
              <w:right w:val="nil"/>
            </w:tcBorders>
            <w:shd w:val="clear" w:color="auto" w:fill="auto"/>
            <w:noWrap/>
            <w:vAlign w:val="bottom"/>
            <w:hideMark/>
          </w:tcPr>
          <w:p w14:paraId="21EE0712"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8.10.14</w:t>
            </w:r>
          </w:p>
        </w:tc>
        <w:tc>
          <w:tcPr>
            <w:tcW w:w="5320" w:type="dxa"/>
            <w:tcBorders>
              <w:top w:val="nil"/>
              <w:left w:val="nil"/>
              <w:bottom w:val="single" w:sz="4" w:space="0" w:color="auto"/>
              <w:right w:val="nil"/>
            </w:tcBorders>
            <w:shd w:val="clear" w:color="auto" w:fill="auto"/>
            <w:noWrap/>
            <w:vAlign w:val="bottom"/>
            <w:hideMark/>
          </w:tcPr>
          <w:p w14:paraId="4391F117" w14:textId="77777777" w:rsidR="002E2A6E" w:rsidRPr="002E2A6E" w:rsidRDefault="002E2A6E" w:rsidP="002E2A6E">
            <w:pPr>
              <w:tabs>
                <w:tab w:val="clear" w:pos="567"/>
              </w:tabs>
              <w:spacing w:after="0" w:line="240" w:lineRule="auto"/>
              <w:rPr>
                <w:rFonts w:ascii="Calibri" w:eastAsia="Times New Roman" w:hAnsi="Calibri" w:cs="Times New Roman"/>
                <w:color w:val="000000"/>
                <w:sz w:val="20"/>
                <w:szCs w:val="20"/>
                <w:lang w:eastAsia="en-AU"/>
              </w:rPr>
            </w:pPr>
            <w:r w:rsidRPr="002E2A6E">
              <w:rPr>
                <w:rFonts w:ascii="Calibri" w:eastAsia="Times New Roman" w:hAnsi="Calibri" w:cs="Times New Roman"/>
                <w:color w:val="000000"/>
                <w:sz w:val="20"/>
                <w:szCs w:val="20"/>
                <w:lang w:eastAsia="en-AU"/>
              </w:rPr>
              <w:t>Life achieved</w:t>
            </w:r>
          </w:p>
        </w:tc>
      </w:tr>
    </w:tbl>
    <w:p w14:paraId="769D26E7" w14:textId="77777777" w:rsidR="005A5666" w:rsidRPr="005A5666" w:rsidRDefault="005A5666" w:rsidP="00F66904">
      <w:pPr>
        <w:ind w:left="-709"/>
      </w:pPr>
    </w:p>
    <w:sectPr w:rsidR="005A5666" w:rsidRPr="005A5666" w:rsidSect="00F66904">
      <w:headerReference w:type="first" r:id="rId21"/>
      <w:pgSz w:w="11899" w:h="16838" w:code="9"/>
      <w:pgMar w:top="1701" w:right="1474" w:bottom="1701" w:left="1474" w:header="709" w:footer="709" w:gutter="0"/>
      <w:cols w:space="708"/>
      <w:titlePg/>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C90DF6C" w15:done="0"/>
  <w15:commentEx w15:paraId="496AA88D" w15:done="0"/>
  <w15:commentEx w15:paraId="59D040C5" w15:done="0"/>
  <w15:commentEx w15:paraId="668A2225" w15:done="0"/>
  <w15:commentEx w15:paraId="19198235" w15:done="0"/>
  <w15:commentEx w15:paraId="3B9F784E" w15:done="0"/>
  <w15:commentEx w15:paraId="02C3BAB4" w15:done="0"/>
  <w15:commentEx w15:paraId="5F70DC50" w15:done="0"/>
  <w15:commentEx w15:paraId="602D99B7" w15:done="0"/>
  <w15:commentEx w15:paraId="209B206C" w15:done="0"/>
  <w15:commentEx w15:paraId="6CFBFBCA" w15:done="0"/>
  <w15:commentEx w15:paraId="7C47F97C" w15:done="0"/>
  <w15:commentEx w15:paraId="5985DA45" w15:done="0"/>
  <w15:commentEx w15:paraId="441B5EBA" w15:done="0"/>
  <w15:commentEx w15:paraId="0BAB1D2B" w15:done="0"/>
  <w15:commentEx w15:paraId="1F78207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90DF6C" w16cid:durableId="1E56ED04"/>
  <w16cid:commentId w16cid:paraId="496AA88D" w16cid:durableId="1E56ED68"/>
  <w16cid:commentId w16cid:paraId="59D040C5" w16cid:durableId="1E56DDA9"/>
  <w16cid:commentId w16cid:paraId="668A2225" w16cid:durableId="1E56E5D5"/>
  <w16cid:commentId w16cid:paraId="19198235" w16cid:durableId="1E56F1F1"/>
  <w16cid:commentId w16cid:paraId="3B9F784E" w16cid:durableId="1E56F192"/>
  <w16cid:commentId w16cid:paraId="02C3BAB4" w16cid:durableId="1E582FC5"/>
  <w16cid:commentId w16cid:paraId="5F70DC50" w16cid:durableId="1E583B4A"/>
  <w16cid:commentId w16cid:paraId="602D99B7" w16cid:durableId="1E583FBB"/>
  <w16cid:commentId w16cid:paraId="209B206C" w16cid:durableId="1E58454B"/>
  <w16cid:commentId w16cid:paraId="6CFBFBCA" w16cid:durableId="1E584AF1"/>
  <w16cid:commentId w16cid:paraId="5985DA45" w16cid:durableId="1E58551B"/>
  <w16cid:commentId w16cid:paraId="441B5EBA" w16cid:durableId="1E5856DC"/>
  <w16cid:commentId w16cid:paraId="0BAB1D2B" w16cid:durableId="1E585965"/>
  <w16cid:commentId w16cid:paraId="1F782079" w16cid:durableId="1E585C2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6E049" w14:textId="77777777" w:rsidR="00742B8D" w:rsidRDefault="00742B8D">
      <w:r>
        <w:separator/>
      </w:r>
    </w:p>
  </w:endnote>
  <w:endnote w:type="continuationSeparator" w:id="0">
    <w:p w14:paraId="1188016C" w14:textId="77777777" w:rsidR="00742B8D" w:rsidRDefault="00742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62885" w14:textId="77777777" w:rsidR="00742B8D" w:rsidRPr="00875C0F" w:rsidRDefault="00742B8D" w:rsidP="00C11694">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EndPr/>
    <w:sdtContent>
      <w:p w14:paraId="6B8728ED" w14:textId="751034EA" w:rsidR="00742B8D" w:rsidRDefault="00742B8D" w:rsidP="00A865FD">
        <w:pPr>
          <w:pStyle w:val="Footer"/>
        </w:pPr>
      </w:p>
      <w:p w14:paraId="3B39ED5B" w14:textId="21D78C9B" w:rsidR="00742B8D" w:rsidRPr="00875C0F" w:rsidRDefault="00AB6D29" w:rsidP="00C11694">
        <w:pPr>
          <w:pStyle w:val="Foo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996344"/>
      <w:docPartObj>
        <w:docPartGallery w:val="Page Numbers (Bottom of Page)"/>
        <w:docPartUnique/>
      </w:docPartObj>
    </w:sdtPr>
    <w:sdtEndPr/>
    <w:sdtContent>
      <w:p w14:paraId="12E881A6" w14:textId="77777777" w:rsidR="00742B8D" w:rsidRPr="00875C0F" w:rsidRDefault="00AB6D29" w:rsidP="00C11694">
        <w:pPr>
          <w:pStyle w:val="Footer"/>
          <w:jc w:val="right"/>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6BBAD" w14:textId="77777777" w:rsidR="00742B8D" w:rsidRPr="0011178C" w:rsidRDefault="00742B8D" w:rsidP="003929D2">
    <w:pPr>
      <w:pStyle w:val="Footer"/>
      <w:jc w:val="right"/>
    </w:pPr>
    <w:r>
      <w:fldChar w:fldCharType="begin"/>
    </w:r>
    <w:r>
      <w:instrText xml:space="preserve"> PAGE  \* Arabic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6CF70" w14:textId="23C4AE3A" w:rsidR="00742B8D" w:rsidRPr="007E487F" w:rsidRDefault="00742B8D" w:rsidP="00DC0F02">
    <w:pPr>
      <w:pStyle w:val="Footer"/>
      <w:tabs>
        <w:tab w:val="right" w:pos="8931"/>
      </w:tabs>
      <w:rPr>
        <w:sz w:val="20"/>
        <w:szCs w:val="20"/>
      </w:rPr>
    </w:pPr>
    <w:r>
      <w:rPr>
        <w:sz w:val="20"/>
        <w:szCs w:val="20"/>
      </w:rPr>
      <w:tab/>
    </w:r>
    <w:r>
      <w:rPr>
        <w:sz w:val="20"/>
        <w:szCs w:val="20"/>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88C8C" w14:textId="77777777" w:rsidR="00742B8D" w:rsidRPr="0011178C" w:rsidRDefault="00742B8D" w:rsidP="003929D2">
    <w:pPr>
      <w:pStyle w:val="Footer"/>
      <w:jc w:val="right"/>
    </w:pPr>
    <w:r>
      <w:fldChar w:fldCharType="begin"/>
    </w:r>
    <w:r>
      <w:instrText xml:space="preserve"> PAGE  \* Arabic  \* MERGEFORMAT </w:instrText>
    </w:r>
    <w:r>
      <w:fldChar w:fldCharType="separate"/>
    </w:r>
    <w:r w:rsidR="00AB6D29">
      <w:rPr>
        <w:noProof/>
      </w:rPr>
      <w:t>11</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902DE" w14:textId="77777777" w:rsidR="00742B8D" w:rsidRPr="007E487F" w:rsidRDefault="00742B8D"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AB6D29">
      <w:rPr>
        <w:noProof/>
      </w:rPr>
      <w:t>31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86DC05" w14:textId="77777777" w:rsidR="00742B8D" w:rsidRDefault="00742B8D">
      <w:r>
        <w:separator/>
      </w:r>
    </w:p>
  </w:footnote>
  <w:footnote w:type="continuationSeparator" w:id="0">
    <w:p w14:paraId="3F77200E" w14:textId="77777777" w:rsidR="00742B8D" w:rsidRDefault="00742B8D">
      <w:r>
        <w:continuationSeparator/>
      </w:r>
    </w:p>
  </w:footnote>
  <w:footnote w:id="1">
    <w:p w14:paraId="775B9F2E" w14:textId="77777777" w:rsidR="00742B8D" w:rsidRDefault="00742B8D" w:rsidP="00143A71">
      <w:pPr>
        <w:pStyle w:val="FootnoteText"/>
      </w:pPr>
      <w:r>
        <w:rPr>
          <w:rStyle w:val="FootnoteReference"/>
        </w:rPr>
        <w:footnoteRef/>
      </w:r>
      <w:r>
        <w:t xml:space="preserve"> </w:t>
      </w:r>
      <w:r>
        <w:tab/>
      </w:r>
      <w:r w:rsidRPr="00E60275">
        <w:t xml:space="preserve">It uses the </w:t>
      </w:r>
      <w:proofErr w:type="spellStart"/>
      <w:r w:rsidRPr="00E60275">
        <w:t>SMVU</w:t>
      </w:r>
      <w:proofErr w:type="spellEnd"/>
      <w:r w:rsidRPr="00E60275">
        <w:t xml:space="preserve"> (ABS Cat. No. 9208.0) dataset ‘Total distance travelled by area of operation’. This ensures the traffic data reflect all travel in a State, not just travel by vehicles registered in that State.</w:t>
      </w:r>
    </w:p>
  </w:footnote>
  <w:footnote w:id="2">
    <w:p w14:paraId="10F6A5BE" w14:textId="77777777" w:rsidR="00742B8D" w:rsidRDefault="00742B8D" w:rsidP="00143A71">
      <w:pPr>
        <w:pStyle w:val="FootnoteText"/>
      </w:pPr>
      <w:r>
        <w:rPr>
          <w:rStyle w:val="FootnoteReference"/>
        </w:rPr>
        <w:footnoteRef/>
      </w:r>
      <w:r>
        <w:t xml:space="preserve"> </w:t>
      </w:r>
      <w:r>
        <w:tab/>
      </w:r>
      <w:proofErr w:type="spellStart"/>
      <w:r w:rsidRPr="00E60275">
        <w:t>BITRE</w:t>
      </w:r>
      <w:proofErr w:type="spellEnd"/>
      <w:r w:rsidRPr="00E60275">
        <w:t xml:space="preserve"> adjusts the </w:t>
      </w:r>
      <w:proofErr w:type="spellStart"/>
      <w:r w:rsidRPr="00E60275">
        <w:t>SMVU</w:t>
      </w:r>
      <w:proofErr w:type="spellEnd"/>
      <w:r w:rsidRPr="00E60275">
        <w:t xml:space="preserve"> data using data such as fuel sales, off-road use, fleet fuel use and traffic </w:t>
      </w:r>
      <w:r>
        <w:t>on</w:t>
      </w:r>
      <w:r w:rsidRPr="00E60275">
        <w:t xml:space="preserve"> monitored networks in cities.</w:t>
      </w:r>
    </w:p>
  </w:footnote>
  <w:footnote w:id="3">
    <w:p w14:paraId="2D8DB5FA" w14:textId="538A02C3" w:rsidR="00742B8D" w:rsidRDefault="00742B8D">
      <w:pPr>
        <w:pStyle w:val="FootnoteText"/>
      </w:pPr>
      <w:r>
        <w:rPr>
          <w:rStyle w:val="FootnoteReference"/>
        </w:rPr>
        <w:footnoteRef/>
      </w:r>
      <w:r>
        <w:t xml:space="preserve"> </w:t>
      </w:r>
      <w:r>
        <w:tab/>
      </w:r>
      <w:r w:rsidRPr="00386819">
        <w:t>Western Australia’s actual network length is shorter than the length of their synthetic network as the synthetic network incorporates a number of roads that</w:t>
      </w:r>
      <w:r>
        <w:t xml:space="preserve"> the State road authority</w:t>
      </w:r>
      <w:r w:rsidRPr="00386819">
        <w:t xml:space="preserve"> classifie</w:t>
      </w:r>
      <w:r>
        <w:t>s</w:t>
      </w:r>
      <w:r w:rsidRPr="00386819">
        <w:t xml:space="preserve"> as local rather than State roads</w:t>
      </w:r>
      <w:r>
        <w:t xml:space="preserve"> (see </w:t>
      </w:r>
      <w:r>
        <w:fldChar w:fldCharType="begin"/>
      </w:r>
      <w:r>
        <w:instrText xml:space="preserve"> REF _Ref507057670 \h </w:instrText>
      </w:r>
      <w:r>
        <w:fldChar w:fldCharType="separate"/>
      </w:r>
      <w:r>
        <w:t xml:space="preserve">Table </w:t>
      </w:r>
      <w:r>
        <w:rPr>
          <w:noProof/>
        </w:rPr>
        <w:t>6</w:t>
      </w:r>
      <w:r>
        <w:fldChar w:fldCharType="end"/>
      </w:r>
      <w:r>
        <w:t>)</w:t>
      </w:r>
      <w:r w:rsidRPr="00386819">
        <w:t>.</w:t>
      </w:r>
    </w:p>
  </w:footnote>
  <w:footnote w:id="4">
    <w:p w14:paraId="61413194" w14:textId="6287524E" w:rsidR="00742B8D" w:rsidRDefault="00742B8D" w:rsidP="003E4F88">
      <w:pPr>
        <w:pStyle w:val="FootnoteText"/>
      </w:pPr>
      <w:r>
        <w:rPr>
          <w:rStyle w:val="FootnoteReference"/>
        </w:rPr>
        <w:footnoteRef/>
      </w:r>
      <w:r>
        <w:t xml:space="preserve"> </w:t>
      </w:r>
      <w:r>
        <w:tab/>
      </w:r>
      <w:proofErr w:type="spellStart"/>
      <w:r w:rsidRPr="005B1AB6">
        <w:t>NTC</w:t>
      </w:r>
      <w:proofErr w:type="spellEnd"/>
      <w:r w:rsidRPr="005B1AB6">
        <w:t xml:space="preserve"> data includes only spending by the State road authorities, whereas GFS data includes roads spending by all State agencies</w:t>
      </w:r>
      <w:r>
        <w:t xml:space="preserve">. </w:t>
      </w:r>
      <w:proofErr w:type="gramStart"/>
      <w:r>
        <w:t>Staff consider</w:t>
      </w:r>
      <w:proofErr w:type="gramEnd"/>
      <w:r>
        <w:t xml:space="preserve"> it appropriate that the road network be consistent with the total expenses included in the assessment even if this may cause slight discrepancies with the component weights derived from </w:t>
      </w:r>
      <w:proofErr w:type="spellStart"/>
      <w:r>
        <w:t>NTC</w:t>
      </w:r>
      <w:proofErr w:type="spellEnd"/>
      <w:r>
        <w:t xml:space="preserve"> expense data.</w:t>
      </w:r>
    </w:p>
  </w:footnote>
  <w:footnote w:id="5">
    <w:p w14:paraId="1D17E684" w14:textId="236B1DDF" w:rsidR="00742B8D" w:rsidRDefault="00742B8D" w:rsidP="00F53BCA">
      <w:pPr>
        <w:pStyle w:val="FootnoteText"/>
      </w:pPr>
      <w:r>
        <w:rPr>
          <w:rStyle w:val="FootnoteReference"/>
        </w:rPr>
        <w:footnoteRef/>
      </w:r>
      <w:r>
        <w:t xml:space="preserve"> </w:t>
      </w:r>
      <w:r>
        <w:tab/>
      </w:r>
      <w:hyperlink r:id="rId1" w:history="1">
        <w:proofErr w:type="gramStart"/>
        <w:r w:rsidRPr="00635D3A">
          <w:rPr>
            <w:rStyle w:val="Hyperlink"/>
          </w:rPr>
          <w:t>Austroads website</w:t>
        </w:r>
      </w:hyperlink>
      <w:r>
        <w:t>, (</w:t>
      </w:r>
      <w:r w:rsidRPr="00635D3A">
        <w:t>http://www.austroads.com.au/road-operations/asset-management/road-data-harmonisation-project</w:t>
      </w:r>
      <w:r>
        <w:t>).</w:t>
      </w:r>
      <w:proofErr w:type="gramEnd"/>
    </w:p>
  </w:footnote>
  <w:footnote w:id="6">
    <w:p w14:paraId="38F31113" w14:textId="0FC72810" w:rsidR="00742B8D" w:rsidRDefault="00742B8D" w:rsidP="00F53BCA">
      <w:pPr>
        <w:pStyle w:val="FootnoteText"/>
      </w:pPr>
      <w:r>
        <w:rPr>
          <w:rStyle w:val="FootnoteReference"/>
        </w:rPr>
        <w:footnoteRef/>
      </w:r>
      <w:r>
        <w:t xml:space="preserve"> </w:t>
      </w:r>
      <w:r>
        <w:tab/>
        <w:t xml:space="preserve">We note that there is also substantially more data that falls under the scope of the </w:t>
      </w:r>
      <w:proofErr w:type="spellStart"/>
      <w:r>
        <w:t>Austroads</w:t>
      </w:r>
      <w:proofErr w:type="spellEnd"/>
      <w:r>
        <w:t xml:space="preserve"> Standard dataset than has been discussed in relation to road length. These data may complement or replace other measures in future updates and reviews. However, we do not consider sufficient data will be available for a broader uptake in the 2020 Review.</w:t>
      </w:r>
    </w:p>
  </w:footnote>
  <w:footnote w:id="7">
    <w:p w14:paraId="5FE2C571" w14:textId="77777777" w:rsidR="00742B8D" w:rsidRDefault="00742B8D" w:rsidP="00F53BCA">
      <w:pPr>
        <w:pStyle w:val="FootnoteText"/>
      </w:pPr>
      <w:r>
        <w:rPr>
          <w:rStyle w:val="FootnoteReference"/>
        </w:rPr>
        <w:footnoteRef/>
      </w:r>
      <w:r>
        <w:t xml:space="preserve"> </w:t>
      </w:r>
      <w:r>
        <w:tab/>
        <w:t xml:space="preserve">Before formally requesting the data, staff would ask States whether they can be provided. </w:t>
      </w:r>
    </w:p>
  </w:footnote>
  <w:footnote w:id="8">
    <w:p w14:paraId="19BD5B17" w14:textId="784AA73F" w:rsidR="00742B8D" w:rsidRDefault="00742B8D" w:rsidP="00B422F4">
      <w:pPr>
        <w:pStyle w:val="FootnoteText"/>
      </w:pPr>
      <w:r>
        <w:rPr>
          <w:rStyle w:val="FootnoteReference"/>
        </w:rPr>
        <w:footnoteRef/>
      </w:r>
      <w:r>
        <w:t xml:space="preserve"> </w:t>
      </w:r>
      <w:r>
        <w:tab/>
        <w:t>This paper uses ‘road length’ to encompass our measure of the extent of the network, while ‘road-kilometres’ and ‘lane-kilometres’ are used to differentiate between the different measurement options.</w:t>
      </w:r>
    </w:p>
  </w:footnote>
  <w:footnote w:id="9">
    <w:p w14:paraId="40601324" w14:textId="5FFC44F4" w:rsidR="00742B8D" w:rsidRDefault="00742B8D">
      <w:pPr>
        <w:pStyle w:val="FootnoteText"/>
      </w:pPr>
      <w:r>
        <w:rPr>
          <w:rStyle w:val="FootnoteReference"/>
        </w:rPr>
        <w:footnoteRef/>
      </w:r>
      <w:r>
        <w:t xml:space="preserve"> </w:t>
      </w:r>
      <w:r>
        <w:tab/>
        <w:t>The ABS uses three criteria to identify areas of ‘an urban character’, one of which is that they have a population density greater or equal to 200 persons per square kilometre.</w:t>
      </w:r>
    </w:p>
  </w:footnote>
  <w:footnote w:id="10">
    <w:p w14:paraId="40CB204C" w14:textId="77777777" w:rsidR="00742B8D" w:rsidRDefault="00742B8D" w:rsidP="00CB0A49">
      <w:pPr>
        <w:pStyle w:val="FootnoteText"/>
      </w:pPr>
      <w:r>
        <w:rPr>
          <w:rStyle w:val="FootnoteReference"/>
        </w:rPr>
        <w:footnoteRef/>
      </w:r>
      <w:r>
        <w:t xml:space="preserve"> </w:t>
      </w:r>
      <w:r>
        <w:tab/>
        <w:t>Email exchange between Commission and Main Roads WA officers, May 2017.</w:t>
      </w:r>
    </w:p>
  </w:footnote>
  <w:footnote w:id="11">
    <w:p w14:paraId="4BA2E3BE" w14:textId="77777777" w:rsidR="00742B8D" w:rsidRDefault="00742B8D" w:rsidP="00CB0A49">
      <w:pPr>
        <w:pStyle w:val="FootnoteText"/>
      </w:pPr>
      <w:r>
        <w:rPr>
          <w:rStyle w:val="FootnoteReference"/>
        </w:rPr>
        <w:footnoteRef/>
      </w:r>
      <w:r>
        <w:t xml:space="preserve"> </w:t>
      </w:r>
      <w:r>
        <w:tab/>
      </w:r>
      <w:proofErr w:type="gramStart"/>
      <w:r w:rsidRPr="001C0447">
        <w:t xml:space="preserve">2017 </w:t>
      </w:r>
      <w:proofErr w:type="spellStart"/>
      <w:r w:rsidRPr="001C0447">
        <w:t>NTC</w:t>
      </w:r>
      <w:proofErr w:type="spellEnd"/>
      <w:r w:rsidRPr="001C0447">
        <w:t xml:space="preserve"> Expenditure Template Reporting Guidelines</w:t>
      </w:r>
      <w:r>
        <w:t>,</w:t>
      </w:r>
      <w:r w:rsidRPr="001C0447">
        <w:t xml:space="preserve"> July 2017</w:t>
      </w:r>
      <w:r>
        <w:t>.</w:t>
      </w:r>
      <w:proofErr w:type="gramEnd"/>
    </w:p>
  </w:footnote>
  <w:footnote w:id="12">
    <w:p w14:paraId="284DA449" w14:textId="77777777" w:rsidR="00742B8D" w:rsidRDefault="00742B8D" w:rsidP="00FD6556">
      <w:pPr>
        <w:pStyle w:val="FootnoteText"/>
      </w:pPr>
      <w:r>
        <w:rPr>
          <w:rStyle w:val="FootnoteReference"/>
        </w:rPr>
        <w:footnoteRef/>
      </w:r>
      <w:r>
        <w:t xml:space="preserve"> </w:t>
      </w:r>
      <w:r>
        <w:tab/>
        <w:t xml:space="preserve">Terrill, M. 2016. </w:t>
      </w:r>
      <w:r w:rsidRPr="00E41461">
        <w:rPr>
          <w:i/>
        </w:rPr>
        <w:t>Roads to Riches: better transport spending</w:t>
      </w:r>
      <w:r>
        <w:t>. Grattan Institute.</w:t>
      </w:r>
    </w:p>
  </w:footnote>
  <w:footnote w:id="13">
    <w:p w14:paraId="1D1A11FC" w14:textId="0EE90AEF" w:rsidR="00742B8D" w:rsidRDefault="00742B8D">
      <w:pPr>
        <w:pStyle w:val="FootnoteText"/>
      </w:pPr>
      <w:r>
        <w:rPr>
          <w:rStyle w:val="FootnoteReference"/>
        </w:rPr>
        <w:footnoteRef/>
      </w:r>
      <w:r>
        <w:t xml:space="preserve"> </w:t>
      </w:r>
      <w:r>
        <w:tab/>
      </w:r>
      <w:proofErr w:type="spellStart"/>
      <w:proofErr w:type="gramStart"/>
      <w:r w:rsidRPr="008A32A5">
        <w:t>Pottinger</w:t>
      </w:r>
      <w:proofErr w:type="spellEnd"/>
      <w:r w:rsidRPr="008A32A5">
        <w:t xml:space="preserve"> Co Pty Ltd and AECOM</w:t>
      </w:r>
      <w:r>
        <w:t>, 2013.</w:t>
      </w:r>
      <w:proofErr w:type="gramEnd"/>
      <w:r>
        <w:t xml:space="preserve"> </w:t>
      </w:r>
      <w:proofErr w:type="gramStart"/>
      <w:r w:rsidRPr="001D491E">
        <w:rPr>
          <w:i/>
        </w:rPr>
        <w:t>Optimising GST allocations – Final Report</w:t>
      </w:r>
      <w:r w:rsidRPr="008A32A5">
        <w:t>.</w:t>
      </w:r>
      <w:proofErr w:type="gramEnd"/>
    </w:p>
  </w:footnote>
  <w:footnote w:id="14">
    <w:p w14:paraId="0C30B7E2" w14:textId="77777777" w:rsidR="00742B8D" w:rsidRDefault="00742B8D" w:rsidP="00630B28">
      <w:pPr>
        <w:pStyle w:val="FootnoteText"/>
      </w:pPr>
      <w:r>
        <w:rPr>
          <w:rStyle w:val="FootnoteReference"/>
        </w:rPr>
        <w:footnoteRef/>
      </w:r>
      <w:r>
        <w:t xml:space="preserve"> </w:t>
      </w:r>
      <w:r>
        <w:tab/>
      </w:r>
      <w:proofErr w:type="spellStart"/>
      <w:r w:rsidRPr="00743CB6">
        <w:t>Austroads</w:t>
      </w:r>
      <w:proofErr w:type="spellEnd"/>
      <w:r w:rsidRPr="00743CB6">
        <w:t xml:space="preserve">, 2003, AP-R224 </w:t>
      </w:r>
      <w:r w:rsidRPr="00743CB6">
        <w:rPr>
          <w:i/>
        </w:rPr>
        <w:t>Towards a Nationally Consistent Approach to Route Identity</w:t>
      </w:r>
      <w:r w:rsidRPr="00743CB6">
        <w:t xml:space="preserve"> https://www.onlinepublications.austroads.com.au/items/AP-R224-03</w:t>
      </w:r>
    </w:p>
  </w:footnote>
  <w:footnote w:id="15">
    <w:p w14:paraId="440B0995" w14:textId="77777777" w:rsidR="00742B8D" w:rsidRDefault="00742B8D" w:rsidP="00630B28">
      <w:pPr>
        <w:pStyle w:val="FootnoteText"/>
      </w:pPr>
      <w:r>
        <w:rPr>
          <w:rStyle w:val="FootnoteReference"/>
        </w:rPr>
        <w:footnoteRef/>
      </w:r>
      <w:r>
        <w:t xml:space="preserve"> </w:t>
      </w:r>
      <w:r>
        <w:tab/>
      </w:r>
      <w:r w:rsidRPr="00743CB6">
        <w:t xml:space="preserve">These include: Bamaga on Cape York and Hideaway Bay in Queensland, </w:t>
      </w:r>
      <w:proofErr w:type="spellStart"/>
      <w:r w:rsidRPr="00743CB6">
        <w:t>Balgo</w:t>
      </w:r>
      <w:proofErr w:type="spellEnd"/>
      <w:r w:rsidRPr="00743CB6">
        <w:t xml:space="preserve"> in Western Australia, and </w:t>
      </w:r>
      <w:proofErr w:type="spellStart"/>
      <w:r w:rsidRPr="00743CB6">
        <w:t>Pukatja</w:t>
      </w:r>
      <w:proofErr w:type="spellEnd"/>
      <w:r w:rsidRPr="00743CB6">
        <w:t xml:space="preserve"> and </w:t>
      </w:r>
      <w:proofErr w:type="spellStart"/>
      <w:r w:rsidRPr="00743CB6">
        <w:t>Amata</w:t>
      </w:r>
      <w:proofErr w:type="spellEnd"/>
      <w:r w:rsidRPr="00743CB6">
        <w:t xml:space="preserve"> in South Australia.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5CF93A" w14:textId="77777777" w:rsidR="00742B8D" w:rsidRDefault="00742B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F3EEF" w14:textId="77777777" w:rsidR="00742B8D" w:rsidRDefault="00742B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156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786"/>
        </w:tabs>
        <w:ind w:left="786"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y Nicholas">
    <w15:presenceInfo w15:providerId="Windows Live" w15:userId="a6adc1428c808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06"/>
    <w:rsid w:val="00002905"/>
    <w:rsid w:val="000035D4"/>
    <w:rsid w:val="00005CEA"/>
    <w:rsid w:val="000076FD"/>
    <w:rsid w:val="00012129"/>
    <w:rsid w:val="00013598"/>
    <w:rsid w:val="00016FE0"/>
    <w:rsid w:val="0001752D"/>
    <w:rsid w:val="00022EA9"/>
    <w:rsid w:val="00024745"/>
    <w:rsid w:val="000252C9"/>
    <w:rsid w:val="000255B1"/>
    <w:rsid w:val="000323CD"/>
    <w:rsid w:val="00032540"/>
    <w:rsid w:val="00032991"/>
    <w:rsid w:val="00032F41"/>
    <w:rsid w:val="00035860"/>
    <w:rsid w:val="000376A5"/>
    <w:rsid w:val="000407CB"/>
    <w:rsid w:val="0004123E"/>
    <w:rsid w:val="00041666"/>
    <w:rsid w:val="00041748"/>
    <w:rsid w:val="00041C69"/>
    <w:rsid w:val="00041E84"/>
    <w:rsid w:val="000424EA"/>
    <w:rsid w:val="00042793"/>
    <w:rsid w:val="00044D0D"/>
    <w:rsid w:val="00045035"/>
    <w:rsid w:val="00045F4C"/>
    <w:rsid w:val="00047B80"/>
    <w:rsid w:val="000504B0"/>
    <w:rsid w:val="000544A0"/>
    <w:rsid w:val="000548B8"/>
    <w:rsid w:val="00054AF6"/>
    <w:rsid w:val="00056373"/>
    <w:rsid w:val="00056965"/>
    <w:rsid w:val="00061111"/>
    <w:rsid w:val="000624BB"/>
    <w:rsid w:val="00062B16"/>
    <w:rsid w:val="00063097"/>
    <w:rsid w:val="00063E64"/>
    <w:rsid w:val="000648E8"/>
    <w:rsid w:val="00065315"/>
    <w:rsid w:val="0006576D"/>
    <w:rsid w:val="00066155"/>
    <w:rsid w:val="000661BF"/>
    <w:rsid w:val="00066C5E"/>
    <w:rsid w:val="00076B4C"/>
    <w:rsid w:val="0007778B"/>
    <w:rsid w:val="00082F68"/>
    <w:rsid w:val="000834B5"/>
    <w:rsid w:val="00086BB8"/>
    <w:rsid w:val="00093796"/>
    <w:rsid w:val="0009384D"/>
    <w:rsid w:val="0009454D"/>
    <w:rsid w:val="00096F50"/>
    <w:rsid w:val="00097FA3"/>
    <w:rsid w:val="000A0606"/>
    <w:rsid w:val="000A3898"/>
    <w:rsid w:val="000A52A1"/>
    <w:rsid w:val="000A763F"/>
    <w:rsid w:val="000A7B9C"/>
    <w:rsid w:val="000B0E5A"/>
    <w:rsid w:val="000B2942"/>
    <w:rsid w:val="000B3557"/>
    <w:rsid w:val="000B4097"/>
    <w:rsid w:val="000B64E3"/>
    <w:rsid w:val="000C0202"/>
    <w:rsid w:val="000C1139"/>
    <w:rsid w:val="000C161D"/>
    <w:rsid w:val="000C163C"/>
    <w:rsid w:val="000C44F8"/>
    <w:rsid w:val="000D1354"/>
    <w:rsid w:val="000D274E"/>
    <w:rsid w:val="000D465C"/>
    <w:rsid w:val="000D4E40"/>
    <w:rsid w:val="000D5048"/>
    <w:rsid w:val="000D5B36"/>
    <w:rsid w:val="000D7C54"/>
    <w:rsid w:val="000E0210"/>
    <w:rsid w:val="000E261A"/>
    <w:rsid w:val="000E3EF5"/>
    <w:rsid w:val="000E6AA5"/>
    <w:rsid w:val="000E7F56"/>
    <w:rsid w:val="000F1CDA"/>
    <w:rsid w:val="000F1E93"/>
    <w:rsid w:val="000F2638"/>
    <w:rsid w:val="000F3B8E"/>
    <w:rsid w:val="000F5994"/>
    <w:rsid w:val="000F790F"/>
    <w:rsid w:val="00100203"/>
    <w:rsid w:val="001024E7"/>
    <w:rsid w:val="00102923"/>
    <w:rsid w:val="001035E0"/>
    <w:rsid w:val="001039C2"/>
    <w:rsid w:val="001040AD"/>
    <w:rsid w:val="001043A7"/>
    <w:rsid w:val="00106E35"/>
    <w:rsid w:val="0011178C"/>
    <w:rsid w:val="00111A41"/>
    <w:rsid w:val="00111B6F"/>
    <w:rsid w:val="00112CF0"/>
    <w:rsid w:val="00112D03"/>
    <w:rsid w:val="00114DDA"/>
    <w:rsid w:val="00115DC1"/>
    <w:rsid w:val="001163BD"/>
    <w:rsid w:val="00117607"/>
    <w:rsid w:val="001211AB"/>
    <w:rsid w:val="001218B8"/>
    <w:rsid w:val="0012252D"/>
    <w:rsid w:val="00122832"/>
    <w:rsid w:val="00124ED1"/>
    <w:rsid w:val="00126CD6"/>
    <w:rsid w:val="0013102F"/>
    <w:rsid w:val="00134594"/>
    <w:rsid w:val="00136155"/>
    <w:rsid w:val="00136497"/>
    <w:rsid w:val="00136AEB"/>
    <w:rsid w:val="00136B09"/>
    <w:rsid w:val="001401CD"/>
    <w:rsid w:val="00141BD1"/>
    <w:rsid w:val="00141D1A"/>
    <w:rsid w:val="00143A71"/>
    <w:rsid w:val="001441DA"/>
    <w:rsid w:val="00147115"/>
    <w:rsid w:val="001477CE"/>
    <w:rsid w:val="00152C88"/>
    <w:rsid w:val="00152E2A"/>
    <w:rsid w:val="00153541"/>
    <w:rsid w:val="00154CE1"/>
    <w:rsid w:val="001642CA"/>
    <w:rsid w:val="001654B2"/>
    <w:rsid w:val="0016723A"/>
    <w:rsid w:val="00170DC9"/>
    <w:rsid w:val="001710B9"/>
    <w:rsid w:val="00171A05"/>
    <w:rsid w:val="00172F3A"/>
    <w:rsid w:val="001730FD"/>
    <w:rsid w:val="00173798"/>
    <w:rsid w:val="00173BE6"/>
    <w:rsid w:val="00173E72"/>
    <w:rsid w:val="001773DA"/>
    <w:rsid w:val="00180101"/>
    <w:rsid w:val="001807C0"/>
    <w:rsid w:val="001811DE"/>
    <w:rsid w:val="00187145"/>
    <w:rsid w:val="00190490"/>
    <w:rsid w:val="00194CB1"/>
    <w:rsid w:val="001A1597"/>
    <w:rsid w:val="001A19BC"/>
    <w:rsid w:val="001A265C"/>
    <w:rsid w:val="001A35DF"/>
    <w:rsid w:val="001A4336"/>
    <w:rsid w:val="001B0110"/>
    <w:rsid w:val="001B113F"/>
    <w:rsid w:val="001B1A4E"/>
    <w:rsid w:val="001B3048"/>
    <w:rsid w:val="001B4D8C"/>
    <w:rsid w:val="001B696E"/>
    <w:rsid w:val="001B6A56"/>
    <w:rsid w:val="001B7BA1"/>
    <w:rsid w:val="001C2B93"/>
    <w:rsid w:val="001C368B"/>
    <w:rsid w:val="001C469B"/>
    <w:rsid w:val="001C4F15"/>
    <w:rsid w:val="001C6227"/>
    <w:rsid w:val="001C6A71"/>
    <w:rsid w:val="001C71A2"/>
    <w:rsid w:val="001D1F48"/>
    <w:rsid w:val="001D2B1D"/>
    <w:rsid w:val="001D491E"/>
    <w:rsid w:val="001D4C11"/>
    <w:rsid w:val="001D638B"/>
    <w:rsid w:val="001D6DFA"/>
    <w:rsid w:val="001E1656"/>
    <w:rsid w:val="001E1940"/>
    <w:rsid w:val="001E1CBD"/>
    <w:rsid w:val="001E6180"/>
    <w:rsid w:val="001E674B"/>
    <w:rsid w:val="001E68FC"/>
    <w:rsid w:val="001E72B6"/>
    <w:rsid w:val="001F15F3"/>
    <w:rsid w:val="001F4F5A"/>
    <w:rsid w:val="001F5985"/>
    <w:rsid w:val="00204026"/>
    <w:rsid w:val="00204CC5"/>
    <w:rsid w:val="002070D2"/>
    <w:rsid w:val="00210D4B"/>
    <w:rsid w:val="00212948"/>
    <w:rsid w:val="00217839"/>
    <w:rsid w:val="00217F86"/>
    <w:rsid w:val="00220C65"/>
    <w:rsid w:val="002221F0"/>
    <w:rsid w:val="00223E68"/>
    <w:rsid w:val="00225A3B"/>
    <w:rsid w:val="002260FE"/>
    <w:rsid w:val="002277BD"/>
    <w:rsid w:val="0023081D"/>
    <w:rsid w:val="00231E6D"/>
    <w:rsid w:val="0023329C"/>
    <w:rsid w:val="0023626C"/>
    <w:rsid w:val="00236C64"/>
    <w:rsid w:val="00236DC0"/>
    <w:rsid w:val="002373A2"/>
    <w:rsid w:val="00240D5C"/>
    <w:rsid w:val="00242517"/>
    <w:rsid w:val="0024260B"/>
    <w:rsid w:val="0024315C"/>
    <w:rsid w:val="00243CAA"/>
    <w:rsid w:val="0024401F"/>
    <w:rsid w:val="0024569B"/>
    <w:rsid w:val="00245D22"/>
    <w:rsid w:val="00250491"/>
    <w:rsid w:val="00253D2D"/>
    <w:rsid w:val="00253EDC"/>
    <w:rsid w:val="002553F2"/>
    <w:rsid w:val="00255B5A"/>
    <w:rsid w:val="00255DDE"/>
    <w:rsid w:val="00260B2F"/>
    <w:rsid w:val="00262C8E"/>
    <w:rsid w:val="002636A7"/>
    <w:rsid w:val="00263E29"/>
    <w:rsid w:val="002671A2"/>
    <w:rsid w:val="00267496"/>
    <w:rsid w:val="00272313"/>
    <w:rsid w:val="00275261"/>
    <w:rsid w:val="00275B68"/>
    <w:rsid w:val="00280411"/>
    <w:rsid w:val="002810AB"/>
    <w:rsid w:val="002840B9"/>
    <w:rsid w:val="002845EA"/>
    <w:rsid w:val="00284E0E"/>
    <w:rsid w:val="00284EFD"/>
    <w:rsid w:val="0028589F"/>
    <w:rsid w:val="0028612F"/>
    <w:rsid w:val="00286EBE"/>
    <w:rsid w:val="00287168"/>
    <w:rsid w:val="002924B2"/>
    <w:rsid w:val="002945ED"/>
    <w:rsid w:val="00294A80"/>
    <w:rsid w:val="00295500"/>
    <w:rsid w:val="00295B70"/>
    <w:rsid w:val="00295E53"/>
    <w:rsid w:val="002972C1"/>
    <w:rsid w:val="002A2A08"/>
    <w:rsid w:val="002A2D93"/>
    <w:rsid w:val="002A4E42"/>
    <w:rsid w:val="002A5C2A"/>
    <w:rsid w:val="002A77C3"/>
    <w:rsid w:val="002B0091"/>
    <w:rsid w:val="002B053F"/>
    <w:rsid w:val="002B10B0"/>
    <w:rsid w:val="002B169C"/>
    <w:rsid w:val="002B3AF8"/>
    <w:rsid w:val="002B3E87"/>
    <w:rsid w:val="002B55EE"/>
    <w:rsid w:val="002B634F"/>
    <w:rsid w:val="002B6EFD"/>
    <w:rsid w:val="002B6F33"/>
    <w:rsid w:val="002B79F0"/>
    <w:rsid w:val="002B7F3E"/>
    <w:rsid w:val="002C15C2"/>
    <w:rsid w:val="002C1D9C"/>
    <w:rsid w:val="002C366F"/>
    <w:rsid w:val="002C38A6"/>
    <w:rsid w:val="002C4CA9"/>
    <w:rsid w:val="002C5673"/>
    <w:rsid w:val="002D206A"/>
    <w:rsid w:val="002D2270"/>
    <w:rsid w:val="002D23C1"/>
    <w:rsid w:val="002D2FCD"/>
    <w:rsid w:val="002D51F3"/>
    <w:rsid w:val="002E206B"/>
    <w:rsid w:val="002E25A8"/>
    <w:rsid w:val="002E2A6E"/>
    <w:rsid w:val="002E32E1"/>
    <w:rsid w:val="002E46AB"/>
    <w:rsid w:val="002F04DE"/>
    <w:rsid w:val="002F0EC0"/>
    <w:rsid w:val="002F1CD3"/>
    <w:rsid w:val="002F4774"/>
    <w:rsid w:val="002F486D"/>
    <w:rsid w:val="002F548F"/>
    <w:rsid w:val="002F6E28"/>
    <w:rsid w:val="002F7E68"/>
    <w:rsid w:val="00302E5E"/>
    <w:rsid w:val="00305B02"/>
    <w:rsid w:val="00306522"/>
    <w:rsid w:val="00306BE4"/>
    <w:rsid w:val="00307DEF"/>
    <w:rsid w:val="00311833"/>
    <w:rsid w:val="00311D33"/>
    <w:rsid w:val="00313664"/>
    <w:rsid w:val="00314F90"/>
    <w:rsid w:val="003262B4"/>
    <w:rsid w:val="0033102E"/>
    <w:rsid w:val="00331401"/>
    <w:rsid w:val="0033254E"/>
    <w:rsid w:val="00332A85"/>
    <w:rsid w:val="00333234"/>
    <w:rsid w:val="00335ED1"/>
    <w:rsid w:val="003361C1"/>
    <w:rsid w:val="00337EF8"/>
    <w:rsid w:val="00342A60"/>
    <w:rsid w:val="0034379D"/>
    <w:rsid w:val="0034646D"/>
    <w:rsid w:val="0034648C"/>
    <w:rsid w:val="00347BE5"/>
    <w:rsid w:val="00352112"/>
    <w:rsid w:val="003522E0"/>
    <w:rsid w:val="0035267F"/>
    <w:rsid w:val="0035580D"/>
    <w:rsid w:val="00355AA5"/>
    <w:rsid w:val="003615F3"/>
    <w:rsid w:val="003639FB"/>
    <w:rsid w:val="00363BF7"/>
    <w:rsid w:val="0036422E"/>
    <w:rsid w:val="00364541"/>
    <w:rsid w:val="00366E22"/>
    <w:rsid w:val="003748C1"/>
    <w:rsid w:val="0038030D"/>
    <w:rsid w:val="00380B2A"/>
    <w:rsid w:val="00381F23"/>
    <w:rsid w:val="0038226E"/>
    <w:rsid w:val="00382AE5"/>
    <w:rsid w:val="00386819"/>
    <w:rsid w:val="0039091C"/>
    <w:rsid w:val="00391750"/>
    <w:rsid w:val="003929D2"/>
    <w:rsid w:val="00393E3E"/>
    <w:rsid w:val="00393FA5"/>
    <w:rsid w:val="00394FC0"/>
    <w:rsid w:val="00395E98"/>
    <w:rsid w:val="00396ED9"/>
    <w:rsid w:val="003A27BB"/>
    <w:rsid w:val="003B2B1F"/>
    <w:rsid w:val="003B3B20"/>
    <w:rsid w:val="003B673D"/>
    <w:rsid w:val="003C1042"/>
    <w:rsid w:val="003C2480"/>
    <w:rsid w:val="003C2577"/>
    <w:rsid w:val="003C4448"/>
    <w:rsid w:val="003C6E4D"/>
    <w:rsid w:val="003D22D2"/>
    <w:rsid w:val="003D3D91"/>
    <w:rsid w:val="003D4708"/>
    <w:rsid w:val="003D477A"/>
    <w:rsid w:val="003D58E8"/>
    <w:rsid w:val="003D61FE"/>
    <w:rsid w:val="003D64DF"/>
    <w:rsid w:val="003E0738"/>
    <w:rsid w:val="003E256F"/>
    <w:rsid w:val="003E4F88"/>
    <w:rsid w:val="003E5E99"/>
    <w:rsid w:val="003E6615"/>
    <w:rsid w:val="003E71E3"/>
    <w:rsid w:val="003E7801"/>
    <w:rsid w:val="003E79F9"/>
    <w:rsid w:val="003F0B6C"/>
    <w:rsid w:val="003F12E9"/>
    <w:rsid w:val="003F527F"/>
    <w:rsid w:val="003F59F4"/>
    <w:rsid w:val="004014D4"/>
    <w:rsid w:val="004021E5"/>
    <w:rsid w:val="00402AA2"/>
    <w:rsid w:val="00402FCD"/>
    <w:rsid w:val="00403373"/>
    <w:rsid w:val="00404DCD"/>
    <w:rsid w:val="004077D6"/>
    <w:rsid w:val="004102C4"/>
    <w:rsid w:val="00410B09"/>
    <w:rsid w:val="004121E7"/>
    <w:rsid w:val="004141C5"/>
    <w:rsid w:val="00414E51"/>
    <w:rsid w:val="0041608D"/>
    <w:rsid w:val="00420F04"/>
    <w:rsid w:val="004214B4"/>
    <w:rsid w:val="00422680"/>
    <w:rsid w:val="00423099"/>
    <w:rsid w:val="004247F0"/>
    <w:rsid w:val="00424E23"/>
    <w:rsid w:val="00424E62"/>
    <w:rsid w:val="00424E79"/>
    <w:rsid w:val="00426410"/>
    <w:rsid w:val="0042661C"/>
    <w:rsid w:val="004274B3"/>
    <w:rsid w:val="004279FF"/>
    <w:rsid w:val="0043087E"/>
    <w:rsid w:val="00433993"/>
    <w:rsid w:val="00434FFB"/>
    <w:rsid w:val="00437984"/>
    <w:rsid w:val="00442E7D"/>
    <w:rsid w:val="00443EC1"/>
    <w:rsid w:val="00446759"/>
    <w:rsid w:val="004501B0"/>
    <w:rsid w:val="00453264"/>
    <w:rsid w:val="004545DA"/>
    <w:rsid w:val="0046008B"/>
    <w:rsid w:val="00460253"/>
    <w:rsid w:val="004614F2"/>
    <w:rsid w:val="00462B54"/>
    <w:rsid w:val="00463064"/>
    <w:rsid w:val="004638CF"/>
    <w:rsid w:val="00463BF6"/>
    <w:rsid w:val="0046592C"/>
    <w:rsid w:val="00465F79"/>
    <w:rsid w:val="004669C1"/>
    <w:rsid w:val="004671ED"/>
    <w:rsid w:val="00472461"/>
    <w:rsid w:val="0047444A"/>
    <w:rsid w:val="00475381"/>
    <w:rsid w:val="00477495"/>
    <w:rsid w:val="004800E2"/>
    <w:rsid w:val="004809B8"/>
    <w:rsid w:val="004814EF"/>
    <w:rsid w:val="004821B9"/>
    <w:rsid w:val="00482600"/>
    <w:rsid w:val="004837B9"/>
    <w:rsid w:val="004862E5"/>
    <w:rsid w:val="00486841"/>
    <w:rsid w:val="0048684C"/>
    <w:rsid w:val="00491D88"/>
    <w:rsid w:val="004937EE"/>
    <w:rsid w:val="00495928"/>
    <w:rsid w:val="0049605C"/>
    <w:rsid w:val="004965F7"/>
    <w:rsid w:val="004A1139"/>
    <w:rsid w:val="004A44A1"/>
    <w:rsid w:val="004A53B5"/>
    <w:rsid w:val="004A7048"/>
    <w:rsid w:val="004A76DA"/>
    <w:rsid w:val="004B03A7"/>
    <w:rsid w:val="004B0A0A"/>
    <w:rsid w:val="004B0A7C"/>
    <w:rsid w:val="004B1C4B"/>
    <w:rsid w:val="004B3502"/>
    <w:rsid w:val="004B4C22"/>
    <w:rsid w:val="004B60CB"/>
    <w:rsid w:val="004C1CB5"/>
    <w:rsid w:val="004C3234"/>
    <w:rsid w:val="004C3506"/>
    <w:rsid w:val="004C5823"/>
    <w:rsid w:val="004C65DB"/>
    <w:rsid w:val="004D1611"/>
    <w:rsid w:val="004D2261"/>
    <w:rsid w:val="004D6084"/>
    <w:rsid w:val="004D63A9"/>
    <w:rsid w:val="004D7028"/>
    <w:rsid w:val="004D7200"/>
    <w:rsid w:val="004E2B53"/>
    <w:rsid w:val="004E3A53"/>
    <w:rsid w:val="004E769A"/>
    <w:rsid w:val="004F065D"/>
    <w:rsid w:val="004F34B6"/>
    <w:rsid w:val="004F69C8"/>
    <w:rsid w:val="004F6C9E"/>
    <w:rsid w:val="004F7BEF"/>
    <w:rsid w:val="0050033C"/>
    <w:rsid w:val="00500ACD"/>
    <w:rsid w:val="00502C68"/>
    <w:rsid w:val="0050374F"/>
    <w:rsid w:val="00504061"/>
    <w:rsid w:val="00505BAE"/>
    <w:rsid w:val="00506956"/>
    <w:rsid w:val="00510B70"/>
    <w:rsid w:val="00511117"/>
    <w:rsid w:val="0051268D"/>
    <w:rsid w:val="00513F14"/>
    <w:rsid w:val="00515380"/>
    <w:rsid w:val="00515EC5"/>
    <w:rsid w:val="00515ED8"/>
    <w:rsid w:val="00516081"/>
    <w:rsid w:val="00517483"/>
    <w:rsid w:val="005176CA"/>
    <w:rsid w:val="00521C78"/>
    <w:rsid w:val="0052326F"/>
    <w:rsid w:val="005241A5"/>
    <w:rsid w:val="005256ED"/>
    <w:rsid w:val="005277C6"/>
    <w:rsid w:val="005310DC"/>
    <w:rsid w:val="00531707"/>
    <w:rsid w:val="005319C2"/>
    <w:rsid w:val="00531A15"/>
    <w:rsid w:val="00532D10"/>
    <w:rsid w:val="0053331C"/>
    <w:rsid w:val="00533A16"/>
    <w:rsid w:val="00533ED5"/>
    <w:rsid w:val="00537A77"/>
    <w:rsid w:val="00541A14"/>
    <w:rsid w:val="00541EFF"/>
    <w:rsid w:val="00543F9C"/>
    <w:rsid w:val="005448D1"/>
    <w:rsid w:val="00546D39"/>
    <w:rsid w:val="005474B0"/>
    <w:rsid w:val="00550E84"/>
    <w:rsid w:val="00551368"/>
    <w:rsid w:val="00551826"/>
    <w:rsid w:val="00551BBB"/>
    <w:rsid w:val="005573D5"/>
    <w:rsid w:val="005577B0"/>
    <w:rsid w:val="00561EB1"/>
    <w:rsid w:val="00562084"/>
    <w:rsid w:val="005621C0"/>
    <w:rsid w:val="005629D5"/>
    <w:rsid w:val="0056309C"/>
    <w:rsid w:val="005657C4"/>
    <w:rsid w:val="0056628E"/>
    <w:rsid w:val="00570EED"/>
    <w:rsid w:val="005716FC"/>
    <w:rsid w:val="00571801"/>
    <w:rsid w:val="00572613"/>
    <w:rsid w:val="00573192"/>
    <w:rsid w:val="00575DEF"/>
    <w:rsid w:val="00580BED"/>
    <w:rsid w:val="00581C51"/>
    <w:rsid w:val="00583A33"/>
    <w:rsid w:val="005867D2"/>
    <w:rsid w:val="005877B1"/>
    <w:rsid w:val="00590C87"/>
    <w:rsid w:val="00592B45"/>
    <w:rsid w:val="005963CC"/>
    <w:rsid w:val="00596E19"/>
    <w:rsid w:val="005A013C"/>
    <w:rsid w:val="005A0858"/>
    <w:rsid w:val="005A0A72"/>
    <w:rsid w:val="005A1DC1"/>
    <w:rsid w:val="005A241E"/>
    <w:rsid w:val="005A2CC5"/>
    <w:rsid w:val="005A4131"/>
    <w:rsid w:val="005A5666"/>
    <w:rsid w:val="005A6FED"/>
    <w:rsid w:val="005B1101"/>
    <w:rsid w:val="005B15A1"/>
    <w:rsid w:val="005B1AB6"/>
    <w:rsid w:val="005B1BC4"/>
    <w:rsid w:val="005B29A7"/>
    <w:rsid w:val="005B471F"/>
    <w:rsid w:val="005B579C"/>
    <w:rsid w:val="005B6894"/>
    <w:rsid w:val="005B7121"/>
    <w:rsid w:val="005C13B2"/>
    <w:rsid w:val="005C27E3"/>
    <w:rsid w:val="005C37CB"/>
    <w:rsid w:val="005C459C"/>
    <w:rsid w:val="005C5F4C"/>
    <w:rsid w:val="005D1A9F"/>
    <w:rsid w:val="005D52FA"/>
    <w:rsid w:val="005D7C39"/>
    <w:rsid w:val="005E0388"/>
    <w:rsid w:val="005E266F"/>
    <w:rsid w:val="005E3335"/>
    <w:rsid w:val="005E554F"/>
    <w:rsid w:val="005E5734"/>
    <w:rsid w:val="005E73CE"/>
    <w:rsid w:val="005F07DC"/>
    <w:rsid w:val="005F1201"/>
    <w:rsid w:val="005F4055"/>
    <w:rsid w:val="005F41B4"/>
    <w:rsid w:val="005F43DC"/>
    <w:rsid w:val="005F4B74"/>
    <w:rsid w:val="005F5545"/>
    <w:rsid w:val="005F64FB"/>
    <w:rsid w:val="005F672B"/>
    <w:rsid w:val="005F7852"/>
    <w:rsid w:val="006008EB"/>
    <w:rsid w:val="00600B03"/>
    <w:rsid w:val="006012B3"/>
    <w:rsid w:val="0060251E"/>
    <w:rsid w:val="00602DDE"/>
    <w:rsid w:val="00602EDF"/>
    <w:rsid w:val="00603BCB"/>
    <w:rsid w:val="006046E1"/>
    <w:rsid w:val="0060633B"/>
    <w:rsid w:val="00607E38"/>
    <w:rsid w:val="00610732"/>
    <w:rsid w:val="0061151F"/>
    <w:rsid w:val="00611737"/>
    <w:rsid w:val="00612DC7"/>
    <w:rsid w:val="00613534"/>
    <w:rsid w:val="006145EE"/>
    <w:rsid w:val="00614DE8"/>
    <w:rsid w:val="00614F04"/>
    <w:rsid w:val="006154BB"/>
    <w:rsid w:val="00615B1A"/>
    <w:rsid w:val="00620788"/>
    <w:rsid w:val="00621C69"/>
    <w:rsid w:val="00622388"/>
    <w:rsid w:val="00622669"/>
    <w:rsid w:val="00622FE1"/>
    <w:rsid w:val="00623EC3"/>
    <w:rsid w:val="00624453"/>
    <w:rsid w:val="00624CB5"/>
    <w:rsid w:val="00625CE5"/>
    <w:rsid w:val="0062628B"/>
    <w:rsid w:val="006262D2"/>
    <w:rsid w:val="00630B28"/>
    <w:rsid w:val="0063208A"/>
    <w:rsid w:val="00632E07"/>
    <w:rsid w:val="00633B0A"/>
    <w:rsid w:val="00635027"/>
    <w:rsid w:val="00635D3A"/>
    <w:rsid w:val="00636FCA"/>
    <w:rsid w:val="006426A5"/>
    <w:rsid w:val="00644A7B"/>
    <w:rsid w:val="006463DB"/>
    <w:rsid w:val="0065257F"/>
    <w:rsid w:val="006556D9"/>
    <w:rsid w:val="006572DD"/>
    <w:rsid w:val="006578AC"/>
    <w:rsid w:val="006614D5"/>
    <w:rsid w:val="00661C46"/>
    <w:rsid w:val="00663030"/>
    <w:rsid w:val="0066342E"/>
    <w:rsid w:val="006652D3"/>
    <w:rsid w:val="006658B7"/>
    <w:rsid w:val="00666C66"/>
    <w:rsid w:val="006675F2"/>
    <w:rsid w:val="00667CF3"/>
    <w:rsid w:val="00673471"/>
    <w:rsid w:val="006769C4"/>
    <w:rsid w:val="00677627"/>
    <w:rsid w:val="00677BD5"/>
    <w:rsid w:val="0068025E"/>
    <w:rsid w:val="00693C87"/>
    <w:rsid w:val="006A05C7"/>
    <w:rsid w:val="006A19D8"/>
    <w:rsid w:val="006A2573"/>
    <w:rsid w:val="006A607B"/>
    <w:rsid w:val="006A6E27"/>
    <w:rsid w:val="006A72B0"/>
    <w:rsid w:val="006B3E4D"/>
    <w:rsid w:val="006B3FE2"/>
    <w:rsid w:val="006B6877"/>
    <w:rsid w:val="006B7DD4"/>
    <w:rsid w:val="006C2A92"/>
    <w:rsid w:val="006C40FE"/>
    <w:rsid w:val="006C52B9"/>
    <w:rsid w:val="006C5B92"/>
    <w:rsid w:val="006C6039"/>
    <w:rsid w:val="006C623B"/>
    <w:rsid w:val="006C7DC0"/>
    <w:rsid w:val="006D1DFE"/>
    <w:rsid w:val="006D2E54"/>
    <w:rsid w:val="006D6A86"/>
    <w:rsid w:val="006E049E"/>
    <w:rsid w:val="006E5978"/>
    <w:rsid w:val="006E6328"/>
    <w:rsid w:val="006E6BC2"/>
    <w:rsid w:val="006E77BB"/>
    <w:rsid w:val="006F0453"/>
    <w:rsid w:val="006F15FC"/>
    <w:rsid w:val="006F166C"/>
    <w:rsid w:val="006F1A1A"/>
    <w:rsid w:val="006F2E8F"/>
    <w:rsid w:val="006F3F5C"/>
    <w:rsid w:val="006F49FB"/>
    <w:rsid w:val="006F6348"/>
    <w:rsid w:val="006F65E2"/>
    <w:rsid w:val="006F6D83"/>
    <w:rsid w:val="007006E8"/>
    <w:rsid w:val="007013FE"/>
    <w:rsid w:val="0070150E"/>
    <w:rsid w:val="0070587F"/>
    <w:rsid w:val="00705DB8"/>
    <w:rsid w:val="00706F4A"/>
    <w:rsid w:val="00707DEB"/>
    <w:rsid w:val="007104E4"/>
    <w:rsid w:val="00712F0B"/>
    <w:rsid w:val="00713225"/>
    <w:rsid w:val="007141FB"/>
    <w:rsid w:val="00720020"/>
    <w:rsid w:val="007204CC"/>
    <w:rsid w:val="00720A48"/>
    <w:rsid w:val="00721409"/>
    <w:rsid w:val="00724CAC"/>
    <w:rsid w:val="0072512A"/>
    <w:rsid w:val="007309FF"/>
    <w:rsid w:val="00731EE6"/>
    <w:rsid w:val="007329FB"/>
    <w:rsid w:val="007355A6"/>
    <w:rsid w:val="0073660C"/>
    <w:rsid w:val="00737554"/>
    <w:rsid w:val="00737691"/>
    <w:rsid w:val="00740708"/>
    <w:rsid w:val="00740A71"/>
    <w:rsid w:val="00740B0C"/>
    <w:rsid w:val="00742B8D"/>
    <w:rsid w:val="00743CB6"/>
    <w:rsid w:val="007477C5"/>
    <w:rsid w:val="00747938"/>
    <w:rsid w:val="00752376"/>
    <w:rsid w:val="007531B4"/>
    <w:rsid w:val="00754E65"/>
    <w:rsid w:val="00755CED"/>
    <w:rsid w:val="007568B1"/>
    <w:rsid w:val="0075753D"/>
    <w:rsid w:val="00760A9A"/>
    <w:rsid w:val="007624C5"/>
    <w:rsid w:val="00762AFB"/>
    <w:rsid w:val="007653FB"/>
    <w:rsid w:val="00765502"/>
    <w:rsid w:val="00765BA8"/>
    <w:rsid w:val="00765C0A"/>
    <w:rsid w:val="00766007"/>
    <w:rsid w:val="00767504"/>
    <w:rsid w:val="00767F20"/>
    <w:rsid w:val="00770A26"/>
    <w:rsid w:val="00771746"/>
    <w:rsid w:val="00772B58"/>
    <w:rsid w:val="00774A2B"/>
    <w:rsid w:val="0078031E"/>
    <w:rsid w:val="00780DF4"/>
    <w:rsid w:val="00780E98"/>
    <w:rsid w:val="00782109"/>
    <w:rsid w:val="007843C5"/>
    <w:rsid w:val="00784628"/>
    <w:rsid w:val="00785D20"/>
    <w:rsid w:val="00785E1F"/>
    <w:rsid w:val="00787274"/>
    <w:rsid w:val="0079059C"/>
    <w:rsid w:val="00792832"/>
    <w:rsid w:val="00794898"/>
    <w:rsid w:val="00796DC6"/>
    <w:rsid w:val="00797414"/>
    <w:rsid w:val="007A1364"/>
    <w:rsid w:val="007A24A0"/>
    <w:rsid w:val="007A3E2D"/>
    <w:rsid w:val="007A4AB2"/>
    <w:rsid w:val="007A5344"/>
    <w:rsid w:val="007A5E68"/>
    <w:rsid w:val="007B10BA"/>
    <w:rsid w:val="007B1BF7"/>
    <w:rsid w:val="007B4787"/>
    <w:rsid w:val="007B5687"/>
    <w:rsid w:val="007C404B"/>
    <w:rsid w:val="007C4BAE"/>
    <w:rsid w:val="007C553E"/>
    <w:rsid w:val="007C6F2E"/>
    <w:rsid w:val="007D1D3B"/>
    <w:rsid w:val="007D5960"/>
    <w:rsid w:val="007D741A"/>
    <w:rsid w:val="007D7B89"/>
    <w:rsid w:val="007E0D4E"/>
    <w:rsid w:val="007E0F66"/>
    <w:rsid w:val="007E114E"/>
    <w:rsid w:val="007E1269"/>
    <w:rsid w:val="007E128C"/>
    <w:rsid w:val="007E2F69"/>
    <w:rsid w:val="007E487F"/>
    <w:rsid w:val="007E4B2D"/>
    <w:rsid w:val="007E587D"/>
    <w:rsid w:val="007E6757"/>
    <w:rsid w:val="007E6F3B"/>
    <w:rsid w:val="007E71E9"/>
    <w:rsid w:val="007F073C"/>
    <w:rsid w:val="007F1873"/>
    <w:rsid w:val="007F1D06"/>
    <w:rsid w:val="007F26A2"/>
    <w:rsid w:val="007F7C25"/>
    <w:rsid w:val="00800571"/>
    <w:rsid w:val="008010D7"/>
    <w:rsid w:val="0080330D"/>
    <w:rsid w:val="00803443"/>
    <w:rsid w:val="0080378D"/>
    <w:rsid w:val="008040A4"/>
    <w:rsid w:val="00805692"/>
    <w:rsid w:val="0080680D"/>
    <w:rsid w:val="008079B4"/>
    <w:rsid w:val="0081090F"/>
    <w:rsid w:val="0081095A"/>
    <w:rsid w:val="00811ED2"/>
    <w:rsid w:val="00812C05"/>
    <w:rsid w:val="0081322A"/>
    <w:rsid w:val="0081422C"/>
    <w:rsid w:val="008162AB"/>
    <w:rsid w:val="00822225"/>
    <w:rsid w:val="00822BF9"/>
    <w:rsid w:val="008232E4"/>
    <w:rsid w:val="008252CE"/>
    <w:rsid w:val="00830A8E"/>
    <w:rsid w:val="00831948"/>
    <w:rsid w:val="00841E3C"/>
    <w:rsid w:val="00841F1C"/>
    <w:rsid w:val="00843E6F"/>
    <w:rsid w:val="00846E4A"/>
    <w:rsid w:val="00851AF5"/>
    <w:rsid w:val="00851FB5"/>
    <w:rsid w:val="00852AE2"/>
    <w:rsid w:val="00854DAA"/>
    <w:rsid w:val="00855507"/>
    <w:rsid w:val="008557C3"/>
    <w:rsid w:val="00856EDE"/>
    <w:rsid w:val="0086034B"/>
    <w:rsid w:val="008613C6"/>
    <w:rsid w:val="008647DE"/>
    <w:rsid w:val="00864B95"/>
    <w:rsid w:val="00866F98"/>
    <w:rsid w:val="008673D4"/>
    <w:rsid w:val="00870D37"/>
    <w:rsid w:val="00873E1A"/>
    <w:rsid w:val="008742F4"/>
    <w:rsid w:val="00874BDA"/>
    <w:rsid w:val="00876373"/>
    <w:rsid w:val="0087646C"/>
    <w:rsid w:val="008800D3"/>
    <w:rsid w:val="00881E04"/>
    <w:rsid w:val="00882FD8"/>
    <w:rsid w:val="0088312E"/>
    <w:rsid w:val="00883E16"/>
    <w:rsid w:val="00885EE8"/>
    <w:rsid w:val="00886CDD"/>
    <w:rsid w:val="008870D4"/>
    <w:rsid w:val="00887B33"/>
    <w:rsid w:val="00891AA2"/>
    <w:rsid w:val="00892120"/>
    <w:rsid w:val="0089214D"/>
    <w:rsid w:val="0089242A"/>
    <w:rsid w:val="008927CF"/>
    <w:rsid w:val="008935DD"/>
    <w:rsid w:val="00893C0D"/>
    <w:rsid w:val="00894712"/>
    <w:rsid w:val="00894811"/>
    <w:rsid w:val="008966DB"/>
    <w:rsid w:val="0089787F"/>
    <w:rsid w:val="008A0B76"/>
    <w:rsid w:val="008A1A06"/>
    <w:rsid w:val="008A20DA"/>
    <w:rsid w:val="008A21A1"/>
    <w:rsid w:val="008A2345"/>
    <w:rsid w:val="008A32A5"/>
    <w:rsid w:val="008A4735"/>
    <w:rsid w:val="008A5A35"/>
    <w:rsid w:val="008B0D94"/>
    <w:rsid w:val="008B1FC9"/>
    <w:rsid w:val="008B4012"/>
    <w:rsid w:val="008B5C8F"/>
    <w:rsid w:val="008B5F16"/>
    <w:rsid w:val="008B7722"/>
    <w:rsid w:val="008C0283"/>
    <w:rsid w:val="008C0D14"/>
    <w:rsid w:val="008C0E5C"/>
    <w:rsid w:val="008C4B73"/>
    <w:rsid w:val="008C6AF5"/>
    <w:rsid w:val="008D125A"/>
    <w:rsid w:val="008D348B"/>
    <w:rsid w:val="008D6EDD"/>
    <w:rsid w:val="008E032B"/>
    <w:rsid w:val="008E2BE4"/>
    <w:rsid w:val="008E2F55"/>
    <w:rsid w:val="008E3106"/>
    <w:rsid w:val="008E4572"/>
    <w:rsid w:val="008E6B4E"/>
    <w:rsid w:val="008E7970"/>
    <w:rsid w:val="008E7C34"/>
    <w:rsid w:val="008F076E"/>
    <w:rsid w:val="008F08E5"/>
    <w:rsid w:val="008F0C36"/>
    <w:rsid w:val="008F2022"/>
    <w:rsid w:val="008F377B"/>
    <w:rsid w:val="008F6691"/>
    <w:rsid w:val="00901F90"/>
    <w:rsid w:val="0090697C"/>
    <w:rsid w:val="009100D0"/>
    <w:rsid w:val="00911AE1"/>
    <w:rsid w:val="0091261C"/>
    <w:rsid w:val="009132CC"/>
    <w:rsid w:val="00914FAB"/>
    <w:rsid w:val="00915512"/>
    <w:rsid w:val="009164CF"/>
    <w:rsid w:val="00922027"/>
    <w:rsid w:val="009233CC"/>
    <w:rsid w:val="009240D8"/>
    <w:rsid w:val="0092523D"/>
    <w:rsid w:val="0092724E"/>
    <w:rsid w:val="009329B3"/>
    <w:rsid w:val="00933475"/>
    <w:rsid w:val="009360D7"/>
    <w:rsid w:val="009362C9"/>
    <w:rsid w:val="00936BE4"/>
    <w:rsid w:val="00941BC0"/>
    <w:rsid w:val="00942387"/>
    <w:rsid w:val="009455F1"/>
    <w:rsid w:val="0094626F"/>
    <w:rsid w:val="009462D2"/>
    <w:rsid w:val="00946C5A"/>
    <w:rsid w:val="009514A5"/>
    <w:rsid w:val="00954510"/>
    <w:rsid w:val="00956251"/>
    <w:rsid w:val="00960662"/>
    <w:rsid w:val="0096256E"/>
    <w:rsid w:val="0096434D"/>
    <w:rsid w:val="009652D5"/>
    <w:rsid w:val="009677F8"/>
    <w:rsid w:val="00971146"/>
    <w:rsid w:val="00972A09"/>
    <w:rsid w:val="00972A9A"/>
    <w:rsid w:val="009745E9"/>
    <w:rsid w:val="00980022"/>
    <w:rsid w:val="0098104E"/>
    <w:rsid w:val="00981B6A"/>
    <w:rsid w:val="009822B1"/>
    <w:rsid w:val="009842C1"/>
    <w:rsid w:val="0098477C"/>
    <w:rsid w:val="0098557D"/>
    <w:rsid w:val="00990491"/>
    <w:rsid w:val="00991675"/>
    <w:rsid w:val="00992008"/>
    <w:rsid w:val="00992AA4"/>
    <w:rsid w:val="0099335D"/>
    <w:rsid w:val="00993614"/>
    <w:rsid w:val="00996409"/>
    <w:rsid w:val="00996D00"/>
    <w:rsid w:val="00997299"/>
    <w:rsid w:val="009A03DC"/>
    <w:rsid w:val="009A0DDC"/>
    <w:rsid w:val="009A3437"/>
    <w:rsid w:val="009A3961"/>
    <w:rsid w:val="009A6208"/>
    <w:rsid w:val="009A65C3"/>
    <w:rsid w:val="009A6CF3"/>
    <w:rsid w:val="009B2D5B"/>
    <w:rsid w:val="009B43BF"/>
    <w:rsid w:val="009B4A2D"/>
    <w:rsid w:val="009B5A07"/>
    <w:rsid w:val="009C1E0B"/>
    <w:rsid w:val="009C1F42"/>
    <w:rsid w:val="009C29EE"/>
    <w:rsid w:val="009C49BD"/>
    <w:rsid w:val="009C516D"/>
    <w:rsid w:val="009D0E5E"/>
    <w:rsid w:val="009D0EFE"/>
    <w:rsid w:val="009D1BF4"/>
    <w:rsid w:val="009D4D72"/>
    <w:rsid w:val="009D545A"/>
    <w:rsid w:val="009D56EA"/>
    <w:rsid w:val="009D59C8"/>
    <w:rsid w:val="009D631E"/>
    <w:rsid w:val="009D6D44"/>
    <w:rsid w:val="009E21E2"/>
    <w:rsid w:val="009E22FA"/>
    <w:rsid w:val="009E4744"/>
    <w:rsid w:val="009E4C28"/>
    <w:rsid w:val="009E4EC9"/>
    <w:rsid w:val="009E56D4"/>
    <w:rsid w:val="009E5D5A"/>
    <w:rsid w:val="009E77EB"/>
    <w:rsid w:val="009F2262"/>
    <w:rsid w:val="009F4ADA"/>
    <w:rsid w:val="009F57D4"/>
    <w:rsid w:val="009F5A45"/>
    <w:rsid w:val="009F6106"/>
    <w:rsid w:val="009F6A0D"/>
    <w:rsid w:val="009F7A63"/>
    <w:rsid w:val="00A02B24"/>
    <w:rsid w:val="00A0522E"/>
    <w:rsid w:val="00A0542F"/>
    <w:rsid w:val="00A07991"/>
    <w:rsid w:val="00A1095D"/>
    <w:rsid w:val="00A10CDE"/>
    <w:rsid w:val="00A1680D"/>
    <w:rsid w:val="00A20549"/>
    <w:rsid w:val="00A216E3"/>
    <w:rsid w:val="00A23AB0"/>
    <w:rsid w:val="00A266C5"/>
    <w:rsid w:val="00A27A48"/>
    <w:rsid w:val="00A27F5F"/>
    <w:rsid w:val="00A301AB"/>
    <w:rsid w:val="00A309C6"/>
    <w:rsid w:val="00A320BE"/>
    <w:rsid w:val="00A32E4E"/>
    <w:rsid w:val="00A343F6"/>
    <w:rsid w:val="00A34EDF"/>
    <w:rsid w:val="00A35C86"/>
    <w:rsid w:val="00A40C90"/>
    <w:rsid w:val="00A42B1B"/>
    <w:rsid w:val="00A44886"/>
    <w:rsid w:val="00A45911"/>
    <w:rsid w:val="00A45DED"/>
    <w:rsid w:val="00A47AAF"/>
    <w:rsid w:val="00A505DE"/>
    <w:rsid w:val="00A5129E"/>
    <w:rsid w:val="00A51EF4"/>
    <w:rsid w:val="00A52D52"/>
    <w:rsid w:val="00A5327C"/>
    <w:rsid w:val="00A53AD0"/>
    <w:rsid w:val="00A561FB"/>
    <w:rsid w:val="00A5658A"/>
    <w:rsid w:val="00A56828"/>
    <w:rsid w:val="00A5721C"/>
    <w:rsid w:val="00A621F9"/>
    <w:rsid w:val="00A65752"/>
    <w:rsid w:val="00A67913"/>
    <w:rsid w:val="00A67CB5"/>
    <w:rsid w:val="00A70D1C"/>
    <w:rsid w:val="00A75810"/>
    <w:rsid w:val="00A76072"/>
    <w:rsid w:val="00A819C7"/>
    <w:rsid w:val="00A81A94"/>
    <w:rsid w:val="00A85D0F"/>
    <w:rsid w:val="00A863C1"/>
    <w:rsid w:val="00A865FD"/>
    <w:rsid w:val="00A874F7"/>
    <w:rsid w:val="00A90C3B"/>
    <w:rsid w:val="00A92BD6"/>
    <w:rsid w:val="00A96098"/>
    <w:rsid w:val="00A9681E"/>
    <w:rsid w:val="00A978B9"/>
    <w:rsid w:val="00AA007A"/>
    <w:rsid w:val="00AA20D9"/>
    <w:rsid w:val="00AA35B4"/>
    <w:rsid w:val="00AA618D"/>
    <w:rsid w:val="00AB0168"/>
    <w:rsid w:val="00AB073E"/>
    <w:rsid w:val="00AB0EF2"/>
    <w:rsid w:val="00AB1A13"/>
    <w:rsid w:val="00AB1CAE"/>
    <w:rsid w:val="00AB1EF7"/>
    <w:rsid w:val="00AB33AD"/>
    <w:rsid w:val="00AB4E9F"/>
    <w:rsid w:val="00AB5F4E"/>
    <w:rsid w:val="00AB6D29"/>
    <w:rsid w:val="00AB6F2E"/>
    <w:rsid w:val="00AC210F"/>
    <w:rsid w:val="00AC319E"/>
    <w:rsid w:val="00AC673E"/>
    <w:rsid w:val="00AD19C7"/>
    <w:rsid w:val="00AD1C92"/>
    <w:rsid w:val="00AD47A9"/>
    <w:rsid w:val="00AE00A3"/>
    <w:rsid w:val="00AE3A1E"/>
    <w:rsid w:val="00AE734F"/>
    <w:rsid w:val="00AF16AB"/>
    <w:rsid w:val="00AF1859"/>
    <w:rsid w:val="00AF18AF"/>
    <w:rsid w:val="00AF2656"/>
    <w:rsid w:val="00AF5AE4"/>
    <w:rsid w:val="00AF6110"/>
    <w:rsid w:val="00AF6AC6"/>
    <w:rsid w:val="00AF720B"/>
    <w:rsid w:val="00AF75D0"/>
    <w:rsid w:val="00AF7F3B"/>
    <w:rsid w:val="00B00611"/>
    <w:rsid w:val="00B014E2"/>
    <w:rsid w:val="00B033A6"/>
    <w:rsid w:val="00B04354"/>
    <w:rsid w:val="00B062BD"/>
    <w:rsid w:val="00B073CD"/>
    <w:rsid w:val="00B12CA7"/>
    <w:rsid w:val="00B13594"/>
    <w:rsid w:val="00B13A82"/>
    <w:rsid w:val="00B16D63"/>
    <w:rsid w:val="00B170C2"/>
    <w:rsid w:val="00B17FD7"/>
    <w:rsid w:val="00B23917"/>
    <w:rsid w:val="00B23CCA"/>
    <w:rsid w:val="00B249FC"/>
    <w:rsid w:val="00B257B6"/>
    <w:rsid w:val="00B25CD4"/>
    <w:rsid w:val="00B3038D"/>
    <w:rsid w:val="00B30426"/>
    <w:rsid w:val="00B311D8"/>
    <w:rsid w:val="00B317E7"/>
    <w:rsid w:val="00B3373D"/>
    <w:rsid w:val="00B33A57"/>
    <w:rsid w:val="00B34083"/>
    <w:rsid w:val="00B34618"/>
    <w:rsid w:val="00B36128"/>
    <w:rsid w:val="00B3687D"/>
    <w:rsid w:val="00B37728"/>
    <w:rsid w:val="00B40131"/>
    <w:rsid w:val="00B41EA3"/>
    <w:rsid w:val="00B41FC4"/>
    <w:rsid w:val="00B422F4"/>
    <w:rsid w:val="00B45C64"/>
    <w:rsid w:val="00B46A32"/>
    <w:rsid w:val="00B46B29"/>
    <w:rsid w:val="00B51BE2"/>
    <w:rsid w:val="00B532CA"/>
    <w:rsid w:val="00B53547"/>
    <w:rsid w:val="00B53597"/>
    <w:rsid w:val="00B55D3E"/>
    <w:rsid w:val="00B57D31"/>
    <w:rsid w:val="00B57F00"/>
    <w:rsid w:val="00B60F07"/>
    <w:rsid w:val="00B62590"/>
    <w:rsid w:val="00B63E85"/>
    <w:rsid w:val="00B6442D"/>
    <w:rsid w:val="00B64A21"/>
    <w:rsid w:val="00B65EF4"/>
    <w:rsid w:val="00B671E5"/>
    <w:rsid w:val="00B6729F"/>
    <w:rsid w:val="00B706E2"/>
    <w:rsid w:val="00B72E7C"/>
    <w:rsid w:val="00B72FDC"/>
    <w:rsid w:val="00B7517F"/>
    <w:rsid w:val="00B754A8"/>
    <w:rsid w:val="00B758F9"/>
    <w:rsid w:val="00B815B0"/>
    <w:rsid w:val="00B82627"/>
    <w:rsid w:val="00B85FF7"/>
    <w:rsid w:val="00B90AA7"/>
    <w:rsid w:val="00B918AA"/>
    <w:rsid w:val="00B94335"/>
    <w:rsid w:val="00BA0C60"/>
    <w:rsid w:val="00BA0CDC"/>
    <w:rsid w:val="00BA0F57"/>
    <w:rsid w:val="00BA10E8"/>
    <w:rsid w:val="00BA1178"/>
    <w:rsid w:val="00BA1A69"/>
    <w:rsid w:val="00BA389D"/>
    <w:rsid w:val="00BA38F6"/>
    <w:rsid w:val="00BA4449"/>
    <w:rsid w:val="00BA4753"/>
    <w:rsid w:val="00BA65E5"/>
    <w:rsid w:val="00BA65F9"/>
    <w:rsid w:val="00BA77C7"/>
    <w:rsid w:val="00BB09DF"/>
    <w:rsid w:val="00BB3701"/>
    <w:rsid w:val="00BB3D06"/>
    <w:rsid w:val="00BB3FC5"/>
    <w:rsid w:val="00BB6068"/>
    <w:rsid w:val="00BC2B3B"/>
    <w:rsid w:val="00BC3C44"/>
    <w:rsid w:val="00BC4579"/>
    <w:rsid w:val="00BC4CCF"/>
    <w:rsid w:val="00BC6070"/>
    <w:rsid w:val="00BC7CB6"/>
    <w:rsid w:val="00BD3D24"/>
    <w:rsid w:val="00BD52E7"/>
    <w:rsid w:val="00BD71AA"/>
    <w:rsid w:val="00BE0F76"/>
    <w:rsid w:val="00BE41A6"/>
    <w:rsid w:val="00BE6AE6"/>
    <w:rsid w:val="00BF4D2F"/>
    <w:rsid w:val="00C0018A"/>
    <w:rsid w:val="00C00905"/>
    <w:rsid w:val="00C0093E"/>
    <w:rsid w:val="00C00FFC"/>
    <w:rsid w:val="00C01EEE"/>
    <w:rsid w:val="00C025AB"/>
    <w:rsid w:val="00C035B5"/>
    <w:rsid w:val="00C03645"/>
    <w:rsid w:val="00C037CD"/>
    <w:rsid w:val="00C046B7"/>
    <w:rsid w:val="00C10843"/>
    <w:rsid w:val="00C11694"/>
    <w:rsid w:val="00C11ABD"/>
    <w:rsid w:val="00C11F51"/>
    <w:rsid w:val="00C12406"/>
    <w:rsid w:val="00C12F81"/>
    <w:rsid w:val="00C14685"/>
    <w:rsid w:val="00C14FB2"/>
    <w:rsid w:val="00C176AC"/>
    <w:rsid w:val="00C21EF9"/>
    <w:rsid w:val="00C222F7"/>
    <w:rsid w:val="00C233A4"/>
    <w:rsid w:val="00C23AAE"/>
    <w:rsid w:val="00C240AD"/>
    <w:rsid w:val="00C24839"/>
    <w:rsid w:val="00C25F7B"/>
    <w:rsid w:val="00C27C23"/>
    <w:rsid w:val="00C33A68"/>
    <w:rsid w:val="00C35F96"/>
    <w:rsid w:val="00C36536"/>
    <w:rsid w:val="00C36554"/>
    <w:rsid w:val="00C37834"/>
    <w:rsid w:val="00C41C84"/>
    <w:rsid w:val="00C42CD2"/>
    <w:rsid w:val="00C43A73"/>
    <w:rsid w:val="00C46B64"/>
    <w:rsid w:val="00C52C46"/>
    <w:rsid w:val="00C52D4E"/>
    <w:rsid w:val="00C554D4"/>
    <w:rsid w:val="00C55556"/>
    <w:rsid w:val="00C574EA"/>
    <w:rsid w:val="00C61B02"/>
    <w:rsid w:val="00C61C02"/>
    <w:rsid w:val="00C61F1C"/>
    <w:rsid w:val="00C63C5C"/>
    <w:rsid w:val="00C67286"/>
    <w:rsid w:val="00C7190E"/>
    <w:rsid w:val="00C719A2"/>
    <w:rsid w:val="00C71C05"/>
    <w:rsid w:val="00C72165"/>
    <w:rsid w:val="00C722BE"/>
    <w:rsid w:val="00C75724"/>
    <w:rsid w:val="00C80039"/>
    <w:rsid w:val="00C8114B"/>
    <w:rsid w:val="00C83041"/>
    <w:rsid w:val="00C84787"/>
    <w:rsid w:val="00C90B42"/>
    <w:rsid w:val="00C90BC9"/>
    <w:rsid w:val="00C919BB"/>
    <w:rsid w:val="00C9340B"/>
    <w:rsid w:val="00C93846"/>
    <w:rsid w:val="00C9475D"/>
    <w:rsid w:val="00C95056"/>
    <w:rsid w:val="00C951FD"/>
    <w:rsid w:val="00C957B5"/>
    <w:rsid w:val="00C971A1"/>
    <w:rsid w:val="00CA2794"/>
    <w:rsid w:val="00CA5658"/>
    <w:rsid w:val="00CA7F28"/>
    <w:rsid w:val="00CB0768"/>
    <w:rsid w:val="00CB0A49"/>
    <w:rsid w:val="00CB131F"/>
    <w:rsid w:val="00CB30F8"/>
    <w:rsid w:val="00CB3D79"/>
    <w:rsid w:val="00CB4DCD"/>
    <w:rsid w:val="00CB4F2D"/>
    <w:rsid w:val="00CB6ABB"/>
    <w:rsid w:val="00CB7583"/>
    <w:rsid w:val="00CC0680"/>
    <w:rsid w:val="00CC0E51"/>
    <w:rsid w:val="00CC1091"/>
    <w:rsid w:val="00CC1690"/>
    <w:rsid w:val="00CC345C"/>
    <w:rsid w:val="00CC37FB"/>
    <w:rsid w:val="00CC665A"/>
    <w:rsid w:val="00CC7D1A"/>
    <w:rsid w:val="00CC7E4A"/>
    <w:rsid w:val="00CD1353"/>
    <w:rsid w:val="00CD192F"/>
    <w:rsid w:val="00CD338D"/>
    <w:rsid w:val="00CD6B96"/>
    <w:rsid w:val="00CD6C68"/>
    <w:rsid w:val="00CE04A0"/>
    <w:rsid w:val="00CE30A4"/>
    <w:rsid w:val="00CE34DC"/>
    <w:rsid w:val="00CE42BA"/>
    <w:rsid w:val="00CE58DC"/>
    <w:rsid w:val="00CE68C9"/>
    <w:rsid w:val="00CE7558"/>
    <w:rsid w:val="00CF3294"/>
    <w:rsid w:val="00CF49E8"/>
    <w:rsid w:val="00D0434D"/>
    <w:rsid w:val="00D07C8D"/>
    <w:rsid w:val="00D07FB4"/>
    <w:rsid w:val="00D11D31"/>
    <w:rsid w:val="00D13711"/>
    <w:rsid w:val="00D15183"/>
    <w:rsid w:val="00D1539B"/>
    <w:rsid w:val="00D17159"/>
    <w:rsid w:val="00D21FA8"/>
    <w:rsid w:val="00D2263B"/>
    <w:rsid w:val="00D236B7"/>
    <w:rsid w:val="00D23E48"/>
    <w:rsid w:val="00D244BE"/>
    <w:rsid w:val="00D32E88"/>
    <w:rsid w:val="00D33C86"/>
    <w:rsid w:val="00D40F88"/>
    <w:rsid w:val="00D41AE9"/>
    <w:rsid w:val="00D42E0B"/>
    <w:rsid w:val="00D43096"/>
    <w:rsid w:val="00D449B3"/>
    <w:rsid w:val="00D46AB2"/>
    <w:rsid w:val="00D47702"/>
    <w:rsid w:val="00D47815"/>
    <w:rsid w:val="00D47FFB"/>
    <w:rsid w:val="00D52126"/>
    <w:rsid w:val="00D532CB"/>
    <w:rsid w:val="00D543B0"/>
    <w:rsid w:val="00D5503B"/>
    <w:rsid w:val="00D573A9"/>
    <w:rsid w:val="00D62510"/>
    <w:rsid w:val="00D62FB5"/>
    <w:rsid w:val="00D631BB"/>
    <w:rsid w:val="00D639CE"/>
    <w:rsid w:val="00D656EB"/>
    <w:rsid w:val="00D6661C"/>
    <w:rsid w:val="00D67A8E"/>
    <w:rsid w:val="00D71E42"/>
    <w:rsid w:val="00D72447"/>
    <w:rsid w:val="00D75617"/>
    <w:rsid w:val="00D75FD7"/>
    <w:rsid w:val="00D76632"/>
    <w:rsid w:val="00D771FD"/>
    <w:rsid w:val="00D7796D"/>
    <w:rsid w:val="00D81124"/>
    <w:rsid w:val="00D81B18"/>
    <w:rsid w:val="00D83541"/>
    <w:rsid w:val="00D83E95"/>
    <w:rsid w:val="00D86B1E"/>
    <w:rsid w:val="00D8749D"/>
    <w:rsid w:val="00D87A49"/>
    <w:rsid w:val="00D903E5"/>
    <w:rsid w:val="00D93A16"/>
    <w:rsid w:val="00D9496D"/>
    <w:rsid w:val="00D95A3E"/>
    <w:rsid w:val="00D96771"/>
    <w:rsid w:val="00D97450"/>
    <w:rsid w:val="00DA0768"/>
    <w:rsid w:val="00DA161A"/>
    <w:rsid w:val="00DA37CF"/>
    <w:rsid w:val="00DA5505"/>
    <w:rsid w:val="00DA5A94"/>
    <w:rsid w:val="00DB1544"/>
    <w:rsid w:val="00DB2355"/>
    <w:rsid w:val="00DB2B48"/>
    <w:rsid w:val="00DB2CD4"/>
    <w:rsid w:val="00DB3BB4"/>
    <w:rsid w:val="00DC0A48"/>
    <w:rsid w:val="00DC0F02"/>
    <w:rsid w:val="00DC0F8D"/>
    <w:rsid w:val="00DC2284"/>
    <w:rsid w:val="00DC3CA4"/>
    <w:rsid w:val="00DC45E2"/>
    <w:rsid w:val="00DD2977"/>
    <w:rsid w:val="00DD3471"/>
    <w:rsid w:val="00DE084C"/>
    <w:rsid w:val="00DE0B7E"/>
    <w:rsid w:val="00DE1C0E"/>
    <w:rsid w:val="00DE2175"/>
    <w:rsid w:val="00DE2EC6"/>
    <w:rsid w:val="00DE327D"/>
    <w:rsid w:val="00DE4578"/>
    <w:rsid w:val="00DE505B"/>
    <w:rsid w:val="00DF04EE"/>
    <w:rsid w:val="00DF1E6E"/>
    <w:rsid w:val="00DF2949"/>
    <w:rsid w:val="00DF3E35"/>
    <w:rsid w:val="00DF4BC4"/>
    <w:rsid w:val="00DF4D84"/>
    <w:rsid w:val="00DF64C8"/>
    <w:rsid w:val="00DF72AC"/>
    <w:rsid w:val="00E001B1"/>
    <w:rsid w:val="00E03ED5"/>
    <w:rsid w:val="00E06243"/>
    <w:rsid w:val="00E07169"/>
    <w:rsid w:val="00E07621"/>
    <w:rsid w:val="00E15DC1"/>
    <w:rsid w:val="00E162A4"/>
    <w:rsid w:val="00E1688C"/>
    <w:rsid w:val="00E16C1C"/>
    <w:rsid w:val="00E179E3"/>
    <w:rsid w:val="00E20A9A"/>
    <w:rsid w:val="00E224E2"/>
    <w:rsid w:val="00E22665"/>
    <w:rsid w:val="00E24AEB"/>
    <w:rsid w:val="00E27F53"/>
    <w:rsid w:val="00E3048E"/>
    <w:rsid w:val="00E30499"/>
    <w:rsid w:val="00E30B51"/>
    <w:rsid w:val="00E322A6"/>
    <w:rsid w:val="00E324BB"/>
    <w:rsid w:val="00E3308D"/>
    <w:rsid w:val="00E34166"/>
    <w:rsid w:val="00E371C8"/>
    <w:rsid w:val="00E377E8"/>
    <w:rsid w:val="00E40BD6"/>
    <w:rsid w:val="00E41461"/>
    <w:rsid w:val="00E43464"/>
    <w:rsid w:val="00E44E95"/>
    <w:rsid w:val="00E46073"/>
    <w:rsid w:val="00E47A69"/>
    <w:rsid w:val="00E506EC"/>
    <w:rsid w:val="00E52F99"/>
    <w:rsid w:val="00E56EB3"/>
    <w:rsid w:val="00E56FE8"/>
    <w:rsid w:val="00E571BB"/>
    <w:rsid w:val="00E6021D"/>
    <w:rsid w:val="00E60AFA"/>
    <w:rsid w:val="00E61346"/>
    <w:rsid w:val="00E61B3C"/>
    <w:rsid w:val="00E6484E"/>
    <w:rsid w:val="00E74435"/>
    <w:rsid w:val="00E74E96"/>
    <w:rsid w:val="00E75507"/>
    <w:rsid w:val="00E758AD"/>
    <w:rsid w:val="00E7659D"/>
    <w:rsid w:val="00E779FB"/>
    <w:rsid w:val="00E77D4E"/>
    <w:rsid w:val="00E80BDB"/>
    <w:rsid w:val="00E81373"/>
    <w:rsid w:val="00E81C55"/>
    <w:rsid w:val="00E82135"/>
    <w:rsid w:val="00E83A48"/>
    <w:rsid w:val="00E83EC7"/>
    <w:rsid w:val="00E85490"/>
    <w:rsid w:val="00E91860"/>
    <w:rsid w:val="00E91FB3"/>
    <w:rsid w:val="00E954B7"/>
    <w:rsid w:val="00E954D6"/>
    <w:rsid w:val="00E955F2"/>
    <w:rsid w:val="00E95FA3"/>
    <w:rsid w:val="00E96FDB"/>
    <w:rsid w:val="00EA096C"/>
    <w:rsid w:val="00EA107B"/>
    <w:rsid w:val="00EA509D"/>
    <w:rsid w:val="00EA6918"/>
    <w:rsid w:val="00EB4A21"/>
    <w:rsid w:val="00EB6D31"/>
    <w:rsid w:val="00EB6D52"/>
    <w:rsid w:val="00EB72A9"/>
    <w:rsid w:val="00EC06CC"/>
    <w:rsid w:val="00EC16F1"/>
    <w:rsid w:val="00EC2CF7"/>
    <w:rsid w:val="00EC2D9C"/>
    <w:rsid w:val="00EC6503"/>
    <w:rsid w:val="00EC6B29"/>
    <w:rsid w:val="00ED05D6"/>
    <w:rsid w:val="00ED0A43"/>
    <w:rsid w:val="00ED0BFF"/>
    <w:rsid w:val="00ED0C6F"/>
    <w:rsid w:val="00ED0DBE"/>
    <w:rsid w:val="00ED2FCC"/>
    <w:rsid w:val="00ED3D47"/>
    <w:rsid w:val="00ED3D4F"/>
    <w:rsid w:val="00ED5FA2"/>
    <w:rsid w:val="00ED73DD"/>
    <w:rsid w:val="00ED7664"/>
    <w:rsid w:val="00EE37C6"/>
    <w:rsid w:val="00EE390B"/>
    <w:rsid w:val="00EE49F2"/>
    <w:rsid w:val="00EE53BC"/>
    <w:rsid w:val="00EE56D8"/>
    <w:rsid w:val="00EE5F75"/>
    <w:rsid w:val="00EE61EB"/>
    <w:rsid w:val="00EF2722"/>
    <w:rsid w:val="00EF304A"/>
    <w:rsid w:val="00EF5421"/>
    <w:rsid w:val="00EF6805"/>
    <w:rsid w:val="00EF757F"/>
    <w:rsid w:val="00F0012A"/>
    <w:rsid w:val="00F00508"/>
    <w:rsid w:val="00F01E52"/>
    <w:rsid w:val="00F042DC"/>
    <w:rsid w:val="00F04309"/>
    <w:rsid w:val="00F0448B"/>
    <w:rsid w:val="00F044AB"/>
    <w:rsid w:val="00F0516B"/>
    <w:rsid w:val="00F0528E"/>
    <w:rsid w:val="00F055C3"/>
    <w:rsid w:val="00F05C8B"/>
    <w:rsid w:val="00F05D96"/>
    <w:rsid w:val="00F07099"/>
    <w:rsid w:val="00F079BF"/>
    <w:rsid w:val="00F07CD2"/>
    <w:rsid w:val="00F105EA"/>
    <w:rsid w:val="00F11117"/>
    <w:rsid w:val="00F12541"/>
    <w:rsid w:val="00F133E0"/>
    <w:rsid w:val="00F15459"/>
    <w:rsid w:val="00F17A64"/>
    <w:rsid w:val="00F22035"/>
    <w:rsid w:val="00F22D18"/>
    <w:rsid w:val="00F23244"/>
    <w:rsid w:val="00F24E3F"/>
    <w:rsid w:val="00F25391"/>
    <w:rsid w:val="00F27215"/>
    <w:rsid w:val="00F323A3"/>
    <w:rsid w:val="00F36C87"/>
    <w:rsid w:val="00F41027"/>
    <w:rsid w:val="00F4662A"/>
    <w:rsid w:val="00F46927"/>
    <w:rsid w:val="00F4765D"/>
    <w:rsid w:val="00F5046E"/>
    <w:rsid w:val="00F51553"/>
    <w:rsid w:val="00F53BCA"/>
    <w:rsid w:val="00F540C0"/>
    <w:rsid w:val="00F54228"/>
    <w:rsid w:val="00F550B3"/>
    <w:rsid w:val="00F55854"/>
    <w:rsid w:val="00F56813"/>
    <w:rsid w:val="00F56EB4"/>
    <w:rsid w:val="00F57BC1"/>
    <w:rsid w:val="00F62AA6"/>
    <w:rsid w:val="00F6349A"/>
    <w:rsid w:val="00F63D1F"/>
    <w:rsid w:val="00F6422B"/>
    <w:rsid w:val="00F64BDD"/>
    <w:rsid w:val="00F657B3"/>
    <w:rsid w:val="00F66904"/>
    <w:rsid w:val="00F675D4"/>
    <w:rsid w:val="00F70110"/>
    <w:rsid w:val="00F7100F"/>
    <w:rsid w:val="00F711DA"/>
    <w:rsid w:val="00F7174D"/>
    <w:rsid w:val="00F72C93"/>
    <w:rsid w:val="00F774F3"/>
    <w:rsid w:val="00F77615"/>
    <w:rsid w:val="00F779E8"/>
    <w:rsid w:val="00F80A88"/>
    <w:rsid w:val="00F823F5"/>
    <w:rsid w:val="00F83284"/>
    <w:rsid w:val="00F83306"/>
    <w:rsid w:val="00F84FD2"/>
    <w:rsid w:val="00F9170D"/>
    <w:rsid w:val="00F9433B"/>
    <w:rsid w:val="00F94368"/>
    <w:rsid w:val="00F9494C"/>
    <w:rsid w:val="00F954B5"/>
    <w:rsid w:val="00FA0D82"/>
    <w:rsid w:val="00FA15C8"/>
    <w:rsid w:val="00FA21CD"/>
    <w:rsid w:val="00FA21ED"/>
    <w:rsid w:val="00FA2D86"/>
    <w:rsid w:val="00FA348C"/>
    <w:rsid w:val="00FA38F4"/>
    <w:rsid w:val="00FA3BB2"/>
    <w:rsid w:val="00FA46A7"/>
    <w:rsid w:val="00FA5A92"/>
    <w:rsid w:val="00FB0AD8"/>
    <w:rsid w:val="00FB3BE7"/>
    <w:rsid w:val="00FB420E"/>
    <w:rsid w:val="00FB490B"/>
    <w:rsid w:val="00FB4DBB"/>
    <w:rsid w:val="00FC0795"/>
    <w:rsid w:val="00FC2C7A"/>
    <w:rsid w:val="00FC52DA"/>
    <w:rsid w:val="00FD34EE"/>
    <w:rsid w:val="00FD6556"/>
    <w:rsid w:val="00FE296F"/>
    <w:rsid w:val="00FE2C17"/>
    <w:rsid w:val="00FE56E2"/>
    <w:rsid w:val="00FE65AA"/>
    <w:rsid w:val="00FE684E"/>
    <w:rsid w:val="00FF072F"/>
    <w:rsid w:val="00FF1F3F"/>
    <w:rsid w:val="00FF48CE"/>
    <w:rsid w:val="00FF4F70"/>
    <w:rsid w:val="00FF69FB"/>
    <w:rsid w:val="00FF78F0"/>
    <w:rsid w:val="00FF7A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37BA1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lsdException w:name="toc 1" w:uiPriority="39"/>
    <w:lsdException w:name="toc 3" w:uiPriority="39"/>
    <w:lsdException w:name="footnote text" w:qFormat="1"/>
    <w:lsdException w:name="header" w:uiPriority="99"/>
    <w:lsdException w:name="footer" w:uiPriority="99"/>
    <w:lsdException w:name="List" w:semiHidden="0"/>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lsdException w:name="Default Paragraph Font" w:uiPriority="1"/>
    <w:lsdException w:name="Subtitle" w:semiHidden="0" w:unhideWhenUsed="0"/>
    <w:lsdException w:name="Body Text 3" w:semiHidden="0"/>
    <w:lsdException w:name="Body Text Indent 2" w:semiHidden="0"/>
    <w:lsdException w:name="Body Text Indent 3" w:semiHidden="0"/>
    <w:lsdException w:name="Block Text" w:semiHidden="0"/>
    <w:lsdException w:name="Hyperlink" w:uiPriority="99"/>
    <w:lsdException w:name="Strong" w:semiHidden="0" w:unhideWhenUsed="0"/>
    <w:lsdException w:name="Emphasis" w:semiHidden="0" w:unhideWhenUsed="0"/>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786"/>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aliases w:val="(Not In Use) Char, Section heading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0F2638"/>
    <w:rPr>
      <w:sz w:val="24"/>
      <w:szCs w:val="20"/>
    </w:rPr>
  </w:style>
  <w:style w:type="character" w:customStyle="1" w:styleId="CGCBulletlistChar">
    <w:name w:val="CGC Bullet list Char"/>
    <w:aliases w:val="CGC List 1 Char,CGC Bullet list Char1"/>
    <w:basedOn w:val="DefaultParagraphFont"/>
    <w:locked/>
    <w:rsid w:val="00C11694"/>
    <w:rPr>
      <w:sz w:val="24"/>
      <w:szCs w:val="20"/>
    </w:rPr>
  </w:style>
  <w:style w:type="character" w:customStyle="1" w:styleId="CGCParaNoChar">
    <w:name w:val="CGC Para No Char"/>
    <w:aliases w:val="CGC Numbered Para Char"/>
    <w:basedOn w:val="DefaultParagraphFont"/>
    <w:link w:val="CGCNumberedPara"/>
    <w:rsid w:val="00533ED5"/>
    <w:rPr>
      <w:sz w:val="24"/>
      <w:szCs w:val="24"/>
    </w:rPr>
  </w:style>
  <w:style w:type="character" w:customStyle="1" w:styleId="CGCTableFootnoteChar">
    <w:name w:val="CGC Table Footnote Char"/>
    <w:basedOn w:val="DefaultParagraphFont"/>
    <w:link w:val="CGCTableFootnote"/>
    <w:rsid w:val="002B55EE"/>
    <w:rPr>
      <w:sz w:val="20"/>
      <w:szCs w:val="24"/>
    </w:rPr>
  </w:style>
  <w:style w:type="character" w:customStyle="1" w:styleId="CGCTableHeadingChar">
    <w:name w:val="CGC Table Heading Char"/>
    <w:basedOn w:val="DefaultParagraphFont"/>
    <w:link w:val="CGCTableHeading"/>
    <w:rsid w:val="002B55EE"/>
    <w:rPr>
      <w:b/>
      <w:sz w:val="24"/>
      <w:szCs w:val="20"/>
    </w:rPr>
  </w:style>
  <w:style w:type="character" w:customStyle="1" w:styleId="UnresolvedMention">
    <w:name w:val="Unresolved Mention"/>
    <w:basedOn w:val="DefaultParagraphFont"/>
    <w:uiPriority w:val="99"/>
    <w:semiHidden/>
    <w:unhideWhenUsed/>
    <w:rsid w:val="00FE296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lsdException w:name="toc 1" w:uiPriority="39"/>
    <w:lsdException w:name="toc 3" w:uiPriority="39"/>
    <w:lsdException w:name="footnote text" w:qFormat="1"/>
    <w:lsdException w:name="header" w:uiPriority="99"/>
    <w:lsdException w:name="footer" w:uiPriority="99"/>
    <w:lsdException w:name="List" w:semiHidden="0"/>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Title" w:semiHidden="0" w:unhideWhenUsed="0"/>
    <w:lsdException w:name="Default Paragraph Font" w:uiPriority="1"/>
    <w:lsdException w:name="Subtitle" w:semiHidden="0" w:unhideWhenUsed="0"/>
    <w:lsdException w:name="Body Text 3" w:semiHidden="0"/>
    <w:lsdException w:name="Body Text Indent 2" w:semiHidden="0"/>
    <w:lsdException w:name="Body Text Indent 3" w:semiHidden="0"/>
    <w:lsdException w:name="Block Text" w:semiHidden="0"/>
    <w:lsdException w:name="Hyperlink" w:uiPriority="99"/>
    <w:lsdException w:name="Strong" w:semiHidden="0" w:unhideWhenUsed="0"/>
    <w:lsdException w:name="Emphasis" w:semiHidden="0" w:unhideWhenUsed="0"/>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aliases w:val="(Not In Use), Section heading"/>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786"/>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DE1C0E"/>
    <w:pPr>
      <w:tabs>
        <w:tab w:val="clear" w:pos="567"/>
        <w:tab w:val="right" w:pos="8942"/>
      </w:tabs>
      <w:spacing w:after="0"/>
      <w:ind w:left="284"/>
    </w:pPr>
    <w:rPr>
      <w:szCs w:val="20"/>
    </w:rPr>
  </w:style>
  <w:style w:type="paragraph" w:styleId="TOC3">
    <w:name w:val="toc 3"/>
    <w:basedOn w:val="Normal"/>
    <w:next w:val="Normal"/>
    <w:uiPriority w:val="39"/>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aliases w:val="(Not In Use) Char, Section heading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0F2638"/>
    <w:rPr>
      <w:sz w:val="24"/>
      <w:szCs w:val="20"/>
    </w:rPr>
  </w:style>
  <w:style w:type="character" w:customStyle="1" w:styleId="CGCBulletlistChar">
    <w:name w:val="CGC Bullet list Char"/>
    <w:aliases w:val="CGC List 1 Char,CGC Bullet list Char1"/>
    <w:basedOn w:val="DefaultParagraphFont"/>
    <w:locked/>
    <w:rsid w:val="00C11694"/>
    <w:rPr>
      <w:sz w:val="24"/>
      <w:szCs w:val="20"/>
    </w:rPr>
  </w:style>
  <w:style w:type="character" w:customStyle="1" w:styleId="CGCParaNoChar">
    <w:name w:val="CGC Para No Char"/>
    <w:aliases w:val="CGC Numbered Para Char"/>
    <w:basedOn w:val="DefaultParagraphFont"/>
    <w:link w:val="CGCNumberedPara"/>
    <w:rsid w:val="00533ED5"/>
    <w:rPr>
      <w:sz w:val="24"/>
      <w:szCs w:val="24"/>
    </w:rPr>
  </w:style>
  <w:style w:type="character" w:customStyle="1" w:styleId="CGCTableFootnoteChar">
    <w:name w:val="CGC Table Footnote Char"/>
    <w:basedOn w:val="DefaultParagraphFont"/>
    <w:link w:val="CGCTableFootnote"/>
    <w:rsid w:val="002B55EE"/>
    <w:rPr>
      <w:sz w:val="20"/>
      <w:szCs w:val="24"/>
    </w:rPr>
  </w:style>
  <w:style w:type="character" w:customStyle="1" w:styleId="CGCTableHeadingChar">
    <w:name w:val="CGC Table Heading Char"/>
    <w:basedOn w:val="DefaultParagraphFont"/>
    <w:link w:val="CGCTableHeading"/>
    <w:rsid w:val="002B55EE"/>
    <w:rPr>
      <w:b/>
      <w:sz w:val="24"/>
      <w:szCs w:val="20"/>
    </w:rPr>
  </w:style>
  <w:style w:type="character" w:customStyle="1" w:styleId="UnresolvedMention">
    <w:name w:val="Unresolved Mention"/>
    <w:basedOn w:val="DefaultParagraphFont"/>
    <w:uiPriority w:val="99"/>
    <w:semiHidden/>
    <w:unhideWhenUsed/>
    <w:rsid w:val="00FE296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20153">
      <w:bodyDiv w:val="1"/>
      <w:marLeft w:val="0"/>
      <w:marRight w:val="0"/>
      <w:marTop w:val="0"/>
      <w:marBottom w:val="0"/>
      <w:divBdr>
        <w:top w:val="none" w:sz="0" w:space="0" w:color="auto"/>
        <w:left w:val="none" w:sz="0" w:space="0" w:color="auto"/>
        <w:bottom w:val="none" w:sz="0" w:space="0" w:color="auto"/>
        <w:right w:val="none" w:sz="0" w:space="0" w:color="auto"/>
      </w:divBdr>
    </w:div>
    <w:div w:id="111753173">
      <w:bodyDiv w:val="1"/>
      <w:marLeft w:val="0"/>
      <w:marRight w:val="0"/>
      <w:marTop w:val="0"/>
      <w:marBottom w:val="0"/>
      <w:divBdr>
        <w:top w:val="none" w:sz="0" w:space="0" w:color="auto"/>
        <w:left w:val="none" w:sz="0" w:space="0" w:color="auto"/>
        <w:bottom w:val="none" w:sz="0" w:space="0" w:color="auto"/>
        <w:right w:val="none" w:sz="0" w:space="0" w:color="auto"/>
      </w:divBdr>
    </w:div>
    <w:div w:id="128595414">
      <w:bodyDiv w:val="1"/>
      <w:marLeft w:val="0"/>
      <w:marRight w:val="0"/>
      <w:marTop w:val="0"/>
      <w:marBottom w:val="0"/>
      <w:divBdr>
        <w:top w:val="none" w:sz="0" w:space="0" w:color="auto"/>
        <w:left w:val="none" w:sz="0" w:space="0" w:color="auto"/>
        <w:bottom w:val="none" w:sz="0" w:space="0" w:color="auto"/>
        <w:right w:val="none" w:sz="0" w:space="0" w:color="auto"/>
      </w:divBdr>
    </w:div>
    <w:div w:id="154032120">
      <w:bodyDiv w:val="1"/>
      <w:marLeft w:val="0"/>
      <w:marRight w:val="0"/>
      <w:marTop w:val="0"/>
      <w:marBottom w:val="0"/>
      <w:divBdr>
        <w:top w:val="none" w:sz="0" w:space="0" w:color="auto"/>
        <w:left w:val="none" w:sz="0" w:space="0" w:color="auto"/>
        <w:bottom w:val="none" w:sz="0" w:space="0" w:color="auto"/>
        <w:right w:val="none" w:sz="0" w:space="0" w:color="auto"/>
      </w:divBdr>
    </w:div>
    <w:div w:id="186259264">
      <w:bodyDiv w:val="1"/>
      <w:marLeft w:val="0"/>
      <w:marRight w:val="0"/>
      <w:marTop w:val="0"/>
      <w:marBottom w:val="0"/>
      <w:divBdr>
        <w:top w:val="none" w:sz="0" w:space="0" w:color="auto"/>
        <w:left w:val="none" w:sz="0" w:space="0" w:color="auto"/>
        <w:bottom w:val="none" w:sz="0" w:space="0" w:color="auto"/>
        <w:right w:val="none" w:sz="0" w:space="0" w:color="auto"/>
      </w:divBdr>
    </w:div>
    <w:div w:id="203294952">
      <w:bodyDiv w:val="1"/>
      <w:marLeft w:val="0"/>
      <w:marRight w:val="0"/>
      <w:marTop w:val="0"/>
      <w:marBottom w:val="0"/>
      <w:divBdr>
        <w:top w:val="none" w:sz="0" w:space="0" w:color="auto"/>
        <w:left w:val="none" w:sz="0" w:space="0" w:color="auto"/>
        <w:bottom w:val="none" w:sz="0" w:space="0" w:color="auto"/>
        <w:right w:val="none" w:sz="0" w:space="0" w:color="auto"/>
      </w:divBdr>
    </w:div>
    <w:div w:id="204832714">
      <w:bodyDiv w:val="1"/>
      <w:marLeft w:val="0"/>
      <w:marRight w:val="0"/>
      <w:marTop w:val="0"/>
      <w:marBottom w:val="0"/>
      <w:divBdr>
        <w:top w:val="none" w:sz="0" w:space="0" w:color="auto"/>
        <w:left w:val="none" w:sz="0" w:space="0" w:color="auto"/>
        <w:bottom w:val="none" w:sz="0" w:space="0" w:color="auto"/>
        <w:right w:val="none" w:sz="0" w:space="0" w:color="auto"/>
      </w:divBdr>
    </w:div>
    <w:div w:id="245967051">
      <w:bodyDiv w:val="1"/>
      <w:marLeft w:val="0"/>
      <w:marRight w:val="0"/>
      <w:marTop w:val="0"/>
      <w:marBottom w:val="0"/>
      <w:divBdr>
        <w:top w:val="none" w:sz="0" w:space="0" w:color="auto"/>
        <w:left w:val="none" w:sz="0" w:space="0" w:color="auto"/>
        <w:bottom w:val="none" w:sz="0" w:space="0" w:color="auto"/>
        <w:right w:val="none" w:sz="0" w:space="0" w:color="auto"/>
      </w:divBdr>
    </w:div>
    <w:div w:id="247230169">
      <w:bodyDiv w:val="1"/>
      <w:marLeft w:val="0"/>
      <w:marRight w:val="0"/>
      <w:marTop w:val="0"/>
      <w:marBottom w:val="0"/>
      <w:divBdr>
        <w:top w:val="none" w:sz="0" w:space="0" w:color="auto"/>
        <w:left w:val="none" w:sz="0" w:space="0" w:color="auto"/>
        <w:bottom w:val="none" w:sz="0" w:space="0" w:color="auto"/>
        <w:right w:val="none" w:sz="0" w:space="0" w:color="auto"/>
      </w:divBdr>
    </w:div>
    <w:div w:id="251282668">
      <w:bodyDiv w:val="1"/>
      <w:marLeft w:val="0"/>
      <w:marRight w:val="0"/>
      <w:marTop w:val="0"/>
      <w:marBottom w:val="0"/>
      <w:divBdr>
        <w:top w:val="none" w:sz="0" w:space="0" w:color="auto"/>
        <w:left w:val="none" w:sz="0" w:space="0" w:color="auto"/>
        <w:bottom w:val="none" w:sz="0" w:space="0" w:color="auto"/>
        <w:right w:val="none" w:sz="0" w:space="0" w:color="auto"/>
      </w:divBdr>
    </w:div>
    <w:div w:id="266427342">
      <w:bodyDiv w:val="1"/>
      <w:marLeft w:val="0"/>
      <w:marRight w:val="0"/>
      <w:marTop w:val="0"/>
      <w:marBottom w:val="0"/>
      <w:divBdr>
        <w:top w:val="none" w:sz="0" w:space="0" w:color="auto"/>
        <w:left w:val="none" w:sz="0" w:space="0" w:color="auto"/>
        <w:bottom w:val="none" w:sz="0" w:space="0" w:color="auto"/>
        <w:right w:val="none" w:sz="0" w:space="0" w:color="auto"/>
      </w:divBdr>
    </w:div>
    <w:div w:id="294144428">
      <w:bodyDiv w:val="1"/>
      <w:marLeft w:val="0"/>
      <w:marRight w:val="0"/>
      <w:marTop w:val="0"/>
      <w:marBottom w:val="0"/>
      <w:divBdr>
        <w:top w:val="none" w:sz="0" w:space="0" w:color="auto"/>
        <w:left w:val="none" w:sz="0" w:space="0" w:color="auto"/>
        <w:bottom w:val="none" w:sz="0" w:space="0" w:color="auto"/>
        <w:right w:val="none" w:sz="0" w:space="0" w:color="auto"/>
      </w:divBdr>
    </w:div>
    <w:div w:id="299849046">
      <w:bodyDiv w:val="1"/>
      <w:marLeft w:val="0"/>
      <w:marRight w:val="0"/>
      <w:marTop w:val="0"/>
      <w:marBottom w:val="0"/>
      <w:divBdr>
        <w:top w:val="none" w:sz="0" w:space="0" w:color="auto"/>
        <w:left w:val="none" w:sz="0" w:space="0" w:color="auto"/>
        <w:bottom w:val="none" w:sz="0" w:space="0" w:color="auto"/>
        <w:right w:val="none" w:sz="0" w:space="0" w:color="auto"/>
      </w:divBdr>
    </w:div>
    <w:div w:id="325860400">
      <w:bodyDiv w:val="1"/>
      <w:marLeft w:val="0"/>
      <w:marRight w:val="0"/>
      <w:marTop w:val="0"/>
      <w:marBottom w:val="0"/>
      <w:divBdr>
        <w:top w:val="none" w:sz="0" w:space="0" w:color="auto"/>
        <w:left w:val="none" w:sz="0" w:space="0" w:color="auto"/>
        <w:bottom w:val="none" w:sz="0" w:space="0" w:color="auto"/>
        <w:right w:val="none" w:sz="0" w:space="0" w:color="auto"/>
      </w:divBdr>
    </w:div>
    <w:div w:id="335960256">
      <w:bodyDiv w:val="1"/>
      <w:marLeft w:val="0"/>
      <w:marRight w:val="0"/>
      <w:marTop w:val="0"/>
      <w:marBottom w:val="0"/>
      <w:divBdr>
        <w:top w:val="none" w:sz="0" w:space="0" w:color="auto"/>
        <w:left w:val="none" w:sz="0" w:space="0" w:color="auto"/>
        <w:bottom w:val="none" w:sz="0" w:space="0" w:color="auto"/>
        <w:right w:val="none" w:sz="0" w:space="0" w:color="auto"/>
      </w:divBdr>
    </w:div>
    <w:div w:id="342783300">
      <w:bodyDiv w:val="1"/>
      <w:marLeft w:val="0"/>
      <w:marRight w:val="0"/>
      <w:marTop w:val="0"/>
      <w:marBottom w:val="0"/>
      <w:divBdr>
        <w:top w:val="none" w:sz="0" w:space="0" w:color="auto"/>
        <w:left w:val="none" w:sz="0" w:space="0" w:color="auto"/>
        <w:bottom w:val="none" w:sz="0" w:space="0" w:color="auto"/>
        <w:right w:val="none" w:sz="0" w:space="0" w:color="auto"/>
      </w:divBdr>
    </w:div>
    <w:div w:id="366150647">
      <w:bodyDiv w:val="1"/>
      <w:marLeft w:val="0"/>
      <w:marRight w:val="0"/>
      <w:marTop w:val="0"/>
      <w:marBottom w:val="0"/>
      <w:divBdr>
        <w:top w:val="none" w:sz="0" w:space="0" w:color="auto"/>
        <w:left w:val="none" w:sz="0" w:space="0" w:color="auto"/>
        <w:bottom w:val="none" w:sz="0" w:space="0" w:color="auto"/>
        <w:right w:val="none" w:sz="0" w:space="0" w:color="auto"/>
      </w:divBdr>
    </w:div>
    <w:div w:id="383676854">
      <w:bodyDiv w:val="1"/>
      <w:marLeft w:val="0"/>
      <w:marRight w:val="0"/>
      <w:marTop w:val="0"/>
      <w:marBottom w:val="0"/>
      <w:divBdr>
        <w:top w:val="none" w:sz="0" w:space="0" w:color="auto"/>
        <w:left w:val="none" w:sz="0" w:space="0" w:color="auto"/>
        <w:bottom w:val="none" w:sz="0" w:space="0" w:color="auto"/>
        <w:right w:val="none" w:sz="0" w:space="0" w:color="auto"/>
      </w:divBdr>
    </w:div>
    <w:div w:id="537201320">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65649230">
      <w:bodyDiv w:val="1"/>
      <w:marLeft w:val="0"/>
      <w:marRight w:val="0"/>
      <w:marTop w:val="0"/>
      <w:marBottom w:val="0"/>
      <w:divBdr>
        <w:top w:val="none" w:sz="0" w:space="0" w:color="auto"/>
        <w:left w:val="none" w:sz="0" w:space="0" w:color="auto"/>
        <w:bottom w:val="none" w:sz="0" w:space="0" w:color="auto"/>
        <w:right w:val="none" w:sz="0" w:space="0" w:color="auto"/>
      </w:divBdr>
    </w:div>
    <w:div w:id="601108252">
      <w:bodyDiv w:val="1"/>
      <w:marLeft w:val="0"/>
      <w:marRight w:val="0"/>
      <w:marTop w:val="0"/>
      <w:marBottom w:val="0"/>
      <w:divBdr>
        <w:top w:val="none" w:sz="0" w:space="0" w:color="auto"/>
        <w:left w:val="none" w:sz="0" w:space="0" w:color="auto"/>
        <w:bottom w:val="none" w:sz="0" w:space="0" w:color="auto"/>
        <w:right w:val="none" w:sz="0" w:space="0" w:color="auto"/>
      </w:divBdr>
    </w:div>
    <w:div w:id="635840326">
      <w:bodyDiv w:val="1"/>
      <w:marLeft w:val="0"/>
      <w:marRight w:val="0"/>
      <w:marTop w:val="0"/>
      <w:marBottom w:val="0"/>
      <w:divBdr>
        <w:top w:val="none" w:sz="0" w:space="0" w:color="auto"/>
        <w:left w:val="none" w:sz="0" w:space="0" w:color="auto"/>
        <w:bottom w:val="none" w:sz="0" w:space="0" w:color="auto"/>
        <w:right w:val="none" w:sz="0" w:space="0" w:color="auto"/>
      </w:divBdr>
    </w:div>
    <w:div w:id="637343856">
      <w:bodyDiv w:val="1"/>
      <w:marLeft w:val="0"/>
      <w:marRight w:val="0"/>
      <w:marTop w:val="0"/>
      <w:marBottom w:val="0"/>
      <w:divBdr>
        <w:top w:val="none" w:sz="0" w:space="0" w:color="auto"/>
        <w:left w:val="none" w:sz="0" w:space="0" w:color="auto"/>
        <w:bottom w:val="none" w:sz="0" w:space="0" w:color="auto"/>
        <w:right w:val="none" w:sz="0" w:space="0" w:color="auto"/>
      </w:divBdr>
    </w:div>
    <w:div w:id="647705908">
      <w:bodyDiv w:val="1"/>
      <w:marLeft w:val="0"/>
      <w:marRight w:val="0"/>
      <w:marTop w:val="0"/>
      <w:marBottom w:val="0"/>
      <w:divBdr>
        <w:top w:val="none" w:sz="0" w:space="0" w:color="auto"/>
        <w:left w:val="none" w:sz="0" w:space="0" w:color="auto"/>
        <w:bottom w:val="none" w:sz="0" w:space="0" w:color="auto"/>
        <w:right w:val="none" w:sz="0" w:space="0" w:color="auto"/>
      </w:divBdr>
    </w:div>
    <w:div w:id="655381656">
      <w:bodyDiv w:val="1"/>
      <w:marLeft w:val="0"/>
      <w:marRight w:val="0"/>
      <w:marTop w:val="0"/>
      <w:marBottom w:val="0"/>
      <w:divBdr>
        <w:top w:val="none" w:sz="0" w:space="0" w:color="auto"/>
        <w:left w:val="none" w:sz="0" w:space="0" w:color="auto"/>
        <w:bottom w:val="none" w:sz="0" w:space="0" w:color="auto"/>
        <w:right w:val="none" w:sz="0" w:space="0" w:color="auto"/>
      </w:divBdr>
    </w:div>
    <w:div w:id="712970439">
      <w:bodyDiv w:val="1"/>
      <w:marLeft w:val="0"/>
      <w:marRight w:val="0"/>
      <w:marTop w:val="0"/>
      <w:marBottom w:val="0"/>
      <w:divBdr>
        <w:top w:val="none" w:sz="0" w:space="0" w:color="auto"/>
        <w:left w:val="none" w:sz="0" w:space="0" w:color="auto"/>
        <w:bottom w:val="none" w:sz="0" w:space="0" w:color="auto"/>
        <w:right w:val="none" w:sz="0" w:space="0" w:color="auto"/>
      </w:divBdr>
    </w:div>
    <w:div w:id="737099307">
      <w:bodyDiv w:val="1"/>
      <w:marLeft w:val="0"/>
      <w:marRight w:val="0"/>
      <w:marTop w:val="0"/>
      <w:marBottom w:val="0"/>
      <w:divBdr>
        <w:top w:val="none" w:sz="0" w:space="0" w:color="auto"/>
        <w:left w:val="none" w:sz="0" w:space="0" w:color="auto"/>
        <w:bottom w:val="none" w:sz="0" w:space="0" w:color="auto"/>
        <w:right w:val="none" w:sz="0" w:space="0" w:color="auto"/>
      </w:divBdr>
    </w:div>
    <w:div w:id="799955469">
      <w:bodyDiv w:val="1"/>
      <w:marLeft w:val="0"/>
      <w:marRight w:val="0"/>
      <w:marTop w:val="0"/>
      <w:marBottom w:val="0"/>
      <w:divBdr>
        <w:top w:val="none" w:sz="0" w:space="0" w:color="auto"/>
        <w:left w:val="none" w:sz="0" w:space="0" w:color="auto"/>
        <w:bottom w:val="none" w:sz="0" w:space="0" w:color="auto"/>
        <w:right w:val="none" w:sz="0" w:space="0" w:color="auto"/>
      </w:divBdr>
    </w:div>
    <w:div w:id="871383482">
      <w:bodyDiv w:val="1"/>
      <w:marLeft w:val="0"/>
      <w:marRight w:val="0"/>
      <w:marTop w:val="0"/>
      <w:marBottom w:val="0"/>
      <w:divBdr>
        <w:top w:val="none" w:sz="0" w:space="0" w:color="auto"/>
        <w:left w:val="none" w:sz="0" w:space="0" w:color="auto"/>
        <w:bottom w:val="none" w:sz="0" w:space="0" w:color="auto"/>
        <w:right w:val="none" w:sz="0" w:space="0" w:color="auto"/>
      </w:divBdr>
    </w:div>
    <w:div w:id="961426128">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037777550">
      <w:bodyDiv w:val="1"/>
      <w:marLeft w:val="0"/>
      <w:marRight w:val="0"/>
      <w:marTop w:val="0"/>
      <w:marBottom w:val="0"/>
      <w:divBdr>
        <w:top w:val="none" w:sz="0" w:space="0" w:color="auto"/>
        <w:left w:val="none" w:sz="0" w:space="0" w:color="auto"/>
        <w:bottom w:val="none" w:sz="0" w:space="0" w:color="auto"/>
        <w:right w:val="none" w:sz="0" w:space="0" w:color="auto"/>
      </w:divBdr>
    </w:div>
    <w:div w:id="1107697935">
      <w:bodyDiv w:val="1"/>
      <w:marLeft w:val="0"/>
      <w:marRight w:val="0"/>
      <w:marTop w:val="0"/>
      <w:marBottom w:val="0"/>
      <w:divBdr>
        <w:top w:val="none" w:sz="0" w:space="0" w:color="auto"/>
        <w:left w:val="none" w:sz="0" w:space="0" w:color="auto"/>
        <w:bottom w:val="none" w:sz="0" w:space="0" w:color="auto"/>
        <w:right w:val="none" w:sz="0" w:space="0" w:color="auto"/>
      </w:divBdr>
    </w:div>
    <w:div w:id="1211772679">
      <w:bodyDiv w:val="1"/>
      <w:marLeft w:val="0"/>
      <w:marRight w:val="0"/>
      <w:marTop w:val="0"/>
      <w:marBottom w:val="0"/>
      <w:divBdr>
        <w:top w:val="none" w:sz="0" w:space="0" w:color="auto"/>
        <w:left w:val="none" w:sz="0" w:space="0" w:color="auto"/>
        <w:bottom w:val="none" w:sz="0" w:space="0" w:color="auto"/>
        <w:right w:val="none" w:sz="0" w:space="0" w:color="auto"/>
      </w:divBdr>
    </w:div>
    <w:div w:id="1227229980">
      <w:bodyDiv w:val="1"/>
      <w:marLeft w:val="0"/>
      <w:marRight w:val="0"/>
      <w:marTop w:val="0"/>
      <w:marBottom w:val="0"/>
      <w:divBdr>
        <w:top w:val="none" w:sz="0" w:space="0" w:color="auto"/>
        <w:left w:val="none" w:sz="0" w:space="0" w:color="auto"/>
        <w:bottom w:val="none" w:sz="0" w:space="0" w:color="auto"/>
        <w:right w:val="none" w:sz="0" w:space="0" w:color="auto"/>
      </w:divBdr>
    </w:div>
    <w:div w:id="1263998083">
      <w:bodyDiv w:val="1"/>
      <w:marLeft w:val="0"/>
      <w:marRight w:val="0"/>
      <w:marTop w:val="0"/>
      <w:marBottom w:val="0"/>
      <w:divBdr>
        <w:top w:val="none" w:sz="0" w:space="0" w:color="auto"/>
        <w:left w:val="none" w:sz="0" w:space="0" w:color="auto"/>
        <w:bottom w:val="none" w:sz="0" w:space="0" w:color="auto"/>
        <w:right w:val="none" w:sz="0" w:space="0" w:color="auto"/>
      </w:divBdr>
    </w:div>
    <w:div w:id="1277251301">
      <w:bodyDiv w:val="1"/>
      <w:marLeft w:val="0"/>
      <w:marRight w:val="0"/>
      <w:marTop w:val="0"/>
      <w:marBottom w:val="0"/>
      <w:divBdr>
        <w:top w:val="none" w:sz="0" w:space="0" w:color="auto"/>
        <w:left w:val="none" w:sz="0" w:space="0" w:color="auto"/>
        <w:bottom w:val="none" w:sz="0" w:space="0" w:color="auto"/>
        <w:right w:val="none" w:sz="0" w:space="0" w:color="auto"/>
      </w:divBdr>
    </w:div>
    <w:div w:id="1305354753">
      <w:bodyDiv w:val="1"/>
      <w:marLeft w:val="0"/>
      <w:marRight w:val="0"/>
      <w:marTop w:val="0"/>
      <w:marBottom w:val="0"/>
      <w:divBdr>
        <w:top w:val="none" w:sz="0" w:space="0" w:color="auto"/>
        <w:left w:val="none" w:sz="0" w:space="0" w:color="auto"/>
        <w:bottom w:val="none" w:sz="0" w:space="0" w:color="auto"/>
        <w:right w:val="none" w:sz="0" w:space="0" w:color="auto"/>
      </w:divBdr>
    </w:div>
    <w:div w:id="1413891873">
      <w:bodyDiv w:val="1"/>
      <w:marLeft w:val="0"/>
      <w:marRight w:val="0"/>
      <w:marTop w:val="0"/>
      <w:marBottom w:val="0"/>
      <w:divBdr>
        <w:top w:val="none" w:sz="0" w:space="0" w:color="auto"/>
        <w:left w:val="none" w:sz="0" w:space="0" w:color="auto"/>
        <w:bottom w:val="none" w:sz="0" w:space="0" w:color="auto"/>
        <w:right w:val="none" w:sz="0" w:space="0" w:color="auto"/>
      </w:divBdr>
    </w:div>
    <w:div w:id="1467548990">
      <w:bodyDiv w:val="1"/>
      <w:marLeft w:val="0"/>
      <w:marRight w:val="0"/>
      <w:marTop w:val="0"/>
      <w:marBottom w:val="0"/>
      <w:divBdr>
        <w:top w:val="none" w:sz="0" w:space="0" w:color="auto"/>
        <w:left w:val="none" w:sz="0" w:space="0" w:color="auto"/>
        <w:bottom w:val="none" w:sz="0" w:space="0" w:color="auto"/>
        <w:right w:val="none" w:sz="0" w:space="0" w:color="auto"/>
      </w:divBdr>
    </w:div>
    <w:div w:id="1472554109">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18081859">
      <w:bodyDiv w:val="1"/>
      <w:marLeft w:val="0"/>
      <w:marRight w:val="0"/>
      <w:marTop w:val="0"/>
      <w:marBottom w:val="0"/>
      <w:divBdr>
        <w:top w:val="none" w:sz="0" w:space="0" w:color="auto"/>
        <w:left w:val="none" w:sz="0" w:space="0" w:color="auto"/>
        <w:bottom w:val="none" w:sz="0" w:space="0" w:color="auto"/>
        <w:right w:val="none" w:sz="0" w:space="0" w:color="auto"/>
      </w:divBdr>
    </w:div>
    <w:div w:id="1526865143">
      <w:bodyDiv w:val="1"/>
      <w:marLeft w:val="0"/>
      <w:marRight w:val="0"/>
      <w:marTop w:val="0"/>
      <w:marBottom w:val="0"/>
      <w:divBdr>
        <w:top w:val="none" w:sz="0" w:space="0" w:color="auto"/>
        <w:left w:val="none" w:sz="0" w:space="0" w:color="auto"/>
        <w:bottom w:val="none" w:sz="0" w:space="0" w:color="auto"/>
        <w:right w:val="none" w:sz="0" w:space="0" w:color="auto"/>
      </w:divBdr>
    </w:div>
    <w:div w:id="1539198794">
      <w:bodyDiv w:val="1"/>
      <w:marLeft w:val="0"/>
      <w:marRight w:val="0"/>
      <w:marTop w:val="0"/>
      <w:marBottom w:val="0"/>
      <w:divBdr>
        <w:top w:val="none" w:sz="0" w:space="0" w:color="auto"/>
        <w:left w:val="none" w:sz="0" w:space="0" w:color="auto"/>
        <w:bottom w:val="none" w:sz="0" w:space="0" w:color="auto"/>
        <w:right w:val="none" w:sz="0" w:space="0" w:color="auto"/>
      </w:divBdr>
    </w:div>
    <w:div w:id="1562445891">
      <w:bodyDiv w:val="1"/>
      <w:marLeft w:val="0"/>
      <w:marRight w:val="0"/>
      <w:marTop w:val="0"/>
      <w:marBottom w:val="0"/>
      <w:divBdr>
        <w:top w:val="none" w:sz="0" w:space="0" w:color="auto"/>
        <w:left w:val="none" w:sz="0" w:space="0" w:color="auto"/>
        <w:bottom w:val="none" w:sz="0" w:space="0" w:color="auto"/>
        <w:right w:val="none" w:sz="0" w:space="0" w:color="auto"/>
      </w:divBdr>
    </w:div>
    <w:div w:id="1589728924">
      <w:bodyDiv w:val="1"/>
      <w:marLeft w:val="0"/>
      <w:marRight w:val="0"/>
      <w:marTop w:val="0"/>
      <w:marBottom w:val="0"/>
      <w:divBdr>
        <w:top w:val="none" w:sz="0" w:space="0" w:color="auto"/>
        <w:left w:val="none" w:sz="0" w:space="0" w:color="auto"/>
        <w:bottom w:val="none" w:sz="0" w:space="0" w:color="auto"/>
        <w:right w:val="none" w:sz="0" w:space="0" w:color="auto"/>
      </w:divBdr>
    </w:div>
    <w:div w:id="1592079758">
      <w:bodyDiv w:val="1"/>
      <w:marLeft w:val="0"/>
      <w:marRight w:val="0"/>
      <w:marTop w:val="0"/>
      <w:marBottom w:val="0"/>
      <w:divBdr>
        <w:top w:val="none" w:sz="0" w:space="0" w:color="auto"/>
        <w:left w:val="none" w:sz="0" w:space="0" w:color="auto"/>
        <w:bottom w:val="none" w:sz="0" w:space="0" w:color="auto"/>
        <w:right w:val="none" w:sz="0" w:space="0" w:color="auto"/>
      </w:divBdr>
    </w:div>
    <w:div w:id="1622611090">
      <w:bodyDiv w:val="1"/>
      <w:marLeft w:val="0"/>
      <w:marRight w:val="0"/>
      <w:marTop w:val="0"/>
      <w:marBottom w:val="0"/>
      <w:divBdr>
        <w:top w:val="none" w:sz="0" w:space="0" w:color="auto"/>
        <w:left w:val="none" w:sz="0" w:space="0" w:color="auto"/>
        <w:bottom w:val="none" w:sz="0" w:space="0" w:color="auto"/>
        <w:right w:val="none" w:sz="0" w:space="0" w:color="auto"/>
      </w:divBdr>
    </w:div>
    <w:div w:id="1636790849">
      <w:bodyDiv w:val="1"/>
      <w:marLeft w:val="0"/>
      <w:marRight w:val="0"/>
      <w:marTop w:val="0"/>
      <w:marBottom w:val="0"/>
      <w:divBdr>
        <w:top w:val="none" w:sz="0" w:space="0" w:color="auto"/>
        <w:left w:val="none" w:sz="0" w:space="0" w:color="auto"/>
        <w:bottom w:val="none" w:sz="0" w:space="0" w:color="auto"/>
        <w:right w:val="none" w:sz="0" w:space="0" w:color="auto"/>
      </w:divBdr>
    </w:div>
    <w:div w:id="1676616936">
      <w:bodyDiv w:val="1"/>
      <w:marLeft w:val="0"/>
      <w:marRight w:val="0"/>
      <w:marTop w:val="0"/>
      <w:marBottom w:val="0"/>
      <w:divBdr>
        <w:top w:val="none" w:sz="0" w:space="0" w:color="auto"/>
        <w:left w:val="none" w:sz="0" w:space="0" w:color="auto"/>
        <w:bottom w:val="none" w:sz="0" w:space="0" w:color="auto"/>
        <w:right w:val="none" w:sz="0" w:space="0" w:color="auto"/>
      </w:divBdr>
    </w:div>
    <w:div w:id="1703481952">
      <w:bodyDiv w:val="1"/>
      <w:marLeft w:val="0"/>
      <w:marRight w:val="0"/>
      <w:marTop w:val="0"/>
      <w:marBottom w:val="0"/>
      <w:divBdr>
        <w:top w:val="none" w:sz="0" w:space="0" w:color="auto"/>
        <w:left w:val="none" w:sz="0" w:space="0" w:color="auto"/>
        <w:bottom w:val="none" w:sz="0" w:space="0" w:color="auto"/>
        <w:right w:val="none" w:sz="0" w:space="0" w:color="auto"/>
      </w:divBdr>
    </w:div>
    <w:div w:id="170459318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78136446">
      <w:bodyDiv w:val="1"/>
      <w:marLeft w:val="0"/>
      <w:marRight w:val="0"/>
      <w:marTop w:val="0"/>
      <w:marBottom w:val="0"/>
      <w:divBdr>
        <w:top w:val="none" w:sz="0" w:space="0" w:color="auto"/>
        <w:left w:val="none" w:sz="0" w:space="0" w:color="auto"/>
        <w:bottom w:val="none" w:sz="0" w:space="0" w:color="auto"/>
        <w:right w:val="none" w:sz="0" w:space="0" w:color="auto"/>
      </w:divBdr>
    </w:div>
    <w:div w:id="1814372924">
      <w:bodyDiv w:val="1"/>
      <w:marLeft w:val="0"/>
      <w:marRight w:val="0"/>
      <w:marTop w:val="0"/>
      <w:marBottom w:val="0"/>
      <w:divBdr>
        <w:top w:val="none" w:sz="0" w:space="0" w:color="auto"/>
        <w:left w:val="none" w:sz="0" w:space="0" w:color="auto"/>
        <w:bottom w:val="none" w:sz="0" w:space="0" w:color="auto"/>
        <w:right w:val="none" w:sz="0" w:space="0" w:color="auto"/>
      </w:divBdr>
    </w:div>
    <w:div w:id="1814831862">
      <w:bodyDiv w:val="1"/>
      <w:marLeft w:val="0"/>
      <w:marRight w:val="0"/>
      <w:marTop w:val="0"/>
      <w:marBottom w:val="0"/>
      <w:divBdr>
        <w:top w:val="none" w:sz="0" w:space="0" w:color="auto"/>
        <w:left w:val="none" w:sz="0" w:space="0" w:color="auto"/>
        <w:bottom w:val="none" w:sz="0" w:space="0" w:color="auto"/>
        <w:right w:val="none" w:sz="0" w:space="0" w:color="auto"/>
      </w:divBdr>
    </w:div>
    <w:div w:id="1845124755">
      <w:bodyDiv w:val="1"/>
      <w:marLeft w:val="0"/>
      <w:marRight w:val="0"/>
      <w:marTop w:val="0"/>
      <w:marBottom w:val="0"/>
      <w:divBdr>
        <w:top w:val="none" w:sz="0" w:space="0" w:color="auto"/>
        <w:left w:val="none" w:sz="0" w:space="0" w:color="auto"/>
        <w:bottom w:val="none" w:sz="0" w:space="0" w:color="auto"/>
        <w:right w:val="none" w:sz="0" w:space="0" w:color="auto"/>
      </w:divBdr>
    </w:div>
    <w:div w:id="1859925346">
      <w:bodyDiv w:val="1"/>
      <w:marLeft w:val="0"/>
      <w:marRight w:val="0"/>
      <w:marTop w:val="0"/>
      <w:marBottom w:val="0"/>
      <w:divBdr>
        <w:top w:val="none" w:sz="0" w:space="0" w:color="auto"/>
        <w:left w:val="none" w:sz="0" w:space="0" w:color="auto"/>
        <w:bottom w:val="none" w:sz="0" w:space="0" w:color="auto"/>
        <w:right w:val="none" w:sz="0" w:space="0" w:color="auto"/>
      </w:divBdr>
    </w:div>
    <w:div w:id="1900431349">
      <w:bodyDiv w:val="1"/>
      <w:marLeft w:val="0"/>
      <w:marRight w:val="0"/>
      <w:marTop w:val="0"/>
      <w:marBottom w:val="0"/>
      <w:divBdr>
        <w:top w:val="none" w:sz="0" w:space="0" w:color="auto"/>
        <w:left w:val="none" w:sz="0" w:space="0" w:color="auto"/>
        <w:bottom w:val="none" w:sz="0" w:space="0" w:color="auto"/>
        <w:right w:val="none" w:sz="0" w:space="0" w:color="auto"/>
      </w:divBdr>
    </w:div>
    <w:div w:id="1956054942">
      <w:bodyDiv w:val="1"/>
      <w:marLeft w:val="0"/>
      <w:marRight w:val="0"/>
      <w:marTop w:val="0"/>
      <w:marBottom w:val="0"/>
      <w:divBdr>
        <w:top w:val="none" w:sz="0" w:space="0" w:color="auto"/>
        <w:left w:val="none" w:sz="0" w:space="0" w:color="auto"/>
        <w:bottom w:val="none" w:sz="0" w:space="0" w:color="auto"/>
        <w:right w:val="none" w:sz="0" w:space="0" w:color="auto"/>
      </w:divBdr>
    </w:div>
    <w:div w:id="1979339653">
      <w:bodyDiv w:val="1"/>
      <w:marLeft w:val="0"/>
      <w:marRight w:val="0"/>
      <w:marTop w:val="0"/>
      <w:marBottom w:val="0"/>
      <w:divBdr>
        <w:top w:val="none" w:sz="0" w:space="0" w:color="auto"/>
        <w:left w:val="none" w:sz="0" w:space="0" w:color="auto"/>
        <w:bottom w:val="none" w:sz="0" w:space="0" w:color="auto"/>
        <w:right w:val="none" w:sz="0" w:space="0" w:color="auto"/>
      </w:divBdr>
    </w:div>
    <w:div w:id="1987469180">
      <w:bodyDiv w:val="1"/>
      <w:marLeft w:val="0"/>
      <w:marRight w:val="0"/>
      <w:marTop w:val="0"/>
      <w:marBottom w:val="0"/>
      <w:divBdr>
        <w:top w:val="none" w:sz="0" w:space="0" w:color="auto"/>
        <w:left w:val="none" w:sz="0" w:space="0" w:color="auto"/>
        <w:bottom w:val="none" w:sz="0" w:space="0" w:color="auto"/>
        <w:right w:val="none" w:sz="0" w:space="0" w:color="auto"/>
      </w:divBdr>
    </w:div>
    <w:div w:id="2036345180">
      <w:bodyDiv w:val="1"/>
      <w:marLeft w:val="0"/>
      <w:marRight w:val="0"/>
      <w:marTop w:val="0"/>
      <w:marBottom w:val="0"/>
      <w:divBdr>
        <w:top w:val="none" w:sz="0" w:space="0" w:color="auto"/>
        <w:left w:val="none" w:sz="0" w:space="0" w:color="auto"/>
        <w:bottom w:val="none" w:sz="0" w:space="0" w:color="auto"/>
        <w:right w:val="none" w:sz="0" w:space="0" w:color="auto"/>
      </w:divBdr>
    </w:div>
    <w:div w:id="2066296742">
      <w:bodyDiv w:val="1"/>
      <w:marLeft w:val="0"/>
      <w:marRight w:val="0"/>
      <w:marTop w:val="0"/>
      <w:marBottom w:val="0"/>
      <w:divBdr>
        <w:top w:val="none" w:sz="0" w:space="0" w:color="auto"/>
        <w:left w:val="none" w:sz="0" w:space="0" w:color="auto"/>
        <w:bottom w:val="none" w:sz="0" w:space="0" w:color="auto"/>
        <w:right w:val="none" w:sz="0" w:space="0" w:color="auto"/>
      </w:divBdr>
    </w:div>
    <w:div w:id="21239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5.xml"/><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secretary@cgc.gov.au" TargetMode="External"/><Relationship Id="rId17" Type="http://schemas.openxmlformats.org/officeDocument/2006/relationships/footer" Target="footer4.xml"/><Relationship Id="rId25" Type="http://schemas.microsoft.com/office/2011/relationships/commentsExtended" Target="commentsExtended.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thleen.morris@cgc.gov.a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creativecommons.org/licenses/by/3.0" TargetMode="External"/><Relationship Id="rId22" Type="http://schemas.openxmlformats.org/officeDocument/2006/relationships/fontTable" Target="fontTable.xml"/><Relationship Id="rId27"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www.austroads.com.au/road-operations/asset-management/road-data-harmonisation-proj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10432</Words>
  <Characters>57897</Characters>
  <Application>Microsoft Office Word</Application>
  <DocSecurity>0</DocSecurity>
  <Lines>482</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2018-04-18T04:33:00Z</dcterms:created>
  <dcterms:modified xsi:type="dcterms:W3CDTF">2018-04-20T01:07:00Z</dcterms:modified>
</cp:coreProperties>
</file>