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8B1" w:rsidRPr="00970E6D" w:rsidRDefault="001B68B1" w:rsidP="00FE6DA3">
      <w:pPr>
        <w:tabs>
          <w:tab w:val="clear" w:pos="567"/>
        </w:tabs>
        <w:jc w:val="center"/>
      </w:pPr>
      <w:bookmarkStart w:id="0" w:name="_Toc106707122"/>
      <w:bookmarkStart w:id="1" w:name="_Toc155675722"/>
      <w:bookmarkStart w:id="2" w:name="_Toc155675934"/>
      <w:bookmarkStart w:id="3" w:name="_Toc155675975"/>
      <w:bookmarkStart w:id="4" w:name="_Toc155676245"/>
      <w:bookmarkStart w:id="5" w:name="_Toc174415768"/>
      <w:bookmarkStart w:id="6" w:name="_Toc106707725"/>
      <w:bookmarkStart w:id="7" w:name="_Toc155675935"/>
      <w:bookmarkStart w:id="8" w:name="_Toc174415770"/>
      <w:bookmarkStart w:id="9" w:name="_Toc174415844"/>
      <w:bookmarkStart w:id="10" w:name="_Toc174415935"/>
      <w:bookmarkStart w:id="11" w:name="_Toc174416620"/>
      <w:bookmarkStart w:id="12" w:name="_Toc174416662"/>
      <w:bookmarkStart w:id="13" w:name="_Toc174416675"/>
      <w:bookmarkStart w:id="14" w:name="_GoBack"/>
      <w:bookmarkEnd w:id="14"/>
      <w:r w:rsidRPr="00970E6D">
        <w:rPr>
          <w:noProof/>
          <w:lang w:eastAsia="en-AU"/>
        </w:rPr>
        <w:drawing>
          <wp:inline distT="0" distB="0" distL="0" distR="0" wp14:anchorId="29C3E5BB" wp14:editId="5B50FEDD">
            <wp:extent cx="2933700" cy="1524600"/>
            <wp:effectExtent l="19050" t="0" r="0" b="0"/>
            <wp:docPr id="1" name="Picture 1" descr="Commonwealth Grant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GC_stackedstrip"/>
                    <pic:cNvPicPr>
                      <a:picLocks noChangeAspect="1" noChangeArrowheads="1"/>
                    </pic:cNvPicPr>
                  </pic:nvPicPr>
                  <pic:blipFill>
                    <a:blip r:embed="rId7" cstate="print"/>
                    <a:srcRect/>
                    <a:stretch>
                      <a:fillRect/>
                    </a:stretch>
                  </pic:blipFill>
                  <pic:spPr bwMode="auto">
                    <a:xfrm>
                      <a:off x="0" y="0"/>
                      <a:ext cx="2933700" cy="1524600"/>
                    </a:xfrm>
                    <a:prstGeom prst="rect">
                      <a:avLst/>
                    </a:prstGeom>
                    <a:noFill/>
                    <a:ln w="9525">
                      <a:noFill/>
                      <a:miter lim="800000"/>
                      <a:headEnd/>
                      <a:tailEnd/>
                    </a:ln>
                  </pic:spPr>
                </pic:pic>
              </a:graphicData>
            </a:graphic>
          </wp:inline>
        </w:drawing>
      </w:r>
    </w:p>
    <w:p w:rsidR="001B68B1" w:rsidRPr="00970E6D" w:rsidRDefault="001B68B1" w:rsidP="001B68B1">
      <w:pPr>
        <w:tabs>
          <w:tab w:val="clear" w:pos="567"/>
        </w:tabs>
        <w:jc w:val="center"/>
        <w:rPr>
          <w:b/>
          <w:sz w:val="40"/>
          <w:szCs w:val="40"/>
        </w:rPr>
      </w:pPr>
    </w:p>
    <w:p w:rsidR="001B68B1" w:rsidRPr="00970E6D" w:rsidRDefault="001B68B1" w:rsidP="001B68B1">
      <w:pPr>
        <w:tabs>
          <w:tab w:val="clear" w:pos="567"/>
        </w:tabs>
        <w:jc w:val="center"/>
        <w:rPr>
          <w:b/>
          <w:sz w:val="40"/>
          <w:szCs w:val="40"/>
        </w:rPr>
      </w:pPr>
    </w:p>
    <w:p w:rsidR="001B68B1" w:rsidRPr="00970E6D" w:rsidRDefault="001B68B1" w:rsidP="001B68B1">
      <w:pPr>
        <w:tabs>
          <w:tab w:val="clear" w:pos="567"/>
        </w:tabs>
        <w:jc w:val="center"/>
        <w:rPr>
          <w:b/>
          <w:sz w:val="40"/>
          <w:szCs w:val="40"/>
        </w:rPr>
      </w:pPr>
      <w:r w:rsidRPr="00970E6D">
        <w:rPr>
          <w:b/>
          <w:sz w:val="40"/>
          <w:szCs w:val="40"/>
        </w:rPr>
        <w:t>20</w:t>
      </w:r>
      <w:r>
        <w:rPr>
          <w:b/>
          <w:sz w:val="40"/>
          <w:szCs w:val="40"/>
        </w:rPr>
        <w:t>20</w:t>
      </w:r>
      <w:r w:rsidRPr="00970E6D">
        <w:rPr>
          <w:b/>
          <w:sz w:val="40"/>
          <w:szCs w:val="40"/>
        </w:rPr>
        <w:t xml:space="preserve"> REVIEW</w:t>
      </w:r>
    </w:p>
    <w:p w:rsidR="001B68B1" w:rsidRPr="00970E6D" w:rsidRDefault="001B68B1" w:rsidP="001B68B1">
      <w:pPr>
        <w:tabs>
          <w:tab w:val="clear" w:pos="567"/>
        </w:tabs>
        <w:jc w:val="center"/>
        <w:rPr>
          <w:b/>
          <w:sz w:val="40"/>
          <w:szCs w:val="40"/>
        </w:rPr>
      </w:pPr>
    </w:p>
    <w:p w:rsidR="001B68B1" w:rsidRPr="00970E6D" w:rsidRDefault="001B68B1" w:rsidP="001B68B1">
      <w:pPr>
        <w:tabs>
          <w:tab w:val="clear" w:pos="567"/>
        </w:tabs>
        <w:jc w:val="center"/>
        <w:rPr>
          <w:b/>
          <w:sz w:val="40"/>
          <w:szCs w:val="40"/>
        </w:rPr>
      </w:pPr>
    </w:p>
    <w:p w:rsidR="001B68B1" w:rsidRPr="00970E6D" w:rsidRDefault="001B68B1" w:rsidP="001B68B1">
      <w:pPr>
        <w:tabs>
          <w:tab w:val="clear" w:pos="567"/>
        </w:tabs>
        <w:jc w:val="center"/>
        <w:rPr>
          <w:b/>
          <w:sz w:val="40"/>
          <w:szCs w:val="40"/>
        </w:rPr>
      </w:pPr>
    </w:p>
    <w:p w:rsidR="001B68B1" w:rsidRPr="00970E6D" w:rsidRDefault="001B68B1" w:rsidP="001B68B1">
      <w:pPr>
        <w:tabs>
          <w:tab w:val="clear" w:pos="567"/>
        </w:tabs>
        <w:jc w:val="center"/>
        <w:rPr>
          <w:b/>
          <w:sz w:val="40"/>
          <w:szCs w:val="40"/>
        </w:rPr>
      </w:pPr>
    </w:p>
    <w:p w:rsidR="001B68B1" w:rsidRPr="00970E6D" w:rsidRDefault="00D00216" w:rsidP="001B68B1">
      <w:pPr>
        <w:tabs>
          <w:tab w:val="clear" w:pos="567"/>
        </w:tabs>
        <w:jc w:val="center"/>
        <w:rPr>
          <w:bCs/>
          <w:sz w:val="40"/>
          <w:szCs w:val="40"/>
        </w:rPr>
      </w:pPr>
      <w:r>
        <w:rPr>
          <w:b/>
          <w:sz w:val="40"/>
          <w:szCs w:val="40"/>
        </w:rPr>
        <w:t>TRANSPORT</w:t>
      </w:r>
    </w:p>
    <w:p w:rsidR="001B68B1" w:rsidRPr="00970E6D" w:rsidRDefault="001B68B1" w:rsidP="001B68B1">
      <w:pPr>
        <w:tabs>
          <w:tab w:val="clear" w:pos="567"/>
        </w:tabs>
        <w:jc w:val="center"/>
        <w:rPr>
          <w:b/>
          <w:sz w:val="40"/>
          <w:szCs w:val="40"/>
        </w:rPr>
      </w:pPr>
    </w:p>
    <w:p w:rsidR="001B68B1" w:rsidRPr="00970E6D" w:rsidRDefault="001B68B1" w:rsidP="001B68B1">
      <w:pPr>
        <w:tabs>
          <w:tab w:val="clear" w:pos="567"/>
        </w:tabs>
        <w:jc w:val="center"/>
        <w:rPr>
          <w:b/>
          <w:sz w:val="40"/>
          <w:szCs w:val="40"/>
        </w:rPr>
      </w:pPr>
    </w:p>
    <w:p w:rsidR="001B68B1" w:rsidRPr="00970E6D" w:rsidRDefault="001B68B1" w:rsidP="001B68B1">
      <w:pPr>
        <w:tabs>
          <w:tab w:val="clear" w:pos="567"/>
        </w:tabs>
        <w:jc w:val="center"/>
        <w:rPr>
          <w:b/>
          <w:sz w:val="40"/>
          <w:szCs w:val="40"/>
        </w:rPr>
      </w:pPr>
    </w:p>
    <w:p w:rsidR="001B68B1" w:rsidRPr="00970E6D" w:rsidRDefault="001B68B1" w:rsidP="001B68B1">
      <w:pPr>
        <w:tabs>
          <w:tab w:val="clear" w:pos="567"/>
        </w:tabs>
        <w:jc w:val="center"/>
        <w:rPr>
          <w:b/>
          <w:sz w:val="40"/>
          <w:szCs w:val="40"/>
        </w:rPr>
      </w:pPr>
    </w:p>
    <w:p w:rsidR="001B68B1" w:rsidRPr="00970E6D" w:rsidRDefault="003945AB" w:rsidP="001B68B1">
      <w:pPr>
        <w:tabs>
          <w:tab w:val="clear" w:pos="567"/>
        </w:tabs>
        <w:jc w:val="center"/>
        <w:rPr>
          <w:b/>
          <w:sz w:val="40"/>
          <w:szCs w:val="40"/>
        </w:rPr>
      </w:pPr>
      <w:r>
        <w:rPr>
          <w:b/>
          <w:sz w:val="40"/>
          <w:szCs w:val="40"/>
        </w:rPr>
        <w:t xml:space="preserve">STAFF </w:t>
      </w:r>
      <w:r w:rsidR="001B68B1">
        <w:rPr>
          <w:b/>
          <w:sz w:val="40"/>
          <w:szCs w:val="40"/>
        </w:rPr>
        <w:t>DRAFT ASSESSMENT PAPER</w:t>
      </w:r>
      <w:r w:rsidR="001B68B1">
        <w:rPr>
          <w:b/>
          <w:sz w:val="40"/>
          <w:szCs w:val="40"/>
        </w:rPr>
        <w:br/>
        <w:t>CGC 20</w:t>
      </w:r>
      <w:r w:rsidR="001B68B1" w:rsidRPr="00970E6D">
        <w:rPr>
          <w:b/>
          <w:sz w:val="40"/>
          <w:szCs w:val="40"/>
        </w:rPr>
        <w:t>1</w:t>
      </w:r>
      <w:r w:rsidR="001B68B1">
        <w:rPr>
          <w:b/>
          <w:sz w:val="40"/>
          <w:szCs w:val="40"/>
        </w:rPr>
        <w:t>8</w:t>
      </w:r>
      <w:r w:rsidR="001B68B1" w:rsidRPr="00970E6D">
        <w:rPr>
          <w:b/>
          <w:sz w:val="40"/>
          <w:szCs w:val="40"/>
        </w:rPr>
        <w:t>-</w:t>
      </w:r>
      <w:r w:rsidR="005D782A">
        <w:rPr>
          <w:b/>
          <w:sz w:val="40"/>
          <w:szCs w:val="40"/>
        </w:rPr>
        <w:t>01/</w:t>
      </w:r>
      <w:r w:rsidR="002F2B64">
        <w:rPr>
          <w:b/>
          <w:sz w:val="40"/>
          <w:szCs w:val="40"/>
        </w:rPr>
        <w:t>1</w:t>
      </w:r>
      <w:r w:rsidR="00B07DBC">
        <w:rPr>
          <w:b/>
          <w:sz w:val="40"/>
          <w:szCs w:val="40"/>
        </w:rPr>
        <w:t>8</w:t>
      </w:r>
      <w:r w:rsidR="001B68B1">
        <w:rPr>
          <w:b/>
          <w:sz w:val="40"/>
          <w:szCs w:val="40"/>
        </w:rPr>
        <w:t>-S</w:t>
      </w:r>
    </w:p>
    <w:p w:rsidR="001B68B1" w:rsidRPr="00970E6D" w:rsidRDefault="001B68B1" w:rsidP="001B68B1">
      <w:pPr>
        <w:tabs>
          <w:tab w:val="clear" w:pos="567"/>
        </w:tabs>
        <w:jc w:val="center"/>
        <w:rPr>
          <w:b/>
          <w:sz w:val="40"/>
          <w:szCs w:val="40"/>
        </w:rPr>
      </w:pPr>
    </w:p>
    <w:p w:rsidR="001B68B1" w:rsidRPr="00970E6D" w:rsidRDefault="001B68B1" w:rsidP="001B68B1">
      <w:pPr>
        <w:tabs>
          <w:tab w:val="clear" w:pos="567"/>
        </w:tabs>
        <w:jc w:val="center"/>
        <w:rPr>
          <w:b/>
          <w:sz w:val="40"/>
          <w:szCs w:val="40"/>
        </w:rPr>
      </w:pPr>
    </w:p>
    <w:p w:rsidR="001B68B1" w:rsidRPr="00970E6D" w:rsidRDefault="001B68B1" w:rsidP="001B68B1">
      <w:pPr>
        <w:tabs>
          <w:tab w:val="clear" w:pos="567"/>
        </w:tabs>
        <w:jc w:val="center"/>
        <w:rPr>
          <w:b/>
          <w:sz w:val="40"/>
          <w:szCs w:val="40"/>
        </w:rPr>
      </w:pPr>
    </w:p>
    <w:p w:rsidR="001B68B1" w:rsidRPr="00970E6D" w:rsidRDefault="001B68B1" w:rsidP="001B68B1">
      <w:pPr>
        <w:tabs>
          <w:tab w:val="clear" w:pos="567"/>
        </w:tabs>
        <w:jc w:val="center"/>
        <w:rPr>
          <w:sz w:val="40"/>
          <w:szCs w:val="40"/>
        </w:rPr>
      </w:pPr>
    </w:p>
    <w:p w:rsidR="001B68B1" w:rsidRPr="00970E6D" w:rsidRDefault="001B68B1" w:rsidP="001B68B1">
      <w:pPr>
        <w:tabs>
          <w:tab w:val="clear" w:pos="567"/>
        </w:tabs>
        <w:jc w:val="right"/>
        <w:rPr>
          <w:b/>
          <w:sz w:val="28"/>
          <w:szCs w:val="28"/>
        </w:rPr>
      </w:pPr>
      <w:r>
        <w:rPr>
          <w:b/>
          <w:sz w:val="28"/>
          <w:szCs w:val="28"/>
        </w:rPr>
        <w:t>APRIL 2018</w:t>
      </w:r>
    </w:p>
    <w:p w:rsidR="001B68B1" w:rsidRPr="00970E6D" w:rsidRDefault="001B68B1" w:rsidP="001B68B1">
      <w:pPr>
        <w:tabs>
          <w:tab w:val="clear" w:pos="567"/>
        </w:tabs>
      </w:pPr>
    </w:p>
    <w:p w:rsidR="001B68B1" w:rsidRPr="00970E6D" w:rsidRDefault="001B68B1" w:rsidP="001B68B1">
      <w:pPr>
        <w:tabs>
          <w:tab w:val="clear" w:pos="567"/>
        </w:tabs>
        <w:sectPr w:rsidR="001B68B1" w:rsidRPr="00970E6D" w:rsidSect="00B01845">
          <w:footerReference w:type="default" r:id="rId8"/>
          <w:footerReference w:type="first" r:id="rId9"/>
          <w:pgSz w:w="11899" w:h="16838" w:code="9"/>
          <w:pgMar w:top="1701" w:right="1474" w:bottom="1701" w:left="1474" w:header="709" w:footer="709" w:gutter="0"/>
          <w:cols w:space="708"/>
          <w:titlePg/>
          <w:docGrid w:linePitch="299"/>
        </w:sectPr>
      </w:pPr>
    </w:p>
    <w:p w:rsidR="001B68B1" w:rsidRDefault="001B68B1" w:rsidP="001B68B1">
      <w:pPr>
        <w:tabs>
          <w:tab w:val="clear" w:pos="567"/>
        </w:tabs>
      </w:pPr>
    </w:p>
    <w:p w:rsidR="00774CA4" w:rsidRPr="00970E6D" w:rsidRDefault="00774CA4" w:rsidP="00774CA4">
      <w:pPr>
        <w:tabs>
          <w:tab w:val="clear" w:pos="567"/>
        </w:tabs>
      </w:pPr>
    </w:p>
    <w:tbl>
      <w:tblPr>
        <w:tblStyle w:val="TableGrid"/>
        <w:tblW w:w="5000" w:type="pct"/>
        <w:tblLook w:val="01E0" w:firstRow="1" w:lastRow="1" w:firstColumn="1" w:lastColumn="1" w:noHBand="0" w:noVBand="0"/>
      </w:tblPr>
      <w:tblGrid>
        <w:gridCol w:w="2943"/>
        <w:gridCol w:w="6224"/>
      </w:tblGrid>
      <w:tr w:rsidR="00774CA4" w:rsidRPr="00970E6D" w:rsidTr="00A26923">
        <w:tc>
          <w:tcPr>
            <w:tcW w:w="1605" w:type="pct"/>
            <w:tcBorders>
              <w:top w:val="single" w:sz="4" w:space="0" w:color="auto"/>
              <w:left w:val="single" w:sz="4" w:space="0" w:color="auto"/>
              <w:bottom w:val="single" w:sz="4" w:space="0" w:color="auto"/>
              <w:right w:val="single" w:sz="4" w:space="0" w:color="auto"/>
            </w:tcBorders>
          </w:tcPr>
          <w:p w:rsidR="00774CA4" w:rsidRPr="00970E6D" w:rsidRDefault="00774CA4" w:rsidP="00A26923">
            <w:pPr>
              <w:tabs>
                <w:tab w:val="clear" w:pos="567"/>
              </w:tabs>
            </w:pPr>
            <w:r w:rsidRPr="00970E6D">
              <w:t>Paper issued</w:t>
            </w:r>
          </w:p>
        </w:tc>
        <w:tc>
          <w:tcPr>
            <w:tcW w:w="3395" w:type="pct"/>
            <w:tcBorders>
              <w:top w:val="single" w:sz="4" w:space="0" w:color="auto"/>
              <w:left w:val="single" w:sz="4" w:space="0" w:color="auto"/>
              <w:bottom w:val="single" w:sz="4" w:space="0" w:color="auto"/>
              <w:right w:val="single" w:sz="4" w:space="0" w:color="auto"/>
            </w:tcBorders>
          </w:tcPr>
          <w:p w:rsidR="00774CA4" w:rsidRPr="00970E6D" w:rsidRDefault="00774CA4" w:rsidP="00A26923">
            <w:pPr>
              <w:tabs>
                <w:tab w:val="clear" w:pos="567"/>
              </w:tabs>
            </w:pPr>
            <w:r>
              <w:t>20 April 2018</w:t>
            </w:r>
          </w:p>
        </w:tc>
      </w:tr>
      <w:tr w:rsidR="00774CA4" w:rsidRPr="00970E6D" w:rsidTr="00A26923">
        <w:tc>
          <w:tcPr>
            <w:tcW w:w="1605" w:type="pct"/>
            <w:tcBorders>
              <w:top w:val="single" w:sz="4" w:space="0" w:color="auto"/>
              <w:left w:val="single" w:sz="4" w:space="0" w:color="auto"/>
              <w:bottom w:val="single" w:sz="4" w:space="0" w:color="auto"/>
              <w:right w:val="single" w:sz="4" w:space="0" w:color="auto"/>
            </w:tcBorders>
          </w:tcPr>
          <w:p w:rsidR="00774CA4" w:rsidRPr="00970E6D" w:rsidRDefault="00774CA4" w:rsidP="00A26923">
            <w:pPr>
              <w:tabs>
                <w:tab w:val="clear" w:pos="567"/>
              </w:tabs>
            </w:pPr>
            <w:r w:rsidRPr="00970E6D">
              <w:t>Commission contact officer</w:t>
            </w:r>
          </w:p>
        </w:tc>
        <w:tc>
          <w:tcPr>
            <w:tcW w:w="3395" w:type="pct"/>
            <w:tcBorders>
              <w:top w:val="single" w:sz="4" w:space="0" w:color="auto"/>
              <w:left w:val="single" w:sz="4" w:space="0" w:color="auto"/>
              <w:bottom w:val="single" w:sz="4" w:space="0" w:color="auto"/>
              <w:right w:val="single" w:sz="4" w:space="0" w:color="auto"/>
            </w:tcBorders>
          </w:tcPr>
          <w:p w:rsidR="00774CA4" w:rsidRPr="00970E6D" w:rsidRDefault="00774CA4" w:rsidP="00774CA4">
            <w:pPr>
              <w:tabs>
                <w:tab w:val="clear" w:pos="567"/>
              </w:tabs>
            </w:pPr>
            <w:r>
              <w:t>Kathryn Conroy</w:t>
            </w:r>
            <w:r w:rsidRPr="00970E6D">
              <w:t xml:space="preserve">, </w:t>
            </w:r>
            <w:r w:rsidRPr="00774CA4">
              <w:t>02 6229 8848</w:t>
            </w:r>
            <w:r w:rsidRPr="00970E6D">
              <w:t xml:space="preserve">, </w:t>
            </w:r>
            <w:r>
              <w:t>K</w:t>
            </w:r>
            <w:r w:rsidRPr="00774CA4">
              <w:t>athryn.</w:t>
            </w:r>
            <w:r>
              <w:t>C</w:t>
            </w:r>
            <w:r w:rsidRPr="00774CA4">
              <w:t>onroy@cgc.gov.au</w:t>
            </w:r>
          </w:p>
        </w:tc>
      </w:tr>
      <w:tr w:rsidR="00774CA4" w:rsidRPr="00970E6D" w:rsidTr="00A26923">
        <w:tc>
          <w:tcPr>
            <w:tcW w:w="1605" w:type="pct"/>
            <w:tcBorders>
              <w:top w:val="single" w:sz="4" w:space="0" w:color="auto"/>
              <w:left w:val="single" w:sz="4" w:space="0" w:color="auto"/>
              <w:bottom w:val="single" w:sz="4" w:space="0" w:color="auto"/>
              <w:right w:val="single" w:sz="4" w:space="0" w:color="auto"/>
            </w:tcBorders>
          </w:tcPr>
          <w:p w:rsidR="00774CA4" w:rsidRPr="00970E6D" w:rsidRDefault="00774CA4" w:rsidP="00A26923">
            <w:pPr>
              <w:tabs>
                <w:tab w:val="clear" w:pos="567"/>
              </w:tabs>
            </w:pPr>
            <w:r w:rsidRPr="00970E6D">
              <w:t>Submissions sought by</w:t>
            </w:r>
          </w:p>
        </w:tc>
        <w:tc>
          <w:tcPr>
            <w:tcW w:w="3395" w:type="pct"/>
            <w:tcBorders>
              <w:top w:val="single" w:sz="4" w:space="0" w:color="auto"/>
              <w:left w:val="single" w:sz="4" w:space="0" w:color="auto"/>
              <w:bottom w:val="single" w:sz="4" w:space="0" w:color="auto"/>
              <w:right w:val="single" w:sz="4" w:space="0" w:color="auto"/>
            </w:tcBorders>
          </w:tcPr>
          <w:p w:rsidR="00774CA4" w:rsidRDefault="00774CA4" w:rsidP="00A26923">
            <w:pPr>
              <w:tabs>
                <w:tab w:val="clear" w:pos="567"/>
              </w:tabs>
            </w:pPr>
            <w:r>
              <w:t>31 August 2018</w:t>
            </w:r>
          </w:p>
          <w:p w:rsidR="00774CA4" w:rsidRPr="00970E6D" w:rsidRDefault="00774CA4" w:rsidP="00A26923">
            <w:pPr>
              <w:tabs>
                <w:tab w:val="clear" w:pos="567"/>
              </w:tabs>
            </w:pPr>
            <w:r w:rsidRPr="00970E6D">
              <w:t xml:space="preserve">Submissions should be emailed in Word format to </w:t>
            </w:r>
            <w:hyperlink r:id="rId10" w:history="1">
              <w:r w:rsidRPr="00970E6D">
                <w:rPr>
                  <w:rStyle w:val="Hyperlink"/>
                </w:rPr>
                <w:t>secretary@cgc.gov.au</w:t>
              </w:r>
            </w:hyperlink>
            <w:r w:rsidRPr="00970E6D">
              <w:t xml:space="preserve"> .</w:t>
            </w:r>
          </w:p>
          <w:p w:rsidR="00774CA4" w:rsidRPr="00970E6D" w:rsidRDefault="00774CA4" w:rsidP="00A26923">
            <w:pPr>
              <w:tabs>
                <w:tab w:val="clear" w:pos="567"/>
              </w:tabs>
            </w:pPr>
            <w:r w:rsidRPr="00970E6D">
              <w:t xml:space="preserve">Submissions of more than </w:t>
            </w:r>
            <w:r>
              <w:t>10</w:t>
            </w:r>
            <w:r w:rsidRPr="00970E6D">
              <w:t xml:space="preserve"> pages in length should include a summary section.</w:t>
            </w:r>
          </w:p>
        </w:tc>
      </w:tr>
      <w:tr w:rsidR="00774CA4" w:rsidRPr="00970E6D" w:rsidTr="00A26923">
        <w:tc>
          <w:tcPr>
            <w:tcW w:w="1605" w:type="pct"/>
            <w:tcBorders>
              <w:top w:val="single" w:sz="4" w:space="0" w:color="auto"/>
              <w:left w:val="single" w:sz="4" w:space="0" w:color="auto"/>
              <w:bottom w:val="single" w:sz="4" w:space="0" w:color="auto"/>
              <w:right w:val="single" w:sz="4" w:space="0" w:color="auto"/>
            </w:tcBorders>
          </w:tcPr>
          <w:p w:rsidR="00774CA4" w:rsidRPr="00970E6D" w:rsidRDefault="00774CA4" w:rsidP="00A26923">
            <w:pPr>
              <w:tabs>
                <w:tab w:val="clear" w:pos="567"/>
              </w:tabs>
            </w:pPr>
            <w:r w:rsidRPr="00970E6D">
              <w:t>Confidential material</w:t>
            </w:r>
          </w:p>
        </w:tc>
        <w:tc>
          <w:tcPr>
            <w:tcW w:w="3395" w:type="pct"/>
            <w:tcBorders>
              <w:top w:val="single" w:sz="4" w:space="0" w:color="auto"/>
              <w:left w:val="single" w:sz="4" w:space="0" w:color="auto"/>
              <w:bottom w:val="single" w:sz="4" w:space="0" w:color="auto"/>
              <w:right w:val="single" w:sz="4" w:space="0" w:color="auto"/>
            </w:tcBorders>
          </w:tcPr>
          <w:p w:rsidR="00774CA4" w:rsidRPr="00CF1294" w:rsidRDefault="00774CA4" w:rsidP="00A26923">
            <w:pPr>
              <w:tabs>
                <w:tab w:val="clear" w:pos="567"/>
              </w:tabs>
            </w:pPr>
            <w:r>
              <w:t>It is the C</w:t>
            </w:r>
            <w:r w:rsidRPr="00CF1294">
              <w:t xml:space="preserve">ommission’s normal practice to make State submissions available on its website under the CC BY licence, allowing free use of content by third parties. </w:t>
            </w:r>
          </w:p>
          <w:p w:rsidR="00774CA4" w:rsidRPr="00CF1294" w:rsidRDefault="00774CA4" w:rsidP="00A26923">
            <w:pPr>
              <w:tabs>
                <w:tab w:val="clear" w:pos="567"/>
              </w:tabs>
            </w:pPr>
            <w:r w:rsidRPr="00CF1294">
              <w:rPr>
                <w:noProof/>
                <w:lang w:eastAsia="en-AU"/>
              </w:rPr>
              <w:drawing>
                <wp:inline distT="0" distB="0" distL="0" distR="0" wp14:anchorId="4D4E4C83" wp14:editId="4FDA0A77">
                  <wp:extent cx="828675" cy="295275"/>
                  <wp:effectExtent l="19050" t="0" r="9525" b="0"/>
                  <wp:docPr id="4" name="Picture 1" descr="Creative Commons - CC BY At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 Attribution"/>
                          <pic:cNvPicPr>
                            <a:picLocks noChangeAspect="1" noChangeArrowheads="1"/>
                          </pic:cNvPicPr>
                        </pic:nvPicPr>
                        <pic:blipFill>
                          <a:blip r:embed="rId11"/>
                          <a:srcRect/>
                          <a:stretch>
                            <a:fillRect/>
                          </a:stretch>
                        </pic:blipFill>
                        <pic:spPr bwMode="auto">
                          <a:xfrm>
                            <a:off x="0" y="0"/>
                            <a:ext cx="828675" cy="295275"/>
                          </a:xfrm>
                          <a:prstGeom prst="rect">
                            <a:avLst/>
                          </a:prstGeom>
                          <a:noFill/>
                          <a:ln w="9525">
                            <a:noFill/>
                            <a:miter lim="800000"/>
                            <a:headEnd/>
                            <a:tailEnd/>
                          </a:ln>
                        </pic:spPr>
                      </pic:pic>
                    </a:graphicData>
                  </a:graphic>
                </wp:inline>
              </w:drawing>
            </w:r>
          </w:p>
          <w:p w:rsidR="00774CA4" w:rsidRPr="00CF1294" w:rsidRDefault="00774CA4" w:rsidP="00A26923">
            <w:pPr>
              <w:tabs>
                <w:tab w:val="clear" w:pos="567"/>
              </w:tabs>
            </w:pPr>
            <w:r w:rsidRPr="00CF1294">
              <w:t xml:space="preserve">Further information on the CC BY licence can be found </w:t>
            </w:r>
            <w:r w:rsidRPr="00EC79CF">
              <w:t xml:space="preserve">on the </w:t>
            </w:r>
            <w:hyperlink r:id="rId12" w:history="1">
              <w:r w:rsidRPr="00841145">
                <w:rPr>
                  <w:rStyle w:val="Hyperlink"/>
                </w:rPr>
                <w:t>Creative Commons website</w:t>
              </w:r>
            </w:hyperlink>
            <w:r w:rsidRPr="00EC79CF">
              <w:t xml:space="preserve"> </w:t>
            </w:r>
            <w:r>
              <w:t>(</w:t>
            </w:r>
            <w:r w:rsidRPr="00841145">
              <w:t>http://creativecommons.org</w:t>
            </w:r>
            <w:r>
              <w:t>).</w:t>
            </w:r>
            <w:r w:rsidRPr="00CF1294">
              <w:t xml:space="preserve"> </w:t>
            </w:r>
          </w:p>
          <w:p w:rsidR="00774CA4" w:rsidRPr="00970E6D" w:rsidRDefault="00774CA4" w:rsidP="00A26923">
            <w:pPr>
              <w:tabs>
                <w:tab w:val="clear" w:pos="567"/>
              </w:tabs>
            </w:pPr>
            <w:r w:rsidRPr="00CF1294">
              <w:t>Confidential material contained in submissions must be clearly identified or included in separate attachment/s, and details provided in the covering email. Identified confidential materia</w:t>
            </w:r>
            <w:r>
              <w:t>l will not be published on the C</w:t>
            </w:r>
            <w:r w:rsidRPr="00CF1294">
              <w:t>ommission’s website.</w:t>
            </w:r>
          </w:p>
        </w:tc>
      </w:tr>
    </w:tbl>
    <w:p w:rsidR="00774CA4" w:rsidRPr="00970E6D" w:rsidRDefault="00774CA4" w:rsidP="001B68B1">
      <w:pPr>
        <w:tabs>
          <w:tab w:val="clear" w:pos="567"/>
        </w:tabs>
        <w:sectPr w:rsidR="00774CA4" w:rsidRPr="00970E6D" w:rsidSect="00B01845">
          <w:headerReference w:type="first" r:id="rId13"/>
          <w:footerReference w:type="first" r:id="rId14"/>
          <w:pgSz w:w="11899" w:h="16838" w:code="9"/>
          <w:pgMar w:top="1701" w:right="1474" w:bottom="1701" w:left="1474" w:header="709" w:footer="709" w:gutter="0"/>
          <w:cols w:space="708"/>
          <w:vAlign w:val="bottom"/>
          <w:titlePg/>
          <w:docGrid w:linePitch="299"/>
        </w:sectPr>
      </w:pPr>
    </w:p>
    <w:p w:rsidR="001B68B1" w:rsidRPr="00970E6D" w:rsidRDefault="001B68B1" w:rsidP="001B68B1">
      <w:pPr>
        <w:pStyle w:val="Heading1"/>
      </w:pPr>
      <w:r w:rsidRPr="00970E6D">
        <w:lastRenderedPageBreak/>
        <w:t>C</w:t>
      </w:r>
      <w:bookmarkEnd w:id="0"/>
      <w:bookmarkEnd w:id="1"/>
      <w:bookmarkEnd w:id="2"/>
      <w:bookmarkEnd w:id="3"/>
      <w:bookmarkEnd w:id="4"/>
      <w:bookmarkEnd w:id="5"/>
      <w:r>
        <w:t>ontents</w:t>
      </w:r>
    </w:p>
    <w:p w:rsidR="00E36A55" w:rsidRDefault="00E36A55" w:rsidP="00E36A55">
      <w:pPr>
        <w:pStyle w:val="TOC1"/>
        <w:rPr>
          <w:rFonts w:eastAsiaTheme="minorEastAsia"/>
          <w:b w:val="0"/>
          <w:bCs w:val="0"/>
          <w:caps w:val="0"/>
          <w:noProof/>
          <w:sz w:val="22"/>
          <w:szCs w:val="22"/>
          <w:lang w:eastAsia="en-AU"/>
        </w:rPr>
      </w:pPr>
      <w:r>
        <w:fldChar w:fldCharType="begin"/>
      </w:r>
      <w:r>
        <w:instrText xml:space="preserve"> TOC \f \h \z \u \t "Heading 2,1,Heading 3,1,Heading 4,3" </w:instrText>
      </w:r>
      <w:r>
        <w:fldChar w:fldCharType="separate"/>
      </w:r>
      <w:hyperlink w:anchor="_Toc511383922" w:history="1">
        <w:r w:rsidRPr="00A6532C">
          <w:rPr>
            <w:rStyle w:val="Hyperlink"/>
            <w:noProof/>
          </w:rPr>
          <w:t>TRANSPORT</w:t>
        </w:r>
        <w:r>
          <w:rPr>
            <w:noProof/>
            <w:webHidden/>
          </w:rPr>
          <w:tab/>
        </w:r>
        <w:r>
          <w:rPr>
            <w:noProof/>
            <w:webHidden/>
          </w:rPr>
          <w:fldChar w:fldCharType="begin"/>
        </w:r>
        <w:r>
          <w:rPr>
            <w:noProof/>
            <w:webHidden/>
          </w:rPr>
          <w:instrText xml:space="preserve"> PAGEREF _Toc511383922 \h </w:instrText>
        </w:r>
        <w:r>
          <w:rPr>
            <w:noProof/>
            <w:webHidden/>
          </w:rPr>
        </w:r>
        <w:r>
          <w:rPr>
            <w:noProof/>
            <w:webHidden/>
          </w:rPr>
          <w:fldChar w:fldCharType="separate"/>
        </w:r>
        <w:r>
          <w:rPr>
            <w:noProof/>
            <w:webHidden/>
          </w:rPr>
          <w:t>1</w:t>
        </w:r>
        <w:r>
          <w:rPr>
            <w:noProof/>
            <w:webHidden/>
          </w:rPr>
          <w:fldChar w:fldCharType="end"/>
        </w:r>
      </w:hyperlink>
    </w:p>
    <w:p w:rsidR="00E36A55" w:rsidRDefault="00654065" w:rsidP="00E36A55">
      <w:pPr>
        <w:pStyle w:val="TOC1"/>
        <w:rPr>
          <w:rFonts w:eastAsiaTheme="minorEastAsia"/>
          <w:b w:val="0"/>
          <w:bCs w:val="0"/>
          <w:caps w:val="0"/>
          <w:noProof/>
          <w:sz w:val="22"/>
          <w:szCs w:val="22"/>
          <w:lang w:eastAsia="en-AU"/>
        </w:rPr>
      </w:pPr>
      <w:hyperlink w:anchor="_Toc511383923" w:history="1">
        <w:r w:rsidR="00E36A55" w:rsidRPr="00A6532C">
          <w:rPr>
            <w:rStyle w:val="Hyperlink"/>
            <w:noProof/>
          </w:rPr>
          <w:t>2015 REVIEW APPROACH</w:t>
        </w:r>
        <w:r w:rsidR="00E36A55">
          <w:rPr>
            <w:noProof/>
            <w:webHidden/>
          </w:rPr>
          <w:tab/>
        </w:r>
        <w:r w:rsidR="00E36A55">
          <w:rPr>
            <w:noProof/>
            <w:webHidden/>
          </w:rPr>
          <w:fldChar w:fldCharType="begin"/>
        </w:r>
        <w:r w:rsidR="00E36A55">
          <w:rPr>
            <w:noProof/>
            <w:webHidden/>
          </w:rPr>
          <w:instrText xml:space="preserve"> PAGEREF _Toc511383923 \h </w:instrText>
        </w:r>
        <w:r w:rsidR="00E36A55">
          <w:rPr>
            <w:noProof/>
            <w:webHidden/>
          </w:rPr>
        </w:r>
        <w:r w:rsidR="00E36A55">
          <w:rPr>
            <w:noProof/>
            <w:webHidden/>
          </w:rPr>
          <w:fldChar w:fldCharType="separate"/>
        </w:r>
        <w:r w:rsidR="00E36A55">
          <w:rPr>
            <w:noProof/>
            <w:webHidden/>
          </w:rPr>
          <w:t>1</w:t>
        </w:r>
        <w:r w:rsidR="00E36A55">
          <w:rPr>
            <w:noProof/>
            <w:webHidden/>
          </w:rPr>
          <w:fldChar w:fldCharType="end"/>
        </w:r>
      </w:hyperlink>
    </w:p>
    <w:p w:rsidR="00E36A55" w:rsidRDefault="00654065" w:rsidP="00E36A55">
      <w:pPr>
        <w:pStyle w:val="TOC3"/>
        <w:rPr>
          <w:rFonts w:eastAsiaTheme="minorEastAsia"/>
          <w:iCs w:val="0"/>
          <w:noProof/>
          <w:sz w:val="22"/>
          <w:lang w:eastAsia="en-AU"/>
        </w:rPr>
      </w:pPr>
      <w:hyperlink w:anchor="_Toc511383924" w:history="1">
        <w:r w:rsidR="00E36A55" w:rsidRPr="00A6532C">
          <w:rPr>
            <w:rStyle w:val="Hyperlink"/>
            <w:noProof/>
          </w:rPr>
          <w:t>Services included in this category</w:t>
        </w:r>
        <w:r w:rsidR="00E36A55">
          <w:rPr>
            <w:noProof/>
            <w:webHidden/>
          </w:rPr>
          <w:tab/>
        </w:r>
        <w:r w:rsidR="00E36A55">
          <w:rPr>
            <w:noProof/>
            <w:webHidden/>
          </w:rPr>
          <w:fldChar w:fldCharType="begin"/>
        </w:r>
        <w:r w:rsidR="00E36A55">
          <w:rPr>
            <w:noProof/>
            <w:webHidden/>
          </w:rPr>
          <w:instrText xml:space="preserve"> PAGEREF _Toc511383924 \h </w:instrText>
        </w:r>
        <w:r w:rsidR="00E36A55">
          <w:rPr>
            <w:noProof/>
            <w:webHidden/>
          </w:rPr>
        </w:r>
        <w:r w:rsidR="00E36A55">
          <w:rPr>
            <w:noProof/>
            <w:webHidden/>
          </w:rPr>
          <w:fldChar w:fldCharType="separate"/>
        </w:r>
        <w:r w:rsidR="00E36A55">
          <w:rPr>
            <w:noProof/>
            <w:webHidden/>
          </w:rPr>
          <w:t>1</w:t>
        </w:r>
        <w:r w:rsidR="00E36A55">
          <w:rPr>
            <w:noProof/>
            <w:webHidden/>
          </w:rPr>
          <w:fldChar w:fldCharType="end"/>
        </w:r>
      </w:hyperlink>
    </w:p>
    <w:p w:rsidR="00E36A55" w:rsidRDefault="00654065" w:rsidP="00E36A55">
      <w:pPr>
        <w:pStyle w:val="TOC3"/>
        <w:rPr>
          <w:rFonts w:eastAsiaTheme="minorEastAsia"/>
          <w:iCs w:val="0"/>
          <w:noProof/>
          <w:sz w:val="22"/>
          <w:lang w:eastAsia="en-AU"/>
        </w:rPr>
      </w:pPr>
      <w:hyperlink w:anchor="_Toc511383925" w:history="1">
        <w:r w:rsidR="00E36A55" w:rsidRPr="00A6532C">
          <w:rPr>
            <w:rStyle w:val="Hyperlink"/>
            <w:noProof/>
          </w:rPr>
          <w:t>Category and component expenses</w:t>
        </w:r>
        <w:r w:rsidR="00E36A55">
          <w:rPr>
            <w:noProof/>
            <w:webHidden/>
          </w:rPr>
          <w:tab/>
        </w:r>
        <w:r w:rsidR="00E36A55">
          <w:rPr>
            <w:noProof/>
            <w:webHidden/>
          </w:rPr>
          <w:fldChar w:fldCharType="begin"/>
        </w:r>
        <w:r w:rsidR="00E36A55">
          <w:rPr>
            <w:noProof/>
            <w:webHidden/>
          </w:rPr>
          <w:instrText xml:space="preserve"> PAGEREF _Toc511383925 \h </w:instrText>
        </w:r>
        <w:r w:rsidR="00E36A55">
          <w:rPr>
            <w:noProof/>
            <w:webHidden/>
          </w:rPr>
        </w:r>
        <w:r w:rsidR="00E36A55">
          <w:rPr>
            <w:noProof/>
            <w:webHidden/>
          </w:rPr>
          <w:fldChar w:fldCharType="separate"/>
        </w:r>
        <w:r w:rsidR="00E36A55">
          <w:rPr>
            <w:noProof/>
            <w:webHidden/>
          </w:rPr>
          <w:t>1</w:t>
        </w:r>
        <w:r w:rsidR="00E36A55">
          <w:rPr>
            <w:noProof/>
            <w:webHidden/>
          </w:rPr>
          <w:fldChar w:fldCharType="end"/>
        </w:r>
      </w:hyperlink>
    </w:p>
    <w:p w:rsidR="00E36A55" w:rsidRDefault="00654065" w:rsidP="00E36A55">
      <w:pPr>
        <w:pStyle w:val="TOC3"/>
        <w:rPr>
          <w:rFonts w:eastAsiaTheme="minorEastAsia"/>
          <w:iCs w:val="0"/>
          <w:noProof/>
          <w:sz w:val="22"/>
          <w:lang w:eastAsia="en-AU"/>
        </w:rPr>
      </w:pPr>
      <w:hyperlink w:anchor="_Toc511383926" w:history="1">
        <w:r w:rsidR="00E36A55" w:rsidRPr="00A6532C">
          <w:rPr>
            <w:rStyle w:val="Hyperlink"/>
            <w:noProof/>
          </w:rPr>
          <w:t>Data sources and assessment methods</w:t>
        </w:r>
        <w:r w:rsidR="00E36A55">
          <w:rPr>
            <w:noProof/>
            <w:webHidden/>
          </w:rPr>
          <w:tab/>
        </w:r>
        <w:r w:rsidR="00E36A55">
          <w:rPr>
            <w:noProof/>
            <w:webHidden/>
          </w:rPr>
          <w:fldChar w:fldCharType="begin"/>
        </w:r>
        <w:r w:rsidR="00E36A55">
          <w:rPr>
            <w:noProof/>
            <w:webHidden/>
          </w:rPr>
          <w:instrText xml:space="preserve"> PAGEREF _Toc511383926 \h </w:instrText>
        </w:r>
        <w:r w:rsidR="00E36A55">
          <w:rPr>
            <w:noProof/>
            <w:webHidden/>
          </w:rPr>
        </w:r>
        <w:r w:rsidR="00E36A55">
          <w:rPr>
            <w:noProof/>
            <w:webHidden/>
          </w:rPr>
          <w:fldChar w:fldCharType="separate"/>
        </w:r>
        <w:r w:rsidR="00E36A55">
          <w:rPr>
            <w:noProof/>
            <w:webHidden/>
          </w:rPr>
          <w:t>2</w:t>
        </w:r>
        <w:r w:rsidR="00E36A55">
          <w:rPr>
            <w:noProof/>
            <w:webHidden/>
          </w:rPr>
          <w:fldChar w:fldCharType="end"/>
        </w:r>
      </w:hyperlink>
    </w:p>
    <w:p w:rsidR="00E36A55" w:rsidRDefault="00654065" w:rsidP="00E36A55">
      <w:pPr>
        <w:pStyle w:val="TOC1"/>
        <w:rPr>
          <w:rFonts w:eastAsiaTheme="minorEastAsia"/>
          <w:b w:val="0"/>
          <w:bCs w:val="0"/>
          <w:caps w:val="0"/>
          <w:noProof/>
          <w:sz w:val="22"/>
          <w:szCs w:val="22"/>
          <w:lang w:eastAsia="en-AU"/>
        </w:rPr>
      </w:pPr>
      <w:hyperlink w:anchor="_Toc511383927" w:history="1">
        <w:r w:rsidR="00E36A55" w:rsidRPr="00A6532C">
          <w:rPr>
            <w:rStyle w:val="Hyperlink"/>
            <w:noProof/>
          </w:rPr>
          <w:t>ISSUES AND ANALYSIS</w:t>
        </w:r>
        <w:r w:rsidR="00E36A55">
          <w:rPr>
            <w:noProof/>
            <w:webHidden/>
          </w:rPr>
          <w:tab/>
        </w:r>
        <w:r w:rsidR="00E36A55">
          <w:rPr>
            <w:noProof/>
            <w:webHidden/>
          </w:rPr>
          <w:fldChar w:fldCharType="begin"/>
        </w:r>
        <w:r w:rsidR="00E36A55">
          <w:rPr>
            <w:noProof/>
            <w:webHidden/>
          </w:rPr>
          <w:instrText xml:space="preserve"> PAGEREF _Toc511383927 \h </w:instrText>
        </w:r>
        <w:r w:rsidR="00E36A55">
          <w:rPr>
            <w:noProof/>
            <w:webHidden/>
          </w:rPr>
        </w:r>
        <w:r w:rsidR="00E36A55">
          <w:rPr>
            <w:noProof/>
            <w:webHidden/>
          </w:rPr>
          <w:fldChar w:fldCharType="separate"/>
        </w:r>
        <w:r w:rsidR="00E36A55">
          <w:rPr>
            <w:noProof/>
            <w:webHidden/>
          </w:rPr>
          <w:t>6</w:t>
        </w:r>
        <w:r w:rsidR="00E36A55">
          <w:rPr>
            <w:noProof/>
            <w:webHidden/>
          </w:rPr>
          <w:fldChar w:fldCharType="end"/>
        </w:r>
      </w:hyperlink>
    </w:p>
    <w:p w:rsidR="00E36A55" w:rsidRDefault="00654065" w:rsidP="00E36A55">
      <w:pPr>
        <w:pStyle w:val="TOC3"/>
        <w:rPr>
          <w:rFonts w:eastAsiaTheme="minorEastAsia"/>
          <w:iCs w:val="0"/>
          <w:noProof/>
          <w:sz w:val="22"/>
          <w:lang w:eastAsia="en-AU"/>
        </w:rPr>
      </w:pPr>
      <w:hyperlink w:anchor="_Toc511383928" w:history="1">
        <w:r w:rsidR="00E36A55" w:rsidRPr="00A6532C">
          <w:rPr>
            <w:rStyle w:val="Hyperlink"/>
            <w:noProof/>
          </w:rPr>
          <w:t>Conceptual case</w:t>
        </w:r>
        <w:r w:rsidR="00E36A55">
          <w:rPr>
            <w:noProof/>
            <w:webHidden/>
          </w:rPr>
          <w:tab/>
        </w:r>
        <w:r w:rsidR="00E36A55">
          <w:rPr>
            <w:noProof/>
            <w:webHidden/>
          </w:rPr>
          <w:fldChar w:fldCharType="begin"/>
        </w:r>
        <w:r w:rsidR="00E36A55">
          <w:rPr>
            <w:noProof/>
            <w:webHidden/>
          </w:rPr>
          <w:instrText xml:space="preserve"> PAGEREF _Toc511383928 \h </w:instrText>
        </w:r>
        <w:r w:rsidR="00E36A55">
          <w:rPr>
            <w:noProof/>
            <w:webHidden/>
          </w:rPr>
        </w:r>
        <w:r w:rsidR="00E36A55">
          <w:rPr>
            <w:noProof/>
            <w:webHidden/>
          </w:rPr>
          <w:fldChar w:fldCharType="separate"/>
        </w:r>
        <w:r w:rsidR="00E36A55">
          <w:rPr>
            <w:noProof/>
            <w:webHidden/>
          </w:rPr>
          <w:t>7</w:t>
        </w:r>
        <w:r w:rsidR="00E36A55">
          <w:rPr>
            <w:noProof/>
            <w:webHidden/>
          </w:rPr>
          <w:fldChar w:fldCharType="end"/>
        </w:r>
      </w:hyperlink>
    </w:p>
    <w:p w:rsidR="00E36A55" w:rsidRDefault="00654065" w:rsidP="00E36A55">
      <w:pPr>
        <w:pStyle w:val="TOC3"/>
        <w:rPr>
          <w:rFonts w:eastAsiaTheme="minorEastAsia"/>
          <w:iCs w:val="0"/>
          <w:noProof/>
          <w:sz w:val="22"/>
          <w:lang w:eastAsia="en-AU"/>
        </w:rPr>
      </w:pPr>
      <w:hyperlink w:anchor="_Toc511383929" w:history="1">
        <w:r w:rsidR="00E36A55" w:rsidRPr="00A6532C">
          <w:rPr>
            <w:rStyle w:val="Hyperlink"/>
            <w:noProof/>
          </w:rPr>
          <w:t>Urban transport expenses and infrastructure models</w:t>
        </w:r>
        <w:r w:rsidR="00E36A55">
          <w:rPr>
            <w:noProof/>
            <w:webHidden/>
          </w:rPr>
          <w:tab/>
        </w:r>
        <w:r w:rsidR="00E36A55">
          <w:rPr>
            <w:noProof/>
            <w:webHidden/>
          </w:rPr>
          <w:fldChar w:fldCharType="begin"/>
        </w:r>
        <w:r w:rsidR="00E36A55">
          <w:rPr>
            <w:noProof/>
            <w:webHidden/>
          </w:rPr>
          <w:instrText xml:space="preserve"> PAGEREF _Toc511383929 \h </w:instrText>
        </w:r>
        <w:r w:rsidR="00E36A55">
          <w:rPr>
            <w:noProof/>
            <w:webHidden/>
          </w:rPr>
        </w:r>
        <w:r w:rsidR="00E36A55">
          <w:rPr>
            <w:noProof/>
            <w:webHidden/>
          </w:rPr>
          <w:fldChar w:fldCharType="separate"/>
        </w:r>
        <w:r w:rsidR="00E36A55">
          <w:rPr>
            <w:noProof/>
            <w:webHidden/>
          </w:rPr>
          <w:t>12</w:t>
        </w:r>
        <w:r w:rsidR="00E36A55">
          <w:rPr>
            <w:noProof/>
            <w:webHidden/>
          </w:rPr>
          <w:fldChar w:fldCharType="end"/>
        </w:r>
      </w:hyperlink>
    </w:p>
    <w:p w:rsidR="00E36A55" w:rsidRDefault="00654065" w:rsidP="00E36A55">
      <w:pPr>
        <w:pStyle w:val="TOC3"/>
        <w:rPr>
          <w:rFonts w:eastAsiaTheme="minorEastAsia"/>
          <w:iCs w:val="0"/>
          <w:noProof/>
          <w:sz w:val="22"/>
          <w:lang w:eastAsia="en-AU"/>
        </w:rPr>
      </w:pPr>
      <w:hyperlink w:anchor="_Toc511383930" w:history="1">
        <w:r w:rsidR="00E36A55" w:rsidRPr="00A6532C">
          <w:rPr>
            <w:rStyle w:val="Hyperlink"/>
            <w:noProof/>
          </w:rPr>
          <w:t>Definition of urban areas</w:t>
        </w:r>
        <w:r w:rsidR="00E36A55">
          <w:rPr>
            <w:noProof/>
            <w:webHidden/>
          </w:rPr>
          <w:tab/>
        </w:r>
        <w:r w:rsidR="00E36A55">
          <w:rPr>
            <w:noProof/>
            <w:webHidden/>
          </w:rPr>
          <w:fldChar w:fldCharType="begin"/>
        </w:r>
        <w:r w:rsidR="00E36A55">
          <w:rPr>
            <w:noProof/>
            <w:webHidden/>
          </w:rPr>
          <w:instrText xml:space="preserve"> PAGEREF _Toc511383930 \h </w:instrText>
        </w:r>
        <w:r w:rsidR="00E36A55">
          <w:rPr>
            <w:noProof/>
            <w:webHidden/>
          </w:rPr>
        </w:r>
        <w:r w:rsidR="00E36A55">
          <w:rPr>
            <w:noProof/>
            <w:webHidden/>
          </w:rPr>
          <w:fldChar w:fldCharType="separate"/>
        </w:r>
        <w:r w:rsidR="00E36A55">
          <w:rPr>
            <w:noProof/>
            <w:webHidden/>
          </w:rPr>
          <w:t>12</w:t>
        </w:r>
        <w:r w:rsidR="00E36A55">
          <w:rPr>
            <w:noProof/>
            <w:webHidden/>
          </w:rPr>
          <w:fldChar w:fldCharType="end"/>
        </w:r>
      </w:hyperlink>
    </w:p>
    <w:p w:rsidR="00E36A55" w:rsidRDefault="00654065" w:rsidP="00E36A55">
      <w:pPr>
        <w:pStyle w:val="TOC3"/>
        <w:rPr>
          <w:rFonts w:eastAsiaTheme="minorEastAsia"/>
          <w:iCs w:val="0"/>
          <w:noProof/>
          <w:sz w:val="22"/>
          <w:lang w:eastAsia="en-AU"/>
        </w:rPr>
      </w:pPr>
      <w:hyperlink w:anchor="_Toc511383931" w:history="1">
        <w:r w:rsidR="00E36A55" w:rsidRPr="00A6532C">
          <w:rPr>
            <w:rStyle w:val="Hyperlink"/>
            <w:noProof/>
          </w:rPr>
          <w:t>Non-urban expenses</w:t>
        </w:r>
        <w:r w:rsidR="00E36A55">
          <w:rPr>
            <w:noProof/>
            <w:webHidden/>
          </w:rPr>
          <w:tab/>
        </w:r>
        <w:r w:rsidR="00E36A55">
          <w:rPr>
            <w:noProof/>
            <w:webHidden/>
          </w:rPr>
          <w:fldChar w:fldCharType="begin"/>
        </w:r>
        <w:r w:rsidR="00E36A55">
          <w:rPr>
            <w:noProof/>
            <w:webHidden/>
          </w:rPr>
          <w:instrText xml:space="preserve"> PAGEREF _Toc511383931 \h </w:instrText>
        </w:r>
        <w:r w:rsidR="00E36A55">
          <w:rPr>
            <w:noProof/>
            <w:webHidden/>
          </w:rPr>
        </w:r>
        <w:r w:rsidR="00E36A55">
          <w:rPr>
            <w:noProof/>
            <w:webHidden/>
          </w:rPr>
          <w:fldChar w:fldCharType="separate"/>
        </w:r>
        <w:r w:rsidR="00E36A55">
          <w:rPr>
            <w:noProof/>
            <w:webHidden/>
          </w:rPr>
          <w:t>13</w:t>
        </w:r>
        <w:r w:rsidR="00E36A55">
          <w:rPr>
            <w:noProof/>
            <w:webHidden/>
          </w:rPr>
          <w:fldChar w:fldCharType="end"/>
        </w:r>
      </w:hyperlink>
    </w:p>
    <w:p w:rsidR="00E36A55" w:rsidRDefault="00654065" w:rsidP="00E36A55">
      <w:pPr>
        <w:pStyle w:val="TOC1"/>
        <w:rPr>
          <w:rFonts w:eastAsiaTheme="minorEastAsia"/>
          <w:b w:val="0"/>
          <w:bCs w:val="0"/>
          <w:caps w:val="0"/>
          <w:noProof/>
          <w:sz w:val="22"/>
          <w:szCs w:val="22"/>
          <w:lang w:eastAsia="en-AU"/>
        </w:rPr>
      </w:pPr>
      <w:hyperlink w:anchor="_Toc511383932" w:history="1">
        <w:r w:rsidR="00E36A55" w:rsidRPr="00A6532C">
          <w:rPr>
            <w:rStyle w:val="Hyperlink"/>
            <w:noProof/>
          </w:rPr>
          <w:t>Conclusion and way forward</w:t>
        </w:r>
        <w:r w:rsidR="00E36A55">
          <w:rPr>
            <w:noProof/>
            <w:webHidden/>
          </w:rPr>
          <w:tab/>
        </w:r>
        <w:r w:rsidR="00E36A55">
          <w:rPr>
            <w:noProof/>
            <w:webHidden/>
          </w:rPr>
          <w:fldChar w:fldCharType="begin"/>
        </w:r>
        <w:r w:rsidR="00E36A55">
          <w:rPr>
            <w:noProof/>
            <w:webHidden/>
          </w:rPr>
          <w:instrText xml:space="preserve"> PAGEREF _Toc511383932 \h </w:instrText>
        </w:r>
        <w:r w:rsidR="00E36A55">
          <w:rPr>
            <w:noProof/>
            <w:webHidden/>
          </w:rPr>
        </w:r>
        <w:r w:rsidR="00E36A55">
          <w:rPr>
            <w:noProof/>
            <w:webHidden/>
          </w:rPr>
          <w:fldChar w:fldCharType="separate"/>
        </w:r>
        <w:r w:rsidR="00E36A55">
          <w:rPr>
            <w:noProof/>
            <w:webHidden/>
          </w:rPr>
          <w:t>14</w:t>
        </w:r>
        <w:r w:rsidR="00E36A55">
          <w:rPr>
            <w:noProof/>
            <w:webHidden/>
          </w:rPr>
          <w:fldChar w:fldCharType="end"/>
        </w:r>
      </w:hyperlink>
    </w:p>
    <w:p w:rsidR="00E36A55" w:rsidRDefault="00654065" w:rsidP="00E36A55">
      <w:pPr>
        <w:pStyle w:val="TOC3"/>
        <w:rPr>
          <w:rFonts w:eastAsiaTheme="minorEastAsia"/>
          <w:iCs w:val="0"/>
          <w:noProof/>
          <w:sz w:val="22"/>
          <w:lang w:eastAsia="en-AU"/>
        </w:rPr>
      </w:pPr>
      <w:hyperlink w:anchor="_Toc511383933" w:history="1">
        <w:r w:rsidR="00E36A55" w:rsidRPr="00A6532C">
          <w:rPr>
            <w:rStyle w:val="Hyperlink"/>
            <w:noProof/>
          </w:rPr>
          <w:t>Proposed assessment structure</w:t>
        </w:r>
        <w:r w:rsidR="00E36A55">
          <w:rPr>
            <w:noProof/>
            <w:webHidden/>
          </w:rPr>
          <w:tab/>
        </w:r>
        <w:r w:rsidR="00E36A55">
          <w:rPr>
            <w:noProof/>
            <w:webHidden/>
          </w:rPr>
          <w:fldChar w:fldCharType="begin"/>
        </w:r>
        <w:r w:rsidR="00E36A55">
          <w:rPr>
            <w:noProof/>
            <w:webHidden/>
          </w:rPr>
          <w:instrText xml:space="preserve"> PAGEREF _Toc511383933 \h </w:instrText>
        </w:r>
        <w:r w:rsidR="00E36A55">
          <w:rPr>
            <w:noProof/>
            <w:webHidden/>
          </w:rPr>
        </w:r>
        <w:r w:rsidR="00E36A55">
          <w:rPr>
            <w:noProof/>
            <w:webHidden/>
          </w:rPr>
          <w:fldChar w:fldCharType="separate"/>
        </w:r>
        <w:r w:rsidR="00E36A55">
          <w:rPr>
            <w:noProof/>
            <w:webHidden/>
          </w:rPr>
          <w:t>14</w:t>
        </w:r>
        <w:r w:rsidR="00E36A55">
          <w:rPr>
            <w:noProof/>
            <w:webHidden/>
          </w:rPr>
          <w:fldChar w:fldCharType="end"/>
        </w:r>
      </w:hyperlink>
    </w:p>
    <w:p w:rsidR="00E36A55" w:rsidRDefault="00654065" w:rsidP="00E36A55">
      <w:pPr>
        <w:pStyle w:val="TOC1"/>
        <w:rPr>
          <w:rFonts w:eastAsiaTheme="minorEastAsia"/>
          <w:b w:val="0"/>
          <w:bCs w:val="0"/>
          <w:caps w:val="0"/>
          <w:noProof/>
          <w:sz w:val="22"/>
          <w:szCs w:val="22"/>
          <w:lang w:eastAsia="en-AU"/>
        </w:rPr>
      </w:pPr>
      <w:hyperlink w:anchor="_Toc511383934" w:history="1">
        <w:r w:rsidR="00E36A55" w:rsidRPr="00A6532C">
          <w:rPr>
            <w:rStyle w:val="Hyperlink"/>
            <w:noProof/>
          </w:rPr>
          <w:t>Attachment A: SUAs Proposed for Inclusion</w:t>
        </w:r>
        <w:r w:rsidR="00E36A55">
          <w:rPr>
            <w:noProof/>
            <w:webHidden/>
          </w:rPr>
          <w:tab/>
        </w:r>
        <w:r w:rsidR="00E36A55">
          <w:rPr>
            <w:noProof/>
            <w:webHidden/>
          </w:rPr>
          <w:fldChar w:fldCharType="begin"/>
        </w:r>
        <w:r w:rsidR="00E36A55">
          <w:rPr>
            <w:noProof/>
            <w:webHidden/>
          </w:rPr>
          <w:instrText xml:space="preserve"> PAGEREF _Toc511383934 \h </w:instrText>
        </w:r>
        <w:r w:rsidR="00E36A55">
          <w:rPr>
            <w:noProof/>
            <w:webHidden/>
          </w:rPr>
        </w:r>
        <w:r w:rsidR="00E36A55">
          <w:rPr>
            <w:noProof/>
            <w:webHidden/>
          </w:rPr>
          <w:fldChar w:fldCharType="separate"/>
        </w:r>
        <w:r w:rsidR="00E36A55">
          <w:rPr>
            <w:noProof/>
            <w:webHidden/>
          </w:rPr>
          <w:t>15</w:t>
        </w:r>
        <w:r w:rsidR="00E36A55">
          <w:rPr>
            <w:noProof/>
            <w:webHidden/>
          </w:rPr>
          <w:fldChar w:fldCharType="end"/>
        </w:r>
      </w:hyperlink>
    </w:p>
    <w:p w:rsidR="001B68B1" w:rsidRPr="00970E6D" w:rsidRDefault="00E36A55" w:rsidP="009C7229">
      <w:pPr>
        <w:pStyle w:val="TOC1"/>
        <w:sectPr w:rsidR="001B68B1" w:rsidRPr="00970E6D" w:rsidSect="00B01845">
          <w:headerReference w:type="first" r:id="rId15"/>
          <w:footerReference w:type="first" r:id="rId16"/>
          <w:pgSz w:w="11899" w:h="16838" w:code="9"/>
          <w:pgMar w:top="1701" w:right="1474" w:bottom="1701" w:left="1474" w:header="709" w:footer="709" w:gutter="0"/>
          <w:pgNumType w:fmt="lowerRoman" w:start="1"/>
          <w:cols w:space="708"/>
          <w:titlePg/>
          <w:docGrid w:linePitch="299"/>
        </w:sectPr>
      </w:pPr>
      <w:r>
        <w:fldChar w:fldCharType="end"/>
      </w:r>
    </w:p>
    <w:p w:rsidR="00F83306" w:rsidRDefault="001F7DC2" w:rsidP="00F83306">
      <w:pPr>
        <w:pStyle w:val="Heading2"/>
      </w:pPr>
      <w:bookmarkStart w:id="15" w:name="_Toc511381333"/>
      <w:bookmarkStart w:id="16" w:name="_Toc511383908"/>
      <w:bookmarkStart w:id="17" w:name="_Toc511383922"/>
      <w:r>
        <w:lastRenderedPageBreak/>
        <w:t>TRANSPORT</w:t>
      </w:r>
      <w:bookmarkEnd w:id="15"/>
      <w:bookmarkEnd w:id="16"/>
      <w:bookmarkEnd w:id="17"/>
    </w:p>
    <w:p w:rsidR="00EF280B" w:rsidRDefault="00EF280B" w:rsidP="00EF280B">
      <w:pPr>
        <w:pStyle w:val="CGCNumberedPara"/>
      </w:pPr>
      <w:r>
        <w:t xml:space="preserve">This paper covers the assessments of transport net expenses and investment. Net expenses are assessed in the Transport category, while transport investment is a component of the Investment category. </w:t>
      </w:r>
    </w:p>
    <w:p w:rsidR="00F83306" w:rsidRDefault="00F83306" w:rsidP="00F83306">
      <w:pPr>
        <w:pStyle w:val="Heading3"/>
      </w:pPr>
      <w:bookmarkStart w:id="18" w:name="_Toc511381334"/>
      <w:bookmarkStart w:id="19" w:name="_Toc511383909"/>
      <w:bookmarkStart w:id="20" w:name="_Toc511383923"/>
      <w:r w:rsidRPr="00F83306">
        <w:t>2015 REVIEW APPROACH</w:t>
      </w:r>
      <w:bookmarkEnd w:id="18"/>
      <w:bookmarkEnd w:id="19"/>
      <w:bookmarkEnd w:id="20"/>
    </w:p>
    <w:p w:rsidR="00C84DA2" w:rsidRPr="002132CC" w:rsidRDefault="00C84DA2" w:rsidP="00C84DA2">
      <w:pPr>
        <w:pStyle w:val="Heading4"/>
      </w:pPr>
      <w:bookmarkStart w:id="21" w:name="_Toc511381335"/>
      <w:bookmarkStart w:id="22" w:name="_Toc511383910"/>
      <w:bookmarkStart w:id="23" w:name="_Toc511383924"/>
      <w:r w:rsidRPr="002132CC">
        <w:t>Services included in this category</w:t>
      </w:r>
      <w:bookmarkEnd w:id="21"/>
      <w:bookmarkEnd w:id="22"/>
      <w:bookmarkEnd w:id="23"/>
    </w:p>
    <w:p w:rsidR="00C372BC" w:rsidRDefault="009A5421" w:rsidP="004C7126">
      <w:pPr>
        <w:pStyle w:val="CGCNumberedPara"/>
      </w:pPr>
      <w:r w:rsidRPr="009A5421">
        <w:t xml:space="preserve">The Transport category comprises expenses relating to bus, rail (passenger and freight), and ferry services, ports and other maritime related services, and air transport. The expenses include </w:t>
      </w:r>
      <w:r w:rsidR="00B527FB">
        <w:t xml:space="preserve">the cost of </w:t>
      </w:r>
      <w:r w:rsidRPr="009A5421">
        <w:t>passenger concessions and State administration expenses. Any user charges or other revenue are netted off.</w:t>
      </w:r>
      <w:r w:rsidR="00AC0108">
        <w:t xml:space="preserve"> </w:t>
      </w:r>
    </w:p>
    <w:p w:rsidR="004C7126" w:rsidRDefault="004C7126" w:rsidP="004C7126">
      <w:pPr>
        <w:pStyle w:val="CGCNumberedPara"/>
      </w:pPr>
      <w:r>
        <w:t xml:space="preserve">States </w:t>
      </w:r>
      <w:r w:rsidRPr="00AC0108">
        <w:t xml:space="preserve">also subsidise school bus services </w:t>
      </w:r>
      <w:r w:rsidR="004A3183">
        <w:t>but those expenses are in the School</w:t>
      </w:r>
      <w:r w:rsidR="002F26ED">
        <w:t xml:space="preserve"> education category.</w:t>
      </w:r>
    </w:p>
    <w:p w:rsidR="00EF280B" w:rsidRDefault="00A66F66" w:rsidP="00A66F66">
      <w:pPr>
        <w:pStyle w:val="CGCNumberedPara"/>
      </w:pPr>
      <w:r>
        <w:t>The transpo</w:t>
      </w:r>
      <w:r w:rsidR="00084770">
        <w:t xml:space="preserve">rt investment component covers </w:t>
      </w:r>
      <w:r>
        <w:t xml:space="preserve">investment in the acquisition of extra, or upgraded, infrastructure, where investment is defined as gross capital expenditure less depreciation.  </w:t>
      </w:r>
    </w:p>
    <w:p w:rsidR="00C372BC" w:rsidRPr="00C3140C" w:rsidRDefault="00C372BC" w:rsidP="00C372BC">
      <w:pPr>
        <w:pStyle w:val="Heading4"/>
      </w:pPr>
      <w:bookmarkStart w:id="24" w:name="_Toc511381336"/>
      <w:bookmarkStart w:id="25" w:name="_Toc511383911"/>
      <w:bookmarkStart w:id="26" w:name="_Toc511383925"/>
      <w:r w:rsidRPr="00C3140C">
        <w:t>Category and component expenses</w:t>
      </w:r>
      <w:bookmarkEnd w:id="24"/>
      <w:bookmarkEnd w:id="25"/>
      <w:bookmarkEnd w:id="26"/>
    </w:p>
    <w:p w:rsidR="00C372BC" w:rsidRDefault="00C372BC" w:rsidP="00C372BC">
      <w:pPr>
        <w:pStyle w:val="CGCNumberedPara"/>
        <w:tabs>
          <w:tab w:val="clear" w:pos="567"/>
        </w:tabs>
      </w:pPr>
      <w:r>
        <w:t>The Transport category is assessed in two components:</w:t>
      </w:r>
    </w:p>
    <w:p w:rsidR="00C372BC" w:rsidRPr="00DA71CA" w:rsidRDefault="00C372BC" w:rsidP="00C372BC">
      <w:pPr>
        <w:pStyle w:val="CGCBulletlist"/>
      </w:pPr>
      <w:r w:rsidRPr="00DA71CA">
        <w:t xml:space="preserve">urban </w:t>
      </w:r>
      <w:r w:rsidR="0048273F">
        <w:t xml:space="preserve">transport </w:t>
      </w:r>
      <w:r w:rsidR="0048273F" w:rsidRPr="00DA71CA">
        <w:t xml:space="preserve">net </w:t>
      </w:r>
      <w:r w:rsidRPr="00DA71CA">
        <w:t>operating expenses</w:t>
      </w:r>
    </w:p>
    <w:p w:rsidR="00C372BC" w:rsidRDefault="00C372BC" w:rsidP="00C372BC">
      <w:pPr>
        <w:pStyle w:val="CGCBulletlist"/>
      </w:pPr>
      <w:r>
        <w:t xml:space="preserve">non-urban </w:t>
      </w:r>
      <w:r w:rsidR="0048273F">
        <w:t xml:space="preserve">transport </w:t>
      </w:r>
      <w:r>
        <w:t>subsidies.</w:t>
      </w:r>
    </w:p>
    <w:p w:rsidR="00C372BC" w:rsidRPr="00745B2D" w:rsidRDefault="00C372BC" w:rsidP="00C372BC">
      <w:pPr>
        <w:pStyle w:val="CGCNumberedPara"/>
      </w:pPr>
      <w:r w:rsidRPr="00745B2D">
        <w:fldChar w:fldCharType="begin"/>
      </w:r>
      <w:r w:rsidRPr="00745B2D">
        <w:instrText xml:space="preserve"> REF _Ref507151545 \h </w:instrText>
      </w:r>
      <w:r>
        <w:instrText xml:space="preserve"> \* MERGEFORMAT </w:instrText>
      </w:r>
      <w:r w:rsidRPr="00745B2D">
        <w:fldChar w:fldCharType="separate"/>
      </w:r>
      <w:r w:rsidR="000819F3">
        <w:t>Table 1</w:t>
      </w:r>
      <w:r w:rsidRPr="00745B2D">
        <w:fldChar w:fldCharType="end"/>
      </w:r>
      <w:r w:rsidRPr="00745B2D">
        <w:t xml:space="preserve"> shows</w:t>
      </w:r>
      <w:r w:rsidR="006C373D">
        <w:t xml:space="preserve"> that</w:t>
      </w:r>
      <w:r w:rsidRPr="00745B2D">
        <w:t xml:space="preserve"> the provision of urban transport</w:t>
      </w:r>
      <w:r w:rsidR="009E7F9B">
        <w:t xml:space="preserve"> is</w:t>
      </w:r>
      <w:r w:rsidR="009E7F9B" w:rsidRPr="00745B2D">
        <w:t xml:space="preserve"> the dominant expense</w:t>
      </w:r>
      <w:r>
        <w:t>, representing 9</w:t>
      </w:r>
      <w:r w:rsidR="0048273F">
        <w:t>3</w:t>
      </w:r>
      <w:r>
        <w:t>% of the total category expense.</w:t>
      </w:r>
    </w:p>
    <w:p w:rsidR="00C372BC" w:rsidRDefault="00C372BC" w:rsidP="00C372BC">
      <w:pPr>
        <w:pStyle w:val="Caption"/>
      </w:pPr>
      <w:bookmarkStart w:id="27" w:name="_Ref507151545"/>
      <w:r>
        <w:t xml:space="preserve">Table </w:t>
      </w:r>
      <w:r w:rsidR="00654065">
        <w:fldChar w:fldCharType="begin"/>
      </w:r>
      <w:r w:rsidR="00654065">
        <w:instrText xml:space="preserve"> SEQ Table \* ARABIC </w:instrText>
      </w:r>
      <w:r w:rsidR="00654065">
        <w:fldChar w:fldCharType="separate"/>
      </w:r>
      <w:r w:rsidR="000819F3">
        <w:rPr>
          <w:noProof/>
        </w:rPr>
        <w:t>1</w:t>
      </w:r>
      <w:r w:rsidR="00654065">
        <w:rPr>
          <w:noProof/>
        </w:rPr>
        <w:fldChar w:fldCharType="end"/>
      </w:r>
      <w:bookmarkEnd w:id="27"/>
      <w:r>
        <w:tab/>
      </w:r>
      <w:r w:rsidRPr="00ED5174">
        <w:t xml:space="preserve">Transport </w:t>
      </w:r>
      <w:r>
        <w:t xml:space="preserve">category expenses by </w:t>
      </w:r>
      <w:r w:rsidR="0048273F">
        <w:t>component, 2016-17</w:t>
      </w:r>
    </w:p>
    <w:tbl>
      <w:tblPr>
        <w:tblW w:w="5000" w:type="pct"/>
        <w:tblCellMar>
          <w:left w:w="85" w:type="dxa"/>
          <w:right w:w="85" w:type="dxa"/>
        </w:tblCellMar>
        <w:tblLook w:val="0000" w:firstRow="0" w:lastRow="0" w:firstColumn="0" w:lastColumn="0" w:noHBand="0" w:noVBand="0"/>
      </w:tblPr>
      <w:tblGrid>
        <w:gridCol w:w="4053"/>
        <w:gridCol w:w="1985"/>
        <w:gridCol w:w="3083"/>
      </w:tblGrid>
      <w:tr w:rsidR="00C372BC" w:rsidRPr="004537EA" w:rsidTr="0048273F">
        <w:trPr>
          <w:trHeight w:hRule="exact" w:val="363"/>
        </w:trPr>
        <w:tc>
          <w:tcPr>
            <w:tcW w:w="2222" w:type="pct"/>
            <w:tcBorders>
              <w:top w:val="single" w:sz="6" w:space="0" w:color="auto"/>
              <w:bottom w:val="single" w:sz="6" w:space="0" w:color="auto"/>
            </w:tcBorders>
            <w:vAlign w:val="center"/>
          </w:tcPr>
          <w:p w:rsidR="00C372BC" w:rsidRPr="00B3267C" w:rsidRDefault="00C372BC" w:rsidP="00B3267C">
            <w:pPr>
              <w:pStyle w:val="TableColHeadings"/>
            </w:pPr>
          </w:p>
        </w:tc>
        <w:tc>
          <w:tcPr>
            <w:tcW w:w="1088" w:type="pct"/>
            <w:tcBorders>
              <w:top w:val="single" w:sz="6" w:space="0" w:color="auto"/>
              <w:bottom w:val="single" w:sz="6" w:space="0" w:color="auto"/>
            </w:tcBorders>
            <w:vAlign w:val="center"/>
          </w:tcPr>
          <w:p w:rsidR="00C372BC" w:rsidRPr="00B3267C" w:rsidRDefault="00C372BC" w:rsidP="00B3267C">
            <w:pPr>
              <w:pStyle w:val="TableColHeadings"/>
            </w:pPr>
            <w:r w:rsidRPr="00B3267C">
              <w:t>Amount</w:t>
            </w:r>
          </w:p>
        </w:tc>
        <w:tc>
          <w:tcPr>
            <w:tcW w:w="1690" w:type="pct"/>
            <w:tcBorders>
              <w:top w:val="single" w:sz="6" w:space="0" w:color="auto"/>
              <w:bottom w:val="single" w:sz="6" w:space="0" w:color="auto"/>
            </w:tcBorders>
            <w:vAlign w:val="center"/>
          </w:tcPr>
          <w:p w:rsidR="00C372BC" w:rsidRPr="00B3267C" w:rsidRDefault="00C372BC" w:rsidP="00B3267C">
            <w:pPr>
              <w:pStyle w:val="TableColHeadings"/>
            </w:pPr>
            <w:r w:rsidRPr="00B3267C">
              <w:t>Proportion of total expenses</w:t>
            </w:r>
          </w:p>
        </w:tc>
      </w:tr>
      <w:tr w:rsidR="00C372BC" w:rsidRPr="004537EA" w:rsidTr="00974ABB">
        <w:trPr>
          <w:trHeight w:hRule="exact" w:val="238"/>
        </w:trPr>
        <w:tc>
          <w:tcPr>
            <w:tcW w:w="2222" w:type="pct"/>
            <w:tcMar>
              <w:top w:w="0" w:type="dxa"/>
              <w:bottom w:w="0" w:type="dxa"/>
            </w:tcMar>
            <w:vAlign w:val="bottom"/>
          </w:tcPr>
          <w:p w:rsidR="00C372BC" w:rsidRPr="004537EA" w:rsidRDefault="00C372BC" w:rsidP="00974ABB">
            <w:pPr>
              <w:pStyle w:val="TableRowUnits"/>
              <w:rPr>
                <w:rFonts w:cstheme="minorHAnsi"/>
              </w:rPr>
            </w:pPr>
          </w:p>
        </w:tc>
        <w:tc>
          <w:tcPr>
            <w:tcW w:w="1088" w:type="pct"/>
            <w:tcMar>
              <w:top w:w="0" w:type="dxa"/>
              <w:bottom w:w="0" w:type="dxa"/>
            </w:tcMar>
            <w:vAlign w:val="bottom"/>
          </w:tcPr>
          <w:p w:rsidR="00C372BC" w:rsidRPr="004537EA" w:rsidRDefault="00C372BC" w:rsidP="00974ABB">
            <w:pPr>
              <w:pStyle w:val="TableRowUnits"/>
              <w:rPr>
                <w:rFonts w:cstheme="minorHAnsi"/>
              </w:rPr>
            </w:pPr>
            <w:r>
              <w:rPr>
                <w:rFonts w:cstheme="minorHAnsi"/>
              </w:rPr>
              <w:t>$m</w:t>
            </w:r>
          </w:p>
        </w:tc>
        <w:tc>
          <w:tcPr>
            <w:tcW w:w="1690" w:type="pct"/>
            <w:tcMar>
              <w:top w:w="0" w:type="dxa"/>
              <w:bottom w:w="0" w:type="dxa"/>
            </w:tcMar>
            <w:vAlign w:val="bottom"/>
          </w:tcPr>
          <w:p w:rsidR="00C372BC" w:rsidRPr="004537EA" w:rsidRDefault="00C372BC" w:rsidP="00974ABB">
            <w:pPr>
              <w:pStyle w:val="TableRowUnits"/>
              <w:rPr>
                <w:rFonts w:cstheme="minorHAnsi"/>
              </w:rPr>
            </w:pPr>
            <w:r>
              <w:rPr>
                <w:rFonts w:cstheme="minorHAnsi"/>
              </w:rPr>
              <w:t>%</w:t>
            </w:r>
          </w:p>
        </w:tc>
      </w:tr>
      <w:tr w:rsidR="00C372BC" w:rsidRPr="004537EA" w:rsidTr="007A537C">
        <w:trPr>
          <w:trHeight w:hRule="exact" w:val="363"/>
        </w:trPr>
        <w:tc>
          <w:tcPr>
            <w:tcW w:w="2222" w:type="pct"/>
            <w:vAlign w:val="bottom"/>
          </w:tcPr>
          <w:p w:rsidR="00C372BC" w:rsidRPr="00B3267C" w:rsidRDefault="00C372BC" w:rsidP="00B3267C">
            <w:pPr>
              <w:pStyle w:val="TableRowNormal"/>
              <w:jc w:val="left"/>
            </w:pPr>
            <w:r w:rsidRPr="00B3267C">
              <w:t>Urban transport</w:t>
            </w:r>
          </w:p>
        </w:tc>
        <w:tc>
          <w:tcPr>
            <w:tcW w:w="1088" w:type="pct"/>
            <w:vAlign w:val="bottom"/>
          </w:tcPr>
          <w:p w:rsidR="00C372BC" w:rsidRPr="00B3267C" w:rsidRDefault="00C372BC" w:rsidP="00B3267C">
            <w:pPr>
              <w:pStyle w:val="TableRowNormal"/>
            </w:pPr>
            <w:r w:rsidRPr="00B3267C">
              <w:t>12 472</w:t>
            </w:r>
          </w:p>
        </w:tc>
        <w:tc>
          <w:tcPr>
            <w:tcW w:w="1690" w:type="pct"/>
            <w:vAlign w:val="bottom"/>
          </w:tcPr>
          <w:p w:rsidR="00C372BC" w:rsidRPr="00B3267C" w:rsidRDefault="00C372BC" w:rsidP="00B3267C">
            <w:pPr>
              <w:pStyle w:val="TableRowNormal"/>
            </w:pPr>
            <w:r w:rsidRPr="00B3267C">
              <w:t>93</w:t>
            </w:r>
          </w:p>
        </w:tc>
      </w:tr>
      <w:tr w:rsidR="00C372BC" w:rsidRPr="004537EA" w:rsidTr="007A537C">
        <w:trPr>
          <w:trHeight w:hRule="exact" w:val="363"/>
        </w:trPr>
        <w:tc>
          <w:tcPr>
            <w:tcW w:w="2222" w:type="pct"/>
            <w:vAlign w:val="bottom"/>
          </w:tcPr>
          <w:p w:rsidR="00C372BC" w:rsidRPr="00B3267C" w:rsidRDefault="00C372BC" w:rsidP="00B3267C">
            <w:pPr>
              <w:pStyle w:val="TableRowNormal"/>
              <w:jc w:val="left"/>
            </w:pPr>
            <w:r w:rsidRPr="00B3267C">
              <w:t>Non-</w:t>
            </w:r>
            <w:r>
              <w:t>u</w:t>
            </w:r>
            <w:r w:rsidRPr="00E757AA">
              <w:t>rban</w:t>
            </w:r>
            <w:r>
              <w:t xml:space="preserve"> transport</w:t>
            </w:r>
          </w:p>
        </w:tc>
        <w:tc>
          <w:tcPr>
            <w:tcW w:w="1088" w:type="pct"/>
            <w:tcBorders>
              <w:bottom w:val="single" w:sz="4" w:space="0" w:color="auto"/>
            </w:tcBorders>
            <w:vAlign w:val="bottom"/>
          </w:tcPr>
          <w:p w:rsidR="00C372BC" w:rsidRPr="00B3267C" w:rsidRDefault="00C372BC" w:rsidP="00B3267C">
            <w:pPr>
              <w:pStyle w:val="TableRowNormal"/>
            </w:pPr>
            <w:r w:rsidRPr="00B3267C">
              <w:t>1 009</w:t>
            </w:r>
          </w:p>
        </w:tc>
        <w:tc>
          <w:tcPr>
            <w:tcW w:w="1690" w:type="pct"/>
            <w:tcBorders>
              <w:bottom w:val="single" w:sz="4" w:space="0" w:color="auto"/>
            </w:tcBorders>
            <w:vAlign w:val="bottom"/>
          </w:tcPr>
          <w:p w:rsidR="00C372BC" w:rsidRPr="00B3267C" w:rsidRDefault="00C372BC" w:rsidP="00B3267C">
            <w:pPr>
              <w:pStyle w:val="TableRowNormal"/>
            </w:pPr>
            <w:r w:rsidRPr="00B3267C">
              <w:t>7</w:t>
            </w:r>
          </w:p>
        </w:tc>
      </w:tr>
      <w:tr w:rsidR="00C372BC" w:rsidRPr="004537EA" w:rsidTr="007A537C">
        <w:trPr>
          <w:trHeight w:hRule="exact" w:val="363"/>
        </w:trPr>
        <w:tc>
          <w:tcPr>
            <w:tcW w:w="2222" w:type="pct"/>
            <w:tcBorders>
              <w:bottom w:val="single" w:sz="6" w:space="0" w:color="auto"/>
            </w:tcBorders>
            <w:vAlign w:val="bottom"/>
          </w:tcPr>
          <w:p w:rsidR="00C372BC" w:rsidRPr="00B3267C" w:rsidRDefault="00C372BC" w:rsidP="00B3267C">
            <w:pPr>
              <w:pStyle w:val="TableRowNormal"/>
              <w:jc w:val="left"/>
            </w:pPr>
            <w:r w:rsidRPr="00B3267C">
              <w:t>Total</w:t>
            </w:r>
          </w:p>
        </w:tc>
        <w:tc>
          <w:tcPr>
            <w:tcW w:w="1088" w:type="pct"/>
            <w:tcBorders>
              <w:top w:val="single" w:sz="4" w:space="0" w:color="auto"/>
              <w:bottom w:val="single" w:sz="6" w:space="0" w:color="auto"/>
            </w:tcBorders>
            <w:vAlign w:val="bottom"/>
          </w:tcPr>
          <w:p w:rsidR="00C372BC" w:rsidRPr="00B3267C" w:rsidRDefault="00C372BC" w:rsidP="00B3267C">
            <w:pPr>
              <w:pStyle w:val="TableRowNormal"/>
            </w:pPr>
            <w:r w:rsidRPr="00B3267C">
              <w:t>13 481</w:t>
            </w:r>
          </w:p>
        </w:tc>
        <w:tc>
          <w:tcPr>
            <w:tcW w:w="1690" w:type="pct"/>
            <w:tcBorders>
              <w:top w:val="single" w:sz="4" w:space="0" w:color="auto"/>
              <w:bottom w:val="single" w:sz="6" w:space="0" w:color="auto"/>
            </w:tcBorders>
            <w:vAlign w:val="bottom"/>
          </w:tcPr>
          <w:p w:rsidR="00C372BC" w:rsidRPr="00B3267C" w:rsidRDefault="00C372BC" w:rsidP="00B3267C">
            <w:pPr>
              <w:pStyle w:val="TableRowNormal"/>
            </w:pPr>
            <w:r w:rsidRPr="00B3267C">
              <w:t>100</w:t>
            </w:r>
          </w:p>
        </w:tc>
      </w:tr>
    </w:tbl>
    <w:p w:rsidR="00C372BC" w:rsidRDefault="00C372BC" w:rsidP="00C372BC">
      <w:pPr>
        <w:pStyle w:val="CGCTableFootnote"/>
        <w:keepNext/>
        <w:keepLines/>
      </w:pPr>
      <w:r>
        <w:t>Source:</w:t>
      </w:r>
      <w:r>
        <w:tab/>
        <w:t>Commission estimates based on State</w:t>
      </w:r>
      <w:r>
        <w:noBreakHyphen/>
        <w:t>provided data, 2018 Update.</w:t>
      </w:r>
    </w:p>
    <w:p w:rsidR="00B3267C" w:rsidRDefault="00B3267C" w:rsidP="00B3267C">
      <w:pPr>
        <w:pStyle w:val="CGCNumberedPara"/>
      </w:pPr>
      <w:r>
        <w:fldChar w:fldCharType="begin"/>
      </w:r>
      <w:r>
        <w:instrText xml:space="preserve"> REF _Ref508264340 \h </w:instrText>
      </w:r>
      <w:r>
        <w:fldChar w:fldCharType="separate"/>
      </w:r>
      <w:r w:rsidR="000819F3">
        <w:t xml:space="preserve">Table </w:t>
      </w:r>
      <w:r w:rsidR="000819F3">
        <w:rPr>
          <w:noProof/>
        </w:rPr>
        <w:t>2</w:t>
      </w:r>
      <w:r>
        <w:fldChar w:fldCharType="end"/>
      </w:r>
      <w:r>
        <w:t xml:space="preserve"> shows transport investment. </w:t>
      </w:r>
    </w:p>
    <w:p w:rsidR="00B3267C" w:rsidRDefault="00B3267C" w:rsidP="00B3267C">
      <w:pPr>
        <w:pStyle w:val="CGCTableHeading"/>
      </w:pPr>
      <w:bookmarkStart w:id="28" w:name="_Ref508264340"/>
      <w:r>
        <w:lastRenderedPageBreak/>
        <w:t xml:space="preserve">Table </w:t>
      </w:r>
      <w:r w:rsidR="00654065">
        <w:fldChar w:fldCharType="begin"/>
      </w:r>
      <w:r w:rsidR="00654065">
        <w:instrText xml:space="preserve"> SEQ Table \* ARABIC </w:instrText>
      </w:r>
      <w:r w:rsidR="00654065">
        <w:fldChar w:fldCharType="separate"/>
      </w:r>
      <w:r w:rsidR="000819F3">
        <w:rPr>
          <w:noProof/>
        </w:rPr>
        <w:t>2</w:t>
      </w:r>
      <w:r w:rsidR="00654065">
        <w:rPr>
          <w:noProof/>
        </w:rPr>
        <w:fldChar w:fldCharType="end"/>
      </w:r>
      <w:bookmarkEnd w:id="28"/>
      <w:r>
        <w:tab/>
      </w:r>
      <w:r w:rsidRPr="00ED5174">
        <w:t xml:space="preserve">Transport </w:t>
      </w:r>
      <w:r w:rsidR="0069093B">
        <w:t>investment, 2016-17</w:t>
      </w:r>
    </w:p>
    <w:tbl>
      <w:tblPr>
        <w:tblW w:w="5000" w:type="pct"/>
        <w:tblCellMar>
          <w:left w:w="85" w:type="dxa"/>
          <w:right w:w="85" w:type="dxa"/>
        </w:tblCellMar>
        <w:tblLook w:val="0000" w:firstRow="0" w:lastRow="0" w:firstColumn="0" w:lastColumn="0" w:noHBand="0" w:noVBand="0"/>
      </w:tblPr>
      <w:tblGrid>
        <w:gridCol w:w="4053"/>
        <w:gridCol w:w="1985"/>
        <w:gridCol w:w="3083"/>
      </w:tblGrid>
      <w:tr w:rsidR="00B3267C" w:rsidRPr="004537EA" w:rsidTr="003E7EC4">
        <w:trPr>
          <w:trHeight w:hRule="exact" w:val="363"/>
        </w:trPr>
        <w:tc>
          <w:tcPr>
            <w:tcW w:w="2222" w:type="pct"/>
            <w:tcBorders>
              <w:top w:val="single" w:sz="6" w:space="0" w:color="auto"/>
              <w:bottom w:val="single" w:sz="6" w:space="0" w:color="auto"/>
            </w:tcBorders>
            <w:vAlign w:val="center"/>
          </w:tcPr>
          <w:p w:rsidR="00B3267C" w:rsidRPr="00B3267C" w:rsidRDefault="00B3267C" w:rsidP="00B3267C">
            <w:pPr>
              <w:pStyle w:val="TableColHeadings"/>
            </w:pPr>
          </w:p>
        </w:tc>
        <w:tc>
          <w:tcPr>
            <w:tcW w:w="1088" w:type="pct"/>
            <w:tcBorders>
              <w:top w:val="single" w:sz="6" w:space="0" w:color="auto"/>
              <w:bottom w:val="single" w:sz="6" w:space="0" w:color="auto"/>
            </w:tcBorders>
            <w:vAlign w:val="center"/>
          </w:tcPr>
          <w:p w:rsidR="00B3267C" w:rsidRPr="00B3267C" w:rsidRDefault="00B3267C" w:rsidP="00B3267C">
            <w:pPr>
              <w:pStyle w:val="TableColHeadings"/>
              <w:jc w:val="center"/>
            </w:pPr>
          </w:p>
        </w:tc>
        <w:tc>
          <w:tcPr>
            <w:tcW w:w="1690" w:type="pct"/>
            <w:tcBorders>
              <w:top w:val="single" w:sz="6" w:space="0" w:color="auto"/>
              <w:bottom w:val="single" w:sz="6" w:space="0" w:color="auto"/>
            </w:tcBorders>
            <w:vAlign w:val="center"/>
          </w:tcPr>
          <w:p w:rsidR="00B3267C" w:rsidRPr="00B3267C" w:rsidRDefault="00B3267C" w:rsidP="00B3267C">
            <w:pPr>
              <w:pStyle w:val="TableColHeadings"/>
            </w:pPr>
            <w:r>
              <w:t>Amount</w:t>
            </w:r>
          </w:p>
        </w:tc>
      </w:tr>
      <w:tr w:rsidR="00B3267C" w:rsidRPr="004537EA" w:rsidTr="003E7EC4">
        <w:trPr>
          <w:trHeight w:hRule="exact" w:val="238"/>
        </w:trPr>
        <w:tc>
          <w:tcPr>
            <w:tcW w:w="2222" w:type="pct"/>
            <w:tcMar>
              <w:top w:w="0" w:type="dxa"/>
              <w:bottom w:w="0" w:type="dxa"/>
            </w:tcMar>
            <w:vAlign w:val="bottom"/>
          </w:tcPr>
          <w:p w:rsidR="00B3267C" w:rsidRPr="004537EA" w:rsidRDefault="00B3267C" w:rsidP="003E7EC4">
            <w:pPr>
              <w:pStyle w:val="TableRowUnits"/>
              <w:rPr>
                <w:rFonts w:cstheme="minorHAnsi"/>
              </w:rPr>
            </w:pPr>
          </w:p>
        </w:tc>
        <w:tc>
          <w:tcPr>
            <w:tcW w:w="1088" w:type="pct"/>
            <w:tcMar>
              <w:top w:w="0" w:type="dxa"/>
              <w:bottom w:w="0" w:type="dxa"/>
            </w:tcMar>
            <w:vAlign w:val="bottom"/>
          </w:tcPr>
          <w:p w:rsidR="00B3267C" w:rsidRPr="004537EA" w:rsidRDefault="00B3267C" w:rsidP="003E7EC4">
            <w:pPr>
              <w:pStyle w:val="TableRowUnits"/>
              <w:rPr>
                <w:rFonts w:cstheme="minorHAnsi"/>
              </w:rPr>
            </w:pPr>
          </w:p>
        </w:tc>
        <w:tc>
          <w:tcPr>
            <w:tcW w:w="1690" w:type="pct"/>
            <w:tcMar>
              <w:top w:w="0" w:type="dxa"/>
              <w:bottom w:w="0" w:type="dxa"/>
            </w:tcMar>
            <w:vAlign w:val="bottom"/>
          </w:tcPr>
          <w:p w:rsidR="00B3267C" w:rsidRPr="004537EA" w:rsidRDefault="00B3267C" w:rsidP="003E7EC4">
            <w:pPr>
              <w:pStyle w:val="TableRowUnits"/>
              <w:rPr>
                <w:rFonts w:cstheme="minorHAnsi"/>
              </w:rPr>
            </w:pPr>
            <w:r>
              <w:rPr>
                <w:rFonts w:cstheme="minorHAnsi"/>
              </w:rPr>
              <w:t>$m</w:t>
            </w:r>
          </w:p>
        </w:tc>
      </w:tr>
      <w:tr w:rsidR="00B3267C" w:rsidRPr="004537EA" w:rsidTr="003E7EC4">
        <w:trPr>
          <w:trHeight w:hRule="exact" w:val="363"/>
        </w:trPr>
        <w:tc>
          <w:tcPr>
            <w:tcW w:w="2222" w:type="pct"/>
            <w:tcBorders>
              <w:bottom w:val="single" w:sz="6" w:space="0" w:color="auto"/>
            </w:tcBorders>
            <w:vAlign w:val="bottom"/>
          </w:tcPr>
          <w:p w:rsidR="00B3267C" w:rsidRPr="004537EA" w:rsidRDefault="00B3267C" w:rsidP="00B3267C">
            <w:pPr>
              <w:pStyle w:val="TableRowNormal"/>
              <w:jc w:val="left"/>
            </w:pPr>
            <w:r>
              <w:t>Transport investment</w:t>
            </w:r>
          </w:p>
        </w:tc>
        <w:tc>
          <w:tcPr>
            <w:tcW w:w="1088" w:type="pct"/>
            <w:tcBorders>
              <w:bottom w:val="single" w:sz="6" w:space="0" w:color="auto"/>
            </w:tcBorders>
            <w:vAlign w:val="bottom"/>
          </w:tcPr>
          <w:p w:rsidR="00B3267C" w:rsidRPr="004537EA" w:rsidRDefault="00B3267C" w:rsidP="00B3267C">
            <w:pPr>
              <w:pStyle w:val="TableRowNormal"/>
            </w:pPr>
          </w:p>
        </w:tc>
        <w:tc>
          <w:tcPr>
            <w:tcW w:w="1690" w:type="pct"/>
            <w:tcBorders>
              <w:bottom w:val="single" w:sz="6" w:space="0" w:color="auto"/>
            </w:tcBorders>
            <w:vAlign w:val="bottom"/>
          </w:tcPr>
          <w:p w:rsidR="00B3267C" w:rsidRPr="004537EA" w:rsidRDefault="00B3267C" w:rsidP="00B3267C">
            <w:pPr>
              <w:pStyle w:val="TableRowNormal"/>
            </w:pPr>
            <w:r>
              <w:t>7 774</w:t>
            </w:r>
          </w:p>
        </w:tc>
      </w:tr>
    </w:tbl>
    <w:p w:rsidR="00B3267C" w:rsidRDefault="00B3267C" w:rsidP="00B3267C">
      <w:pPr>
        <w:pStyle w:val="CGCTableFootnote"/>
      </w:pPr>
      <w:r>
        <w:t>Source:</w:t>
      </w:r>
      <w:r>
        <w:tab/>
        <w:t xml:space="preserve">Commission </w:t>
      </w:r>
      <w:r w:rsidRPr="00B3267C">
        <w:t>estimates</w:t>
      </w:r>
      <w:r>
        <w:t xml:space="preserve"> based on State</w:t>
      </w:r>
      <w:r>
        <w:noBreakHyphen/>
        <w:t>provided data, 2018 Update.</w:t>
      </w:r>
    </w:p>
    <w:p w:rsidR="001C78A6" w:rsidRDefault="001C78A6" w:rsidP="001C78A6">
      <w:pPr>
        <w:pStyle w:val="Heading4"/>
      </w:pPr>
      <w:bookmarkStart w:id="29" w:name="_Toc511381337"/>
      <w:bookmarkStart w:id="30" w:name="_Toc511383912"/>
      <w:bookmarkStart w:id="31" w:name="_Toc511383926"/>
      <w:r>
        <w:t>Data sources and assessment methods</w:t>
      </w:r>
      <w:bookmarkEnd w:id="29"/>
      <w:bookmarkEnd w:id="30"/>
      <w:bookmarkEnd w:id="31"/>
    </w:p>
    <w:p w:rsidR="00E95FA3" w:rsidRDefault="006C64BC" w:rsidP="004530AC">
      <w:pPr>
        <w:pStyle w:val="Heading5"/>
      </w:pPr>
      <w:bookmarkStart w:id="32" w:name="_Ref507496993"/>
      <w:r w:rsidRPr="006C64BC">
        <w:t>Net ur</w:t>
      </w:r>
      <w:r>
        <w:t>ban transport operating expenses</w:t>
      </w:r>
      <w:bookmarkEnd w:id="32"/>
    </w:p>
    <w:p w:rsidR="00946DE6" w:rsidRDefault="00974ABB" w:rsidP="00946DE6">
      <w:pPr>
        <w:pStyle w:val="CGCNumberedPara"/>
      </w:pPr>
      <w:r w:rsidRPr="00974ABB">
        <w:rPr>
          <w:rStyle w:val="Heading6Char"/>
        </w:rPr>
        <w:t>The conceptual case.</w:t>
      </w:r>
      <w:r>
        <w:t xml:space="preserve"> </w:t>
      </w:r>
      <w:r w:rsidR="00946DE6" w:rsidRPr="002D5ECA">
        <w:t xml:space="preserve">Evidence </w:t>
      </w:r>
      <w:r w:rsidR="00FE6DA3">
        <w:t xml:space="preserve">gathered during the 2015 Review </w:t>
      </w:r>
      <w:r w:rsidR="00946DE6" w:rsidRPr="002D5ECA">
        <w:t>shows that the transport task increases as cities become more populous and that</w:t>
      </w:r>
      <w:r w:rsidR="00CC55A9">
        <w:t>,</w:t>
      </w:r>
      <w:r w:rsidR="00946DE6" w:rsidRPr="002D5ECA">
        <w:t xml:space="preserve"> after </w:t>
      </w:r>
      <w:r w:rsidR="009E7F9B">
        <w:t xml:space="preserve">taking account of </w:t>
      </w:r>
      <w:r w:rsidR="00946DE6" w:rsidRPr="002D5ECA">
        <w:t xml:space="preserve">fares and other revenues, State governments spend more per capita in larger cities than in smaller ones. </w:t>
      </w:r>
      <w:r w:rsidR="00CE6701">
        <w:fldChar w:fldCharType="begin"/>
      </w:r>
      <w:r w:rsidR="00CE6701">
        <w:instrText xml:space="preserve"> REF _Ref507152068 \h </w:instrText>
      </w:r>
      <w:r w:rsidR="00CE6701">
        <w:fldChar w:fldCharType="separate"/>
      </w:r>
      <w:r w:rsidR="000819F3">
        <w:t xml:space="preserve">Table </w:t>
      </w:r>
      <w:r w:rsidR="000819F3">
        <w:rPr>
          <w:noProof/>
        </w:rPr>
        <w:t>3</w:t>
      </w:r>
      <w:r w:rsidR="00CE6701">
        <w:fldChar w:fldCharType="end"/>
      </w:r>
      <w:r w:rsidR="00CE6701">
        <w:t xml:space="preserve"> </w:t>
      </w:r>
      <w:r w:rsidR="00946DE6" w:rsidRPr="002D5ECA">
        <w:t xml:space="preserve">shows per capita net expenses for cities of different sizes. It also shows that, of the population living in urban centres with populations over 20 000, 73% live in cities with a population over 1 million (Sydney, Melbourne, Brisbane, Perth and Adelaide). This is where per capita net </w:t>
      </w:r>
      <w:r w:rsidR="004C509F">
        <w:t xml:space="preserve">recurrent </w:t>
      </w:r>
      <w:r w:rsidR="00946DE6" w:rsidRPr="002D5ECA">
        <w:t>expenses are the highest.</w:t>
      </w:r>
    </w:p>
    <w:p w:rsidR="004E5D19" w:rsidRDefault="004E5D19" w:rsidP="004E5D19">
      <w:pPr>
        <w:pStyle w:val="Caption"/>
      </w:pPr>
      <w:bookmarkStart w:id="33" w:name="_Ref507152068"/>
      <w:r>
        <w:t xml:space="preserve">Table </w:t>
      </w:r>
      <w:r w:rsidR="00654065">
        <w:fldChar w:fldCharType="begin"/>
      </w:r>
      <w:r w:rsidR="00654065">
        <w:instrText xml:space="preserve"> SEQ Table \* ARABIC </w:instrText>
      </w:r>
      <w:r w:rsidR="00654065">
        <w:fldChar w:fldCharType="separate"/>
      </w:r>
      <w:r w:rsidR="000819F3">
        <w:rPr>
          <w:noProof/>
        </w:rPr>
        <w:t>3</w:t>
      </w:r>
      <w:r w:rsidR="00654065">
        <w:rPr>
          <w:noProof/>
        </w:rPr>
        <w:fldChar w:fldCharType="end"/>
      </w:r>
      <w:bookmarkEnd w:id="33"/>
      <w:r>
        <w:tab/>
      </w:r>
      <w:r w:rsidRPr="002340CF">
        <w:t>Per capita net expenses by Australian city size, 2009-10 to 2011-12</w:t>
      </w:r>
    </w:p>
    <w:tbl>
      <w:tblPr>
        <w:tblW w:w="8960" w:type="dxa"/>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1706"/>
        <w:gridCol w:w="1036"/>
        <w:gridCol w:w="1036"/>
        <w:gridCol w:w="1036"/>
        <w:gridCol w:w="1037"/>
        <w:gridCol w:w="1036"/>
        <w:gridCol w:w="1036"/>
        <w:gridCol w:w="1037"/>
      </w:tblGrid>
      <w:tr w:rsidR="004E5D19" w:rsidRPr="002D5ECA" w:rsidTr="00DE366F">
        <w:trPr>
          <w:trHeight w:val="675"/>
        </w:trPr>
        <w:tc>
          <w:tcPr>
            <w:tcW w:w="1706" w:type="dxa"/>
            <w:tcBorders>
              <w:top w:val="single" w:sz="4" w:space="0" w:color="auto"/>
              <w:bottom w:val="single" w:sz="4" w:space="0" w:color="auto"/>
            </w:tcBorders>
            <w:shd w:val="clear" w:color="auto" w:fill="auto"/>
            <w:vAlign w:val="center"/>
            <w:hideMark/>
          </w:tcPr>
          <w:p w:rsidR="004E5D19" w:rsidRPr="002D5ECA" w:rsidRDefault="004E5D19" w:rsidP="00B42C3D">
            <w:pPr>
              <w:keepNext/>
              <w:keepLines/>
              <w:spacing w:before="60" w:after="60" w:line="200" w:lineRule="atLeast"/>
              <w:rPr>
                <w:rFonts w:ascii="Calibri" w:eastAsia="Times New Roman" w:hAnsi="Calibri" w:cs="Times New Roman"/>
                <w:sz w:val="20"/>
                <w:szCs w:val="20"/>
                <w:lang w:eastAsia="en-AU"/>
              </w:rPr>
            </w:pPr>
            <w:r w:rsidRPr="002D5ECA">
              <w:rPr>
                <w:rFonts w:ascii="Calibri" w:eastAsia="Times New Roman" w:hAnsi="Calibri" w:cs="Times New Roman"/>
                <w:sz w:val="20"/>
                <w:szCs w:val="20"/>
                <w:lang w:eastAsia="en-AU"/>
              </w:rPr>
              <w:t> </w:t>
            </w:r>
          </w:p>
        </w:tc>
        <w:tc>
          <w:tcPr>
            <w:tcW w:w="1036" w:type="dxa"/>
            <w:tcBorders>
              <w:top w:val="single" w:sz="4" w:space="0" w:color="auto"/>
              <w:bottom w:val="single" w:sz="4" w:space="0" w:color="auto"/>
            </w:tcBorders>
            <w:shd w:val="clear" w:color="auto" w:fill="auto"/>
            <w:vAlign w:val="center"/>
            <w:hideMark/>
          </w:tcPr>
          <w:p w:rsidR="004E5D19" w:rsidRPr="002D5ECA" w:rsidRDefault="004E5D19" w:rsidP="00B42C3D">
            <w:pPr>
              <w:keepNext/>
              <w:keepLines/>
              <w:tabs>
                <w:tab w:val="clear" w:pos="567"/>
              </w:tabs>
              <w:spacing w:before="60" w:after="60" w:line="200" w:lineRule="atLeast"/>
              <w:jc w:val="right"/>
              <w:rPr>
                <w:rFonts w:ascii="Calibri" w:eastAsia="Times New Roman" w:hAnsi="Calibri" w:cs="Times New Roman"/>
                <w:sz w:val="20"/>
                <w:szCs w:val="20"/>
                <w:lang w:eastAsia="en-AU"/>
              </w:rPr>
            </w:pPr>
            <w:r w:rsidRPr="002D5ECA">
              <w:rPr>
                <w:rFonts w:ascii="Calibri" w:eastAsia="Times New Roman" w:hAnsi="Calibri" w:cs="Times New Roman"/>
                <w:sz w:val="20"/>
                <w:szCs w:val="20"/>
                <w:lang w:eastAsia="en-AU"/>
              </w:rPr>
              <w:t>20 000 to 50 000</w:t>
            </w:r>
          </w:p>
        </w:tc>
        <w:tc>
          <w:tcPr>
            <w:tcW w:w="1036" w:type="dxa"/>
            <w:tcBorders>
              <w:top w:val="single" w:sz="4" w:space="0" w:color="auto"/>
              <w:bottom w:val="single" w:sz="4" w:space="0" w:color="auto"/>
            </w:tcBorders>
            <w:shd w:val="clear" w:color="auto" w:fill="auto"/>
            <w:vAlign w:val="center"/>
            <w:hideMark/>
          </w:tcPr>
          <w:p w:rsidR="004E5D19" w:rsidRPr="002D5ECA" w:rsidRDefault="004E5D19" w:rsidP="00B42C3D">
            <w:pPr>
              <w:keepNext/>
              <w:keepLines/>
              <w:tabs>
                <w:tab w:val="clear" w:pos="567"/>
              </w:tabs>
              <w:spacing w:before="60" w:after="60" w:line="200" w:lineRule="atLeast"/>
              <w:jc w:val="right"/>
              <w:rPr>
                <w:rFonts w:ascii="Calibri" w:eastAsia="Times New Roman" w:hAnsi="Calibri" w:cs="Times New Roman"/>
                <w:sz w:val="20"/>
                <w:szCs w:val="20"/>
                <w:lang w:eastAsia="en-AU"/>
              </w:rPr>
            </w:pPr>
            <w:r w:rsidRPr="002D5ECA">
              <w:rPr>
                <w:rFonts w:ascii="Calibri" w:eastAsia="Times New Roman" w:hAnsi="Calibri" w:cs="Times New Roman"/>
                <w:sz w:val="20"/>
                <w:szCs w:val="20"/>
                <w:lang w:eastAsia="en-AU"/>
              </w:rPr>
              <w:t>50 000 to 100 000</w:t>
            </w:r>
          </w:p>
        </w:tc>
        <w:tc>
          <w:tcPr>
            <w:tcW w:w="1036" w:type="dxa"/>
            <w:tcBorders>
              <w:top w:val="single" w:sz="4" w:space="0" w:color="auto"/>
              <w:bottom w:val="single" w:sz="4" w:space="0" w:color="auto"/>
            </w:tcBorders>
            <w:shd w:val="clear" w:color="auto" w:fill="auto"/>
            <w:vAlign w:val="center"/>
            <w:hideMark/>
          </w:tcPr>
          <w:p w:rsidR="004E5D19" w:rsidRPr="002D5ECA" w:rsidRDefault="004E5D19" w:rsidP="00B42C3D">
            <w:pPr>
              <w:keepNext/>
              <w:keepLines/>
              <w:tabs>
                <w:tab w:val="clear" w:pos="567"/>
              </w:tabs>
              <w:spacing w:before="60" w:after="60" w:line="200" w:lineRule="atLeast"/>
              <w:jc w:val="right"/>
              <w:rPr>
                <w:rFonts w:ascii="Calibri" w:eastAsia="Times New Roman" w:hAnsi="Calibri" w:cs="Times New Roman"/>
                <w:sz w:val="20"/>
                <w:szCs w:val="20"/>
                <w:lang w:eastAsia="en-AU"/>
              </w:rPr>
            </w:pPr>
            <w:r w:rsidRPr="002D5ECA">
              <w:rPr>
                <w:rFonts w:ascii="Calibri" w:eastAsia="Times New Roman" w:hAnsi="Calibri" w:cs="Times New Roman"/>
                <w:sz w:val="20"/>
                <w:szCs w:val="20"/>
                <w:lang w:eastAsia="en-AU"/>
              </w:rPr>
              <w:t>100 000 to 250 000</w:t>
            </w:r>
          </w:p>
        </w:tc>
        <w:tc>
          <w:tcPr>
            <w:tcW w:w="1037" w:type="dxa"/>
            <w:tcBorders>
              <w:top w:val="single" w:sz="4" w:space="0" w:color="auto"/>
              <w:bottom w:val="single" w:sz="4" w:space="0" w:color="auto"/>
            </w:tcBorders>
            <w:shd w:val="clear" w:color="auto" w:fill="auto"/>
            <w:vAlign w:val="center"/>
            <w:hideMark/>
          </w:tcPr>
          <w:p w:rsidR="004E5D19" w:rsidRPr="002D5ECA" w:rsidRDefault="004E5D19" w:rsidP="00B42C3D">
            <w:pPr>
              <w:keepNext/>
              <w:keepLines/>
              <w:tabs>
                <w:tab w:val="clear" w:pos="567"/>
              </w:tabs>
              <w:spacing w:before="60" w:after="60" w:line="200" w:lineRule="atLeast"/>
              <w:jc w:val="right"/>
              <w:rPr>
                <w:rFonts w:ascii="Calibri" w:eastAsia="Times New Roman" w:hAnsi="Calibri" w:cs="Times New Roman"/>
                <w:sz w:val="20"/>
                <w:szCs w:val="20"/>
                <w:lang w:eastAsia="en-AU"/>
              </w:rPr>
            </w:pPr>
            <w:r w:rsidRPr="002D5ECA">
              <w:rPr>
                <w:rFonts w:ascii="Calibri" w:eastAsia="Times New Roman" w:hAnsi="Calibri" w:cs="Times New Roman"/>
                <w:sz w:val="20"/>
                <w:szCs w:val="20"/>
                <w:lang w:eastAsia="en-AU"/>
              </w:rPr>
              <w:t>250 000 to 1 000 000</w:t>
            </w:r>
          </w:p>
        </w:tc>
        <w:tc>
          <w:tcPr>
            <w:tcW w:w="1036" w:type="dxa"/>
            <w:tcBorders>
              <w:top w:val="single" w:sz="4" w:space="0" w:color="auto"/>
              <w:bottom w:val="single" w:sz="4" w:space="0" w:color="auto"/>
            </w:tcBorders>
            <w:shd w:val="clear" w:color="auto" w:fill="auto"/>
            <w:vAlign w:val="center"/>
            <w:hideMark/>
          </w:tcPr>
          <w:p w:rsidR="004E5D19" w:rsidRPr="002D5ECA" w:rsidRDefault="004E5D19" w:rsidP="00B42C3D">
            <w:pPr>
              <w:keepNext/>
              <w:keepLines/>
              <w:tabs>
                <w:tab w:val="clear" w:pos="567"/>
              </w:tabs>
              <w:spacing w:before="60" w:after="60" w:line="200" w:lineRule="atLeast"/>
              <w:jc w:val="right"/>
              <w:rPr>
                <w:rFonts w:ascii="Calibri" w:eastAsia="Times New Roman" w:hAnsi="Calibri" w:cs="Times New Roman"/>
                <w:sz w:val="20"/>
                <w:szCs w:val="20"/>
                <w:lang w:eastAsia="en-AU"/>
              </w:rPr>
            </w:pPr>
            <w:r w:rsidRPr="002D5ECA">
              <w:rPr>
                <w:rFonts w:ascii="Calibri" w:eastAsia="Times New Roman" w:hAnsi="Calibri" w:cs="Times New Roman"/>
                <w:sz w:val="20"/>
                <w:szCs w:val="20"/>
                <w:lang w:eastAsia="en-AU"/>
              </w:rPr>
              <w:t>1 000 000 to 2 500 000</w:t>
            </w:r>
          </w:p>
        </w:tc>
        <w:tc>
          <w:tcPr>
            <w:tcW w:w="1036" w:type="dxa"/>
            <w:tcBorders>
              <w:top w:val="single" w:sz="4" w:space="0" w:color="auto"/>
              <w:bottom w:val="single" w:sz="4" w:space="0" w:color="auto"/>
            </w:tcBorders>
            <w:shd w:val="clear" w:color="auto" w:fill="auto"/>
            <w:vAlign w:val="center"/>
            <w:hideMark/>
          </w:tcPr>
          <w:p w:rsidR="004E5D19" w:rsidRPr="002D5ECA" w:rsidRDefault="004E5D19" w:rsidP="00B42C3D">
            <w:pPr>
              <w:keepNext/>
              <w:keepLines/>
              <w:tabs>
                <w:tab w:val="clear" w:pos="567"/>
              </w:tabs>
              <w:spacing w:before="60" w:after="60" w:line="200" w:lineRule="atLeast"/>
              <w:jc w:val="right"/>
              <w:rPr>
                <w:rFonts w:ascii="Calibri" w:eastAsia="Times New Roman" w:hAnsi="Calibri" w:cs="Times New Roman"/>
                <w:sz w:val="20"/>
                <w:szCs w:val="20"/>
                <w:lang w:eastAsia="en-AU"/>
              </w:rPr>
            </w:pPr>
            <w:r w:rsidRPr="002D5ECA">
              <w:rPr>
                <w:rFonts w:ascii="Calibri" w:eastAsia="Times New Roman" w:hAnsi="Calibri" w:cs="Times New Roman"/>
                <w:sz w:val="20"/>
                <w:szCs w:val="20"/>
                <w:lang w:eastAsia="en-AU"/>
              </w:rPr>
              <w:t>2 500 000 and over</w:t>
            </w:r>
          </w:p>
        </w:tc>
        <w:tc>
          <w:tcPr>
            <w:tcW w:w="1037" w:type="dxa"/>
            <w:tcBorders>
              <w:top w:val="single" w:sz="4" w:space="0" w:color="auto"/>
              <w:bottom w:val="single" w:sz="4" w:space="0" w:color="auto"/>
            </w:tcBorders>
            <w:shd w:val="clear" w:color="auto" w:fill="auto"/>
            <w:vAlign w:val="center"/>
            <w:hideMark/>
          </w:tcPr>
          <w:p w:rsidR="004E5D19" w:rsidRPr="002D5ECA" w:rsidRDefault="004E5D19" w:rsidP="00B42C3D">
            <w:pPr>
              <w:keepNext/>
              <w:keepLines/>
              <w:tabs>
                <w:tab w:val="clear" w:pos="567"/>
              </w:tabs>
              <w:spacing w:before="60" w:after="60" w:line="200" w:lineRule="atLeast"/>
              <w:jc w:val="right"/>
              <w:rPr>
                <w:rFonts w:ascii="Calibri" w:eastAsia="Times New Roman" w:hAnsi="Calibri" w:cs="Times New Roman"/>
                <w:sz w:val="20"/>
                <w:szCs w:val="20"/>
                <w:lang w:eastAsia="en-AU"/>
              </w:rPr>
            </w:pPr>
            <w:r w:rsidRPr="002D5ECA">
              <w:rPr>
                <w:rFonts w:ascii="Calibri" w:eastAsia="Times New Roman" w:hAnsi="Calibri" w:cs="Times New Roman"/>
                <w:sz w:val="20"/>
                <w:szCs w:val="20"/>
                <w:lang w:eastAsia="en-AU"/>
              </w:rPr>
              <w:t>Total</w:t>
            </w:r>
          </w:p>
        </w:tc>
      </w:tr>
      <w:tr w:rsidR="004E5D19" w:rsidRPr="002D5ECA" w:rsidTr="005203A0">
        <w:trPr>
          <w:trHeight w:hRule="exact" w:val="363"/>
        </w:trPr>
        <w:tc>
          <w:tcPr>
            <w:tcW w:w="1706" w:type="dxa"/>
            <w:tcBorders>
              <w:top w:val="single" w:sz="4" w:space="0" w:color="auto"/>
            </w:tcBorders>
            <w:shd w:val="clear" w:color="auto" w:fill="auto"/>
            <w:vAlign w:val="bottom"/>
            <w:hideMark/>
          </w:tcPr>
          <w:p w:rsidR="004E5D19" w:rsidRPr="002D5ECA" w:rsidRDefault="004E5D19" w:rsidP="00455C80">
            <w:pPr>
              <w:keepNext/>
              <w:keepLines/>
              <w:tabs>
                <w:tab w:val="clear" w:pos="567"/>
              </w:tabs>
              <w:spacing w:before="60" w:after="60" w:line="200" w:lineRule="atLeast"/>
              <w:ind w:left="193" w:hanging="142"/>
              <w:rPr>
                <w:rFonts w:ascii="Calibri" w:eastAsia="Times New Roman" w:hAnsi="Calibri" w:cs="Times New Roman"/>
                <w:sz w:val="20"/>
                <w:szCs w:val="20"/>
                <w:lang w:eastAsia="en-AU"/>
              </w:rPr>
            </w:pPr>
            <w:r w:rsidRPr="002D5ECA">
              <w:rPr>
                <w:rFonts w:ascii="Calibri" w:eastAsia="Times New Roman" w:hAnsi="Calibri" w:cs="Times New Roman"/>
                <w:sz w:val="20"/>
                <w:szCs w:val="20"/>
                <w:lang w:eastAsia="en-AU"/>
              </w:rPr>
              <w:t>Population ('000)</w:t>
            </w:r>
          </w:p>
        </w:tc>
        <w:tc>
          <w:tcPr>
            <w:tcW w:w="1036" w:type="dxa"/>
            <w:tcBorders>
              <w:top w:val="single" w:sz="4" w:space="0" w:color="auto"/>
            </w:tcBorders>
            <w:shd w:val="clear" w:color="auto" w:fill="auto"/>
            <w:vAlign w:val="bottom"/>
            <w:hideMark/>
          </w:tcPr>
          <w:p w:rsidR="004E5D19" w:rsidRPr="002D5ECA" w:rsidRDefault="004E5D19" w:rsidP="00455C80">
            <w:pPr>
              <w:keepNext/>
              <w:keepLines/>
              <w:tabs>
                <w:tab w:val="clear" w:pos="567"/>
              </w:tabs>
              <w:spacing w:before="60" w:after="60" w:line="200" w:lineRule="atLeast"/>
              <w:jc w:val="right"/>
              <w:rPr>
                <w:rFonts w:ascii="Calibri" w:eastAsia="Times New Roman" w:hAnsi="Calibri" w:cs="Times New Roman"/>
                <w:sz w:val="20"/>
                <w:szCs w:val="20"/>
                <w:lang w:eastAsia="en-AU"/>
              </w:rPr>
            </w:pPr>
            <w:r w:rsidRPr="002D5ECA">
              <w:rPr>
                <w:rFonts w:ascii="Calibri" w:eastAsia="Times New Roman" w:hAnsi="Calibri" w:cs="Times New Roman"/>
                <w:sz w:val="20"/>
                <w:szCs w:val="20"/>
                <w:lang w:eastAsia="en-AU"/>
              </w:rPr>
              <w:t>1 221</w:t>
            </w:r>
          </w:p>
        </w:tc>
        <w:tc>
          <w:tcPr>
            <w:tcW w:w="1036" w:type="dxa"/>
            <w:tcBorders>
              <w:top w:val="single" w:sz="4" w:space="0" w:color="auto"/>
            </w:tcBorders>
            <w:shd w:val="clear" w:color="auto" w:fill="auto"/>
            <w:vAlign w:val="bottom"/>
            <w:hideMark/>
          </w:tcPr>
          <w:p w:rsidR="004E5D19" w:rsidRPr="002D5ECA" w:rsidRDefault="004E5D19" w:rsidP="00455C80">
            <w:pPr>
              <w:keepNext/>
              <w:keepLines/>
              <w:tabs>
                <w:tab w:val="clear" w:pos="567"/>
              </w:tabs>
              <w:spacing w:before="60" w:after="60" w:line="200" w:lineRule="atLeast"/>
              <w:jc w:val="right"/>
              <w:rPr>
                <w:rFonts w:ascii="Calibri" w:eastAsia="Times New Roman" w:hAnsi="Calibri" w:cs="Times New Roman"/>
                <w:sz w:val="20"/>
                <w:szCs w:val="20"/>
                <w:lang w:eastAsia="en-AU"/>
              </w:rPr>
            </w:pPr>
            <w:r w:rsidRPr="002D5ECA">
              <w:rPr>
                <w:rFonts w:ascii="Calibri" w:eastAsia="Times New Roman" w:hAnsi="Calibri" w:cs="Times New Roman"/>
                <w:sz w:val="20"/>
                <w:szCs w:val="20"/>
                <w:lang w:eastAsia="en-AU"/>
              </w:rPr>
              <w:t>714</w:t>
            </w:r>
          </w:p>
        </w:tc>
        <w:tc>
          <w:tcPr>
            <w:tcW w:w="1036" w:type="dxa"/>
            <w:tcBorders>
              <w:top w:val="single" w:sz="4" w:space="0" w:color="auto"/>
            </w:tcBorders>
            <w:shd w:val="clear" w:color="auto" w:fill="auto"/>
            <w:vAlign w:val="bottom"/>
            <w:hideMark/>
          </w:tcPr>
          <w:p w:rsidR="004E5D19" w:rsidRPr="002D5ECA" w:rsidRDefault="004E5D19" w:rsidP="00455C80">
            <w:pPr>
              <w:keepNext/>
              <w:keepLines/>
              <w:tabs>
                <w:tab w:val="clear" w:pos="567"/>
              </w:tabs>
              <w:spacing w:before="60" w:after="60" w:line="200" w:lineRule="atLeast"/>
              <w:jc w:val="right"/>
              <w:rPr>
                <w:rFonts w:ascii="Calibri" w:eastAsia="Times New Roman" w:hAnsi="Calibri" w:cs="Times New Roman"/>
                <w:sz w:val="20"/>
                <w:szCs w:val="20"/>
                <w:lang w:eastAsia="en-AU"/>
              </w:rPr>
            </w:pPr>
            <w:r w:rsidRPr="002D5ECA">
              <w:rPr>
                <w:rFonts w:ascii="Calibri" w:eastAsia="Times New Roman" w:hAnsi="Calibri" w:cs="Times New Roman"/>
                <w:sz w:val="20"/>
                <w:szCs w:val="20"/>
                <w:lang w:eastAsia="en-AU"/>
              </w:rPr>
              <w:t>876</w:t>
            </w:r>
          </w:p>
        </w:tc>
        <w:tc>
          <w:tcPr>
            <w:tcW w:w="1037" w:type="dxa"/>
            <w:tcBorders>
              <w:top w:val="single" w:sz="4" w:space="0" w:color="auto"/>
            </w:tcBorders>
            <w:shd w:val="clear" w:color="auto" w:fill="auto"/>
            <w:vAlign w:val="bottom"/>
            <w:hideMark/>
          </w:tcPr>
          <w:p w:rsidR="004E5D19" w:rsidRPr="002D5ECA" w:rsidRDefault="004E5D19" w:rsidP="00455C80">
            <w:pPr>
              <w:keepNext/>
              <w:keepLines/>
              <w:tabs>
                <w:tab w:val="clear" w:pos="567"/>
              </w:tabs>
              <w:spacing w:before="60" w:after="60" w:line="200" w:lineRule="atLeast"/>
              <w:jc w:val="right"/>
              <w:rPr>
                <w:rFonts w:ascii="Calibri" w:eastAsia="Times New Roman" w:hAnsi="Calibri" w:cs="Times New Roman"/>
                <w:sz w:val="20"/>
                <w:szCs w:val="20"/>
                <w:lang w:eastAsia="en-AU"/>
              </w:rPr>
            </w:pPr>
            <w:r w:rsidRPr="002D5ECA">
              <w:rPr>
                <w:rFonts w:ascii="Calibri" w:eastAsia="Times New Roman" w:hAnsi="Calibri" w:cs="Times New Roman"/>
                <w:sz w:val="20"/>
                <w:szCs w:val="20"/>
                <w:lang w:eastAsia="en-AU"/>
              </w:rPr>
              <w:t>2 113</w:t>
            </w:r>
          </w:p>
        </w:tc>
        <w:tc>
          <w:tcPr>
            <w:tcW w:w="1036" w:type="dxa"/>
            <w:tcBorders>
              <w:top w:val="single" w:sz="4" w:space="0" w:color="auto"/>
            </w:tcBorders>
            <w:shd w:val="clear" w:color="auto" w:fill="auto"/>
            <w:vAlign w:val="bottom"/>
            <w:hideMark/>
          </w:tcPr>
          <w:p w:rsidR="004E5D19" w:rsidRPr="002D5ECA" w:rsidRDefault="004E5D19" w:rsidP="00455C80">
            <w:pPr>
              <w:keepNext/>
              <w:keepLines/>
              <w:tabs>
                <w:tab w:val="clear" w:pos="567"/>
              </w:tabs>
              <w:spacing w:before="60" w:after="60" w:line="200" w:lineRule="atLeast"/>
              <w:jc w:val="right"/>
              <w:rPr>
                <w:rFonts w:ascii="Calibri" w:eastAsia="Times New Roman" w:hAnsi="Calibri" w:cs="Times New Roman"/>
                <w:sz w:val="20"/>
                <w:szCs w:val="20"/>
                <w:lang w:eastAsia="en-AU"/>
              </w:rPr>
            </w:pPr>
            <w:r w:rsidRPr="002D5ECA">
              <w:rPr>
                <w:rFonts w:ascii="Calibri" w:eastAsia="Times New Roman" w:hAnsi="Calibri" w:cs="Times New Roman"/>
                <w:sz w:val="20"/>
                <w:szCs w:val="20"/>
                <w:lang w:eastAsia="en-AU"/>
              </w:rPr>
              <w:t>4 949</w:t>
            </w:r>
          </w:p>
        </w:tc>
        <w:tc>
          <w:tcPr>
            <w:tcW w:w="1036" w:type="dxa"/>
            <w:tcBorders>
              <w:top w:val="single" w:sz="4" w:space="0" w:color="auto"/>
            </w:tcBorders>
            <w:shd w:val="clear" w:color="auto" w:fill="auto"/>
            <w:vAlign w:val="bottom"/>
            <w:hideMark/>
          </w:tcPr>
          <w:p w:rsidR="004E5D19" w:rsidRPr="002D5ECA" w:rsidRDefault="004E5D19" w:rsidP="00455C80">
            <w:pPr>
              <w:keepNext/>
              <w:keepLines/>
              <w:tabs>
                <w:tab w:val="clear" w:pos="567"/>
              </w:tabs>
              <w:spacing w:before="60" w:after="60" w:line="200" w:lineRule="atLeast"/>
              <w:jc w:val="right"/>
              <w:rPr>
                <w:rFonts w:ascii="Calibri" w:eastAsia="Times New Roman" w:hAnsi="Calibri" w:cs="Times New Roman"/>
                <w:sz w:val="20"/>
                <w:szCs w:val="20"/>
                <w:lang w:eastAsia="en-AU"/>
              </w:rPr>
            </w:pPr>
            <w:r w:rsidRPr="002D5ECA">
              <w:rPr>
                <w:rFonts w:ascii="Calibri" w:eastAsia="Times New Roman" w:hAnsi="Calibri" w:cs="Times New Roman"/>
                <w:sz w:val="20"/>
                <w:szCs w:val="20"/>
                <w:lang w:eastAsia="en-AU"/>
              </w:rPr>
              <w:t>8 080</w:t>
            </w:r>
          </w:p>
        </w:tc>
        <w:tc>
          <w:tcPr>
            <w:tcW w:w="1037" w:type="dxa"/>
            <w:tcBorders>
              <w:top w:val="single" w:sz="4" w:space="0" w:color="auto"/>
            </w:tcBorders>
            <w:shd w:val="clear" w:color="auto" w:fill="auto"/>
            <w:vAlign w:val="bottom"/>
            <w:hideMark/>
          </w:tcPr>
          <w:p w:rsidR="004E5D19" w:rsidRPr="002D5ECA" w:rsidRDefault="004E5D19" w:rsidP="00455C80">
            <w:pPr>
              <w:keepNext/>
              <w:keepLines/>
              <w:tabs>
                <w:tab w:val="clear" w:pos="567"/>
              </w:tabs>
              <w:spacing w:before="60" w:after="60" w:line="200" w:lineRule="atLeast"/>
              <w:jc w:val="right"/>
              <w:rPr>
                <w:rFonts w:ascii="Calibri" w:eastAsia="Times New Roman" w:hAnsi="Calibri" w:cs="Times New Roman"/>
                <w:sz w:val="20"/>
                <w:szCs w:val="20"/>
                <w:lang w:eastAsia="en-AU"/>
              </w:rPr>
            </w:pPr>
            <w:r w:rsidRPr="002D5ECA">
              <w:rPr>
                <w:rFonts w:ascii="Calibri" w:eastAsia="Times New Roman" w:hAnsi="Calibri" w:cs="Times New Roman"/>
                <w:sz w:val="20"/>
                <w:szCs w:val="20"/>
                <w:lang w:eastAsia="en-AU"/>
              </w:rPr>
              <w:t>17 953</w:t>
            </w:r>
          </w:p>
        </w:tc>
      </w:tr>
      <w:tr w:rsidR="004E5D19" w:rsidRPr="002D5ECA" w:rsidTr="0085564A">
        <w:trPr>
          <w:trHeight w:hRule="exact" w:val="539"/>
        </w:trPr>
        <w:tc>
          <w:tcPr>
            <w:tcW w:w="1706" w:type="dxa"/>
            <w:shd w:val="clear" w:color="auto" w:fill="auto"/>
            <w:vAlign w:val="bottom"/>
            <w:hideMark/>
          </w:tcPr>
          <w:p w:rsidR="004E5D19" w:rsidRPr="002D5ECA" w:rsidRDefault="004E5D19" w:rsidP="00104653">
            <w:pPr>
              <w:keepNext/>
              <w:keepLines/>
              <w:tabs>
                <w:tab w:val="clear" w:pos="567"/>
              </w:tabs>
              <w:spacing w:before="60" w:after="60" w:line="200" w:lineRule="atLeast"/>
              <w:ind w:left="193" w:hanging="142"/>
              <w:rPr>
                <w:rFonts w:ascii="Calibri" w:eastAsia="Times New Roman" w:hAnsi="Calibri" w:cs="Times New Roman"/>
                <w:sz w:val="20"/>
                <w:szCs w:val="20"/>
                <w:lang w:eastAsia="en-AU"/>
              </w:rPr>
            </w:pPr>
            <w:r w:rsidRPr="002D5ECA">
              <w:rPr>
                <w:rFonts w:ascii="Calibri" w:eastAsia="Times New Roman" w:hAnsi="Calibri" w:cs="Times New Roman"/>
                <w:sz w:val="20"/>
                <w:szCs w:val="20"/>
                <w:lang w:eastAsia="en-AU"/>
              </w:rPr>
              <w:t>Per capita net expense ($</w:t>
            </w:r>
            <w:r w:rsidR="00DE366F">
              <w:rPr>
                <w:rFonts w:ascii="Calibri" w:eastAsia="Times New Roman" w:hAnsi="Calibri" w:cs="Times New Roman"/>
                <w:sz w:val="20"/>
                <w:szCs w:val="20"/>
                <w:lang w:eastAsia="en-AU"/>
              </w:rPr>
              <w:t>pc</w:t>
            </w:r>
            <w:r w:rsidRPr="002D5ECA">
              <w:rPr>
                <w:rFonts w:ascii="Calibri" w:eastAsia="Times New Roman" w:hAnsi="Calibri" w:cs="Times New Roman"/>
                <w:sz w:val="20"/>
                <w:szCs w:val="20"/>
                <w:lang w:eastAsia="en-AU"/>
              </w:rPr>
              <w:t>)</w:t>
            </w:r>
          </w:p>
        </w:tc>
        <w:tc>
          <w:tcPr>
            <w:tcW w:w="1036" w:type="dxa"/>
            <w:shd w:val="clear" w:color="auto" w:fill="auto"/>
            <w:vAlign w:val="bottom"/>
            <w:hideMark/>
          </w:tcPr>
          <w:p w:rsidR="004E5D19" w:rsidRPr="002D5ECA" w:rsidRDefault="004E5D19" w:rsidP="00455C80">
            <w:pPr>
              <w:keepNext/>
              <w:keepLines/>
              <w:tabs>
                <w:tab w:val="clear" w:pos="567"/>
              </w:tabs>
              <w:spacing w:before="60" w:after="60" w:line="200" w:lineRule="atLeast"/>
              <w:jc w:val="right"/>
              <w:rPr>
                <w:rFonts w:ascii="Calibri" w:eastAsia="Times New Roman" w:hAnsi="Calibri" w:cs="Times New Roman"/>
                <w:sz w:val="20"/>
                <w:szCs w:val="20"/>
                <w:lang w:eastAsia="en-AU"/>
              </w:rPr>
            </w:pPr>
            <w:r w:rsidRPr="002D5ECA">
              <w:rPr>
                <w:rFonts w:ascii="Calibri" w:eastAsia="Times New Roman" w:hAnsi="Calibri" w:cs="Times New Roman"/>
                <w:sz w:val="20"/>
                <w:szCs w:val="20"/>
                <w:lang w:eastAsia="en-AU"/>
              </w:rPr>
              <w:t>25</w:t>
            </w:r>
          </w:p>
        </w:tc>
        <w:tc>
          <w:tcPr>
            <w:tcW w:w="1036" w:type="dxa"/>
            <w:shd w:val="clear" w:color="auto" w:fill="auto"/>
            <w:vAlign w:val="bottom"/>
            <w:hideMark/>
          </w:tcPr>
          <w:p w:rsidR="004E5D19" w:rsidRPr="002D5ECA" w:rsidRDefault="004E5D19" w:rsidP="00455C80">
            <w:pPr>
              <w:keepNext/>
              <w:keepLines/>
              <w:tabs>
                <w:tab w:val="clear" w:pos="567"/>
              </w:tabs>
              <w:spacing w:before="60" w:after="60" w:line="200" w:lineRule="atLeast"/>
              <w:jc w:val="right"/>
              <w:rPr>
                <w:rFonts w:ascii="Calibri" w:eastAsia="Times New Roman" w:hAnsi="Calibri" w:cs="Times New Roman"/>
                <w:sz w:val="20"/>
                <w:szCs w:val="20"/>
                <w:lang w:eastAsia="en-AU"/>
              </w:rPr>
            </w:pPr>
            <w:r w:rsidRPr="002D5ECA">
              <w:rPr>
                <w:rFonts w:ascii="Calibri" w:eastAsia="Times New Roman" w:hAnsi="Calibri" w:cs="Times New Roman"/>
                <w:sz w:val="20"/>
                <w:szCs w:val="20"/>
                <w:lang w:eastAsia="en-AU"/>
              </w:rPr>
              <w:t>46</w:t>
            </w:r>
          </w:p>
        </w:tc>
        <w:tc>
          <w:tcPr>
            <w:tcW w:w="1036" w:type="dxa"/>
            <w:shd w:val="clear" w:color="auto" w:fill="auto"/>
            <w:vAlign w:val="bottom"/>
            <w:hideMark/>
          </w:tcPr>
          <w:p w:rsidR="004E5D19" w:rsidRPr="002D5ECA" w:rsidRDefault="004E5D19" w:rsidP="00455C80">
            <w:pPr>
              <w:keepNext/>
              <w:keepLines/>
              <w:tabs>
                <w:tab w:val="clear" w:pos="567"/>
              </w:tabs>
              <w:spacing w:before="60" w:after="60" w:line="200" w:lineRule="atLeast"/>
              <w:jc w:val="right"/>
              <w:rPr>
                <w:rFonts w:ascii="Calibri" w:eastAsia="Times New Roman" w:hAnsi="Calibri" w:cs="Times New Roman"/>
                <w:sz w:val="20"/>
                <w:szCs w:val="20"/>
                <w:lang w:eastAsia="en-AU"/>
              </w:rPr>
            </w:pPr>
            <w:r w:rsidRPr="002D5ECA">
              <w:rPr>
                <w:rFonts w:ascii="Calibri" w:eastAsia="Times New Roman" w:hAnsi="Calibri" w:cs="Times New Roman"/>
                <w:sz w:val="20"/>
                <w:szCs w:val="20"/>
                <w:lang w:eastAsia="en-AU"/>
              </w:rPr>
              <w:t>106</w:t>
            </w:r>
          </w:p>
        </w:tc>
        <w:tc>
          <w:tcPr>
            <w:tcW w:w="1037" w:type="dxa"/>
            <w:shd w:val="clear" w:color="auto" w:fill="auto"/>
            <w:vAlign w:val="bottom"/>
            <w:hideMark/>
          </w:tcPr>
          <w:p w:rsidR="004E5D19" w:rsidRPr="002D5ECA" w:rsidRDefault="004E5D19" w:rsidP="00455C80">
            <w:pPr>
              <w:keepNext/>
              <w:keepLines/>
              <w:tabs>
                <w:tab w:val="clear" w:pos="567"/>
              </w:tabs>
              <w:spacing w:before="60" w:after="60" w:line="200" w:lineRule="atLeast"/>
              <w:jc w:val="right"/>
              <w:rPr>
                <w:rFonts w:ascii="Calibri" w:eastAsia="Times New Roman" w:hAnsi="Calibri" w:cs="Times New Roman"/>
                <w:sz w:val="20"/>
                <w:szCs w:val="20"/>
                <w:lang w:eastAsia="en-AU"/>
              </w:rPr>
            </w:pPr>
            <w:r w:rsidRPr="002D5ECA">
              <w:rPr>
                <w:rFonts w:ascii="Calibri" w:eastAsia="Times New Roman" w:hAnsi="Calibri" w:cs="Times New Roman"/>
                <w:sz w:val="20"/>
                <w:szCs w:val="20"/>
                <w:lang w:eastAsia="en-AU"/>
              </w:rPr>
              <w:t>188</w:t>
            </w:r>
          </w:p>
        </w:tc>
        <w:tc>
          <w:tcPr>
            <w:tcW w:w="1036" w:type="dxa"/>
            <w:shd w:val="clear" w:color="auto" w:fill="auto"/>
            <w:vAlign w:val="bottom"/>
            <w:hideMark/>
          </w:tcPr>
          <w:p w:rsidR="004E5D19" w:rsidRPr="002D5ECA" w:rsidRDefault="004E5D19" w:rsidP="00455C80">
            <w:pPr>
              <w:keepNext/>
              <w:keepLines/>
              <w:tabs>
                <w:tab w:val="clear" w:pos="567"/>
              </w:tabs>
              <w:spacing w:before="60" w:after="60" w:line="200" w:lineRule="atLeast"/>
              <w:jc w:val="right"/>
              <w:rPr>
                <w:rFonts w:ascii="Calibri" w:eastAsia="Times New Roman" w:hAnsi="Calibri" w:cs="Times New Roman"/>
                <w:sz w:val="20"/>
                <w:szCs w:val="20"/>
                <w:lang w:eastAsia="en-AU"/>
              </w:rPr>
            </w:pPr>
            <w:r w:rsidRPr="002D5ECA">
              <w:rPr>
                <w:rFonts w:ascii="Calibri" w:eastAsia="Times New Roman" w:hAnsi="Calibri" w:cs="Times New Roman"/>
                <w:sz w:val="20"/>
                <w:szCs w:val="20"/>
                <w:lang w:eastAsia="en-AU"/>
              </w:rPr>
              <w:t>321</w:t>
            </w:r>
          </w:p>
        </w:tc>
        <w:tc>
          <w:tcPr>
            <w:tcW w:w="1036" w:type="dxa"/>
            <w:shd w:val="clear" w:color="auto" w:fill="auto"/>
            <w:vAlign w:val="bottom"/>
            <w:hideMark/>
          </w:tcPr>
          <w:p w:rsidR="004E5D19" w:rsidRPr="002D5ECA" w:rsidRDefault="004E5D19" w:rsidP="00455C80">
            <w:pPr>
              <w:keepNext/>
              <w:keepLines/>
              <w:tabs>
                <w:tab w:val="clear" w:pos="567"/>
              </w:tabs>
              <w:spacing w:before="60" w:after="60" w:line="200" w:lineRule="atLeast"/>
              <w:jc w:val="right"/>
              <w:rPr>
                <w:rFonts w:ascii="Calibri" w:eastAsia="Times New Roman" w:hAnsi="Calibri" w:cs="Times New Roman"/>
                <w:sz w:val="20"/>
                <w:szCs w:val="20"/>
                <w:lang w:eastAsia="en-AU"/>
              </w:rPr>
            </w:pPr>
            <w:r w:rsidRPr="002D5ECA">
              <w:rPr>
                <w:rFonts w:ascii="Calibri" w:eastAsia="Times New Roman" w:hAnsi="Calibri" w:cs="Times New Roman"/>
                <w:sz w:val="20"/>
                <w:szCs w:val="20"/>
                <w:lang w:eastAsia="en-AU"/>
              </w:rPr>
              <w:t>426</w:t>
            </w:r>
          </w:p>
        </w:tc>
        <w:tc>
          <w:tcPr>
            <w:tcW w:w="1037" w:type="dxa"/>
            <w:shd w:val="clear" w:color="auto" w:fill="auto"/>
            <w:vAlign w:val="bottom"/>
            <w:hideMark/>
          </w:tcPr>
          <w:p w:rsidR="004E5D19" w:rsidRPr="002D5ECA" w:rsidRDefault="004E5D19" w:rsidP="00455C80">
            <w:pPr>
              <w:keepNext/>
              <w:keepLines/>
              <w:tabs>
                <w:tab w:val="clear" w:pos="567"/>
              </w:tabs>
              <w:spacing w:before="60" w:after="60" w:line="200" w:lineRule="atLeast"/>
              <w:jc w:val="right"/>
              <w:rPr>
                <w:rFonts w:ascii="Calibri" w:eastAsia="Times New Roman" w:hAnsi="Calibri" w:cs="Times New Roman"/>
                <w:sz w:val="20"/>
                <w:szCs w:val="20"/>
                <w:lang w:eastAsia="en-AU"/>
              </w:rPr>
            </w:pPr>
            <w:r w:rsidRPr="002D5ECA">
              <w:rPr>
                <w:rFonts w:ascii="Calibri" w:eastAsia="Times New Roman" w:hAnsi="Calibri" w:cs="Times New Roman"/>
                <w:sz w:val="20"/>
                <w:szCs w:val="20"/>
                <w:lang w:eastAsia="en-AU"/>
              </w:rPr>
              <w:t>311</w:t>
            </w:r>
          </w:p>
        </w:tc>
      </w:tr>
    </w:tbl>
    <w:p w:rsidR="004E5D19" w:rsidRPr="002D5ECA" w:rsidRDefault="004E5D19" w:rsidP="004E5D19">
      <w:pPr>
        <w:pStyle w:val="CGCTableFootnote"/>
        <w:ind w:left="0" w:firstLine="0"/>
      </w:pPr>
      <w:r w:rsidRPr="002D5ECA">
        <w:t>Source:</w:t>
      </w:r>
      <w:r w:rsidRPr="002D5ECA">
        <w:tab/>
        <w:t>Commission estimates based on State data</w:t>
      </w:r>
      <w:r w:rsidR="00457F2A">
        <w:t>, 2015 Review</w:t>
      </w:r>
      <w:r w:rsidRPr="002D5ECA">
        <w:t>.</w:t>
      </w:r>
    </w:p>
    <w:p w:rsidR="002F3393" w:rsidRPr="00221AF2" w:rsidRDefault="004E5D19" w:rsidP="007A719A">
      <w:pPr>
        <w:pStyle w:val="CGCNumberedPara"/>
      </w:pPr>
      <w:bookmarkStart w:id="34" w:name="_Ref507156248"/>
      <w:r w:rsidRPr="002D5ECA">
        <w:t>The</w:t>
      </w:r>
      <w:r w:rsidR="00C119C6">
        <w:t xml:space="preserve"> transport consultants engaged for the </w:t>
      </w:r>
      <w:r w:rsidRPr="002D5ECA">
        <w:t>2010 Review</w:t>
      </w:r>
      <w:r w:rsidRPr="002D5ECA">
        <w:rPr>
          <w:rStyle w:val="FootnoteReference"/>
        </w:rPr>
        <w:footnoteReference w:id="1"/>
      </w:r>
      <w:r w:rsidRPr="002D5ECA">
        <w:t xml:space="preserve"> </w:t>
      </w:r>
      <w:r w:rsidR="002F3393">
        <w:t>advised</w:t>
      </w:r>
      <w:r w:rsidR="00C119C6">
        <w:t xml:space="preserve"> that,</w:t>
      </w:r>
      <w:r w:rsidRPr="002D5ECA">
        <w:t xml:space="preserve"> in general, public transport operating subsidy per capita rises as city size increases </w:t>
      </w:r>
      <w:r w:rsidR="00C119C6">
        <w:t xml:space="preserve">because </w:t>
      </w:r>
      <w:r w:rsidR="009E7F9B">
        <w:t xml:space="preserve">of </w:t>
      </w:r>
      <w:r w:rsidRPr="002D5ECA">
        <w:t xml:space="preserve">the greater quantity of travel per </w:t>
      </w:r>
      <w:r w:rsidR="00C119C6">
        <w:t>capita made by public transport</w:t>
      </w:r>
      <w:r w:rsidR="00A45D72">
        <w:t xml:space="preserve">. </w:t>
      </w:r>
      <w:r w:rsidR="00C119C6">
        <w:t xml:space="preserve">In addition, </w:t>
      </w:r>
      <w:r w:rsidR="002F3393">
        <w:t xml:space="preserve">the </w:t>
      </w:r>
      <w:r w:rsidRPr="00221AF2">
        <w:t>quantity of travel by public transport</w:t>
      </w:r>
      <w:r w:rsidR="002F3393">
        <w:t xml:space="preserve"> (</w:t>
      </w:r>
      <w:r w:rsidR="00FB5C84">
        <w:t>as</w:t>
      </w:r>
      <w:r w:rsidR="00BE63AE">
        <w:t xml:space="preserve"> measured by </w:t>
      </w:r>
      <w:r w:rsidRPr="00221AF2">
        <w:t>passenger-kilometres</w:t>
      </w:r>
      <w:r w:rsidR="002F3393">
        <w:t>)</w:t>
      </w:r>
      <w:r w:rsidR="00FB5C84">
        <w:t xml:space="preserve"> </w:t>
      </w:r>
      <w:r w:rsidRPr="00221AF2">
        <w:t xml:space="preserve">rises even faster </w:t>
      </w:r>
      <w:r w:rsidR="00FB5C84">
        <w:t>in growing urban centres</w:t>
      </w:r>
      <w:r w:rsidR="002F3393">
        <w:t xml:space="preserve"> </w:t>
      </w:r>
      <w:r w:rsidR="00FB5C84">
        <w:t xml:space="preserve">because </w:t>
      </w:r>
      <w:r w:rsidRPr="00221AF2">
        <w:t xml:space="preserve">average trip distance </w:t>
      </w:r>
      <w:r w:rsidR="00BE63AE">
        <w:t xml:space="preserve">increases </w:t>
      </w:r>
      <w:r w:rsidR="00FB5C84">
        <w:t xml:space="preserve">as urban </w:t>
      </w:r>
      <w:r w:rsidR="00BE63AE">
        <w:t>area</w:t>
      </w:r>
      <w:r w:rsidR="00FB5C84">
        <w:t xml:space="preserve"> grows</w:t>
      </w:r>
      <w:r w:rsidRPr="00221AF2">
        <w:t>. Based on this</w:t>
      </w:r>
      <w:r w:rsidR="007A719A">
        <w:t xml:space="preserve"> advice</w:t>
      </w:r>
      <w:r w:rsidRPr="00221AF2">
        <w:t xml:space="preserve">, </w:t>
      </w:r>
      <w:r w:rsidR="00BE63AE">
        <w:t>the Commission</w:t>
      </w:r>
      <w:r w:rsidRPr="00221AF2">
        <w:t xml:space="preserve"> consider</w:t>
      </w:r>
      <w:r w:rsidR="004D7F64" w:rsidRPr="00221AF2">
        <w:t>ed</w:t>
      </w:r>
      <w:r w:rsidRPr="00221AF2">
        <w:t xml:space="preserve"> urban population size </w:t>
      </w:r>
      <w:r w:rsidR="00214D36">
        <w:t>was</w:t>
      </w:r>
      <w:r w:rsidR="004D7F64" w:rsidRPr="00221AF2">
        <w:t xml:space="preserve"> </w:t>
      </w:r>
      <w:r w:rsidRPr="00221AF2">
        <w:t>an appropriate proxy for the transport task</w:t>
      </w:r>
      <w:r w:rsidR="004D7F64" w:rsidRPr="00221AF2">
        <w:t xml:space="preserve"> in the </w:t>
      </w:r>
      <w:r w:rsidR="00E146FB">
        <w:t xml:space="preserve">2010 and </w:t>
      </w:r>
      <w:r w:rsidR="004D7F64" w:rsidRPr="00221AF2">
        <w:t xml:space="preserve">2015 </w:t>
      </w:r>
      <w:r w:rsidR="00E146FB">
        <w:t>R</w:t>
      </w:r>
      <w:r w:rsidR="004D7F64" w:rsidRPr="00221AF2">
        <w:t>eview</w:t>
      </w:r>
      <w:r w:rsidR="00E146FB">
        <w:t>s</w:t>
      </w:r>
      <w:r w:rsidR="004D7F64" w:rsidRPr="00221AF2">
        <w:t>.</w:t>
      </w:r>
      <w:bookmarkEnd w:id="34"/>
      <w:r w:rsidR="002F3393">
        <w:t xml:space="preserve"> </w:t>
      </w:r>
    </w:p>
    <w:p w:rsidR="001742F2" w:rsidRDefault="005939DE" w:rsidP="001742F2">
      <w:pPr>
        <w:pStyle w:val="CGCNumberedPara"/>
      </w:pPr>
      <w:r w:rsidRPr="00221AF2">
        <w:fldChar w:fldCharType="begin"/>
      </w:r>
      <w:r w:rsidRPr="00221AF2">
        <w:instrText xml:space="preserve"> REF _Ref507155607 \h </w:instrText>
      </w:r>
      <w:r w:rsidR="00221AF2">
        <w:instrText xml:space="preserve"> \* MERGEFORMAT </w:instrText>
      </w:r>
      <w:r w:rsidRPr="00221AF2">
        <w:fldChar w:fldCharType="separate"/>
      </w:r>
      <w:r w:rsidR="000819F3" w:rsidRPr="0002253F">
        <w:t>Table</w:t>
      </w:r>
      <w:r w:rsidR="000819F3">
        <w:t xml:space="preserve"> 4</w:t>
      </w:r>
      <w:r w:rsidRPr="00221AF2">
        <w:fldChar w:fldCharType="end"/>
      </w:r>
      <w:r w:rsidR="004C3334" w:rsidRPr="00221AF2">
        <w:t xml:space="preserve"> </w:t>
      </w:r>
      <w:r w:rsidR="004E5D19" w:rsidRPr="00221AF2">
        <w:t>show</w:t>
      </w:r>
      <w:r w:rsidR="00221AF2">
        <w:t>s</w:t>
      </w:r>
      <w:r w:rsidR="004E5D19" w:rsidRPr="00221AF2">
        <w:t xml:space="preserve"> </w:t>
      </w:r>
      <w:r w:rsidR="000A1A0D">
        <w:t xml:space="preserve">the </w:t>
      </w:r>
      <w:r w:rsidR="004E5D19" w:rsidRPr="00221AF2">
        <w:t>transport task as measured by per capita passenger-kilometres</w:t>
      </w:r>
      <w:r w:rsidR="00E15998">
        <w:t xml:space="preserve"> and </w:t>
      </w:r>
      <w:r w:rsidR="00E15998" w:rsidRPr="00221AF2">
        <w:t>per capita net expenses</w:t>
      </w:r>
      <w:r w:rsidR="00115EF7">
        <w:t xml:space="preserve"> for the State capital cities</w:t>
      </w:r>
      <w:r w:rsidR="00BF0E86">
        <w:t>.</w:t>
      </w:r>
      <w:r w:rsidR="001742F2">
        <w:t xml:space="preserve"> </w:t>
      </w:r>
    </w:p>
    <w:p w:rsidR="008115FB" w:rsidRDefault="008115FB" w:rsidP="0002253F">
      <w:pPr>
        <w:pStyle w:val="CGCTableHeading"/>
      </w:pPr>
      <w:bookmarkStart w:id="35" w:name="_Ref507155607"/>
      <w:r w:rsidRPr="0002253F">
        <w:lastRenderedPageBreak/>
        <w:t>Table</w:t>
      </w:r>
      <w:r>
        <w:t xml:space="preserve"> </w:t>
      </w:r>
      <w:r w:rsidR="00654065">
        <w:fldChar w:fldCharType="begin"/>
      </w:r>
      <w:r w:rsidR="00654065">
        <w:instrText xml:space="preserve"> SEQ Table \* ARABIC </w:instrText>
      </w:r>
      <w:r w:rsidR="00654065">
        <w:fldChar w:fldCharType="separate"/>
      </w:r>
      <w:r w:rsidR="000819F3">
        <w:rPr>
          <w:noProof/>
        </w:rPr>
        <w:t>4</w:t>
      </w:r>
      <w:r w:rsidR="00654065">
        <w:rPr>
          <w:noProof/>
        </w:rPr>
        <w:fldChar w:fldCharType="end"/>
      </w:r>
      <w:bookmarkEnd w:id="35"/>
      <w:r>
        <w:tab/>
      </w:r>
      <w:r w:rsidRPr="00BE34A3">
        <w:t>Per capita net expenses and transport task by capital city, average of 2009</w:t>
      </w:r>
      <w:r>
        <w:noBreakHyphen/>
      </w:r>
      <w:r w:rsidRPr="00BE34A3">
        <w:t xml:space="preserve">10 to </w:t>
      </w:r>
      <w:r w:rsidRPr="008115FB">
        <w:t>2011</w:t>
      </w:r>
      <w:r w:rsidR="00A00C7B">
        <w:t>-</w:t>
      </w:r>
      <w:r w:rsidRPr="00BE34A3">
        <w:t>12</w:t>
      </w:r>
    </w:p>
    <w:tbl>
      <w:tblPr>
        <w:tblW w:w="9074" w:type="dxa"/>
        <w:tblLayout w:type="fixed"/>
        <w:tblCellMar>
          <w:left w:w="0" w:type="dxa"/>
          <w:right w:w="0" w:type="dxa"/>
        </w:tblCellMar>
        <w:tblLook w:val="04A0" w:firstRow="1" w:lastRow="0" w:firstColumn="1" w:lastColumn="0" w:noHBand="0" w:noVBand="1"/>
      </w:tblPr>
      <w:tblGrid>
        <w:gridCol w:w="2268"/>
        <w:gridCol w:w="779"/>
        <w:gridCol w:w="1092"/>
        <w:gridCol w:w="901"/>
        <w:gridCol w:w="646"/>
        <w:gridCol w:w="905"/>
        <w:gridCol w:w="765"/>
        <w:gridCol w:w="939"/>
        <w:gridCol w:w="779"/>
      </w:tblGrid>
      <w:tr w:rsidR="008115FB" w:rsidRPr="002D5ECA" w:rsidTr="00150643">
        <w:trPr>
          <w:trHeight w:hRule="exact" w:val="363"/>
        </w:trPr>
        <w:tc>
          <w:tcPr>
            <w:tcW w:w="2268" w:type="dxa"/>
            <w:tcBorders>
              <w:top w:val="single" w:sz="4" w:space="0" w:color="auto"/>
              <w:left w:val="nil"/>
              <w:bottom w:val="single" w:sz="4" w:space="0" w:color="auto"/>
              <w:right w:val="nil"/>
            </w:tcBorders>
            <w:shd w:val="clear" w:color="auto" w:fill="auto"/>
            <w:noWrap/>
            <w:vAlign w:val="center"/>
            <w:hideMark/>
          </w:tcPr>
          <w:p w:rsidR="008115FB" w:rsidRPr="008B138D" w:rsidRDefault="008115FB" w:rsidP="008115FB">
            <w:pPr>
              <w:keepNext/>
              <w:keepLines/>
              <w:spacing w:before="60" w:after="60" w:line="200" w:lineRule="atLeast"/>
              <w:jc w:val="right"/>
              <w:rPr>
                <w:rFonts w:ascii="Calibri" w:eastAsia="Times New Roman" w:hAnsi="Calibri" w:cs="Times New Roman"/>
                <w:sz w:val="20"/>
                <w:szCs w:val="20"/>
                <w:lang w:eastAsia="en-AU"/>
              </w:rPr>
            </w:pPr>
            <w:bookmarkStart w:id="36" w:name="RANGE!A2:I4"/>
            <w:r w:rsidRPr="008B138D">
              <w:rPr>
                <w:rFonts w:ascii="Calibri" w:eastAsia="Times New Roman" w:hAnsi="Calibri" w:cs="Times New Roman"/>
                <w:sz w:val="20"/>
                <w:szCs w:val="20"/>
                <w:lang w:eastAsia="en-AU"/>
              </w:rPr>
              <w:t> </w:t>
            </w:r>
            <w:bookmarkEnd w:id="36"/>
          </w:p>
        </w:tc>
        <w:tc>
          <w:tcPr>
            <w:tcW w:w="779" w:type="dxa"/>
            <w:tcBorders>
              <w:top w:val="single" w:sz="4" w:space="0" w:color="auto"/>
              <w:left w:val="nil"/>
              <w:bottom w:val="single" w:sz="4" w:space="0" w:color="auto"/>
              <w:right w:val="nil"/>
            </w:tcBorders>
            <w:shd w:val="clear" w:color="auto" w:fill="auto"/>
            <w:noWrap/>
            <w:vAlign w:val="center"/>
            <w:hideMark/>
          </w:tcPr>
          <w:p w:rsidR="008115FB" w:rsidRPr="002D5ECA" w:rsidRDefault="008115FB" w:rsidP="008115FB">
            <w:pPr>
              <w:keepNext/>
              <w:keepLines/>
              <w:tabs>
                <w:tab w:val="clear" w:pos="567"/>
              </w:tabs>
              <w:spacing w:before="60" w:after="60" w:line="200" w:lineRule="atLeast"/>
              <w:jc w:val="right"/>
              <w:rPr>
                <w:rFonts w:ascii="Calibri" w:eastAsia="Times New Roman" w:hAnsi="Calibri" w:cs="Times New Roman"/>
                <w:sz w:val="20"/>
                <w:szCs w:val="20"/>
                <w:lang w:eastAsia="en-AU"/>
              </w:rPr>
            </w:pPr>
            <w:r w:rsidRPr="002D5ECA">
              <w:rPr>
                <w:rFonts w:ascii="Calibri" w:eastAsia="Times New Roman" w:hAnsi="Calibri" w:cs="Times New Roman"/>
                <w:sz w:val="20"/>
                <w:szCs w:val="20"/>
                <w:lang w:eastAsia="en-AU"/>
              </w:rPr>
              <w:t>Sydney</w:t>
            </w:r>
          </w:p>
        </w:tc>
        <w:tc>
          <w:tcPr>
            <w:tcW w:w="1092" w:type="dxa"/>
            <w:tcBorders>
              <w:top w:val="single" w:sz="4" w:space="0" w:color="auto"/>
              <w:left w:val="nil"/>
              <w:bottom w:val="single" w:sz="4" w:space="0" w:color="auto"/>
              <w:right w:val="nil"/>
            </w:tcBorders>
            <w:shd w:val="clear" w:color="auto" w:fill="auto"/>
            <w:noWrap/>
            <w:vAlign w:val="center"/>
            <w:hideMark/>
          </w:tcPr>
          <w:p w:rsidR="008115FB" w:rsidRPr="002D5ECA" w:rsidRDefault="008115FB" w:rsidP="008115FB">
            <w:pPr>
              <w:keepNext/>
              <w:keepLines/>
              <w:tabs>
                <w:tab w:val="clear" w:pos="567"/>
              </w:tabs>
              <w:spacing w:before="60" w:after="60" w:line="200" w:lineRule="atLeast"/>
              <w:jc w:val="right"/>
              <w:rPr>
                <w:rFonts w:ascii="Calibri" w:eastAsia="Times New Roman" w:hAnsi="Calibri" w:cs="Times New Roman"/>
                <w:sz w:val="20"/>
                <w:szCs w:val="20"/>
                <w:lang w:eastAsia="en-AU"/>
              </w:rPr>
            </w:pPr>
            <w:r w:rsidRPr="002D5ECA">
              <w:rPr>
                <w:rFonts w:ascii="Calibri" w:eastAsia="Times New Roman" w:hAnsi="Calibri" w:cs="Times New Roman"/>
                <w:sz w:val="20"/>
                <w:szCs w:val="20"/>
                <w:lang w:eastAsia="en-AU"/>
              </w:rPr>
              <w:t>Melbourne</w:t>
            </w:r>
          </w:p>
        </w:tc>
        <w:tc>
          <w:tcPr>
            <w:tcW w:w="901" w:type="dxa"/>
            <w:tcBorders>
              <w:top w:val="single" w:sz="4" w:space="0" w:color="auto"/>
              <w:left w:val="nil"/>
              <w:bottom w:val="single" w:sz="4" w:space="0" w:color="auto"/>
              <w:right w:val="nil"/>
            </w:tcBorders>
            <w:shd w:val="clear" w:color="auto" w:fill="auto"/>
            <w:noWrap/>
            <w:vAlign w:val="center"/>
            <w:hideMark/>
          </w:tcPr>
          <w:p w:rsidR="008115FB" w:rsidRPr="002D5ECA" w:rsidRDefault="008115FB" w:rsidP="008115FB">
            <w:pPr>
              <w:keepNext/>
              <w:keepLines/>
              <w:tabs>
                <w:tab w:val="clear" w:pos="567"/>
              </w:tabs>
              <w:spacing w:before="60" w:after="60" w:line="200" w:lineRule="atLeast"/>
              <w:jc w:val="right"/>
              <w:rPr>
                <w:rFonts w:ascii="Calibri" w:eastAsia="Times New Roman" w:hAnsi="Calibri" w:cs="Times New Roman"/>
                <w:sz w:val="20"/>
                <w:szCs w:val="20"/>
                <w:lang w:eastAsia="en-AU"/>
              </w:rPr>
            </w:pPr>
            <w:r w:rsidRPr="002D5ECA">
              <w:rPr>
                <w:rFonts w:ascii="Calibri" w:eastAsia="Times New Roman" w:hAnsi="Calibri" w:cs="Times New Roman"/>
                <w:sz w:val="20"/>
                <w:szCs w:val="20"/>
                <w:lang w:eastAsia="en-AU"/>
              </w:rPr>
              <w:t>Brisbane</w:t>
            </w:r>
          </w:p>
        </w:tc>
        <w:tc>
          <w:tcPr>
            <w:tcW w:w="646" w:type="dxa"/>
            <w:tcBorders>
              <w:top w:val="single" w:sz="4" w:space="0" w:color="auto"/>
              <w:left w:val="nil"/>
              <w:bottom w:val="single" w:sz="4" w:space="0" w:color="auto"/>
              <w:right w:val="nil"/>
            </w:tcBorders>
            <w:shd w:val="clear" w:color="auto" w:fill="auto"/>
            <w:noWrap/>
            <w:vAlign w:val="center"/>
            <w:hideMark/>
          </w:tcPr>
          <w:p w:rsidR="008115FB" w:rsidRPr="002D5ECA" w:rsidRDefault="008115FB" w:rsidP="008115FB">
            <w:pPr>
              <w:keepNext/>
              <w:keepLines/>
              <w:tabs>
                <w:tab w:val="clear" w:pos="567"/>
              </w:tabs>
              <w:spacing w:before="60" w:after="60" w:line="200" w:lineRule="atLeast"/>
              <w:jc w:val="right"/>
              <w:rPr>
                <w:rFonts w:ascii="Calibri" w:eastAsia="Times New Roman" w:hAnsi="Calibri" w:cs="Times New Roman"/>
                <w:sz w:val="20"/>
                <w:szCs w:val="20"/>
                <w:lang w:eastAsia="en-AU"/>
              </w:rPr>
            </w:pPr>
            <w:r w:rsidRPr="002D5ECA">
              <w:rPr>
                <w:rFonts w:ascii="Calibri" w:eastAsia="Times New Roman" w:hAnsi="Calibri" w:cs="Times New Roman"/>
                <w:sz w:val="20"/>
                <w:szCs w:val="20"/>
                <w:lang w:eastAsia="en-AU"/>
              </w:rPr>
              <w:t>Perth</w:t>
            </w:r>
          </w:p>
        </w:tc>
        <w:tc>
          <w:tcPr>
            <w:tcW w:w="905" w:type="dxa"/>
            <w:tcBorders>
              <w:top w:val="single" w:sz="4" w:space="0" w:color="auto"/>
              <w:left w:val="nil"/>
              <w:bottom w:val="single" w:sz="4" w:space="0" w:color="auto"/>
              <w:right w:val="nil"/>
            </w:tcBorders>
            <w:shd w:val="clear" w:color="auto" w:fill="auto"/>
            <w:noWrap/>
            <w:vAlign w:val="center"/>
            <w:hideMark/>
          </w:tcPr>
          <w:p w:rsidR="008115FB" w:rsidRPr="002D5ECA" w:rsidRDefault="008115FB" w:rsidP="008115FB">
            <w:pPr>
              <w:keepNext/>
              <w:keepLines/>
              <w:tabs>
                <w:tab w:val="clear" w:pos="567"/>
              </w:tabs>
              <w:spacing w:before="60" w:after="60" w:line="200" w:lineRule="atLeast"/>
              <w:jc w:val="right"/>
              <w:rPr>
                <w:rFonts w:ascii="Calibri" w:eastAsia="Times New Roman" w:hAnsi="Calibri" w:cs="Times New Roman"/>
                <w:sz w:val="20"/>
                <w:szCs w:val="20"/>
                <w:lang w:eastAsia="en-AU"/>
              </w:rPr>
            </w:pPr>
            <w:r w:rsidRPr="002D5ECA">
              <w:rPr>
                <w:rFonts w:ascii="Calibri" w:eastAsia="Times New Roman" w:hAnsi="Calibri" w:cs="Times New Roman"/>
                <w:sz w:val="20"/>
                <w:szCs w:val="20"/>
                <w:lang w:eastAsia="en-AU"/>
              </w:rPr>
              <w:t>Adelaide</w:t>
            </w:r>
          </w:p>
        </w:tc>
        <w:tc>
          <w:tcPr>
            <w:tcW w:w="765" w:type="dxa"/>
            <w:tcBorders>
              <w:top w:val="single" w:sz="4" w:space="0" w:color="auto"/>
              <w:left w:val="nil"/>
              <w:bottom w:val="single" w:sz="4" w:space="0" w:color="auto"/>
              <w:right w:val="nil"/>
            </w:tcBorders>
            <w:shd w:val="clear" w:color="auto" w:fill="auto"/>
            <w:noWrap/>
            <w:vAlign w:val="center"/>
            <w:hideMark/>
          </w:tcPr>
          <w:p w:rsidR="008115FB" w:rsidRPr="002D5ECA" w:rsidRDefault="008115FB" w:rsidP="008115FB">
            <w:pPr>
              <w:keepNext/>
              <w:keepLines/>
              <w:tabs>
                <w:tab w:val="clear" w:pos="567"/>
              </w:tabs>
              <w:spacing w:before="60" w:after="60" w:line="200" w:lineRule="atLeast"/>
              <w:jc w:val="right"/>
              <w:rPr>
                <w:rFonts w:ascii="Calibri" w:eastAsia="Times New Roman" w:hAnsi="Calibri" w:cs="Times New Roman"/>
                <w:sz w:val="20"/>
                <w:szCs w:val="20"/>
                <w:lang w:eastAsia="en-AU"/>
              </w:rPr>
            </w:pPr>
            <w:r w:rsidRPr="002D5ECA">
              <w:rPr>
                <w:rFonts w:ascii="Calibri" w:eastAsia="Times New Roman" w:hAnsi="Calibri" w:cs="Times New Roman"/>
                <w:sz w:val="20"/>
                <w:szCs w:val="20"/>
                <w:lang w:eastAsia="en-AU"/>
              </w:rPr>
              <w:t>Hobart</w:t>
            </w:r>
          </w:p>
        </w:tc>
        <w:tc>
          <w:tcPr>
            <w:tcW w:w="939" w:type="dxa"/>
            <w:tcBorders>
              <w:top w:val="single" w:sz="4" w:space="0" w:color="auto"/>
              <w:left w:val="nil"/>
              <w:bottom w:val="single" w:sz="4" w:space="0" w:color="auto"/>
              <w:right w:val="nil"/>
            </w:tcBorders>
            <w:shd w:val="clear" w:color="auto" w:fill="auto"/>
            <w:noWrap/>
            <w:vAlign w:val="center"/>
            <w:hideMark/>
          </w:tcPr>
          <w:p w:rsidR="008115FB" w:rsidRPr="002D5ECA" w:rsidRDefault="008115FB" w:rsidP="008115FB">
            <w:pPr>
              <w:keepNext/>
              <w:keepLines/>
              <w:tabs>
                <w:tab w:val="clear" w:pos="567"/>
              </w:tabs>
              <w:spacing w:before="60" w:after="60" w:line="200" w:lineRule="atLeast"/>
              <w:jc w:val="right"/>
              <w:rPr>
                <w:rFonts w:ascii="Calibri" w:eastAsia="Times New Roman" w:hAnsi="Calibri" w:cs="Times New Roman"/>
                <w:sz w:val="20"/>
                <w:szCs w:val="20"/>
                <w:lang w:eastAsia="en-AU"/>
              </w:rPr>
            </w:pPr>
            <w:r w:rsidRPr="002D5ECA">
              <w:rPr>
                <w:rFonts w:ascii="Calibri" w:eastAsia="Times New Roman" w:hAnsi="Calibri" w:cs="Times New Roman"/>
                <w:sz w:val="20"/>
                <w:szCs w:val="20"/>
                <w:lang w:eastAsia="en-AU"/>
              </w:rPr>
              <w:t>Canberra</w:t>
            </w:r>
          </w:p>
        </w:tc>
        <w:tc>
          <w:tcPr>
            <w:tcW w:w="779" w:type="dxa"/>
            <w:tcBorders>
              <w:top w:val="single" w:sz="4" w:space="0" w:color="auto"/>
              <w:left w:val="nil"/>
              <w:bottom w:val="single" w:sz="4" w:space="0" w:color="auto"/>
              <w:right w:val="nil"/>
            </w:tcBorders>
            <w:shd w:val="clear" w:color="auto" w:fill="auto"/>
            <w:noWrap/>
            <w:vAlign w:val="center"/>
            <w:hideMark/>
          </w:tcPr>
          <w:p w:rsidR="008115FB" w:rsidRPr="002D5ECA" w:rsidRDefault="008115FB" w:rsidP="008115FB">
            <w:pPr>
              <w:keepNext/>
              <w:keepLines/>
              <w:tabs>
                <w:tab w:val="clear" w:pos="567"/>
              </w:tabs>
              <w:spacing w:before="60" w:after="60" w:line="200" w:lineRule="atLeast"/>
              <w:jc w:val="right"/>
              <w:rPr>
                <w:rFonts w:ascii="Calibri" w:eastAsia="Times New Roman" w:hAnsi="Calibri" w:cs="Times New Roman"/>
                <w:sz w:val="20"/>
                <w:szCs w:val="20"/>
                <w:lang w:eastAsia="en-AU"/>
              </w:rPr>
            </w:pPr>
            <w:r w:rsidRPr="002D5ECA">
              <w:rPr>
                <w:rFonts w:ascii="Calibri" w:eastAsia="Times New Roman" w:hAnsi="Calibri" w:cs="Times New Roman"/>
                <w:sz w:val="20"/>
                <w:szCs w:val="20"/>
                <w:lang w:eastAsia="en-AU"/>
              </w:rPr>
              <w:t>Darwin</w:t>
            </w:r>
          </w:p>
        </w:tc>
      </w:tr>
      <w:tr w:rsidR="008115FB" w:rsidRPr="002D5ECA" w:rsidTr="00150643">
        <w:trPr>
          <w:trHeight w:hRule="exact" w:val="363"/>
        </w:trPr>
        <w:tc>
          <w:tcPr>
            <w:tcW w:w="2268" w:type="dxa"/>
            <w:tcBorders>
              <w:top w:val="nil"/>
              <w:left w:val="nil"/>
              <w:bottom w:val="nil"/>
              <w:right w:val="nil"/>
            </w:tcBorders>
            <w:shd w:val="clear" w:color="auto" w:fill="auto"/>
            <w:vAlign w:val="bottom"/>
            <w:hideMark/>
          </w:tcPr>
          <w:p w:rsidR="008115FB" w:rsidRPr="002D5ECA" w:rsidRDefault="008115FB" w:rsidP="008115FB">
            <w:pPr>
              <w:keepNext/>
              <w:keepLines/>
              <w:tabs>
                <w:tab w:val="clear" w:pos="567"/>
              </w:tabs>
              <w:spacing w:before="60" w:after="60" w:line="200" w:lineRule="atLeast"/>
              <w:ind w:left="193" w:hanging="142"/>
              <w:rPr>
                <w:rFonts w:ascii="Calibri" w:eastAsia="Times New Roman" w:hAnsi="Calibri" w:cs="Times New Roman"/>
                <w:sz w:val="20"/>
                <w:szCs w:val="20"/>
                <w:lang w:eastAsia="en-AU"/>
              </w:rPr>
            </w:pPr>
            <w:r w:rsidRPr="002D5ECA">
              <w:rPr>
                <w:rFonts w:ascii="Calibri" w:eastAsia="Times New Roman" w:hAnsi="Calibri" w:cs="Times New Roman"/>
                <w:sz w:val="20"/>
                <w:szCs w:val="20"/>
                <w:lang w:eastAsia="en-AU"/>
              </w:rPr>
              <w:t>Per capita net expenses</w:t>
            </w:r>
            <w:r w:rsidR="00771630">
              <w:rPr>
                <w:rFonts w:ascii="Calibri" w:eastAsia="Times New Roman" w:hAnsi="Calibri" w:cs="Times New Roman"/>
                <w:sz w:val="20"/>
                <w:szCs w:val="20"/>
                <w:lang w:eastAsia="en-AU"/>
              </w:rPr>
              <w:t xml:space="preserve"> ($)</w:t>
            </w:r>
          </w:p>
        </w:tc>
        <w:tc>
          <w:tcPr>
            <w:tcW w:w="779" w:type="dxa"/>
            <w:tcBorders>
              <w:top w:val="nil"/>
              <w:left w:val="nil"/>
              <w:bottom w:val="nil"/>
              <w:right w:val="nil"/>
            </w:tcBorders>
            <w:shd w:val="clear" w:color="auto" w:fill="auto"/>
            <w:vAlign w:val="bottom"/>
            <w:hideMark/>
          </w:tcPr>
          <w:p w:rsidR="008115FB" w:rsidRPr="002D5ECA" w:rsidRDefault="008115FB" w:rsidP="008115FB">
            <w:pPr>
              <w:keepNext/>
              <w:keepLines/>
              <w:tabs>
                <w:tab w:val="clear" w:pos="567"/>
              </w:tabs>
              <w:spacing w:before="60" w:after="60" w:line="200" w:lineRule="atLeast"/>
              <w:jc w:val="right"/>
              <w:rPr>
                <w:rFonts w:ascii="Calibri" w:eastAsia="Times New Roman" w:hAnsi="Calibri" w:cs="Times New Roman"/>
                <w:sz w:val="20"/>
                <w:szCs w:val="20"/>
                <w:lang w:eastAsia="en-AU"/>
              </w:rPr>
            </w:pPr>
            <w:r w:rsidRPr="002D5ECA">
              <w:rPr>
                <w:rFonts w:ascii="Calibri" w:eastAsia="Times New Roman" w:hAnsi="Calibri" w:cs="Times New Roman"/>
                <w:sz w:val="20"/>
                <w:szCs w:val="20"/>
                <w:lang w:eastAsia="en-AU"/>
              </w:rPr>
              <w:t>560</w:t>
            </w:r>
          </w:p>
        </w:tc>
        <w:tc>
          <w:tcPr>
            <w:tcW w:w="1092" w:type="dxa"/>
            <w:tcBorders>
              <w:top w:val="nil"/>
              <w:left w:val="nil"/>
              <w:bottom w:val="nil"/>
              <w:right w:val="nil"/>
            </w:tcBorders>
            <w:shd w:val="clear" w:color="auto" w:fill="auto"/>
            <w:vAlign w:val="bottom"/>
            <w:hideMark/>
          </w:tcPr>
          <w:p w:rsidR="008115FB" w:rsidRPr="002D5ECA" w:rsidRDefault="008115FB" w:rsidP="008115FB">
            <w:pPr>
              <w:keepNext/>
              <w:keepLines/>
              <w:tabs>
                <w:tab w:val="clear" w:pos="567"/>
              </w:tabs>
              <w:spacing w:before="60" w:after="60" w:line="200" w:lineRule="atLeast"/>
              <w:jc w:val="right"/>
              <w:rPr>
                <w:rFonts w:ascii="Calibri" w:eastAsia="Times New Roman" w:hAnsi="Calibri" w:cs="Times New Roman"/>
                <w:sz w:val="20"/>
                <w:szCs w:val="20"/>
                <w:lang w:eastAsia="en-AU"/>
              </w:rPr>
            </w:pPr>
            <w:r w:rsidRPr="002D5ECA">
              <w:rPr>
                <w:rFonts w:ascii="Calibri" w:eastAsia="Times New Roman" w:hAnsi="Calibri" w:cs="Times New Roman"/>
                <w:sz w:val="20"/>
                <w:szCs w:val="20"/>
                <w:lang w:eastAsia="en-AU"/>
              </w:rPr>
              <w:t>285</w:t>
            </w:r>
          </w:p>
        </w:tc>
        <w:tc>
          <w:tcPr>
            <w:tcW w:w="901" w:type="dxa"/>
            <w:tcBorders>
              <w:top w:val="nil"/>
              <w:left w:val="nil"/>
              <w:bottom w:val="nil"/>
              <w:right w:val="nil"/>
            </w:tcBorders>
            <w:shd w:val="clear" w:color="auto" w:fill="auto"/>
            <w:vAlign w:val="bottom"/>
            <w:hideMark/>
          </w:tcPr>
          <w:p w:rsidR="008115FB" w:rsidRPr="002D5ECA" w:rsidRDefault="008115FB" w:rsidP="008115FB">
            <w:pPr>
              <w:keepNext/>
              <w:keepLines/>
              <w:tabs>
                <w:tab w:val="clear" w:pos="567"/>
              </w:tabs>
              <w:spacing w:before="60" w:after="60" w:line="200" w:lineRule="atLeast"/>
              <w:jc w:val="right"/>
              <w:rPr>
                <w:rFonts w:ascii="Calibri" w:eastAsia="Times New Roman" w:hAnsi="Calibri" w:cs="Times New Roman"/>
                <w:sz w:val="20"/>
                <w:szCs w:val="20"/>
                <w:lang w:eastAsia="en-AU"/>
              </w:rPr>
            </w:pPr>
            <w:r w:rsidRPr="002D5ECA">
              <w:rPr>
                <w:rFonts w:ascii="Calibri" w:eastAsia="Times New Roman" w:hAnsi="Calibri" w:cs="Times New Roman"/>
                <w:sz w:val="20"/>
                <w:szCs w:val="20"/>
                <w:lang w:eastAsia="en-AU"/>
              </w:rPr>
              <w:t>396</w:t>
            </w:r>
          </w:p>
        </w:tc>
        <w:tc>
          <w:tcPr>
            <w:tcW w:w="646" w:type="dxa"/>
            <w:tcBorders>
              <w:top w:val="nil"/>
              <w:left w:val="nil"/>
              <w:bottom w:val="nil"/>
              <w:right w:val="nil"/>
            </w:tcBorders>
            <w:shd w:val="clear" w:color="auto" w:fill="auto"/>
            <w:vAlign w:val="bottom"/>
            <w:hideMark/>
          </w:tcPr>
          <w:p w:rsidR="008115FB" w:rsidRPr="002D5ECA" w:rsidRDefault="008115FB" w:rsidP="008115FB">
            <w:pPr>
              <w:keepNext/>
              <w:keepLines/>
              <w:tabs>
                <w:tab w:val="clear" w:pos="567"/>
              </w:tabs>
              <w:spacing w:before="60" w:after="60" w:line="200" w:lineRule="atLeast"/>
              <w:jc w:val="right"/>
              <w:rPr>
                <w:rFonts w:ascii="Calibri" w:eastAsia="Times New Roman" w:hAnsi="Calibri" w:cs="Times New Roman"/>
                <w:sz w:val="20"/>
                <w:szCs w:val="20"/>
                <w:lang w:eastAsia="en-AU"/>
              </w:rPr>
            </w:pPr>
            <w:r w:rsidRPr="002D5ECA">
              <w:rPr>
                <w:rFonts w:ascii="Calibri" w:eastAsia="Times New Roman" w:hAnsi="Calibri" w:cs="Times New Roman"/>
                <w:sz w:val="20"/>
                <w:szCs w:val="20"/>
                <w:lang w:eastAsia="en-AU"/>
              </w:rPr>
              <w:t>322</w:t>
            </w:r>
          </w:p>
        </w:tc>
        <w:tc>
          <w:tcPr>
            <w:tcW w:w="905" w:type="dxa"/>
            <w:tcBorders>
              <w:top w:val="nil"/>
              <w:left w:val="nil"/>
              <w:bottom w:val="nil"/>
              <w:right w:val="nil"/>
            </w:tcBorders>
            <w:shd w:val="clear" w:color="auto" w:fill="auto"/>
            <w:vAlign w:val="bottom"/>
            <w:hideMark/>
          </w:tcPr>
          <w:p w:rsidR="008115FB" w:rsidRPr="002D5ECA" w:rsidRDefault="008115FB" w:rsidP="008115FB">
            <w:pPr>
              <w:keepNext/>
              <w:keepLines/>
              <w:tabs>
                <w:tab w:val="clear" w:pos="567"/>
              </w:tabs>
              <w:spacing w:before="60" w:after="60" w:line="200" w:lineRule="atLeast"/>
              <w:jc w:val="right"/>
              <w:rPr>
                <w:rFonts w:ascii="Calibri" w:eastAsia="Times New Roman" w:hAnsi="Calibri" w:cs="Times New Roman"/>
                <w:sz w:val="20"/>
                <w:szCs w:val="20"/>
                <w:lang w:eastAsia="en-AU"/>
              </w:rPr>
            </w:pPr>
            <w:r w:rsidRPr="002D5ECA">
              <w:rPr>
                <w:rFonts w:ascii="Calibri" w:eastAsia="Times New Roman" w:hAnsi="Calibri" w:cs="Times New Roman"/>
                <w:sz w:val="20"/>
                <w:szCs w:val="20"/>
                <w:lang w:eastAsia="en-AU"/>
              </w:rPr>
              <w:t>198</w:t>
            </w:r>
          </w:p>
        </w:tc>
        <w:tc>
          <w:tcPr>
            <w:tcW w:w="765" w:type="dxa"/>
            <w:tcBorders>
              <w:top w:val="nil"/>
              <w:left w:val="nil"/>
              <w:bottom w:val="nil"/>
              <w:right w:val="nil"/>
            </w:tcBorders>
            <w:shd w:val="clear" w:color="auto" w:fill="auto"/>
            <w:vAlign w:val="bottom"/>
            <w:hideMark/>
          </w:tcPr>
          <w:p w:rsidR="008115FB" w:rsidRPr="002D5ECA" w:rsidRDefault="008115FB" w:rsidP="008115FB">
            <w:pPr>
              <w:keepNext/>
              <w:keepLines/>
              <w:tabs>
                <w:tab w:val="clear" w:pos="567"/>
              </w:tabs>
              <w:spacing w:before="60" w:after="60" w:line="200" w:lineRule="atLeast"/>
              <w:jc w:val="right"/>
              <w:rPr>
                <w:rFonts w:ascii="Calibri" w:eastAsia="Times New Roman" w:hAnsi="Calibri" w:cs="Times New Roman"/>
                <w:sz w:val="20"/>
                <w:szCs w:val="20"/>
                <w:lang w:eastAsia="en-AU"/>
              </w:rPr>
            </w:pPr>
            <w:r w:rsidRPr="002D5ECA">
              <w:rPr>
                <w:rFonts w:ascii="Calibri" w:eastAsia="Times New Roman" w:hAnsi="Calibri" w:cs="Times New Roman"/>
                <w:sz w:val="20"/>
                <w:szCs w:val="20"/>
                <w:lang w:eastAsia="en-AU"/>
              </w:rPr>
              <w:t>127</w:t>
            </w:r>
          </w:p>
        </w:tc>
        <w:tc>
          <w:tcPr>
            <w:tcW w:w="939" w:type="dxa"/>
            <w:tcBorders>
              <w:top w:val="nil"/>
              <w:left w:val="nil"/>
              <w:bottom w:val="nil"/>
              <w:right w:val="nil"/>
            </w:tcBorders>
            <w:shd w:val="clear" w:color="auto" w:fill="auto"/>
            <w:vAlign w:val="bottom"/>
            <w:hideMark/>
          </w:tcPr>
          <w:p w:rsidR="008115FB" w:rsidRPr="002D5ECA" w:rsidRDefault="008115FB" w:rsidP="008115FB">
            <w:pPr>
              <w:keepNext/>
              <w:keepLines/>
              <w:tabs>
                <w:tab w:val="clear" w:pos="567"/>
              </w:tabs>
              <w:spacing w:before="60" w:after="60" w:line="200" w:lineRule="atLeast"/>
              <w:jc w:val="right"/>
              <w:rPr>
                <w:rFonts w:ascii="Calibri" w:eastAsia="Times New Roman" w:hAnsi="Calibri" w:cs="Times New Roman"/>
                <w:sz w:val="20"/>
                <w:szCs w:val="20"/>
                <w:lang w:eastAsia="en-AU"/>
              </w:rPr>
            </w:pPr>
            <w:r w:rsidRPr="002D5ECA">
              <w:rPr>
                <w:rFonts w:ascii="Calibri" w:eastAsia="Times New Roman" w:hAnsi="Calibri" w:cs="Times New Roman"/>
                <w:sz w:val="20"/>
                <w:szCs w:val="20"/>
                <w:lang w:eastAsia="en-AU"/>
              </w:rPr>
              <w:t>245</w:t>
            </w:r>
          </w:p>
        </w:tc>
        <w:tc>
          <w:tcPr>
            <w:tcW w:w="779" w:type="dxa"/>
            <w:tcBorders>
              <w:top w:val="nil"/>
              <w:left w:val="nil"/>
              <w:bottom w:val="nil"/>
              <w:right w:val="nil"/>
            </w:tcBorders>
            <w:shd w:val="clear" w:color="auto" w:fill="auto"/>
            <w:vAlign w:val="bottom"/>
            <w:hideMark/>
          </w:tcPr>
          <w:p w:rsidR="008115FB" w:rsidRPr="002D5ECA" w:rsidRDefault="008115FB" w:rsidP="008115FB">
            <w:pPr>
              <w:keepNext/>
              <w:keepLines/>
              <w:tabs>
                <w:tab w:val="clear" w:pos="567"/>
              </w:tabs>
              <w:spacing w:before="60" w:after="60" w:line="200" w:lineRule="atLeast"/>
              <w:jc w:val="right"/>
              <w:rPr>
                <w:rFonts w:ascii="Calibri" w:eastAsia="Times New Roman" w:hAnsi="Calibri" w:cs="Times New Roman"/>
                <w:sz w:val="20"/>
                <w:szCs w:val="20"/>
                <w:lang w:eastAsia="en-AU"/>
              </w:rPr>
            </w:pPr>
            <w:r w:rsidRPr="002D5ECA">
              <w:rPr>
                <w:rFonts w:ascii="Calibri" w:eastAsia="Times New Roman" w:hAnsi="Calibri" w:cs="Times New Roman"/>
                <w:sz w:val="20"/>
                <w:szCs w:val="20"/>
                <w:lang w:eastAsia="en-AU"/>
              </w:rPr>
              <w:t>198</w:t>
            </w:r>
          </w:p>
        </w:tc>
      </w:tr>
      <w:tr w:rsidR="008115FB" w:rsidRPr="002D5ECA" w:rsidTr="00150643">
        <w:trPr>
          <w:trHeight w:hRule="exact" w:val="363"/>
        </w:trPr>
        <w:tc>
          <w:tcPr>
            <w:tcW w:w="2268" w:type="dxa"/>
            <w:tcBorders>
              <w:top w:val="nil"/>
              <w:left w:val="nil"/>
              <w:bottom w:val="single" w:sz="4" w:space="0" w:color="auto"/>
              <w:right w:val="nil"/>
            </w:tcBorders>
            <w:shd w:val="clear" w:color="auto" w:fill="auto"/>
            <w:vAlign w:val="bottom"/>
            <w:hideMark/>
          </w:tcPr>
          <w:p w:rsidR="008115FB" w:rsidRPr="002D5ECA" w:rsidRDefault="008115FB" w:rsidP="008115FB">
            <w:pPr>
              <w:keepNext/>
              <w:keepLines/>
              <w:tabs>
                <w:tab w:val="clear" w:pos="567"/>
              </w:tabs>
              <w:spacing w:before="60" w:after="60" w:line="200" w:lineRule="atLeast"/>
              <w:ind w:left="193" w:hanging="142"/>
              <w:rPr>
                <w:rFonts w:ascii="Calibri" w:eastAsia="Times New Roman" w:hAnsi="Calibri" w:cs="Times New Roman"/>
                <w:sz w:val="20"/>
                <w:szCs w:val="20"/>
                <w:lang w:eastAsia="en-AU"/>
              </w:rPr>
            </w:pPr>
            <w:r w:rsidRPr="002D5ECA">
              <w:rPr>
                <w:rFonts w:ascii="Calibri" w:eastAsia="Times New Roman" w:hAnsi="Calibri" w:cs="Times New Roman"/>
                <w:sz w:val="20"/>
                <w:szCs w:val="20"/>
                <w:lang w:eastAsia="en-AU"/>
              </w:rPr>
              <w:t>Per capita passenger-km</w:t>
            </w:r>
          </w:p>
        </w:tc>
        <w:tc>
          <w:tcPr>
            <w:tcW w:w="779" w:type="dxa"/>
            <w:tcBorders>
              <w:top w:val="nil"/>
              <w:left w:val="nil"/>
              <w:bottom w:val="single" w:sz="4" w:space="0" w:color="auto"/>
              <w:right w:val="nil"/>
            </w:tcBorders>
            <w:shd w:val="clear" w:color="auto" w:fill="auto"/>
            <w:vAlign w:val="bottom"/>
            <w:hideMark/>
          </w:tcPr>
          <w:p w:rsidR="008115FB" w:rsidRPr="002D5ECA" w:rsidRDefault="008115FB" w:rsidP="008115FB">
            <w:pPr>
              <w:keepNext/>
              <w:keepLines/>
              <w:tabs>
                <w:tab w:val="clear" w:pos="567"/>
              </w:tabs>
              <w:spacing w:before="60" w:after="60" w:line="200" w:lineRule="atLeast"/>
              <w:jc w:val="right"/>
              <w:rPr>
                <w:rFonts w:ascii="Calibri" w:eastAsia="Times New Roman" w:hAnsi="Calibri" w:cs="Times New Roman"/>
                <w:sz w:val="20"/>
                <w:szCs w:val="20"/>
                <w:lang w:eastAsia="en-AU"/>
              </w:rPr>
            </w:pPr>
            <w:r w:rsidRPr="002D5ECA">
              <w:rPr>
                <w:rFonts w:ascii="Calibri" w:eastAsia="Times New Roman" w:hAnsi="Calibri" w:cs="Times New Roman"/>
                <w:sz w:val="20"/>
                <w:szCs w:val="20"/>
                <w:lang w:eastAsia="en-AU"/>
              </w:rPr>
              <w:t>1 647</w:t>
            </w:r>
          </w:p>
        </w:tc>
        <w:tc>
          <w:tcPr>
            <w:tcW w:w="1092" w:type="dxa"/>
            <w:tcBorders>
              <w:top w:val="nil"/>
              <w:left w:val="nil"/>
              <w:bottom w:val="single" w:sz="4" w:space="0" w:color="auto"/>
              <w:right w:val="nil"/>
            </w:tcBorders>
            <w:shd w:val="clear" w:color="auto" w:fill="auto"/>
            <w:vAlign w:val="bottom"/>
            <w:hideMark/>
          </w:tcPr>
          <w:p w:rsidR="008115FB" w:rsidRPr="002D5ECA" w:rsidRDefault="008115FB" w:rsidP="008115FB">
            <w:pPr>
              <w:keepNext/>
              <w:keepLines/>
              <w:tabs>
                <w:tab w:val="clear" w:pos="567"/>
              </w:tabs>
              <w:spacing w:before="60" w:after="60" w:line="200" w:lineRule="atLeast"/>
              <w:jc w:val="right"/>
              <w:rPr>
                <w:rFonts w:ascii="Calibri" w:eastAsia="Times New Roman" w:hAnsi="Calibri" w:cs="Times New Roman"/>
                <w:sz w:val="20"/>
                <w:szCs w:val="20"/>
                <w:lang w:eastAsia="en-AU"/>
              </w:rPr>
            </w:pPr>
            <w:r w:rsidRPr="002D5ECA">
              <w:rPr>
                <w:rFonts w:ascii="Calibri" w:eastAsia="Times New Roman" w:hAnsi="Calibri" w:cs="Times New Roman"/>
                <w:sz w:val="20"/>
                <w:szCs w:val="20"/>
                <w:lang w:eastAsia="en-AU"/>
              </w:rPr>
              <w:t>1 330</w:t>
            </w:r>
          </w:p>
        </w:tc>
        <w:tc>
          <w:tcPr>
            <w:tcW w:w="901" w:type="dxa"/>
            <w:tcBorders>
              <w:top w:val="nil"/>
              <w:left w:val="nil"/>
              <w:bottom w:val="single" w:sz="4" w:space="0" w:color="auto"/>
              <w:right w:val="nil"/>
            </w:tcBorders>
            <w:shd w:val="clear" w:color="auto" w:fill="auto"/>
            <w:vAlign w:val="bottom"/>
            <w:hideMark/>
          </w:tcPr>
          <w:p w:rsidR="008115FB" w:rsidRPr="002D5ECA" w:rsidRDefault="008115FB" w:rsidP="008115FB">
            <w:pPr>
              <w:keepNext/>
              <w:keepLines/>
              <w:tabs>
                <w:tab w:val="clear" w:pos="567"/>
              </w:tabs>
              <w:spacing w:before="60" w:after="60" w:line="200" w:lineRule="atLeast"/>
              <w:jc w:val="right"/>
              <w:rPr>
                <w:rFonts w:ascii="Calibri" w:eastAsia="Times New Roman" w:hAnsi="Calibri" w:cs="Times New Roman"/>
                <w:sz w:val="20"/>
                <w:szCs w:val="20"/>
                <w:lang w:eastAsia="en-AU"/>
              </w:rPr>
            </w:pPr>
            <w:r w:rsidRPr="002D5ECA">
              <w:rPr>
                <w:rFonts w:ascii="Calibri" w:eastAsia="Times New Roman" w:hAnsi="Calibri" w:cs="Times New Roman"/>
                <w:sz w:val="20"/>
                <w:szCs w:val="20"/>
                <w:lang w:eastAsia="en-AU"/>
              </w:rPr>
              <w:t>940</w:t>
            </w:r>
          </w:p>
        </w:tc>
        <w:tc>
          <w:tcPr>
            <w:tcW w:w="646" w:type="dxa"/>
            <w:tcBorders>
              <w:top w:val="nil"/>
              <w:left w:val="nil"/>
              <w:bottom w:val="single" w:sz="4" w:space="0" w:color="auto"/>
              <w:right w:val="nil"/>
            </w:tcBorders>
            <w:shd w:val="clear" w:color="auto" w:fill="auto"/>
            <w:vAlign w:val="bottom"/>
            <w:hideMark/>
          </w:tcPr>
          <w:p w:rsidR="008115FB" w:rsidRPr="002D5ECA" w:rsidRDefault="008115FB" w:rsidP="008115FB">
            <w:pPr>
              <w:keepNext/>
              <w:keepLines/>
              <w:tabs>
                <w:tab w:val="clear" w:pos="567"/>
              </w:tabs>
              <w:spacing w:before="60" w:after="60" w:line="200" w:lineRule="atLeast"/>
              <w:jc w:val="right"/>
              <w:rPr>
                <w:rFonts w:ascii="Calibri" w:eastAsia="Times New Roman" w:hAnsi="Calibri" w:cs="Times New Roman"/>
                <w:sz w:val="20"/>
                <w:szCs w:val="20"/>
                <w:lang w:eastAsia="en-AU"/>
              </w:rPr>
            </w:pPr>
            <w:r w:rsidRPr="002D5ECA">
              <w:rPr>
                <w:rFonts w:ascii="Calibri" w:eastAsia="Times New Roman" w:hAnsi="Calibri" w:cs="Times New Roman"/>
                <w:sz w:val="20"/>
                <w:szCs w:val="20"/>
                <w:lang w:eastAsia="en-AU"/>
              </w:rPr>
              <w:t>760</w:t>
            </w:r>
          </w:p>
        </w:tc>
        <w:tc>
          <w:tcPr>
            <w:tcW w:w="905" w:type="dxa"/>
            <w:tcBorders>
              <w:top w:val="nil"/>
              <w:left w:val="nil"/>
              <w:bottom w:val="single" w:sz="4" w:space="0" w:color="auto"/>
              <w:right w:val="nil"/>
            </w:tcBorders>
            <w:shd w:val="clear" w:color="auto" w:fill="auto"/>
            <w:vAlign w:val="bottom"/>
            <w:hideMark/>
          </w:tcPr>
          <w:p w:rsidR="008115FB" w:rsidRPr="002D5ECA" w:rsidRDefault="008115FB" w:rsidP="008115FB">
            <w:pPr>
              <w:keepNext/>
              <w:keepLines/>
              <w:tabs>
                <w:tab w:val="clear" w:pos="567"/>
              </w:tabs>
              <w:spacing w:before="60" w:after="60" w:line="200" w:lineRule="atLeast"/>
              <w:jc w:val="right"/>
              <w:rPr>
                <w:rFonts w:ascii="Calibri" w:eastAsia="Times New Roman" w:hAnsi="Calibri" w:cs="Times New Roman"/>
                <w:sz w:val="20"/>
                <w:szCs w:val="20"/>
                <w:lang w:eastAsia="en-AU"/>
              </w:rPr>
            </w:pPr>
            <w:r w:rsidRPr="002D5ECA">
              <w:rPr>
                <w:rFonts w:ascii="Calibri" w:eastAsia="Times New Roman" w:hAnsi="Calibri" w:cs="Times New Roman"/>
                <w:sz w:val="20"/>
                <w:szCs w:val="20"/>
                <w:lang w:eastAsia="en-AU"/>
              </w:rPr>
              <w:t>577</w:t>
            </w:r>
          </w:p>
        </w:tc>
        <w:tc>
          <w:tcPr>
            <w:tcW w:w="765" w:type="dxa"/>
            <w:tcBorders>
              <w:top w:val="nil"/>
              <w:left w:val="nil"/>
              <w:bottom w:val="single" w:sz="4" w:space="0" w:color="auto"/>
              <w:right w:val="nil"/>
            </w:tcBorders>
            <w:shd w:val="clear" w:color="auto" w:fill="auto"/>
            <w:vAlign w:val="bottom"/>
            <w:hideMark/>
          </w:tcPr>
          <w:p w:rsidR="008115FB" w:rsidRPr="002D5ECA" w:rsidRDefault="008115FB" w:rsidP="008115FB">
            <w:pPr>
              <w:keepNext/>
              <w:keepLines/>
              <w:tabs>
                <w:tab w:val="clear" w:pos="567"/>
              </w:tabs>
              <w:spacing w:before="60" w:after="60" w:line="200" w:lineRule="atLeast"/>
              <w:jc w:val="right"/>
              <w:rPr>
                <w:rFonts w:ascii="Calibri" w:eastAsia="Times New Roman" w:hAnsi="Calibri" w:cs="Times New Roman"/>
                <w:sz w:val="20"/>
                <w:szCs w:val="20"/>
                <w:lang w:eastAsia="en-AU"/>
              </w:rPr>
            </w:pPr>
            <w:r w:rsidRPr="002D5ECA">
              <w:rPr>
                <w:rFonts w:ascii="Calibri" w:eastAsia="Times New Roman" w:hAnsi="Calibri" w:cs="Times New Roman"/>
                <w:sz w:val="20"/>
                <w:szCs w:val="20"/>
                <w:lang w:eastAsia="en-AU"/>
              </w:rPr>
              <w:t>283</w:t>
            </w:r>
          </w:p>
        </w:tc>
        <w:tc>
          <w:tcPr>
            <w:tcW w:w="939" w:type="dxa"/>
            <w:tcBorders>
              <w:top w:val="nil"/>
              <w:left w:val="nil"/>
              <w:bottom w:val="single" w:sz="4" w:space="0" w:color="auto"/>
              <w:right w:val="nil"/>
            </w:tcBorders>
            <w:shd w:val="clear" w:color="auto" w:fill="auto"/>
            <w:vAlign w:val="bottom"/>
            <w:hideMark/>
          </w:tcPr>
          <w:p w:rsidR="008115FB" w:rsidRPr="002D5ECA" w:rsidRDefault="008115FB" w:rsidP="008115FB">
            <w:pPr>
              <w:keepNext/>
              <w:keepLines/>
              <w:tabs>
                <w:tab w:val="clear" w:pos="567"/>
              </w:tabs>
              <w:spacing w:before="60" w:after="60" w:line="200" w:lineRule="atLeast"/>
              <w:jc w:val="right"/>
              <w:rPr>
                <w:rFonts w:ascii="Calibri" w:eastAsia="Times New Roman" w:hAnsi="Calibri" w:cs="Times New Roman"/>
                <w:sz w:val="20"/>
                <w:szCs w:val="20"/>
                <w:lang w:eastAsia="en-AU"/>
              </w:rPr>
            </w:pPr>
            <w:r w:rsidRPr="002D5ECA">
              <w:rPr>
                <w:rFonts w:ascii="Calibri" w:eastAsia="Times New Roman" w:hAnsi="Calibri" w:cs="Times New Roman"/>
                <w:sz w:val="20"/>
                <w:szCs w:val="20"/>
                <w:lang w:eastAsia="en-AU"/>
              </w:rPr>
              <w:t>520</w:t>
            </w:r>
          </w:p>
        </w:tc>
        <w:tc>
          <w:tcPr>
            <w:tcW w:w="779" w:type="dxa"/>
            <w:tcBorders>
              <w:top w:val="nil"/>
              <w:left w:val="nil"/>
              <w:bottom w:val="single" w:sz="4" w:space="0" w:color="auto"/>
              <w:right w:val="nil"/>
            </w:tcBorders>
            <w:shd w:val="clear" w:color="auto" w:fill="auto"/>
            <w:vAlign w:val="bottom"/>
            <w:hideMark/>
          </w:tcPr>
          <w:p w:rsidR="008115FB" w:rsidRPr="002D5ECA" w:rsidRDefault="008115FB" w:rsidP="008115FB">
            <w:pPr>
              <w:keepNext/>
              <w:keepLines/>
              <w:tabs>
                <w:tab w:val="clear" w:pos="567"/>
              </w:tabs>
              <w:spacing w:before="60" w:after="60" w:line="200" w:lineRule="atLeast"/>
              <w:jc w:val="right"/>
              <w:rPr>
                <w:rFonts w:ascii="Calibri" w:eastAsia="Times New Roman" w:hAnsi="Calibri" w:cs="Times New Roman"/>
                <w:sz w:val="20"/>
                <w:szCs w:val="20"/>
                <w:lang w:eastAsia="en-AU"/>
              </w:rPr>
            </w:pPr>
            <w:r w:rsidRPr="002D5ECA">
              <w:rPr>
                <w:rFonts w:ascii="Calibri" w:eastAsia="Times New Roman" w:hAnsi="Calibri" w:cs="Times New Roman"/>
                <w:sz w:val="20"/>
                <w:szCs w:val="20"/>
                <w:lang w:eastAsia="en-AU"/>
              </w:rPr>
              <w:t>410</w:t>
            </w:r>
          </w:p>
        </w:tc>
      </w:tr>
    </w:tbl>
    <w:p w:rsidR="008115FB" w:rsidRDefault="008115FB" w:rsidP="002D1076">
      <w:pPr>
        <w:pStyle w:val="CGCTableFootnote"/>
      </w:pPr>
      <w:r w:rsidRPr="002D5ECA">
        <w:t xml:space="preserve">Note: </w:t>
      </w:r>
      <w:r w:rsidRPr="002D5ECA">
        <w:tab/>
        <w:t>The per capita net expenses and per capita passenger</w:t>
      </w:r>
      <w:r w:rsidRPr="002D5ECA">
        <w:noBreakHyphen/>
        <w:t>kilometres are not strictly comparable. The per capita net expenses are based on the ABS Significant Urban Areas, which only includes the major urban and near-urban reaches of each capital city. The per capita passenger</w:t>
      </w:r>
      <w:r w:rsidRPr="002D5ECA">
        <w:noBreakHyphen/>
        <w:t xml:space="preserve">kilometres are based on Greater Capital City Statistical Areas, which are wider geographical areas including the small towns and rural areas </w:t>
      </w:r>
      <w:r w:rsidRPr="008115FB">
        <w:t>surrounding</w:t>
      </w:r>
      <w:r w:rsidRPr="002D5ECA">
        <w:t xml:space="preserve"> the city. The passenger-kilometre data were obtained from </w:t>
      </w:r>
      <w:r w:rsidRPr="002D5ECA">
        <w:rPr>
          <w:i/>
        </w:rPr>
        <w:t>Long-term trends in urban public transport</w:t>
      </w:r>
      <w:r w:rsidRPr="002D5ECA">
        <w:t>, Bureau of Infrastructure, Transport and Regional Economics (BITRE) (2014).</w:t>
      </w:r>
    </w:p>
    <w:p w:rsidR="00D87099" w:rsidRDefault="00D87099" w:rsidP="00D87099">
      <w:pPr>
        <w:pStyle w:val="CGCNumberedPara"/>
      </w:pPr>
      <w:r w:rsidRPr="00221AF2">
        <w:t>The data show that, like net expenses, the per capita transport task increases with urban centre population size</w:t>
      </w:r>
      <w:r>
        <w:t xml:space="preserve">. </w:t>
      </w:r>
      <w:r w:rsidRPr="00221AF2">
        <w:t>This is consistent with the conceptual case</w:t>
      </w:r>
      <w:r>
        <w:t xml:space="preserve"> supporting the current net recurrent expenditure model used in the 2015 Review.</w:t>
      </w:r>
    </w:p>
    <w:p w:rsidR="0045545A" w:rsidRDefault="00BC4C75" w:rsidP="00BC4C75">
      <w:pPr>
        <w:pStyle w:val="CGCNumberedPara"/>
        <w:rPr>
          <w:u w:val="single"/>
        </w:rPr>
      </w:pPr>
      <w:r w:rsidRPr="00F65833">
        <w:rPr>
          <w:rStyle w:val="Heading6Char"/>
        </w:rPr>
        <w:t>The scope.</w:t>
      </w:r>
      <w:r>
        <w:t xml:space="preserve"> </w:t>
      </w:r>
      <w:r w:rsidRPr="00F65833">
        <w:t xml:space="preserve">The Commission used consolidated general government sector and </w:t>
      </w:r>
      <w:r w:rsidR="00382D96">
        <w:t>public non-financial corporation (</w:t>
      </w:r>
      <w:r w:rsidRPr="00F65833">
        <w:t>PNFC</w:t>
      </w:r>
      <w:r w:rsidR="00382D96">
        <w:t>)</w:t>
      </w:r>
      <w:r w:rsidRPr="00F65833">
        <w:t xml:space="preserve"> spending </w:t>
      </w:r>
      <w:r w:rsidR="0002253F">
        <w:t xml:space="preserve">and investment </w:t>
      </w:r>
      <w:r w:rsidRPr="00F65833">
        <w:t>on urban passenger services because it consider</w:t>
      </w:r>
      <w:r w:rsidR="005C55D5">
        <w:t>ed</w:t>
      </w:r>
      <w:r w:rsidRPr="00F65833">
        <w:t xml:space="preserve"> transport services to be more like general government services than the commercial services provided by many State trading enterprises. Like general government agencies, urban transport enterprises rely on government funds to meet operating costs and pay for major investments; the services stem from social policy objectives; and policies on service delivery and charges are made by government departments.</w:t>
      </w:r>
    </w:p>
    <w:p w:rsidR="00095E54" w:rsidRDefault="000E27BB" w:rsidP="008115FB">
      <w:pPr>
        <w:pStyle w:val="CGCNumberedPara"/>
      </w:pPr>
      <w:r w:rsidRPr="000E27BB">
        <w:rPr>
          <w:rStyle w:val="Heading6Char"/>
        </w:rPr>
        <w:t>The model.</w:t>
      </w:r>
      <w:r>
        <w:t xml:space="preserve"> </w:t>
      </w:r>
      <w:bookmarkStart w:id="37" w:name="_Ref506370836"/>
      <w:r w:rsidR="00095E54">
        <w:t xml:space="preserve">The </w:t>
      </w:r>
      <w:r w:rsidR="00115EF7">
        <w:t xml:space="preserve">following </w:t>
      </w:r>
      <w:r w:rsidR="00095E54">
        <w:t>model</w:t>
      </w:r>
      <w:r w:rsidR="005C55D5">
        <w:t>, which is based on</w:t>
      </w:r>
      <w:r w:rsidR="00095E54">
        <w:t xml:space="preserve"> the relationship between net </w:t>
      </w:r>
      <w:r w:rsidR="005C55D5">
        <w:t xml:space="preserve">urban transport </w:t>
      </w:r>
      <w:r w:rsidR="00095E54">
        <w:t>expense</w:t>
      </w:r>
      <w:r w:rsidR="005C55D5">
        <w:t>s</w:t>
      </w:r>
      <w:r w:rsidR="00095E54">
        <w:t xml:space="preserve"> and urban population</w:t>
      </w:r>
      <w:r w:rsidR="005C55D5">
        <w:t xml:space="preserve">, </w:t>
      </w:r>
      <w:r w:rsidR="00115EF7">
        <w:t>was used to assess urban transport net expenses.</w:t>
      </w:r>
      <w:bookmarkEnd w:id="37"/>
    </w:p>
    <w:p w:rsidR="00095E54" w:rsidRPr="00C016DD" w:rsidRDefault="00654065" w:rsidP="00717EC9">
      <w:pPr>
        <w:pStyle w:val="CGCNumberedPara"/>
        <w:keepNext/>
        <w:keepLines/>
        <w:numPr>
          <w:ilvl w:val="0"/>
          <w:numId w:val="0"/>
        </w:numPr>
        <w:ind w:left="2160" w:firstLine="720"/>
        <w:rPr>
          <w:sz w:val="20"/>
        </w:rPr>
      </w:pPr>
      <m:oMathPara>
        <m:oMathParaPr>
          <m:jc m:val="left"/>
        </m:oMathParaPr>
        <m:oMath>
          <m:sSub>
            <m:sSubPr>
              <m:ctrlPr>
                <w:rPr>
                  <w:rFonts w:ascii="Cambria Math" w:hAnsi="Cambria Math"/>
                  <w:i/>
                  <w:sz w:val="20"/>
                </w:rPr>
              </m:ctrlPr>
            </m:sSubPr>
            <m:e>
              <m:r>
                <w:rPr>
                  <w:rFonts w:ascii="Cambria Math" w:hAnsi="Cambria Math"/>
                  <w:sz w:val="20"/>
                </w:rPr>
                <m:t>E</m:t>
              </m:r>
            </m:e>
            <m:sub>
              <m:r>
                <w:rPr>
                  <w:rFonts w:ascii="Cambria Math" w:hAnsi="Cambria Math"/>
                  <w:sz w:val="20"/>
                </w:rPr>
                <m:t>i</m:t>
              </m:r>
            </m:sub>
          </m:sSub>
          <m:r>
            <w:rPr>
              <w:rFonts w:ascii="Cambria Math" w:hAnsi="Cambria Math"/>
              <w:sz w:val="20"/>
            </w:rPr>
            <m:t xml:space="preserve">=β* </m:t>
          </m:r>
          <m:func>
            <m:funcPr>
              <m:ctrlPr>
                <w:rPr>
                  <w:rFonts w:ascii="Cambria Math" w:hAnsi="Cambria Math"/>
                  <w:i/>
                  <w:sz w:val="20"/>
                </w:rPr>
              </m:ctrlPr>
            </m:funcPr>
            <m:fName>
              <m:r>
                <m:rPr>
                  <m:sty m:val="p"/>
                </m:rPr>
                <w:rPr>
                  <w:rFonts w:ascii="Cambria Math" w:hAnsi="Cambria Math"/>
                  <w:sz w:val="20"/>
                </w:rPr>
                <m:t>ln</m:t>
              </m:r>
            </m:fName>
            <m:e>
              <m:r>
                <w:rPr>
                  <w:rFonts w:ascii="Cambria Math" w:hAnsi="Cambria Math"/>
                  <w:sz w:val="20"/>
                </w:rPr>
                <m:t>(</m:t>
              </m:r>
              <m:sSub>
                <m:sSubPr>
                  <m:ctrlPr>
                    <w:rPr>
                      <w:rFonts w:ascii="Cambria Math" w:hAnsi="Cambria Math"/>
                      <w:i/>
                      <w:sz w:val="20"/>
                    </w:rPr>
                  </m:ctrlPr>
                </m:sSubPr>
                <m:e>
                  <m:r>
                    <w:rPr>
                      <w:rFonts w:ascii="Cambria Math" w:hAnsi="Cambria Math"/>
                      <w:sz w:val="20"/>
                    </w:rPr>
                    <m:t xml:space="preserve"> P</m:t>
                  </m:r>
                </m:e>
                <m:sub>
                  <m:r>
                    <w:rPr>
                      <w:rFonts w:ascii="Cambria Math" w:hAnsi="Cambria Math"/>
                      <w:sz w:val="20"/>
                    </w:rPr>
                    <m:t>i</m:t>
                  </m:r>
                </m:sub>
              </m:sSub>
              <m:r>
                <w:rPr>
                  <w:rFonts w:ascii="Cambria Math" w:hAnsi="Cambria Math"/>
                  <w:sz w:val="20"/>
                </w:rPr>
                <m:t>)</m:t>
              </m:r>
            </m:e>
          </m:func>
          <m:r>
            <w:rPr>
              <w:rFonts w:ascii="Cambria Math" w:hAnsi="Cambria Math"/>
              <w:sz w:val="20"/>
            </w:rPr>
            <m:t>+α</m:t>
          </m:r>
        </m:oMath>
      </m:oMathPara>
    </w:p>
    <w:p w:rsidR="00E042B0" w:rsidRPr="00E042B0" w:rsidRDefault="00372E0F" w:rsidP="00717EC9">
      <w:pPr>
        <w:keepNext/>
        <w:keepLines/>
        <w:rPr>
          <w:sz w:val="32"/>
        </w:rPr>
      </w:pPr>
      <w:r w:rsidRPr="00E042B0">
        <w:rPr>
          <w:rFonts w:eastAsiaTheme="minorEastAsia"/>
          <w:szCs w:val="20"/>
        </w:rPr>
        <w:tab/>
      </w:r>
      <m:oMath>
        <m:r>
          <m:rPr>
            <m:sty m:val="p"/>
          </m:rPr>
          <w:rPr>
            <w:rFonts w:ascii="Cambria Math" w:eastAsiaTheme="minorEastAsia" w:hAnsi="Cambria Math"/>
            <w:sz w:val="20"/>
            <w:szCs w:val="20"/>
          </w:rPr>
          <m:t>Where:</m:t>
        </m:r>
      </m:oMath>
    </w:p>
    <w:p w:rsidR="00C016DD" w:rsidRPr="006B133E" w:rsidRDefault="00372E0F" w:rsidP="00717EC9">
      <w:pPr>
        <w:keepNext/>
        <w:keepLines/>
        <w:rPr>
          <w:rFonts w:eastAsiaTheme="minorEastAsia"/>
          <w:sz w:val="20"/>
          <w:szCs w:val="20"/>
        </w:rPr>
      </w:pPr>
      <w:r>
        <w:rPr>
          <w:rFonts w:eastAsiaTheme="minorEastAsia"/>
          <w:sz w:val="20"/>
          <w:szCs w:val="20"/>
        </w:rPr>
        <w:tab/>
      </w:r>
      <w:r>
        <w:rPr>
          <w:rFonts w:eastAsiaTheme="minorEastAsia"/>
          <w:sz w:val="20"/>
          <w:szCs w:val="20"/>
        </w:rPr>
        <w:tab/>
      </w:r>
      <m:oMath>
        <m:r>
          <w:rPr>
            <w:rFonts w:ascii="Cambria Math" w:eastAsiaTheme="minorEastAsia" w:hAnsi="Cambria Math"/>
            <w:sz w:val="20"/>
            <w:szCs w:val="20"/>
          </w:rPr>
          <m:t>i</m:t>
        </m:r>
        <m:r>
          <m:rPr>
            <m:sty m:val="p"/>
          </m:rPr>
          <w:rPr>
            <w:rFonts w:ascii="Cambria Math" w:eastAsiaTheme="minorEastAsia" w:hAnsi="Cambria Math"/>
            <w:sz w:val="20"/>
            <w:szCs w:val="20"/>
          </w:rPr>
          <m:t xml:space="preserve"> is equal to all cities with a population greater than 20 000</m:t>
        </m:r>
      </m:oMath>
    </w:p>
    <w:p w:rsidR="00850A16" w:rsidRPr="006B133E" w:rsidRDefault="00372E0F" w:rsidP="00717EC9">
      <w:pPr>
        <w:keepNext/>
        <w:keepLines/>
        <w:rPr>
          <w:rFonts w:eastAsiaTheme="minorEastAsia"/>
          <w:sz w:val="20"/>
          <w:szCs w:val="20"/>
        </w:rPr>
      </w:pPr>
      <w:r>
        <w:rPr>
          <w:rFonts w:eastAsiaTheme="minorEastAsia"/>
          <w:sz w:val="20"/>
          <w:szCs w:val="20"/>
        </w:rPr>
        <w:tab/>
      </w:r>
      <w:r>
        <w:rPr>
          <w:rFonts w:eastAsiaTheme="minorEastAsia"/>
          <w:sz w:val="20"/>
          <w:szCs w:val="20"/>
        </w:rPr>
        <w:tab/>
      </w:r>
      <m:oMath>
        <m:r>
          <w:rPr>
            <w:rFonts w:ascii="Cambria Math" w:eastAsiaTheme="minorEastAsia" w:hAnsi="Cambria Math"/>
            <w:sz w:val="20"/>
            <w:szCs w:val="20"/>
          </w:rPr>
          <m:t>E</m:t>
        </m:r>
        <m:r>
          <m:rPr>
            <m:sty m:val="p"/>
          </m:rPr>
          <w:rPr>
            <w:rFonts w:ascii="Cambria Math" w:eastAsiaTheme="minorEastAsia" w:hAnsi="Cambria Math"/>
            <w:sz w:val="20"/>
            <w:szCs w:val="20"/>
          </w:rPr>
          <m:t xml:space="preserve"> is the per capita net expense</m:t>
        </m:r>
      </m:oMath>
    </w:p>
    <w:p w:rsidR="00850A16" w:rsidRPr="006B133E" w:rsidRDefault="009901D8" w:rsidP="00717EC9">
      <w:pPr>
        <w:pStyle w:val="CGCNumberedPara"/>
        <w:keepNext/>
        <w:keepLines/>
        <w:numPr>
          <w:ilvl w:val="0"/>
          <w:numId w:val="0"/>
        </w:numPr>
        <w:ind w:left="720" w:firstLine="720"/>
        <w:jc w:val="center"/>
        <w:rPr>
          <w:rFonts w:eastAsiaTheme="minorEastAsia"/>
          <w:sz w:val="20"/>
          <w:szCs w:val="20"/>
        </w:rPr>
      </w:pPr>
      <m:oMathPara>
        <m:oMathParaPr>
          <m:jc m:val="left"/>
        </m:oMathParaPr>
        <m:oMath>
          <m:r>
            <w:rPr>
              <w:rFonts w:ascii="Cambria Math" w:eastAsiaTheme="minorEastAsia" w:hAnsi="Cambria Math"/>
              <w:sz w:val="20"/>
              <w:szCs w:val="20"/>
            </w:rPr>
            <m:t xml:space="preserve">P </m:t>
          </m:r>
          <m:r>
            <m:rPr>
              <m:sty m:val="p"/>
            </m:rPr>
            <w:rPr>
              <w:rFonts w:ascii="Cambria Math" w:eastAsiaTheme="minorEastAsia" w:hAnsi="Cambria Math"/>
              <w:sz w:val="20"/>
              <w:szCs w:val="20"/>
            </w:rPr>
            <m:t>is urban population</m:t>
          </m:r>
        </m:oMath>
      </m:oMathPara>
    </w:p>
    <w:p w:rsidR="00095E54" w:rsidRPr="006B133E" w:rsidRDefault="009901D8" w:rsidP="00717EC9">
      <w:pPr>
        <w:pStyle w:val="CGCNumberedPara"/>
        <w:keepNext/>
        <w:keepLines/>
        <w:numPr>
          <w:ilvl w:val="0"/>
          <w:numId w:val="0"/>
        </w:numPr>
        <w:ind w:left="720" w:firstLine="720"/>
        <w:jc w:val="center"/>
        <w:rPr>
          <w:rFonts w:eastAsiaTheme="minorEastAsia"/>
          <w:sz w:val="20"/>
          <w:szCs w:val="20"/>
        </w:rPr>
      </w:pPr>
      <m:oMathPara>
        <m:oMathParaPr>
          <m:jc m:val="left"/>
        </m:oMathParaPr>
        <m:oMath>
          <m:r>
            <w:rPr>
              <w:rFonts w:ascii="Cambria Math" w:hAnsi="Cambria Math"/>
              <w:sz w:val="20"/>
              <w:szCs w:val="20"/>
            </w:rPr>
            <m:t>α</m:t>
          </m:r>
          <m:r>
            <m:rPr>
              <m:sty m:val="p"/>
            </m:rPr>
            <w:rPr>
              <w:rFonts w:ascii="Cambria Math" w:eastAsiaTheme="minorEastAsia" w:hAnsi="Cambria Math"/>
              <w:sz w:val="20"/>
              <w:szCs w:val="20"/>
            </w:rPr>
            <m:t xml:space="preserve"> is a constant</m:t>
          </m:r>
          <m:r>
            <m:rPr>
              <m:sty m:val="p"/>
            </m:rPr>
            <w:rPr>
              <w:rStyle w:val="FootnoteReference"/>
              <w:rFonts w:ascii="Cambria Math" w:eastAsiaTheme="minorEastAsia" w:hAnsi="Cambria Math"/>
              <w:sz w:val="20"/>
              <w:szCs w:val="20"/>
            </w:rPr>
            <w:footnoteReference w:id="2"/>
          </m:r>
          <m:r>
            <m:rPr>
              <m:sty m:val="p"/>
            </m:rPr>
            <w:rPr>
              <w:rFonts w:ascii="Cambria Math" w:eastAsiaTheme="minorEastAsia" w:hAnsi="Cambria Math"/>
              <w:sz w:val="20"/>
              <w:szCs w:val="20"/>
            </w:rPr>
            <m:t>, and</m:t>
          </m:r>
        </m:oMath>
      </m:oMathPara>
    </w:p>
    <w:p w:rsidR="00095E54" w:rsidRPr="006B133E" w:rsidRDefault="009901D8" w:rsidP="00717EC9">
      <w:pPr>
        <w:pStyle w:val="CGCNumberedPara"/>
        <w:keepNext/>
        <w:keepLines/>
        <w:numPr>
          <w:ilvl w:val="0"/>
          <w:numId w:val="0"/>
        </w:numPr>
        <w:ind w:left="720" w:firstLine="720"/>
        <w:jc w:val="center"/>
        <w:rPr>
          <w:rFonts w:eastAsiaTheme="minorEastAsia"/>
          <w:sz w:val="20"/>
          <w:szCs w:val="20"/>
        </w:rPr>
      </w:pPr>
      <m:oMathPara>
        <m:oMathParaPr>
          <m:jc m:val="left"/>
        </m:oMathParaPr>
        <m:oMath>
          <m:r>
            <w:rPr>
              <w:rFonts w:ascii="Cambria Math" w:hAnsi="Cambria Math"/>
              <w:sz w:val="20"/>
              <w:szCs w:val="20"/>
            </w:rPr>
            <m:t>β</m:t>
          </m:r>
          <m:r>
            <m:rPr>
              <m:sty m:val="p"/>
            </m:rPr>
            <w:rPr>
              <w:rFonts w:ascii="Cambria Math" w:hAnsi="Cambria Math"/>
              <w:sz w:val="20"/>
              <w:szCs w:val="20"/>
            </w:rPr>
            <m:t xml:space="preserve"> is a </m:t>
          </m:r>
          <m:r>
            <m:rPr>
              <m:sty m:val="p"/>
            </m:rPr>
            <w:rPr>
              <w:rFonts w:ascii="Cambria Math" w:eastAsiaTheme="minorEastAsia" w:hAnsi="Cambria Math"/>
              <w:sz w:val="20"/>
              <w:szCs w:val="20"/>
            </w:rPr>
            <m:t>scaling factor.</m:t>
          </m:r>
        </m:oMath>
      </m:oMathPara>
    </w:p>
    <w:p w:rsidR="006B133E" w:rsidRDefault="006B133E">
      <w:pPr>
        <w:tabs>
          <w:tab w:val="clear" w:pos="567"/>
        </w:tabs>
        <w:spacing w:after="200" w:line="276" w:lineRule="auto"/>
        <w:rPr>
          <w:rFonts w:eastAsiaTheme="minorEastAsia"/>
          <w:sz w:val="20"/>
          <w:szCs w:val="20"/>
          <w:u w:val="single"/>
        </w:rPr>
      </w:pPr>
      <w:r>
        <w:rPr>
          <w:rFonts w:eastAsiaTheme="minorEastAsia"/>
          <w:sz w:val="20"/>
          <w:szCs w:val="20"/>
          <w:u w:val="single"/>
        </w:rPr>
        <w:br w:type="page"/>
      </w:r>
    </w:p>
    <w:bookmarkStart w:id="38" w:name="_Ref506995707"/>
    <w:p w:rsidR="009E0EA7" w:rsidRDefault="005078F6" w:rsidP="002678CE">
      <w:pPr>
        <w:pStyle w:val="CGCNumberedPara"/>
        <w:numPr>
          <w:ilvl w:val="1"/>
          <w:numId w:val="3"/>
        </w:numPr>
      </w:pPr>
      <w:r>
        <w:lastRenderedPageBreak/>
        <w:fldChar w:fldCharType="begin"/>
      </w:r>
      <w:r>
        <w:instrText xml:space="preserve"> REF _Ref509474119 \h </w:instrText>
      </w:r>
      <w:r>
        <w:fldChar w:fldCharType="separate"/>
      </w:r>
      <w:r w:rsidR="000819F3">
        <w:t xml:space="preserve">Figure </w:t>
      </w:r>
      <w:r w:rsidR="000819F3">
        <w:rPr>
          <w:noProof/>
        </w:rPr>
        <w:t>1</w:t>
      </w:r>
      <w:r>
        <w:fldChar w:fldCharType="end"/>
      </w:r>
      <w:r>
        <w:t xml:space="preserve"> </w:t>
      </w:r>
      <w:r w:rsidR="009E0EA7">
        <w:t>shows the relationship described in th</w:t>
      </w:r>
      <w:r w:rsidR="00280F12">
        <w:t>e above equation, derived from S</w:t>
      </w:r>
      <w:r w:rsidR="009E0EA7">
        <w:t>tate data</w:t>
      </w:r>
      <w:r w:rsidR="007F6E4D">
        <w:t xml:space="preserve"> collected during </w:t>
      </w:r>
      <w:r w:rsidR="009E0EA7">
        <w:t xml:space="preserve">the 2015 </w:t>
      </w:r>
      <w:r w:rsidR="002906CC">
        <w:t>R</w:t>
      </w:r>
      <w:r w:rsidR="009E0EA7">
        <w:t>eview.</w:t>
      </w:r>
      <w:bookmarkEnd w:id="38"/>
      <w:r w:rsidR="009E0EA7">
        <w:t xml:space="preserve"> </w:t>
      </w:r>
      <w:r w:rsidR="00301B29">
        <w:t xml:space="preserve">A linear-logarithmic (lin-log) relationship best describes the relationship between urban transport expenditure observed in the state data, where increases in urban centre population tend to increase per capita net expenses at a diminishing rate. </w:t>
      </w:r>
    </w:p>
    <w:p w:rsidR="00574782" w:rsidRDefault="00574782" w:rsidP="00574782">
      <w:pPr>
        <w:pStyle w:val="Caption"/>
      </w:pPr>
      <w:bookmarkStart w:id="39" w:name="_Ref509474119"/>
      <w:r>
        <w:t xml:space="preserve">Figure </w:t>
      </w:r>
      <w:r w:rsidR="00654065">
        <w:fldChar w:fldCharType="begin"/>
      </w:r>
      <w:r w:rsidR="00654065">
        <w:instrText xml:space="preserve"> SEQ Figure \* ARABIC </w:instrText>
      </w:r>
      <w:r w:rsidR="00654065">
        <w:fldChar w:fldCharType="separate"/>
      </w:r>
      <w:r w:rsidR="000819F3">
        <w:rPr>
          <w:noProof/>
        </w:rPr>
        <w:t>1</w:t>
      </w:r>
      <w:r w:rsidR="00654065">
        <w:rPr>
          <w:noProof/>
        </w:rPr>
        <w:fldChar w:fldCharType="end"/>
      </w:r>
      <w:bookmarkEnd w:id="39"/>
      <w:r>
        <w:tab/>
      </w:r>
      <w:r w:rsidRPr="00A57383">
        <w:t>Net expenses by urban population size, average of 2009–10 to 2011–12</w:t>
      </w:r>
    </w:p>
    <w:p w:rsidR="009E0EA7" w:rsidRDefault="005C52C7" w:rsidP="00E01454">
      <w:pPr>
        <w:pStyle w:val="CGCTableFootnote"/>
      </w:pPr>
      <w:r>
        <w:rPr>
          <w:noProof/>
          <w:lang w:eastAsia="en-AU"/>
        </w:rPr>
        <w:drawing>
          <wp:inline distT="0" distB="0" distL="0" distR="0" wp14:anchorId="7AD05F01" wp14:editId="26D99928">
            <wp:extent cx="5663565" cy="3560445"/>
            <wp:effectExtent l="0" t="0" r="0" b="1905"/>
            <wp:docPr id="2" name="Picture 2" descr="Net expenses by urban population size" title="Net expenses by urban population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63565" cy="3560445"/>
                    </a:xfrm>
                    <a:prstGeom prst="rect">
                      <a:avLst/>
                    </a:prstGeom>
                    <a:noFill/>
                  </pic:spPr>
                </pic:pic>
              </a:graphicData>
            </a:graphic>
          </wp:inline>
        </w:drawing>
      </w:r>
    </w:p>
    <w:p w:rsidR="009E0EA7" w:rsidRPr="006F70B7" w:rsidRDefault="009E0EA7" w:rsidP="006F70B7">
      <w:pPr>
        <w:pStyle w:val="CGCTableFootnote"/>
        <w:rPr>
          <w:rStyle w:val="FootnoteReference"/>
          <w:vertAlign w:val="baseline"/>
        </w:rPr>
      </w:pPr>
      <w:r w:rsidRPr="006F70B7">
        <w:rPr>
          <w:rStyle w:val="FootnoteReference"/>
          <w:vertAlign w:val="baseline"/>
        </w:rPr>
        <w:t xml:space="preserve">Note: </w:t>
      </w:r>
      <w:r w:rsidR="000A448B" w:rsidRPr="006F70B7">
        <w:rPr>
          <w:rStyle w:val="FootnoteReference"/>
          <w:vertAlign w:val="baseline"/>
        </w:rPr>
        <w:tab/>
      </w:r>
      <w:r w:rsidRPr="006F70B7">
        <w:rPr>
          <w:rStyle w:val="FootnoteReference"/>
          <w:vertAlign w:val="baseline"/>
        </w:rPr>
        <w:t xml:space="preserve">City data are not shown for confidentiality reasons. </w:t>
      </w:r>
    </w:p>
    <w:p w:rsidR="009E0EA7" w:rsidRPr="006F70B7" w:rsidRDefault="009E0EA7" w:rsidP="006F70B7">
      <w:pPr>
        <w:pStyle w:val="CGCTableFootnote"/>
        <w:rPr>
          <w:rStyle w:val="FootnoteReference"/>
          <w:vertAlign w:val="baseline"/>
        </w:rPr>
      </w:pPr>
      <w:r w:rsidRPr="006F70B7">
        <w:rPr>
          <w:rStyle w:val="FootnoteReference"/>
          <w:vertAlign w:val="baseline"/>
        </w:rPr>
        <w:t>Source:</w:t>
      </w:r>
      <w:r w:rsidR="000A448B" w:rsidRPr="006F70B7">
        <w:rPr>
          <w:rStyle w:val="FootnoteReference"/>
          <w:vertAlign w:val="baseline"/>
        </w:rPr>
        <w:tab/>
      </w:r>
      <w:r w:rsidRPr="006F70B7">
        <w:rPr>
          <w:rStyle w:val="FootnoteReference"/>
          <w:vertAlign w:val="baseline"/>
        </w:rPr>
        <w:t xml:space="preserve"> 2015 Review </w:t>
      </w:r>
      <w:r w:rsidR="00E01454" w:rsidRPr="006F70B7">
        <w:rPr>
          <w:rStyle w:val="FootnoteReference"/>
          <w:vertAlign w:val="baseline"/>
        </w:rPr>
        <w:t>data returns</w:t>
      </w:r>
      <w:r w:rsidRPr="006F70B7">
        <w:rPr>
          <w:rStyle w:val="FootnoteReference"/>
          <w:vertAlign w:val="baseline"/>
        </w:rPr>
        <w:t>, State transport departments.</w:t>
      </w:r>
    </w:p>
    <w:p w:rsidR="00BC4C75" w:rsidRDefault="00BC4C75" w:rsidP="008941BD">
      <w:pPr>
        <w:pStyle w:val="CGCNumberedPara"/>
        <w:spacing w:before="80" w:after="40"/>
      </w:pPr>
      <w:r w:rsidRPr="00BC4C75">
        <w:rPr>
          <w:rStyle w:val="Heading6Char"/>
        </w:rPr>
        <w:t>Urban centres.</w:t>
      </w:r>
      <w:r>
        <w:t xml:space="preserve"> </w:t>
      </w:r>
      <w:r w:rsidRPr="00BC4C75">
        <w:t>The urban centres included in the assessment and their populations are defined using ABS Urban Centres/Localities (UCLs) contained within Significant Urban Areas (SUAs). While the definition of urban centres may not capture perfectly the population serviced by the urban transport networks, it is policy neutral.</w:t>
      </w:r>
    </w:p>
    <w:p w:rsidR="008115FB" w:rsidRDefault="008115FB" w:rsidP="008941BD">
      <w:pPr>
        <w:pStyle w:val="CGCNumberedPara"/>
        <w:spacing w:before="80" w:after="40"/>
      </w:pPr>
      <w:r>
        <w:t xml:space="preserve">Urban centres with populations over 20 000 are included. </w:t>
      </w:r>
    </w:p>
    <w:p w:rsidR="0024056D" w:rsidRPr="002D5ECA" w:rsidRDefault="0024056D" w:rsidP="008941BD">
      <w:pPr>
        <w:pStyle w:val="CGCNumberedPara"/>
        <w:spacing w:before="80" w:after="40"/>
      </w:pPr>
      <w:r>
        <w:t>The Commission</w:t>
      </w:r>
      <w:r w:rsidRPr="002D5ECA">
        <w:t xml:space="preserve"> treated Newcastle, Wollongong</w:t>
      </w:r>
      <w:r w:rsidR="00B875CE">
        <w:t>,</w:t>
      </w:r>
      <w:r w:rsidRPr="002D5ECA">
        <w:t xml:space="preserve"> the Central Coast, the Sunshine Coast and the Gold Coast as separate cities, rather than amalgamating them with their principal cities because the demand for travel by public transport between these satellite areas and the principal city was low relative to public transport travel within each satellite area. This approach was supported by the </w:t>
      </w:r>
      <w:r w:rsidR="00B875CE">
        <w:t xml:space="preserve">2010 Review </w:t>
      </w:r>
      <w:r w:rsidRPr="002D5ECA">
        <w:t xml:space="preserve">consultants. </w:t>
      </w:r>
    </w:p>
    <w:p w:rsidR="00E95FA3" w:rsidRDefault="00777DA5" w:rsidP="004530AC">
      <w:pPr>
        <w:pStyle w:val="Heading5"/>
      </w:pPr>
      <w:r w:rsidRPr="00777DA5">
        <w:t>Non-urban transport subsidies</w:t>
      </w:r>
    </w:p>
    <w:p w:rsidR="00A8163F" w:rsidRDefault="00143D77" w:rsidP="00143D77">
      <w:pPr>
        <w:pStyle w:val="CGCNumberedPara"/>
      </w:pPr>
      <w:r w:rsidRPr="0088126A">
        <w:t xml:space="preserve">The non-urban transport assessment </w:t>
      </w:r>
      <w:r w:rsidR="00B875CE">
        <w:t>covers</w:t>
      </w:r>
      <w:r w:rsidRPr="0088126A">
        <w:t xml:space="preserve"> the costs of providing passenger and freight transport services between urban centres</w:t>
      </w:r>
      <w:r w:rsidR="004E731A">
        <w:t xml:space="preserve">. Needs are </w:t>
      </w:r>
      <w:r w:rsidR="00A8163F">
        <w:t>measured by</w:t>
      </w:r>
      <w:r>
        <w:t xml:space="preserve"> </w:t>
      </w:r>
      <w:r w:rsidR="00A8163F" w:rsidRPr="008412A6">
        <w:t>the</w:t>
      </w:r>
      <w:r w:rsidR="00A8163F">
        <w:t xml:space="preserve"> State </w:t>
      </w:r>
      <w:r w:rsidR="00A8163F">
        <w:lastRenderedPageBreak/>
        <w:t>share of population living outside capital cities.</w:t>
      </w:r>
      <w:r w:rsidR="00A8163F" w:rsidRPr="00A8163F">
        <w:t xml:space="preserve"> </w:t>
      </w:r>
      <w:r w:rsidR="004E731A">
        <w:t>Assessed expenses are</w:t>
      </w:r>
      <w:r w:rsidR="00A8163F">
        <w:t xml:space="preserve"> then </w:t>
      </w:r>
      <w:r w:rsidR="00A8163F" w:rsidRPr="008412A6">
        <w:t>adjusted by a location factor</w:t>
      </w:r>
      <w:r w:rsidR="00A8163F">
        <w:t xml:space="preserve"> that recognises interstate wage differences and regional costs.</w:t>
      </w:r>
    </w:p>
    <w:p w:rsidR="00A52880" w:rsidRDefault="00A52880" w:rsidP="00143D77">
      <w:pPr>
        <w:pStyle w:val="CGCNumberedPara"/>
      </w:pPr>
      <w:r w:rsidRPr="00A52880">
        <w:rPr>
          <w:rStyle w:val="Heading6Char"/>
          <w:rFonts w:eastAsiaTheme="minorHAnsi" w:cstheme="minorBidi"/>
          <w:b w:val="0"/>
          <w:i w:val="0"/>
          <w:iCs w:val="0"/>
          <w:color w:val="auto"/>
          <w:sz w:val="24"/>
        </w:rPr>
        <w:t>Non-</w:t>
      </w:r>
      <w:r w:rsidRPr="0002253F">
        <w:t xml:space="preserve">urban transport </w:t>
      </w:r>
      <w:r>
        <w:t xml:space="preserve">expenses are the general government subsidies to service providers because some of the services covered by this component, such as </w:t>
      </w:r>
      <w:r w:rsidR="00B875CE">
        <w:t xml:space="preserve">rail freight and </w:t>
      </w:r>
      <w:r>
        <w:t>ports, are commercial in nature.</w:t>
      </w:r>
    </w:p>
    <w:p w:rsidR="00E95FA3" w:rsidRDefault="00E95FA3" w:rsidP="008941BD">
      <w:pPr>
        <w:pStyle w:val="Heading5"/>
        <w:spacing w:before="240"/>
      </w:pPr>
      <w:r>
        <w:t>Investment and depreciation</w:t>
      </w:r>
    </w:p>
    <w:p w:rsidR="00FD62EC" w:rsidRPr="00F46B46" w:rsidRDefault="00D33D89" w:rsidP="00FD62EC">
      <w:pPr>
        <w:pStyle w:val="CGCNumberedPara"/>
      </w:pPr>
      <w:r w:rsidRPr="00D33D89">
        <w:rPr>
          <w:rStyle w:val="Heading6Char"/>
        </w:rPr>
        <w:t>Urban transport investment.</w:t>
      </w:r>
      <w:r>
        <w:t xml:space="preserve"> </w:t>
      </w:r>
      <w:r w:rsidR="00FD62EC" w:rsidRPr="00F46B46">
        <w:t xml:space="preserve">The </w:t>
      </w:r>
      <w:r w:rsidR="001B0E87" w:rsidRPr="00FD62EC">
        <w:t xml:space="preserve">urban </w:t>
      </w:r>
      <w:r w:rsidR="00FD62EC" w:rsidRPr="00FD62EC">
        <w:t xml:space="preserve">transport investment </w:t>
      </w:r>
      <w:r w:rsidR="009547AC">
        <w:t xml:space="preserve">assessment </w:t>
      </w:r>
      <w:r w:rsidR="00B875CE">
        <w:t xml:space="preserve">allows for the impacts </w:t>
      </w:r>
      <w:r w:rsidR="00493846">
        <w:t xml:space="preserve">on investment in transport infrastructure </w:t>
      </w:r>
      <w:r w:rsidR="00B875CE">
        <w:t>of</w:t>
      </w:r>
      <w:r w:rsidR="00FD62EC" w:rsidRPr="00F46B46">
        <w:t>:</w:t>
      </w:r>
    </w:p>
    <w:p w:rsidR="00D628A5" w:rsidRPr="00F46B46" w:rsidRDefault="00B875CE" w:rsidP="004300A2">
      <w:pPr>
        <w:pStyle w:val="CGCBulletlist"/>
        <w:spacing w:after="20"/>
      </w:pPr>
      <w:r>
        <w:t xml:space="preserve">city size, through </w:t>
      </w:r>
      <w:r w:rsidR="00D628A5">
        <w:t xml:space="preserve">a capital stock factor, which is calculated as the </w:t>
      </w:r>
      <w:r w:rsidR="00D628A5" w:rsidRPr="00F46B46">
        <w:t>average of</w:t>
      </w:r>
      <w:r w:rsidR="00D628A5">
        <w:t xml:space="preserve"> factors </w:t>
      </w:r>
      <w:r w:rsidR="00D628A5" w:rsidRPr="00951A00">
        <w:t>derived from</w:t>
      </w:r>
      <w:r w:rsidR="00D628A5" w:rsidRPr="00F46B46">
        <w:t>:</w:t>
      </w:r>
    </w:p>
    <w:p w:rsidR="00D628A5" w:rsidRPr="00951A00" w:rsidRDefault="00D628A5" w:rsidP="004300A2">
      <w:pPr>
        <w:pStyle w:val="CGCSubbulletlist"/>
        <w:spacing w:after="20"/>
        <w:rPr>
          <w:rStyle w:val="Heading6Char"/>
          <w:rFonts w:eastAsiaTheme="minorHAnsi" w:cstheme="minorBidi"/>
          <w:b w:val="0"/>
          <w:i w:val="0"/>
          <w:iCs w:val="0"/>
          <w:color w:val="auto"/>
          <w:sz w:val="24"/>
        </w:rPr>
      </w:pPr>
      <w:r>
        <w:t>a</w:t>
      </w:r>
      <w:r w:rsidRPr="00951A00">
        <w:t xml:space="preserve"> population model,</w:t>
      </w:r>
      <w:r w:rsidRPr="00951A00">
        <w:rPr>
          <w:rStyle w:val="CGCParaNoChar"/>
          <w:szCs w:val="20"/>
        </w:rPr>
        <w:t xml:space="preserve"> </w:t>
      </w:r>
      <w:r w:rsidRPr="00951A00">
        <w:t xml:space="preserve">which reflects the effects of city size </w:t>
      </w:r>
      <w:r w:rsidR="00A641CD">
        <w:t xml:space="preserve">on the need for </w:t>
      </w:r>
      <w:r w:rsidR="001F5CB8">
        <w:t xml:space="preserve">assets </w:t>
      </w:r>
      <w:r w:rsidR="00A641CD">
        <w:t xml:space="preserve">per capita </w:t>
      </w:r>
    </w:p>
    <w:p w:rsidR="00D628A5" w:rsidRPr="00951A00" w:rsidRDefault="00D628A5" w:rsidP="004300A2">
      <w:pPr>
        <w:pStyle w:val="CGCSubbulletlist"/>
        <w:spacing w:after="20"/>
        <w:rPr>
          <w:rStyle w:val="Heading6Char"/>
          <w:rFonts w:eastAsiaTheme="minorHAnsi" w:cstheme="minorBidi"/>
          <w:b w:val="0"/>
          <w:i w:val="0"/>
          <w:iCs w:val="0"/>
          <w:color w:val="auto"/>
          <w:sz w:val="24"/>
        </w:rPr>
      </w:pPr>
      <w:r>
        <w:t xml:space="preserve">State shares of </w:t>
      </w:r>
      <w:r w:rsidRPr="00951A00">
        <w:t>urban population</w:t>
      </w:r>
      <w:r>
        <w:t xml:space="preserve"> (urban centres with population above 20 000)</w:t>
      </w:r>
    </w:p>
    <w:p w:rsidR="00FD62EC" w:rsidRPr="00F46B46" w:rsidRDefault="00FD62EC" w:rsidP="004300A2">
      <w:pPr>
        <w:pStyle w:val="CGCBulletlist"/>
        <w:spacing w:after="20"/>
      </w:pPr>
      <w:r w:rsidRPr="00FD62EC">
        <w:t xml:space="preserve">population growth </w:t>
      </w:r>
    </w:p>
    <w:p w:rsidR="00FD62EC" w:rsidRPr="00F46B46" w:rsidRDefault="00FD62EC" w:rsidP="004300A2">
      <w:pPr>
        <w:pStyle w:val="CGCBulletlist"/>
        <w:spacing w:after="20"/>
      </w:pPr>
      <w:r w:rsidRPr="00FD62EC">
        <w:t>the cost of urban transport infrastructure</w:t>
      </w:r>
      <w:r w:rsidR="00493846">
        <w:t xml:space="preserve">, through a </w:t>
      </w:r>
      <w:r w:rsidR="009547AC">
        <w:t>capital cost factor</w:t>
      </w:r>
      <w:r w:rsidR="00493846">
        <w:t xml:space="preserve"> which </w:t>
      </w:r>
      <w:r w:rsidR="009547AC">
        <w:t>reflects</w:t>
      </w:r>
      <w:r w:rsidR="00C71CA1">
        <w:t xml:space="preserve"> the</w:t>
      </w:r>
      <w:r w:rsidR="00C71CA1" w:rsidRPr="00390344">
        <w:t xml:space="preserve"> relative construction, wage and regional costs.</w:t>
      </w:r>
    </w:p>
    <w:p w:rsidR="003460E7" w:rsidRDefault="00003284" w:rsidP="0037508C">
      <w:pPr>
        <w:pStyle w:val="CGCNumberedPara"/>
        <w:spacing w:line="280" w:lineRule="atLeast"/>
      </w:pPr>
      <w:r>
        <w:t xml:space="preserve">The </w:t>
      </w:r>
      <w:r w:rsidR="00D628A5">
        <w:t>population</w:t>
      </w:r>
      <w:r w:rsidR="006B570C" w:rsidRPr="00F46B46">
        <w:t xml:space="preserve"> model </w:t>
      </w:r>
      <w:r w:rsidR="002326CB">
        <w:t>is based on the observation of</w:t>
      </w:r>
      <w:r w:rsidR="002326CB" w:rsidRPr="00F46B46">
        <w:t xml:space="preserve"> an upward sloping </w:t>
      </w:r>
      <w:r w:rsidR="002326CB">
        <w:t xml:space="preserve">linear </w:t>
      </w:r>
      <w:r w:rsidR="002326CB" w:rsidRPr="00F46B46">
        <w:t>relationship between city size and assets per capita.</w:t>
      </w:r>
      <w:r w:rsidR="002326CB">
        <w:t xml:space="preserve"> </w:t>
      </w:r>
      <w:r w:rsidR="002326CB" w:rsidRPr="002326CB">
        <w:t xml:space="preserve">The </w:t>
      </w:r>
      <w:r w:rsidR="002326CB">
        <w:t xml:space="preserve">Commission’s </w:t>
      </w:r>
      <w:r w:rsidR="002326CB" w:rsidRPr="002326CB">
        <w:t xml:space="preserve">analysis showed </w:t>
      </w:r>
      <w:r w:rsidR="002326CB">
        <w:t xml:space="preserve">that </w:t>
      </w:r>
      <w:r w:rsidR="002326CB" w:rsidRPr="002326CB">
        <w:t xml:space="preserve">assessed asset values </w:t>
      </w:r>
      <w:r w:rsidR="002326CB">
        <w:t xml:space="preserve">per capita were </w:t>
      </w:r>
      <w:r w:rsidR="002326CB" w:rsidRPr="002326CB">
        <w:t xml:space="preserve">driven by the square of urban centre populations if the relationship between city size and asset values was linear and had a zero intercept. </w:t>
      </w:r>
      <w:r w:rsidR="002326CB">
        <w:t xml:space="preserve">The Commission adopted this simplified model, which </w:t>
      </w:r>
      <w:r w:rsidR="002F51AE">
        <w:t>is</w:t>
      </w:r>
      <w:r w:rsidR="00AC4140">
        <w:t xml:space="preserve"> described </w:t>
      </w:r>
      <w:r w:rsidR="002F51AE">
        <w:t xml:space="preserve">as </w:t>
      </w:r>
      <w:r w:rsidR="002F51AE" w:rsidRPr="0012376A">
        <w:t>f</w:t>
      </w:r>
      <w:r w:rsidR="0062177A" w:rsidRPr="0012376A">
        <w:t>ollows</w:t>
      </w:r>
      <w:r w:rsidR="0062177A">
        <w:t>,</w:t>
      </w:r>
      <w:r w:rsidR="003460E7">
        <w:tab/>
      </w:r>
    </w:p>
    <w:p w:rsidR="002F51AE" w:rsidRPr="003460E7" w:rsidRDefault="00654065" w:rsidP="0037508C">
      <w:pPr>
        <w:pStyle w:val="CGCNumberedPara"/>
        <w:keepNext/>
        <w:keepLines/>
        <w:numPr>
          <w:ilvl w:val="0"/>
          <w:numId w:val="0"/>
        </w:numPr>
        <w:spacing w:line="280" w:lineRule="atLeast"/>
        <w:ind w:left="2160" w:firstLine="720"/>
      </w:pPr>
      <m:oMathPara>
        <m:oMathParaPr>
          <m:jc m:val="left"/>
        </m:oMathParaPr>
        <m:oMath>
          <m:sSub>
            <m:sSubPr>
              <m:ctrlPr>
                <w:rPr>
                  <w:rFonts w:ascii="Cambria Math" w:hAnsi="Cambria Math"/>
                  <w:i/>
                  <w:sz w:val="20"/>
                </w:rPr>
              </m:ctrlPr>
            </m:sSubPr>
            <m:e>
              <m:r>
                <w:rPr>
                  <w:rFonts w:ascii="Cambria Math" w:hAnsi="Cambria Math"/>
                  <w:sz w:val="20"/>
                </w:rPr>
                <m:t>A</m:t>
              </m:r>
            </m:e>
            <m:sub>
              <m:r>
                <w:rPr>
                  <w:rFonts w:ascii="Cambria Math" w:hAnsi="Cambria Math"/>
                  <w:sz w:val="20"/>
                </w:rPr>
                <m:t>i</m:t>
              </m:r>
            </m:sub>
          </m:sSub>
          <m:r>
            <w:rPr>
              <w:rFonts w:ascii="Cambria Math" w:hAnsi="Cambria Math"/>
              <w:sz w:val="20"/>
            </w:rPr>
            <m:t>=</m:t>
          </m:r>
          <m:sSup>
            <m:sSupPr>
              <m:ctrlPr>
                <w:rPr>
                  <w:rFonts w:ascii="Cambria Math" w:hAnsi="Cambria Math"/>
                  <w:i/>
                  <w:sz w:val="20"/>
                </w:rPr>
              </m:ctrlPr>
            </m:sSupPr>
            <m:e>
              <m:r>
                <w:rPr>
                  <w:rFonts w:ascii="Cambria Math" w:hAnsi="Cambria Math"/>
                  <w:sz w:val="20"/>
                </w:rPr>
                <m:t>P</m:t>
              </m:r>
            </m:e>
            <m:sup>
              <m:r>
                <w:rPr>
                  <w:rFonts w:ascii="Cambria Math" w:hAnsi="Cambria Math"/>
                  <w:sz w:val="20"/>
                </w:rPr>
                <m:t xml:space="preserve">2 </m:t>
              </m:r>
            </m:sup>
          </m:sSup>
          <m:r>
            <w:rPr>
              <w:rFonts w:ascii="Cambria Math" w:eastAsiaTheme="minorEastAsia" w:hAnsi="Cambria Math"/>
              <w:sz w:val="20"/>
            </w:rPr>
            <m:t>×50%</m:t>
          </m:r>
        </m:oMath>
      </m:oMathPara>
    </w:p>
    <w:p w:rsidR="00E04979" w:rsidRPr="00E04979" w:rsidRDefault="00E04979" w:rsidP="0037508C">
      <w:pPr>
        <w:keepNext/>
        <w:keepLines/>
        <w:spacing w:line="280" w:lineRule="atLeast"/>
        <w:rPr>
          <w:rFonts w:eastAsiaTheme="minorEastAsia"/>
          <w:sz w:val="20"/>
          <w:szCs w:val="20"/>
        </w:rPr>
      </w:pPr>
      <w:r>
        <w:rPr>
          <w:rFonts w:eastAsiaTheme="minorEastAsia"/>
          <w:sz w:val="20"/>
          <w:szCs w:val="20"/>
        </w:rPr>
        <w:tab/>
      </w:r>
      <m:oMath>
        <m:r>
          <m:rPr>
            <m:sty m:val="p"/>
          </m:rPr>
          <w:rPr>
            <w:rFonts w:ascii="Cambria Math" w:eastAsiaTheme="minorEastAsia" w:hAnsi="Cambria Math"/>
            <w:sz w:val="20"/>
            <w:szCs w:val="20"/>
          </w:rPr>
          <m:t>Where:</m:t>
        </m:r>
      </m:oMath>
    </w:p>
    <w:p w:rsidR="008A4658" w:rsidRPr="00E04979" w:rsidRDefault="008A4658" w:rsidP="00DA4F58">
      <w:pPr>
        <w:keepNext/>
        <w:keepLines/>
        <w:rPr>
          <w:rFonts w:eastAsiaTheme="minorEastAsia"/>
          <w:sz w:val="20"/>
          <w:szCs w:val="20"/>
        </w:rPr>
      </w:pPr>
      <w:r>
        <w:rPr>
          <w:rFonts w:eastAsiaTheme="minorEastAsia"/>
          <w:sz w:val="20"/>
          <w:szCs w:val="20"/>
        </w:rPr>
        <w:tab/>
      </w:r>
      <w:r>
        <w:rPr>
          <w:rFonts w:eastAsiaTheme="minorEastAsia"/>
          <w:sz w:val="20"/>
          <w:szCs w:val="20"/>
        </w:rPr>
        <w:tab/>
      </w:r>
      <m:oMath>
        <m:r>
          <w:rPr>
            <w:rFonts w:ascii="Cambria Math" w:eastAsiaTheme="minorEastAsia" w:hAnsi="Cambria Math"/>
            <w:sz w:val="20"/>
            <w:szCs w:val="20"/>
          </w:rPr>
          <m:t>i</m:t>
        </m:r>
        <m:r>
          <m:rPr>
            <m:sty m:val="p"/>
          </m:rPr>
          <w:rPr>
            <w:rFonts w:ascii="Cambria Math" w:eastAsiaTheme="minorEastAsia" w:hAnsi="Cambria Math"/>
            <w:sz w:val="20"/>
            <w:szCs w:val="20"/>
          </w:rPr>
          <m:t xml:space="preserve"> is equal to all cities with a population greater than 20 000</m:t>
        </m:r>
      </m:oMath>
    </w:p>
    <w:p w:rsidR="008A4658" w:rsidRPr="008A4658" w:rsidRDefault="008A4658" w:rsidP="00DA4F58">
      <w:pPr>
        <w:keepNext/>
        <w:keepLines/>
        <w:rPr>
          <w:rFonts w:eastAsiaTheme="minorEastAsia"/>
          <w:sz w:val="20"/>
          <w:szCs w:val="20"/>
        </w:rPr>
      </w:pPr>
      <w:r>
        <w:rPr>
          <w:rFonts w:eastAsiaTheme="minorEastAsia"/>
          <w:sz w:val="20"/>
          <w:szCs w:val="20"/>
        </w:rPr>
        <w:tab/>
      </w:r>
      <w:r>
        <w:rPr>
          <w:rFonts w:eastAsiaTheme="minorEastAsia"/>
          <w:sz w:val="20"/>
          <w:szCs w:val="20"/>
        </w:rPr>
        <w:tab/>
      </w:r>
      <m:oMath>
        <m:r>
          <w:rPr>
            <w:rFonts w:ascii="Cambria Math" w:eastAsiaTheme="minorEastAsia" w:hAnsi="Cambria Math"/>
            <w:sz w:val="20"/>
            <w:szCs w:val="20"/>
          </w:rPr>
          <m:t>A</m:t>
        </m:r>
        <m:r>
          <m:rPr>
            <m:sty m:val="p"/>
          </m:rPr>
          <w:rPr>
            <w:rFonts w:ascii="Cambria Math" w:eastAsiaTheme="minorEastAsia" w:hAnsi="Cambria Math"/>
            <w:sz w:val="20"/>
            <w:szCs w:val="20"/>
          </w:rPr>
          <m:t xml:space="preserve"> is assets per capita</m:t>
        </m:r>
      </m:oMath>
    </w:p>
    <w:p w:rsidR="008A4658" w:rsidRPr="000C6F76" w:rsidRDefault="008A4658" w:rsidP="00DA4F58">
      <w:pPr>
        <w:pStyle w:val="CGCNumberedPara"/>
        <w:keepNext/>
        <w:keepLines/>
        <w:numPr>
          <w:ilvl w:val="0"/>
          <w:numId w:val="0"/>
        </w:numPr>
        <w:ind w:left="720" w:firstLine="720"/>
        <w:jc w:val="center"/>
        <w:rPr>
          <w:rFonts w:eastAsiaTheme="minorEastAsia"/>
          <w:sz w:val="20"/>
          <w:szCs w:val="20"/>
        </w:rPr>
      </w:pPr>
      <m:oMathPara>
        <m:oMathParaPr>
          <m:jc m:val="left"/>
        </m:oMathParaPr>
        <m:oMath>
          <m:r>
            <w:rPr>
              <w:rFonts w:ascii="Cambria Math" w:eastAsiaTheme="minorEastAsia" w:hAnsi="Cambria Math"/>
              <w:sz w:val="20"/>
              <w:szCs w:val="20"/>
            </w:rPr>
            <m:t xml:space="preserve">P </m:t>
          </m:r>
          <m:r>
            <m:rPr>
              <m:sty m:val="p"/>
            </m:rPr>
            <w:rPr>
              <w:rFonts w:ascii="Cambria Math" w:eastAsiaTheme="minorEastAsia" w:hAnsi="Cambria Math"/>
              <w:sz w:val="20"/>
              <w:szCs w:val="20"/>
            </w:rPr>
            <m:t>is urban population, and</m:t>
          </m:r>
        </m:oMath>
      </m:oMathPara>
    </w:p>
    <w:p w:rsidR="000C6F76" w:rsidRPr="006B133E" w:rsidRDefault="000C6F76" w:rsidP="00DA4F58">
      <w:pPr>
        <w:pStyle w:val="CGCNumberedPara"/>
        <w:keepNext/>
        <w:keepLines/>
        <w:numPr>
          <w:ilvl w:val="0"/>
          <w:numId w:val="0"/>
        </w:numPr>
        <w:ind w:left="720" w:firstLine="720"/>
        <w:jc w:val="center"/>
        <w:rPr>
          <w:rFonts w:eastAsiaTheme="minorEastAsia"/>
          <w:sz w:val="20"/>
          <w:szCs w:val="20"/>
        </w:rPr>
      </w:pPr>
      <m:oMathPara>
        <m:oMathParaPr>
          <m:jc m:val="left"/>
        </m:oMathParaPr>
        <m:oMath>
          <m:r>
            <w:rPr>
              <w:rFonts w:ascii="Cambria Math" w:eastAsiaTheme="minorEastAsia" w:hAnsi="Cambria Math"/>
              <w:sz w:val="20"/>
              <w:szCs w:val="20"/>
            </w:rPr>
            <m:t xml:space="preserve">50%  </m:t>
          </m:r>
          <m:r>
            <m:rPr>
              <m:sty m:val="p"/>
            </m:rPr>
            <w:rPr>
              <w:rFonts w:ascii="Cambria Math" w:eastAsiaTheme="minorEastAsia" w:hAnsi="Cambria Math"/>
              <w:sz w:val="20"/>
              <w:szCs w:val="20"/>
            </w:rPr>
            <m:t>is the discount on this assessment.</m:t>
          </m:r>
        </m:oMath>
      </m:oMathPara>
    </w:p>
    <w:p w:rsidR="001F5CB8" w:rsidRPr="001F5CB8" w:rsidRDefault="001F5CB8" w:rsidP="002D20E6">
      <w:pPr>
        <w:pStyle w:val="CGCNumberedPara"/>
        <w:rPr>
          <w:rStyle w:val="Heading6Char"/>
          <w:rFonts w:eastAsiaTheme="minorHAnsi" w:cstheme="minorBidi"/>
          <w:b w:val="0"/>
          <w:i w:val="0"/>
          <w:iCs w:val="0"/>
          <w:color w:val="auto"/>
          <w:sz w:val="24"/>
        </w:rPr>
      </w:pPr>
      <w:r>
        <w:rPr>
          <w:rStyle w:val="Heading6Char"/>
          <w:rFonts w:eastAsiaTheme="minorHAnsi" w:cstheme="minorBidi"/>
          <w:b w:val="0"/>
          <w:i w:val="0"/>
          <w:iCs w:val="0"/>
          <w:color w:val="auto"/>
          <w:sz w:val="24"/>
        </w:rPr>
        <w:t>Depreciation expenses</w:t>
      </w:r>
      <w:r w:rsidR="007650BA">
        <w:rPr>
          <w:rStyle w:val="Heading6Char"/>
          <w:rFonts w:eastAsiaTheme="minorHAnsi" w:cstheme="minorBidi"/>
          <w:b w:val="0"/>
          <w:i w:val="0"/>
          <w:iCs w:val="0"/>
          <w:color w:val="auto"/>
          <w:sz w:val="24"/>
        </w:rPr>
        <w:t xml:space="preserve"> are included in the assessment </w:t>
      </w:r>
      <w:r w:rsidR="00493846">
        <w:rPr>
          <w:rStyle w:val="Heading6Char"/>
          <w:rFonts w:eastAsiaTheme="minorHAnsi" w:cstheme="minorBidi"/>
          <w:b w:val="0"/>
          <w:i w:val="0"/>
          <w:iCs w:val="0"/>
          <w:color w:val="auto"/>
          <w:sz w:val="24"/>
        </w:rPr>
        <w:t xml:space="preserve">of </w:t>
      </w:r>
      <w:r>
        <w:rPr>
          <w:rStyle w:val="Heading6Char"/>
          <w:rFonts w:eastAsiaTheme="minorHAnsi" w:cstheme="minorBidi"/>
          <w:b w:val="0"/>
          <w:i w:val="0"/>
          <w:iCs w:val="0"/>
          <w:color w:val="auto"/>
          <w:sz w:val="24"/>
        </w:rPr>
        <w:t>net urban transport expenses.</w:t>
      </w:r>
    </w:p>
    <w:p w:rsidR="00D10898" w:rsidRDefault="008410B9" w:rsidP="002D20E6">
      <w:pPr>
        <w:pStyle w:val="CGCNumberedPara"/>
      </w:pPr>
      <w:r>
        <w:rPr>
          <w:rStyle w:val="Heading6Char"/>
        </w:rPr>
        <w:t>Non-u</w:t>
      </w:r>
      <w:r w:rsidRPr="00D33D89">
        <w:rPr>
          <w:rStyle w:val="Heading6Char"/>
        </w:rPr>
        <w:t>rban transport investment.</w:t>
      </w:r>
      <w:r>
        <w:t xml:space="preserve"> </w:t>
      </w:r>
      <w:r w:rsidR="002D20E6">
        <w:t>Non-urban transport investment is assessed with</w:t>
      </w:r>
      <w:r w:rsidR="00D10898">
        <w:t>in</w:t>
      </w:r>
      <w:r w:rsidR="002D20E6">
        <w:t xml:space="preserve"> the </w:t>
      </w:r>
      <w:r w:rsidR="00FD62EC">
        <w:t>o</w:t>
      </w:r>
      <w:r w:rsidR="002D20E6">
        <w:t>ther</w:t>
      </w:r>
      <w:r w:rsidR="00D10898">
        <w:t xml:space="preserve"> services</w:t>
      </w:r>
      <w:r w:rsidR="00FD62EC">
        <w:t xml:space="preserve"> component of the</w:t>
      </w:r>
      <w:r w:rsidR="002D20E6">
        <w:t xml:space="preserve"> </w:t>
      </w:r>
      <w:r w:rsidR="00FD62EC">
        <w:t xml:space="preserve">Investment </w:t>
      </w:r>
      <w:r w:rsidR="002D20E6">
        <w:t>category. Th</w:t>
      </w:r>
      <w:r w:rsidR="005C1523">
        <w:t>e assessment</w:t>
      </w:r>
      <w:r w:rsidR="002D20E6">
        <w:t xml:space="preserve"> r</w:t>
      </w:r>
      <w:r w:rsidR="002D20E6" w:rsidRPr="002D20E6">
        <w:t xml:space="preserve">ecognises the impact of service use </w:t>
      </w:r>
      <w:r w:rsidR="00493846">
        <w:t xml:space="preserve">and </w:t>
      </w:r>
      <w:r w:rsidR="002D20E6">
        <w:t xml:space="preserve">interstate </w:t>
      </w:r>
      <w:r w:rsidR="002D20E6" w:rsidRPr="002D20E6">
        <w:t xml:space="preserve">differences in population growth on the </w:t>
      </w:r>
      <w:r w:rsidR="00493846">
        <w:t xml:space="preserve">relative </w:t>
      </w:r>
      <w:r w:rsidR="002D20E6" w:rsidRPr="002D20E6">
        <w:t>need for infrastructure</w:t>
      </w:r>
      <w:r w:rsidR="002D20E6">
        <w:t xml:space="preserve"> as well as the </w:t>
      </w:r>
      <w:r w:rsidR="002D20E6" w:rsidRPr="002D20E6">
        <w:t xml:space="preserve">impact of differences between States </w:t>
      </w:r>
      <w:r w:rsidR="00493846">
        <w:t>i</w:t>
      </w:r>
      <w:r w:rsidR="002D20E6" w:rsidRPr="002D20E6">
        <w:t>n the cost of infrastructure.</w:t>
      </w:r>
      <w:r w:rsidR="00D10898">
        <w:t xml:space="preserve"> </w:t>
      </w:r>
    </w:p>
    <w:p w:rsidR="001F5CB8" w:rsidRPr="001F5CB8" w:rsidRDefault="001F5CB8" w:rsidP="001F5CB8">
      <w:pPr>
        <w:pStyle w:val="CGCNumberedPara"/>
        <w:rPr>
          <w:rStyle w:val="Heading6Char"/>
          <w:rFonts w:eastAsiaTheme="minorHAnsi" w:cstheme="minorBidi"/>
          <w:b w:val="0"/>
          <w:i w:val="0"/>
          <w:iCs w:val="0"/>
          <w:color w:val="auto"/>
          <w:sz w:val="24"/>
        </w:rPr>
      </w:pPr>
      <w:r>
        <w:rPr>
          <w:rStyle w:val="Heading6Char"/>
          <w:rFonts w:eastAsiaTheme="minorHAnsi" w:cstheme="minorBidi"/>
          <w:b w:val="0"/>
          <w:i w:val="0"/>
          <w:iCs w:val="0"/>
          <w:color w:val="auto"/>
          <w:sz w:val="24"/>
        </w:rPr>
        <w:t xml:space="preserve">Depreciation expenses are </w:t>
      </w:r>
      <w:r w:rsidR="00331795">
        <w:rPr>
          <w:rStyle w:val="Heading6Char"/>
          <w:rFonts w:eastAsiaTheme="minorHAnsi" w:cstheme="minorBidi"/>
          <w:b w:val="0"/>
          <w:i w:val="0"/>
          <w:iCs w:val="0"/>
          <w:color w:val="auto"/>
          <w:sz w:val="24"/>
        </w:rPr>
        <w:t>assessed in the Depreciation category</w:t>
      </w:r>
      <w:r>
        <w:rPr>
          <w:rStyle w:val="Heading6Char"/>
          <w:rFonts w:eastAsiaTheme="minorHAnsi" w:cstheme="minorBidi"/>
          <w:b w:val="0"/>
          <w:i w:val="0"/>
          <w:iCs w:val="0"/>
          <w:color w:val="auto"/>
          <w:sz w:val="24"/>
        </w:rPr>
        <w:t>.</w:t>
      </w:r>
    </w:p>
    <w:p w:rsidR="00E07621" w:rsidRDefault="00E07621" w:rsidP="004530AC">
      <w:pPr>
        <w:pStyle w:val="Heading5"/>
      </w:pPr>
      <w:r>
        <w:lastRenderedPageBreak/>
        <w:t xml:space="preserve">GST </w:t>
      </w:r>
      <w:r w:rsidR="0041349A">
        <w:t>re</w:t>
      </w:r>
      <w:r>
        <w:t>distribution</w:t>
      </w:r>
    </w:p>
    <w:p w:rsidR="00657904" w:rsidRPr="00657904" w:rsidRDefault="00913A3B" w:rsidP="00122601">
      <w:pPr>
        <w:pStyle w:val="CGCNumberedPara"/>
      </w:pPr>
      <w:r>
        <w:fldChar w:fldCharType="begin"/>
      </w:r>
      <w:r>
        <w:instrText xml:space="preserve"> REF _Ref507425562 \h </w:instrText>
      </w:r>
      <w:r>
        <w:fldChar w:fldCharType="separate"/>
      </w:r>
      <w:r w:rsidR="000819F3">
        <w:t xml:space="preserve">Table </w:t>
      </w:r>
      <w:r w:rsidR="000819F3">
        <w:rPr>
          <w:noProof/>
        </w:rPr>
        <w:t>5</w:t>
      </w:r>
      <w:r>
        <w:fldChar w:fldCharType="end"/>
      </w:r>
      <w:r>
        <w:t xml:space="preserve"> </w:t>
      </w:r>
      <w:r w:rsidR="00FD5FE3">
        <w:t xml:space="preserve">shows the GST redistributed by the </w:t>
      </w:r>
      <w:r w:rsidR="00C0482B">
        <w:t xml:space="preserve">assessment of </w:t>
      </w:r>
      <w:r w:rsidR="00FD5FE3">
        <w:t xml:space="preserve">Transport </w:t>
      </w:r>
      <w:r w:rsidR="00C0482B">
        <w:t xml:space="preserve">recurrent costs. </w:t>
      </w:r>
      <w:r w:rsidR="00B019B2">
        <w:t xml:space="preserve"> </w:t>
      </w:r>
    </w:p>
    <w:p w:rsidR="00657904" w:rsidRDefault="00657904" w:rsidP="00FD62EC">
      <w:pPr>
        <w:pStyle w:val="Caption"/>
      </w:pPr>
      <w:bookmarkStart w:id="40" w:name="_Ref507425562"/>
      <w:r>
        <w:t xml:space="preserve">Table </w:t>
      </w:r>
      <w:r w:rsidR="00654065">
        <w:fldChar w:fldCharType="begin"/>
      </w:r>
      <w:r w:rsidR="00654065">
        <w:instrText xml:space="preserve"> SEQ Table \* ARABIC </w:instrText>
      </w:r>
      <w:r w:rsidR="00654065">
        <w:fldChar w:fldCharType="separate"/>
      </w:r>
      <w:r w:rsidR="000819F3">
        <w:rPr>
          <w:noProof/>
        </w:rPr>
        <w:t>5</w:t>
      </w:r>
      <w:r w:rsidR="00654065">
        <w:rPr>
          <w:noProof/>
        </w:rPr>
        <w:fldChar w:fldCharType="end"/>
      </w:r>
      <w:bookmarkEnd w:id="40"/>
      <w:r>
        <w:tab/>
        <w:t xml:space="preserve"> </w:t>
      </w:r>
      <w:r w:rsidR="00913A3B">
        <w:t xml:space="preserve">GST </w:t>
      </w:r>
      <w:r w:rsidR="006C45E9">
        <w:t>i</w:t>
      </w:r>
      <w:r w:rsidR="00913A3B">
        <w:t>mpact</w:t>
      </w:r>
      <w:r w:rsidR="00835BAC">
        <w:t>,</w:t>
      </w:r>
      <w:r w:rsidR="00F2648B">
        <w:t xml:space="preserve"> T</w:t>
      </w:r>
      <w:r>
        <w:t>ransport</w:t>
      </w:r>
      <w:r w:rsidR="00913A3B">
        <w:t xml:space="preserve"> </w:t>
      </w:r>
      <w:r w:rsidR="004D3769">
        <w:t>assessment</w:t>
      </w:r>
      <w:r w:rsidR="00EA72AB">
        <w:t xml:space="preserve">, </w:t>
      </w:r>
      <w:r w:rsidR="0012376A">
        <w:t>2018 Update</w:t>
      </w:r>
    </w:p>
    <w:tbl>
      <w:tblPr>
        <w:tblW w:w="9000" w:type="dxa"/>
        <w:tblInd w:w="93" w:type="dxa"/>
        <w:tblLayout w:type="fixed"/>
        <w:tblLook w:val="04A0" w:firstRow="1" w:lastRow="0" w:firstColumn="1" w:lastColumn="0" w:noHBand="0" w:noVBand="1"/>
      </w:tblPr>
      <w:tblGrid>
        <w:gridCol w:w="2200"/>
        <w:gridCol w:w="719"/>
        <w:gridCol w:w="719"/>
        <w:gridCol w:w="719"/>
        <w:gridCol w:w="719"/>
        <w:gridCol w:w="719"/>
        <w:gridCol w:w="719"/>
        <w:gridCol w:w="719"/>
        <w:gridCol w:w="720"/>
        <w:gridCol w:w="1047"/>
      </w:tblGrid>
      <w:tr w:rsidR="0002373C" w:rsidRPr="0002373C" w:rsidTr="00AF02D1">
        <w:trPr>
          <w:trHeight w:hRule="exact" w:val="363"/>
        </w:trPr>
        <w:tc>
          <w:tcPr>
            <w:tcW w:w="2200" w:type="dxa"/>
            <w:tcBorders>
              <w:top w:val="single" w:sz="4" w:space="0" w:color="auto"/>
              <w:left w:val="nil"/>
              <w:bottom w:val="single" w:sz="4" w:space="0" w:color="auto"/>
              <w:right w:val="nil"/>
            </w:tcBorders>
            <w:shd w:val="clear" w:color="auto" w:fill="auto"/>
            <w:noWrap/>
            <w:vAlign w:val="center"/>
            <w:hideMark/>
          </w:tcPr>
          <w:p w:rsidR="0002373C" w:rsidRPr="0002373C" w:rsidRDefault="0002373C" w:rsidP="00FD62EC">
            <w:pPr>
              <w:keepNext/>
              <w:keepLines/>
              <w:tabs>
                <w:tab w:val="clear" w:pos="567"/>
              </w:tabs>
              <w:spacing w:before="60" w:after="60" w:line="200" w:lineRule="atLeast"/>
              <w:jc w:val="right"/>
              <w:rPr>
                <w:rFonts w:eastAsia="Times New Roman" w:cs="Times New Roman"/>
                <w:sz w:val="20"/>
                <w:szCs w:val="20"/>
                <w:lang w:eastAsia="en-AU"/>
              </w:rPr>
            </w:pPr>
            <w:bookmarkStart w:id="41" w:name="RANGE!A1:J14"/>
            <w:r w:rsidRPr="0002373C">
              <w:rPr>
                <w:rFonts w:eastAsia="Times New Roman" w:cs="Times New Roman"/>
                <w:sz w:val="20"/>
                <w:szCs w:val="20"/>
                <w:lang w:eastAsia="en-AU"/>
              </w:rPr>
              <w:t> </w:t>
            </w:r>
            <w:bookmarkEnd w:id="41"/>
          </w:p>
        </w:tc>
        <w:tc>
          <w:tcPr>
            <w:tcW w:w="719" w:type="dxa"/>
            <w:tcBorders>
              <w:top w:val="single" w:sz="4" w:space="0" w:color="auto"/>
              <w:left w:val="nil"/>
              <w:bottom w:val="single" w:sz="4" w:space="0" w:color="auto"/>
              <w:right w:val="nil"/>
            </w:tcBorders>
            <w:shd w:val="clear" w:color="auto" w:fill="auto"/>
            <w:noWrap/>
            <w:vAlign w:val="center"/>
            <w:hideMark/>
          </w:tcPr>
          <w:p w:rsidR="0002373C" w:rsidRPr="0002373C" w:rsidRDefault="0002373C" w:rsidP="00FD62EC">
            <w:pPr>
              <w:keepNext/>
              <w:keepLines/>
              <w:tabs>
                <w:tab w:val="clear" w:pos="567"/>
              </w:tabs>
              <w:spacing w:before="60" w:after="60" w:line="200" w:lineRule="atLeast"/>
              <w:jc w:val="right"/>
              <w:rPr>
                <w:rFonts w:eastAsia="Times New Roman" w:cs="Times New Roman"/>
                <w:sz w:val="20"/>
                <w:szCs w:val="20"/>
                <w:lang w:eastAsia="en-AU"/>
              </w:rPr>
            </w:pPr>
            <w:r w:rsidRPr="0002373C">
              <w:rPr>
                <w:rFonts w:eastAsia="Times New Roman" w:cs="Times New Roman"/>
                <w:sz w:val="20"/>
                <w:szCs w:val="20"/>
                <w:lang w:eastAsia="en-AU"/>
              </w:rPr>
              <w:t>NSW</w:t>
            </w:r>
          </w:p>
        </w:tc>
        <w:tc>
          <w:tcPr>
            <w:tcW w:w="719" w:type="dxa"/>
            <w:tcBorders>
              <w:top w:val="single" w:sz="4" w:space="0" w:color="auto"/>
              <w:left w:val="nil"/>
              <w:bottom w:val="single" w:sz="4" w:space="0" w:color="auto"/>
              <w:right w:val="nil"/>
            </w:tcBorders>
            <w:shd w:val="clear" w:color="auto" w:fill="auto"/>
            <w:noWrap/>
            <w:vAlign w:val="center"/>
            <w:hideMark/>
          </w:tcPr>
          <w:p w:rsidR="0002373C" w:rsidRPr="0002373C" w:rsidRDefault="0002373C" w:rsidP="00FD62EC">
            <w:pPr>
              <w:keepNext/>
              <w:keepLines/>
              <w:tabs>
                <w:tab w:val="clear" w:pos="567"/>
              </w:tabs>
              <w:spacing w:before="60" w:after="60" w:line="200" w:lineRule="atLeast"/>
              <w:jc w:val="right"/>
              <w:rPr>
                <w:rFonts w:eastAsia="Times New Roman" w:cs="Times New Roman"/>
                <w:sz w:val="20"/>
                <w:szCs w:val="20"/>
                <w:lang w:eastAsia="en-AU"/>
              </w:rPr>
            </w:pPr>
            <w:r w:rsidRPr="0002373C">
              <w:rPr>
                <w:rFonts w:eastAsia="Times New Roman" w:cs="Times New Roman"/>
                <w:sz w:val="20"/>
                <w:szCs w:val="20"/>
                <w:lang w:eastAsia="en-AU"/>
              </w:rPr>
              <w:t>Vic</w:t>
            </w:r>
          </w:p>
        </w:tc>
        <w:tc>
          <w:tcPr>
            <w:tcW w:w="719" w:type="dxa"/>
            <w:tcBorders>
              <w:top w:val="single" w:sz="4" w:space="0" w:color="auto"/>
              <w:left w:val="nil"/>
              <w:bottom w:val="single" w:sz="4" w:space="0" w:color="auto"/>
              <w:right w:val="nil"/>
            </w:tcBorders>
            <w:shd w:val="clear" w:color="auto" w:fill="auto"/>
            <w:noWrap/>
            <w:vAlign w:val="center"/>
            <w:hideMark/>
          </w:tcPr>
          <w:p w:rsidR="0002373C" w:rsidRPr="0002373C" w:rsidRDefault="0002373C" w:rsidP="00FD62EC">
            <w:pPr>
              <w:keepNext/>
              <w:keepLines/>
              <w:tabs>
                <w:tab w:val="clear" w:pos="567"/>
              </w:tabs>
              <w:spacing w:before="60" w:after="60" w:line="200" w:lineRule="atLeast"/>
              <w:jc w:val="right"/>
              <w:rPr>
                <w:rFonts w:eastAsia="Times New Roman" w:cs="Times New Roman"/>
                <w:sz w:val="20"/>
                <w:szCs w:val="20"/>
                <w:lang w:eastAsia="en-AU"/>
              </w:rPr>
            </w:pPr>
            <w:r w:rsidRPr="0002373C">
              <w:rPr>
                <w:rFonts w:eastAsia="Times New Roman" w:cs="Times New Roman"/>
                <w:sz w:val="20"/>
                <w:szCs w:val="20"/>
                <w:lang w:eastAsia="en-AU"/>
              </w:rPr>
              <w:t>Qld</w:t>
            </w:r>
          </w:p>
        </w:tc>
        <w:tc>
          <w:tcPr>
            <w:tcW w:w="719" w:type="dxa"/>
            <w:tcBorders>
              <w:top w:val="single" w:sz="4" w:space="0" w:color="auto"/>
              <w:left w:val="nil"/>
              <w:bottom w:val="single" w:sz="4" w:space="0" w:color="auto"/>
              <w:right w:val="nil"/>
            </w:tcBorders>
            <w:shd w:val="clear" w:color="auto" w:fill="auto"/>
            <w:noWrap/>
            <w:vAlign w:val="center"/>
            <w:hideMark/>
          </w:tcPr>
          <w:p w:rsidR="0002373C" w:rsidRPr="0002373C" w:rsidRDefault="0002373C" w:rsidP="00FD62EC">
            <w:pPr>
              <w:keepNext/>
              <w:keepLines/>
              <w:tabs>
                <w:tab w:val="clear" w:pos="567"/>
              </w:tabs>
              <w:spacing w:before="60" w:after="60" w:line="200" w:lineRule="atLeast"/>
              <w:jc w:val="right"/>
              <w:rPr>
                <w:rFonts w:eastAsia="Times New Roman" w:cs="Times New Roman"/>
                <w:sz w:val="20"/>
                <w:szCs w:val="20"/>
                <w:lang w:eastAsia="en-AU"/>
              </w:rPr>
            </w:pPr>
            <w:r w:rsidRPr="0002373C">
              <w:rPr>
                <w:rFonts w:eastAsia="Times New Roman" w:cs="Times New Roman"/>
                <w:sz w:val="20"/>
                <w:szCs w:val="20"/>
                <w:lang w:eastAsia="en-AU"/>
              </w:rPr>
              <w:t>WA</w:t>
            </w:r>
          </w:p>
        </w:tc>
        <w:tc>
          <w:tcPr>
            <w:tcW w:w="719" w:type="dxa"/>
            <w:tcBorders>
              <w:top w:val="single" w:sz="4" w:space="0" w:color="auto"/>
              <w:left w:val="nil"/>
              <w:bottom w:val="single" w:sz="4" w:space="0" w:color="auto"/>
              <w:right w:val="nil"/>
            </w:tcBorders>
            <w:shd w:val="clear" w:color="auto" w:fill="auto"/>
            <w:noWrap/>
            <w:vAlign w:val="center"/>
            <w:hideMark/>
          </w:tcPr>
          <w:p w:rsidR="0002373C" w:rsidRPr="0002373C" w:rsidRDefault="0002373C" w:rsidP="00FD62EC">
            <w:pPr>
              <w:keepNext/>
              <w:keepLines/>
              <w:tabs>
                <w:tab w:val="clear" w:pos="567"/>
              </w:tabs>
              <w:spacing w:before="60" w:after="60" w:line="200" w:lineRule="atLeast"/>
              <w:jc w:val="right"/>
              <w:rPr>
                <w:rFonts w:eastAsia="Times New Roman" w:cs="Times New Roman"/>
                <w:sz w:val="20"/>
                <w:szCs w:val="20"/>
                <w:lang w:eastAsia="en-AU"/>
              </w:rPr>
            </w:pPr>
            <w:r w:rsidRPr="0002373C">
              <w:rPr>
                <w:rFonts w:eastAsia="Times New Roman" w:cs="Times New Roman"/>
                <w:sz w:val="20"/>
                <w:szCs w:val="20"/>
                <w:lang w:eastAsia="en-AU"/>
              </w:rPr>
              <w:t>SA</w:t>
            </w:r>
          </w:p>
        </w:tc>
        <w:tc>
          <w:tcPr>
            <w:tcW w:w="719" w:type="dxa"/>
            <w:tcBorders>
              <w:top w:val="single" w:sz="4" w:space="0" w:color="auto"/>
              <w:left w:val="nil"/>
              <w:bottom w:val="single" w:sz="4" w:space="0" w:color="auto"/>
              <w:right w:val="nil"/>
            </w:tcBorders>
            <w:shd w:val="clear" w:color="auto" w:fill="auto"/>
            <w:noWrap/>
            <w:vAlign w:val="center"/>
            <w:hideMark/>
          </w:tcPr>
          <w:p w:rsidR="0002373C" w:rsidRPr="0002373C" w:rsidRDefault="0002373C" w:rsidP="00FD62EC">
            <w:pPr>
              <w:keepNext/>
              <w:keepLines/>
              <w:tabs>
                <w:tab w:val="clear" w:pos="567"/>
              </w:tabs>
              <w:spacing w:before="60" w:after="60" w:line="200" w:lineRule="atLeast"/>
              <w:jc w:val="right"/>
              <w:rPr>
                <w:rFonts w:eastAsia="Times New Roman" w:cs="Times New Roman"/>
                <w:sz w:val="20"/>
                <w:szCs w:val="20"/>
                <w:lang w:eastAsia="en-AU"/>
              </w:rPr>
            </w:pPr>
            <w:r w:rsidRPr="0002373C">
              <w:rPr>
                <w:rFonts w:eastAsia="Times New Roman" w:cs="Times New Roman"/>
                <w:sz w:val="20"/>
                <w:szCs w:val="20"/>
                <w:lang w:eastAsia="en-AU"/>
              </w:rPr>
              <w:t>Tas</w:t>
            </w:r>
          </w:p>
        </w:tc>
        <w:tc>
          <w:tcPr>
            <w:tcW w:w="719" w:type="dxa"/>
            <w:tcBorders>
              <w:top w:val="single" w:sz="4" w:space="0" w:color="auto"/>
              <w:left w:val="nil"/>
              <w:bottom w:val="single" w:sz="4" w:space="0" w:color="auto"/>
              <w:right w:val="nil"/>
            </w:tcBorders>
            <w:shd w:val="clear" w:color="auto" w:fill="auto"/>
            <w:noWrap/>
            <w:vAlign w:val="center"/>
            <w:hideMark/>
          </w:tcPr>
          <w:p w:rsidR="0002373C" w:rsidRPr="0002373C" w:rsidRDefault="0002373C" w:rsidP="00FD62EC">
            <w:pPr>
              <w:keepNext/>
              <w:keepLines/>
              <w:tabs>
                <w:tab w:val="clear" w:pos="567"/>
              </w:tabs>
              <w:spacing w:before="60" w:after="60" w:line="200" w:lineRule="atLeast"/>
              <w:jc w:val="right"/>
              <w:rPr>
                <w:rFonts w:eastAsia="Times New Roman" w:cs="Times New Roman"/>
                <w:sz w:val="20"/>
                <w:szCs w:val="20"/>
                <w:lang w:eastAsia="en-AU"/>
              </w:rPr>
            </w:pPr>
            <w:r w:rsidRPr="0002373C">
              <w:rPr>
                <w:rFonts w:eastAsia="Times New Roman" w:cs="Times New Roman"/>
                <w:sz w:val="20"/>
                <w:szCs w:val="20"/>
                <w:lang w:eastAsia="en-AU"/>
              </w:rPr>
              <w:t>ACT</w:t>
            </w:r>
          </w:p>
        </w:tc>
        <w:tc>
          <w:tcPr>
            <w:tcW w:w="720" w:type="dxa"/>
            <w:tcBorders>
              <w:top w:val="single" w:sz="4" w:space="0" w:color="auto"/>
              <w:left w:val="nil"/>
              <w:bottom w:val="single" w:sz="4" w:space="0" w:color="auto"/>
              <w:right w:val="nil"/>
            </w:tcBorders>
            <w:shd w:val="clear" w:color="auto" w:fill="auto"/>
            <w:noWrap/>
            <w:vAlign w:val="center"/>
            <w:hideMark/>
          </w:tcPr>
          <w:p w:rsidR="0002373C" w:rsidRPr="0002373C" w:rsidRDefault="0002373C" w:rsidP="00FD62EC">
            <w:pPr>
              <w:keepNext/>
              <w:keepLines/>
              <w:tabs>
                <w:tab w:val="clear" w:pos="567"/>
              </w:tabs>
              <w:spacing w:before="60" w:after="60" w:line="200" w:lineRule="atLeast"/>
              <w:jc w:val="right"/>
              <w:rPr>
                <w:rFonts w:eastAsia="Times New Roman" w:cs="Times New Roman"/>
                <w:sz w:val="20"/>
                <w:szCs w:val="20"/>
                <w:lang w:eastAsia="en-AU"/>
              </w:rPr>
            </w:pPr>
            <w:r w:rsidRPr="0002373C">
              <w:rPr>
                <w:rFonts w:eastAsia="Times New Roman" w:cs="Times New Roman"/>
                <w:sz w:val="20"/>
                <w:szCs w:val="20"/>
                <w:lang w:eastAsia="en-AU"/>
              </w:rPr>
              <w:t>NT</w:t>
            </w:r>
          </w:p>
        </w:tc>
        <w:tc>
          <w:tcPr>
            <w:tcW w:w="1047" w:type="dxa"/>
            <w:tcBorders>
              <w:top w:val="single" w:sz="4" w:space="0" w:color="auto"/>
              <w:left w:val="nil"/>
              <w:bottom w:val="single" w:sz="4" w:space="0" w:color="auto"/>
              <w:right w:val="nil"/>
            </w:tcBorders>
            <w:shd w:val="clear" w:color="auto" w:fill="auto"/>
            <w:noWrap/>
            <w:vAlign w:val="center"/>
            <w:hideMark/>
          </w:tcPr>
          <w:p w:rsidR="0002373C" w:rsidRPr="0002373C" w:rsidRDefault="0002373C" w:rsidP="00FD62EC">
            <w:pPr>
              <w:keepNext/>
              <w:keepLines/>
              <w:tabs>
                <w:tab w:val="clear" w:pos="567"/>
              </w:tabs>
              <w:spacing w:before="60" w:after="60" w:line="200" w:lineRule="atLeast"/>
              <w:jc w:val="right"/>
              <w:rPr>
                <w:rFonts w:eastAsia="Times New Roman" w:cs="Times New Roman"/>
                <w:sz w:val="20"/>
                <w:szCs w:val="20"/>
                <w:lang w:eastAsia="en-AU"/>
              </w:rPr>
            </w:pPr>
            <w:r w:rsidRPr="0002373C">
              <w:rPr>
                <w:rFonts w:eastAsia="Times New Roman" w:cs="Times New Roman"/>
                <w:sz w:val="20"/>
                <w:szCs w:val="20"/>
                <w:lang w:eastAsia="en-AU"/>
              </w:rPr>
              <w:t>Redist (a)</w:t>
            </w:r>
          </w:p>
        </w:tc>
      </w:tr>
      <w:tr w:rsidR="00AD52E0" w:rsidRPr="0002373C" w:rsidTr="00AF02D1">
        <w:trPr>
          <w:trHeight w:hRule="exact" w:val="238"/>
        </w:trPr>
        <w:tc>
          <w:tcPr>
            <w:tcW w:w="2200" w:type="dxa"/>
            <w:tcBorders>
              <w:top w:val="nil"/>
              <w:left w:val="nil"/>
              <w:bottom w:val="nil"/>
              <w:right w:val="nil"/>
            </w:tcBorders>
            <w:shd w:val="clear" w:color="auto" w:fill="auto"/>
            <w:noWrap/>
            <w:vAlign w:val="bottom"/>
            <w:hideMark/>
          </w:tcPr>
          <w:p w:rsidR="00AD52E0" w:rsidRPr="0002373C" w:rsidRDefault="00AD52E0" w:rsidP="00FD62EC">
            <w:pPr>
              <w:keepNext/>
              <w:keepLines/>
              <w:tabs>
                <w:tab w:val="clear" w:pos="567"/>
              </w:tabs>
              <w:spacing w:after="0" w:line="240" w:lineRule="auto"/>
              <w:jc w:val="right"/>
              <w:rPr>
                <w:rFonts w:eastAsia="Times New Roman" w:cs="Times New Roman"/>
                <w:sz w:val="20"/>
                <w:szCs w:val="20"/>
                <w:lang w:eastAsia="en-AU"/>
              </w:rPr>
            </w:pPr>
          </w:p>
        </w:tc>
        <w:tc>
          <w:tcPr>
            <w:tcW w:w="719" w:type="dxa"/>
            <w:tcBorders>
              <w:top w:val="nil"/>
              <w:left w:val="nil"/>
              <w:bottom w:val="nil"/>
              <w:right w:val="nil"/>
            </w:tcBorders>
            <w:shd w:val="clear" w:color="auto" w:fill="auto"/>
            <w:noWrap/>
            <w:vAlign w:val="bottom"/>
            <w:hideMark/>
          </w:tcPr>
          <w:p w:rsidR="00AD52E0" w:rsidRDefault="00AD52E0" w:rsidP="00AD52E0">
            <w:pPr>
              <w:keepNext/>
              <w:keepLines/>
              <w:spacing w:after="0" w:line="240" w:lineRule="auto"/>
              <w:jc w:val="right"/>
              <w:rPr>
                <w:rFonts w:ascii="Calibri" w:hAnsi="Calibri"/>
                <w:sz w:val="20"/>
                <w:szCs w:val="20"/>
              </w:rPr>
            </w:pPr>
            <w:r>
              <w:rPr>
                <w:rFonts w:ascii="Calibri" w:hAnsi="Calibri"/>
                <w:sz w:val="20"/>
                <w:szCs w:val="20"/>
              </w:rPr>
              <w:t>$m</w:t>
            </w:r>
          </w:p>
        </w:tc>
        <w:tc>
          <w:tcPr>
            <w:tcW w:w="719" w:type="dxa"/>
            <w:tcBorders>
              <w:top w:val="nil"/>
              <w:left w:val="nil"/>
              <w:bottom w:val="nil"/>
              <w:right w:val="nil"/>
            </w:tcBorders>
            <w:shd w:val="clear" w:color="auto" w:fill="auto"/>
            <w:noWrap/>
            <w:vAlign w:val="bottom"/>
            <w:hideMark/>
          </w:tcPr>
          <w:p w:rsidR="00AD52E0" w:rsidRDefault="00AD52E0" w:rsidP="00FD62EC">
            <w:pPr>
              <w:keepNext/>
              <w:keepLines/>
              <w:spacing w:after="0" w:line="240" w:lineRule="auto"/>
              <w:jc w:val="right"/>
              <w:rPr>
                <w:rFonts w:ascii="Calibri" w:hAnsi="Calibri"/>
                <w:sz w:val="20"/>
                <w:szCs w:val="20"/>
              </w:rPr>
            </w:pPr>
            <w:r>
              <w:rPr>
                <w:rFonts w:ascii="Calibri" w:hAnsi="Calibri"/>
                <w:sz w:val="20"/>
                <w:szCs w:val="20"/>
              </w:rPr>
              <w:t>$m</w:t>
            </w:r>
          </w:p>
        </w:tc>
        <w:tc>
          <w:tcPr>
            <w:tcW w:w="719" w:type="dxa"/>
            <w:tcBorders>
              <w:top w:val="nil"/>
              <w:left w:val="nil"/>
              <w:bottom w:val="nil"/>
              <w:right w:val="nil"/>
            </w:tcBorders>
            <w:shd w:val="clear" w:color="auto" w:fill="auto"/>
            <w:noWrap/>
            <w:vAlign w:val="bottom"/>
            <w:hideMark/>
          </w:tcPr>
          <w:p w:rsidR="00AD52E0" w:rsidRDefault="00AD52E0" w:rsidP="00FD62EC">
            <w:pPr>
              <w:keepNext/>
              <w:keepLines/>
              <w:spacing w:after="0" w:line="240" w:lineRule="auto"/>
              <w:jc w:val="right"/>
              <w:rPr>
                <w:rFonts w:ascii="Calibri" w:hAnsi="Calibri"/>
                <w:sz w:val="20"/>
                <w:szCs w:val="20"/>
              </w:rPr>
            </w:pPr>
            <w:r>
              <w:rPr>
                <w:rFonts w:ascii="Calibri" w:hAnsi="Calibri"/>
                <w:sz w:val="20"/>
                <w:szCs w:val="20"/>
              </w:rPr>
              <w:t>$m</w:t>
            </w:r>
          </w:p>
        </w:tc>
        <w:tc>
          <w:tcPr>
            <w:tcW w:w="719" w:type="dxa"/>
            <w:tcBorders>
              <w:top w:val="nil"/>
              <w:left w:val="nil"/>
              <w:bottom w:val="nil"/>
              <w:right w:val="nil"/>
            </w:tcBorders>
            <w:shd w:val="clear" w:color="auto" w:fill="auto"/>
            <w:noWrap/>
            <w:vAlign w:val="bottom"/>
            <w:hideMark/>
          </w:tcPr>
          <w:p w:rsidR="00AD52E0" w:rsidRDefault="00AD52E0" w:rsidP="00FD62EC">
            <w:pPr>
              <w:keepNext/>
              <w:keepLines/>
              <w:spacing w:after="0" w:line="240" w:lineRule="auto"/>
              <w:jc w:val="right"/>
              <w:rPr>
                <w:rFonts w:ascii="Calibri" w:hAnsi="Calibri"/>
                <w:sz w:val="20"/>
                <w:szCs w:val="20"/>
              </w:rPr>
            </w:pPr>
            <w:r>
              <w:rPr>
                <w:rFonts w:ascii="Calibri" w:hAnsi="Calibri"/>
                <w:sz w:val="20"/>
                <w:szCs w:val="20"/>
              </w:rPr>
              <w:t>$m</w:t>
            </w:r>
          </w:p>
        </w:tc>
        <w:tc>
          <w:tcPr>
            <w:tcW w:w="719" w:type="dxa"/>
            <w:tcBorders>
              <w:top w:val="nil"/>
              <w:left w:val="nil"/>
              <w:bottom w:val="nil"/>
              <w:right w:val="nil"/>
            </w:tcBorders>
            <w:shd w:val="clear" w:color="auto" w:fill="auto"/>
            <w:noWrap/>
            <w:vAlign w:val="bottom"/>
            <w:hideMark/>
          </w:tcPr>
          <w:p w:rsidR="00AD52E0" w:rsidRDefault="00AD52E0" w:rsidP="00FD62EC">
            <w:pPr>
              <w:keepNext/>
              <w:keepLines/>
              <w:spacing w:after="0" w:line="240" w:lineRule="auto"/>
              <w:jc w:val="right"/>
              <w:rPr>
                <w:rFonts w:ascii="Calibri" w:hAnsi="Calibri"/>
                <w:sz w:val="20"/>
                <w:szCs w:val="20"/>
              </w:rPr>
            </w:pPr>
            <w:r>
              <w:rPr>
                <w:rFonts w:ascii="Calibri" w:hAnsi="Calibri"/>
                <w:sz w:val="20"/>
                <w:szCs w:val="20"/>
              </w:rPr>
              <w:t>$m</w:t>
            </w:r>
          </w:p>
        </w:tc>
        <w:tc>
          <w:tcPr>
            <w:tcW w:w="719" w:type="dxa"/>
            <w:tcBorders>
              <w:top w:val="nil"/>
              <w:left w:val="nil"/>
              <w:bottom w:val="nil"/>
              <w:right w:val="nil"/>
            </w:tcBorders>
            <w:shd w:val="clear" w:color="auto" w:fill="auto"/>
            <w:noWrap/>
            <w:vAlign w:val="bottom"/>
            <w:hideMark/>
          </w:tcPr>
          <w:p w:rsidR="00AD52E0" w:rsidRDefault="00AD52E0" w:rsidP="00FD62EC">
            <w:pPr>
              <w:keepNext/>
              <w:keepLines/>
              <w:spacing w:after="0" w:line="240" w:lineRule="auto"/>
              <w:jc w:val="right"/>
              <w:rPr>
                <w:rFonts w:ascii="Calibri" w:hAnsi="Calibri"/>
                <w:sz w:val="20"/>
                <w:szCs w:val="20"/>
              </w:rPr>
            </w:pPr>
            <w:r>
              <w:rPr>
                <w:rFonts w:ascii="Calibri" w:hAnsi="Calibri"/>
                <w:sz w:val="20"/>
                <w:szCs w:val="20"/>
              </w:rPr>
              <w:t>$m</w:t>
            </w:r>
          </w:p>
        </w:tc>
        <w:tc>
          <w:tcPr>
            <w:tcW w:w="719" w:type="dxa"/>
            <w:tcBorders>
              <w:top w:val="nil"/>
              <w:left w:val="nil"/>
              <w:bottom w:val="nil"/>
              <w:right w:val="nil"/>
            </w:tcBorders>
            <w:shd w:val="clear" w:color="auto" w:fill="auto"/>
            <w:noWrap/>
            <w:vAlign w:val="bottom"/>
            <w:hideMark/>
          </w:tcPr>
          <w:p w:rsidR="00AD52E0" w:rsidRDefault="00AD52E0" w:rsidP="00FD62EC">
            <w:pPr>
              <w:keepNext/>
              <w:keepLines/>
              <w:spacing w:after="0" w:line="240" w:lineRule="auto"/>
              <w:jc w:val="right"/>
              <w:rPr>
                <w:rFonts w:ascii="Calibri" w:hAnsi="Calibri"/>
                <w:sz w:val="20"/>
                <w:szCs w:val="20"/>
              </w:rPr>
            </w:pPr>
            <w:r>
              <w:rPr>
                <w:rFonts w:ascii="Calibri" w:hAnsi="Calibri"/>
                <w:sz w:val="20"/>
                <w:szCs w:val="20"/>
              </w:rPr>
              <w:t>$m</w:t>
            </w:r>
          </w:p>
        </w:tc>
        <w:tc>
          <w:tcPr>
            <w:tcW w:w="720" w:type="dxa"/>
            <w:tcBorders>
              <w:top w:val="nil"/>
              <w:left w:val="nil"/>
              <w:bottom w:val="nil"/>
              <w:right w:val="nil"/>
            </w:tcBorders>
            <w:shd w:val="clear" w:color="auto" w:fill="auto"/>
            <w:noWrap/>
            <w:vAlign w:val="bottom"/>
            <w:hideMark/>
          </w:tcPr>
          <w:p w:rsidR="00AD52E0" w:rsidRDefault="00AD52E0" w:rsidP="00FD62EC">
            <w:pPr>
              <w:keepNext/>
              <w:keepLines/>
              <w:spacing w:after="0" w:line="240" w:lineRule="auto"/>
              <w:jc w:val="right"/>
              <w:rPr>
                <w:rFonts w:ascii="Calibri" w:hAnsi="Calibri"/>
                <w:sz w:val="20"/>
                <w:szCs w:val="20"/>
              </w:rPr>
            </w:pPr>
            <w:r>
              <w:rPr>
                <w:rFonts w:ascii="Calibri" w:hAnsi="Calibri"/>
                <w:sz w:val="20"/>
                <w:szCs w:val="20"/>
              </w:rPr>
              <w:t>$m</w:t>
            </w:r>
          </w:p>
        </w:tc>
        <w:tc>
          <w:tcPr>
            <w:tcW w:w="1047" w:type="dxa"/>
            <w:tcBorders>
              <w:top w:val="nil"/>
              <w:left w:val="nil"/>
              <w:bottom w:val="nil"/>
              <w:right w:val="nil"/>
            </w:tcBorders>
            <w:shd w:val="clear" w:color="auto" w:fill="auto"/>
            <w:noWrap/>
            <w:vAlign w:val="bottom"/>
            <w:hideMark/>
          </w:tcPr>
          <w:p w:rsidR="00AD52E0" w:rsidRDefault="00AD52E0" w:rsidP="00FD62EC">
            <w:pPr>
              <w:keepNext/>
              <w:keepLines/>
              <w:spacing w:after="0" w:line="240" w:lineRule="auto"/>
              <w:jc w:val="right"/>
              <w:rPr>
                <w:rFonts w:ascii="Calibri" w:hAnsi="Calibri"/>
                <w:sz w:val="20"/>
                <w:szCs w:val="20"/>
              </w:rPr>
            </w:pPr>
            <w:r>
              <w:rPr>
                <w:rFonts w:ascii="Calibri" w:hAnsi="Calibri"/>
                <w:sz w:val="20"/>
                <w:szCs w:val="20"/>
              </w:rPr>
              <w:t>$m</w:t>
            </w:r>
          </w:p>
        </w:tc>
      </w:tr>
      <w:tr w:rsidR="00AD52E0" w:rsidRPr="0002373C" w:rsidTr="00AF02D1">
        <w:trPr>
          <w:trHeight w:hRule="exact" w:val="363"/>
        </w:trPr>
        <w:tc>
          <w:tcPr>
            <w:tcW w:w="2200" w:type="dxa"/>
            <w:tcBorders>
              <w:top w:val="nil"/>
              <w:left w:val="nil"/>
              <w:bottom w:val="nil"/>
              <w:right w:val="nil"/>
            </w:tcBorders>
            <w:shd w:val="clear" w:color="auto" w:fill="auto"/>
            <w:noWrap/>
            <w:vAlign w:val="bottom"/>
            <w:hideMark/>
          </w:tcPr>
          <w:p w:rsidR="00AD52E0" w:rsidRPr="0002373C" w:rsidRDefault="00AD52E0" w:rsidP="00FD62EC">
            <w:pPr>
              <w:keepNext/>
              <w:keepLines/>
              <w:tabs>
                <w:tab w:val="clear" w:pos="567"/>
              </w:tabs>
              <w:spacing w:before="60" w:after="60" w:line="200" w:lineRule="atLeast"/>
              <w:rPr>
                <w:rFonts w:eastAsia="Times New Roman" w:cs="Times New Roman"/>
                <w:b/>
                <w:sz w:val="20"/>
                <w:szCs w:val="20"/>
                <w:lang w:eastAsia="en-AU"/>
              </w:rPr>
            </w:pPr>
            <w:r w:rsidRPr="0002373C">
              <w:rPr>
                <w:rFonts w:eastAsia="Times New Roman" w:cs="Times New Roman"/>
                <w:b/>
                <w:sz w:val="20"/>
                <w:szCs w:val="20"/>
                <w:lang w:eastAsia="en-AU"/>
              </w:rPr>
              <w:t>Urban transport</w:t>
            </w:r>
          </w:p>
        </w:tc>
        <w:tc>
          <w:tcPr>
            <w:tcW w:w="719" w:type="dxa"/>
            <w:tcBorders>
              <w:top w:val="nil"/>
              <w:left w:val="nil"/>
              <w:bottom w:val="nil"/>
              <w:right w:val="nil"/>
            </w:tcBorders>
            <w:shd w:val="clear" w:color="auto" w:fill="auto"/>
            <w:noWrap/>
            <w:vAlign w:val="bottom"/>
            <w:hideMark/>
          </w:tcPr>
          <w:p w:rsidR="00AD52E0" w:rsidRPr="0002373C" w:rsidRDefault="00AD52E0" w:rsidP="00FD62EC">
            <w:pPr>
              <w:keepNext/>
              <w:keepLines/>
              <w:tabs>
                <w:tab w:val="clear" w:pos="567"/>
              </w:tabs>
              <w:spacing w:before="60" w:after="60" w:line="200" w:lineRule="atLeast"/>
              <w:jc w:val="right"/>
              <w:rPr>
                <w:rFonts w:eastAsia="Times New Roman" w:cs="Times New Roman"/>
                <w:sz w:val="20"/>
                <w:szCs w:val="20"/>
                <w:lang w:eastAsia="en-AU"/>
              </w:rPr>
            </w:pPr>
          </w:p>
        </w:tc>
        <w:tc>
          <w:tcPr>
            <w:tcW w:w="719" w:type="dxa"/>
            <w:tcBorders>
              <w:top w:val="nil"/>
              <w:left w:val="nil"/>
              <w:bottom w:val="nil"/>
              <w:right w:val="nil"/>
            </w:tcBorders>
            <w:shd w:val="clear" w:color="auto" w:fill="auto"/>
            <w:noWrap/>
            <w:vAlign w:val="bottom"/>
            <w:hideMark/>
          </w:tcPr>
          <w:p w:rsidR="00AD52E0" w:rsidRPr="0002373C" w:rsidRDefault="00AD52E0" w:rsidP="00FD62EC">
            <w:pPr>
              <w:keepNext/>
              <w:keepLines/>
              <w:tabs>
                <w:tab w:val="clear" w:pos="567"/>
              </w:tabs>
              <w:spacing w:before="60" w:after="60" w:line="200" w:lineRule="atLeast"/>
              <w:jc w:val="right"/>
              <w:rPr>
                <w:rFonts w:eastAsia="Times New Roman" w:cs="Times New Roman"/>
                <w:sz w:val="20"/>
                <w:szCs w:val="20"/>
                <w:lang w:eastAsia="en-AU"/>
              </w:rPr>
            </w:pPr>
          </w:p>
        </w:tc>
        <w:tc>
          <w:tcPr>
            <w:tcW w:w="719" w:type="dxa"/>
            <w:tcBorders>
              <w:top w:val="nil"/>
              <w:left w:val="nil"/>
              <w:bottom w:val="nil"/>
              <w:right w:val="nil"/>
            </w:tcBorders>
            <w:shd w:val="clear" w:color="auto" w:fill="auto"/>
            <w:noWrap/>
            <w:vAlign w:val="bottom"/>
            <w:hideMark/>
          </w:tcPr>
          <w:p w:rsidR="00AD52E0" w:rsidRPr="0002373C" w:rsidRDefault="00AD52E0" w:rsidP="00FD62EC">
            <w:pPr>
              <w:keepNext/>
              <w:keepLines/>
              <w:tabs>
                <w:tab w:val="clear" w:pos="567"/>
              </w:tabs>
              <w:spacing w:before="60" w:after="60" w:line="200" w:lineRule="atLeast"/>
              <w:jc w:val="right"/>
              <w:rPr>
                <w:rFonts w:eastAsia="Times New Roman" w:cs="Times New Roman"/>
                <w:sz w:val="20"/>
                <w:szCs w:val="20"/>
                <w:lang w:eastAsia="en-AU"/>
              </w:rPr>
            </w:pPr>
          </w:p>
        </w:tc>
        <w:tc>
          <w:tcPr>
            <w:tcW w:w="719" w:type="dxa"/>
            <w:tcBorders>
              <w:top w:val="nil"/>
              <w:left w:val="nil"/>
              <w:bottom w:val="nil"/>
              <w:right w:val="nil"/>
            </w:tcBorders>
            <w:shd w:val="clear" w:color="auto" w:fill="auto"/>
            <w:noWrap/>
            <w:vAlign w:val="bottom"/>
            <w:hideMark/>
          </w:tcPr>
          <w:p w:rsidR="00AD52E0" w:rsidRPr="0002373C" w:rsidRDefault="00AD52E0" w:rsidP="00FD62EC">
            <w:pPr>
              <w:keepNext/>
              <w:keepLines/>
              <w:tabs>
                <w:tab w:val="clear" w:pos="567"/>
              </w:tabs>
              <w:spacing w:before="60" w:after="60" w:line="200" w:lineRule="atLeast"/>
              <w:jc w:val="right"/>
              <w:rPr>
                <w:rFonts w:eastAsia="Times New Roman" w:cs="Times New Roman"/>
                <w:sz w:val="20"/>
                <w:szCs w:val="20"/>
                <w:lang w:eastAsia="en-AU"/>
              </w:rPr>
            </w:pPr>
          </w:p>
        </w:tc>
        <w:tc>
          <w:tcPr>
            <w:tcW w:w="719" w:type="dxa"/>
            <w:tcBorders>
              <w:top w:val="nil"/>
              <w:left w:val="nil"/>
              <w:bottom w:val="nil"/>
              <w:right w:val="nil"/>
            </w:tcBorders>
            <w:shd w:val="clear" w:color="auto" w:fill="auto"/>
            <w:noWrap/>
            <w:vAlign w:val="bottom"/>
            <w:hideMark/>
          </w:tcPr>
          <w:p w:rsidR="00AD52E0" w:rsidRPr="0002373C" w:rsidRDefault="00AD52E0" w:rsidP="00FD62EC">
            <w:pPr>
              <w:keepNext/>
              <w:keepLines/>
              <w:tabs>
                <w:tab w:val="clear" w:pos="567"/>
              </w:tabs>
              <w:spacing w:before="60" w:after="60" w:line="200" w:lineRule="atLeast"/>
              <w:jc w:val="right"/>
              <w:rPr>
                <w:rFonts w:eastAsia="Times New Roman" w:cs="Times New Roman"/>
                <w:sz w:val="20"/>
                <w:szCs w:val="20"/>
                <w:lang w:eastAsia="en-AU"/>
              </w:rPr>
            </w:pPr>
          </w:p>
        </w:tc>
        <w:tc>
          <w:tcPr>
            <w:tcW w:w="719" w:type="dxa"/>
            <w:tcBorders>
              <w:top w:val="nil"/>
              <w:left w:val="nil"/>
              <w:bottom w:val="nil"/>
              <w:right w:val="nil"/>
            </w:tcBorders>
            <w:shd w:val="clear" w:color="auto" w:fill="auto"/>
            <w:noWrap/>
            <w:vAlign w:val="bottom"/>
            <w:hideMark/>
          </w:tcPr>
          <w:p w:rsidR="00AD52E0" w:rsidRPr="0002373C" w:rsidRDefault="00AD52E0" w:rsidP="00FD62EC">
            <w:pPr>
              <w:keepNext/>
              <w:keepLines/>
              <w:tabs>
                <w:tab w:val="clear" w:pos="567"/>
              </w:tabs>
              <w:spacing w:before="60" w:after="60" w:line="200" w:lineRule="atLeast"/>
              <w:jc w:val="right"/>
              <w:rPr>
                <w:rFonts w:eastAsia="Times New Roman" w:cs="Times New Roman"/>
                <w:sz w:val="20"/>
                <w:szCs w:val="20"/>
                <w:lang w:eastAsia="en-AU"/>
              </w:rPr>
            </w:pPr>
          </w:p>
        </w:tc>
        <w:tc>
          <w:tcPr>
            <w:tcW w:w="719" w:type="dxa"/>
            <w:tcBorders>
              <w:top w:val="nil"/>
              <w:left w:val="nil"/>
              <w:bottom w:val="nil"/>
              <w:right w:val="nil"/>
            </w:tcBorders>
            <w:shd w:val="clear" w:color="auto" w:fill="auto"/>
            <w:noWrap/>
            <w:vAlign w:val="bottom"/>
            <w:hideMark/>
          </w:tcPr>
          <w:p w:rsidR="00AD52E0" w:rsidRPr="0002373C" w:rsidRDefault="00AD52E0" w:rsidP="00FD62EC">
            <w:pPr>
              <w:keepNext/>
              <w:keepLines/>
              <w:tabs>
                <w:tab w:val="clear" w:pos="567"/>
              </w:tabs>
              <w:spacing w:before="60" w:after="60" w:line="200" w:lineRule="atLeast"/>
              <w:jc w:val="right"/>
              <w:rPr>
                <w:rFonts w:eastAsia="Times New Roman" w:cs="Times New Roman"/>
                <w:sz w:val="20"/>
                <w:szCs w:val="20"/>
                <w:lang w:eastAsia="en-AU"/>
              </w:rPr>
            </w:pPr>
          </w:p>
        </w:tc>
        <w:tc>
          <w:tcPr>
            <w:tcW w:w="720" w:type="dxa"/>
            <w:tcBorders>
              <w:top w:val="nil"/>
              <w:left w:val="nil"/>
              <w:bottom w:val="nil"/>
              <w:right w:val="nil"/>
            </w:tcBorders>
            <w:shd w:val="clear" w:color="auto" w:fill="auto"/>
            <w:noWrap/>
            <w:vAlign w:val="bottom"/>
            <w:hideMark/>
          </w:tcPr>
          <w:p w:rsidR="00AD52E0" w:rsidRPr="0002373C" w:rsidRDefault="00AD52E0" w:rsidP="00FD62EC">
            <w:pPr>
              <w:keepNext/>
              <w:keepLines/>
              <w:tabs>
                <w:tab w:val="clear" w:pos="567"/>
              </w:tabs>
              <w:spacing w:before="60" w:after="60" w:line="200" w:lineRule="atLeast"/>
              <w:jc w:val="right"/>
              <w:rPr>
                <w:rFonts w:eastAsia="Times New Roman" w:cs="Times New Roman"/>
                <w:sz w:val="20"/>
                <w:szCs w:val="20"/>
                <w:lang w:eastAsia="en-AU"/>
              </w:rPr>
            </w:pPr>
          </w:p>
        </w:tc>
        <w:tc>
          <w:tcPr>
            <w:tcW w:w="1047" w:type="dxa"/>
            <w:tcBorders>
              <w:top w:val="nil"/>
              <w:left w:val="nil"/>
              <w:bottom w:val="nil"/>
              <w:right w:val="nil"/>
            </w:tcBorders>
            <w:shd w:val="clear" w:color="auto" w:fill="auto"/>
            <w:noWrap/>
            <w:vAlign w:val="bottom"/>
            <w:hideMark/>
          </w:tcPr>
          <w:p w:rsidR="00AD52E0" w:rsidRPr="0002373C" w:rsidRDefault="00AD52E0" w:rsidP="00FD62EC">
            <w:pPr>
              <w:keepNext/>
              <w:keepLines/>
              <w:tabs>
                <w:tab w:val="clear" w:pos="567"/>
              </w:tabs>
              <w:spacing w:before="60" w:after="60" w:line="200" w:lineRule="atLeast"/>
              <w:jc w:val="right"/>
              <w:rPr>
                <w:rFonts w:eastAsia="Times New Roman" w:cs="Times New Roman"/>
                <w:sz w:val="20"/>
                <w:szCs w:val="20"/>
                <w:lang w:eastAsia="en-AU"/>
              </w:rPr>
            </w:pPr>
          </w:p>
        </w:tc>
      </w:tr>
      <w:tr w:rsidR="00AD52E0" w:rsidRPr="0002373C" w:rsidTr="00AF02D1">
        <w:trPr>
          <w:trHeight w:hRule="exact" w:val="363"/>
        </w:trPr>
        <w:tc>
          <w:tcPr>
            <w:tcW w:w="2200" w:type="dxa"/>
            <w:tcBorders>
              <w:top w:val="nil"/>
              <w:left w:val="nil"/>
              <w:bottom w:val="nil"/>
              <w:right w:val="nil"/>
            </w:tcBorders>
            <w:shd w:val="clear" w:color="auto" w:fill="auto"/>
            <w:noWrap/>
            <w:vAlign w:val="bottom"/>
            <w:hideMark/>
          </w:tcPr>
          <w:p w:rsidR="00AD52E0" w:rsidRPr="0002373C" w:rsidRDefault="00AD52E0" w:rsidP="00FD62EC">
            <w:pPr>
              <w:keepNext/>
              <w:keepLines/>
              <w:tabs>
                <w:tab w:val="clear" w:pos="567"/>
              </w:tabs>
              <w:spacing w:before="60" w:after="60" w:line="200" w:lineRule="atLeast"/>
              <w:rPr>
                <w:rFonts w:eastAsia="Times New Roman" w:cs="Times New Roman"/>
                <w:sz w:val="20"/>
                <w:szCs w:val="20"/>
                <w:lang w:eastAsia="en-AU"/>
              </w:rPr>
            </w:pPr>
            <w:r>
              <w:rPr>
                <w:rFonts w:eastAsia="Times New Roman" w:cs="Times New Roman"/>
                <w:sz w:val="20"/>
                <w:szCs w:val="20"/>
                <w:lang w:eastAsia="en-AU"/>
              </w:rPr>
              <w:t xml:space="preserve"> </w:t>
            </w:r>
            <w:r w:rsidRPr="00154F06">
              <w:rPr>
                <w:rFonts w:eastAsia="Times New Roman" w:cs="Times New Roman"/>
                <w:sz w:val="20"/>
                <w:szCs w:val="20"/>
                <w:lang w:eastAsia="en-AU"/>
              </w:rPr>
              <w:t xml:space="preserve"> </w:t>
            </w:r>
            <w:r w:rsidRPr="0002373C">
              <w:rPr>
                <w:rFonts w:eastAsia="Times New Roman" w:cs="Times New Roman"/>
                <w:sz w:val="20"/>
                <w:szCs w:val="20"/>
                <w:lang w:eastAsia="en-AU"/>
              </w:rPr>
              <w:t>Urban centre size</w:t>
            </w:r>
          </w:p>
        </w:tc>
        <w:tc>
          <w:tcPr>
            <w:tcW w:w="719" w:type="dxa"/>
            <w:tcBorders>
              <w:top w:val="nil"/>
              <w:left w:val="nil"/>
              <w:bottom w:val="nil"/>
              <w:right w:val="nil"/>
            </w:tcBorders>
            <w:shd w:val="clear" w:color="auto" w:fill="auto"/>
            <w:noWrap/>
            <w:vAlign w:val="bottom"/>
            <w:hideMark/>
          </w:tcPr>
          <w:p w:rsidR="00AD52E0" w:rsidRPr="00154F06" w:rsidRDefault="00AD52E0" w:rsidP="00FD62EC">
            <w:pPr>
              <w:keepNext/>
              <w:keepLines/>
              <w:spacing w:before="60" w:after="60" w:line="200" w:lineRule="atLeast"/>
              <w:jc w:val="right"/>
              <w:rPr>
                <w:sz w:val="20"/>
                <w:szCs w:val="20"/>
              </w:rPr>
            </w:pPr>
            <w:r w:rsidRPr="00AD52E0">
              <w:rPr>
                <w:sz w:val="20"/>
                <w:szCs w:val="20"/>
              </w:rPr>
              <w:t>258</w:t>
            </w:r>
          </w:p>
        </w:tc>
        <w:tc>
          <w:tcPr>
            <w:tcW w:w="719" w:type="dxa"/>
            <w:tcBorders>
              <w:top w:val="nil"/>
              <w:left w:val="nil"/>
              <w:bottom w:val="nil"/>
              <w:right w:val="nil"/>
            </w:tcBorders>
            <w:shd w:val="clear" w:color="auto" w:fill="auto"/>
            <w:noWrap/>
            <w:vAlign w:val="bottom"/>
            <w:hideMark/>
          </w:tcPr>
          <w:p w:rsidR="00AD52E0" w:rsidRPr="00154F06" w:rsidRDefault="00AD52E0" w:rsidP="00FD62EC">
            <w:pPr>
              <w:keepNext/>
              <w:keepLines/>
              <w:spacing w:before="60" w:after="60" w:line="200" w:lineRule="atLeast"/>
              <w:jc w:val="right"/>
              <w:rPr>
                <w:sz w:val="20"/>
                <w:szCs w:val="20"/>
              </w:rPr>
            </w:pPr>
            <w:r w:rsidRPr="00AD52E0">
              <w:rPr>
                <w:sz w:val="20"/>
                <w:szCs w:val="20"/>
              </w:rPr>
              <w:t>700</w:t>
            </w:r>
          </w:p>
        </w:tc>
        <w:tc>
          <w:tcPr>
            <w:tcW w:w="719" w:type="dxa"/>
            <w:tcBorders>
              <w:top w:val="nil"/>
              <w:left w:val="nil"/>
              <w:bottom w:val="nil"/>
              <w:right w:val="nil"/>
            </w:tcBorders>
            <w:shd w:val="clear" w:color="auto" w:fill="auto"/>
            <w:noWrap/>
            <w:vAlign w:val="bottom"/>
            <w:hideMark/>
          </w:tcPr>
          <w:p w:rsidR="00AD52E0" w:rsidRPr="00154F06" w:rsidRDefault="00AD52E0" w:rsidP="00FD62EC">
            <w:pPr>
              <w:keepNext/>
              <w:keepLines/>
              <w:spacing w:before="60" w:after="60" w:line="200" w:lineRule="atLeast"/>
              <w:jc w:val="right"/>
              <w:rPr>
                <w:sz w:val="20"/>
                <w:szCs w:val="20"/>
              </w:rPr>
            </w:pPr>
            <w:r w:rsidRPr="00AD52E0">
              <w:rPr>
                <w:sz w:val="20"/>
                <w:szCs w:val="20"/>
              </w:rPr>
              <w:t>-495</w:t>
            </w:r>
          </w:p>
        </w:tc>
        <w:tc>
          <w:tcPr>
            <w:tcW w:w="719" w:type="dxa"/>
            <w:tcBorders>
              <w:top w:val="nil"/>
              <w:left w:val="nil"/>
              <w:bottom w:val="nil"/>
              <w:right w:val="nil"/>
            </w:tcBorders>
            <w:shd w:val="clear" w:color="auto" w:fill="auto"/>
            <w:noWrap/>
            <w:vAlign w:val="bottom"/>
            <w:hideMark/>
          </w:tcPr>
          <w:p w:rsidR="00AD52E0" w:rsidRPr="00154F06" w:rsidRDefault="00AD52E0" w:rsidP="00FD62EC">
            <w:pPr>
              <w:keepNext/>
              <w:keepLines/>
              <w:spacing w:before="60" w:after="60" w:line="200" w:lineRule="atLeast"/>
              <w:jc w:val="right"/>
              <w:rPr>
                <w:sz w:val="20"/>
                <w:szCs w:val="20"/>
              </w:rPr>
            </w:pPr>
            <w:r w:rsidRPr="00AD52E0">
              <w:rPr>
                <w:sz w:val="20"/>
                <w:szCs w:val="20"/>
              </w:rPr>
              <w:t>22</w:t>
            </w:r>
          </w:p>
        </w:tc>
        <w:tc>
          <w:tcPr>
            <w:tcW w:w="719" w:type="dxa"/>
            <w:tcBorders>
              <w:top w:val="nil"/>
              <w:left w:val="nil"/>
              <w:bottom w:val="nil"/>
              <w:right w:val="nil"/>
            </w:tcBorders>
            <w:shd w:val="clear" w:color="auto" w:fill="auto"/>
            <w:noWrap/>
            <w:vAlign w:val="bottom"/>
            <w:hideMark/>
          </w:tcPr>
          <w:p w:rsidR="00AD52E0" w:rsidRPr="00154F06" w:rsidRDefault="00AD52E0" w:rsidP="00FD62EC">
            <w:pPr>
              <w:keepNext/>
              <w:keepLines/>
              <w:spacing w:before="60" w:after="60" w:line="200" w:lineRule="atLeast"/>
              <w:jc w:val="right"/>
              <w:rPr>
                <w:sz w:val="20"/>
                <w:szCs w:val="20"/>
              </w:rPr>
            </w:pPr>
            <w:r w:rsidRPr="00AD52E0">
              <w:rPr>
                <w:sz w:val="20"/>
                <w:szCs w:val="20"/>
              </w:rPr>
              <w:t>-112</w:t>
            </w:r>
          </w:p>
        </w:tc>
        <w:tc>
          <w:tcPr>
            <w:tcW w:w="719" w:type="dxa"/>
            <w:tcBorders>
              <w:top w:val="nil"/>
              <w:left w:val="nil"/>
              <w:bottom w:val="nil"/>
              <w:right w:val="nil"/>
            </w:tcBorders>
            <w:shd w:val="clear" w:color="auto" w:fill="auto"/>
            <w:noWrap/>
            <w:vAlign w:val="bottom"/>
            <w:hideMark/>
          </w:tcPr>
          <w:p w:rsidR="00AD52E0" w:rsidRPr="00154F06" w:rsidRDefault="00AD52E0" w:rsidP="00FD62EC">
            <w:pPr>
              <w:keepNext/>
              <w:keepLines/>
              <w:spacing w:before="60" w:after="60" w:line="200" w:lineRule="atLeast"/>
              <w:jc w:val="right"/>
              <w:rPr>
                <w:sz w:val="20"/>
                <w:szCs w:val="20"/>
              </w:rPr>
            </w:pPr>
            <w:r w:rsidRPr="00AD52E0">
              <w:rPr>
                <w:sz w:val="20"/>
                <w:szCs w:val="20"/>
              </w:rPr>
              <w:t>-216</w:t>
            </w:r>
          </w:p>
        </w:tc>
        <w:tc>
          <w:tcPr>
            <w:tcW w:w="719" w:type="dxa"/>
            <w:tcBorders>
              <w:top w:val="nil"/>
              <w:left w:val="nil"/>
              <w:bottom w:val="nil"/>
              <w:right w:val="nil"/>
            </w:tcBorders>
            <w:shd w:val="clear" w:color="auto" w:fill="auto"/>
            <w:noWrap/>
            <w:vAlign w:val="bottom"/>
            <w:hideMark/>
          </w:tcPr>
          <w:p w:rsidR="00AD52E0" w:rsidRPr="00154F06" w:rsidRDefault="00AD52E0" w:rsidP="00FD62EC">
            <w:pPr>
              <w:keepNext/>
              <w:keepLines/>
              <w:spacing w:before="60" w:after="60" w:line="200" w:lineRule="atLeast"/>
              <w:jc w:val="right"/>
              <w:rPr>
                <w:sz w:val="20"/>
                <w:szCs w:val="20"/>
              </w:rPr>
            </w:pPr>
            <w:r w:rsidRPr="00AD52E0">
              <w:rPr>
                <w:sz w:val="20"/>
                <w:szCs w:val="20"/>
              </w:rPr>
              <w:t>-50</w:t>
            </w:r>
          </w:p>
        </w:tc>
        <w:tc>
          <w:tcPr>
            <w:tcW w:w="720" w:type="dxa"/>
            <w:tcBorders>
              <w:top w:val="nil"/>
              <w:left w:val="nil"/>
              <w:bottom w:val="nil"/>
              <w:right w:val="nil"/>
            </w:tcBorders>
            <w:shd w:val="clear" w:color="auto" w:fill="auto"/>
            <w:noWrap/>
            <w:vAlign w:val="bottom"/>
            <w:hideMark/>
          </w:tcPr>
          <w:p w:rsidR="00AD52E0" w:rsidRPr="00154F06" w:rsidRDefault="00AD52E0" w:rsidP="00FD62EC">
            <w:pPr>
              <w:keepNext/>
              <w:keepLines/>
              <w:spacing w:before="60" w:after="60" w:line="200" w:lineRule="atLeast"/>
              <w:jc w:val="right"/>
              <w:rPr>
                <w:sz w:val="20"/>
                <w:szCs w:val="20"/>
              </w:rPr>
            </w:pPr>
            <w:r w:rsidRPr="00AD52E0">
              <w:rPr>
                <w:sz w:val="20"/>
                <w:szCs w:val="20"/>
              </w:rPr>
              <w:t>-107</w:t>
            </w:r>
          </w:p>
        </w:tc>
        <w:tc>
          <w:tcPr>
            <w:tcW w:w="1047" w:type="dxa"/>
            <w:tcBorders>
              <w:top w:val="nil"/>
              <w:left w:val="nil"/>
              <w:bottom w:val="nil"/>
              <w:right w:val="nil"/>
            </w:tcBorders>
            <w:shd w:val="clear" w:color="auto" w:fill="auto"/>
            <w:noWrap/>
            <w:vAlign w:val="bottom"/>
            <w:hideMark/>
          </w:tcPr>
          <w:p w:rsidR="00AD52E0" w:rsidRPr="00154F06" w:rsidRDefault="00AD52E0" w:rsidP="00FD62EC">
            <w:pPr>
              <w:keepNext/>
              <w:keepLines/>
              <w:spacing w:before="60" w:after="60" w:line="200" w:lineRule="atLeast"/>
              <w:jc w:val="right"/>
              <w:rPr>
                <w:sz w:val="20"/>
                <w:szCs w:val="20"/>
              </w:rPr>
            </w:pPr>
            <w:r w:rsidRPr="00AD52E0">
              <w:rPr>
                <w:sz w:val="20"/>
                <w:szCs w:val="20"/>
              </w:rPr>
              <w:t>980</w:t>
            </w:r>
          </w:p>
        </w:tc>
      </w:tr>
      <w:tr w:rsidR="00AD52E0" w:rsidRPr="0002373C" w:rsidTr="00AF02D1">
        <w:trPr>
          <w:trHeight w:hRule="exact" w:val="363"/>
        </w:trPr>
        <w:tc>
          <w:tcPr>
            <w:tcW w:w="2200" w:type="dxa"/>
            <w:tcBorders>
              <w:top w:val="nil"/>
              <w:left w:val="nil"/>
              <w:bottom w:val="nil"/>
              <w:right w:val="nil"/>
            </w:tcBorders>
            <w:shd w:val="clear" w:color="auto" w:fill="auto"/>
            <w:noWrap/>
            <w:vAlign w:val="bottom"/>
            <w:hideMark/>
          </w:tcPr>
          <w:p w:rsidR="00AD52E0" w:rsidRPr="0002373C" w:rsidRDefault="00AD52E0" w:rsidP="00FD62EC">
            <w:pPr>
              <w:keepNext/>
              <w:keepLines/>
              <w:tabs>
                <w:tab w:val="clear" w:pos="567"/>
              </w:tabs>
              <w:spacing w:before="60" w:after="60" w:line="200" w:lineRule="atLeast"/>
              <w:rPr>
                <w:rFonts w:eastAsia="Times New Roman" w:cs="Times New Roman"/>
                <w:sz w:val="20"/>
                <w:szCs w:val="20"/>
                <w:lang w:eastAsia="en-AU"/>
              </w:rPr>
            </w:pPr>
            <w:r w:rsidRPr="00154F06">
              <w:rPr>
                <w:rFonts w:eastAsia="Times New Roman" w:cs="Times New Roman"/>
                <w:sz w:val="20"/>
                <w:szCs w:val="20"/>
                <w:lang w:eastAsia="en-AU"/>
              </w:rPr>
              <w:t xml:space="preserve">  </w:t>
            </w:r>
            <w:r w:rsidRPr="0002373C">
              <w:rPr>
                <w:rFonts w:eastAsia="Times New Roman" w:cs="Times New Roman"/>
                <w:sz w:val="20"/>
                <w:szCs w:val="20"/>
                <w:lang w:eastAsia="en-AU"/>
              </w:rPr>
              <w:t>Wage costs</w:t>
            </w:r>
          </w:p>
        </w:tc>
        <w:tc>
          <w:tcPr>
            <w:tcW w:w="719" w:type="dxa"/>
            <w:tcBorders>
              <w:top w:val="nil"/>
              <w:left w:val="nil"/>
              <w:right w:val="nil"/>
            </w:tcBorders>
            <w:shd w:val="clear" w:color="auto" w:fill="auto"/>
            <w:noWrap/>
            <w:vAlign w:val="bottom"/>
            <w:hideMark/>
          </w:tcPr>
          <w:p w:rsidR="00AD52E0" w:rsidRPr="00154F06" w:rsidRDefault="00AD52E0" w:rsidP="00FD62EC">
            <w:pPr>
              <w:keepNext/>
              <w:keepLines/>
              <w:spacing w:before="60" w:after="60" w:line="200" w:lineRule="atLeast"/>
              <w:jc w:val="right"/>
              <w:rPr>
                <w:sz w:val="20"/>
                <w:szCs w:val="20"/>
              </w:rPr>
            </w:pPr>
            <w:r w:rsidRPr="00AD52E0">
              <w:rPr>
                <w:sz w:val="20"/>
                <w:szCs w:val="20"/>
              </w:rPr>
              <w:t>10</w:t>
            </w:r>
          </w:p>
        </w:tc>
        <w:tc>
          <w:tcPr>
            <w:tcW w:w="719" w:type="dxa"/>
            <w:tcBorders>
              <w:top w:val="nil"/>
              <w:left w:val="nil"/>
              <w:right w:val="nil"/>
            </w:tcBorders>
            <w:shd w:val="clear" w:color="auto" w:fill="auto"/>
            <w:noWrap/>
            <w:vAlign w:val="bottom"/>
            <w:hideMark/>
          </w:tcPr>
          <w:p w:rsidR="00AD52E0" w:rsidRPr="00154F06" w:rsidRDefault="00AD52E0" w:rsidP="00FD62EC">
            <w:pPr>
              <w:keepNext/>
              <w:keepLines/>
              <w:spacing w:before="60" w:after="60" w:line="200" w:lineRule="atLeast"/>
              <w:jc w:val="right"/>
              <w:rPr>
                <w:sz w:val="20"/>
                <w:szCs w:val="20"/>
              </w:rPr>
            </w:pPr>
            <w:r w:rsidRPr="00AD52E0">
              <w:rPr>
                <w:sz w:val="20"/>
                <w:szCs w:val="20"/>
              </w:rPr>
              <w:t>-25</w:t>
            </w:r>
          </w:p>
        </w:tc>
        <w:tc>
          <w:tcPr>
            <w:tcW w:w="719" w:type="dxa"/>
            <w:tcBorders>
              <w:top w:val="nil"/>
              <w:left w:val="nil"/>
              <w:right w:val="nil"/>
            </w:tcBorders>
            <w:shd w:val="clear" w:color="auto" w:fill="auto"/>
            <w:noWrap/>
            <w:vAlign w:val="bottom"/>
            <w:hideMark/>
          </w:tcPr>
          <w:p w:rsidR="00AD52E0" w:rsidRPr="00154F06" w:rsidRDefault="00AD52E0" w:rsidP="00FD62EC">
            <w:pPr>
              <w:keepNext/>
              <w:keepLines/>
              <w:spacing w:before="60" w:after="60" w:line="200" w:lineRule="atLeast"/>
              <w:jc w:val="right"/>
              <w:rPr>
                <w:sz w:val="20"/>
                <w:szCs w:val="20"/>
              </w:rPr>
            </w:pPr>
            <w:r w:rsidRPr="00AD52E0">
              <w:rPr>
                <w:sz w:val="20"/>
                <w:szCs w:val="20"/>
              </w:rPr>
              <w:t>-15</w:t>
            </w:r>
          </w:p>
        </w:tc>
        <w:tc>
          <w:tcPr>
            <w:tcW w:w="719" w:type="dxa"/>
            <w:tcBorders>
              <w:top w:val="nil"/>
              <w:left w:val="nil"/>
              <w:right w:val="nil"/>
            </w:tcBorders>
            <w:shd w:val="clear" w:color="auto" w:fill="auto"/>
            <w:noWrap/>
            <w:vAlign w:val="bottom"/>
            <w:hideMark/>
          </w:tcPr>
          <w:p w:rsidR="00AD52E0" w:rsidRPr="00154F06" w:rsidRDefault="00AD52E0" w:rsidP="00FD62EC">
            <w:pPr>
              <w:keepNext/>
              <w:keepLines/>
              <w:spacing w:before="60" w:after="60" w:line="200" w:lineRule="atLeast"/>
              <w:jc w:val="right"/>
              <w:rPr>
                <w:sz w:val="20"/>
                <w:szCs w:val="20"/>
              </w:rPr>
            </w:pPr>
            <w:r w:rsidRPr="00AD52E0">
              <w:rPr>
                <w:sz w:val="20"/>
                <w:szCs w:val="20"/>
              </w:rPr>
              <w:t>45</w:t>
            </w:r>
          </w:p>
        </w:tc>
        <w:tc>
          <w:tcPr>
            <w:tcW w:w="719" w:type="dxa"/>
            <w:tcBorders>
              <w:top w:val="nil"/>
              <w:left w:val="nil"/>
              <w:right w:val="nil"/>
            </w:tcBorders>
            <w:shd w:val="clear" w:color="auto" w:fill="auto"/>
            <w:noWrap/>
            <w:vAlign w:val="bottom"/>
            <w:hideMark/>
          </w:tcPr>
          <w:p w:rsidR="00AD52E0" w:rsidRPr="00154F06" w:rsidRDefault="00AD52E0" w:rsidP="00FD62EC">
            <w:pPr>
              <w:keepNext/>
              <w:keepLines/>
              <w:spacing w:before="60" w:after="60" w:line="200" w:lineRule="atLeast"/>
              <w:jc w:val="right"/>
              <w:rPr>
                <w:sz w:val="20"/>
                <w:szCs w:val="20"/>
              </w:rPr>
            </w:pPr>
            <w:r w:rsidRPr="00AD52E0">
              <w:rPr>
                <w:sz w:val="20"/>
                <w:szCs w:val="20"/>
              </w:rPr>
              <w:t>-15</w:t>
            </w:r>
          </w:p>
        </w:tc>
        <w:tc>
          <w:tcPr>
            <w:tcW w:w="719" w:type="dxa"/>
            <w:tcBorders>
              <w:top w:val="nil"/>
              <w:left w:val="nil"/>
              <w:right w:val="nil"/>
            </w:tcBorders>
            <w:shd w:val="clear" w:color="auto" w:fill="auto"/>
            <w:noWrap/>
            <w:vAlign w:val="bottom"/>
            <w:hideMark/>
          </w:tcPr>
          <w:p w:rsidR="00AD52E0" w:rsidRPr="00154F06" w:rsidRDefault="00AD52E0" w:rsidP="00FD62EC">
            <w:pPr>
              <w:keepNext/>
              <w:keepLines/>
              <w:spacing w:before="60" w:after="60" w:line="200" w:lineRule="atLeast"/>
              <w:jc w:val="right"/>
              <w:rPr>
                <w:sz w:val="20"/>
                <w:szCs w:val="20"/>
              </w:rPr>
            </w:pPr>
            <w:r w:rsidRPr="00AD52E0">
              <w:rPr>
                <w:sz w:val="20"/>
                <w:szCs w:val="20"/>
              </w:rPr>
              <w:t>-12</w:t>
            </w:r>
          </w:p>
        </w:tc>
        <w:tc>
          <w:tcPr>
            <w:tcW w:w="719" w:type="dxa"/>
            <w:tcBorders>
              <w:top w:val="nil"/>
              <w:left w:val="nil"/>
              <w:right w:val="nil"/>
            </w:tcBorders>
            <w:shd w:val="clear" w:color="auto" w:fill="auto"/>
            <w:noWrap/>
            <w:vAlign w:val="bottom"/>
            <w:hideMark/>
          </w:tcPr>
          <w:p w:rsidR="00AD52E0" w:rsidRPr="00154F06" w:rsidRDefault="00AD52E0" w:rsidP="00FD62EC">
            <w:pPr>
              <w:keepNext/>
              <w:keepLines/>
              <w:spacing w:before="60" w:after="60" w:line="200" w:lineRule="atLeast"/>
              <w:jc w:val="right"/>
              <w:rPr>
                <w:sz w:val="20"/>
                <w:szCs w:val="20"/>
              </w:rPr>
            </w:pPr>
            <w:r w:rsidRPr="00AD52E0">
              <w:rPr>
                <w:sz w:val="20"/>
                <w:szCs w:val="20"/>
              </w:rPr>
              <w:t>6</w:t>
            </w:r>
          </w:p>
        </w:tc>
        <w:tc>
          <w:tcPr>
            <w:tcW w:w="720" w:type="dxa"/>
            <w:tcBorders>
              <w:top w:val="nil"/>
              <w:left w:val="nil"/>
              <w:right w:val="nil"/>
            </w:tcBorders>
            <w:shd w:val="clear" w:color="auto" w:fill="auto"/>
            <w:noWrap/>
            <w:vAlign w:val="bottom"/>
            <w:hideMark/>
          </w:tcPr>
          <w:p w:rsidR="00AD52E0" w:rsidRPr="00154F06" w:rsidRDefault="00AD52E0" w:rsidP="00FD62EC">
            <w:pPr>
              <w:keepNext/>
              <w:keepLines/>
              <w:spacing w:before="60" w:after="60" w:line="200" w:lineRule="atLeast"/>
              <w:jc w:val="right"/>
              <w:rPr>
                <w:sz w:val="20"/>
                <w:szCs w:val="20"/>
              </w:rPr>
            </w:pPr>
            <w:r w:rsidRPr="00AD52E0">
              <w:rPr>
                <w:sz w:val="20"/>
                <w:szCs w:val="20"/>
              </w:rPr>
              <w:t>5</w:t>
            </w:r>
          </w:p>
        </w:tc>
        <w:tc>
          <w:tcPr>
            <w:tcW w:w="1047" w:type="dxa"/>
            <w:tcBorders>
              <w:top w:val="nil"/>
              <w:left w:val="nil"/>
              <w:right w:val="nil"/>
            </w:tcBorders>
            <w:shd w:val="clear" w:color="auto" w:fill="auto"/>
            <w:noWrap/>
            <w:vAlign w:val="bottom"/>
            <w:hideMark/>
          </w:tcPr>
          <w:p w:rsidR="00AD52E0" w:rsidRPr="00154F06" w:rsidRDefault="00AD52E0" w:rsidP="00FD62EC">
            <w:pPr>
              <w:keepNext/>
              <w:keepLines/>
              <w:spacing w:before="60" w:after="60" w:line="200" w:lineRule="atLeast"/>
              <w:jc w:val="right"/>
              <w:rPr>
                <w:sz w:val="20"/>
                <w:szCs w:val="20"/>
              </w:rPr>
            </w:pPr>
            <w:r w:rsidRPr="00AD52E0">
              <w:rPr>
                <w:sz w:val="20"/>
                <w:szCs w:val="20"/>
              </w:rPr>
              <w:t>67</w:t>
            </w:r>
          </w:p>
        </w:tc>
      </w:tr>
      <w:tr w:rsidR="00AD52E0" w:rsidRPr="0002373C" w:rsidTr="00AF02D1">
        <w:trPr>
          <w:trHeight w:hRule="exact" w:val="363"/>
        </w:trPr>
        <w:tc>
          <w:tcPr>
            <w:tcW w:w="2200" w:type="dxa"/>
            <w:tcBorders>
              <w:top w:val="nil"/>
              <w:left w:val="nil"/>
              <w:bottom w:val="nil"/>
              <w:right w:val="nil"/>
            </w:tcBorders>
            <w:shd w:val="clear" w:color="auto" w:fill="auto"/>
            <w:noWrap/>
            <w:vAlign w:val="bottom"/>
            <w:hideMark/>
          </w:tcPr>
          <w:p w:rsidR="00AD52E0" w:rsidRPr="0002373C" w:rsidRDefault="00AD52E0" w:rsidP="00FD62EC">
            <w:pPr>
              <w:keepNext/>
              <w:keepLines/>
              <w:tabs>
                <w:tab w:val="clear" w:pos="567"/>
              </w:tabs>
              <w:spacing w:before="60" w:after="60" w:line="200" w:lineRule="atLeast"/>
              <w:rPr>
                <w:rFonts w:eastAsia="Times New Roman" w:cs="Times New Roman"/>
                <w:sz w:val="20"/>
                <w:szCs w:val="20"/>
                <w:lang w:eastAsia="en-AU"/>
              </w:rPr>
            </w:pPr>
            <w:r>
              <w:rPr>
                <w:rFonts w:eastAsia="Times New Roman" w:cs="Times New Roman"/>
                <w:sz w:val="20"/>
                <w:szCs w:val="20"/>
                <w:lang w:eastAsia="en-AU"/>
              </w:rPr>
              <w:t xml:space="preserve">  </w:t>
            </w:r>
            <w:r w:rsidRPr="0002373C">
              <w:rPr>
                <w:rFonts w:eastAsia="Times New Roman" w:cs="Times New Roman"/>
                <w:sz w:val="20"/>
                <w:szCs w:val="20"/>
                <w:lang w:eastAsia="en-AU"/>
              </w:rPr>
              <w:t>Component total</w:t>
            </w:r>
          </w:p>
        </w:tc>
        <w:tc>
          <w:tcPr>
            <w:tcW w:w="719" w:type="dxa"/>
            <w:tcBorders>
              <w:top w:val="single" w:sz="4" w:space="0" w:color="auto"/>
              <w:left w:val="nil"/>
              <w:bottom w:val="nil"/>
              <w:right w:val="nil"/>
            </w:tcBorders>
            <w:shd w:val="clear" w:color="auto" w:fill="auto"/>
            <w:noWrap/>
            <w:vAlign w:val="bottom"/>
            <w:hideMark/>
          </w:tcPr>
          <w:p w:rsidR="00AD52E0" w:rsidRPr="00154F06" w:rsidRDefault="00AD52E0" w:rsidP="00FD62EC">
            <w:pPr>
              <w:keepNext/>
              <w:keepLines/>
              <w:spacing w:before="60" w:after="60" w:line="200" w:lineRule="atLeast"/>
              <w:jc w:val="right"/>
              <w:rPr>
                <w:sz w:val="20"/>
                <w:szCs w:val="20"/>
              </w:rPr>
            </w:pPr>
            <w:r w:rsidRPr="00AD52E0">
              <w:rPr>
                <w:sz w:val="20"/>
                <w:szCs w:val="20"/>
              </w:rPr>
              <w:t>267</w:t>
            </w:r>
          </w:p>
        </w:tc>
        <w:tc>
          <w:tcPr>
            <w:tcW w:w="719" w:type="dxa"/>
            <w:tcBorders>
              <w:top w:val="single" w:sz="4" w:space="0" w:color="auto"/>
              <w:left w:val="nil"/>
              <w:bottom w:val="nil"/>
              <w:right w:val="nil"/>
            </w:tcBorders>
            <w:shd w:val="clear" w:color="auto" w:fill="auto"/>
            <w:noWrap/>
            <w:vAlign w:val="bottom"/>
            <w:hideMark/>
          </w:tcPr>
          <w:p w:rsidR="00AD52E0" w:rsidRPr="00154F06" w:rsidRDefault="00AD52E0" w:rsidP="00FD62EC">
            <w:pPr>
              <w:keepNext/>
              <w:keepLines/>
              <w:spacing w:before="60" w:after="60" w:line="200" w:lineRule="atLeast"/>
              <w:jc w:val="right"/>
              <w:rPr>
                <w:sz w:val="20"/>
                <w:szCs w:val="20"/>
              </w:rPr>
            </w:pPr>
            <w:r w:rsidRPr="00AD52E0">
              <w:rPr>
                <w:sz w:val="20"/>
                <w:szCs w:val="20"/>
              </w:rPr>
              <w:t>669</w:t>
            </w:r>
          </w:p>
        </w:tc>
        <w:tc>
          <w:tcPr>
            <w:tcW w:w="719" w:type="dxa"/>
            <w:tcBorders>
              <w:top w:val="single" w:sz="4" w:space="0" w:color="auto"/>
              <w:left w:val="nil"/>
              <w:bottom w:val="nil"/>
              <w:right w:val="nil"/>
            </w:tcBorders>
            <w:shd w:val="clear" w:color="auto" w:fill="auto"/>
            <w:noWrap/>
            <w:vAlign w:val="bottom"/>
            <w:hideMark/>
          </w:tcPr>
          <w:p w:rsidR="00AD52E0" w:rsidRPr="00154F06" w:rsidRDefault="00AD52E0" w:rsidP="00FD62EC">
            <w:pPr>
              <w:keepNext/>
              <w:keepLines/>
              <w:spacing w:before="60" w:after="60" w:line="200" w:lineRule="atLeast"/>
              <w:jc w:val="right"/>
              <w:rPr>
                <w:sz w:val="20"/>
                <w:szCs w:val="20"/>
              </w:rPr>
            </w:pPr>
            <w:r w:rsidRPr="00AD52E0">
              <w:rPr>
                <w:sz w:val="20"/>
                <w:szCs w:val="20"/>
              </w:rPr>
              <w:t>-508</w:t>
            </w:r>
          </w:p>
        </w:tc>
        <w:tc>
          <w:tcPr>
            <w:tcW w:w="719" w:type="dxa"/>
            <w:tcBorders>
              <w:top w:val="single" w:sz="4" w:space="0" w:color="auto"/>
              <w:left w:val="nil"/>
              <w:bottom w:val="nil"/>
              <w:right w:val="nil"/>
            </w:tcBorders>
            <w:shd w:val="clear" w:color="auto" w:fill="auto"/>
            <w:noWrap/>
            <w:vAlign w:val="bottom"/>
            <w:hideMark/>
          </w:tcPr>
          <w:p w:rsidR="00AD52E0" w:rsidRPr="00154F06" w:rsidRDefault="00AD52E0" w:rsidP="00FD62EC">
            <w:pPr>
              <w:keepNext/>
              <w:keepLines/>
              <w:spacing w:before="60" w:after="60" w:line="200" w:lineRule="atLeast"/>
              <w:jc w:val="right"/>
              <w:rPr>
                <w:sz w:val="20"/>
                <w:szCs w:val="20"/>
              </w:rPr>
            </w:pPr>
            <w:r w:rsidRPr="00AD52E0">
              <w:rPr>
                <w:sz w:val="20"/>
                <w:szCs w:val="20"/>
              </w:rPr>
              <w:t>68</w:t>
            </w:r>
          </w:p>
        </w:tc>
        <w:tc>
          <w:tcPr>
            <w:tcW w:w="719" w:type="dxa"/>
            <w:tcBorders>
              <w:top w:val="single" w:sz="4" w:space="0" w:color="auto"/>
              <w:left w:val="nil"/>
              <w:bottom w:val="nil"/>
              <w:right w:val="nil"/>
            </w:tcBorders>
            <w:shd w:val="clear" w:color="auto" w:fill="auto"/>
            <w:noWrap/>
            <w:vAlign w:val="bottom"/>
            <w:hideMark/>
          </w:tcPr>
          <w:p w:rsidR="00AD52E0" w:rsidRPr="00154F06" w:rsidRDefault="00AD52E0" w:rsidP="00FD62EC">
            <w:pPr>
              <w:keepNext/>
              <w:keepLines/>
              <w:spacing w:before="60" w:after="60" w:line="200" w:lineRule="atLeast"/>
              <w:jc w:val="right"/>
              <w:rPr>
                <w:sz w:val="20"/>
                <w:szCs w:val="20"/>
              </w:rPr>
            </w:pPr>
            <w:r w:rsidRPr="00AD52E0">
              <w:rPr>
                <w:sz w:val="20"/>
                <w:szCs w:val="20"/>
              </w:rPr>
              <w:t>-126</w:t>
            </w:r>
          </w:p>
        </w:tc>
        <w:tc>
          <w:tcPr>
            <w:tcW w:w="719" w:type="dxa"/>
            <w:tcBorders>
              <w:top w:val="single" w:sz="4" w:space="0" w:color="auto"/>
              <w:left w:val="nil"/>
              <w:bottom w:val="nil"/>
              <w:right w:val="nil"/>
            </w:tcBorders>
            <w:shd w:val="clear" w:color="auto" w:fill="auto"/>
            <w:noWrap/>
            <w:vAlign w:val="bottom"/>
            <w:hideMark/>
          </w:tcPr>
          <w:p w:rsidR="00AD52E0" w:rsidRPr="00154F06" w:rsidRDefault="00AD52E0" w:rsidP="00FD62EC">
            <w:pPr>
              <w:keepNext/>
              <w:keepLines/>
              <w:spacing w:before="60" w:after="60" w:line="200" w:lineRule="atLeast"/>
              <w:jc w:val="right"/>
              <w:rPr>
                <w:sz w:val="20"/>
                <w:szCs w:val="20"/>
              </w:rPr>
            </w:pPr>
            <w:r w:rsidRPr="00AD52E0">
              <w:rPr>
                <w:sz w:val="20"/>
                <w:szCs w:val="20"/>
              </w:rPr>
              <w:t>-219</w:t>
            </w:r>
          </w:p>
        </w:tc>
        <w:tc>
          <w:tcPr>
            <w:tcW w:w="719" w:type="dxa"/>
            <w:tcBorders>
              <w:top w:val="single" w:sz="4" w:space="0" w:color="auto"/>
              <w:left w:val="nil"/>
              <w:bottom w:val="nil"/>
              <w:right w:val="nil"/>
            </w:tcBorders>
            <w:shd w:val="clear" w:color="auto" w:fill="auto"/>
            <w:noWrap/>
            <w:vAlign w:val="bottom"/>
            <w:hideMark/>
          </w:tcPr>
          <w:p w:rsidR="00AD52E0" w:rsidRPr="00154F06" w:rsidRDefault="00AD52E0" w:rsidP="00FD62EC">
            <w:pPr>
              <w:keepNext/>
              <w:keepLines/>
              <w:spacing w:before="60" w:after="60" w:line="200" w:lineRule="atLeast"/>
              <w:jc w:val="right"/>
              <w:rPr>
                <w:sz w:val="20"/>
                <w:szCs w:val="20"/>
              </w:rPr>
            </w:pPr>
            <w:r w:rsidRPr="00AD52E0">
              <w:rPr>
                <w:sz w:val="20"/>
                <w:szCs w:val="20"/>
              </w:rPr>
              <w:t>-45</w:t>
            </w:r>
          </w:p>
        </w:tc>
        <w:tc>
          <w:tcPr>
            <w:tcW w:w="720" w:type="dxa"/>
            <w:tcBorders>
              <w:top w:val="single" w:sz="4" w:space="0" w:color="auto"/>
              <w:left w:val="nil"/>
              <w:bottom w:val="nil"/>
              <w:right w:val="nil"/>
            </w:tcBorders>
            <w:shd w:val="clear" w:color="auto" w:fill="auto"/>
            <w:noWrap/>
            <w:vAlign w:val="bottom"/>
            <w:hideMark/>
          </w:tcPr>
          <w:p w:rsidR="00AD52E0" w:rsidRPr="00154F06" w:rsidRDefault="00AD52E0" w:rsidP="00FD62EC">
            <w:pPr>
              <w:keepNext/>
              <w:keepLines/>
              <w:spacing w:before="60" w:after="60" w:line="200" w:lineRule="atLeast"/>
              <w:jc w:val="right"/>
              <w:rPr>
                <w:sz w:val="20"/>
                <w:szCs w:val="20"/>
              </w:rPr>
            </w:pPr>
            <w:r w:rsidRPr="00AD52E0">
              <w:rPr>
                <w:sz w:val="20"/>
                <w:szCs w:val="20"/>
              </w:rPr>
              <w:t>-106</w:t>
            </w:r>
          </w:p>
        </w:tc>
        <w:tc>
          <w:tcPr>
            <w:tcW w:w="1047" w:type="dxa"/>
            <w:tcBorders>
              <w:top w:val="single" w:sz="4" w:space="0" w:color="auto"/>
              <w:left w:val="nil"/>
              <w:bottom w:val="nil"/>
              <w:right w:val="nil"/>
            </w:tcBorders>
            <w:shd w:val="clear" w:color="auto" w:fill="auto"/>
            <w:noWrap/>
            <w:vAlign w:val="bottom"/>
            <w:hideMark/>
          </w:tcPr>
          <w:p w:rsidR="00AD52E0" w:rsidRPr="00154F06" w:rsidRDefault="00AD52E0" w:rsidP="00AD52E0">
            <w:pPr>
              <w:keepNext/>
              <w:keepLines/>
              <w:spacing w:before="60" w:after="60" w:line="200" w:lineRule="atLeast"/>
              <w:jc w:val="right"/>
              <w:rPr>
                <w:sz w:val="20"/>
                <w:szCs w:val="20"/>
              </w:rPr>
            </w:pPr>
            <w:r w:rsidRPr="00AD52E0">
              <w:rPr>
                <w:sz w:val="20"/>
                <w:szCs w:val="20"/>
              </w:rPr>
              <w:t>1</w:t>
            </w:r>
            <w:r>
              <w:rPr>
                <w:sz w:val="20"/>
                <w:szCs w:val="20"/>
              </w:rPr>
              <w:t xml:space="preserve"> </w:t>
            </w:r>
            <w:r w:rsidRPr="00AD52E0">
              <w:rPr>
                <w:sz w:val="20"/>
                <w:szCs w:val="20"/>
              </w:rPr>
              <w:t>004</w:t>
            </w:r>
          </w:p>
        </w:tc>
      </w:tr>
      <w:tr w:rsidR="00AD52E0" w:rsidRPr="0002373C" w:rsidTr="00AF02D1">
        <w:trPr>
          <w:trHeight w:hRule="exact" w:val="363"/>
        </w:trPr>
        <w:tc>
          <w:tcPr>
            <w:tcW w:w="2200" w:type="dxa"/>
            <w:tcBorders>
              <w:top w:val="nil"/>
              <w:left w:val="nil"/>
              <w:bottom w:val="nil"/>
              <w:right w:val="nil"/>
            </w:tcBorders>
            <w:shd w:val="clear" w:color="auto" w:fill="auto"/>
            <w:noWrap/>
            <w:vAlign w:val="bottom"/>
            <w:hideMark/>
          </w:tcPr>
          <w:p w:rsidR="00AD52E0" w:rsidRPr="0002373C" w:rsidRDefault="00AD52E0" w:rsidP="00FD62EC">
            <w:pPr>
              <w:keepNext/>
              <w:keepLines/>
              <w:tabs>
                <w:tab w:val="clear" w:pos="567"/>
              </w:tabs>
              <w:spacing w:before="60" w:after="60" w:line="200" w:lineRule="atLeast"/>
              <w:rPr>
                <w:rFonts w:eastAsia="Times New Roman" w:cs="Times New Roman"/>
                <w:b/>
                <w:sz w:val="20"/>
                <w:szCs w:val="20"/>
                <w:lang w:eastAsia="en-AU"/>
              </w:rPr>
            </w:pPr>
            <w:r w:rsidRPr="0002373C">
              <w:rPr>
                <w:rFonts w:eastAsia="Times New Roman" w:cs="Times New Roman"/>
                <w:b/>
                <w:sz w:val="20"/>
                <w:szCs w:val="20"/>
                <w:lang w:eastAsia="en-AU"/>
              </w:rPr>
              <w:t>Non-urban transport</w:t>
            </w:r>
          </w:p>
        </w:tc>
        <w:tc>
          <w:tcPr>
            <w:tcW w:w="719" w:type="dxa"/>
            <w:tcBorders>
              <w:top w:val="nil"/>
              <w:left w:val="nil"/>
              <w:bottom w:val="nil"/>
              <w:right w:val="nil"/>
            </w:tcBorders>
            <w:shd w:val="clear" w:color="auto" w:fill="auto"/>
            <w:noWrap/>
            <w:vAlign w:val="bottom"/>
            <w:hideMark/>
          </w:tcPr>
          <w:p w:rsidR="00AD52E0" w:rsidRPr="0002373C" w:rsidRDefault="00AD52E0" w:rsidP="00FD62EC">
            <w:pPr>
              <w:keepNext/>
              <w:keepLines/>
              <w:tabs>
                <w:tab w:val="clear" w:pos="567"/>
              </w:tabs>
              <w:spacing w:before="60" w:after="60" w:line="200" w:lineRule="atLeast"/>
              <w:jc w:val="right"/>
              <w:rPr>
                <w:rFonts w:eastAsia="Times New Roman" w:cs="Times New Roman"/>
                <w:sz w:val="20"/>
                <w:szCs w:val="20"/>
                <w:lang w:eastAsia="en-AU"/>
              </w:rPr>
            </w:pPr>
          </w:p>
        </w:tc>
        <w:tc>
          <w:tcPr>
            <w:tcW w:w="719" w:type="dxa"/>
            <w:tcBorders>
              <w:top w:val="nil"/>
              <w:left w:val="nil"/>
              <w:bottom w:val="nil"/>
              <w:right w:val="nil"/>
            </w:tcBorders>
            <w:shd w:val="clear" w:color="auto" w:fill="auto"/>
            <w:noWrap/>
            <w:vAlign w:val="bottom"/>
            <w:hideMark/>
          </w:tcPr>
          <w:p w:rsidR="00AD52E0" w:rsidRPr="0002373C" w:rsidRDefault="00AD52E0" w:rsidP="00FD62EC">
            <w:pPr>
              <w:keepNext/>
              <w:keepLines/>
              <w:tabs>
                <w:tab w:val="clear" w:pos="567"/>
              </w:tabs>
              <w:spacing w:before="60" w:after="60" w:line="200" w:lineRule="atLeast"/>
              <w:jc w:val="right"/>
              <w:rPr>
                <w:rFonts w:eastAsia="Times New Roman" w:cs="Times New Roman"/>
                <w:sz w:val="20"/>
                <w:szCs w:val="20"/>
                <w:lang w:eastAsia="en-AU"/>
              </w:rPr>
            </w:pPr>
          </w:p>
        </w:tc>
        <w:tc>
          <w:tcPr>
            <w:tcW w:w="719" w:type="dxa"/>
            <w:tcBorders>
              <w:top w:val="nil"/>
              <w:left w:val="nil"/>
              <w:bottom w:val="nil"/>
              <w:right w:val="nil"/>
            </w:tcBorders>
            <w:shd w:val="clear" w:color="auto" w:fill="auto"/>
            <w:noWrap/>
            <w:vAlign w:val="bottom"/>
            <w:hideMark/>
          </w:tcPr>
          <w:p w:rsidR="00AD52E0" w:rsidRPr="0002373C" w:rsidRDefault="00AD52E0" w:rsidP="00FD62EC">
            <w:pPr>
              <w:keepNext/>
              <w:keepLines/>
              <w:tabs>
                <w:tab w:val="clear" w:pos="567"/>
              </w:tabs>
              <w:spacing w:before="60" w:after="60" w:line="200" w:lineRule="atLeast"/>
              <w:jc w:val="right"/>
              <w:rPr>
                <w:rFonts w:eastAsia="Times New Roman" w:cs="Times New Roman"/>
                <w:sz w:val="20"/>
                <w:szCs w:val="20"/>
                <w:lang w:eastAsia="en-AU"/>
              </w:rPr>
            </w:pPr>
          </w:p>
        </w:tc>
        <w:tc>
          <w:tcPr>
            <w:tcW w:w="719" w:type="dxa"/>
            <w:tcBorders>
              <w:top w:val="nil"/>
              <w:left w:val="nil"/>
              <w:bottom w:val="nil"/>
              <w:right w:val="nil"/>
            </w:tcBorders>
            <w:shd w:val="clear" w:color="auto" w:fill="auto"/>
            <w:noWrap/>
            <w:vAlign w:val="bottom"/>
            <w:hideMark/>
          </w:tcPr>
          <w:p w:rsidR="00AD52E0" w:rsidRPr="0002373C" w:rsidRDefault="00AD52E0" w:rsidP="00FD62EC">
            <w:pPr>
              <w:keepNext/>
              <w:keepLines/>
              <w:tabs>
                <w:tab w:val="clear" w:pos="567"/>
              </w:tabs>
              <w:spacing w:before="60" w:after="60" w:line="200" w:lineRule="atLeast"/>
              <w:jc w:val="right"/>
              <w:rPr>
                <w:rFonts w:eastAsia="Times New Roman" w:cs="Times New Roman"/>
                <w:sz w:val="20"/>
                <w:szCs w:val="20"/>
                <w:lang w:eastAsia="en-AU"/>
              </w:rPr>
            </w:pPr>
          </w:p>
        </w:tc>
        <w:tc>
          <w:tcPr>
            <w:tcW w:w="719" w:type="dxa"/>
            <w:tcBorders>
              <w:top w:val="nil"/>
              <w:left w:val="nil"/>
              <w:bottom w:val="nil"/>
              <w:right w:val="nil"/>
            </w:tcBorders>
            <w:shd w:val="clear" w:color="auto" w:fill="auto"/>
            <w:noWrap/>
            <w:vAlign w:val="bottom"/>
            <w:hideMark/>
          </w:tcPr>
          <w:p w:rsidR="00AD52E0" w:rsidRPr="0002373C" w:rsidRDefault="00AD52E0" w:rsidP="00FD62EC">
            <w:pPr>
              <w:keepNext/>
              <w:keepLines/>
              <w:tabs>
                <w:tab w:val="clear" w:pos="567"/>
              </w:tabs>
              <w:spacing w:before="60" w:after="60" w:line="200" w:lineRule="atLeast"/>
              <w:jc w:val="right"/>
              <w:rPr>
                <w:rFonts w:eastAsia="Times New Roman" w:cs="Times New Roman"/>
                <w:sz w:val="20"/>
                <w:szCs w:val="20"/>
                <w:lang w:eastAsia="en-AU"/>
              </w:rPr>
            </w:pPr>
          </w:p>
        </w:tc>
        <w:tc>
          <w:tcPr>
            <w:tcW w:w="719" w:type="dxa"/>
            <w:tcBorders>
              <w:top w:val="nil"/>
              <w:left w:val="nil"/>
              <w:bottom w:val="nil"/>
              <w:right w:val="nil"/>
            </w:tcBorders>
            <w:shd w:val="clear" w:color="auto" w:fill="auto"/>
            <w:noWrap/>
            <w:vAlign w:val="bottom"/>
            <w:hideMark/>
          </w:tcPr>
          <w:p w:rsidR="00AD52E0" w:rsidRPr="0002373C" w:rsidRDefault="00AD52E0" w:rsidP="00FD62EC">
            <w:pPr>
              <w:keepNext/>
              <w:keepLines/>
              <w:tabs>
                <w:tab w:val="clear" w:pos="567"/>
              </w:tabs>
              <w:spacing w:before="60" w:after="60" w:line="200" w:lineRule="atLeast"/>
              <w:jc w:val="right"/>
              <w:rPr>
                <w:rFonts w:eastAsia="Times New Roman" w:cs="Times New Roman"/>
                <w:sz w:val="20"/>
                <w:szCs w:val="20"/>
                <w:lang w:eastAsia="en-AU"/>
              </w:rPr>
            </w:pPr>
          </w:p>
        </w:tc>
        <w:tc>
          <w:tcPr>
            <w:tcW w:w="719" w:type="dxa"/>
            <w:tcBorders>
              <w:top w:val="nil"/>
              <w:left w:val="nil"/>
              <w:bottom w:val="nil"/>
              <w:right w:val="nil"/>
            </w:tcBorders>
            <w:shd w:val="clear" w:color="auto" w:fill="auto"/>
            <w:noWrap/>
            <w:vAlign w:val="bottom"/>
            <w:hideMark/>
          </w:tcPr>
          <w:p w:rsidR="00AD52E0" w:rsidRPr="0002373C" w:rsidRDefault="00AD52E0" w:rsidP="00FD62EC">
            <w:pPr>
              <w:keepNext/>
              <w:keepLines/>
              <w:tabs>
                <w:tab w:val="clear" w:pos="567"/>
              </w:tabs>
              <w:spacing w:before="60" w:after="60" w:line="200" w:lineRule="atLeast"/>
              <w:jc w:val="right"/>
              <w:rPr>
                <w:rFonts w:eastAsia="Times New Roman" w:cs="Times New Roman"/>
                <w:sz w:val="20"/>
                <w:szCs w:val="20"/>
                <w:lang w:eastAsia="en-AU"/>
              </w:rPr>
            </w:pPr>
          </w:p>
        </w:tc>
        <w:tc>
          <w:tcPr>
            <w:tcW w:w="720" w:type="dxa"/>
            <w:tcBorders>
              <w:top w:val="nil"/>
              <w:left w:val="nil"/>
              <w:bottom w:val="nil"/>
              <w:right w:val="nil"/>
            </w:tcBorders>
            <w:shd w:val="clear" w:color="auto" w:fill="auto"/>
            <w:noWrap/>
            <w:vAlign w:val="bottom"/>
            <w:hideMark/>
          </w:tcPr>
          <w:p w:rsidR="00AD52E0" w:rsidRPr="0002373C" w:rsidRDefault="00AD52E0" w:rsidP="00FD62EC">
            <w:pPr>
              <w:keepNext/>
              <w:keepLines/>
              <w:tabs>
                <w:tab w:val="clear" w:pos="567"/>
              </w:tabs>
              <w:spacing w:before="60" w:after="60" w:line="200" w:lineRule="atLeast"/>
              <w:jc w:val="right"/>
              <w:rPr>
                <w:rFonts w:eastAsia="Times New Roman" w:cs="Times New Roman"/>
                <w:sz w:val="20"/>
                <w:szCs w:val="20"/>
                <w:lang w:eastAsia="en-AU"/>
              </w:rPr>
            </w:pPr>
          </w:p>
        </w:tc>
        <w:tc>
          <w:tcPr>
            <w:tcW w:w="1047" w:type="dxa"/>
            <w:tcBorders>
              <w:top w:val="nil"/>
              <w:left w:val="nil"/>
              <w:bottom w:val="nil"/>
              <w:right w:val="nil"/>
            </w:tcBorders>
            <w:shd w:val="clear" w:color="auto" w:fill="auto"/>
            <w:noWrap/>
            <w:vAlign w:val="bottom"/>
            <w:hideMark/>
          </w:tcPr>
          <w:p w:rsidR="00AD52E0" w:rsidRPr="0002373C" w:rsidRDefault="00AD52E0" w:rsidP="00FD62EC">
            <w:pPr>
              <w:keepNext/>
              <w:keepLines/>
              <w:tabs>
                <w:tab w:val="clear" w:pos="567"/>
              </w:tabs>
              <w:spacing w:before="60" w:after="60" w:line="200" w:lineRule="atLeast"/>
              <w:jc w:val="right"/>
              <w:rPr>
                <w:rFonts w:eastAsia="Times New Roman" w:cs="Times New Roman"/>
                <w:sz w:val="20"/>
                <w:szCs w:val="20"/>
                <w:lang w:eastAsia="en-AU"/>
              </w:rPr>
            </w:pPr>
          </w:p>
        </w:tc>
      </w:tr>
      <w:tr w:rsidR="00AD52E0" w:rsidRPr="0002373C" w:rsidTr="00AF02D1">
        <w:trPr>
          <w:trHeight w:hRule="exact" w:val="363"/>
        </w:trPr>
        <w:tc>
          <w:tcPr>
            <w:tcW w:w="2200" w:type="dxa"/>
            <w:tcBorders>
              <w:top w:val="nil"/>
              <w:left w:val="nil"/>
              <w:bottom w:val="nil"/>
              <w:right w:val="nil"/>
            </w:tcBorders>
            <w:shd w:val="clear" w:color="auto" w:fill="auto"/>
            <w:noWrap/>
            <w:vAlign w:val="bottom"/>
            <w:hideMark/>
          </w:tcPr>
          <w:p w:rsidR="00AD52E0" w:rsidRPr="0002373C" w:rsidRDefault="00AD52E0" w:rsidP="00FD62EC">
            <w:pPr>
              <w:keepNext/>
              <w:keepLines/>
              <w:tabs>
                <w:tab w:val="clear" w:pos="567"/>
              </w:tabs>
              <w:spacing w:before="60" w:after="60" w:line="200" w:lineRule="atLeast"/>
              <w:rPr>
                <w:rFonts w:eastAsia="Times New Roman" w:cs="Times New Roman"/>
                <w:sz w:val="20"/>
                <w:szCs w:val="20"/>
                <w:lang w:eastAsia="en-AU"/>
              </w:rPr>
            </w:pPr>
            <w:r w:rsidRPr="00154F06">
              <w:rPr>
                <w:rFonts w:eastAsia="Times New Roman" w:cs="Times New Roman"/>
                <w:sz w:val="20"/>
                <w:szCs w:val="20"/>
                <w:lang w:eastAsia="en-AU"/>
              </w:rPr>
              <w:t xml:space="preserve">  </w:t>
            </w:r>
            <w:r w:rsidRPr="0002373C">
              <w:rPr>
                <w:rFonts w:eastAsia="Times New Roman" w:cs="Times New Roman"/>
                <w:sz w:val="20"/>
                <w:szCs w:val="20"/>
                <w:lang w:eastAsia="en-AU"/>
              </w:rPr>
              <w:t>Non-urban population</w:t>
            </w:r>
          </w:p>
        </w:tc>
        <w:tc>
          <w:tcPr>
            <w:tcW w:w="719" w:type="dxa"/>
            <w:tcBorders>
              <w:top w:val="nil"/>
              <w:left w:val="nil"/>
              <w:bottom w:val="nil"/>
              <w:right w:val="nil"/>
            </w:tcBorders>
            <w:shd w:val="clear" w:color="auto" w:fill="auto"/>
            <w:noWrap/>
            <w:vAlign w:val="bottom"/>
            <w:hideMark/>
          </w:tcPr>
          <w:p w:rsidR="00AD52E0" w:rsidRPr="00154F06" w:rsidRDefault="00AD52E0" w:rsidP="00FD62EC">
            <w:pPr>
              <w:keepNext/>
              <w:keepLines/>
              <w:spacing w:before="60" w:after="60" w:line="200" w:lineRule="atLeast"/>
              <w:jc w:val="right"/>
              <w:rPr>
                <w:sz w:val="20"/>
                <w:szCs w:val="20"/>
              </w:rPr>
            </w:pPr>
            <w:r w:rsidRPr="00AD52E0">
              <w:rPr>
                <w:sz w:val="20"/>
                <w:szCs w:val="20"/>
              </w:rPr>
              <w:t>52</w:t>
            </w:r>
          </w:p>
        </w:tc>
        <w:tc>
          <w:tcPr>
            <w:tcW w:w="719" w:type="dxa"/>
            <w:tcBorders>
              <w:top w:val="nil"/>
              <w:left w:val="nil"/>
              <w:bottom w:val="nil"/>
              <w:right w:val="nil"/>
            </w:tcBorders>
            <w:shd w:val="clear" w:color="auto" w:fill="auto"/>
            <w:noWrap/>
            <w:vAlign w:val="bottom"/>
            <w:hideMark/>
          </w:tcPr>
          <w:p w:rsidR="00AD52E0" w:rsidRPr="00154F06" w:rsidRDefault="00AD52E0" w:rsidP="00FD62EC">
            <w:pPr>
              <w:keepNext/>
              <w:keepLines/>
              <w:spacing w:before="60" w:after="60" w:line="200" w:lineRule="atLeast"/>
              <w:jc w:val="right"/>
              <w:rPr>
                <w:sz w:val="20"/>
                <w:szCs w:val="20"/>
              </w:rPr>
            </w:pPr>
            <w:r w:rsidRPr="00AD52E0">
              <w:rPr>
                <w:sz w:val="20"/>
                <w:szCs w:val="20"/>
              </w:rPr>
              <w:t>-104</w:t>
            </w:r>
          </w:p>
        </w:tc>
        <w:tc>
          <w:tcPr>
            <w:tcW w:w="719" w:type="dxa"/>
            <w:tcBorders>
              <w:top w:val="nil"/>
              <w:left w:val="nil"/>
              <w:bottom w:val="nil"/>
              <w:right w:val="nil"/>
            </w:tcBorders>
            <w:shd w:val="clear" w:color="auto" w:fill="auto"/>
            <w:noWrap/>
            <w:vAlign w:val="bottom"/>
            <w:hideMark/>
          </w:tcPr>
          <w:p w:rsidR="00AD52E0" w:rsidRPr="00154F06" w:rsidRDefault="00AD52E0" w:rsidP="00FD62EC">
            <w:pPr>
              <w:keepNext/>
              <w:keepLines/>
              <w:spacing w:before="60" w:after="60" w:line="200" w:lineRule="atLeast"/>
              <w:jc w:val="right"/>
              <w:rPr>
                <w:sz w:val="20"/>
                <w:szCs w:val="20"/>
              </w:rPr>
            </w:pPr>
            <w:r w:rsidRPr="00AD52E0">
              <w:rPr>
                <w:sz w:val="20"/>
                <w:szCs w:val="20"/>
              </w:rPr>
              <w:t>140</w:t>
            </w:r>
          </w:p>
        </w:tc>
        <w:tc>
          <w:tcPr>
            <w:tcW w:w="719" w:type="dxa"/>
            <w:tcBorders>
              <w:top w:val="nil"/>
              <w:left w:val="nil"/>
              <w:bottom w:val="nil"/>
              <w:right w:val="nil"/>
            </w:tcBorders>
            <w:shd w:val="clear" w:color="auto" w:fill="auto"/>
            <w:noWrap/>
            <w:vAlign w:val="bottom"/>
            <w:hideMark/>
          </w:tcPr>
          <w:p w:rsidR="00AD52E0" w:rsidRPr="00154F06" w:rsidRDefault="00AD52E0" w:rsidP="00FD62EC">
            <w:pPr>
              <w:keepNext/>
              <w:keepLines/>
              <w:spacing w:before="60" w:after="60" w:line="200" w:lineRule="atLeast"/>
              <w:jc w:val="right"/>
              <w:rPr>
                <w:sz w:val="20"/>
                <w:szCs w:val="20"/>
              </w:rPr>
            </w:pPr>
            <w:r w:rsidRPr="00AD52E0">
              <w:rPr>
                <w:sz w:val="20"/>
                <w:szCs w:val="20"/>
              </w:rPr>
              <w:t>-57</w:t>
            </w:r>
          </w:p>
        </w:tc>
        <w:tc>
          <w:tcPr>
            <w:tcW w:w="719" w:type="dxa"/>
            <w:tcBorders>
              <w:top w:val="nil"/>
              <w:left w:val="nil"/>
              <w:bottom w:val="nil"/>
              <w:right w:val="nil"/>
            </w:tcBorders>
            <w:shd w:val="clear" w:color="auto" w:fill="auto"/>
            <w:noWrap/>
            <w:vAlign w:val="bottom"/>
            <w:hideMark/>
          </w:tcPr>
          <w:p w:rsidR="00AD52E0" w:rsidRPr="00154F06" w:rsidRDefault="00AD52E0" w:rsidP="00FD62EC">
            <w:pPr>
              <w:keepNext/>
              <w:keepLines/>
              <w:spacing w:before="60" w:after="60" w:line="200" w:lineRule="atLeast"/>
              <w:jc w:val="right"/>
              <w:rPr>
                <w:sz w:val="20"/>
                <w:szCs w:val="20"/>
              </w:rPr>
            </w:pPr>
            <w:r w:rsidRPr="00AD52E0">
              <w:rPr>
                <w:sz w:val="20"/>
                <w:szCs w:val="20"/>
              </w:rPr>
              <w:t>-34</w:t>
            </w:r>
          </w:p>
        </w:tc>
        <w:tc>
          <w:tcPr>
            <w:tcW w:w="719" w:type="dxa"/>
            <w:tcBorders>
              <w:top w:val="nil"/>
              <w:left w:val="nil"/>
              <w:bottom w:val="nil"/>
              <w:right w:val="nil"/>
            </w:tcBorders>
            <w:shd w:val="clear" w:color="auto" w:fill="auto"/>
            <w:noWrap/>
            <w:vAlign w:val="bottom"/>
            <w:hideMark/>
          </w:tcPr>
          <w:p w:rsidR="00AD52E0" w:rsidRPr="00154F06" w:rsidRDefault="00AD52E0" w:rsidP="00FD62EC">
            <w:pPr>
              <w:keepNext/>
              <w:keepLines/>
              <w:spacing w:before="60" w:after="60" w:line="200" w:lineRule="atLeast"/>
              <w:jc w:val="right"/>
              <w:rPr>
                <w:sz w:val="20"/>
                <w:szCs w:val="20"/>
              </w:rPr>
            </w:pPr>
            <w:r w:rsidRPr="00AD52E0">
              <w:rPr>
                <w:sz w:val="20"/>
                <w:szCs w:val="20"/>
              </w:rPr>
              <w:t>22</w:t>
            </w:r>
          </w:p>
        </w:tc>
        <w:tc>
          <w:tcPr>
            <w:tcW w:w="719" w:type="dxa"/>
            <w:tcBorders>
              <w:top w:val="nil"/>
              <w:left w:val="nil"/>
              <w:bottom w:val="nil"/>
              <w:right w:val="nil"/>
            </w:tcBorders>
            <w:shd w:val="clear" w:color="auto" w:fill="auto"/>
            <w:noWrap/>
            <w:vAlign w:val="bottom"/>
            <w:hideMark/>
          </w:tcPr>
          <w:p w:rsidR="00AD52E0" w:rsidRPr="00154F06" w:rsidRDefault="00AD52E0" w:rsidP="00FD62EC">
            <w:pPr>
              <w:keepNext/>
              <w:keepLines/>
              <w:spacing w:before="60" w:after="60" w:line="200" w:lineRule="atLeast"/>
              <w:jc w:val="right"/>
              <w:rPr>
                <w:sz w:val="20"/>
                <w:szCs w:val="20"/>
              </w:rPr>
            </w:pPr>
            <w:r w:rsidRPr="00AD52E0">
              <w:rPr>
                <w:sz w:val="20"/>
                <w:szCs w:val="20"/>
              </w:rPr>
              <w:t>-25</w:t>
            </w:r>
          </w:p>
        </w:tc>
        <w:tc>
          <w:tcPr>
            <w:tcW w:w="720" w:type="dxa"/>
            <w:tcBorders>
              <w:top w:val="nil"/>
              <w:left w:val="nil"/>
              <w:bottom w:val="nil"/>
              <w:right w:val="nil"/>
            </w:tcBorders>
            <w:shd w:val="clear" w:color="auto" w:fill="auto"/>
            <w:noWrap/>
            <w:vAlign w:val="bottom"/>
            <w:hideMark/>
          </w:tcPr>
          <w:p w:rsidR="00AD52E0" w:rsidRPr="00154F06" w:rsidRDefault="00AD52E0" w:rsidP="00FD62EC">
            <w:pPr>
              <w:keepNext/>
              <w:keepLines/>
              <w:spacing w:before="60" w:after="60" w:line="200" w:lineRule="atLeast"/>
              <w:jc w:val="right"/>
              <w:rPr>
                <w:sz w:val="20"/>
                <w:szCs w:val="20"/>
              </w:rPr>
            </w:pPr>
            <w:r w:rsidRPr="00AD52E0">
              <w:rPr>
                <w:sz w:val="20"/>
                <w:szCs w:val="20"/>
              </w:rPr>
              <w:t>5</w:t>
            </w:r>
          </w:p>
        </w:tc>
        <w:tc>
          <w:tcPr>
            <w:tcW w:w="1047" w:type="dxa"/>
            <w:tcBorders>
              <w:top w:val="nil"/>
              <w:left w:val="nil"/>
              <w:bottom w:val="nil"/>
              <w:right w:val="nil"/>
            </w:tcBorders>
            <w:shd w:val="clear" w:color="auto" w:fill="auto"/>
            <w:noWrap/>
            <w:vAlign w:val="bottom"/>
            <w:hideMark/>
          </w:tcPr>
          <w:p w:rsidR="00AD52E0" w:rsidRPr="00154F06" w:rsidRDefault="00AD52E0" w:rsidP="00FD62EC">
            <w:pPr>
              <w:keepNext/>
              <w:keepLines/>
              <w:spacing w:before="60" w:after="60" w:line="200" w:lineRule="atLeast"/>
              <w:jc w:val="right"/>
              <w:rPr>
                <w:sz w:val="20"/>
                <w:szCs w:val="20"/>
              </w:rPr>
            </w:pPr>
            <w:r w:rsidRPr="00AD52E0">
              <w:rPr>
                <w:sz w:val="20"/>
                <w:szCs w:val="20"/>
              </w:rPr>
              <w:t>219</w:t>
            </w:r>
          </w:p>
        </w:tc>
      </w:tr>
      <w:tr w:rsidR="00AD52E0" w:rsidRPr="0002373C" w:rsidTr="00AF02D1">
        <w:trPr>
          <w:trHeight w:hRule="exact" w:val="363"/>
        </w:trPr>
        <w:tc>
          <w:tcPr>
            <w:tcW w:w="2200" w:type="dxa"/>
            <w:tcBorders>
              <w:top w:val="nil"/>
              <w:left w:val="nil"/>
              <w:bottom w:val="nil"/>
              <w:right w:val="nil"/>
            </w:tcBorders>
            <w:shd w:val="clear" w:color="auto" w:fill="auto"/>
            <w:noWrap/>
            <w:vAlign w:val="bottom"/>
            <w:hideMark/>
          </w:tcPr>
          <w:p w:rsidR="00AD52E0" w:rsidRPr="0002373C" w:rsidRDefault="00AD52E0" w:rsidP="00FD62EC">
            <w:pPr>
              <w:keepNext/>
              <w:keepLines/>
              <w:tabs>
                <w:tab w:val="clear" w:pos="567"/>
              </w:tabs>
              <w:spacing w:before="60" w:after="60" w:line="200" w:lineRule="atLeast"/>
              <w:rPr>
                <w:rFonts w:eastAsia="Times New Roman" w:cs="Times New Roman"/>
                <w:sz w:val="20"/>
                <w:szCs w:val="20"/>
                <w:lang w:eastAsia="en-AU"/>
              </w:rPr>
            </w:pPr>
            <w:r w:rsidRPr="00154F06">
              <w:rPr>
                <w:rFonts w:eastAsia="Times New Roman" w:cs="Times New Roman"/>
                <w:sz w:val="20"/>
                <w:szCs w:val="20"/>
                <w:lang w:eastAsia="en-AU"/>
              </w:rPr>
              <w:t xml:space="preserve">  </w:t>
            </w:r>
            <w:r w:rsidRPr="0002373C">
              <w:rPr>
                <w:rFonts w:eastAsia="Times New Roman" w:cs="Times New Roman"/>
                <w:sz w:val="20"/>
                <w:szCs w:val="20"/>
                <w:lang w:eastAsia="en-AU"/>
              </w:rPr>
              <w:t>Regional costs</w:t>
            </w:r>
          </w:p>
        </w:tc>
        <w:tc>
          <w:tcPr>
            <w:tcW w:w="719" w:type="dxa"/>
            <w:tcBorders>
              <w:top w:val="nil"/>
              <w:left w:val="nil"/>
              <w:right w:val="nil"/>
            </w:tcBorders>
            <w:shd w:val="clear" w:color="auto" w:fill="auto"/>
            <w:noWrap/>
            <w:vAlign w:val="bottom"/>
            <w:hideMark/>
          </w:tcPr>
          <w:p w:rsidR="00AD52E0" w:rsidRPr="00154F06" w:rsidRDefault="00AD52E0" w:rsidP="00FD62EC">
            <w:pPr>
              <w:keepNext/>
              <w:keepLines/>
              <w:spacing w:before="60" w:after="60" w:line="200" w:lineRule="atLeast"/>
              <w:jc w:val="right"/>
              <w:rPr>
                <w:sz w:val="20"/>
                <w:szCs w:val="20"/>
              </w:rPr>
            </w:pPr>
            <w:r w:rsidRPr="00AD52E0">
              <w:rPr>
                <w:sz w:val="20"/>
                <w:szCs w:val="20"/>
              </w:rPr>
              <w:t>-14</w:t>
            </w:r>
          </w:p>
        </w:tc>
        <w:tc>
          <w:tcPr>
            <w:tcW w:w="719" w:type="dxa"/>
            <w:tcBorders>
              <w:top w:val="nil"/>
              <w:left w:val="nil"/>
              <w:right w:val="nil"/>
            </w:tcBorders>
            <w:shd w:val="clear" w:color="auto" w:fill="auto"/>
            <w:noWrap/>
            <w:vAlign w:val="bottom"/>
            <w:hideMark/>
          </w:tcPr>
          <w:p w:rsidR="00AD52E0" w:rsidRPr="00154F06" w:rsidRDefault="00AD52E0" w:rsidP="00FD62EC">
            <w:pPr>
              <w:keepNext/>
              <w:keepLines/>
              <w:spacing w:before="60" w:after="60" w:line="200" w:lineRule="atLeast"/>
              <w:jc w:val="right"/>
              <w:rPr>
                <w:sz w:val="20"/>
                <w:szCs w:val="20"/>
              </w:rPr>
            </w:pPr>
            <w:r w:rsidRPr="00AD52E0">
              <w:rPr>
                <w:sz w:val="20"/>
                <w:szCs w:val="20"/>
              </w:rPr>
              <w:t>-9</w:t>
            </w:r>
          </w:p>
        </w:tc>
        <w:tc>
          <w:tcPr>
            <w:tcW w:w="719" w:type="dxa"/>
            <w:tcBorders>
              <w:top w:val="nil"/>
              <w:left w:val="nil"/>
              <w:right w:val="nil"/>
            </w:tcBorders>
            <w:shd w:val="clear" w:color="auto" w:fill="auto"/>
            <w:noWrap/>
            <w:vAlign w:val="bottom"/>
            <w:hideMark/>
          </w:tcPr>
          <w:p w:rsidR="00AD52E0" w:rsidRPr="00154F06" w:rsidRDefault="00AD52E0" w:rsidP="00FD62EC">
            <w:pPr>
              <w:keepNext/>
              <w:keepLines/>
              <w:spacing w:before="60" w:after="60" w:line="200" w:lineRule="atLeast"/>
              <w:jc w:val="right"/>
              <w:rPr>
                <w:sz w:val="20"/>
                <w:szCs w:val="20"/>
              </w:rPr>
            </w:pPr>
            <w:r w:rsidRPr="00AD52E0">
              <w:rPr>
                <w:sz w:val="20"/>
                <w:szCs w:val="20"/>
              </w:rPr>
              <w:t>0</w:t>
            </w:r>
          </w:p>
        </w:tc>
        <w:tc>
          <w:tcPr>
            <w:tcW w:w="719" w:type="dxa"/>
            <w:tcBorders>
              <w:top w:val="nil"/>
              <w:left w:val="nil"/>
              <w:right w:val="nil"/>
            </w:tcBorders>
            <w:shd w:val="clear" w:color="auto" w:fill="auto"/>
            <w:noWrap/>
            <w:vAlign w:val="bottom"/>
            <w:hideMark/>
          </w:tcPr>
          <w:p w:rsidR="00AD52E0" w:rsidRPr="00154F06" w:rsidRDefault="00AD52E0" w:rsidP="00FD62EC">
            <w:pPr>
              <w:keepNext/>
              <w:keepLines/>
              <w:spacing w:before="60" w:after="60" w:line="200" w:lineRule="atLeast"/>
              <w:jc w:val="right"/>
              <w:rPr>
                <w:sz w:val="20"/>
                <w:szCs w:val="20"/>
              </w:rPr>
            </w:pPr>
            <w:r w:rsidRPr="00AD52E0">
              <w:rPr>
                <w:sz w:val="20"/>
                <w:szCs w:val="20"/>
              </w:rPr>
              <w:t>13</w:t>
            </w:r>
          </w:p>
        </w:tc>
        <w:tc>
          <w:tcPr>
            <w:tcW w:w="719" w:type="dxa"/>
            <w:tcBorders>
              <w:top w:val="nil"/>
              <w:left w:val="nil"/>
              <w:right w:val="nil"/>
            </w:tcBorders>
            <w:shd w:val="clear" w:color="auto" w:fill="auto"/>
            <w:noWrap/>
            <w:vAlign w:val="bottom"/>
            <w:hideMark/>
          </w:tcPr>
          <w:p w:rsidR="00AD52E0" w:rsidRPr="00154F06" w:rsidRDefault="00AD52E0" w:rsidP="00FD62EC">
            <w:pPr>
              <w:keepNext/>
              <w:keepLines/>
              <w:spacing w:before="60" w:after="60" w:line="200" w:lineRule="atLeast"/>
              <w:jc w:val="right"/>
              <w:rPr>
                <w:sz w:val="20"/>
                <w:szCs w:val="20"/>
              </w:rPr>
            </w:pPr>
            <w:r w:rsidRPr="00AD52E0">
              <w:rPr>
                <w:sz w:val="20"/>
                <w:szCs w:val="20"/>
              </w:rPr>
              <w:t>6</w:t>
            </w:r>
          </w:p>
        </w:tc>
        <w:tc>
          <w:tcPr>
            <w:tcW w:w="719" w:type="dxa"/>
            <w:tcBorders>
              <w:top w:val="nil"/>
              <w:left w:val="nil"/>
              <w:right w:val="nil"/>
            </w:tcBorders>
            <w:shd w:val="clear" w:color="auto" w:fill="auto"/>
            <w:noWrap/>
            <w:vAlign w:val="bottom"/>
            <w:hideMark/>
          </w:tcPr>
          <w:p w:rsidR="00AD52E0" w:rsidRPr="00154F06" w:rsidRDefault="00AD52E0" w:rsidP="00FD62EC">
            <w:pPr>
              <w:keepNext/>
              <w:keepLines/>
              <w:spacing w:before="60" w:after="60" w:line="200" w:lineRule="atLeast"/>
              <w:jc w:val="right"/>
              <w:rPr>
                <w:sz w:val="20"/>
                <w:szCs w:val="20"/>
              </w:rPr>
            </w:pPr>
            <w:r w:rsidRPr="00AD52E0">
              <w:rPr>
                <w:sz w:val="20"/>
                <w:szCs w:val="20"/>
              </w:rPr>
              <w:t>1</w:t>
            </w:r>
          </w:p>
        </w:tc>
        <w:tc>
          <w:tcPr>
            <w:tcW w:w="719" w:type="dxa"/>
            <w:tcBorders>
              <w:top w:val="nil"/>
              <w:left w:val="nil"/>
              <w:right w:val="nil"/>
            </w:tcBorders>
            <w:shd w:val="clear" w:color="auto" w:fill="auto"/>
            <w:noWrap/>
            <w:vAlign w:val="bottom"/>
            <w:hideMark/>
          </w:tcPr>
          <w:p w:rsidR="00AD52E0" w:rsidRPr="00154F06" w:rsidRDefault="00AD52E0" w:rsidP="00FD62EC">
            <w:pPr>
              <w:keepNext/>
              <w:keepLines/>
              <w:spacing w:before="60" w:after="60" w:line="200" w:lineRule="atLeast"/>
              <w:jc w:val="right"/>
              <w:rPr>
                <w:sz w:val="20"/>
                <w:szCs w:val="20"/>
              </w:rPr>
            </w:pPr>
            <w:r w:rsidRPr="00AD52E0">
              <w:rPr>
                <w:sz w:val="20"/>
                <w:szCs w:val="20"/>
              </w:rPr>
              <w:t>-1</w:t>
            </w:r>
          </w:p>
        </w:tc>
        <w:tc>
          <w:tcPr>
            <w:tcW w:w="720" w:type="dxa"/>
            <w:tcBorders>
              <w:top w:val="nil"/>
              <w:left w:val="nil"/>
              <w:right w:val="nil"/>
            </w:tcBorders>
            <w:shd w:val="clear" w:color="auto" w:fill="auto"/>
            <w:noWrap/>
            <w:vAlign w:val="bottom"/>
            <w:hideMark/>
          </w:tcPr>
          <w:p w:rsidR="00AD52E0" w:rsidRPr="00154F06" w:rsidRDefault="00AD52E0" w:rsidP="00FD62EC">
            <w:pPr>
              <w:keepNext/>
              <w:keepLines/>
              <w:spacing w:before="60" w:after="60" w:line="200" w:lineRule="atLeast"/>
              <w:jc w:val="right"/>
              <w:rPr>
                <w:sz w:val="20"/>
                <w:szCs w:val="20"/>
              </w:rPr>
            </w:pPr>
            <w:r w:rsidRPr="00AD52E0">
              <w:rPr>
                <w:sz w:val="20"/>
                <w:szCs w:val="20"/>
              </w:rPr>
              <w:t>4</w:t>
            </w:r>
          </w:p>
        </w:tc>
        <w:tc>
          <w:tcPr>
            <w:tcW w:w="1047" w:type="dxa"/>
            <w:tcBorders>
              <w:top w:val="nil"/>
              <w:left w:val="nil"/>
              <w:right w:val="nil"/>
            </w:tcBorders>
            <w:shd w:val="clear" w:color="auto" w:fill="auto"/>
            <w:noWrap/>
            <w:vAlign w:val="bottom"/>
            <w:hideMark/>
          </w:tcPr>
          <w:p w:rsidR="00AD52E0" w:rsidRPr="00154F06" w:rsidRDefault="00AD52E0" w:rsidP="00FD62EC">
            <w:pPr>
              <w:keepNext/>
              <w:keepLines/>
              <w:spacing w:before="60" w:after="60" w:line="200" w:lineRule="atLeast"/>
              <w:jc w:val="right"/>
              <w:rPr>
                <w:sz w:val="20"/>
                <w:szCs w:val="20"/>
              </w:rPr>
            </w:pPr>
            <w:r w:rsidRPr="00AD52E0">
              <w:rPr>
                <w:sz w:val="20"/>
                <w:szCs w:val="20"/>
              </w:rPr>
              <w:t>25</w:t>
            </w:r>
          </w:p>
        </w:tc>
      </w:tr>
      <w:tr w:rsidR="00AD52E0" w:rsidRPr="0002373C" w:rsidTr="00AF02D1">
        <w:trPr>
          <w:trHeight w:hRule="exact" w:val="363"/>
        </w:trPr>
        <w:tc>
          <w:tcPr>
            <w:tcW w:w="2200" w:type="dxa"/>
            <w:tcBorders>
              <w:top w:val="nil"/>
              <w:left w:val="nil"/>
              <w:bottom w:val="nil"/>
              <w:right w:val="nil"/>
            </w:tcBorders>
            <w:shd w:val="clear" w:color="auto" w:fill="auto"/>
            <w:noWrap/>
            <w:vAlign w:val="bottom"/>
            <w:hideMark/>
          </w:tcPr>
          <w:p w:rsidR="00AD52E0" w:rsidRPr="0002373C" w:rsidRDefault="00AD52E0" w:rsidP="00FD62EC">
            <w:pPr>
              <w:keepNext/>
              <w:keepLines/>
              <w:tabs>
                <w:tab w:val="clear" w:pos="567"/>
              </w:tabs>
              <w:spacing w:before="60" w:after="60" w:line="200" w:lineRule="atLeast"/>
              <w:rPr>
                <w:rFonts w:eastAsia="Times New Roman" w:cs="Times New Roman"/>
                <w:sz w:val="20"/>
                <w:szCs w:val="20"/>
                <w:lang w:eastAsia="en-AU"/>
              </w:rPr>
            </w:pPr>
            <w:r w:rsidRPr="00154F06">
              <w:rPr>
                <w:rFonts w:eastAsia="Times New Roman" w:cs="Times New Roman"/>
                <w:sz w:val="20"/>
                <w:szCs w:val="20"/>
                <w:lang w:eastAsia="en-AU"/>
              </w:rPr>
              <w:t xml:space="preserve">  </w:t>
            </w:r>
            <w:r w:rsidRPr="0002373C">
              <w:rPr>
                <w:rFonts w:eastAsia="Times New Roman" w:cs="Times New Roman"/>
                <w:sz w:val="20"/>
                <w:szCs w:val="20"/>
                <w:lang w:eastAsia="en-AU"/>
              </w:rPr>
              <w:t>Wage costs</w:t>
            </w:r>
          </w:p>
        </w:tc>
        <w:tc>
          <w:tcPr>
            <w:tcW w:w="719" w:type="dxa"/>
            <w:tcBorders>
              <w:top w:val="nil"/>
              <w:left w:val="nil"/>
              <w:bottom w:val="single" w:sz="4" w:space="0" w:color="auto"/>
              <w:right w:val="nil"/>
            </w:tcBorders>
            <w:shd w:val="clear" w:color="auto" w:fill="auto"/>
            <w:noWrap/>
            <w:vAlign w:val="bottom"/>
            <w:hideMark/>
          </w:tcPr>
          <w:p w:rsidR="00AD52E0" w:rsidRPr="00154F06" w:rsidRDefault="00AD52E0" w:rsidP="00FD62EC">
            <w:pPr>
              <w:keepNext/>
              <w:keepLines/>
              <w:spacing w:before="60" w:after="60" w:line="200" w:lineRule="atLeast"/>
              <w:jc w:val="right"/>
              <w:rPr>
                <w:sz w:val="20"/>
                <w:szCs w:val="20"/>
              </w:rPr>
            </w:pPr>
            <w:r w:rsidRPr="00AD52E0">
              <w:rPr>
                <w:sz w:val="20"/>
                <w:szCs w:val="20"/>
              </w:rPr>
              <w:t>1</w:t>
            </w:r>
          </w:p>
        </w:tc>
        <w:tc>
          <w:tcPr>
            <w:tcW w:w="719" w:type="dxa"/>
            <w:tcBorders>
              <w:top w:val="nil"/>
              <w:left w:val="nil"/>
              <w:bottom w:val="single" w:sz="4" w:space="0" w:color="auto"/>
              <w:right w:val="nil"/>
            </w:tcBorders>
            <w:shd w:val="clear" w:color="auto" w:fill="auto"/>
            <w:noWrap/>
            <w:vAlign w:val="bottom"/>
            <w:hideMark/>
          </w:tcPr>
          <w:p w:rsidR="00AD52E0" w:rsidRPr="00154F06" w:rsidRDefault="00AD52E0" w:rsidP="00FD62EC">
            <w:pPr>
              <w:keepNext/>
              <w:keepLines/>
              <w:spacing w:before="60" w:after="60" w:line="200" w:lineRule="atLeast"/>
              <w:jc w:val="right"/>
              <w:rPr>
                <w:sz w:val="20"/>
                <w:szCs w:val="20"/>
              </w:rPr>
            </w:pPr>
            <w:r w:rsidRPr="00AD52E0">
              <w:rPr>
                <w:sz w:val="20"/>
                <w:szCs w:val="20"/>
              </w:rPr>
              <w:t>-3</w:t>
            </w:r>
          </w:p>
        </w:tc>
        <w:tc>
          <w:tcPr>
            <w:tcW w:w="719" w:type="dxa"/>
            <w:tcBorders>
              <w:top w:val="nil"/>
              <w:left w:val="nil"/>
              <w:bottom w:val="single" w:sz="4" w:space="0" w:color="auto"/>
              <w:right w:val="nil"/>
            </w:tcBorders>
            <w:shd w:val="clear" w:color="auto" w:fill="auto"/>
            <w:noWrap/>
            <w:vAlign w:val="bottom"/>
            <w:hideMark/>
          </w:tcPr>
          <w:p w:rsidR="00AD52E0" w:rsidRPr="00154F06" w:rsidRDefault="00AD52E0" w:rsidP="00FD62EC">
            <w:pPr>
              <w:keepNext/>
              <w:keepLines/>
              <w:spacing w:before="60" w:after="60" w:line="200" w:lineRule="atLeast"/>
              <w:jc w:val="right"/>
              <w:rPr>
                <w:sz w:val="20"/>
                <w:szCs w:val="20"/>
              </w:rPr>
            </w:pPr>
            <w:r w:rsidRPr="00AD52E0">
              <w:rPr>
                <w:sz w:val="20"/>
                <w:szCs w:val="20"/>
              </w:rPr>
              <w:t>-2</w:t>
            </w:r>
          </w:p>
        </w:tc>
        <w:tc>
          <w:tcPr>
            <w:tcW w:w="719" w:type="dxa"/>
            <w:tcBorders>
              <w:top w:val="nil"/>
              <w:left w:val="nil"/>
              <w:bottom w:val="single" w:sz="4" w:space="0" w:color="auto"/>
              <w:right w:val="nil"/>
            </w:tcBorders>
            <w:shd w:val="clear" w:color="auto" w:fill="auto"/>
            <w:noWrap/>
            <w:vAlign w:val="bottom"/>
            <w:hideMark/>
          </w:tcPr>
          <w:p w:rsidR="00AD52E0" w:rsidRPr="00154F06" w:rsidRDefault="00AD52E0" w:rsidP="00FD62EC">
            <w:pPr>
              <w:keepNext/>
              <w:keepLines/>
              <w:spacing w:before="60" w:after="60" w:line="200" w:lineRule="atLeast"/>
              <w:jc w:val="right"/>
              <w:rPr>
                <w:sz w:val="20"/>
                <w:szCs w:val="20"/>
              </w:rPr>
            </w:pPr>
            <w:r w:rsidRPr="00AD52E0">
              <w:rPr>
                <w:sz w:val="20"/>
                <w:szCs w:val="20"/>
              </w:rPr>
              <w:t>5</w:t>
            </w:r>
          </w:p>
        </w:tc>
        <w:tc>
          <w:tcPr>
            <w:tcW w:w="719" w:type="dxa"/>
            <w:tcBorders>
              <w:top w:val="nil"/>
              <w:left w:val="nil"/>
              <w:bottom w:val="single" w:sz="4" w:space="0" w:color="auto"/>
              <w:right w:val="nil"/>
            </w:tcBorders>
            <w:shd w:val="clear" w:color="auto" w:fill="auto"/>
            <w:noWrap/>
            <w:vAlign w:val="bottom"/>
            <w:hideMark/>
          </w:tcPr>
          <w:p w:rsidR="00AD52E0" w:rsidRPr="00154F06" w:rsidRDefault="00AD52E0" w:rsidP="00FD62EC">
            <w:pPr>
              <w:keepNext/>
              <w:keepLines/>
              <w:spacing w:before="60" w:after="60" w:line="200" w:lineRule="atLeast"/>
              <w:jc w:val="right"/>
              <w:rPr>
                <w:sz w:val="20"/>
                <w:szCs w:val="20"/>
              </w:rPr>
            </w:pPr>
            <w:r w:rsidRPr="00AD52E0">
              <w:rPr>
                <w:sz w:val="20"/>
                <w:szCs w:val="20"/>
              </w:rPr>
              <w:t>-2</w:t>
            </w:r>
          </w:p>
        </w:tc>
        <w:tc>
          <w:tcPr>
            <w:tcW w:w="719" w:type="dxa"/>
            <w:tcBorders>
              <w:top w:val="nil"/>
              <w:left w:val="nil"/>
              <w:bottom w:val="single" w:sz="4" w:space="0" w:color="auto"/>
              <w:right w:val="nil"/>
            </w:tcBorders>
            <w:shd w:val="clear" w:color="auto" w:fill="auto"/>
            <w:noWrap/>
            <w:vAlign w:val="bottom"/>
            <w:hideMark/>
          </w:tcPr>
          <w:p w:rsidR="00AD52E0" w:rsidRPr="00154F06" w:rsidRDefault="00AD52E0" w:rsidP="00FD62EC">
            <w:pPr>
              <w:keepNext/>
              <w:keepLines/>
              <w:spacing w:before="60" w:after="60" w:line="200" w:lineRule="atLeast"/>
              <w:jc w:val="right"/>
              <w:rPr>
                <w:sz w:val="20"/>
                <w:szCs w:val="20"/>
              </w:rPr>
            </w:pPr>
            <w:r w:rsidRPr="00AD52E0">
              <w:rPr>
                <w:sz w:val="20"/>
                <w:szCs w:val="20"/>
              </w:rPr>
              <w:t>-1</w:t>
            </w:r>
          </w:p>
        </w:tc>
        <w:tc>
          <w:tcPr>
            <w:tcW w:w="719" w:type="dxa"/>
            <w:tcBorders>
              <w:top w:val="nil"/>
              <w:left w:val="nil"/>
              <w:bottom w:val="single" w:sz="4" w:space="0" w:color="auto"/>
              <w:right w:val="nil"/>
            </w:tcBorders>
            <w:shd w:val="clear" w:color="auto" w:fill="auto"/>
            <w:noWrap/>
            <w:vAlign w:val="bottom"/>
            <w:hideMark/>
          </w:tcPr>
          <w:p w:rsidR="00AD52E0" w:rsidRPr="00154F06" w:rsidRDefault="00AD52E0" w:rsidP="00FD62EC">
            <w:pPr>
              <w:keepNext/>
              <w:keepLines/>
              <w:spacing w:before="60" w:after="60" w:line="200" w:lineRule="atLeast"/>
              <w:jc w:val="right"/>
              <w:rPr>
                <w:sz w:val="20"/>
                <w:szCs w:val="20"/>
              </w:rPr>
            </w:pPr>
            <w:r w:rsidRPr="00AD52E0">
              <w:rPr>
                <w:sz w:val="20"/>
                <w:szCs w:val="20"/>
              </w:rPr>
              <w:t>1</w:t>
            </w:r>
          </w:p>
        </w:tc>
        <w:tc>
          <w:tcPr>
            <w:tcW w:w="720" w:type="dxa"/>
            <w:tcBorders>
              <w:top w:val="nil"/>
              <w:left w:val="nil"/>
              <w:bottom w:val="single" w:sz="4" w:space="0" w:color="auto"/>
              <w:right w:val="nil"/>
            </w:tcBorders>
            <w:shd w:val="clear" w:color="auto" w:fill="auto"/>
            <w:noWrap/>
            <w:vAlign w:val="bottom"/>
            <w:hideMark/>
          </w:tcPr>
          <w:p w:rsidR="00AD52E0" w:rsidRPr="00154F06" w:rsidRDefault="00AD52E0" w:rsidP="00FD62EC">
            <w:pPr>
              <w:keepNext/>
              <w:keepLines/>
              <w:spacing w:before="60" w:after="60" w:line="200" w:lineRule="atLeast"/>
              <w:jc w:val="right"/>
              <w:rPr>
                <w:sz w:val="20"/>
                <w:szCs w:val="20"/>
              </w:rPr>
            </w:pPr>
            <w:r w:rsidRPr="00AD52E0">
              <w:rPr>
                <w:sz w:val="20"/>
                <w:szCs w:val="20"/>
              </w:rPr>
              <w:t>1</w:t>
            </w:r>
          </w:p>
        </w:tc>
        <w:tc>
          <w:tcPr>
            <w:tcW w:w="1047" w:type="dxa"/>
            <w:tcBorders>
              <w:top w:val="nil"/>
              <w:left w:val="nil"/>
              <w:bottom w:val="single" w:sz="4" w:space="0" w:color="auto"/>
              <w:right w:val="nil"/>
            </w:tcBorders>
            <w:shd w:val="clear" w:color="auto" w:fill="auto"/>
            <w:noWrap/>
            <w:vAlign w:val="bottom"/>
            <w:hideMark/>
          </w:tcPr>
          <w:p w:rsidR="00AD52E0" w:rsidRPr="00154F06" w:rsidRDefault="00AD52E0" w:rsidP="00FD62EC">
            <w:pPr>
              <w:keepNext/>
              <w:keepLines/>
              <w:spacing w:before="60" w:after="60" w:line="200" w:lineRule="atLeast"/>
              <w:jc w:val="right"/>
              <w:rPr>
                <w:sz w:val="20"/>
                <w:szCs w:val="20"/>
              </w:rPr>
            </w:pPr>
            <w:r w:rsidRPr="00AD52E0">
              <w:rPr>
                <w:sz w:val="20"/>
                <w:szCs w:val="20"/>
              </w:rPr>
              <w:t>8</w:t>
            </w:r>
          </w:p>
        </w:tc>
      </w:tr>
      <w:tr w:rsidR="00AD52E0" w:rsidRPr="0002373C" w:rsidTr="00AF02D1">
        <w:trPr>
          <w:trHeight w:hRule="exact" w:val="363"/>
        </w:trPr>
        <w:tc>
          <w:tcPr>
            <w:tcW w:w="2200" w:type="dxa"/>
            <w:tcBorders>
              <w:top w:val="nil"/>
              <w:left w:val="nil"/>
              <w:bottom w:val="nil"/>
              <w:right w:val="nil"/>
            </w:tcBorders>
            <w:shd w:val="clear" w:color="auto" w:fill="auto"/>
            <w:noWrap/>
            <w:vAlign w:val="bottom"/>
            <w:hideMark/>
          </w:tcPr>
          <w:p w:rsidR="00AD52E0" w:rsidRPr="0002373C" w:rsidRDefault="00AD52E0" w:rsidP="00FD62EC">
            <w:pPr>
              <w:keepNext/>
              <w:keepLines/>
              <w:tabs>
                <w:tab w:val="clear" w:pos="567"/>
              </w:tabs>
              <w:spacing w:before="60" w:after="60" w:line="200" w:lineRule="atLeast"/>
              <w:rPr>
                <w:rFonts w:eastAsia="Times New Roman" w:cs="Times New Roman"/>
                <w:sz w:val="20"/>
                <w:szCs w:val="20"/>
                <w:lang w:eastAsia="en-AU"/>
              </w:rPr>
            </w:pPr>
            <w:r>
              <w:rPr>
                <w:rFonts w:eastAsia="Times New Roman" w:cs="Times New Roman"/>
                <w:sz w:val="20"/>
                <w:szCs w:val="20"/>
                <w:lang w:eastAsia="en-AU"/>
              </w:rPr>
              <w:t xml:space="preserve">  </w:t>
            </w:r>
            <w:r w:rsidRPr="0002373C">
              <w:rPr>
                <w:rFonts w:eastAsia="Times New Roman" w:cs="Times New Roman"/>
                <w:sz w:val="20"/>
                <w:szCs w:val="20"/>
                <w:lang w:eastAsia="en-AU"/>
              </w:rPr>
              <w:t>Component tota</w:t>
            </w:r>
            <w:r w:rsidRPr="00154F06">
              <w:rPr>
                <w:rFonts w:eastAsia="Times New Roman" w:cs="Times New Roman"/>
                <w:sz w:val="20"/>
                <w:szCs w:val="20"/>
                <w:lang w:eastAsia="en-AU"/>
              </w:rPr>
              <w:t>l</w:t>
            </w:r>
          </w:p>
        </w:tc>
        <w:tc>
          <w:tcPr>
            <w:tcW w:w="719" w:type="dxa"/>
            <w:tcBorders>
              <w:top w:val="single" w:sz="4" w:space="0" w:color="auto"/>
              <w:left w:val="nil"/>
              <w:bottom w:val="single" w:sz="4" w:space="0" w:color="auto"/>
              <w:right w:val="nil"/>
            </w:tcBorders>
            <w:shd w:val="clear" w:color="auto" w:fill="auto"/>
            <w:noWrap/>
            <w:vAlign w:val="bottom"/>
            <w:hideMark/>
          </w:tcPr>
          <w:p w:rsidR="00AD52E0" w:rsidRPr="00154F06" w:rsidRDefault="00AD52E0" w:rsidP="00FD62EC">
            <w:pPr>
              <w:keepNext/>
              <w:keepLines/>
              <w:spacing w:before="60" w:after="60" w:line="200" w:lineRule="atLeast"/>
              <w:jc w:val="right"/>
              <w:rPr>
                <w:sz w:val="20"/>
                <w:szCs w:val="20"/>
              </w:rPr>
            </w:pPr>
            <w:r w:rsidRPr="00AD52E0">
              <w:rPr>
                <w:sz w:val="20"/>
                <w:szCs w:val="20"/>
              </w:rPr>
              <w:t>40</w:t>
            </w:r>
          </w:p>
        </w:tc>
        <w:tc>
          <w:tcPr>
            <w:tcW w:w="719" w:type="dxa"/>
            <w:tcBorders>
              <w:top w:val="single" w:sz="4" w:space="0" w:color="auto"/>
              <w:left w:val="nil"/>
              <w:bottom w:val="single" w:sz="4" w:space="0" w:color="auto"/>
              <w:right w:val="nil"/>
            </w:tcBorders>
            <w:shd w:val="clear" w:color="auto" w:fill="auto"/>
            <w:noWrap/>
            <w:vAlign w:val="bottom"/>
            <w:hideMark/>
          </w:tcPr>
          <w:p w:rsidR="00AD52E0" w:rsidRPr="00154F06" w:rsidRDefault="00AD52E0" w:rsidP="00FD62EC">
            <w:pPr>
              <w:keepNext/>
              <w:keepLines/>
              <w:spacing w:before="60" w:after="60" w:line="200" w:lineRule="atLeast"/>
              <w:jc w:val="right"/>
              <w:rPr>
                <w:sz w:val="20"/>
                <w:szCs w:val="20"/>
              </w:rPr>
            </w:pPr>
            <w:r w:rsidRPr="00AD52E0">
              <w:rPr>
                <w:sz w:val="20"/>
                <w:szCs w:val="20"/>
              </w:rPr>
              <w:t>-111</w:t>
            </w:r>
          </w:p>
        </w:tc>
        <w:tc>
          <w:tcPr>
            <w:tcW w:w="719" w:type="dxa"/>
            <w:tcBorders>
              <w:top w:val="single" w:sz="4" w:space="0" w:color="auto"/>
              <w:left w:val="nil"/>
              <w:bottom w:val="single" w:sz="4" w:space="0" w:color="auto"/>
              <w:right w:val="nil"/>
            </w:tcBorders>
            <w:shd w:val="clear" w:color="auto" w:fill="auto"/>
            <w:noWrap/>
            <w:vAlign w:val="bottom"/>
            <w:hideMark/>
          </w:tcPr>
          <w:p w:rsidR="00AD52E0" w:rsidRPr="00154F06" w:rsidRDefault="00AD52E0" w:rsidP="00FD62EC">
            <w:pPr>
              <w:keepNext/>
              <w:keepLines/>
              <w:spacing w:before="60" w:after="60" w:line="200" w:lineRule="atLeast"/>
              <w:jc w:val="right"/>
              <w:rPr>
                <w:sz w:val="20"/>
                <w:szCs w:val="20"/>
              </w:rPr>
            </w:pPr>
            <w:r w:rsidRPr="00AD52E0">
              <w:rPr>
                <w:sz w:val="20"/>
                <w:szCs w:val="20"/>
              </w:rPr>
              <w:t>139</w:t>
            </w:r>
          </w:p>
        </w:tc>
        <w:tc>
          <w:tcPr>
            <w:tcW w:w="719" w:type="dxa"/>
            <w:tcBorders>
              <w:top w:val="single" w:sz="4" w:space="0" w:color="auto"/>
              <w:left w:val="nil"/>
              <w:bottom w:val="single" w:sz="4" w:space="0" w:color="auto"/>
              <w:right w:val="nil"/>
            </w:tcBorders>
            <w:shd w:val="clear" w:color="auto" w:fill="auto"/>
            <w:noWrap/>
            <w:vAlign w:val="bottom"/>
            <w:hideMark/>
          </w:tcPr>
          <w:p w:rsidR="00AD52E0" w:rsidRPr="00154F06" w:rsidRDefault="00AD52E0" w:rsidP="00FD62EC">
            <w:pPr>
              <w:keepNext/>
              <w:keepLines/>
              <w:spacing w:before="60" w:after="60" w:line="200" w:lineRule="atLeast"/>
              <w:jc w:val="right"/>
              <w:rPr>
                <w:sz w:val="20"/>
                <w:szCs w:val="20"/>
              </w:rPr>
            </w:pPr>
            <w:r w:rsidRPr="00AD52E0">
              <w:rPr>
                <w:sz w:val="20"/>
                <w:szCs w:val="20"/>
              </w:rPr>
              <w:t>-44</w:t>
            </w:r>
          </w:p>
        </w:tc>
        <w:tc>
          <w:tcPr>
            <w:tcW w:w="719" w:type="dxa"/>
            <w:tcBorders>
              <w:top w:val="single" w:sz="4" w:space="0" w:color="auto"/>
              <w:left w:val="nil"/>
              <w:bottom w:val="single" w:sz="4" w:space="0" w:color="auto"/>
              <w:right w:val="nil"/>
            </w:tcBorders>
            <w:shd w:val="clear" w:color="auto" w:fill="auto"/>
            <w:noWrap/>
            <w:vAlign w:val="bottom"/>
            <w:hideMark/>
          </w:tcPr>
          <w:p w:rsidR="00AD52E0" w:rsidRPr="00154F06" w:rsidRDefault="00AD52E0" w:rsidP="00FD62EC">
            <w:pPr>
              <w:keepNext/>
              <w:keepLines/>
              <w:spacing w:before="60" w:after="60" w:line="200" w:lineRule="atLeast"/>
              <w:jc w:val="right"/>
              <w:rPr>
                <w:sz w:val="20"/>
                <w:szCs w:val="20"/>
              </w:rPr>
            </w:pPr>
            <w:r w:rsidRPr="00AD52E0">
              <w:rPr>
                <w:sz w:val="20"/>
                <w:szCs w:val="20"/>
              </w:rPr>
              <w:t>-30</w:t>
            </w:r>
          </w:p>
        </w:tc>
        <w:tc>
          <w:tcPr>
            <w:tcW w:w="719" w:type="dxa"/>
            <w:tcBorders>
              <w:top w:val="single" w:sz="4" w:space="0" w:color="auto"/>
              <w:left w:val="nil"/>
              <w:bottom w:val="single" w:sz="4" w:space="0" w:color="auto"/>
              <w:right w:val="nil"/>
            </w:tcBorders>
            <w:shd w:val="clear" w:color="auto" w:fill="auto"/>
            <w:noWrap/>
            <w:vAlign w:val="bottom"/>
            <w:hideMark/>
          </w:tcPr>
          <w:p w:rsidR="00AD52E0" w:rsidRPr="00154F06" w:rsidRDefault="00AD52E0" w:rsidP="00FD62EC">
            <w:pPr>
              <w:keepNext/>
              <w:keepLines/>
              <w:spacing w:before="60" w:after="60" w:line="200" w:lineRule="atLeast"/>
              <w:jc w:val="right"/>
              <w:rPr>
                <w:sz w:val="20"/>
                <w:szCs w:val="20"/>
              </w:rPr>
            </w:pPr>
            <w:r w:rsidRPr="00AD52E0">
              <w:rPr>
                <w:sz w:val="20"/>
                <w:szCs w:val="20"/>
              </w:rPr>
              <w:t>21</w:t>
            </w:r>
          </w:p>
        </w:tc>
        <w:tc>
          <w:tcPr>
            <w:tcW w:w="719" w:type="dxa"/>
            <w:tcBorders>
              <w:top w:val="single" w:sz="4" w:space="0" w:color="auto"/>
              <w:left w:val="nil"/>
              <w:bottom w:val="single" w:sz="4" w:space="0" w:color="auto"/>
              <w:right w:val="nil"/>
            </w:tcBorders>
            <w:shd w:val="clear" w:color="auto" w:fill="auto"/>
            <w:noWrap/>
            <w:vAlign w:val="bottom"/>
            <w:hideMark/>
          </w:tcPr>
          <w:p w:rsidR="00AD52E0" w:rsidRPr="00154F06" w:rsidRDefault="00AD52E0" w:rsidP="00FD62EC">
            <w:pPr>
              <w:keepNext/>
              <w:keepLines/>
              <w:spacing w:before="60" w:after="60" w:line="200" w:lineRule="atLeast"/>
              <w:jc w:val="right"/>
              <w:rPr>
                <w:sz w:val="20"/>
                <w:szCs w:val="20"/>
              </w:rPr>
            </w:pPr>
            <w:r w:rsidRPr="00AD52E0">
              <w:rPr>
                <w:sz w:val="20"/>
                <w:szCs w:val="20"/>
              </w:rPr>
              <w:t>-25</w:t>
            </w:r>
          </w:p>
        </w:tc>
        <w:tc>
          <w:tcPr>
            <w:tcW w:w="720" w:type="dxa"/>
            <w:tcBorders>
              <w:top w:val="single" w:sz="4" w:space="0" w:color="auto"/>
              <w:left w:val="nil"/>
              <w:bottom w:val="single" w:sz="4" w:space="0" w:color="auto"/>
              <w:right w:val="nil"/>
            </w:tcBorders>
            <w:shd w:val="clear" w:color="auto" w:fill="auto"/>
            <w:noWrap/>
            <w:vAlign w:val="bottom"/>
            <w:hideMark/>
          </w:tcPr>
          <w:p w:rsidR="00AD52E0" w:rsidRPr="00154F06" w:rsidRDefault="00AD52E0" w:rsidP="00FD62EC">
            <w:pPr>
              <w:keepNext/>
              <w:keepLines/>
              <w:spacing w:before="60" w:after="60" w:line="200" w:lineRule="atLeast"/>
              <w:jc w:val="right"/>
              <w:rPr>
                <w:sz w:val="20"/>
                <w:szCs w:val="20"/>
              </w:rPr>
            </w:pPr>
            <w:r w:rsidRPr="00AD52E0">
              <w:rPr>
                <w:sz w:val="20"/>
                <w:szCs w:val="20"/>
              </w:rPr>
              <w:t>11</w:t>
            </w:r>
          </w:p>
        </w:tc>
        <w:tc>
          <w:tcPr>
            <w:tcW w:w="1047" w:type="dxa"/>
            <w:tcBorders>
              <w:top w:val="single" w:sz="4" w:space="0" w:color="auto"/>
              <w:left w:val="nil"/>
              <w:bottom w:val="single" w:sz="4" w:space="0" w:color="auto"/>
              <w:right w:val="nil"/>
            </w:tcBorders>
            <w:shd w:val="clear" w:color="auto" w:fill="auto"/>
            <w:noWrap/>
            <w:vAlign w:val="bottom"/>
            <w:hideMark/>
          </w:tcPr>
          <w:p w:rsidR="00AD52E0" w:rsidRPr="00154F06" w:rsidRDefault="00AD52E0" w:rsidP="00FD62EC">
            <w:pPr>
              <w:keepNext/>
              <w:keepLines/>
              <w:spacing w:before="60" w:after="60" w:line="200" w:lineRule="atLeast"/>
              <w:jc w:val="right"/>
              <w:rPr>
                <w:sz w:val="20"/>
                <w:szCs w:val="20"/>
              </w:rPr>
            </w:pPr>
            <w:r w:rsidRPr="00AD52E0">
              <w:rPr>
                <w:sz w:val="20"/>
                <w:szCs w:val="20"/>
              </w:rPr>
              <w:t>211</w:t>
            </w:r>
          </w:p>
        </w:tc>
      </w:tr>
      <w:tr w:rsidR="00AD52E0" w:rsidRPr="0002373C" w:rsidTr="00AF02D1">
        <w:trPr>
          <w:trHeight w:hRule="exact" w:val="363"/>
        </w:trPr>
        <w:tc>
          <w:tcPr>
            <w:tcW w:w="2200" w:type="dxa"/>
            <w:tcBorders>
              <w:top w:val="nil"/>
              <w:left w:val="nil"/>
              <w:bottom w:val="single" w:sz="4" w:space="0" w:color="auto"/>
              <w:right w:val="nil"/>
            </w:tcBorders>
            <w:shd w:val="clear" w:color="auto" w:fill="auto"/>
            <w:noWrap/>
            <w:vAlign w:val="bottom"/>
            <w:hideMark/>
          </w:tcPr>
          <w:p w:rsidR="00AD52E0" w:rsidRPr="0002373C" w:rsidRDefault="00AD52E0" w:rsidP="00FD62EC">
            <w:pPr>
              <w:keepNext/>
              <w:keepLines/>
              <w:tabs>
                <w:tab w:val="clear" w:pos="567"/>
              </w:tabs>
              <w:spacing w:before="60" w:after="60" w:line="200" w:lineRule="atLeast"/>
              <w:rPr>
                <w:rFonts w:eastAsia="Times New Roman" w:cs="Times New Roman"/>
                <w:sz w:val="20"/>
                <w:szCs w:val="20"/>
                <w:lang w:eastAsia="en-AU"/>
              </w:rPr>
            </w:pPr>
            <w:r w:rsidRPr="0002373C">
              <w:rPr>
                <w:rFonts w:eastAsia="Times New Roman" w:cs="Times New Roman"/>
                <w:sz w:val="20"/>
                <w:szCs w:val="20"/>
                <w:lang w:eastAsia="en-AU"/>
              </w:rPr>
              <w:t>Category total</w:t>
            </w:r>
          </w:p>
        </w:tc>
        <w:tc>
          <w:tcPr>
            <w:tcW w:w="719" w:type="dxa"/>
            <w:tcBorders>
              <w:top w:val="single" w:sz="4" w:space="0" w:color="auto"/>
              <w:left w:val="nil"/>
              <w:bottom w:val="single" w:sz="4" w:space="0" w:color="auto"/>
              <w:right w:val="nil"/>
            </w:tcBorders>
            <w:shd w:val="clear" w:color="auto" w:fill="auto"/>
            <w:noWrap/>
            <w:vAlign w:val="bottom"/>
            <w:hideMark/>
          </w:tcPr>
          <w:p w:rsidR="00AD52E0" w:rsidRPr="00154F06" w:rsidRDefault="00AD52E0" w:rsidP="00FD62EC">
            <w:pPr>
              <w:keepNext/>
              <w:keepLines/>
              <w:spacing w:before="60" w:after="60" w:line="200" w:lineRule="atLeast"/>
              <w:jc w:val="right"/>
              <w:rPr>
                <w:sz w:val="20"/>
                <w:szCs w:val="20"/>
              </w:rPr>
            </w:pPr>
            <w:r w:rsidRPr="00AD52E0">
              <w:rPr>
                <w:sz w:val="20"/>
                <w:szCs w:val="20"/>
              </w:rPr>
              <w:t>307</w:t>
            </w:r>
          </w:p>
        </w:tc>
        <w:tc>
          <w:tcPr>
            <w:tcW w:w="719" w:type="dxa"/>
            <w:tcBorders>
              <w:top w:val="single" w:sz="4" w:space="0" w:color="auto"/>
              <w:left w:val="nil"/>
              <w:bottom w:val="single" w:sz="4" w:space="0" w:color="auto"/>
              <w:right w:val="nil"/>
            </w:tcBorders>
            <w:shd w:val="clear" w:color="auto" w:fill="auto"/>
            <w:noWrap/>
            <w:vAlign w:val="bottom"/>
            <w:hideMark/>
          </w:tcPr>
          <w:p w:rsidR="00AD52E0" w:rsidRPr="00154F06" w:rsidRDefault="00AD52E0" w:rsidP="00FD62EC">
            <w:pPr>
              <w:keepNext/>
              <w:keepLines/>
              <w:spacing w:before="60" w:after="60" w:line="200" w:lineRule="atLeast"/>
              <w:jc w:val="right"/>
              <w:rPr>
                <w:sz w:val="20"/>
                <w:szCs w:val="20"/>
              </w:rPr>
            </w:pPr>
            <w:r w:rsidRPr="00AD52E0">
              <w:rPr>
                <w:sz w:val="20"/>
                <w:szCs w:val="20"/>
              </w:rPr>
              <w:t>557</w:t>
            </w:r>
          </w:p>
        </w:tc>
        <w:tc>
          <w:tcPr>
            <w:tcW w:w="719" w:type="dxa"/>
            <w:tcBorders>
              <w:top w:val="single" w:sz="4" w:space="0" w:color="auto"/>
              <w:left w:val="nil"/>
              <w:bottom w:val="single" w:sz="4" w:space="0" w:color="auto"/>
              <w:right w:val="nil"/>
            </w:tcBorders>
            <w:shd w:val="clear" w:color="auto" w:fill="auto"/>
            <w:noWrap/>
            <w:vAlign w:val="bottom"/>
            <w:hideMark/>
          </w:tcPr>
          <w:p w:rsidR="00AD52E0" w:rsidRPr="00154F06" w:rsidRDefault="00AD52E0" w:rsidP="00FD62EC">
            <w:pPr>
              <w:keepNext/>
              <w:keepLines/>
              <w:spacing w:before="60" w:after="60" w:line="200" w:lineRule="atLeast"/>
              <w:jc w:val="right"/>
              <w:rPr>
                <w:sz w:val="20"/>
                <w:szCs w:val="20"/>
              </w:rPr>
            </w:pPr>
            <w:r w:rsidRPr="00AD52E0">
              <w:rPr>
                <w:sz w:val="20"/>
                <w:szCs w:val="20"/>
              </w:rPr>
              <w:t>-369</w:t>
            </w:r>
          </w:p>
        </w:tc>
        <w:tc>
          <w:tcPr>
            <w:tcW w:w="719" w:type="dxa"/>
            <w:tcBorders>
              <w:top w:val="single" w:sz="4" w:space="0" w:color="auto"/>
              <w:left w:val="nil"/>
              <w:bottom w:val="single" w:sz="4" w:space="0" w:color="auto"/>
              <w:right w:val="nil"/>
            </w:tcBorders>
            <w:shd w:val="clear" w:color="auto" w:fill="auto"/>
            <w:noWrap/>
            <w:vAlign w:val="bottom"/>
            <w:hideMark/>
          </w:tcPr>
          <w:p w:rsidR="00AD52E0" w:rsidRPr="00154F06" w:rsidRDefault="00AD52E0" w:rsidP="00FD62EC">
            <w:pPr>
              <w:keepNext/>
              <w:keepLines/>
              <w:spacing w:before="60" w:after="60" w:line="200" w:lineRule="atLeast"/>
              <w:jc w:val="right"/>
              <w:rPr>
                <w:sz w:val="20"/>
                <w:szCs w:val="20"/>
              </w:rPr>
            </w:pPr>
            <w:r w:rsidRPr="00AD52E0">
              <w:rPr>
                <w:sz w:val="20"/>
                <w:szCs w:val="20"/>
              </w:rPr>
              <w:t>23</w:t>
            </w:r>
          </w:p>
        </w:tc>
        <w:tc>
          <w:tcPr>
            <w:tcW w:w="719" w:type="dxa"/>
            <w:tcBorders>
              <w:top w:val="single" w:sz="4" w:space="0" w:color="auto"/>
              <w:left w:val="nil"/>
              <w:bottom w:val="single" w:sz="4" w:space="0" w:color="auto"/>
              <w:right w:val="nil"/>
            </w:tcBorders>
            <w:shd w:val="clear" w:color="auto" w:fill="auto"/>
            <w:noWrap/>
            <w:vAlign w:val="bottom"/>
            <w:hideMark/>
          </w:tcPr>
          <w:p w:rsidR="00AD52E0" w:rsidRPr="00154F06" w:rsidRDefault="00AD52E0" w:rsidP="00FD62EC">
            <w:pPr>
              <w:keepNext/>
              <w:keepLines/>
              <w:spacing w:before="60" w:after="60" w:line="200" w:lineRule="atLeast"/>
              <w:jc w:val="right"/>
              <w:rPr>
                <w:sz w:val="20"/>
                <w:szCs w:val="20"/>
              </w:rPr>
            </w:pPr>
            <w:r w:rsidRPr="00AD52E0">
              <w:rPr>
                <w:sz w:val="20"/>
                <w:szCs w:val="20"/>
              </w:rPr>
              <w:t>-157</w:t>
            </w:r>
          </w:p>
        </w:tc>
        <w:tc>
          <w:tcPr>
            <w:tcW w:w="719" w:type="dxa"/>
            <w:tcBorders>
              <w:top w:val="single" w:sz="4" w:space="0" w:color="auto"/>
              <w:left w:val="nil"/>
              <w:bottom w:val="single" w:sz="4" w:space="0" w:color="auto"/>
              <w:right w:val="nil"/>
            </w:tcBorders>
            <w:shd w:val="clear" w:color="auto" w:fill="auto"/>
            <w:noWrap/>
            <w:vAlign w:val="bottom"/>
            <w:hideMark/>
          </w:tcPr>
          <w:p w:rsidR="00AD52E0" w:rsidRPr="00154F06" w:rsidRDefault="00AD52E0" w:rsidP="00FD62EC">
            <w:pPr>
              <w:keepNext/>
              <w:keepLines/>
              <w:spacing w:before="60" w:after="60" w:line="200" w:lineRule="atLeast"/>
              <w:jc w:val="right"/>
              <w:rPr>
                <w:sz w:val="20"/>
                <w:szCs w:val="20"/>
              </w:rPr>
            </w:pPr>
            <w:r w:rsidRPr="00AD52E0">
              <w:rPr>
                <w:sz w:val="20"/>
                <w:szCs w:val="20"/>
              </w:rPr>
              <w:t>-198</w:t>
            </w:r>
          </w:p>
        </w:tc>
        <w:tc>
          <w:tcPr>
            <w:tcW w:w="719" w:type="dxa"/>
            <w:tcBorders>
              <w:top w:val="single" w:sz="4" w:space="0" w:color="auto"/>
              <w:left w:val="nil"/>
              <w:bottom w:val="single" w:sz="4" w:space="0" w:color="auto"/>
              <w:right w:val="nil"/>
            </w:tcBorders>
            <w:shd w:val="clear" w:color="auto" w:fill="auto"/>
            <w:noWrap/>
            <w:vAlign w:val="bottom"/>
            <w:hideMark/>
          </w:tcPr>
          <w:p w:rsidR="00AD52E0" w:rsidRPr="00154F06" w:rsidRDefault="00AD52E0" w:rsidP="00FD62EC">
            <w:pPr>
              <w:keepNext/>
              <w:keepLines/>
              <w:spacing w:before="60" w:after="60" w:line="200" w:lineRule="atLeast"/>
              <w:jc w:val="right"/>
              <w:rPr>
                <w:sz w:val="20"/>
                <w:szCs w:val="20"/>
              </w:rPr>
            </w:pPr>
            <w:r w:rsidRPr="00AD52E0">
              <w:rPr>
                <w:sz w:val="20"/>
                <w:szCs w:val="20"/>
              </w:rPr>
              <w:t>-70</w:t>
            </w:r>
          </w:p>
        </w:tc>
        <w:tc>
          <w:tcPr>
            <w:tcW w:w="720" w:type="dxa"/>
            <w:tcBorders>
              <w:top w:val="single" w:sz="4" w:space="0" w:color="auto"/>
              <w:left w:val="nil"/>
              <w:bottom w:val="single" w:sz="4" w:space="0" w:color="auto"/>
              <w:right w:val="nil"/>
            </w:tcBorders>
            <w:shd w:val="clear" w:color="auto" w:fill="auto"/>
            <w:noWrap/>
            <w:vAlign w:val="bottom"/>
            <w:hideMark/>
          </w:tcPr>
          <w:p w:rsidR="00AD52E0" w:rsidRPr="00154F06" w:rsidRDefault="00AD52E0" w:rsidP="00FD62EC">
            <w:pPr>
              <w:keepNext/>
              <w:keepLines/>
              <w:spacing w:before="60" w:after="60" w:line="200" w:lineRule="atLeast"/>
              <w:jc w:val="right"/>
              <w:rPr>
                <w:sz w:val="20"/>
                <w:szCs w:val="20"/>
              </w:rPr>
            </w:pPr>
            <w:r w:rsidRPr="00AD52E0">
              <w:rPr>
                <w:sz w:val="20"/>
                <w:szCs w:val="20"/>
              </w:rPr>
              <w:t>-95</w:t>
            </w:r>
          </w:p>
        </w:tc>
        <w:tc>
          <w:tcPr>
            <w:tcW w:w="1047" w:type="dxa"/>
            <w:tcBorders>
              <w:top w:val="single" w:sz="4" w:space="0" w:color="auto"/>
              <w:left w:val="nil"/>
              <w:bottom w:val="single" w:sz="4" w:space="0" w:color="auto"/>
              <w:right w:val="nil"/>
            </w:tcBorders>
            <w:shd w:val="clear" w:color="auto" w:fill="auto"/>
            <w:noWrap/>
            <w:vAlign w:val="bottom"/>
            <w:hideMark/>
          </w:tcPr>
          <w:p w:rsidR="00AD52E0" w:rsidRPr="00154F06" w:rsidRDefault="00AD52E0" w:rsidP="00FD62EC">
            <w:pPr>
              <w:keepNext/>
              <w:keepLines/>
              <w:spacing w:before="60" w:after="60" w:line="200" w:lineRule="atLeast"/>
              <w:jc w:val="right"/>
              <w:rPr>
                <w:sz w:val="20"/>
                <w:szCs w:val="20"/>
              </w:rPr>
            </w:pPr>
            <w:r w:rsidRPr="00AD52E0">
              <w:rPr>
                <w:sz w:val="20"/>
                <w:szCs w:val="20"/>
              </w:rPr>
              <w:t>888</w:t>
            </w:r>
          </w:p>
        </w:tc>
      </w:tr>
    </w:tbl>
    <w:p w:rsidR="004D3769" w:rsidRPr="004D3769" w:rsidRDefault="004D3769" w:rsidP="00FD62EC">
      <w:pPr>
        <w:pStyle w:val="CGCTableFootnote"/>
        <w:keepNext/>
        <w:keepLines/>
      </w:pPr>
      <w:r>
        <w:t>(a)</w:t>
      </w:r>
      <w:r>
        <w:tab/>
      </w:r>
      <w:r w:rsidR="00215DAF">
        <w:t>Totals may not add-up due to interactions.</w:t>
      </w:r>
    </w:p>
    <w:p w:rsidR="003D2F1A" w:rsidRDefault="00215DAF" w:rsidP="00FD62EC">
      <w:pPr>
        <w:pStyle w:val="CGCTableFootnote"/>
        <w:keepNext/>
        <w:keepLines/>
      </w:pPr>
      <w:r>
        <w:t>Source:</w:t>
      </w:r>
      <w:r>
        <w:tab/>
        <w:t>Commission calculation, 2018 Update.</w:t>
      </w:r>
    </w:p>
    <w:p w:rsidR="00EA72AB" w:rsidRDefault="00EA72AB" w:rsidP="00EA72AB">
      <w:pPr>
        <w:pStyle w:val="NoSpacing"/>
      </w:pPr>
    </w:p>
    <w:p w:rsidR="00EA72AB" w:rsidRPr="00EA72AB" w:rsidRDefault="00EA72AB" w:rsidP="00EA72AB">
      <w:pPr>
        <w:pStyle w:val="CGCNumberedPara"/>
      </w:pPr>
      <w:r>
        <w:fldChar w:fldCharType="begin"/>
      </w:r>
      <w:r>
        <w:instrText xml:space="preserve"> REF _Ref507426828 \h </w:instrText>
      </w:r>
      <w:r>
        <w:fldChar w:fldCharType="separate"/>
      </w:r>
      <w:r w:rsidR="000819F3">
        <w:t xml:space="preserve">Table </w:t>
      </w:r>
      <w:r w:rsidR="000819F3">
        <w:rPr>
          <w:noProof/>
        </w:rPr>
        <w:t>6</w:t>
      </w:r>
      <w:r>
        <w:fldChar w:fldCharType="end"/>
      </w:r>
      <w:r>
        <w:t xml:space="preserve"> </w:t>
      </w:r>
      <w:r w:rsidR="00FD5FE3">
        <w:t>shows the GST redistributed by the urban transport component of the Investment category</w:t>
      </w:r>
      <w:r w:rsidR="00C0482B">
        <w:t>.</w:t>
      </w:r>
      <w:r>
        <w:t xml:space="preserve"> </w:t>
      </w:r>
    </w:p>
    <w:p w:rsidR="00656396" w:rsidRDefault="00656396" w:rsidP="0040068A">
      <w:pPr>
        <w:pStyle w:val="Caption"/>
      </w:pPr>
      <w:bookmarkStart w:id="42" w:name="_Ref507426828"/>
      <w:r>
        <w:t xml:space="preserve">Table </w:t>
      </w:r>
      <w:r w:rsidR="00654065">
        <w:fldChar w:fldCharType="begin"/>
      </w:r>
      <w:r w:rsidR="00654065">
        <w:instrText xml:space="preserve"> SEQ Table \* ARABIC </w:instrText>
      </w:r>
      <w:r w:rsidR="00654065">
        <w:fldChar w:fldCharType="separate"/>
      </w:r>
      <w:r w:rsidR="000819F3">
        <w:rPr>
          <w:noProof/>
        </w:rPr>
        <w:t>6</w:t>
      </w:r>
      <w:r w:rsidR="00654065">
        <w:rPr>
          <w:noProof/>
        </w:rPr>
        <w:fldChar w:fldCharType="end"/>
      </w:r>
      <w:bookmarkEnd w:id="42"/>
      <w:r>
        <w:tab/>
      </w:r>
      <w:r w:rsidR="00913A3B">
        <w:t xml:space="preserve">GST </w:t>
      </w:r>
      <w:r w:rsidR="006C45E9">
        <w:t>i</w:t>
      </w:r>
      <w:r w:rsidR="00913A3B">
        <w:t xml:space="preserve">mpact, </w:t>
      </w:r>
      <w:r w:rsidR="006C45E9">
        <w:t>u</w:t>
      </w:r>
      <w:r w:rsidR="00A13746">
        <w:t>rban t</w:t>
      </w:r>
      <w:r w:rsidRPr="00C309ED">
        <w:t>ransport</w:t>
      </w:r>
      <w:r>
        <w:t xml:space="preserve"> investment</w:t>
      </w:r>
      <w:r w:rsidR="00EA72AB">
        <w:t xml:space="preserve">, </w:t>
      </w:r>
      <w:r w:rsidR="0012376A">
        <w:t>2018 Update</w:t>
      </w:r>
    </w:p>
    <w:tbl>
      <w:tblPr>
        <w:tblW w:w="5000" w:type="pct"/>
        <w:tblCellMar>
          <w:left w:w="85" w:type="dxa"/>
          <w:right w:w="85" w:type="dxa"/>
        </w:tblCellMar>
        <w:tblLook w:val="0000" w:firstRow="0" w:lastRow="0" w:firstColumn="0" w:lastColumn="0" w:noHBand="0" w:noVBand="0"/>
      </w:tblPr>
      <w:tblGrid>
        <w:gridCol w:w="1927"/>
        <w:gridCol w:w="799"/>
        <w:gridCol w:w="799"/>
        <w:gridCol w:w="799"/>
        <w:gridCol w:w="799"/>
        <w:gridCol w:w="801"/>
        <w:gridCol w:w="799"/>
        <w:gridCol w:w="732"/>
        <w:gridCol w:w="710"/>
        <w:gridCol w:w="956"/>
      </w:tblGrid>
      <w:tr w:rsidR="0040068A" w:rsidRPr="00154F06" w:rsidTr="006574FE">
        <w:trPr>
          <w:trHeight w:hRule="exact" w:val="363"/>
        </w:trPr>
        <w:tc>
          <w:tcPr>
            <w:tcW w:w="1056" w:type="pct"/>
            <w:tcBorders>
              <w:top w:val="single" w:sz="6" w:space="0" w:color="auto"/>
              <w:bottom w:val="single" w:sz="6" w:space="0" w:color="auto"/>
            </w:tcBorders>
            <w:vAlign w:val="bottom"/>
          </w:tcPr>
          <w:p w:rsidR="003D2F1A" w:rsidRPr="00FE3F73" w:rsidRDefault="003D2F1A" w:rsidP="006574FE">
            <w:pPr>
              <w:pStyle w:val="CGCTableStub"/>
              <w:ind w:left="142" w:hanging="142"/>
              <w:rPr>
                <w:rFonts w:cstheme="minorHAnsi"/>
              </w:rPr>
            </w:pPr>
          </w:p>
        </w:tc>
        <w:tc>
          <w:tcPr>
            <w:tcW w:w="438" w:type="pct"/>
            <w:tcBorders>
              <w:top w:val="single" w:sz="6" w:space="0" w:color="auto"/>
              <w:bottom w:val="single" w:sz="6" w:space="0" w:color="auto"/>
            </w:tcBorders>
            <w:vAlign w:val="bottom"/>
          </w:tcPr>
          <w:p w:rsidR="003D2F1A" w:rsidRPr="00FE3F73" w:rsidRDefault="003D2F1A" w:rsidP="006574FE">
            <w:pPr>
              <w:pStyle w:val="TableColHeadings"/>
              <w:spacing w:line="200" w:lineRule="atLeast"/>
              <w:rPr>
                <w:rFonts w:cstheme="minorHAnsi"/>
              </w:rPr>
            </w:pPr>
            <w:r w:rsidRPr="00FE3F73">
              <w:rPr>
                <w:rFonts w:cstheme="minorHAnsi"/>
              </w:rPr>
              <w:t>NSW</w:t>
            </w:r>
          </w:p>
        </w:tc>
        <w:tc>
          <w:tcPr>
            <w:tcW w:w="438" w:type="pct"/>
            <w:tcBorders>
              <w:top w:val="single" w:sz="6" w:space="0" w:color="auto"/>
              <w:bottom w:val="single" w:sz="6" w:space="0" w:color="auto"/>
            </w:tcBorders>
            <w:vAlign w:val="bottom"/>
          </w:tcPr>
          <w:p w:rsidR="003D2F1A" w:rsidRPr="00FE3F73" w:rsidRDefault="003D2F1A" w:rsidP="006574FE">
            <w:pPr>
              <w:pStyle w:val="TableColHeadings"/>
              <w:spacing w:line="200" w:lineRule="atLeast"/>
              <w:rPr>
                <w:rFonts w:cstheme="minorHAnsi"/>
              </w:rPr>
            </w:pPr>
            <w:r w:rsidRPr="00FE3F73">
              <w:rPr>
                <w:rFonts w:cstheme="minorHAnsi"/>
              </w:rPr>
              <w:t>Vic</w:t>
            </w:r>
          </w:p>
        </w:tc>
        <w:tc>
          <w:tcPr>
            <w:tcW w:w="438" w:type="pct"/>
            <w:tcBorders>
              <w:top w:val="single" w:sz="6" w:space="0" w:color="auto"/>
              <w:bottom w:val="single" w:sz="6" w:space="0" w:color="auto"/>
            </w:tcBorders>
            <w:vAlign w:val="bottom"/>
          </w:tcPr>
          <w:p w:rsidR="003D2F1A" w:rsidRPr="00FE3F73" w:rsidRDefault="003D2F1A" w:rsidP="006574FE">
            <w:pPr>
              <w:pStyle w:val="TableColHeadings"/>
              <w:spacing w:line="200" w:lineRule="atLeast"/>
              <w:rPr>
                <w:rFonts w:cstheme="minorHAnsi"/>
              </w:rPr>
            </w:pPr>
            <w:r w:rsidRPr="00FE3F73">
              <w:rPr>
                <w:rFonts w:cstheme="minorHAnsi"/>
              </w:rPr>
              <w:t>Qld</w:t>
            </w:r>
          </w:p>
        </w:tc>
        <w:tc>
          <w:tcPr>
            <w:tcW w:w="438" w:type="pct"/>
            <w:tcBorders>
              <w:top w:val="single" w:sz="6" w:space="0" w:color="auto"/>
              <w:bottom w:val="single" w:sz="6" w:space="0" w:color="auto"/>
            </w:tcBorders>
            <w:vAlign w:val="bottom"/>
          </w:tcPr>
          <w:p w:rsidR="003D2F1A" w:rsidRPr="00FE3F73" w:rsidRDefault="003D2F1A" w:rsidP="006574FE">
            <w:pPr>
              <w:pStyle w:val="TableColHeadings"/>
              <w:spacing w:line="200" w:lineRule="atLeast"/>
              <w:rPr>
                <w:rFonts w:cstheme="minorHAnsi"/>
              </w:rPr>
            </w:pPr>
            <w:r w:rsidRPr="00FE3F73">
              <w:rPr>
                <w:rFonts w:cstheme="minorHAnsi"/>
              </w:rPr>
              <w:t>WA</w:t>
            </w:r>
          </w:p>
        </w:tc>
        <w:tc>
          <w:tcPr>
            <w:tcW w:w="439" w:type="pct"/>
            <w:tcBorders>
              <w:top w:val="single" w:sz="6" w:space="0" w:color="auto"/>
              <w:bottom w:val="single" w:sz="6" w:space="0" w:color="auto"/>
            </w:tcBorders>
            <w:vAlign w:val="bottom"/>
          </w:tcPr>
          <w:p w:rsidR="003D2F1A" w:rsidRPr="00FE3F73" w:rsidRDefault="003D2F1A" w:rsidP="006574FE">
            <w:pPr>
              <w:pStyle w:val="TableColHeadings"/>
              <w:spacing w:line="200" w:lineRule="atLeast"/>
              <w:rPr>
                <w:rFonts w:cstheme="minorHAnsi"/>
              </w:rPr>
            </w:pPr>
            <w:r w:rsidRPr="00FE3F73">
              <w:rPr>
                <w:rFonts w:cstheme="minorHAnsi"/>
              </w:rPr>
              <w:t>SA</w:t>
            </w:r>
          </w:p>
        </w:tc>
        <w:tc>
          <w:tcPr>
            <w:tcW w:w="438" w:type="pct"/>
            <w:tcBorders>
              <w:top w:val="single" w:sz="6" w:space="0" w:color="auto"/>
              <w:bottom w:val="single" w:sz="6" w:space="0" w:color="auto"/>
            </w:tcBorders>
            <w:vAlign w:val="bottom"/>
          </w:tcPr>
          <w:p w:rsidR="003D2F1A" w:rsidRPr="00FE3F73" w:rsidRDefault="003D2F1A" w:rsidP="006574FE">
            <w:pPr>
              <w:pStyle w:val="TableColHeadings"/>
              <w:spacing w:line="200" w:lineRule="atLeast"/>
              <w:rPr>
                <w:rFonts w:cstheme="minorHAnsi"/>
              </w:rPr>
            </w:pPr>
            <w:r w:rsidRPr="00FE3F73">
              <w:rPr>
                <w:rFonts w:cstheme="minorHAnsi"/>
              </w:rPr>
              <w:t>Tas</w:t>
            </w:r>
          </w:p>
        </w:tc>
        <w:tc>
          <w:tcPr>
            <w:tcW w:w="401" w:type="pct"/>
            <w:tcBorders>
              <w:top w:val="single" w:sz="6" w:space="0" w:color="auto"/>
              <w:bottom w:val="single" w:sz="6" w:space="0" w:color="auto"/>
            </w:tcBorders>
            <w:vAlign w:val="bottom"/>
          </w:tcPr>
          <w:p w:rsidR="003D2F1A" w:rsidRPr="00FE3F73" w:rsidRDefault="003D2F1A" w:rsidP="006574FE">
            <w:pPr>
              <w:pStyle w:val="TableColHeadings"/>
              <w:spacing w:line="200" w:lineRule="atLeast"/>
              <w:rPr>
                <w:rFonts w:cstheme="minorHAnsi"/>
              </w:rPr>
            </w:pPr>
            <w:r w:rsidRPr="00FE3F73">
              <w:rPr>
                <w:rFonts w:cstheme="minorHAnsi"/>
              </w:rPr>
              <w:t>ACT</w:t>
            </w:r>
          </w:p>
        </w:tc>
        <w:tc>
          <w:tcPr>
            <w:tcW w:w="389" w:type="pct"/>
            <w:tcBorders>
              <w:top w:val="single" w:sz="6" w:space="0" w:color="auto"/>
              <w:bottom w:val="single" w:sz="6" w:space="0" w:color="auto"/>
            </w:tcBorders>
            <w:vAlign w:val="bottom"/>
          </w:tcPr>
          <w:p w:rsidR="003D2F1A" w:rsidRPr="00FE3F73" w:rsidRDefault="003D2F1A" w:rsidP="006574FE">
            <w:pPr>
              <w:pStyle w:val="TableColHeadings"/>
              <w:spacing w:line="200" w:lineRule="atLeast"/>
              <w:rPr>
                <w:rFonts w:cstheme="minorHAnsi"/>
              </w:rPr>
            </w:pPr>
            <w:r w:rsidRPr="00FE3F73">
              <w:rPr>
                <w:rFonts w:cstheme="minorHAnsi"/>
              </w:rPr>
              <w:t>NT</w:t>
            </w:r>
          </w:p>
        </w:tc>
        <w:tc>
          <w:tcPr>
            <w:tcW w:w="524" w:type="pct"/>
            <w:tcBorders>
              <w:top w:val="single" w:sz="6" w:space="0" w:color="auto"/>
              <w:bottom w:val="single" w:sz="6" w:space="0" w:color="auto"/>
            </w:tcBorders>
            <w:vAlign w:val="bottom"/>
          </w:tcPr>
          <w:p w:rsidR="003D2F1A" w:rsidRPr="00154F06" w:rsidRDefault="00F61EF6" w:rsidP="006574FE">
            <w:pPr>
              <w:pStyle w:val="TableColHeadings"/>
              <w:spacing w:line="200" w:lineRule="atLeast"/>
              <w:rPr>
                <w:rFonts w:cstheme="minorHAnsi"/>
              </w:rPr>
            </w:pPr>
            <w:r w:rsidRPr="0002373C">
              <w:rPr>
                <w:rFonts w:ascii="Calibri" w:eastAsia="Times New Roman" w:hAnsi="Calibri" w:cs="Times New Roman"/>
                <w:szCs w:val="18"/>
                <w:lang w:eastAsia="en-AU"/>
              </w:rPr>
              <w:t>Redist (a)</w:t>
            </w:r>
          </w:p>
        </w:tc>
      </w:tr>
      <w:tr w:rsidR="00AD52E0" w:rsidRPr="00FE3F73" w:rsidTr="009E496F">
        <w:tc>
          <w:tcPr>
            <w:tcW w:w="1056" w:type="pct"/>
            <w:tcMar>
              <w:top w:w="0" w:type="dxa"/>
              <w:bottom w:w="0" w:type="dxa"/>
            </w:tcMar>
            <w:vAlign w:val="bottom"/>
          </w:tcPr>
          <w:p w:rsidR="00AD52E0" w:rsidRDefault="00AD52E0" w:rsidP="006574FE">
            <w:pPr>
              <w:keepNext/>
              <w:keepLines/>
              <w:spacing w:after="0" w:line="240" w:lineRule="auto"/>
              <w:rPr>
                <w:rFonts w:ascii="Calibri" w:hAnsi="Calibri"/>
                <w:sz w:val="20"/>
                <w:szCs w:val="20"/>
              </w:rPr>
            </w:pPr>
          </w:p>
        </w:tc>
        <w:tc>
          <w:tcPr>
            <w:tcW w:w="438" w:type="pct"/>
            <w:tcMar>
              <w:top w:w="0" w:type="dxa"/>
              <w:bottom w:w="0" w:type="dxa"/>
            </w:tcMar>
            <w:vAlign w:val="bottom"/>
          </w:tcPr>
          <w:p w:rsidR="00AD52E0" w:rsidRDefault="00AD52E0" w:rsidP="006574FE">
            <w:pPr>
              <w:keepNext/>
              <w:keepLines/>
              <w:spacing w:after="0" w:line="240" w:lineRule="auto"/>
              <w:jc w:val="right"/>
              <w:rPr>
                <w:rFonts w:ascii="Calibri" w:hAnsi="Calibri"/>
                <w:sz w:val="20"/>
                <w:szCs w:val="20"/>
              </w:rPr>
            </w:pPr>
            <w:r>
              <w:rPr>
                <w:rFonts w:ascii="Calibri" w:hAnsi="Calibri"/>
                <w:sz w:val="20"/>
                <w:szCs w:val="20"/>
              </w:rPr>
              <w:t>$m</w:t>
            </w:r>
          </w:p>
        </w:tc>
        <w:tc>
          <w:tcPr>
            <w:tcW w:w="438" w:type="pct"/>
            <w:tcMar>
              <w:top w:w="0" w:type="dxa"/>
              <w:bottom w:w="0" w:type="dxa"/>
            </w:tcMar>
            <w:vAlign w:val="bottom"/>
          </w:tcPr>
          <w:p w:rsidR="00AD52E0" w:rsidRDefault="00AD52E0" w:rsidP="006574FE">
            <w:pPr>
              <w:keepNext/>
              <w:keepLines/>
              <w:spacing w:after="0" w:line="240" w:lineRule="auto"/>
              <w:jc w:val="right"/>
              <w:rPr>
                <w:rFonts w:ascii="Calibri" w:hAnsi="Calibri"/>
                <w:sz w:val="20"/>
                <w:szCs w:val="20"/>
              </w:rPr>
            </w:pPr>
            <w:r>
              <w:rPr>
                <w:rFonts w:ascii="Calibri" w:hAnsi="Calibri"/>
                <w:sz w:val="20"/>
                <w:szCs w:val="20"/>
              </w:rPr>
              <w:t>$m</w:t>
            </w:r>
          </w:p>
        </w:tc>
        <w:tc>
          <w:tcPr>
            <w:tcW w:w="438" w:type="pct"/>
            <w:tcMar>
              <w:top w:w="0" w:type="dxa"/>
              <w:bottom w:w="0" w:type="dxa"/>
            </w:tcMar>
            <w:vAlign w:val="bottom"/>
          </w:tcPr>
          <w:p w:rsidR="00AD52E0" w:rsidRDefault="00AD52E0" w:rsidP="006574FE">
            <w:pPr>
              <w:keepNext/>
              <w:keepLines/>
              <w:spacing w:after="0" w:line="240" w:lineRule="auto"/>
              <w:jc w:val="right"/>
              <w:rPr>
                <w:rFonts w:ascii="Calibri" w:hAnsi="Calibri"/>
                <w:sz w:val="20"/>
                <w:szCs w:val="20"/>
              </w:rPr>
            </w:pPr>
            <w:r>
              <w:rPr>
                <w:rFonts w:ascii="Calibri" w:hAnsi="Calibri"/>
                <w:sz w:val="20"/>
                <w:szCs w:val="20"/>
              </w:rPr>
              <w:t>$m</w:t>
            </w:r>
          </w:p>
        </w:tc>
        <w:tc>
          <w:tcPr>
            <w:tcW w:w="438" w:type="pct"/>
            <w:tcMar>
              <w:top w:w="0" w:type="dxa"/>
              <w:bottom w:w="0" w:type="dxa"/>
            </w:tcMar>
            <w:vAlign w:val="bottom"/>
          </w:tcPr>
          <w:p w:rsidR="00AD52E0" w:rsidRDefault="00AD52E0" w:rsidP="006574FE">
            <w:pPr>
              <w:keepNext/>
              <w:keepLines/>
              <w:spacing w:after="0" w:line="240" w:lineRule="auto"/>
              <w:jc w:val="right"/>
              <w:rPr>
                <w:rFonts w:ascii="Calibri" w:hAnsi="Calibri"/>
                <w:sz w:val="20"/>
                <w:szCs w:val="20"/>
              </w:rPr>
            </w:pPr>
            <w:r>
              <w:rPr>
                <w:rFonts w:ascii="Calibri" w:hAnsi="Calibri"/>
                <w:sz w:val="20"/>
                <w:szCs w:val="20"/>
              </w:rPr>
              <w:t>$m</w:t>
            </w:r>
          </w:p>
        </w:tc>
        <w:tc>
          <w:tcPr>
            <w:tcW w:w="439" w:type="pct"/>
            <w:tcMar>
              <w:top w:w="0" w:type="dxa"/>
              <w:bottom w:w="0" w:type="dxa"/>
            </w:tcMar>
            <w:vAlign w:val="bottom"/>
          </w:tcPr>
          <w:p w:rsidR="00AD52E0" w:rsidRDefault="00AD52E0" w:rsidP="006574FE">
            <w:pPr>
              <w:keepNext/>
              <w:keepLines/>
              <w:spacing w:after="0" w:line="240" w:lineRule="auto"/>
              <w:jc w:val="right"/>
              <w:rPr>
                <w:rFonts w:ascii="Calibri" w:hAnsi="Calibri"/>
                <w:sz w:val="20"/>
                <w:szCs w:val="20"/>
              </w:rPr>
            </w:pPr>
            <w:r>
              <w:rPr>
                <w:rFonts w:ascii="Calibri" w:hAnsi="Calibri"/>
                <w:sz w:val="20"/>
                <w:szCs w:val="20"/>
              </w:rPr>
              <w:t>$m</w:t>
            </w:r>
          </w:p>
        </w:tc>
        <w:tc>
          <w:tcPr>
            <w:tcW w:w="438" w:type="pct"/>
            <w:tcMar>
              <w:top w:w="0" w:type="dxa"/>
              <w:bottom w:w="0" w:type="dxa"/>
            </w:tcMar>
            <w:vAlign w:val="bottom"/>
          </w:tcPr>
          <w:p w:rsidR="00AD52E0" w:rsidRDefault="00AD52E0" w:rsidP="006574FE">
            <w:pPr>
              <w:keepNext/>
              <w:keepLines/>
              <w:spacing w:after="0" w:line="240" w:lineRule="auto"/>
              <w:jc w:val="right"/>
              <w:rPr>
                <w:rFonts w:ascii="Calibri" w:hAnsi="Calibri"/>
                <w:sz w:val="20"/>
                <w:szCs w:val="20"/>
              </w:rPr>
            </w:pPr>
            <w:r>
              <w:rPr>
                <w:rFonts w:ascii="Calibri" w:hAnsi="Calibri"/>
                <w:sz w:val="20"/>
                <w:szCs w:val="20"/>
              </w:rPr>
              <w:t>$m</w:t>
            </w:r>
          </w:p>
        </w:tc>
        <w:tc>
          <w:tcPr>
            <w:tcW w:w="401" w:type="pct"/>
            <w:tcMar>
              <w:top w:w="0" w:type="dxa"/>
              <w:bottom w:w="0" w:type="dxa"/>
            </w:tcMar>
            <w:vAlign w:val="bottom"/>
          </w:tcPr>
          <w:p w:rsidR="00AD52E0" w:rsidRDefault="00AD52E0" w:rsidP="006574FE">
            <w:pPr>
              <w:keepNext/>
              <w:keepLines/>
              <w:spacing w:after="0" w:line="240" w:lineRule="auto"/>
              <w:jc w:val="right"/>
              <w:rPr>
                <w:rFonts w:ascii="Calibri" w:hAnsi="Calibri"/>
                <w:sz w:val="20"/>
                <w:szCs w:val="20"/>
              </w:rPr>
            </w:pPr>
            <w:r>
              <w:rPr>
                <w:rFonts w:ascii="Calibri" w:hAnsi="Calibri"/>
                <w:sz w:val="20"/>
                <w:szCs w:val="20"/>
              </w:rPr>
              <w:t>$m</w:t>
            </w:r>
          </w:p>
        </w:tc>
        <w:tc>
          <w:tcPr>
            <w:tcW w:w="389" w:type="pct"/>
            <w:tcMar>
              <w:top w:w="0" w:type="dxa"/>
              <w:bottom w:w="0" w:type="dxa"/>
            </w:tcMar>
            <w:vAlign w:val="bottom"/>
          </w:tcPr>
          <w:p w:rsidR="00AD52E0" w:rsidRDefault="00AD52E0" w:rsidP="006574FE">
            <w:pPr>
              <w:keepNext/>
              <w:keepLines/>
              <w:spacing w:after="0" w:line="240" w:lineRule="auto"/>
              <w:jc w:val="right"/>
              <w:rPr>
                <w:rFonts w:ascii="Calibri" w:hAnsi="Calibri"/>
                <w:sz w:val="20"/>
                <w:szCs w:val="20"/>
              </w:rPr>
            </w:pPr>
            <w:r>
              <w:rPr>
                <w:rFonts w:ascii="Calibri" w:hAnsi="Calibri"/>
                <w:sz w:val="20"/>
                <w:szCs w:val="20"/>
              </w:rPr>
              <w:t>$m</w:t>
            </w:r>
          </w:p>
        </w:tc>
        <w:tc>
          <w:tcPr>
            <w:tcW w:w="524" w:type="pct"/>
            <w:tcMar>
              <w:top w:w="0" w:type="dxa"/>
              <w:bottom w:w="0" w:type="dxa"/>
            </w:tcMar>
            <w:vAlign w:val="bottom"/>
          </w:tcPr>
          <w:p w:rsidR="00AD52E0" w:rsidRDefault="00AD52E0" w:rsidP="006574FE">
            <w:pPr>
              <w:keepNext/>
              <w:keepLines/>
              <w:spacing w:after="0" w:line="240" w:lineRule="auto"/>
              <w:jc w:val="right"/>
              <w:rPr>
                <w:rFonts w:ascii="Calibri" w:hAnsi="Calibri"/>
                <w:sz w:val="20"/>
                <w:szCs w:val="20"/>
              </w:rPr>
            </w:pPr>
            <w:r>
              <w:rPr>
                <w:rFonts w:ascii="Calibri" w:hAnsi="Calibri"/>
                <w:sz w:val="20"/>
                <w:szCs w:val="20"/>
              </w:rPr>
              <w:t>$m</w:t>
            </w:r>
          </w:p>
        </w:tc>
      </w:tr>
      <w:tr w:rsidR="00AD52E0" w:rsidRPr="00FE3F73" w:rsidTr="006574FE">
        <w:trPr>
          <w:trHeight w:hRule="exact" w:val="363"/>
        </w:trPr>
        <w:tc>
          <w:tcPr>
            <w:tcW w:w="1056" w:type="pct"/>
            <w:vAlign w:val="bottom"/>
          </w:tcPr>
          <w:p w:rsidR="00AD52E0" w:rsidRDefault="00AD52E0" w:rsidP="006574FE">
            <w:pPr>
              <w:keepNext/>
              <w:keepLines/>
              <w:spacing w:before="60" w:after="60" w:line="200" w:lineRule="atLeast"/>
              <w:rPr>
                <w:rFonts w:ascii="Calibri" w:hAnsi="Calibri"/>
                <w:sz w:val="20"/>
                <w:szCs w:val="20"/>
              </w:rPr>
            </w:pPr>
            <w:r>
              <w:rPr>
                <w:rFonts w:ascii="Calibri" w:hAnsi="Calibri"/>
                <w:sz w:val="20"/>
                <w:szCs w:val="20"/>
              </w:rPr>
              <w:t>Population growth</w:t>
            </w:r>
          </w:p>
        </w:tc>
        <w:tc>
          <w:tcPr>
            <w:tcW w:w="438" w:type="pct"/>
            <w:vAlign w:val="bottom"/>
          </w:tcPr>
          <w:p w:rsidR="00AD52E0" w:rsidRDefault="00AD52E0" w:rsidP="006574FE">
            <w:pPr>
              <w:keepNext/>
              <w:keepLines/>
              <w:spacing w:before="60" w:after="60" w:line="200" w:lineRule="atLeast"/>
              <w:jc w:val="right"/>
              <w:rPr>
                <w:rFonts w:ascii="Calibri" w:hAnsi="Calibri"/>
                <w:sz w:val="20"/>
                <w:szCs w:val="20"/>
              </w:rPr>
            </w:pPr>
            <w:r w:rsidRPr="00AD52E0">
              <w:rPr>
                <w:rFonts w:ascii="Calibri" w:hAnsi="Calibri"/>
                <w:sz w:val="20"/>
                <w:szCs w:val="20"/>
              </w:rPr>
              <w:t>-29</w:t>
            </w:r>
          </w:p>
        </w:tc>
        <w:tc>
          <w:tcPr>
            <w:tcW w:w="438" w:type="pct"/>
            <w:vAlign w:val="bottom"/>
          </w:tcPr>
          <w:p w:rsidR="00AD52E0" w:rsidRDefault="00AD52E0" w:rsidP="006574FE">
            <w:pPr>
              <w:keepNext/>
              <w:keepLines/>
              <w:spacing w:before="60" w:after="60" w:line="200" w:lineRule="atLeast"/>
              <w:jc w:val="right"/>
              <w:rPr>
                <w:rFonts w:ascii="Calibri" w:hAnsi="Calibri"/>
                <w:sz w:val="20"/>
                <w:szCs w:val="20"/>
              </w:rPr>
            </w:pPr>
            <w:r w:rsidRPr="00AD52E0">
              <w:rPr>
                <w:rFonts w:ascii="Calibri" w:hAnsi="Calibri"/>
                <w:sz w:val="20"/>
                <w:szCs w:val="20"/>
              </w:rPr>
              <w:t>166</w:t>
            </w:r>
          </w:p>
        </w:tc>
        <w:tc>
          <w:tcPr>
            <w:tcW w:w="438" w:type="pct"/>
            <w:vAlign w:val="bottom"/>
          </w:tcPr>
          <w:p w:rsidR="00AD52E0" w:rsidRDefault="00AD52E0" w:rsidP="006574FE">
            <w:pPr>
              <w:keepNext/>
              <w:keepLines/>
              <w:spacing w:before="60" w:after="60" w:line="200" w:lineRule="atLeast"/>
              <w:jc w:val="right"/>
              <w:rPr>
                <w:rFonts w:ascii="Calibri" w:hAnsi="Calibri"/>
                <w:sz w:val="20"/>
                <w:szCs w:val="20"/>
              </w:rPr>
            </w:pPr>
            <w:r w:rsidRPr="00AD52E0">
              <w:rPr>
                <w:rFonts w:ascii="Calibri" w:hAnsi="Calibri"/>
                <w:sz w:val="20"/>
                <w:szCs w:val="20"/>
              </w:rPr>
              <w:t>-20</w:t>
            </w:r>
          </w:p>
        </w:tc>
        <w:tc>
          <w:tcPr>
            <w:tcW w:w="438" w:type="pct"/>
            <w:vAlign w:val="bottom"/>
          </w:tcPr>
          <w:p w:rsidR="00AD52E0" w:rsidRDefault="00AD52E0" w:rsidP="006574FE">
            <w:pPr>
              <w:keepNext/>
              <w:keepLines/>
              <w:spacing w:before="60" w:after="60" w:line="200" w:lineRule="atLeast"/>
              <w:jc w:val="right"/>
              <w:rPr>
                <w:rFonts w:ascii="Calibri" w:hAnsi="Calibri"/>
                <w:sz w:val="20"/>
                <w:szCs w:val="20"/>
              </w:rPr>
            </w:pPr>
            <w:r w:rsidRPr="00AD52E0">
              <w:rPr>
                <w:rFonts w:ascii="Calibri" w:hAnsi="Calibri"/>
                <w:sz w:val="20"/>
                <w:szCs w:val="20"/>
              </w:rPr>
              <w:t>-38</w:t>
            </w:r>
          </w:p>
        </w:tc>
        <w:tc>
          <w:tcPr>
            <w:tcW w:w="439" w:type="pct"/>
            <w:vAlign w:val="bottom"/>
          </w:tcPr>
          <w:p w:rsidR="00AD52E0" w:rsidRDefault="00AD52E0" w:rsidP="006574FE">
            <w:pPr>
              <w:keepNext/>
              <w:keepLines/>
              <w:spacing w:before="60" w:after="60" w:line="200" w:lineRule="atLeast"/>
              <w:jc w:val="right"/>
              <w:rPr>
                <w:rFonts w:ascii="Calibri" w:hAnsi="Calibri"/>
                <w:sz w:val="20"/>
                <w:szCs w:val="20"/>
              </w:rPr>
            </w:pPr>
            <w:r w:rsidRPr="00AD52E0">
              <w:rPr>
                <w:rFonts w:ascii="Calibri" w:hAnsi="Calibri"/>
                <w:sz w:val="20"/>
                <w:szCs w:val="20"/>
              </w:rPr>
              <w:t>-46</w:t>
            </w:r>
          </w:p>
        </w:tc>
        <w:tc>
          <w:tcPr>
            <w:tcW w:w="438" w:type="pct"/>
            <w:vAlign w:val="bottom"/>
          </w:tcPr>
          <w:p w:rsidR="00AD52E0" w:rsidRDefault="00AD52E0" w:rsidP="006574FE">
            <w:pPr>
              <w:keepNext/>
              <w:keepLines/>
              <w:spacing w:before="60" w:after="60" w:line="200" w:lineRule="atLeast"/>
              <w:jc w:val="right"/>
              <w:rPr>
                <w:rFonts w:ascii="Calibri" w:hAnsi="Calibri"/>
                <w:sz w:val="20"/>
                <w:szCs w:val="20"/>
              </w:rPr>
            </w:pPr>
            <w:r w:rsidRPr="00AD52E0">
              <w:rPr>
                <w:rFonts w:ascii="Calibri" w:hAnsi="Calibri"/>
                <w:sz w:val="20"/>
                <w:szCs w:val="20"/>
              </w:rPr>
              <w:t>-27</w:t>
            </w:r>
          </w:p>
        </w:tc>
        <w:tc>
          <w:tcPr>
            <w:tcW w:w="401" w:type="pct"/>
            <w:vAlign w:val="bottom"/>
          </w:tcPr>
          <w:p w:rsidR="00AD52E0" w:rsidRDefault="00AD52E0" w:rsidP="006574FE">
            <w:pPr>
              <w:keepNext/>
              <w:keepLines/>
              <w:spacing w:before="60" w:after="60" w:line="200" w:lineRule="atLeast"/>
              <w:jc w:val="right"/>
              <w:rPr>
                <w:rFonts w:ascii="Calibri" w:hAnsi="Calibri"/>
                <w:sz w:val="20"/>
                <w:szCs w:val="20"/>
              </w:rPr>
            </w:pPr>
            <w:r w:rsidRPr="00AD52E0">
              <w:rPr>
                <w:rFonts w:ascii="Calibri" w:hAnsi="Calibri"/>
                <w:sz w:val="20"/>
                <w:szCs w:val="20"/>
              </w:rPr>
              <w:t>2</w:t>
            </w:r>
          </w:p>
        </w:tc>
        <w:tc>
          <w:tcPr>
            <w:tcW w:w="389" w:type="pct"/>
            <w:vAlign w:val="bottom"/>
          </w:tcPr>
          <w:p w:rsidR="00AD52E0" w:rsidRDefault="00AD52E0" w:rsidP="006574FE">
            <w:pPr>
              <w:keepNext/>
              <w:keepLines/>
              <w:spacing w:before="60" w:after="60" w:line="200" w:lineRule="atLeast"/>
              <w:jc w:val="right"/>
              <w:rPr>
                <w:rFonts w:ascii="Calibri" w:hAnsi="Calibri"/>
                <w:sz w:val="20"/>
                <w:szCs w:val="20"/>
              </w:rPr>
            </w:pPr>
            <w:r w:rsidRPr="00AD52E0">
              <w:rPr>
                <w:rFonts w:ascii="Calibri" w:hAnsi="Calibri"/>
                <w:sz w:val="20"/>
                <w:szCs w:val="20"/>
              </w:rPr>
              <w:t>-8</w:t>
            </w:r>
          </w:p>
        </w:tc>
        <w:tc>
          <w:tcPr>
            <w:tcW w:w="524" w:type="pct"/>
            <w:vAlign w:val="bottom"/>
          </w:tcPr>
          <w:p w:rsidR="00AD52E0" w:rsidRDefault="00AD52E0" w:rsidP="006574FE">
            <w:pPr>
              <w:keepNext/>
              <w:keepLines/>
              <w:spacing w:before="60" w:after="60" w:line="200" w:lineRule="atLeast"/>
              <w:jc w:val="right"/>
              <w:rPr>
                <w:rFonts w:ascii="Calibri" w:hAnsi="Calibri"/>
                <w:sz w:val="20"/>
                <w:szCs w:val="20"/>
              </w:rPr>
            </w:pPr>
            <w:r w:rsidRPr="00AD52E0">
              <w:rPr>
                <w:rFonts w:ascii="Calibri" w:hAnsi="Calibri"/>
                <w:sz w:val="20"/>
                <w:szCs w:val="20"/>
              </w:rPr>
              <w:t>168</w:t>
            </w:r>
          </w:p>
        </w:tc>
      </w:tr>
      <w:tr w:rsidR="00AD52E0" w:rsidRPr="00FE3F73" w:rsidTr="006574FE">
        <w:trPr>
          <w:trHeight w:hRule="exact" w:val="363"/>
        </w:trPr>
        <w:tc>
          <w:tcPr>
            <w:tcW w:w="1056" w:type="pct"/>
            <w:vAlign w:val="bottom"/>
          </w:tcPr>
          <w:p w:rsidR="00AD52E0" w:rsidRDefault="00C0482B" w:rsidP="006574FE">
            <w:pPr>
              <w:keepNext/>
              <w:keepLines/>
              <w:spacing w:before="60" w:after="60" w:line="200" w:lineRule="atLeast"/>
              <w:rPr>
                <w:rFonts w:ascii="Calibri" w:hAnsi="Calibri"/>
                <w:sz w:val="20"/>
                <w:szCs w:val="20"/>
              </w:rPr>
            </w:pPr>
            <w:r>
              <w:rPr>
                <w:rFonts w:ascii="Calibri" w:hAnsi="Calibri"/>
                <w:sz w:val="20"/>
                <w:szCs w:val="20"/>
              </w:rPr>
              <w:t>City size</w:t>
            </w:r>
          </w:p>
        </w:tc>
        <w:tc>
          <w:tcPr>
            <w:tcW w:w="438" w:type="pct"/>
            <w:vAlign w:val="bottom"/>
          </w:tcPr>
          <w:p w:rsidR="00AD52E0" w:rsidRDefault="00AD52E0" w:rsidP="006574FE">
            <w:pPr>
              <w:keepNext/>
              <w:keepLines/>
              <w:spacing w:before="60" w:after="60" w:line="200" w:lineRule="atLeast"/>
              <w:jc w:val="right"/>
              <w:rPr>
                <w:rFonts w:ascii="Calibri" w:hAnsi="Calibri"/>
                <w:sz w:val="20"/>
                <w:szCs w:val="20"/>
              </w:rPr>
            </w:pPr>
            <w:r w:rsidRPr="00AD52E0">
              <w:rPr>
                <w:rFonts w:ascii="Calibri" w:hAnsi="Calibri"/>
                <w:sz w:val="20"/>
                <w:szCs w:val="20"/>
              </w:rPr>
              <w:t>193</w:t>
            </w:r>
          </w:p>
        </w:tc>
        <w:tc>
          <w:tcPr>
            <w:tcW w:w="438" w:type="pct"/>
            <w:vAlign w:val="bottom"/>
          </w:tcPr>
          <w:p w:rsidR="00AD52E0" w:rsidRDefault="00AD52E0" w:rsidP="006574FE">
            <w:pPr>
              <w:keepNext/>
              <w:keepLines/>
              <w:spacing w:before="60" w:after="60" w:line="200" w:lineRule="atLeast"/>
              <w:jc w:val="right"/>
              <w:rPr>
                <w:rFonts w:ascii="Calibri" w:hAnsi="Calibri"/>
                <w:sz w:val="20"/>
                <w:szCs w:val="20"/>
              </w:rPr>
            </w:pPr>
            <w:r w:rsidRPr="00AD52E0">
              <w:rPr>
                <w:rFonts w:ascii="Calibri" w:hAnsi="Calibri"/>
                <w:sz w:val="20"/>
                <w:szCs w:val="20"/>
              </w:rPr>
              <w:t>478</w:t>
            </w:r>
          </w:p>
        </w:tc>
        <w:tc>
          <w:tcPr>
            <w:tcW w:w="438" w:type="pct"/>
            <w:vAlign w:val="bottom"/>
          </w:tcPr>
          <w:p w:rsidR="00AD52E0" w:rsidRDefault="00AD52E0" w:rsidP="006574FE">
            <w:pPr>
              <w:keepNext/>
              <w:keepLines/>
              <w:spacing w:before="60" w:after="60" w:line="200" w:lineRule="atLeast"/>
              <w:jc w:val="right"/>
              <w:rPr>
                <w:rFonts w:ascii="Calibri" w:hAnsi="Calibri"/>
                <w:sz w:val="20"/>
                <w:szCs w:val="20"/>
              </w:rPr>
            </w:pPr>
            <w:r w:rsidRPr="00AD52E0">
              <w:rPr>
                <w:rFonts w:ascii="Calibri" w:hAnsi="Calibri"/>
                <w:sz w:val="20"/>
                <w:szCs w:val="20"/>
              </w:rPr>
              <w:t>-306</w:t>
            </w:r>
          </w:p>
        </w:tc>
        <w:tc>
          <w:tcPr>
            <w:tcW w:w="438" w:type="pct"/>
            <w:vAlign w:val="bottom"/>
          </w:tcPr>
          <w:p w:rsidR="00AD52E0" w:rsidRDefault="00AD52E0" w:rsidP="006574FE">
            <w:pPr>
              <w:keepNext/>
              <w:keepLines/>
              <w:spacing w:before="60" w:after="60" w:line="200" w:lineRule="atLeast"/>
              <w:jc w:val="right"/>
              <w:rPr>
                <w:rFonts w:ascii="Calibri" w:hAnsi="Calibri"/>
                <w:sz w:val="20"/>
                <w:szCs w:val="20"/>
              </w:rPr>
            </w:pPr>
            <w:r w:rsidRPr="00AD52E0">
              <w:rPr>
                <w:rFonts w:ascii="Calibri" w:hAnsi="Calibri"/>
                <w:sz w:val="20"/>
                <w:szCs w:val="20"/>
              </w:rPr>
              <w:t>-131</w:t>
            </w:r>
          </w:p>
        </w:tc>
        <w:tc>
          <w:tcPr>
            <w:tcW w:w="439" w:type="pct"/>
            <w:vAlign w:val="bottom"/>
          </w:tcPr>
          <w:p w:rsidR="00AD52E0" w:rsidRDefault="00AD52E0" w:rsidP="006574FE">
            <w:pPr>
              <w:keepNext/>
              <w:keepLines/>
              <w:spacing w:before="60" w:after="60" w:line="200" w:lineRule="atLeast"/>
              <w:jc w:val="right"/>
              <w:rPr>
                <w:rFonts w:ascii="Calibri" w:hAnsi="Calibri"/>
                <w:sz w:val="20"/>
                <w:szCs w:val="20"/>
              </w:rPr>
            </w:pPr>
            <w:r w:rsidRPr="00AD52E0">
              <w:rPr>
                <w:rFonts w:ascii="Calibri" w:hAnsi="Calibri"/>
                <w:sz w:val="20"/>
                <w:szCs w:val="20"/>
              </w:rPr>
              <w:t>-128</w:t>
            </w:r>
          </w:p>
        </w:tc>
        <w:tc>
          <w:tcPr>
            <w:tcW w:w="438" w:type="pct"/>
            <w:vAlign w:val="bottom"/>
          </w:tcPr>
          <w:p w:rsidR="00AD52E0" w:rsidRDefault="00AD52E0" w:rsidP="006574FE">
            <w:pPr>
              <w:keepNext/>
              <w:keepLines/>
              <w:spacing w:before="60" w:after="60" w:line="200" w:lineRule="atLeast"/>
              <w:jc w:val="right"/>
              <w:rPr>
                <w:rFonts w:ascii="Calibri" w:hAnsi="Calibri"/>
                <w:sz w:val="20"/>
                <w:szCs w:val="20"/>
              </w:rPr>
            </w:pPr>
            <w:r w:rsidRPr="00AD52E0">
              <w:rPr>
                <w:rFonts w:ascii="Calibri" w:hAnsi="Calibri"/>
                <w:sz w:val="20"/>
                <w:szCs w:val="20"/>
              </w:rPr>
              <w:t>-50</w:t>
            </w:r>
          </w:p>
        </w:tc>
        <w:tc>
          <w:tcPr>
            <w:tcW w:w="401" w:type="pct"/>
            <w:vAlign w:val="bottom"/>
          </w:tcPr>
          <w:p w:rsidR="00AD52E0" w:rsidRDefault="00AD52E0" w:rsidP="006574FE">
            <w:pPr>
              <w:keepNext/>
              <w:keepLines/>
              <w:spacing w:before="60" w:after="60" w:line="200" w:lineRule="atLeast"/>
              <w:jc w:val="right"/>
              <w:rPr>
                <w:rFonts w:ascii="Calibri" w:hAnsi="Calibri"/>
                <w:sz w:val="20"/>
                <w:szCs w:val="20"/>
              </w:rPr>
            </w:pPr>
            <w:r w:rsidRPr="00AD52E0">
              <w:rPr>
                <w:rFonts w:ascii="Calibri" w:hAnsi="Calibri"/>
                <w:sz w:val="20"/>
                <w:szCs w:val="20"/>
              </w:rPr>
              <w:t>-30</w:t>
            </w:r>
          </w:p>
        </w:tc>
        <w:tc>
          <w:tcPr>
            <w:tcW w:w="389" w:type="pct"/>
            <w:vAlign w:val="bottom"/>
          </w:tcPr>
          <w:p w:rsidR="00AD52E0" w:rsidRDefault="00AD52E0" w:rsidP="006574FE">
            <w:pPr>
              <w:keepNext/>
              <w:keepLines/>
              <w:spacing w:before="60" w:after="60" w:line="200" w:lineRule="atLeast"/>
              <w:jc w:val="right"/>
              <w:rPr>
                <w:rFonts w:ascii="Calibri" w:hAnsi="Calibri"/>
                <w:sz w:val="20"/>
                <w:szCs w:val="20"/>
              </w:rPr>
            </w:pPr>
            <w:r w:rsidRPr="00AD52E0">
              <w:rPr>
                <w:rFonts w:ascii="Calibri" w:hAnsi="Calibri"/>
                <w:sz w:val="20"/>
                <w:szCs w:val="20"/>
              </w:rPr>
              <w:t>-26</w:t>
            </w:r>
          </w:p>
        </w:tc>
        <w:tc>
          <w:tcPr>
            <w:tcW w:w="524" w:type="pct"/>
            <w:vAlign w:val="bottom"/>
          </w:tcPr>
          <w:p w:rsidR="00AD52E0" w:rsidRDefault="00AD52E0" w:rsidP="006574FE">
            <w:pPr>
              <w:keepNext/>
              <w:keepLines/>
              <w:spacing w:before="60" w:after="60" w:line="200" w:lineRule="atLeast"/>
              <w:jc w:val="right"/>
              <w:rPr>
                <w:rFonts w:ascii="Calibri" w:hAnsi="Calibri"/>
                <w:sz w:val="20"/>
                <w:szCs w:val="20"/>
              </w:rPr>
            </w:pPr>
            <w:r w:rsidRPr="00AD52E0">
              <w:rPr>
                <w:rFonts w:ascii="Calibri" w:hAnsi="Calibri"/>
                <w:sz w:val="20"/>
                <w:szCs w:val="20"/>
              </w:rPr>
              <w:t>672</w:t>
            </w:r>
          </w:p>
        </w:tc>
      </w:tr>
      <w:tr w:rsidR="00AD52E0" w:rsidRPr="00FE3F73" w:rsidTr="006574FE">
        <w:trPr>
          <w:trHeight w:hRule="exact" w:val="363"/>
        </w:trPr>
        <w:tc>
          <w:tcPr>
            <w:tcW w:w="1056" w:type="pct"/>
            <w:vAlign w:val="bottom"/>
          </w:tcPr>
          <w:p w:rsidR="00AD52E0" w:rsidRDefault="00AD52E0" w:rsidP="006574FE">
            <w:pPr>
              <w:keepNext/>
              <w:keepLines/>
              <w:spacing w:before="60" w:after="60" w:line="200" w:lineRule="atLeast"/>
              <w:rPr>
                <w:rFonts w:ascii="Calibri" w:hAnsi="Calibri"/>
                <w:sz w:val="20"/>
                <w:szCs w:val="20"/>
              </w:rPr>
            </w:pPr>
            <w:r>
              <w:rPr>
                <w:rFonts w:ascii="Calibri" w:hAnsi="Calibri"/>
                <w:sz w:val="20"/>
                <w:szCs w:val="20"/>
              </w:rPr>
              <w:t>Capital costs</w:t>
            </w:r>
          </w:p>
        </w:tc>
        <w:tc>
          <w:tcPr>
            <w:tcW w:w="438" w:type="pct"/>
            <w:tcBorders>
              <w:bottom w:val="single" w:sz="4" w:space="0" w:color="auto"/>
            </w:tcBorders>
            <w:vAlign w:val="bottom"/>
          </w:tcPr>
          <w:p w:rsidR="00AD52E0" w:rsidRDefault="00AD52E0" w:rsidP="006574FE">
            <w:pPr>
              <w:keepNext/>
              <w:keepLines/>
              <w:spacing w:before="60" w:after="60" w:line="200" w:lineRule="atLeast"/>
              <w:jc w:val="right"/>
              <w:rPr>
                <w:rFonts w:ascii="Calibri" w:hAnsi="Calibri"/>
                <w:sz w:val="20"/>
                <w:szCs w:val="20"/>
              </w:rPr>
            </w:pPr>
            <w:r w:rsidRPr="00AD52E0">
              <w:rPr>
                <w:rFonts w:ascii="Calibri" w:hAnsi="Calibri"/>
                <w:sz w:val="20"/>
                <w:szCs w:val="20"/>
              </w:rPr>
              <w:t>33</w:t>
            </w:r>
          </w:p>
        </w:tc>
        <w:tc>
          <w:tcPr>
            <w:tcW w:w="438" w:type="pct"/>
            <w:tcBorders>
              <w:bottom w:val="single" w:sz="4" w:space="0" w:color="auto"/>
            </w:tcBorders>
            <w:vAlign w:val="bottom"/>
          </w:tcPr>
          <w:p w:rsidR="00AD52E0" w:rsidRDefault="00AD52E0" w:rsidP="006574FE">
            <w:pPr>
              <w:keepNext/>
              <w:keepLines/>
              <w:spacing w:before="60" w:after="60" w:line="200" w:lineRule="atLeast"/>
              <w:jc w:val="right"/>
              <w:rPr>
                <w:rFonts w:ascii="Calibri" w:hAnsi="Calibri"/>
                <w:sz w:val="20"/>
                <w:szCs w:val="20"/>
              </w:rPr>
            </w:pPr>
            <w:r w:rsidRPr="00AD52E0">
              <w:rPr>
                <w:rFonts w:ascii="Calibri" w:hAnsi="Calibri"/>
                <w:sz w:val="20"/>
                <w:szCs w:val="20"/>
              </w:rPr>
              <w:t>-49</w:t>
            </w:r>
          </w:p>
        </w:tc>
        <w:tc>
          <w:tcPr>
            <w:tcW w:w="438" w:type="pct"/>
            <w:tcBorders>
              <w:bottom w:val="single" w:sz="4" w:space="0" w:color="auto"/>
            </w:tcBorders>
            <w:vAlign w:val="bottom"/>
          </w:tcPr>
          <w:p w:rsidR="00AD52E0" w:rsidRDefault="00AD52E0" w:rsidP="006574FE">
            <w:pPr>
              <w:keepNext/>
              <w:keepLines/>
              <w:spacing w:before="60" w:after="60" w:line="200" w:lineRule="atLeast"/>
              <w:jc w:val="right"/>
              <w:rPr>
                <w:rFonts w:ascii="Calibri" w:hAnsi="Calibri"/>
                <w:sz w:val="20"/>
                <w:szCs w:val="20"/>
              </w:rPr>
            </w:pPr>
            <w:r w:rsidRPr="00AD52E0">
              <w:rPr>
                <w:rFonts w:ascii="Calibri" w:hAnsi="Calibri"/>
                <w:sz w:val="20"/>
                <w:szCs w:val="20"/>
              </w:rPr>
              <w:t>-12</w:t>
            </w:r>
          </w:p>
        </w:tc>
        <w:tc>
          <w:tcPr>
            <w:tcW w:w="438" w:type="pct"/>
            <w:tcBorders>
              <w:bottom w:val="single" w:sz="4" w:space="0" w:color="auto"/>
            </w:tcBorders>
            <w:vAlign w:val="bottom"/>
          </w:tcPr>
          <w:p w:rsidR="00AD52E0" w:rsidRDefault="00AD52E0" w:rsidP="006574FE">
            <w:pPr>
              <w:keepNext/>
              <w:keepLines/>
              <w:spacing w:before="60" w:after="60" w:line="200" w:lineRule="atLeast"/>
              <w:jc w:val="right"/>
              <w:rPr>
                <w:rFonts w:ascii="Calibri" w:hAnsi="Calibri"/>
                <w:sz w:val="20"/>
                <w:szCs w:val="20"/>
              </w:rPr>
            </w:pPr>
            <w:r w:rsidRPr="00AD52E0">
              <w:rPr>
                <w:rFonts w:ascii="Calibri" w:hAnsi="Calibri"/>
                <w:sz w:val="20"/>
                <w:szCs w:val="20"/>
              </w:rPr>
              <w:t>22</w:t>
            </w:r>
          </w:p>
        </w:tc>
        <w:tc>
          <w:tcPr>
            <w:tcW w:w="439" w:type="pct"/>
            <w:tcBorders>
              <w:bottom w:val="single" w:sz="4" w:space="0" w:color="auto"/>
            </w:tcBorders>
            <w:vAlign w:val="bottom"/>
          </w:tcPr>
          <w:p w:rsidR="00AD52E0" w:rsidRDefault="00AD52E0" w:rsidP="006574FE">
            <w:pPr>
              <w:keepNext/>
              <w:keepLines/>
              <w:spacing w:before="60" w:after="60" w:line="200" w:lineRule="atLeast"/>
              <w:jc w:val="right"/>
              <w:rPr>
                <w:rFonts w:ascii="Calibri" w:hAnsi="Calibri"/>
                <w:sz w:val="20"/>
                <w:szCs w:val="20"/>
              </w:rPr>
            </w:pPr>
            <w:r w:rsidRPr="00AD52E0">
              <w:rPr>
                <w:rFonts w:ascii="Calibri" w:hAnsi="Calibri"/>
                <w:sz w:val="20"/>
                <w:szCs w:val="20"/>
              </w:rPr>
              <w:t>1</w:t>
            </w:r>
          </w:p>
        </w:tc>
        <w:tc>
          <w:tcPr>
            <w:tcW w:w="438" w:type="pct"/>
            <w:tcBorders>
              <w:bottom w:val="single" w:sz="4" w:space="0" w:color="auto"/>
            </w:tcBorders>
            <w:vAlign w:val="bottom"/>
          </w:tcPr>
          <w:p w:rsidR="00AD52E0" w:rsidRDefault="00AD52E0" w:rsidP="006574FE">
            <w:pPr>
              <w:keepNext/>
              <w:keepLines/>
              <w:spacing w:before="60" w:after="60" w:line="200" w:lineRule="atLeast"/>
              <w:jc w:val="right"/>
              <w:rPr>
                <w:rFonts w:ascii="Calibri" w:hAnsi="Calibri"/>
                <w:sz w:val="20"/>
                <w:szCs w:val="20"/>
              </w:rPr>
            </w:pPr>
            <w:r w:rsidRPr="00AD52E0">
              <w:rPr>
                <w:rFonts w:ascii="Calibri" w:hAnsi="Calibri"/>
                <w:sz w:val="20"/>
                <w:szCs w:val="20"/>
              </w:rPr>
              <w:t>-1</w:t>
            </w:r>
          </w:p>
        </w:tc>
        <w:tc>
          <w:tcPr>
            <w:tcW w:w="401" w:type="pct"/>
            <w:tcBorders>
              <w:bottom w:val="single" w:sz="4" w:space="0" w:color="auto"/>
            </w:tcBorders>
            <w:vAlign w:val="bottom"/>
          </w:tcPr>
          <w:p w:rsidR="00AD52E0" w:rsidRDefault="00AD52E0" w:rsidP="006574FE">
            <w:pPr>
              <w:keepNext/>
              <w:keepLines/>
              <w:spacing w:before="60" w:after="60" w:line="200" w:lineRule="atLeast"/>
              <w:jc w:val="right"/>
              <w:rPr>
                <w:rFonts w:ascii="Calibri" w:hAnsi="Calibri"/>
                <w:sz w:val="20"/>
                <w:szCs w:val="20"/>
              </w:rPr>
            </w:pPr>
            <w:r w:rsidRPr="00AD52E0">
              <w:rPr>
                <w:rFonts w:ascii="Calibri" w:hAnsi="Calibri"/>
                <w:sz w:val="20"/>
                <w:szCs w:val="20"/>
              </w:rPr>
              <w:t>3</w:t>
            </w:r>
          </w:p>
        </w:tc>
        <w:tc>
          <w:tcPr>
            <w:tcW w:w="389" w:type="pct"/>
            <w:tcBorders>
              <w:bottom w:val="single" w:sz="4" w:space="0" w:color="auto"/>
            </w:tcBorders>
            <w:vAlign w:val="bottom"/>
          </w:tcPr>
          <w:p w:rsidR="00AD52E0" w:rsidRDefault="00AD52E0" w:rsidP="006574FE">
            <w:pPr>
              <w:keepNext/>
              <w:keepLines/>
              <w:spacing w:before="60" w:after="60" w:line="200" w:lineRule="atLeast"/>
              <w:jc w:val="right"/>
              <w:rPr>
                <w:rFonts w:ascii="Calibri" w:hAnsi="Calibri"/>
                <w:sz w:val="20"/>
                <w:szCs w:val="20"/>
              </w:rPr>
            </w:pPr>
            <w:r w:rsidRPr="00AD52E0">
              <w:rPr>
                <w:rFonts w:ascii="Calibri" w:hAnsi="Calibri"/>
                <w:sz w:val="20"/>
                <w:szCs w:val="20"/>
              </w:rPr>
              <w:t>2</w:t>
            </w:r>
          </w:p>
        </w:tc>
        <w:tc>
          <w:tcPr>
            <w:tcW w:w="524" w:type="pct"/>
            <w:tcBorders>
              <w:bottom w:val="single" w:sz="4" w:space="0" w:color="auto"/>
            </w:tcBorders>
            <w:vAlign w:val="bottom"/>
          </w:tcPr>
          <w:p w:rsidR="00AD52E0" w:rsidRDefault="00AD52E0" w:rsidP="006574FE">
            <w:pPr>
              <w:keepNext/>
              <w:keepLines/>
              <w:spacing w:before="60" w:after="60" w:line="200" w:lineRule="atLeast"/>
              <w:jc w:val="right"/>
              <w:rPr>
                <w:rFonts w:ascii="Calibri" w:hAnsi="Calibri"/>
                <w:sz w:val="20"/>
                <w:szCs w:val="20"/>
              </w:rPr>
            </w:pPr>
            <w:r w:rsidRPr="00AD52E0">
              <w:rPr>
                <w:rFonts w:ascii="Calibri" w:hAnsi="Calibri"/>
                <w:sz w:val="20"/>
                <w:szCs w:val="20"/>
              </w:rPr>
              <w:t>61</w:t>
            </w:r>
          </w:p>
        </w:tc>
      </w:tr>
      <w:tr w:rsidR="00AD52E0" w:rsidRPr="00FE3F73" w:rsidTr="006574FE">
        <w:trPr>
          <w:trHeight w:hRule="exact" w:val="363"/>
        </w:trPr>
        <w:tc>
          <w:tcPr>
            <w:tcW w:w="1056" w:type="pct"/>
            <w:tcBorders>
              <w:bottom w:val="single" w:sz="4" w:space="0" w:color="auto"/>
            </w:tcBorders>
            <w:vAlign w:val="bottom"/>
          </w:tcPr>
          <w:p w:rsidR="00AD52E0" w:rsidRDefault="00AD52E0" w:rsidP="006574FE">
            <w:pPr>
              <w:keepNext/>
              <w:keepLines/>
              <w:spacing w:before="60" w:after="60" w:line="200" w:lineRule="atLeast"/>
              <w:rPr>
                <w:rFonts w:ascii="Calibri" w:hAnsi="Calibri"/>
                <w:sz w:val="20"/>
                <w:szCs w:val="20"/>
              </w:rPr>
            </w:pPr>
            <w:r>
              <w:rPr>
                <w:rFonts w:ascii="Calibri" w:hAnsi="Calibri"/>
                <w:sz w:val="20"/>
                <w:szCs w:val="20"/>
              </w:rPr>
              <w:t>Total</w:t>
            </w:r>
          </w:p>
        </w:tc>
        <w:tc>
          <w:tcPr>
            <w:tcW w:w="438" w:type="pct"/>
            <w:tcBorders>
              <w:top w:val="single" w:sz="4" w:space="0" w:color="auto"/>
              <w:bottom w:val="single" w:sz="4" w:space="0" w:color="auto"/>
            </w:tcBorders>
            <w:vAlign w:val="bottom"/>
          </w:tcPr>
          <w:p w:rsidR="00AD52E0" w:rsidRDefault="00AD52E0" w:rsidP="00AD52E0">
            <w:pPr>
              <w:keepNext/>
              <w:keepLines/>
              <w:spacing w:before="60" w:after="60" w:line="200" w:lineRule="atLeast"/>
              <w:jc w:val="right"/>
              <w:rPr>
                <w:rFonts w:ascii="Calibri" w:hAnsi="Calibri"/>
                <w:sz w:val="20"/>
                <w:szCs w:val="20"/>
              </w:rPr>
            </w:pPr>
            <w:r w:rsidRPr="00AD52E0">
              <w:rPr>
                <w:rFonts w:ascii="Calibri" w:hAnsi="Calibri"/>
                <w:sz w:val="20"/>
                <w:szCs w:val="20"/>
              </w:rPr>
              <w:t>198</w:t>
            </w:r>
          </w:p>
        </w:tc>
        <w:tc>
          <w:tcPr>
            <w:tcW w:w="438" w:type="pct"/>
            <w:tcBorders>
              <w:top w:val="single" w:sz="4" w:space="0" w:color="auto"/>
              <w:bottom w:val="single" w:sz="4" w:space="0" w:color="auto"/>
            </w:tcBorders>
            <w:vAlign w:val="bottom"/>
          </w:tcPr>
          <w:p w:rsidR="00AD52E0" w:rsidRDefault="00AD52E0" w:rsidP="00CC00BF">
            <w:pPr>
              <w:keepNext/>
              <w:keepLines/>
              <w:spacing w:before="60" w:after="60" w:line="200" w:lineRule="atLeast"/>
              <w:jc w:val="right"/>
              <w:rPr>
                <w:rFonts w:ascii="Calibri" w:hAnsi="Calibri"/>
                <w:sz w:val="20"/>
                <w:szCs w:val="20"/>
              </w:rPr>
            </w:pPr>
            <w:r w:rsidRPr="00AD52E0">
              <w:rPr>
                <w:rFonts w:ascii="Calibri" w:hAnsi="Calibri"/>
                <w:sz w:val="20"/>
                <w:szCs w:val="20"/>
              </w:rPr>
              <w:t>59</w:t>
            </w:r>
            <w:r w:rsidR="00CC00BF">
              <w:rPr>
                <w:rFonts w:ascii="Calibri" w:hAnsi="Calibri"/>
                <w:sz w:val="20"/>
                <w:szCs w:val="20"/>
              </w:rPr>
              <w:t>5</w:t>
            </w:r>
          </w:p>
        </w:tc>
        <w:tc>
          <w:tcPr>
            <w:tcW w:w="438" w:type="pct"/>
            <w:tcBorders>
              <w:top w:val="single" w:sz="4" w:space="0" w:color="auto"/>
              <w:bottom w:val="single" w:sz="4" w:space="0" w:color="auto"/>
            </w:tcBorders>
            <w:vAlign w:val="bottom"/>
          </w:tcPr>
          <w:p w:rsidR="00AD52E0" w:rsidRDefault="00AD52E0" w:rsidP="00AD52E0">
            <w:pPr>
              <w:keepNext/>
              <w:keepLines/>
              <w:spacing w:before="60" w:after="60" w:line="200" w:lineRule="atLeast"/>
              <w:jc w:val="right"/>
              <w:rPr>
                <w:rFonts w:ascii="Calibri" w:hAnsi="Calibri"/>
                <w:sz w:val="20"/>
                <w:szCs w:val="20"/>
              </w:rPr>
            </w:pPr>
            <w:r w:rsidRPr="00AD52E0">
              <w:rPr>
                <w:rFonts w:ascii="Calibri" w:hAnsi="Calibri"/>
                <w:sz w:val="20"/>
                <w:szCs w:val="20"/>
              </w:rPr>
              <w:t>-338</w:t>
            </w:r>
          </w:p>
        </w:tc>
        <w:tc>
          <w:tcPr>
            <w:tcW w:w="438" w:type="pct"/>
            <w:tcBorders>
              <w:top w:val="single" w:sz="4" w:space="0" w:color="auto"/>
              <w:bottom w:val="single" w:sz="4" w:space="0" w:color="auto"/>
            </w:tcBorders>
            <w:vAlign w:val="bottom"/>
          </w:tcPr>
          <w:p w:rsidR="00AD52E0" w:rsidRDefault="00AD52E0" w:rsidP="00AD52E0">
            <w:pPr>
              <w:keepNext/>
              <w:keepLines/>
              <w:spacing w:before="60" w:after="60" w:line="200" w:lineRule="atLeast"/>
              <w:jc w:val="right"/>
              <w:rPr>
                <w:rFonts w:ascii="Calibri" w:hAnsi="Calibri"/>
                <w:sz w:val="20"/>
                <w:szCs w:val="20"/>
              </w:rPr>
            </w:pPr>
            <w:r w:rsidRPr="00AD52E0">
              <w:rPr>
                <w:rFonts w:ascii="Calibri" w:hAnsi="Calibri"/>
                <w:sz w:val="20"/>
                <w:szCs w:val="20"/>
              </w:rPr>
              <w:t>-147</w:t>
            </w:r>
          </w:p>
        </w:tc>
        <w:tc>
          <w:tcPr>
            <w:tcW w:w="439" w:type="pct"/>
            <w:tcBorders>
              <w:top w:val="single" w:sz="4" w:space="0" w:color="auto"/>
              <w:bottom w:val="single" w:sz="4" w:space="0" w:color="auto"/>
            </w:tcBorders>
            <w:vAlign w:val="bottom"/>
          </w:tcPr>
          <w:p w:rsidR="00AD52E0" w:rsidRDefault="00AD52E0" w:rsidP="00CC00BF">
            <w:pPr>
              <w:keepNext/>
              <w:keepLines/>
              <w:spacing w:before="60" w:after="60" w:line="200" w:lineRule="atLeast"/>
              <w:jc w:val="right"/>
              <w:rPr>
                <w:rFonts w:ascii="Calibri" w:hAnsi="Calibri"/>
                <w:sz w:val="20"/>
                <w:szCs w:val="20"/>
              </w:rPr>
            </w:pPr>
            <w:r w:rsidRPr="00AD52E0">
              <w:rPr>
                <w:rFonts w:ascii="Calibri" w:hAnsi="Calibri"/>
                <w:sz w:val="20"/>
                <w:szCs w:val="20"/>
              </w:rPr>
              <w:t>-17</w:t>
            </w:r>
            <w:r w:rsidR="00CC00BF">
              <w:rPr>
                <w:rFonts w:ascii="Calibri" w:hAnsi="Calibri"/>
                <w:sz w:val="20"/>
                <w:szCs w:val="20"/>
              </w:rPr>
              <w:t>3</w:t>
            </w:r>
          </w:p>
        </w:tc>
        <w:tc>
          <w:tcPr>
            <w:tcW w:w="438" w:type="pct"/>
            <w:tcBorders>
              <w:top w:val="single" w:sz="4" w:space="0" w:color="auto"/>
              <w:bottom w:val="single" w:sz="4" w:space="0" w:color="auto"/>
            </w:tcBorders>
            <w:vAlign w:val="bottom"/>
          </w:tcPr>
          <w:p w:rsidR="00AD52E0" w:rsidRDefault="00AD52E0" w:rsidP="00AD52E0">
            <w:pPr>
              <w:keepNext/>
              <w:keepLines/>
              <w:spacing w:before="60" w:after="60" w:line="200" w:lineRule="atLeast"/>
              <w:jc w:val="right"/>
              <w:rPr>
                <w:rFonts w:ascii="Calibri" w:hAnsi="Calibri"/>
                <w:sz w:val="20"/>
                <w:szCs w:val="20"/>
              </w:rPr>
            </w:pPr>
            <w:r w:rsidRPr="00AD52E0">
              <w:rPr>
                <w:rFonts w:ascii="Calibri" w:hAnsi="Calibri"/>
                <w:sz w:val="20"/>
                <w:szCs w:val="20"/>
              </w:rPr>
              <w:t>-78</w:t>
            </w:r>
          </w:p>
        </w:tc>
        <w:tc>
          <w:tcPr>
            <w:tcW w:w="401" w:type="pct"/>
            <w:tcBorders>
              <w:top w:val="single" w:sz="4" w:space="0" w:color="auto"/>
              <w:bottom w:val="single" w:sz="4" w:space="0" w:color="auto"/>
            </w:tcBorders>
            <w:vAlign w:val="bottom"/>
          </w:tcPr>
          <w:p w:rsidR="00AD52E0" w:rsidRDefault="00AD52E0" w:rsidP="00AD52E0">
            <w:pPr>
              <w:keepNext/>
              <w:keepLines/>
              <w:spacing w:before="60" w:after="60" w:line="200" w:lineRule="atLeast"/>
              <w:jc w:val="right"/>
              <w:rPr>
                <w:rFonts w:ascii="Calibri" w:hAnsi="Calibri"/>
                <w:sz w:val="20"/>
                <w:szCs w:val="20"/>
              </w:rPr>
            </w:pPr>
            <w:r w:rsidRPr="00AD52E0">
              <w:rPr>
                <w:rFonts w:ascii="Calibri" w:hAnsi="Calibri"/>
                <w:sz w:val="20"/>
                <w:szCs w:val="20"/>
              </w:rPr>
              <w:t>-25</w:t>
            </w:r>
          </w:p>
        </w:tc>
        <w:tc>
          <w:tcPr>
            <w:tcW w:w="389" w:type="pct"/>
            <w:tcBorders>
              <w:top w:val="single" w:sz="4" w:space="0" w:color="auto"/>
              <w:bottom w:val="single" w:sz="4" w:space="0" w:color="auto"/>
            </w:tcBorders>
            <w:vAlign w:val="bottom"/>
          </w:tcPr>
          <w:p w:rsidR="00AD52E0" w:rsidRDefault="00AD52E0" w:rsidP="00AD52E0">
            <w:pPr>
              <w:keepNext/>
              <w:keepLines/>
              <w:spacing w:before="60" w:after="60" w:line="200" w:lineRule="atLeast"/>
              <w:jc w:val="right"/>
              <w:rPr>
                <w:rFonts w:ascii="Calibri" w:hAnsi="Calibri"/>
                <w:sz w:val="20"/>
                <w:szCs w:val="20"/>
              </w:rPr>
            </w:pPr>
            <w:r w:rsidRPr="00AD52E0">
              <w:rPr>
                <w:rFonts w:ascii="Calibri" w:hAnsi="Calibri"/>
                <w:sz w:val="20"/>
                <w:szCs w:val="20"/>
              </w:rPr>
              <w:t>-33</w:t>
            </w:r>
          </w:p>
        </w:tc>
        <w:tc>
          <w:tcPr>
            <w:tcW w:w="524" w:type="pct"/>
            <w:tcBorders>
              <w:top w:val="single" w:sz="4" w:space="0" w:color="auto"/>
              <w:bottom w:val="single" w:sz="4" w:space="0" w:color="auto"/>
            </w:tcBorders>
            <w:vAlign w:val="bottom"/>
          </w:tcPr>
          <w:p w:rsidR="00AD52E0" w:rsidRDefault="00AD52E0" w:rsidP="00CC00BF">
            <w:pPr>
              <w:keepNext/>
              <w:keepLines/>
              <w:spacing w:before="60" w:after="60" w:line="200" w:lineRule="atLeast"/>
              <w:jc w:val="right"/>
              <w:rPr>
                <w:rFonts w:ascii="Calibri" w:hAnsi="Calibri"/>
                <w:sz w:val="20"/>
                <w:szCs w:val="20"/>
              </w:rPr>
            </w:pPr>
            <w:r w:rsidRPr="00AD52E0">
              <w:rPr>
                <w:rFonts w:ascii="Calibri" w:hAnsi="Calibri"/>
                <w:sz w:val="20"/>
                <w:szCs w:val="20"/>
              </w:rPr>
              <w:t>79</w:t>
            </w:r>
            <w:r w:rsidR="00CC00BF">
              <w:rPr>
                <w:rFonts w:ascii="Calibri" w:hAnsi="Calibri"/>
                <w:sz w:val="20"/>
                <w:szCs w:val="20"/>
              </w:rPr>
              <w:t>3</w:t>
            </w:r>
          </w:p>
        </w:tc>
      </w:tr>
    </w:tbl>
    <w:p w:rsidR="00F61EF6" w:rsidRDefault="00F61EF6" w:rsidP="0040068A">
      <w:pPr>
        <w:pStyle w:val="CGCTableFootnote"/>
        <w:keepNext/>
        <w:keepLines/>
      </w:pPr>
      <w:r>
        <w:t>(a)</w:t>
      </w:r>
      <w:r>
        <w:tab/>
        <w:t>Totals may not add-up due to interactions.</w:t>
      </w:r>
    </w:p>
    <w:p w:rsidR="00AD52E0" w:rsidRDefault="00F61EF6" w:rsidP="00AD52E0">
      <w:pPr>
        <w:pStyle w:val="CGCTableFootnote"/>
        <w:keepNext/>
        <w:keepLines/>
      </w:pPr>
      <w:r>
        <w:t>Source:</w:t>
      </w:r>
      <w:r>
        <w:tab/>
        <w:t>Commission calculation, 2018 Update.</w:t>
      </w:r>
      <w:r w:rsidR="003D2F1A">
        <w:tab/>
      </w:r>
    </w:p>
    <w:p w:rsidR="00F83306" w:rsidRDefault="00F83306" w:rsidP="00F83306">
      <w:pPr>
        <w:pStyle w:val="Heading3"/>
      </w:pPr>
      <w:bookmarkStart w:id="43" w:name="_Toc511381338"/>
      <w:bookmarkStart w:id="44" w:name="_Toc511383913"/>
      <w:bookmarkStart w:id="45" w:name="_Toc511383927"/>
      <w:r>
        <w:t>ISSUES AND ANALYSIS</w:t>
      </w:r>
      <w:bookmarkEnd w:id="43"/>
      <w:bookmarkEnd w:id="44"/>
      <w:bookmarkEnd w:id="45"/>
    </w:p>
    <w:p w:rsidR="000E0593" w:rsidRDefault="000E0593" w:rsidP="000E0593">
      <w:pPr>
        <w:pStyle w:val="CGCNumberedPara"/>
      </w:pPr>
      <w:r w:rsidRPr="00741FF2">
        <w:t xml:space="preserve">The </w:t>
      </w:r>
      <w:r>
        <w:t>main</w:t>
      </w:r>
      <w:r w:rsidRPr="00741FF2">
        <w:t xml:space="preserve"> issue</w:t>
      </w:r>
      <w:r>
        <w:t>s</w:t>
      </w:r>
      <w:r w:rsidRPr="00741FF2">
        <w:t xml:space="preserve"> to be considered </w:t>
      </w:r>
      <w:r>
        <w:t>are:</w:t>
      </w:r>
    </w:p>
    <w:p w:rsidR="000E0593" w:rsidRDefault="00C0482B" w:rsidP="000E0593">
      <w:pPr>
        <w:pStyle w:val="CGCBulletlist"/>
      </w:pPr>
      <w:r>
        <w:t>w</w:t>
      </w:r>
      <w:r w:rsidR="000E0593">
        <w:t xml:space="preserve">hether there is </w:t>
      </w:r>
      <w:r w:rsidR="00A4012A">
        <w:t xml:space="preserve">a </w:t>
      </w:r>
      <w:r w:rsidR="000E0593">
        <w:t>sufficiently robust conceptual case to retain the general approach adopted in the 2010 and 2015 Reviews</w:t>
      </w:r>
    </w:p>
    <w:p w:rsidR="005A6887" w:rsidRDefault="00C0482B" w:rsidP="000E0593">
      <w:pPr>
        <w:pStyle w:val="CGCBulletlist"/>
      </w:pPr>
      <w:r>
        <w:t>w</w:t>
      </w:r>
      <w:r w:rsidR="005A6887">
        <w:t xml:space="preserve">hether the models underpinning the recurrent and infrastructure urban transport assessments can be improved </w:t>
      </w:r>
    </w:p>
    <w:p w:rsidR="005A6887" w:rsidRDefault="00C0482B" w:rsidP="000E0593">
      <w:pPr>
        <w:pStyle w:val="CGCBulletlist"/>
      </w:pPr>
      <w:r>
        <w:lastRenderedPageBreak/>
        <w:t>t</w:t>
      </w:r>
      <w:r w:rsidR="005A6887">
        <w:t xml:space="preserve">he definition </w:t>
      </w:r>
      <w:r w:rsidR="004100AF">
        <w:t xml:space="preserve">and size </w:t>
      </w:r>
      <w:r w:rsidR="005A6887">
        <w:t>of urban areas</w:t>
      </w:r>
    </w:p>
    <w:p w:rsidR="006736DE" w:rsidRDefault="00C0482B" w:rsidP="000E0593">
      <w:pPr>
        <w:pStyle w:val="CGCBulletlist"/>
      </w:pPr>
      <w:r>
        <w:t>t</w:t>
      </w:r>
      <w:r w:rsidR="00B20FD7">
        <w:t>he assessment of non-urban transport subsidies</w:t>
      </w:r>
      <w:r w:rsidR="00264C8D">
        <w:t>.</w:t>
      </w:r>
    </w:p>
    <w:p w:rsidR="008E2B17" w:rsidRDefault="008E2B17" w:rsidP="00A52FCE">
      <w:pPr>
        <w:pStyle w:val="CGCNumberedPara"/>
      </w:pPr>
      <w:r>
        <w:t xml:space="preserve">The </w:t>
      </w:r>
      <w:r w:rsidR="00A52FCE" w:rsidRPr="00A52FCE">
        <w:t>treatment of Commonwealth payments for investment on the National Network Rail projects</w:t>
      </w:r>
      <w:r w:rsidR="00A52FCE">
        <w:t xml:space="preserve"> is discussed in Draft assessment paper CGC 2018-01/18-S </w:t>
      </w:r>
      <w:r w:rsidR="00A52FCE" w:rsidRPr="00A52FCE">
        <w:rPr>
          <w:i/>
        </w:rPr>
        <w:t>Roads</w:t>
      </w:r>
      <w:r w:rsidR="00A52FCE" w:rsidRPr="00A52FCE">
        <w:t xml:space="preserve">. </w:t>
      </w:r>
    </w:p>
    <w:p w:rsidR="00430C4E" w:rsidRDefault="005D57CF" w:rsidP="00F83306">
      <w:pPr>
        <w:pStyle w:val="Heading4"/>
      </w:pPr>
      <w:bookmarkStart w:id="46" w:name="_Toc511381339"/>
      <w:bookmarkStart w:id="47" w:name="_Toc511383914"/>
      <w:bookmarkStart w:id="48" w:name="_Toc511383928"/>
      <w:r>
        <w:t>Conceptual</w:t>
      </w:r>
      <w:r w:rsidR="001B5274">
        <w:t xml:space="preserve"> case</w:t>
      </w:r>
      <w:bookmarkEnd w:id="46"/>
      <w:bookmarkEnd w:id="47"/>
      <w:bookmarkEnd w:id="48"/>
    </w:p>
    <w:p w:rsidR="005D57CF" w:rsidRDefault="005D57CF" w:rsidP="005D57CF">
      <w:pPr>
        <w:pStyle w:val="CGCNumberedPara"/>
      </w:pPr>
      <w:r>
        <w:t xml:space="preserve">In </w:t>
      </w:r>
      <w:r w:rsidR="00962FF7">
        <w:t xml:space="preserve">the </w:t>
      </w:r>
      <w:r>
        <w:t xml:space="preserve">last </w:t>
      </w:r>
      <w:r w:rsidR="00962FF7">
        <w:t xml:space="preserve">two </w:t>
      </w:r>
      <w:r>
        <w:t>review</w:t>
      </w:r>
      <w:r w:rsidR="00962FF7">
        <w:t>s</w:t>
      </w:r>
      <w:r>
        <w:t xml:space="preserve">, some States have criticised the conceptual </w:t>
      </w:r>
      <w:r w:rsidR="0012376A">
        <w:t xml:space="preserve">case </w:t>
      </w:r>
      <w:r>
        <w:t xml:space="preserve">supporting the assessment model as weak and lacking theoretical </w:t>
      </w:r>
      <w:r w:rsidR="00F97A93">
        <w:t>underpinning.</w:t>
      </w:r>
      <w:r w:rsidR="00150643">
        <w:t xml:space="preserve"> The conceptual case rests on</w:t>
      </w:r>
      <w:r w:rsidR="00C0482B">
        <w:t xml:space="preserve"> the following propositions</w:t>
      </w:r>
      <w:r w:rsidR="00150643">
        <w:t>:</w:t>
      </w:r>
    </w:p>
    <w:p w:rsidR="00150643" w:rsidRDefault="00150643" w:rsidP="00150643">
      <w:pPr>
        <w:pStyle w:val="CGCBulletlist"/>
      </w:pPr>
      <w:r>
        <w:t xml:space="preserve">population is the main </w:t>
      </w:r>
      <w:r w:rsidR="00CB13D3">
        <w:t xml:space="preserve">non-policy influenced </w:t>
      </w:r>
      <w:r>
        <w:t>driver of urban transport expenses</w:t>
      </w:r>
    </w:p>
    <w:p w:rsidR="00150643" w:rsidRDefault="00150643" w:rsidP="00150643">
      <w:pPr>
        <w:pStyle w:val="CGCBulletlist"/>
      </w:pPr>
      <w:r>
        <w:t>per capita net expenses increase with urban population size.</w:t>
      </w:r>
    </w:p>
    <w:p w:rsidR="00DC0E60" w:rsidRDefault="00DC0E60" w:rsidP="00DC0E60">
      <w:pPr>
        <w:pStyle w:val="Heading5"/>
      </w:pPr>
      <w:r>
        <w:t xml:space="preserve">Drivers of expenses </w:t>
      </w:r>
    </w:p>
    <w:p w:rsidR="00F97A93" w:rsidRDefault="00F97A93" w:rsidP="005D57CF">
      <w:pPr>
        <w:pStyle w:val="CGCNumberedPara"/>
      </w:pPr>
      <w:r>
        <w:t xml:space="preserve">Work done by </w:t>
      </w:r>
      <w:r w:rsidR="0068596B">
        <w:t>the</w:t>
      </w:r>
      <w:r>
        <w:t xml:space="preserve"> consultant engaged for this review and Commission staff</w:t>
      </w:r>
      <w:r w:rsidR="0012376A">
        <w:t xml:space="preserve"> </w:t>
      </w:r>
      <w:r w:rsidR="002F4B27">
        <w:t xml:space="preserve">sought to </w:t>
      </w:r>
      <w:r w:rsidR="00DA311B">
        <w:t>identify the</w:t>
      </w:r>
      <w:r w:rsidR="00DC0E60">
        <w:t xml:space="preserve"> drivers o</w:t>
      </w:r>
      <w:r w:rsidR="00DA311B">
        <w:t>f</w:t>
      </w:r>
      <w:r w:rsidR="00DC0E60">
        <w:t xml:space="preserve"> State </w:t>
      </w:r>
      <w:r w:rsidR="00DA311B">
        <w:t xml:space="preserve">urban transport </w:t>
      </w:r>
      <w:r w:rsidR="00DC0E60">
        <w:t>expenses</w:t>
      </w:r>
      <w:r w:rsidR="00105640">
        <w:t>.</w:t>
      </w:r>
    </w:p>
    <w:p w:rsidR="00B94580" w:rsidRDefault="002F4B27" w:rsidP="00B94580">
      <w:pPr>
        <w:pStyle w:val="CGCNumberedPara"/>
        <w:numPr>
          <w:ilvl w:val="1"/>
          <w:numId w:val="3"/>
        </w:numPr>
      </w:pPr>
      <w:r>
        <w:t>However, t</w:t>
      </w:r>
      <w:r w:rsidR="00B94580">
        <w:t>he specific question relevant to the assessment</w:t>
      </w:r>
      <w:r w:rsidR="00DA311B">
        <w:t>s</w:t>
      </w:r>
      <w:r w:rsidR="005E76A1">
        <w:t xml:space="preserve"> (‘what drives the net expenditure</w:t>
      </w:r>
      <w:r w:rsidR="00B94580">
        <w:t xml:space="preserve"> of urban trans</w:t>
      </w:r>
      <w:r w:rsidR="002457FA">
        <w:t>port</w:t>
      </w:r>
      <w:r w:rsidR="00B94580">
        <w:t xml:space="preserve"> services’) is not addressed </w:t>
      </w:r>
      <w:r w:rsidR="0012376A">
        <w:t xml:space="preserve">directly </w:t>
      </w:r>
      <w:r w:rsidR="00B94580">
        <w:t>in the</w:t>
      </w:r>
      <w:r w:rsidR="001B5274">
        <w:t xml:space="preserve"> Australian </w:t>
      </w:r>
      <w:r w:rsidR="00577898">
        <w:t>or the</w:t>
      </w:r>
      <w:r w:rsidR="001B5274">
        <w:t xml:space="preserve"> international</w:t>
      </w:r>
      <w:r w:rsidR="0012376A" w:rsidRPr="0012376A">
        <w:t xml:space="preserve"> </w:t>
      </w:r>
      <w:r w:rsidR="0012376A">
        <w:t>literature</w:t>
      </w:r>
      <w:r w:rsidR="00B94580">
        <w:t>.</w:t>
      </w:r>
      <w:r w:rsidR="00B94580">
        <w:rPr>
          <w:rStyle w:val="FootnoteReference"/>
        </w:rPr>
        <w:footnoteReference w:id="3"/>
      </w:r>
      <w:r w:rsidR="00B94580">
        <w:t xml:space="preserve"> The literature looks separately at the factors affecting the major determinants of costs </w:t>
      </w:r>
      <w:r w:rsidR="00DA311B">
        <w:t xml:space="preserve">and revenue </w:t>
      </w:r>
      <w:r w:rsidR="00B94580">
        <w:t xml:space="preserve">(the demand for, the supply of, and the costs of transport services). </w:t>
      </w:r>
    </w:p>
    <w:p w:rsidR="00B94580" w:rsidRDefault="00B94580" w:rsidP="00B94580">
      <w:pPr>
        <w:pStyle w:val="CGCNumberedPara"/>
        <w:numPr>
          <w:ilvl w:val="1"/>
          <w:numId w:val="3"/>
        </w:numPr>
      </w:pPr>
      <w:r>
        <w:t>The drivers of the use of public transport, price elasticities and the impact of urban form on public tr</w:t>
      </w:r>
      <w:r w:rsidR="00F2648B">
        <w:t>ansport</w:t>
      </w:r>
      <w:r w:rsidRPr="008F7DD2">
        <w:t xml:space="preserve"> </w:t>
      </w:r>
      <w:r>
        <w:t xml:space="preserve">are major focuses of research. Some research also examines how public </w:t>
      </w:r>
      <w:r w:rsidR="00023ED6">
        <w:t>transport</w:t>
      </w:r>
      <w:r>
        <w:t xml:space="preserve"> supply matches social needs and how privatisation affects costs. </w:t>
      </w:r>
    </w:p>
    <w:p w:rsidR="00B94580" w:rsidRDefault="00B94580" w:rsidP="00B94580">
      <w:pPr>
        <w:pStyle w:val="CGCNumberedPara"/>
        <w:numPr>
          <w:ilvl w:val="1"/>
          <w:numId w:val="3"/>
        </w:numPr>
      </w:pPr>
      <w:r>
        <w:t xml:space="preserve">The </w:t>
      </w:r>
      <w:r>
        <w:rPr>
          <w:szCs w:val="20"/>
        </w:rPr>
        <w:t>literature</w:t>
      </w:r>
      <w:r>
        <w:t xml:space="preserve"> indicates </w:t>
      </w:r>
      <w:r w:rsidR="005E76A1">
        <w:t>that</w:t>
      </w:r>
      <w:r>
        <w:t xml:space="preserve"> demand for public </w:t>
      </w:r>
      <w:r w:rsidR="00023ED6">
        <w:t>transport</w:t>
      </w:r>
      <w:r>
        <w:t xml:space="preserve"> is influenced by many factors whose effects vary from place to place and time to time. Those influences include:</w:t>
      </w:r>
    </w:p>
    <w:p w:rsidR="00612D48" w:rsidRDefault="00612D48" w:rsidP="00B94580">
      <w:pPr>
        <w:pStyle w:val="CGCBulletlist"/>
        <w:numPr>
          <w:ilvl w:val="0"/>
          <w:numId w:val="1"/>
        </w:numPr>
        <w:tabs>
          <w:tab w:val="clear" w:pos="927"/>
          <w:tab w:val="num" w:pos="1920"/>
        </w:tabs>
        <w:ind w:left="1134" w:hanging="567"/>
      </w:pPr>
      <w:r>
        <w:t>non-policy influences:</w:t>
      </w:r>
    </w:p>
    <w:p w:rsidR="00B94580" w:rsidRDefault="00B94580" w:rsidP="00612D48">
      <w:pPr>
        <w:pStyle w:val="CGCSubbulletlist"/>
      </w:pPr>
      <w:r>
        <w:t>urban area population size and its composition in terms of age and socio</w:t>
      </w:r>
      <w:r>
        <w:noBreakHyphen/>
        <w:t xml:space="preserve">economic status </w:t>
      </w:r>
      <w:r w:rsidR="00313624">
        <w:t>(</w:t>
      </w:r>
      <w:r w:rsidR="00DA311B">
        <w:t xml:space="preserve">including </w:t>
      </w:r>
      <w:r w:rsidR="00313624">
        <w:t>car ownership and car travel costs)</w:t>
      </w:r>
    </w:p>
    <w:p w:rsidR="00B94580" w:rsidRDefault="00B94580" w:rsidP="00612D48">
      <w:pPr>
        <w:pStyle w:val="CGCSubbulletlist"/>
      </w:pPr>
      <w:r>
        <w:t xml:space="preserve">urban form including: size of urban area; distances between residential areas and areas of economic activity; population density; </w:t>
      </w:r>
      <w:r w:rsidR="00577898">
        <w:t>and whether</w:t>
      </w:r>
      <w:r>
        <w:t xml:space="preserve"> economic activit</w:t>
      </w:r>
      <w:r w:rsidR="00577898">
        <w:t>y is</w:t>
      </w:r>
      <w:r>
        <w:t xml:space="preserve"> concentrated in one or many centres</w:t>
      </w:r>
    </w:p>
    <w:p w:rsidR="00B94580" w:rsidRDefault="00B94580" w:rsidP="00612D48">
      <w:pPr>
        <w:pStyle w:val="CGCSubbulletlist"/>
      </w:pPr>
      <w:r>
        <w:t>geographic features (such as harbours) which affect route design and trip times</w:t>
      </w:r>
    </w:p>
    <w:p w:rsidR="008638E9" w:rsidRDefault="00B94580" w:rsidP="00150643">
      <w:pPr>
        <w:pStyle w:val="CGCSubbulletlist"/>
        <w:rPr>
          <w:u w:val="single"/>
        </w:rPr>
      </w:pPr>
      <w:r>
        <w:lastRenderedPageBreak/>
        <w:t>city history</w:t>
      </w:r>
      <w:r w:rsidR="005E76A1">
        <w:t>,</w:t>
      </w:r>
      <w:r>
        <w:t xml:space="preserve"> which may have affected the location of economic activity and the pattern of development</w:t>
      </w:r>
    </w:p>
    <w:p w:rsidR="00612D48" w:rsidRDefault="00612D48" w:rsidP="00B94580">
      <w:pPr>
        <w:pStyle w:val="CGCBulletlist"/>
        <w:numPr>
          <w:ilvl w:val="0"/>
          <w:numId w:val="1"/>
        </w:numPr>
        <w:tabs>
          <w:tab w:val="clear" w:pos="927"/>
          <w:tab w:val="num" w:pos="1920"/>
        </w:tabs>
        <w:ind w:left="1134" w:hanging="567"/>
      </w:pPr>
      <w:r>
        <w:t>policy influences</w:t>
      </w:r>
    </w:p>
    <w:p w:rsidR="00B94580" w:rsidRDefault="00B94580" w:rsidP="00612D48">
      <w:pPr>
        <w:pStyle w:val="CGCSubbulletlist"/>
      </w:pPr>
      <w:r>
        <w:t>service quality</w:t>
      </w:r>
      <w:r w:rsidR="00612D48">
        <w:t>, including efficiency</w:t>
      </w:r>
    </w:p>
    <w:p w:rsidR="00B94580" w:rsidRDefault="00B94580" w:rsidP="00612D48">
      <w:pPr>
        <w:pStyle w:val="CGCSubbulletlist"/>
      </w:pPr>
      <w:r>
        <w:t>public transport fares</w:t>
      </w:r>
    </w:p>
    <w:p w:rsidR="00B94580" w:rsidRDefault="00B94580" w:rsidP="00612D48">
      <w:pPr>
        <w:pStyle w:val="CGCSubbulletlist"/>
      </w:pPr>
      <w:r>
        <w:t>availability of car parking and its costs</w:t>
      </w:r>
    </w:p>
    <w:p w:rsidR="00B94580" w:rsidRDefault="00B94580" w:rsidP="00612D48">
      <w:pPr>
        <w:pStyle w:val="CGCSubbulletlist"/>
      </w:pPr>
      <w:r>
        <w:t>congestion and car travel trip times</w:t>
      </w:r>
    </w:p>
    <w:p w:rsidR="00B94580" w:rsidRDefault="00B94580" w:rsidP="00612D48">
      <w:pPr>
        <w:pStyle w:val="CGCSubbulletlist"/>
      </w:pPr>
      <w:r>
        <w:t>government policies on land use, environmental issues, access to central areas.</w:t>
      </w:r>
    </w:p>
    <w:p w:rsidR="00B94580" w:rsidRDefault="00B94580" w:rsidP="00B94580">
      <w:pPr>
        <w:pStyle w:val="CGCNumberedPara"/>
        <w:numPr>
          <w:ilvl w:val="1"/>
          <w:numId w:val="3"/>
        </w:numPr>
      </w:pPr>
      <w:r>
        <w:t>The supply and costs of transport may be affected by:</w:t>
      </w:r>
    </w:p>
    <w:p w:rsidR="00E9076D" w:rsidRDefault="00E9076D" w:rsidP="00E9076D">
      <w:pPr>
        <w:pStyle w:val="CGCBulletlist"/>
        <w:numPr>
          <w:ilvl w:val="0"/>
          <w:numId w:val="1"/>
        </w:numPr>
        <w:tabs>
          <w:tab w:val="clear" w:pos="927"/>
          <w:tab w:val="num" w:pos="1920"/>
        </w:tabs>
        <w:ind w:left="1134" w:hanging="567"/>
      </w:pPr>
      <w:r>
        <w:t>non-policy influences:</w:t>
      </w:r>
    </w:p>
    <w:p w:rsidR="00B94580" w:rsidRDefault="00B94580" w:rsidP="00E9076D">
      <w:pPr>
        <w:pStyle w:val="CGCSubbulletlist"/>
      </w:pPr>
      <w:r>
        <w:t>the demand for services and how it is spread through the day and week</w:t>
      </w:r>
    </w:p>
    <w:p w:rsidR="00B94580" w:rsidRDefault="00B94580" w:rsidP="00E9076D">
      <w:pPr>
        <w:pStyle w:val="CGCSubbulletlist"/>
      </w:pPr>
      <w:r>
        <w:t>the socio-economic characteristics of users (which may affect the need to provide some services and/or targeted fare concessions)</w:t>
      </w:r>
    </w:p>
    <w:p w:rsidR="00A71C8B" w:rsidRDefault="00A71C8B" w:rsidP="00A71C8B">
      <w:pPr>
        <w:pStyle w:val="CGCSubbulletlist"/>
      </w:pPr>
      <w:r>
        <w:t>congestion and its effect on operating speeds</w:t>
      </w:r>
    </w:p>
    <w:p w:rsidR="00B94580" w:rsidRDefault="00B94580" w:rsidP="00E9076D">
      <w:pPr>
        <w:pStyle w:val="CGCSubbulletlist"/>
      </w:pPr>
      <w:r>
        <w:t>trip lengths</w:t>
      </w:r>
    </w:p>
    <w:p w:rsidR="00E9076D" w:rsidRDefault="00E9076D" w:rsidP="00E9076D">
      <w:pPr>
        <w:pStyle w:val="CGCSubbulletlist"/>
      </w:pPr>
      <w:r>
        <w:t>costs of inputs, especially wages and equipment</w:t>
      </w:r>
    </w:p>
    <w:p w:rsidR="00E9076D" w:rsidRDefault="00E9076D" w:rsidP="00E9076D">
      <w:pPr>
        <w:pStyle w:val="CGCSubbulletlist"/>
      </w:pPr>
      <w:r>
        <w:t>topography</w:t>
      </w:r>
    </w:p>
    <w:p w:rsidR="00E9076D" w:rsidRDefault="00E9076D" w:rsidP="00E9076D">
      <w:pPr>
        <w:pStyle w:val="CGCBulletlist"/>
      </w:pPr>
      <w:r>
        <w:t>policy influences</w:t>
      </w:r>
    </w:p>
    <w:p w:rsidR="00B94580" w:rsidRDefault="00B94580" w:rsidP="00E9076D">
      <w:pPr>
        <w:pStyle w:val="CGCSubbulletlist"/>
      </w:pPr>
      <w:r>
        <w:t>mode of transport provided</w:t>
      </w:r>
    </w:p>
    <w:p w:rsidR="00B94580" w:rsidRDefault="00B94580" w:rsidP="00E9076D">
      <w:pPr>
        <w:pStyle w:val="CGCSubbulletlist"/>
      </w:pPr>
      <w:r>
        <w:t>efficiency and other operating policies, including the extent of contracting/privatisation</w:t>
      </w:r>
    </w:p>
    <w:p w:rsidR="00B94580" w:rsidRDefault="00B94580" w:rsidP="00E9076D">
      <w:pPr>
        <w:pStyle w:val="CGCSubbulletlist"/>
      </w:pPr>
      <w:r>
        <w:t>fare levels</w:t>
      </w:r>
    </w:p>
    <w:p w:rsidR="00B94580" w:rsidRDefault="00B94580" w:rsidP="00E9076D">
      <w:pPr>
        <w:pStyle w:val="CGCSubbulletlist"/>
      </w:pPr>
      <w:r>
        <w:t>the extent to which transport is used to address other policy goals, such as environmental and city developmental issues.</w:t>
      </w:r>
    </w:p>
    <w:p w:rsidR="00557E13" w:rsidRDefault="00557E13" w:rsidP="00B94580">
      <w:pPr>
        <w:pStyle w:val="CGCNumberedPara"/>
        <w:numPr>
          <w:ilvl w:val="1"/>
          <w:numId w:val="3"/>
        </w:numPr>
      </w:pPr>
      <w:r>
        <w:t>Infrastructure specific drivers include</w:t>
      </w:r>
      <w:r w:rsidR="00E9076D">
        <w:t xml:space="preserve"> the following non-policy influences</w:t>
      </w:r>
      <w:r w:rsidR="009E1B2F">
        <w:t>:</w:t>
      </w:r>
    </w:p>
    <w:p w:rsidR="00557E13" w:rsidRDefault="00557E13" w:rsidP="00557E13">
      <w:pPr>
        <w:pStyle w:val="CGCBulletlist"/>
      </w:pPr>
      <w:r>
        <w:t xml:space="preserve">population and economic growth and the location of that growth </w:t>
      </w:r>
    </w:p>
    <w:p w:rsidR="00557E13" w:rsidRDefault="00E9076D" w:rsidP="00557E13">
      <w:pPr>
        <w:pStyle w:val="CGCBulletlist"/>
      </w:pPr>
      <w:r>
        <w:t xml:space="preserve">the </w:t>
      </w:r>
      <w:r w:rsidR="00557E13">
        <w:t>need to retro-fit new facilities into a well-established environment, which creates a need for costly underground and, based on current and proposed projects in Sydney and Melbourne, above ground facilities</w:t>
      </w:r>
    </w:p>
    <w:p w:rsidR="00557E13" w:rsidRDefault="00557E13" w:rsidP="00557E13">
      <w:pPr>
        <w:pStyle w:val="CGCBulletlist"/>
      </w:pPr>
      <w:r>
        <w:t xml:space="preserve">changing technology, including new train technology, which changes the specifications of new infrastructure often leading to new control infrastructure and upgrades of existing infrastructure. These costs occur in all States but more so in the big cities as they are linked to city, task and fleet size. </w:t>
      </w:r>
    </w:p>
    <w:p w:rsidR="008137D1" w:rsidRDefault="00A01521" w:rsidP="00150643">
      <w:pPr>
        <w:pStyle w:val="CGCNumberedPara"/>
      </w:pPr>
      <w:r>
        <w:t>The non-policy influence</w:t>
      </w:r>
      <w:r w:rsidR="0068596B">
        <w:t>s</w:t>
      </w:r>
      <w:r>
        <w:t xml:space="preserve"> fall into two </w:t>
      </w:r>
      <w:r w:rsidR="009E1B2F">
        <w:t xml:space="preserve">broad </w:t>
      </w:r>
      <w:r>
        <w:t xml:space="preserve">groups: population size and characteristics, and urban form and topography. </w:t>
      </w:r>
      <w:r w:rsidR="00C065E9">
        <w:t xml:space="preserve">The </w:t>
      </w:r>
      <w:r w:rsidR="002A1695">
        <w:t>2015 Review recurrent and infrastructure models</w:t>
      </w:r>
      <w:r w:rsidR="00C065E9">
        <w:t xml:space="preserve"> recognise the impact of population size </w:t>
      </w:r>
      <w:r w:rsidR="00A71C8B">
        <w:t xml:space="preserve">on </w:t>
      </w:r>
      <w:r w:rsidR="00C065E9">
        <w:t xml:space="preserve">urban transport </w:t>
      </w:r>
      <w:r w:rsidR="00C065E9">
        <w:lastRenderedPageBreak/>
        <w:t>expenses</w:t>
      </w:r>
      <w:r w:rsidR="002A1695">
        <w:t xml:space="preserve">. </w:t>
      </w:r>
      <w:r w:rsidR="009E1B2F">
        <w:t>F</w:t>
      </w:r>
      <w:r w:rsidR="000D1D03">
        <w:t xml:space="preserve">or </w:t>
      </w:r>
      <w:r w:rsidR="00986F83">
        <w:t>the 2020</w:t>
      </w:r>
      <w:r w:rsidR="00C065E9">
        <w:t> </w:t>
      </w:r>
      <w:r w:rsidR="00986F83">
        <w:t>Review</w:t>
      </w:r>
      <w:r w:rsidR="000D1D03">
        <w:t>, Commission staff have engaged a</w:t>
      </w:r>
      <w:r w:rsidR="00986F83">
        <w:t xml:space="preserve"> transport consultant </w:t>
      </w:r>
      <w:r w:rsidR="000D1D03">
        <w:t>to</w:t>
      </w:r>
      <w:r w:rsidR="00986F83">
        <w:t xml:space="preserve"> investigat</w:t>
      </w:r>
      <w:r w:rsidR="000D1D03">
        <w:t>e</w:t>
      </w:r>
      <w:r w:rsidR="00986F83">
        <w:t xml:space="preserve"> whether the models </w:t>
      </w:r>
      <w:r w:rsidR="00D4297A">
        <w:t>should and, if so, could</w:t>
      </w:r>
      <w:r w:rsidR="00986F83">
        <w:t xml:space="preserve"> be refined to </w:t>
      </w:r>
      <w:r w:rsidR="009E1B2F">
        <w:t xml:space="preserve">explicitly </w:t>
      </w:r>
      <w:r w:rsidR="00986F83">
        <w:t>incorporate</w:t>
      </w:r>
      <w:r w:rsidR="009E1B2F">
        <w:t xml:space="preserve"> population characteristics and urban form</w:t>
      </w:r>
      <w:r w:rsidR="00986F83">
        <w:t>.</w:t>
      </w:r>
    </w:p>
    <w:p w:rsidR="000D1D03" w:rsidRDefault="00D4297A" w:rsidP="00150643">
      <w:pPr>
        <w:pStyle w:val="CGCNumberedPara"/>
      </w:pPr>
      <w:r>
        <w:t>As in the Commission’s other assessments, p</w:t>
      </w:r>
      <w:r w:rsidR="00FA68DF">
        <w:t xml:space="preserve">olicy </w:t>
      </w:r>
      <w:r w:rsidR="00A01521">
        <w:t xml:space="preserve">influences </w:t>
      </w:r>
      <w:r w:rsidR="002A1695">
        <w:t>are reflected in the average expenses</w:t>
      </w:r>
      <w:r w:rsidR="00AA02EC">
        <w:t xml:space="preserve">. </w:t>
      </w:r>
      <w:r w:rsidR="00FA68DF">
        <w:t xml:space="preserve">Some States have </w:t>
      </w:r>
      <w:r w:rsidR="00B14585">
        <w:t>said</w:t>
      </w:r>
      <w:r>
        <w:t xml:space="preserve"> the data for some cities (especially</w:t>
      </w:r>
      <w:r w:rsidR="00FA68DF">
        <w:t xml:space="preserve"> Sydney</w:t>
      </w:r>
      <w:r w:rsidR="000D1D03">
        <w:t>, wh</w:t>
      </w:r>
      <w:r>
        <w:t xml:space="preserve">ere they believe the </w:t>
      </w:r>
      <w:r w:rsidR="000D1D03">
        <w:t>urban transport system is inefficient</w:t>
      </w:r>
      <w:r w:rsidR="00FA68DF">
        <w:t xml:space="preserve">) should be adjusted to remove policy influences. </w:t>
      </w:r>
      <w:r w:rsidR="003D4508">
        <w:t xml:space="preserve">They </w:t>
      </w:r>
      <w:r w:rsidR="000D1D03">
        <w:t xml:space="preserve">also </w:t>
      </w:r>
      <w:r w:rsidR="00B14585">
        <w:t>said</w:t>
      </w:r>
      <w:r w:rsidR="003D4508">
        <w:t xml:space="preserve"> Sydney and Melbourne have too much influence on the results.</w:t>
      </w:r>
      <w:r w:rsidR="006B5920">
        <w:t xml:space="preserve"> </w:t>
      </w:r>
      <w:r w:rsidR="009B1FF1">
        <w:t>(</w:t>
      </w:r>
      <w:r w:rsidR="00DD547F">
        <w:t>That said, staff consider that Sydney</w:t>
      </w:r>
      <w:r>
        <w:t>’s</w:t>
      </w:r>
      <w:r w:rsidR="00DD547F">
        <w:t xml:space="preserve"> per capita net expenses are more in line with the net expenses of other large cities than Melbourne</w:t>
      </w:r>
      <w:r>
        <w:t>’s</w:t>
      </w:r>
      <w:r w:rsidR="00DD547F">
        <w:t>. Melbourne</w:t>
      </w:r>
      <w:r>
        <w:t>’s</w:t>
      </w:r>
      <w:r w:rsidR="00DD547F">
        <w:t xml:space="preserve"> per capita net expenses are low, which may be partly </w:t>
      </w:r>
      <w:r w:rsidR="0026524E">
        <w:t>because</w:t>
      </w:r>
      <w:r w:rsidR="00285CD9">
        <w:t xml:space="preserve"> a proportion of the expenses of its train network, cover</w:t>
      </w:r>
      <w:r w:rsidR="002B4714">
        <w:t>ing</w:t>
      </w:r>
      <w:r w:rsidR="00285CD9">
        <w:t xml:space="preserve"> </w:t>
      </w:r>
      <w:r w:rsidR="0026524E">
        <w:t>citie</w:t>
      </w:r>
      <w:r w:rsidR="00B31197">
        <w:t xml:space="preserve">s such as </w:t>
      </w:r>
      <w:r w:rsidR="002B4714">
        <w:t xml:space="preserve">Melbourne, </w:t>
      </w:r>
      <w:r w:rsidR="00285CD9">
        <w:t xml:space="preserve">Geelong, Bendigo and Ballarat, </w:t>
      </w:r>
      <w:r w:rsidR="0026524E">
        <w:t>are</w:t>
      </w:r>
      <w:r w:rsidR="00285CD9">
        <w:t xml:space="preserve"> classified as non-urban </w:t>
      </w:r>
      <w:r w:rsidR="00F06896">
        <w:t xml:space="preserve">transport </w:t>
      </w:r>
      <w:r w:rsidR="00285CD9">
        <w:t xml:space="preserve">expenses. </w:t>
      </w:r>
      <w:r w:rsidR="006A32E7">
        <w:t>It is possible that some of th</w:t>
      </w:r>
      <w:r w:rsidR="00B14585">
        <w:t>o</w:t>
      </w:r>
      <w:r w:rsidR="006A32E7">
        <w:t xml:space="preserve">se expenses should be reclassified as urban </w:t>
      </w:r>
      <w:r w:rsidR="00F06896">
        <w:t xml:space="preserve">transport </w:t>
      </w:r>
      <w:r w:rsidR="006A32E7">
        <w:t>expenses.</w:t>
      </w:r>
      <w:r w:rsidR="009B1FF1">
        <w:t>)</w:t>
      </w:r>
    </w:p>
    <w:p w:rsidR="00AA02EC" w:rsidRDefault="00FA68DF" w:rsidP="00150643">
      <w:pPr>
        <w:pStyle w:val="CGCNumberedPara"/>
      </w:pPr>
      <w:r>
        <w:t xml:space="preserve">We </w:t>
      </w:r>
      <w:r w:rsidR="001D49A4">
        <w:t xml:space="preserve">are not inclined to adjust </w:t>
      </w:r>
      <w:r w:rsidR="00551516">
        <w:t>individual State data</w:t>
      </w:r>
      <w:r>
        <w:t xml:space="preserve"> because it </w:t>
      </w:r>
      <w:r w:rsidR="0026524E">
        <w:t xml:space="preserve">would move the assessment away from </w:t>
      </w:r>
      <w:r>
        <w:t>what States do</w:t>
      </w:r>
      <w:r w:rsidR="006C2A14">
        <w:t xml:space="preserve"> and </w:t>
      </w:r>
      <w:r w:rsidR="0026524E">
        <w:t xml:space="preserve">towards what they should do. Also, it </w:t>
      </w:r>
      <w:r w:rsidR="006C2A14">
        <w:t>would be inconsistent with the Commission’s other assessments</w:t>
      </w:r>
      <w:r>
        <w:t>.</w:t>
      </w:r>
    </w:p>
    <w:p w:rsidR="00176910" w:rsidRPr="001B6AF4" w:rsidRDefault="00176910" w:rsidP="00176910">
      <w:pPr>
        <w:pStyle w:val="CGCNumberedPara"/>
      </w:pPr>
      <w:r w:rsidRPr="001B6AF4">
        <w:t>Essentially, cities can be group</w:t>
      </w:r>
      <w:r w:rsidR="00476110" w:rsidRPr="001B6AF4">
        <w:t>ed</w:t>
      </w:r>
      <w:r w:rsidRPr="001B6AF4">
        <w:t xml:space="preserve"> according to population size (</w:t>
      </w:r>
      <w:r w:rsidR="00476110" w:rsidRPr="001B6AF4">
        <w:t xml:space="preserve">for example, one group could be </w:t>
      </w:r>
      <w:r w:rsidRPr="001B6AF4">
        <w:t>Sydney and Melbourne</w:t>
      </w:r>
      <w:r w:rsidR="00476110" w:rsidRPr="001B6AF4">
        <w:t>,</w:t>
      </w:r>
      <w:r w:rsidRPr="001B6AF4">
        <w:t xml:space="preserve"> with populations above 4 million</w:t>
      </w:r>
      <w:r w:rsidR="00476110" w:rsidRPr="001B6AF4">
        <w:t>; another group could</w:t>
      </w:r>
      <w:r w:rsidR="00EF7E3D">
        <w:t xml:space="preserve"> be</w:t>
      </w:r>
      <w:r w:rsidR="00476110" w:rsidRPr="001B6AF4">
        <w:t xml:space="preserve"> </w:t>
      </w:r>
      <w:r w:rsidRPr="001B6AF4">
        <w:t>Brisbane, Perth and Adelaide</w:t>
      </w:r>
      <w:r w:rsidR="00476110" w:rsidRPr="001B6AF4">
        <w:t>,</w:t>
      </w:r>
      <w:r w:rsidRPr="001B6AF4">
        <w:t xml:space="preserve"> with population of 1 to 3 million). The logarithmic shape of the model accounts for growth rates of per capita net expenses that are inherently different between the groups. So, the assessed per capita net expenses for Brisbane, Perth and Adelaide are an average of cities that can be classified into </w:t>
      </w:r>
      <w:r w:rsidR="00476110" w:rsidRPr="001B6AF4">
        <w:t xml:space="preserve">that </w:t>
      </w:r>
      <w:r w:rsidRPr="001B6AF4">
        <w:t>group</w:t>
      </w:r>
      <w:r w:rsidR="00EF7E3D">
        <w:t xml:space="preserve">, while </w:t>
      </w:r>
      <w:r w:rsidRPr="001B6AF4">
        <w:t xml:space="preserve">those of Melbourne and Sydney are an average of cities that can be classified into </w:t>
      </w:r>
      <w:r w:rsidR="00476110" w:rsidRPr="001B6AF4">
        <w:t xml:space="preserve">that </w:t>
      </w:r>
      <w:r w:rsidRPr="001B6AF4">
        <w:t>group.</w:t>
      </w:r>
    </w:p>
    <w:p w:rsidR="005034E9" w:rsidRDefault="005034E9" w:rsidP="00150643">
      <w:pPr>
        <w:pStyle w:val="CGCNumberedPara"/>
      </w:pPr>
      <w:r>
        <w:t xml:space="preserve">The Commission applies the same approach to its other assessments. </w:t>
      </w:r>
      <w:r w:rsidR="000D1D03">
        <w:t xml:space="preserve">The </w:t>
      </w:r>
      <w:r>
        <w:t xml:space="preserve">assessment of use and costs by remoteness for various services </w:t>
      </w:r>
      <w:r w:rsidR="000D1D03">
        <w:t>is an example of this</w:t>
      </w:r>
      <w:r>
        <w:t xml:space="preserve">. </w:t>
      </w:r>
      <w:r w:rsidR="006B5918">
        <w:t xml:space="preserve">There </w:t>
      </w:r>
      <w:r w:rsidR="000D1D03">
        <w:t xml:space="preserve">are </w:t>
      </w:r>
      <w:r w:rsidR="006B5918">
        <w:t xml:space="preserve">six States </w:t>
      </w:r>
      <w:r w:rsidR="00A71C8B">
        <w:t xml:space="preserve">with </w:t>
      </w:r>
      <w:r w:rsidR="006B5918">
        <w:t xml:space="preserve">population in very remote areas, but three (Queensland, Western Australia and the Northern Territory) have 87% of the Australian population living in </w:t>
      </w:r>
      <w:r w:rsidR="00EF7E3D">
        <w:t xml:space="preserve">very </w:t>
      </w:r>
      <w:r w:rsidR="006B5918">
        <w:t>remote areas. These three States essentially set the average level of service</w:t>
      </w:r>
      <w:r w:rsidR="00DF5104">
        <w:t xml:space="preserve"> and cost</w:t>
      </w:r>
      <w:r w:rsidR="006B5918">
        <w:t xml:space="preserve"> in very remote areas. The C</w:t>
      </w:r>
      <w:r w:rsidR="00AA6784">
        <w:t xml:space="preserve">ommission does </w:t>
      </w:r>
      <w:r w:rsidR="00A71C8B">
        <w:t xml:space="preserve">not </w:t>
      </w:r>
      <w:r w:rsidR="00AA6784">
        <w:t>adjust</w:t>
      </w:r>
      <w:r w:rsidR="00DF5104">
        <w:t xml:space="preserve"> the data for those States </w:t>
      </w:r>
      <w:r w:rsidR="00AA6784">
        <w:t xml:space="preserve">for </w:t>
      </w:r>
      <w:r w:rsidR="00DF5104">
        <w:t xml:space="preserve">any </w:t>
      </w:r>
      <w:r w:rsidR="00AA6784">
        <w:t xml:space="preserve">differences </w:t>
      </w:r>
      <w:r w:rsidR="00DF5104">
        <w:t>between their</w:t>
      </w:r>
      <w:r w:rsidR="00AA6784">
        <w:t xml:space="preserve"> policies or efficiency </w:t>
      </w:r>
      <w:r w:rsidR="00DF5104">
        <w:t xml:space="preserve">and those </w:t>
      </w:r>
      <w:r w:rsidR="00AA6784">
        <w:t xml:space="preserve">of </w:t>
      </w:r>
      <w:r w:rsidR="00DF5104">
        <w:t>the other States</w:t>
      </w:r>
      <w:r w:rsidR="00AA6784">
        <w:t>.</w:t>
      </w:r>
      <w:r w:rsidR="00DD547F">
        <w:t xml:space="preserve"> The remoteness and regional costs assessment redistributes about $2.3 billion, </w:t>
      </w:r>
      <w:r w:rsidR="009C11B9">
        <w:t xml:space="preserve">which is </w:t>
      </w:r>
      <w:r w:rsidR="00DD547F">
        <w:t>more than the transport assessments.</w:t>
      </w:r>
    </w:p>
    <w:p w:rsidR="004F19CB" w:rsidRDefault="00DF5104" w:rsidP="00150643">
      <w:pPr>
        <w:pStyle w:val="CGCNumberedPara"/>
      </w:pPr>
      <w:r>
        <w:t xml:space="preserve">Moreover, any attempt to </w:t>
      </w:r>
      <w:r w:rsidR="004F19CB">
        <w:t>adjust</w:t>
      </w:r>
      <w:r>
        <w:t xml:space="preserve"> the data for </w:t>
      </w:r>
      <w:r w:rsidR="004F19CB">
        <w:t>individual cit</w:t>
      </w:r>
      <w:r>
        <w:t>ies</w:t>
      </w:r>
      <w:r w:rsidR="004F19CB">
        <w:t xml:space="preserve"> to better reflect average policy would be fraught with difficulties. For example, </w:t>
      </w:r>
      <w:r w:rsidR="000A657A">
        <w:t xml:space="preserve">how </w:t>
      </w:r>
      <w:r w:rsidR="00B14585">
        <w:t xml:space="preserve">should </w:t>
      </w:r>
      <w:r w:rsidR="000A657A">
        <w:t>the average level of efficiency be calculated</w:t>
      </w:r>
      <w:r w:rsidR="00256E57">
        <w:t xml:space="preserve"> for Sydney</w:t>
      </w:r>
      <w:r w:rsidR="00B14585">
        <w:t>?</w:t>
      </w:r>
      <w:r w:rsidR="000A657A">
        <w:t xml:space="preserve"> </w:t>
      </w:r>
      <w:r w:rsidR="00256E57">
        <w:t>Is Melbourne more efficient or are its lower expenses due to a lower level of service</w:t>
      </w:r>
      <w:r w:rsidR="00B14585">
        <w:t>?</w:t>
      </w:r>
      <w:r w:rsidR="00256E57">
        <w:t xml:space="preserve"> </w:t>
      </w:r>
      <w:r w:rsidR="00AA0AC4">
        <w:t>Are</w:t>
      </w:r>
      <w:r w:rsidR="00256E57">
        <w:t xml:space="preserve"> t</w:t>
      </w:r>
      <w:r w:rsidR="000A657A">
        <w:t xml:space="preserve">he efficiency and service levels for a city with a population of, say, 2 million relevant to a city of, say, 4 </w:t>
      </w:r>
      <w:r w:rsidR="00A06F2C">
        <w:t>million?</w:t>
      </w:r>
      <w:r w:rsidR="004F19CB">
        <w:t xml:space="preserve"> </w:t>
      </w:r>
    </w:p>
    <w:p w:rsidR="00AA0AC4" w:rsidRDefault="00DC16E1" w:rsidP="00AA0AC4">
      <w:pPr>
        <w:pStyle w:val="Heading5"/>
      </w:pPr>
      <w:r>
        <w:lastRenderedPageBreak/>
        <w:t>Increasing per capita expenses</w:t>
      </w:r>
    </w:p>
    <w:p w:rsidR="007E7518" w:rsidRDefault="00AA0AC4" w:rsidP="007E7518">
      <w:pPr>
        <w:pStyle w:val="CGCNumberedPara"/>
        <w:numPr>
          <w:ilvl w:val="1"/>
          <w:numId w:val="3"/>
        </w:numPr>
      </w:pPr>
      <w:r>
        <w:t>Australian data show that per capita net expenses increase with urban population size. The Commission’s assessments reflect this.</w:t>
      </w:r>
      <w:r w:rsidR="007E7518">
        <w:t xml:space="preserve"> Commission staff’s review of literature shows</w:t>
      </w:r>
      <w:r w:rsidR="00266B22">
        <w:t xml:space="preserve"> the Australian experience</w:t>
      </w:r>
      <w:r w:rsidR="007E7518">
        <w:t xml:space="preserve"> </w:t>
      </w:r>
      <w:r w:rsidR="00266B22">
        <w:t xml:space="preserve">is not unique. </w:t>
      </w:r>
      <w:r w:rsidR="007E7518">
        <w:fldChar w:fldCharType="begin"/>
      </w:r>
      <w:r w:rsidR="007E7518">
        <w:instrText xml:space="preserve"> REF _Ref497748654 \h </w:instrText>
      </w:r>
      <w:r w:rsidR="007E7518">
        <w:fldChar w:fldCharType="separate"/>
      </w:r>
      <w:r w:rsidR="000819F3">
        <w:t xml:space="preserve">Table </w:t>
      </w:r>
      <w:r w:rsidR="000819F3">
        <w:rPr>
          <w:noProof/>
        </w:rPr>
        <w:t>7</w:t>
      </w:r>
      <w:r w:rsidR="007E7518">
        <w:fldChar w:fldCharType="end"/>
      </w:r>
      <w:r w:rsidR="00193715">
        <w:t>,</w:t>
      </w:r>
      <w:r w:rsidR="007E7518">
        <w:t xml:space="preserve"> </w:t>
      </w:r>
      <w:r w:rsidR="007E7518">
        <w:fldChar w:fldCharType="begin"/>
      </w:r>
      <w:r w:rsidR="007E7518">
        <w:instrText xml:space="preserve"> REF _Ref497748671 \h </w:instrText>
      </w:r>
      <w:r w:rsidR="007E7518">
        <w:fldChar w:fldCharType="separate"/>
      </w:r>
      <w:r w:rsidR="000819F3">
        <w:t xml:space="preserve">Table </w:t>
      </w:r>
      <w:r w:rsidR="000819F3">
        <w:rPr>
          <w:noProof/>
        </w:rPr>
        <w:t>8</w:t>
      </w:r>
      <w:r w:rsidR="007E7518">
        <w:fldChar w:fldCharType="end"/>
      </w:r>
      <w:r w:rsidR="007E7518">
        <w:t xml:space="preserve"> </w:t>
      </w:r>
      <w:r w:rsidR="00193715">
        <w:t>and</w:t>
      </w:r>
      <w:r w:rsidR="00752E27">
        <w:t xml:space="preserve"> </w:t>
      </w:r>
      <w:r w:rsidR="00752E27">
        <w:fldChar w:fldCharType="begin"/>
      </w:r>
      <w:r w:rsidR="00752E27">
        <w:instrText xml:space="preserve"> REF _Ref508096239 \h </w:instrText>
      </w:r>
      <w:r w:rsidR="00752E27">
        <w:fldChar w:fldCharType="separate"/>
      </w:r>
      <w:r w:rsidR="000819F3">
        <w:t xml:space="preserve">Table </w:t>
      </w:r>
      <w:r w:rsidR="000819F3">
        <w:rPr>
          <w:noProof/>
        </w:rPr>
        <w:t>9</w:t>
      </w:r>
      <w:r w:rsidR="00752E27">
        <w:fldChar w:fldCharType="end"/>
      </w:r>
      <w:r w:rsidR="00752E27">
        <w:t xml:space="preserve"> </w:t>
      </w:r>
      <w:r w:rsidR="007E7518">
        <w:t xml:space="preserve">indicate </w:t>
      </w:r>
      <w:r w:rsidR="00DC16E1">
        <w:t>the experience</w:t>
      </w:r>
      <w:r w:rsidR="007E7518">
        <w:t xml:space="preserve"> also occurs generally in Spain</w:t>
      </w:r>
      <w:r w:rsidR="00193715">
        <w:t>,</w:t>
      </w:r>
      <w:r w:rsidR="007E7518">
        <w:t xml:space="preserve"> France</w:t>
      </w:r>
      <w:r w:rsidR="00193715">
        <w:t xml:space="preserve"> and the United States</w:t>
      </w:r>
      <w:r w:rsidR="007E7518">
        <w:t xml:space="preserve">. </w:t>
      </w:r>
    </w:p>
    <w:p w:rsidR="007E7518" w:rsidRDefault="007E7518" w:rsidP="007E7518">
      <w:pPr>
        <w:pStyle w:val="CGCTableHeading"/>
      </w:pPr>
      <w:bookmarkStart w:id="49" w:name="_Ref497748654"/>
      <w:r>
        <w:t xml:space="preserve">Table </w:t>
      </w:r>
      <w:r w:rsidR="00654065">
        <w:fldChar w:fldCharType="begin"/>
      </w:r>
      <w:r w:rsidR="00654065">
        <w:instrText xml:space="preserve"> SEQ Table \* ARABIC </w:instrText>
      </w:r>
      <w:r w:rsidR="00654065">
        <w:fldChar w:fldCharType="separate"/>
      </w:r>
      <w:r w:rsidR="000819F3">
        <w:rPr>
          <w:noProof/>
        </w:rPr>
        <w:t>7</w:t>
      </w:r>
      <w:r w:rsidR="00654065">
        <w:rPr>
          <w:noProof/>
        </w:rPr>
        <w:fldChar w:fldCharType="end"/>
      </w:r>
      <w:bookmarkEnd w:id="49"/>
      <w:r>
        <w:tab/>
        <w:t xml:space="preserve">Government subsidies by city size, Spain </w:t>
      </w:r>
    </w:p>
    <w:tbl>
      <w:tblPr>
        <w:tblW w:w="5000" w:type="pct"/>
        <w:tblCellMar>
          <w:left w:w="85" w:type="dxa"/>
          <w:right w:w="85" w:type="dxa"/>
        </w:tblCellMar>
        <w:tblLook w:val="0000" w:firstRow="0" w:lastRow="0" w:firstColumn="0" w:lastColumn="0" w:noHBand="0" w:noVBand="0"/>
      </w:tblPr>
      <w:tblGrid>
        <w:gridCol w:w="3801"/>
        <w:gridCol w:w="1330"/>
        <w:gridCol w:w="1330"/>
        <w:gridCol w:w="1330"/>
        <w:gridCol w:w="1330"/>
      </w:tblGrid>
      <w:tr w:rsidR="007E7518" w:rsidRPr="00480A1E" w:rsidTr="00C065E9">
        <w:tc>
          <w:tcPr>
            <w:tcW w:w="2083" w:type="pct"/>
            <w:tcBorders>
              <w:top w:val="single" w:sz="6" w:space="0" w:color="auto"/>
              <w:bottom w:val="single" w:sz="6" w:space="0" w:color="auto"/>
            </w:tcBorders>
            <w:vAlign w:val="bottom"/>
          </w:tcPr>
          <w:p w:rsidR="007E7518" w:rsidRPr="00480A1E" w:rsidRDefault="007E7518" w:rsidP="00C065E9">
            <w:pPr>
              <w:pStyle w:val="TableColHeadings"/>
              <w:jc w:val="left"/>
              <w:rPr>
                <w:rFonts w:cstheme="minorHAnsi"/>
              </w:rPr>
            </w:pPr>
          </w:p>
        </w:tc>
        <w:tc>
          <w:tcPr>
            <w:tcW w:w="729" w:type="pct"/>
            <w:tcBorders>
              <w:top w:val="single" w:sz="6" w:space="0" w:color="auto"/>
              <w:bottom w:val="single" w:sz="6" w:space="0" w:color="auto"/>
            </w:tcBorders>
            <w:vAlign w:val="bottom"/>
          </w:tcPr>
          <w:p w:rsidR="007E7518" w:rsidRPr="00480A1E" w:rsidRDefault="007E7518" w:rsidP="00C065E9">
            <w:pPr>
              <w:pStyle w:val="TableColHeadings"/>
              <w:rPr>
                <w:rFonts w:cstheme="minorHAnsi"/>
              </w:rPr>
            </w:pPr>
            <w:r>
              <w:rPr>
                <w:rFonts w:cstheme="minorHAnsi"/>
              </w:rPr>
              <w:t>No of cities</w:t>
            </w:r>
          </w:p>
        </w:tc>
        <w:tc>
          <w:tcPr>
            <w:tcW w:w="729" w:type="pct"/>
            <w:tcBorders>
              <w:top w:val="single" w:sz="6" w:space="0" w:color="auto"/>
              <w:bottom w:val="single" w:sz="6" w:space="0" w:color="auto"/>
            </w:tcBorders>
            <w:vAlign w:val="bottom"/>
          </w:tcPr>
          <w:p w:rsidR="007E7518" w:rsidRPr="00480A1E" w:rsidRDefault="007E7518" w:rsidP="00C065E9">
            <w:pPr>
              <w:pStyle w:val="TableColHeadings"/>
              <w:rPr>
                <w:rFonts w:cstheme="minorHAnsi"/>
              </w:rPr>
            </w:pPr>
            <w:r>
              <w:rPr>
                <w:rFonts w:cstheme="minorHAnsi"/>
              </w:rPr>
              <w:t>Population</w:t>
            </w:r>
          </w:p>
        </w:tc>
        <w:tc>
          <w:tcPr>
            <w:tcW w:w="729" w:type="pct"/>
            <w:tcBorders>
              <w:top w:val="single" w:sz="6" w:space="0" w:color="auto"/>
              <w:bottom w:val="single" w:sz="6" w:space="0" w:color="auto"/>
            </w:tcBorders>
            <w:vAlign w:val="bottom"/>
          </w:tcPr>
          <w:p w:rsidR="007E7518" w:rsidRPr="00480A1E" w:rsidRDefault="007E7518" w:rsidP="00C065E9">
            <w:pPr>
              <w:pStyle w:val="TableColHeadings"/>
              <w:rPr>
                <w:rFonts w:cstheme="minorHAnsi"/>
              </w:rPr>
            </w:pPr>
            <w:r>
              <w:rPr>
                <w:rFonts w:cstheme="minorHAnsi"/>
              </w:rPr>
              <w:t>Total subsidies</w:t>
            </w:r>
          </w:p>
        </w:tc>
        <w:tc>
          <w:tcPr>
            <w:tcW w:w="729" w:type="pct"/>
            <w:tcBorders>
              <w:top w:val="single" w:sz="6" w:space="0" w:color="auto"/>
              <w:bottom w:val="single" w:sz="6" w:space="0" w:color="auto"/>
            </w:tcBorders>
            <w:vAlign w:val="bottom"/>
          </w:tcPr>
          <w:p w:rsidR="007E7518" w:rsidRPr="00480A1E" w:rsidRDefault="007E7518" w:rsidP="00C065E9">
            <w:pPr>
              <w:pStyle w:val="TableColHeadings"/>
              <w:rPr>
                <w:rFonts w:cstheme="minorHAnsi"/>
              </w:rPr>
            </w:pPr>
            <w:r>
              <w:rPr>
                <w:rFonts w:cstheme="minorHAnsi"/>
              </w:rPr>
              <w:t>Subsidy per capita</w:t>
            </w:r>
          </w:p>
        </w:tc>
      </w:tr>
      <w:tr w:rsidR="007E7518" w:rsidRPr="00480A1E" w:rsidTr="00C065E9">
        <w:tc>
          <w:tcPr>
            <w:tcW w:w="2083" w:type="pct"/>
            <w:tcMar>
              <w:top w:w="0" w:type="dxa"/>
              <w:bottom w:w="0" w:type="dxa"/>
            </w:tcMar>
            <w:vAlign w:val="bottom"/>
          </w:tcPr>
          <w:p w:rsidR="007E7518" w:rsidRPr="00480A1E" w:rsidRDefault="007E7518" w:rsidP="00C065E9">
            <w:pPr>
              <w:pStyle w:val="TableRowUnits"/>
              <w:rPr>
                <w:rFonts w:cstheme="minorHAnsi"/>
              </w:rPr>
            </w:pPr>
          </w:p>
        </w:tc>
        <w:tc>
          <w:tcPr>
            <w:tcW w:w="729" w:type="pct"/>
            <w:tcMar>
              <w:top w:w="0" w:type="dxa"/>
              <w:bottom w:w="0" w:type="dxa"/>
            </w:tcMar>
            <w:vAlign w:val="bottom"/>
          </w:tcPr>
          <w:p w:rsidR="007E7518" w:rsidRPr="00480A1E" w:rsidRDefault="007E7518" w:rsidP="00C065E9">
            <w:pPr>
              <w:pStyle w:val="TableRowUnits"/>
              <w:rPr>
                <w:rFonts w:cstheme="minorHAnsi"/>
              </w:rPr>
            </w:pPr>
            <w:r>
              <w:rPr>
                <w:rFonts w:cstheme="minorHAnsi"/>
              </w:rPr>
              <w:t>No.</w:t>
            </w:r>
          </w:p>
        </w:tc>
        <w:tc>
          <w:tcPr>
            <w:tcW w:w="729" w:type="pct"/>
            <w:tcMar>
              <w:top w:w="0" w:type="dxa"/>
              <w:bottom w:w="0" w:type="dxa"/>
            </w:tcMar>
            <w:vAlign w:val="bottom"/>
          </w:tcPr>
          <w:p w:rsidR="007E7518" w:rsidRPr="00480A1E" w:rsidRDefault="007E7518" w:rsidP="00C065E9">
            <w:pPr>
              <w:pStyle w:val="TableRowUnits"/>
              <w:rPr>
                <w:rFonts w:cstheme="minorHAnsi"/>
              </w:rPr>
            </w:pPr>
            <w:r>
              <w:rPr>
                <w:rFonts w:cstheme="minorHAnsi"/>
              </w:rPr>
              <w:t>Million</w:t>
            </w:r>
          </w:p>
        </w:tc>
        <w:tc>
          <w:tcPr>
            <w:tcW w:w="729" w:type="pct"/>
            <w:tcMar>
              <w:top w:w="0" w:type="dxa"/>
              <w:bottom w:w="0" w:type="dxa"/>
            </w:tcMar>
            <w:vAlign w:val="bottom"/>
          </w:tcPr>
          <w:p w:rsidR="007E7518" w:rsidRPr="00480A1E" w:rsidRDefault="007E7518" w:rsidP="00C065E9">
            <w:pPr>
              <w:pStyle w:val="TableRowUnits"/>
              <w:rPr>
                <w:rFonts w:cstheme="minorHAnsi"/>
              </w:rPr>
            </w:pPr>
            <w:r>
              <w:rPr>
                <w:rFonts w:cstheme="minorHAnsi"/>
              </w:rPr>
              <w:t>Million €</w:t>
            </w:r>
          </w:p>
        </w:tc>
        <w:tc>
          <w:tcPr>
            <w:tcW w:w="729" w:type="pct"/>
            <w:tcMar>
              <w:top w:w="0" w:type="dxa"/>
              <w:bottom w:w="0" w:type="dxa"/>
            </w:tcMar>
            <w:vAlign w:val="bottom"/>
          </w:tcPr>
          <w:p w:rsidR="007E7518" w:rsidRPr="00480A1E" w:rsidRDefault="007E7518" w:rsidP="00C065E9">
            <w:pPr>
              <w:pStyle w:val="TableRowUnits"/>
              <w:rPr>
                <w:rFonts w:cstheme="minorHAnsi"/>
              </w:rPr>
            </w:pPr>
            <w:r>
              <w:rPr>
                <w:rFonts w:cstheme="minorHAnsi"/>
              </w:rPr>
              <w:t>€</w:t>
            </w:r>
          </w:p>
        </w:tc>
      </w:tr>
      <w:tr w:rsidR="007E7518" w:rsidRPr="00480A1E" w:rsidTr="00C065E9">
        <w:tc>
          <w:tcPr>
            <w:tcW w:w="2083" w:type="pct"/>
            <w:vAlign w:val="bottom"/>
          </w:tcPr>
          <w:p w:rsidR="007E7518" w:rsidRPr="00480A1E" w:rsidRDefault="007E7518" w:rsidP="00752E27">
            <w:pPr>
              <w:pStyle w:val="TableRowNormal"/>
              <w:jc w:val="left"/>
            </w:pPr>
            <w:r>
              <w:t>Madrid</w:t>
            </w:r>
          </w:p>
        </w:tc>
        <w:tc>
          <w:tcPr>
            <w:tcW w:w="729" w:type="pct"/>
            <w:vAlign w:val="bottom"/>
          </w:tcPr>
          <w:p w:rsidR="007E7518" w:rsidRPr="00480A1E" w:rsidRDefault="007E7518" w:rsidP="00752E27">
            <w:pPr>
              <w:pStyle w:val="TableRowNormal"/>
            </w:pPr>
          </w:p>
        </w:tc>
        <w:tc>
          <w:tcPr>
            <w:tcW w:w="729" w:type="pct"/>
            <w:vAlign w:val="bottom"/>
          </w:tcPr>
          <w:p w:rsidR="007E7518" w:rsidRPr="00480A1E" w:rsidRDefault="007E7518" w:rsidP="00752E27">
            <w:pPr>
              <w:pStyle w:val="TableRowNormal"/>
            </w:pPr>
            <w:r>
              <w:t>6.3</w:t>
            </w:r>
          </w:p>
        </w:tc>
        <w:tc>
          <w:tcPr>
            <w:tcW w:w="729" w:type="pct"/>
            <w:vAlign w:val="bottom"/>
          </w:tcPr>
          <w:p w:rsidR="007E7518" w:rsidRPr="00480A1E" w:rsidRDefault="007E7518" w:rsidP="00752E27">
            <w:pPr>
              <w:pStyle w:val="TableRowNormal"/>
            </w:pPr>
            <w:r>
              <w:t>167.5</w:t>
            </w:r>
          </w:p>
        </w:tc>
        <w:tc>
          <w:tcPr>
            <w:tcW w:w="729" w:type="pct"/>
            <w:vAlign w:val="bottom"/>
          </w:tcPr>
          <w:p w:rsidR="007E7518" w:rsidRPr="00480A1E" w:rsidRDefault="007E7518" w:rsidP="00752E27">
            <w:pPr>
              <w:pStyle w:val="TableRowNormal"/>
            </w:pPr>
            <w:r>
              <w:t>26.7</w:t>
            </w:r>
          </w:p>
        </w:tc>
      </w:tr>
      <w:tr w:rsidR="007E7518" w:rsidRPr="00480A1E" w:rsidTr="00C065E9">
        <w:tc>
          <w:tcPr>
            <w:tcW w:w="2083" w:type="pct"/>
            <w:vAlign w:val="bottom"/>
          </w:tcPr>
          <w:p w:rsidR="007E7518" w:rsidRPr="00480A1E" w:rsidRDefault="007E7518" w:rsidP="00752E27">
            <w:pPr>
              <w:pStyle w:val="TableRowNormal"/>
              <w:jc w:val="left"/>
            </w:pPr>
            <w:r>
              <w:t>Barcelona</w:t>
            </w:r>
          </w:p>
        </w:tc>
        <w:tc>
          <w:tcPr>
            <w:tcW w:w="729" w:type="pct"/>
            <w:vAlign w:val="bottom"/>
          </w:tcPr>
          <w:p w:rsidR="007E7518" w:rsidRPr="00480A1E" w:rsidRDefault="007E7518" w:rsidP="00752E27">
            <w:pPr>
              <w:pStyle w:val="TableRowNormal"/>
            </w:pPr>
          </w:p>
        </w:tc>
        <w:tc>
          <w:tcPr>
            <w:tcW w:w="729" w:type="pct"/>
            <w:vAlign w:val="bottom"/>
          </w:tcPr>
          <w:p w:rsidR="007E7518" w:rsidRPr="00480A1E" w:rsidRDefault="007E7518" w:rsidP="00752E27">
            <w:pPr>
              <w:pStyle w:val="TableRowNormal"/>
            </w:pPr>
            <w:r>
              <w:t>4.9</w:t>
            </w:r>
          </w:p>
        </w:tc>
        <w:tc>
          <w:tcPr>
            <w:tcW w:w="729" w:type="pct"/>
            <w:vAlign w:val="bottom"/>
          </w:tcPr>
          <w:p w:rsidR="007E7518" w:rsidRPr="00480A1E" w:rsidRDefault="007E7518" w:rsidP="00752E27">
            <w:pPr>
              <w:pStyle w:val="TableRowNormal"/>
            </w:pPr>
            <w:r>
              <w:t>152.0</w:t>
            </w:r>
          </w:p>
        </w:tc>
        <w:tc>
          <w:tcPr>
            <w:tcW w:w="729" w:type="pct"/>
            <w:vAlign w:val="bottom"/>
          </w:tcPr>
          <w:p w:rsidR="007E7518" w:rsidRPr="00480A1E" w:rsidRDefault="007E7518" w:rsidP="00752E27">
            <w:pPr>
              <w:pStyle w:val="TableRowNormal"/>
            </w:pPr>
            <w:r>
              <w:t>30.9</w:t>
            </w:r>
          </w:p>
        </w:tc>
      </w:tr>
      <w:tr w:rsidR="007E7518" w:rsidRPr="00480A1E" w:rsidTr="00C065E9">
        <w:tc>
          <w:tcPr>
            <w:tcW w:w="2083" w:type="pct"/>
            <w:vAlign w:val="bottom"/>
          </w:tcPr>
          <w:p w:rsidR="007E7518" w:rsidRPr="00480A1E" w:rsidRDefault="007E7518" w:rsidP="00752E27">
            <w:pPr>
              <w:pStyle w:val="TableRowNormal"/>
              <w:jc w:val="left"/>
            </w:pPr>
            <w:r>
              <w:t>500 000 to 1 000 000 people</w:t>
            </w:r>
          </w:p>
        </w:tc>
        <w:tc>
          <w:tcPr>
            <w:tcW w:w="729" w:type="pct"/>
            <w:vAlign w:val="bottom"/>
          </w:tcPr>
          <w:p w:rsidR="007E7518" w:rsidRPr="00480A1E" w:rsidRDefault="007E7518" w:rsidP="00752E27">
            <w:pPr>
              <w:pStyle w:val="TableRowNormal"/>
            </w:pPr>
            <w:r>
              <w:t>4</w:t>
            </w:r>
          </w:p>
        </w:tc>
        <w:tc>
          <w:tcPr>
            <w:tcW w:w="729" w:type="pct"/>
            <w:vAlign w:val="bottom"/>
          </w:tcPr>
          <w:p w:rsidR="007E7518" w:rsidRPr="00480A1E" w:rsidRDefault="007E7518" w:rsidP="00752E27">
            <w:pPr>
              <w:pStyle w:val="TableRowNormal"/>
            </w:pPr>
            <w:r>
              <w:t>2.7</w:t>
            </w:r>
          </w:p>
        </w:tc>
        <w:tc>
          <w:tcPr>
            <w:tcW w:w="729" w:type="pct"/>
            <w:vAlign w:val="bottom"/>
          </w:tcPr>
          <w:p w:rsidR="007E7518" w:rsidRPr="00480A1E" w:rsidRDefault="007E7518" w:rsidP="00752E27">
            <w:pPr>
              <w:pStyle w:val="TableRowNormal"/>
            </w:pPr>
            <w:r>
              <w:t>28.6</w:t>
            </w:r>
          </w:p>
        </w:tc>
        <w:tc>
          <w:tcPr>
            <w:tcW w:w="729" w:type="pct"/>
            <w:vAlign w:val="bottom"/>
          </w:tcPr>
          <w:p w:rsidR="007E7518" w:rsidRPr="00480A1E" w:rsidRDefault="007E7518" w:rsidP="00752E27">
            <w:pPr>
              <w:pStyle w:val="TableRowNormal"/>
            </w:pPr>
            <w:r>
              <w:t>10.5</w:t>
            </w:r>
          </w:p>
        </w:tc>
      </w:tr>
      <w:tr w:rsidR="007E7518" w:rsidRPr="00480A1E" w:rsidTr="00C065E9">
        <w:tc>
          <w:tcPr>
            <w:tcW w:w="2083" w:type="pct"/>
            <w:vAlign w:val="bottom"/>
          </w:tcPr>
          <w:p w:rsidR="007E7518" w:rsidRPr="00480A1E" w:rsidRDefault="007E7518" w:rsidP="00772A67">
            <w:pPr>
              <w:pStyle w:val="TableRowNormal"/>
              <w:ind w:left="142" w:hanging="142"/>
              <w:jc w:val="left"/>
            </w:pPr>
            <w:r>
              <w:t>100 000 to 500 000 people</w:t>
            </w:r>
          </w:p>
        </w:tc>
        <w:tc>
          <w:tcPr>
            <w:tcW w:w="729" w:type="pct"/>
            <w:vAlign w:val="bottom"/>
          </w:tcPr>
          <w:p w:rsidR="007E7518" w:rsidRPr="00480A1E" w:rsidRDefault="007E7518" w:rsidP="00772A67">
            <w:pPr>
              <w:pStyle w:val="TableRowNormal"/>
              <w:ind w:left="142" w:hanging="142"/>
            </w:pPr>
            <w:r>
              <w:t>36</w:t>
            </w:r>
          </w:p>
        </w:tc>
        <w:tc>
          <w:tcPr>
            <w:tcW w:w="729" w:type="pct"/>
            <w:vAlign w:val="bottom"/>
          </w:tcPr>
          <w:p w:rsidR="007E7518" w:rsidRPr="00480A1E" w:rsidRDefault="007E7518" w:rsidP="00772A67">
            <w:pPr>
              <w:pStyle w:val="TableRowNormal"/>
              <w:ind w:left="142" w:hanging="142"/>
            </w:pPr>
            <w:r>
              <w:t>7.3</w:t>
            </w:r>
          </w:p>
        </w:tc>
        <w:tc>
          <w:tcPr>
            <w:tcW w:w="729" w:type="pct"/>
            <w:vAlign w:val="bottom"/>
          </w:tcPr>
          <w:p w:rsidR="007E7518" w:rsidRPr="00480A1E" w:rsidRDefault="007E7518" w:rsidP="00772A67">
            <w:pPr>
              <w:pStyle w:val="TableRowNormal"/>
              <w:ind w:left="142" w:hanging="142"/>
            </w:pPr>
            <w:r>
              <w:t>31.5</w:t>
            </w:r>
          </w:p>
        </w:tc>
        <w:tc>
          <w:tcPr>
            <w:tcW w:w="729" w:type="pct"/>
            <w:vAlign w:val="bottom"/>
          </w:tcPr>
          <w:p w:rsidR="007E7518" w:rsidRPr="00480A1E" w:rsidRDefault="007E7518" w:rsidP="00772A67">
            <w:pPr>
              <w:pStyle w:val="TableRowNormal"/>
              <w:ind w:left="142" w:hanging="142"/>
            </w:pPr>
            <w:r>
              <w:t>4.3</w:t>
            </w:r>
          </w:p>
        </w:tc>
      </w:tr>
      <w:tr w:rsidR="007E7518" w:rsidRPr="00480A1E" w:rsidTr="00C065E9">
        <w:tc>
          <w:tcPr>
            <w:tcW w:w="2083" w:type="pct"/>
            <w:vAlign w:val="bottom"/>
          </w:tcPr>
          <w:p w:rsidR="007E7518" w:rsidRDefault="007E7518" w:rsidP="00752E27">
            <w:pPr>
              <w:pStyle w:val="TableRowNormal"/>
              <w:jc w:val="left"/>
            </w:pPr>
            <w:r>
              <w:t>50 000 to 100 000 people</w:t>
            </w:r>
          </w:p>
        </w:tc>
        <w:tc>
          <w:tcPr>
            <w:tcW w:w="729" w:type="pct"/>
            <w:vAlign w:val="bottom"/>
          </w:tcPr>
          <w:p w:rsidR="007E7518" w:rsidRDefault="007E7518" w:rsidP="00752E27">
            <w:pPr>
              <w:pStyle w:val="TableRowNormal"/>
            </w:pPr>
            <w:r>
              <w:t>40</w:t>
            </w:r>
          </w:p>
        </w:tc>
        <w:tc>
          <w:tcPr>
            <w:tcW w:w="729" w:type="pct"/>
            <w:vAlign w:val="bottom"/>
          </w:tcPr>
          <w:p w:rsidR="007E7518" w:rsidRDefault="007E7518" w:rsidP="00752E27">
            <w:pPr>
              <w:pStyle w:val="TableRowNormal"/>
            </w:pPr>
            <w:r>
              <w:t>2.8</w:t>
            </w:r>
          </w:p>
        </w:tc>
        <w:tc>
          <w:tcPr>
            <w:tcW w:w="729" w:type="pct"/>
            <w:vAlign w:val="bottom"/>
          </w:tcPr>
          <w:p w:rsidR="007E7518" w:rsidRDefault="007E7518" w:rsidP="00752E27">
            <w:pPr>
              <w:pStyle w:val="TableRowNormal"/>
            </w:pPr>
            <w:r>
              <w:t>6.1</w:t>
            </w:r>
          </w:p>
        </w:tc>
        <w:tc>
          <w:tcPr>
            <w:tcW w:w="729" w:type="pct"/>
            <w:vAlign w:val="bottom"/>
          </w:tcPr>
          <w:p w:rsidR="007E7518" w:rsidRDefault="007E7518" w:rsidP="00752E27">
            <w:pPr>
              <w:pStyle w:val="TableRowNormal"/>
            </w:pPr>
            <w:r>
              <w:t>2.2</w:t>
            </w:r>
          </w:p>
        </w:tc>
      </w:tr>
      <w:tr w:rsidR="007E7518" w:rsidRPr="00480A1E" w:rsidTr="00C065E9">
        <w:tc>
          <w:tcPr>
            <w:tcW w:w="2083" w:type="pct"/>
            <w:tcBorders>
              <w:bottom w:val="single" w:sz="6" w:space="0" w:color="auto"/>
            </w:tcBorders>
            <w:vAlign w:val="bottom"/>
          </w:tcPr>
          <w:p w:rsidR="007E7518" w:rsidRDefault="007E7518" w:rsidP="00752E27">
            <w:pPr>
              <w:pStyle w:val="TableRowNormal"/>
              <w:jc w:val="left"/>
            </w:pPr>
            <w:r>
              <w:t>20 000 to 50 000 people</w:t>
            </w:r>
          </w:p>
        </w:tc>
        <w:tc>
          <w:tcPr>
            <w:tcW w:w="729" w:type="pct"/>
            <w:tcBorders>
              <w:bottom w:val="single" w:sz="6" w:space="0" w:color="auto"/>
            </w:tcBorders>
            <w:vAlign w:val="bottom"/>
          </w:tcPr>
          <w:p w:rsidR="007E7518" w:rsidRDefault="007E7518" w:rsidP="00752E27">
            <w:pPr>
              <w:pStyle w:val="TableRowNormal"/>
            </w:pPr>
            <w:r>
              <w:t>9</w:t>
            </w:r>
          </w:p>
        </w:tc>
        <w:tc>
          <w:tcPr>
            <w:tcW w:w="729" w:type="pct"/>
            <w:tcBorders>
              <w:bottom w:val="single" w:sz="6" w:space="0" w:color="auto"/>
            </w:tcBorders>
            <w:vAlign w:val="bottom"/>
          </w:tcPr>
          <w:p w:rsidR="007E7518" w:rsidRDefault="007E7518" w:rsidP="00752E27">
            <w:pPr>
              <w:pStyle w:val="TableRowNormal"/>
            </w:pPr>
            <w:r>
              <w:t>0.3</w:t>
            </w:r>
          </w:p>
        </w:tc>
        <w:tc>
          <w:tcPr>
            <w:tcW w:w="729" w:type="pct"/>
            <w:tcBorders>
              <w:bottom w:val="single" w:sz="6" w:space="0" w:color="auto"/>
            </w:tcBorders>
            <w:vAlign w:val="bottom"/>
          </w:tcPr>
          <w:p w:rsidR="007E7518" w:rsidRDefault="007E7518" w:rsidP="00752E27">
            <w:pPr>
              <w:pStyle w:val="TableRowNormal"/>
            </w:pPr>
            <w:r>
              <w:t>0.7</w:t>
            </w:r>
          </w:p>
        </w:tc>
        <w:tc>
          <w:tcPr>
            <w:tcW w:w="729" w:type="pct"/>
            <w:tcBorders>
              <w:bottom w:val="single" w:sz="6" w:space="0" w:color="auto"/>
            </w:tcBorders>
            <w:vAlign w:val="bottom"/>
          </w:tcPr>
          <w:p w:rsidR="007E7518" w:rsidRDefault="007E7518" w:rsidP="00752E27">
            <w:pPr>
              <w:pStyle w:val="TableRowNormal"/>
            </w:pPr>
            <w:r>
              <w:t>2.3</w:t>
            </w:r>
          </w:p>
        </w:tc>
      </w:tr>
    </w:tbl>
    <w:p w:rsidR="007E7518" w:rsidRDefault="007E7518" w:rsidP="007E7518">
      <w:pPr>
        <w:pStyle w:val="CGCTableFootnote"/>
      </w:pPr>
      <w:r>
        <w:t>(a)</w:t>
      </w:r>
      <w:r>
        <w:tab/>
        <w:t>Data are for 2008.</w:t>
      </w:r>
    </w:p>
    <w:p w:rsidR="007E7518" w:rsidRDefault="007E7518" w:rsidP="007E7518">
      <w:pPr>
        <w:pStyle w:val="CGCTableFootnote"/>
      </w:pPr>
      <w:r>
        <w:t>Source:</w:t>
      </w:r>
      <w:r>
        <w:tab/>
        <w:t>Ruiz-Montanez M (2017), ‘Financing public transport: a spatial model based on city size’, European Journal of Management and Business Economics, Vol 26, issue 1.</w:t>
      </w:r>
    </w:p>
    <w:p w:rsidR="00122B92" w:rsidRDefault="00122B92" w:rsidP="00122B92">
      <w:pPr>
        <w:pStyle w:val="CGCTableHeading"/>
      </w:pPr>
      <w:bookmarkStart w:id="50" w:name="_Ref497748671"/>
      <w:r>
        <w:t xml:space="preserve">Table </w:t>
      </w:r>
      <w:r w:rsidR="00654065">
        <w:fldChar w:fldCharType="begin"/>
      </w:r>
      <w:r w:rsidR="00654065">
        <w:instrText xml:space="preserve"> SEQ Table \* ARABIC </w:instrText>
      </w:r>
      <w:r w:rsidR="00654065">
        <w:fldChar w:fldCharType="separate"/>
      </w:r>
      <w:r w:rsidR="000819F3">
        <w:rPr>
          <w:noProof/>
        </w:rPr>
        <w:t>8</w:t>
      </w:r>
      <w:r w:rsidR="00654065">
        <w:rPr>
          <w:noProof/>
        </w:rPr>
        <w:fldChar w:fldCharType="end"/>
      </w:r>
      <w:bookmarkEnd w:id="50"/>
      <w:r>
        <w:tab/>
        <w:t>Government subsidies by city size, France</w:t>
      </w:r>
    </w:p>
    <w:tbl>
      <w:tblPr>
        <w:tblW w:w="5000" w:type="pct"/>
        <w:tblCellMar>
          <w:left w:w="85" w:type="dxa"/>
          <w:right w:w="85" w:type="dxa"/>
        </w:tblCellMar>
        <w:tblLook w:val="0000" w:firstRow="0" w:lastRow="0" w:firstColumn="0" w:lastColumn="0" w:noHBand="0" w:noVBand="0"/>
      </w:tblPr>
      <w:tblGrid>
        <w:gridCol w:w="3319"/>
        <w:gridCol w:w="1161"/>
        <w:gridCol w:w="1161"/>
        <w:gridCol w:w="1160"/>
        <w:gridCol w:w="1160"/>
        <w:gridCol w:w="1160"/>
      </w:tblGrid>
      <w:tr w:rsidR="00122B92" w:rsidRPr="00480A1E" w:rsidTr="004A3183">
        <w:tc>
          <w:tcPr>
            <w:tcW w:w="1819" w:type="pct"/>
            <w:tcBorders>
              <w:top w:val="single" w:sz="6" w:space="0" w:color="auto"/>
              <w:bottom w:val="single" w:sz="6" w:space="0" w:color="auto"/>
            </w:tcBorders>
            <w:vAlign w:val="bottom"/>
          </w:tcPr>
          <w:p w:rsidR="00122B92" w:rsidRPr="00480A1E" w:rsidRDefault="00122B92" w:rsidP="004A3183">
            <w:pPr>
              <w:pStyle w:val="TableColHeadings"/>
              <w:jc w:val="left"/>
              <w:rPr>
                <w:rFonts w:cstheme="minorHAnsi"/>
              </w:rPr>
            </w:pPr>
          </w:p>
        </w:tc>
        <w:tc>
          <w:tcPr>
            <w:tcW w:w="636" w:type="pct"/>
            <w:tcBorders>
              <w:top w:val="single" w:sz="6" w:space="0" w:color="auto"/>
              <w:bottom w:val="single" w:sz="6" w:space="0" w:color="auto"/>
            </w:tcBorders>
            <w:vAlign w:val="bottom"/>
          </w:tcPr>
          <w:p w:rsidR="00122B92" w:rsidRPr="00480A1E" w:rsidRDefault="00122B92" w:rsidP="004A3183">
            <w:pPr>
              <w:pStyle w:val="TableColHeadings"/>
              <w:rPr>
                <w:rFonts w:cstheme="minorHAnsi"/>
              </w:rPr>
            </w:pPr>
            <w:r>
              <w:rPr>
                <w:rFonts w:cstheme="minorHAnsi"/>
              </w:rPr>
              <w:t>No of cities</w:t>
            </w:r>
          </w:p>
        </w:tc>
        <w:tc>
          <w:tcPr>
            <w:tcW w:w="636" w:type="pct"/>
            <w:tcBorders>
              <w:top w:val="single" w:sz="6" w:space="0" w:color="auto"/>
              <w:bottom w:val="single" w:sz="6" w:space="0" w:color="auto"/>
            </w:tcBorders>
            <w:vAlign w:val="bottom"/>
          </w:tcPr>
          <w:p w:rsidR="00122B92" w:rsidRPr="00480A1E" w:rsidRDefault="00122B92" w:rsidP="004A3183">
            <w:pPr>
              <w:pStyle w:val="TableColHeadings"/>
              <w:rPr>
                <w:rFonts w:cstheme="minorHAnsi"/>
              </w:rPr>
            </w:pPr>
            <w:r>
              <w:rPr>
                <w:rFonts w:cstheme="minorHAnsi"/>
              </w:rPr>
              <w:t>Population</w:t>
            </w:r>
          </w:p>
        </w:tc>
        <w:tc>
          <w:tcPr>
            <w:tcW w:w="636" w:type="pct"/>
            <w:tcBorders>
              <w:top w:val="single" w:sz="6" w:space="0" w:color="auto"/>
              <w:bottom w:val="single" w:sz="6" w:space="0" w:color="auto"/>
            </w:tcBorders>
            <w:vAlign w:val="bottom"/>
          </w:tcPr>
          <w:p w:rsidR="00122B92" w:rsidRPr="00480A1E" w:rsidRDefault="00122B92" w:rsidP="004A3183">
            <w:pPr>
              <w:pStyle w:val="TableColHeadings"/>
              <w:rPr>
                <w:rFonts w:cstheme="minorHAnsi"/>
              </w:rPr>
            </w:pPr>
            <w:r>
              <w:rPr>
                <w:rFonts w:cstheme="minorHAnsi"/>
              </w:rPr>
              <w:t>Total subsidies</w:t>
            </w:r>
          </w:p>
        </w:tc>
        <w:tc>
          <w:tcPr>
            <w:tcW w:w="636" w:type="pct"/>
            <w:tcBorders>
              <w:top w:val="single" w:sz="6" w:space="0" w:color="auto"/>
              <w:bottom w:val="single" w:sz="6" w:space="0" w:color="auto"/>
            </w:tcBorders>
            <w:vAlign w:val="bottom"/>
          </w:tcPr>
          <w:p w:rsidR="00122B92" w:rsidRPr="00480A1E" w:rsidRDefault="00122B92" w:rsidP="004A3183">
            <w:pPr>
              <w:pStyle w:val="TableColHeadings"/>
              <w:rPr>
                <w:rFonts w:cstheme="minorHAnsi"/>
              </w:rPr>
            </w:pPr>
            <w:r>
              <w:rPr>
                <w:rFonts w:cstheme="minorHAnsi"/>
              </w:rPr>
              <w:t>Subsidy per capita</w:t>
            </w:r>
          </w:p>
        </w:tc>
        <w:tc>
          <w:tcPr>
            <w:tcW w:w="636" w:type="pct"/>
            <w:tcBorders>
              <w:top w:val="single" w:sz="6" w:space="0" w:color="auto"/>
              <w:bottom w:val="single" w:sz="6" w:space="0" w:color="auto"/>
            </w:tcBorders>
          </w:tcPr>
          <w:p w:rsidR="00122B92" w:rsidRDefault="00122B92" w:rsidP="004A3183">
            <w:pPr>
              <w:pStyle w:val="TableColHeadings"/>
              <w:rPr>
                <w:rFonts w:cstheme="minorHAnsi"/>
              </w:rPr>
            </w:pPr>
            <w:r>
              <w:rPr>
                <w:rFonts w:cstheme="minorHAnsi"/>
              </w:rPr>
              <w:t>Subsidy as % of total revenue</w:t>
            </w:r>
          </w:p>
        </w:tc>
      </w:tr>
      <w:tr w:rsidR="00122B92" w:rsidRPr="00480A1E" w:rsidTr="004A3183">
        <w:tc>
          <w:tcPr>
            <w:tcW w:w="1819" w:type="pct"/>
            <w:tcMar>
              <w:top w:w="0" w:type="dxa"/>
              <w:bottom w:w="0" w:type="dxa"/>
            </w:tcMar>
            <w:vAlign w:val="bottom"/>
          </w:tcPr>
          <w:p w:rsidR="00122B92" w:rsidRPr="00480A1E" w:rsidRDefault="00122B92" w:rsidP="004A3183">
            <w:pPr>
              <w:pStyle w:val="TableRowUnits"/>
              <w:rPr>
                <w:rFonts w:cstheme="minorHAnsi"/>
              </w:rPr>
            </w:pPr>
          </w:p>
        </w:tc>
        <w:tc>
          <w:tcPr>
            <w:tcW w:w="636" w:type="pct"/>
            <w:tcMar>
              <w:top w:w="0" w:type="dxa"/>
              <w:bottom w:w="0" w:type="dxa"/>
            </w:tcMar>
            <w:vAlign w:val="bottom"/>
          </w:tcPr>
          <w:p w:rsidR="00122B92" w:rsidRPr="00480A1E" w:rsidRDefault="00122B92" w:rsidP="004A3183">
            <w:pPr>
              <w:pStyle w:val="TableRowUnits"/>
              <w:rPr>
                <w:rFonts w:cstheme="minorHAnsi"/>
              </w:rPr>
            </w:pPr>
            <w:r>
              <w:rPr>
                <w:rFonts w:cstheme="minorHAnsi"/>
              </w:rPr>
              <w:t>No.</w:t>
            </w:r>
          </w:p>
        </w:tc>
        <w:tc>
          <w:tcPr>
            <w:tcW w:w="636" w:type="pct"/>
            <w:tcMar>
              <w:top w:w="0" w:type="dxa"/>
              <w:bottom w:w="0" w:type="dxa"/>
            </w:tcMar>
            <w:vAlign w:val="bottom"/>
          </w:tcPr>
          <w:p w:rsidR="00122B92" w:rsidRPr="00480A1E" w:rsidRDefault="00122B92" w:rsidP="004A3183">
            <w:pPr>
              <w:pStyle w:val="TableRowUnits"/>
              <w:rPr>
                <w:rFonts w:cstheme="minorHAnsi"/>
              </w:rPr>
            </w:pPr>
            <w:r>
              <w:rPr>
                <w:rFonts w:cstheme="minorHAnsi"/>
              </w:rPr>
              <w:t>Million</w:t>
            </w:r>
          </w:p>
        </w:tc>
        <w:tc>
          <w:tcPr>
            <w:tcW w:w="636" w:type="pct"/>
            <w:tcMar>
              <w:top w:w="0" w:type="dxa"/>
              <w:bottom w:w="0" w:type="dxa"/>
            </w:tcMar>
            <w:vAlign w:val="bottom"/>
          </w:tcPr>
          <w:p w:rsidR="00122B92" w:rsidRPr="00480A1E" w:rsidRDefault="00122B92" w:rsidP="004A3183">
            <w:pPr>
              <w:pStyle w:val="TableRowUnits"/>
              <w:rPr>
                <w:rFonts w:cstheme="minorHAnsi"/>
              </w:rPr>
            </w:pPr>
            <w:r>
              <w:rPr>
                <w:rFonts w:cstheme="minorHAnsi"/>
              </w:rPr>
              <w:t>Million €</w:t>
            </w:r>
          </w:p>
        </w:tc>
        <w:tc>
          <w:tcPr>
            <w:tcW w:w="636" w:type="pct"/>
            <w:tcMar>
              <w:top w:w="0" w:type="dxa"/>
              <w:bottom w:w="0" w:type="dxa"/>
            </w:tcMar>
            <w:vAlign w:val="bottom"/>
          </w:tcPr>
          <w:p w:rsidR="00122B92" w:rsidRPr="00480A1E" w:rsidRDefault="00122B92" w:rsidP="004A3183">
            <w:pPr>
              <w:pStyle w:val="TableRowUnits"/>
              <w:rPr>
                <w:rFonts w:cstheme="minorHAnsi"/>
              </w:rPr>
            </w:pPr>
            <w:r>
              <w:rPr>
                <w:rFonts w:cstheme="minorHAnsi"/>
              </w:rPr>
              <w:t>€ pc</w:t>
            </w:r>
          </w:p>
        </w:tc>
        <w:tc>
          <w:tcPr>
            <w:tcW w:w="636" w:type="pct"/>
          </w:tcPr>
          <w:p w:rsidR="00122B92" w:rsidRDefault="00122B92" w:rsidP="004A3183">
            <w:pPr>
              <w:pStyle w:val="TableRowUnits"/>
              <w:rPr>
                <w:rFonts w:cstheme="minorHAnsi"/>
              </w:rPr>
            </w:pPr>
            <w:r>
              <w:rPr>
                <w:rFonts w:cstheme="minorHAnsi"/>
              </w:rPr>
              <w:t>%</w:t>
            </w:r>
          </w:p>
        </w:tc>
      </w:tr>
      <w:tr w:rsidR="00122B92" w:rsidRPr="00480A1E" w:rsidTr="004A3183">
        <w:tc>
          <w:tcPr>
            <w:tcW w:w="1819" w:type="pct"/>
            <w:vAlign w:val="bottom"/>
          </w:tcPr>
          <w:p w:rsidR="00122B92" w:rsidRPr="00480A1E" w:rsidRDefault="00122B92" w:rsidP="004A3183">
            <w:pPr>
              <w:pStyle w:val="TableRowNormal"/>
              <w:jc w:val="left"/>
            </w:pPr>
            <w:r>
              <w:t>Paris metropolitan area</w:t>
            </w:r>
          </w:p>
        </w:tc>
        <w:tc>
          <w:tcPr>
            <w:tcW w:w="636" w:type="pct"/>
            <w:vAlign w:val="bottom"/>
          </w:tcPr>
          <w:p w:rsidR="00122B92" w:rsidRPr="00480A1E" w:rsidRDefault="00122B92" w:rsidP="004A3183">
            <w:pPr>
              <w:pStyle w:val="TableRowNormal"/>
            </w:pPr>
            <w:r>
              <w:t>1</w:t>
            </w:r>
          </w:p>
        </w:tc>
        <w:tc>
          <w:tcPr>
            <w:tcW w:w="636" w:type="pct"/>
            <w:vAlign w:val="bottom"/>
          </w:tcPr>
          <w:p w:rsidR="00122B92" w:rsidRPr="00480A1E" w:rsidRDefault="00122B92" w:rsidP="004A3183">
            <w:pPr>
              <w:pStyle w:val="TableRowNormal"/>
            </w:pPr>
            <w:r>
              <w:t>11.96</w:t>
            </w:r>
          </w:p>
        </w:tc>
        <w:tc>
          <w:tcPr>
            <w:tcW w:w="636" w:type="pct"/>
            <w:vAlign w:val="bottom"/>
          </w:tcPr>
          <w:p w:rsidR="00122B92" w:rsidRPr="00480A1E" w:rsidRDefault="00122B92" w:rsidP="004A3183">
            <w:pPr>
              <w:pStyle w:val="TableRowNormal"/>
            </w:pPr>
            <w:r>
              <w:t>5 415</w:t>
            </w:r>
          </w:p>
        </w:tc>
        <w:tc>
          <w:tcPr>
            <w:tcW w:w="636" w:type="pct"/>
            <w:vAlign w:val="bottom"/>
          </w:tcPr>
          <w:p w:rsidR="00122B92" w:rsidRPr="00480A1E" w:rsidRDefault="00122B92" w:rsidP="004A3183">
            <w:pPr>
              <w:pStyle w:val="TableRowNormal"/>
            </w:pPr>
            <w:r>
              <w:t>452.8</w:t>
            </w:r>
          </w:p>
        </w:tc>
        <w:tc>
          <w:tcPr>
            <w:tcW w:w="636" w:type="pct"/>
          </w:tcPr>
          <w:p w:rsidR="00122B92" w:rsidRPr="00480A1E" w:rsidRDefault="00122B92" w:rsidP="004A3183">
            <w:pPr>
              <w:pStyle w:val="TableRowNormal"/>
            </w:pPr>
            <w:r>
              <w:t>60.2</w:t>
            </w:r>
          </w:p>
        </w:tc>
      </w:tr>
      <w:tr w:rsidR="00122B92" w:rsidRPr="00480A1E" w:rsidTr="004A3183">
        <w:tc>
          <w:tcPr>
            <w:tcW w:w="1819" w:type="pct"/>
            <w:vAlign w:val="bottom"/>
          </w:tcPr>
          <w:p w:rsidR="00122B92" w:rsidRPr="00480A1E" w:rsidRDefault="00122B92" w:rsidP="004A3183">
            <w:pPr>
              <w:pStyle w:val="TableRowNormal"/>
              <w:jc w:val="left"/>
            </w:pPr>
            <w:r>
              <w:t>Cities over 400 000</w:t>
            </w:r>
          </w:p>
        </w:tc>
        <w:tc>
          <w:tcPr>
            <w:tcW w:w="636" w:type="pct"/>
            <w:vAlign w:val="bottom"/>
          </w:tcPr>
          <w:p w:rsidR="00122B92" w:rsidRPr="00480A1E" w:rsidRDefault="00122B92" w:rsidP="004A3183">
            <w:pPr>
              <w:pStyle w:val="TableRowNormal"/>
            </w:pPr>
            <w:r>
              <w:t>12</w:t>
            </w:r>
          </w:p>
        </w:tc>
        <w:tc>
          <w:tcPr>
            <w:tcW w:w="636" w:type="pct"/>
            <w:vAlign w:val="bottom"/>
          </w:tcPr>
          <w:p w:rsidR="00122B92" w:rsidRPr="00480A1E" w:rsidRDefault="00122B92" w:rsidP="004A3183">
            <w:pPr>
              <w:pStyle w:val="TableRowNormal"/>
            </w:pPr>
            <w:r>
              <w:t>11.99(a)</w:t>
            </w:r>
          </w:p>
        </w:tc>
        <w:tc>
          <w:tcPr>
            <w:tcW w:w="636" w:type="pct"/>
            <w:vAlign w:val="bottom"/>
          </w:tcPr>
          <w:p w:rsidR="00122B92" w:rsidRPr="00480A1E" w:rsidRDefault="00122B92" w:rsidP="004A3183">
            <w:pPr>
              <w:pStyle w:val="TableRowNormal"/>
            </w:pPr>
            <w:r>
              <w:t>2 979</w:t>
            </w:r>
          </w:p>
        </w:tc>
        <w:tc>
          <w:tcPr>
            <w:tcW w:w="636" w:type="pct"/>
            <w:vAlign w:val="bottom"/>
          </w:tcPr>
          <w:p w:rsidR="00122B92" w:rsidRPr="00480A1E" w:rsidRDefault="00122B92" w:rsidP="004A3183">
            <w:pPr>
              <w:pStyle w:val="TableRowNormal"/>
            </w:pPr>
            <w:r>
              <w:t>248.5</w:t>
            </w:r>
          </w:p>
        </w:tc>
        <w:tc>
          <w:tcPr>
            <w:tcW w:w="636" w:type="pct"/>
          </w:tcPr>
          <w:p w:rsidR="00122B92" w:rsidRPr="00480A1E" w:rsidRDefault="00122B92" w:rsidP="004A3183">
            <w:pPr>
              <w:pStyle w:val="TableRowNormal"/>
            </w:pPr>
            <w:r>
              <w:t>78.6</w:t>
            </w:r>
          </w:p>
        </w:tc>
      </w:tr>
      <w:tr w:rsidR="00122B92" w:rsidRPr="00480A1E" w:rsidTr="004A3183">
        <w:tc>
          <w:tcPr>
            <w:tcW w:w="1819" w:type="pct"/>
            <w:vAlign w:val="bottom"/>
          </w:tcPr>
          <w:p w:rsidR="00122B92" w:rsidRPr="00480A1E" w:rsidRDefault="00122B92" w:rsidP="004A3183">
            <w:pPr>
              <w:pStyle w:val="TableRowNormal"/>
              <w:jc w:val="left"/>
            </w:pPr>
            <w:r>
              <w:t>Cities under 400 000</w:t>
            </w:r>
          </w:p>
        </w:tc>
        <w:tc>
          <w:tcPr>
            <w:tcW w:w="636" w:type="pct"/>
            <w:vAlign w:val="bottom"/>
          </w:tcPr>
          <w:p w:rsidR="00122B92" w:rsidRPr="00480A1E" w:rsidRDefault="00122B92" w:rsidP="004A3183">
            <w:pPr>
              <w:pStyle w:val="TableRowNormal"/>
            </w:pPr>
            <w:r>
              <w:t>14</w:t>
            </w:r>
          </w:p>
        </w:tc>
        <w:tc>
          <w:tcPr>
            <w:tcW w:w="636" w:type="pct"/>
            <w:vAlign w:val="bottom"/>
          </w:tcPr>
          <w:p w:rsidR="00122B92" w:rsidRPr="00480A1E" w:rsidRDefault="00122B92" w:rsidP="004A3183">
            <w:pPr>
              <w:pStyle w:val="TableRowNormal"/>
            </w:pPr>
            <w:r>
              <w:t>4.2(b)</w:t>
            </w:r>
          </w:p>
        </w:tc>
        <w:tc>
          <w:tcPr>
            <w:tcW w:w="636" w:type="pct"/>
            <w:vAlign w:val="bottom"/>
          </w:tcPr>
          <w:p w:rsidR="00122B92" w:rsidRPr="00480A1E" w:rsidRDefault="00122B92" w:rsidP="004A3183">
            <w:pPr>
              <w:pStyle w:val="TableRowNormal"/>
            </w:pPr>
            <w:r>
              <w:t>1 288</w:t>
            </w:r>
          </w:p>
        </w:tc>
        <w:tc>
          <w:tcPr>
            <w:tcW w:w="636" w:type="pct"/>
            <w:vAlign w:val="bottom"/>
          </w:tcPr>
          <w:p w:rsidR="00122B92" w:rsidRPr="00480A1E" w:rsidRDefault="00122B92" w:rsidP="004A3183">
            <w:pPr>
              <w:pStyle w:val="TableRowNormal"/>
            </w:pPr>
            <w:r>
              <w:t>306.7</w:t>
            </w:r>
          </w:p>
        </w:tc>
        <w:tc>
          <w:tcPr>
            <w:tcW w:w="636" w:type="pct"/>
          </w:tcPr>
          <w:p w:rsidR="00122B92" w:rsidRPr="00480A1E" w:rsidRDefault="00122B92" w:rsidP="004A3183">
            <w:pPr>
              <w:pStyle w:val="TableRowNormal"/>
            </w:pPr>
            <w:r>
              <w:t>85.9</w:t>
            </w:r>
          </w:p>
        </w:tc>
      </w:tr>
      <w:tr w:rsidR="00122B92" w:rsidRPr="00480A1E" w:rsidTr="004A3183">
        <w:tc>
          <w:tcPr>
            <w:tcW w:w="1819" w:type="pct"/>
            <w:vAlign w:val="bottom"/>
          </w:tcPr>
          <w:p w:rsidR="00122B92" w:rsidRDefault="00122B92" w:rsidP="004A3183">
            <w:pPr>
              <w:pStyle w:val="TableRowNormal"/>
              <w:jc w:val="left"/>
            </w:pPr>
            <w:r>
              <w:t>Cities over 200 000</w:t>
            </w:r>
          </w:p>
        </w:tc>
        <w:tc>
          <w:tcPr>
            <w:tcW w:w="636" w:type="pct"/>
            <w:vAlign w:val="bottom"/>
          </w:tcPr>
          <w:p w:rsidR="00122B92" w:rsidRDefault="00122B92" w:rsidP="004A3183">
            <w:pPr>
              <w:pStyle w:val="TableRowNormal"/>
            </w:pPr>
            <w:r>
              <w:t>11</w:t>
            </w:r>
          </w:p>
        </w:tc>
        <w:tc>
          <w:tcPr>
            <w:tcW w:w="636" w:type="pct"/>
            <w:vAlign w:val="bottom"/>
          </w:tcPr>
          <w:p w:rsidR="00122B92" w:rsidRPr="00480A1E" w:rsidRDefault="00122B92" w:rsidP="004A3183">
            <w:pPr>
              <w:pStyle w:val="TableRowNormal"/>
            </w:pPr>
            <w:r>
              <w:t>2.75(c)</w:t>
            </w:r>
          </w:p>
        </w:tc>
        <w:tc>
          <w:tcPr>
            <w:tcW w:w="636" w:type="pct"/>
            <w:vAlign w:val="bottom"/>
          </w:tcPr>
          <w:p w:rsidR="00122B92" w:rsidRDefault="00122B92" w:rsidP="004A3183">
            <w:pPr>
              <w:pStyle w:val="TableRowNormal"/>
            </w:pPr>
            <w:r>
              <w:t>565</w:t>
            </w:r>
          </w:p>
        </w:tc>
        <w:tc>
          <w:tcPr>
            <w:tcW w:w="636" w:type="pct"/>
            <w:vAlign w:val="bottom"/>
          </w:tcPr>
          <w:p w:rsidR="00122B92" w:rsidRPr="00480A1E" w:rsidRDefault="00122B92" w:rsidP="004A3183">
            <w:pPr>
              <w:pStyle w:val="TableRowNormal"/>
            </w:pPr>
            <w:r>
              <w:t>205.5</w:t>
            </w:r>
          </w:p>
        </w:tc>
        <w:tc>
          <w:tcPr>
            <w:tcW w:w="636" w:type="pct"/>
          </w:tcPr>
          <w:p w:rsidR="00122B92" w:rsidRDefault="00122B92" w:rsidP="004A3183">
            <w:pPr>
              <w:pStyle w:val="TableRowNormal"/>
            </w:pPr>
            <w:r>
              <w:t>88.4</w:t>
            </w:r>
          </w:p>
        </w:tc>
      </w:tr>
      <w:tr w:rsidR="00122B92" w:rsidRPr="00480A1E" w:rsidTr="004A3183">
        <w:tc>
          <w:tcPr>
            <w:tcW w:w="1819" w:type="pct"/>
            <w:vAlign w:val="bottom"/>
          </w:tcPr>
          <w:p w:rsidR="00122B92" w:rsidRDefault="00122B92" w:rsidP="004A3183">
            <w:pPr>
              <w:pStyle w:val="TableRowNormal"/>
              <w:jc w:val="left"/>
            </w:pPr>
            <w:r>
              <w:t>Cities 100 000 to 200 000</w:t>
            </w:r>
          </w:p>
        </w:tc>
        <w:tc>
          <w:tcPr>
            <w:tcW w:w="636" w:type="pct"/>
            <w:vAlign w:val="bottom"/>
          </w:tcPr>
          <w:p w:rsidR="00122B92" w:rsidRDefault="00122B92" w:rsidP="004A3183">
            <w:pPr>
              <w:pStyle w:val="TableRowNormal"/>
            </w:pPr>
            <w:r>
              <w:t>44</w:t>
            </w:r>
          </w:p>
        </w:tc>
        <w:tc>
          <w:tcPr>
            <w:tcW w:w="636" w:type="pct"/>
            <w:vAlign w:val="bottom"/>
          </w:tcPr>
          <w:p w:rsidR="00122B92" w:rsidRPr="00480A1E" w:rsidRDefault="00122B92" w:rsidP="004A3183">
            <w:pPr>
              <w:pStyle w:val="TableRowNormal"/>
            </w:pPr>
            <w:r>
              <w:t>6.6(d)</w:t>
            </w:r>
          </w:p>
        </w:tc>
        <w:tc>
          <w:tcPr>
            <w:tcW w:w="636" w:type="pct"/>
            <w:vAlign w:val="bottom"/>
          </w:tcPr>
          <w:p w:rsidR="00122B92" w:rsidRDefault="00122B92" w:rsidP="004A3183">
            <w:pPr>
              <w:pStyle w:val="TableRowNormal"/>
            </w:pPr>
            <w:r>
              <w:t>1 029</w:t>
            </w:r>
          </w:p>
        </w:tc>
        <w:tc>
          <w:tcPr>
            <w:tcW w:w="636" w:type="pct"/>
            <w:vAlign w:val="bottom"/>
          </w:tcPr>
          <w:p w:rsidR="00122B92" w:rsidRPr="00480A1E" w:rsidRDefault="00122B92" w:rsidP="004A3183">
            <w:pPr>
              <w:pStyle w:val="TableRowNormal"/>
            </w:pPr>
            <w:r>
              <w:t>155.9</w:t>
            </w:r>
          </w:p>
        </w:tc>
        <w:tc>
          <w:tcPr>
            <w:tcW w:w="636" w:type="pct"/>
          </w:tcPr>
          <w:p w:rsidR="00122B92" w:rsidRDefault="00122B92" w:rsidP="004A3183">
            <w:pPr>
              <w:pStyle w:val="TableRowNormal"/>
            </w:pPr>
            <w:r>
              <w:t>87.6</w:t>
            </w:r>
          </w:p>
        </w:tc>
      </w:tr>
      <w:tr w:rsidR="00122B92" w:rsidRPr="00480A1E" w:rsidTr="004A3183">
        <w:tc>
          <w:tcPr>
            <w:tcW w:w="1819" w:type="pct"/>
            <w:vAlign w:val="bottom"/>
          </w:tcPr>
          <w:p w:rsidR="00122B92" w:rsidRDefault="00122B92" w:rsidP="004A3183">
            <w:pPr>
              <w:pStyle w:val="TableRowNormal"/>
              <w:jc w:val="left"/>
            </w:pPr>
            <w:r>
              <w:t>Cities 50 000 to 100 000</w:t>
            </w:r>
          </w:p>
        </w:tc>
        <w:tc>
          <w:tcPr>
            <w:tcW w:w="636" w:type="pct"/>
            <w:vAlign w:val="bottom"/>
          </w:tcPr>
          <w:p w:rsidR="00122B92" w:rsidRDefault="00122B92" w:rsidP="004A3183">
            <w:pPr>
              <w:pStyle w:val="TableRowNormal"/>
            </w:pPr>
            <w:r>
              <w:t>64</w:t>
            </w:r>
          </w:p>
        </w:tc>
        <w:tc>
          <w:tcPr>
            <w:tcW w:w="636" w:type="pct"/>
            <w:vAlign w:val="bottom"/>
          </w:tcPr>
          <w:p w:rsidR="00122B92" w:rsidRPr="00480A1E" w:rsidRDefault="00122B92" w:rsidP="004A3183">
            <w:pPr>
              <w:pStyle w:val="TableRowNormal"/>
            </w:pPr>
            <w:r>
              <w:t>4.8(d)</w:t>
            </w:r>
          </w:p>
        </w:tc>
        <w:tc>
          <w:tcPr>
            <w:tcW w:w="636" w:type="pct"/>
            <w:vAlign w:val="bottom"/>
          </w:tcPr>
          <w:p w:rsidR="00122B92" w:rsidRDefault="00122B92" w:rsidP="004A3183">
            <w:pPr>
              <w:pStyle w:val="TableRowNormal"/>
            </w:pPr>
            <w:r>
              <w:t>356</w:t>
            </w:r>
          </w:p>
        </w:tc>
        <w:tc>
          <w:tcPr>
            <w:tcW w:w="636" w:type="pct"/>
            <w:vAlign w:val="bottom"/>
          </w:tcPr>
          <w:p w:rsidR="00122B92" w:rsidRPr="00480A1E" w:rsidRDefault="00122B92" w:rsidP="004A3183">
            <w:pPr>
              <w:pStyle w:val="TableRowNormal"/>
            </w:pPr>
            <w:r>
              <w:t>74.2</w:t>
            </w:r>
          </w:p>
        </w:tc>
        <w:tc>
          <w:tcPr>
            <w:tcW w:w="636" w:type="pct"/>
          </w:tcPr>
          <w:p w:rsidR="00122B92" w:rsidRDefault="00122B92" w:rsidP="004A3183">
            <w:pPr>
              <w:pStyle w:val="TableRowNormal"/>
            </w:pPr>
            <w:r>
              <w:t>86.2</w:t>
            </w:r>
          </w:p>
        </w:tc>
      </w:tr>
      <w:tr w:rsidR="00122B92" w:rsidRPr="00480A1E" w:rsidTr="004A3183">
        <w:tc>
          <w:tcPr>
            <w:tcW w:w="1819" w:type="pct"/>
            <w:tcBorders>
              <w:bottom w:val="single" w:sz="6" w:space="0" w:color="auto"/>
            </w:tcBorders>
            <w:vAlign w:val="bottom"/>
          </w:tcPr>
          <w:p w:rsidR="00122B92" w:rsidRDefault="00122B92" w:rsidP="004A3183">
            <w:pPr>
              <w:pStyle w:val="TableRowNormal"/>
              <w:jc w:val="left"/>
            </w:pPr>
            <w:r>
              <w:t>Cities under 50 000</w:t>
            </w:r>
          </w:p>
        </w:tc>
        <w:tc>
          <w:tcPr>
            <w:tcW w:w="636" w:type="pct"/>
            <w:tcBorders>
              <w:bottom w:val="single" w:sz="6" w:space="0" w:color="auto"/>
            </w:tcBorders>
            <w:vAlign w:val="bottom"/>
          </w:tcPr>
          <w:p w:rsidR="00122B92" w:rsidRDefault="00122B92" w:rsidP="004A3183">
            <w:pPr>
              <w:pStyle w:val="TableRowNormal"/>
            </w:pPr>
            <w:r>
              <w:t>41</w:t>
            </w:r>
          </w:p>
        </w:tc>
        <w:tc>
          <w:tcPr>
            <w:tcW w:w="636" w:type="pct"/>
            <w:tcBorders>
              <w:bottom w:val="single" w:sz="6" w:space="0" w:color="auto"/>
            </w:tcBorders>
            <w:vAlign w:val="bottom"/>
          </w:tcPr>
          <w:p w:rsidR="00122B92" w:rsidRPr="00480A1E" w:rsidRDefault="00122B92" w:rsidP="004A3183">
            <w:pPr>
              <w:pStyle w:val="TableRowNormal"/>
            </w:pPr>
            <w:r>
              <w:t>1.03(e)</w:t>
            </w:r>
          </w:p>
        </w:tc>
        <w:tc>
          <w:tcPr>
            <w:tcW w:w="636" w:type="pct"/>
            <w:tcBorders>
              <w:bottom w:val="single" w:sz="6" w:space="0" w:color="auto"/>
            </w:tcBorders>
            <w:vAlign w:val="bottom"/>
          </w:tcPr>
          <w:p w:rsidR="00122B92" w:rsidRDefault="00122B92" w:rsidP="004A3183">
            <w:pPr>
              <w:pStyle w:val="TableRowNormal"/>
            </w:pPr>
            <w:r>
              <w:t>57</w:t>
            </w:r>
          </w:p>
        </w:tc>
        <w:tc>
          <w:tcPr>
            <w:tcW w:w="636" w:type="pct"/>
            <w:tcBorders>
              <w:bottom w:val="single" w:sz="6" w:space="0" w:color="auto"/>
            </w:tcBorders>
            <w:vAlign w:val="bottom"/>
          </w:tcPr>
          <w:p w:rsidR="00122B92" w:rsidRPr="00480A1E" w:rsidRDefault="00122B92" w:rsidP="004A3183">
            <w:pPr>
              <w:pStyle w:val="TableRowNormal"/>
            </w:pPr>
            <w:r>
              <w:t>55.3</w:t>
            </w:r>
          </w:p>
        </w:tc>
        <w:tc>
          <w:tcPr>
            <w:tcW w:w="636" w:type="pct"/>
            <w:tcBorders>
              <w:bottom w:val="single" w:sz="6" w:space="0" w:color="auto"/>
            </w:tcBorders>
          </w:tcPr>
          <w:p w:rsidR="00122B92" w:rsidRDefault="00122B92" w:rsidP="004A3183">
            <w:pPr>
              <w:pStyle w:val="TableRowNormal"/>
            </w:pPr>
            <w:r>
              <w:t>89.1</w:t>
            </w:r>
          </w:p>
        </w:tc>
      </w:tr>
    </w:tbl>
    <w:p w:rsidR="00122B92" w:rsidRDefault="00122B92" w:rsidP="00122B92">
      <w:pPr>
        <w:pStyle w:val="CGCTableFootnote"/>
        <w:keepNext/>
        <w:keepLines/>
      </w:pPr>
      <w:r>
        <w:t>(a)</w:t>
      </w:r>
      <w:r>
        <w:tab/>
        <w:t>Based on actual populations for 9 cities and an assumed 0.5 million for the other 3.</w:t>
      </w:r>
    </w:p>
    <w:p w:rsidR="00122B92" w:rsidRDefault="00122B92" w:rsidP="00122B92">
      <w:pPr>
        <w:pStyle w:val="CGCTableFootnote"/>
        <w:keepNext/>
        <w:keepLines/>
      </w:pPr>
      <w:r>
        <w:t>(b)</w:t>
      </w:r>
      <w:r>
        <w:tab/>
        <w:t>Population assumed to be 0.3 million.</w:t>
      </w:r>
    </w:p>
    <w:p w:rsidR="00122B92" w:rsidRDefault="00122B92" w:rsidP="00122B92">
      <w:pPr>
        <w:pStyle w:val="CGCTableFootnote"/>
        <w:keepNext/>
        <w:keepLines/>
      </w:pPr>
      <w:r>
        <w:t>(c)</w:t>
      </w:r>
      <w:r>
        <w:tab/>
        <w:t>Population assumed to be 0.25 million.</w:t>
      </w:r>
    </w:p>
    <w:p w:rsidR="00122B92" w:rsidRDefault="00122B92" w:rsidP="00122B92">
      <w:pPr>
        <w:pStyle w:val="CGCTableFootnote"/>
        <w:keepNext/>
        <w:keepLines/>
      </w:pPr>
      <w:r>
        <w:t>(d)</w:t>
      </w:r>
      <w:r>
        <w:tab/>
        <w:t>Population assumed to be at the mid-point of the range.</w:t>
      </w:r>
    </w:p>
    <w:p w:rsidR="00122B92" w:rsidRDefault="00122B92" w:rsidP="00122B92">
      <w:pPr>
        <w:pStyle w:val="CGCTableFootnote"/>
        <w:keepNext/>
        <w:keepLines/>
      </w:pPr>
      <w:r>
        <w:t>(e)</w:t>
      </w:r>
      <w:r>
        <w:tab/>
        <w:t>Population assumed to be 0.025 million.</w:t>
      </w:r>
    </w:p>
    <w:p w:rsidR="00122B92" w:rsidRDefault="00122B92" w:rsidP="00122B92">
      <w:pPr>
        <w:pStyle w:val="CGCTableFootnote"/>
        <w:keepNext/>
        <w:keepLines/>
      </w:pPr>
      <w:r>
        <w:t>Source:</w:t>
      </w:r>
      <w:r>
        <w:tab/>
        <w:t>Ruiz-Montanez M (2017), ‘Financing public transport: a spatial model based on city size’, European Journal of Management and Business Economics, Vol 26, issue 1.</w:t>
      </w:r>
    </w:p>
    <w:p w:rsidR="00122B92" w:rsidRPr="00122B92" w:rsidRDefault="00122B92" w:rsidP="00122B92">
      <w:pPr>
        <w:pStyle w:val="NoSpacing"/>
      </w:pPr>
    </w:p>
    <w:p w:rsidR="00122B92" w:rsidRDefault="00122B92" w:rsidP="00122B92">
      <w:pPr>
        <w:pStyle w:val="CGCTableHeading"/>
      </w:pPr>
      <w:bookmarkStart w:id="51" w:name="_Ref508095947"/>
      <w:bookmarkStart w:id="52" w:name="_Ref508096239"/>
      <w:r>
        <w:lastRenderedPageBreak/>
        <w:t xml:space="preserve">Table </w:t>
      </w:r>
      <w:r w:rsidR="00654065">
        <w:fldChar w:fldCharType="begin"/>
      </w:r>
      <w:r w:rsidR="00654065">
        <w:instrText xml:space="preserve"> SEQ Table \* ARABIC </w:instrText>
      </w:r>
      <w:r w:rsidR="00654065">
        <w:fldChar w:fldCharType="separate"/>
      </w:r>
      <w:r w:rsidR="000819F3">
        <w:rPr>
          <w:noProof/>
        </w:rPr>
        <w:t>9</w:t>
      </w:r>
      <w:r w:rsidR="00654065">
        <w:rPr>
          <w:noProof/>
        </w:rPr>
        <w:fldChar w:fldCharType="end"/>
      </w:r>
      <w:bookmarkEnd w:id="51"/>
      <w:bookmarkEnd w:id="52"/>
      <w:r>
        <w:tab/>
        <w:t>Government subsidies by city size, United States, 2011</w:t>
      </w:r>
    </w:p>
    <w:tbl>
      <w:tblPr>
        <w:tblW w:w="5000" w:type="pct"/>
        <w:tblCellMar>
          <w:left w:w="85" w:type="dxa"/>
          <w:right w:w="85" w:type="dxa"/>
        </w:tblCellMar>
        <w:tblLook w:val="0000" w:firstRow="0" w:lastRow="0" w:firstColumn="0" w:lastColumn="0" w:noHBand="0" w:noVBand="0"/>
      </w:tblPr>
      <w:tblGrid>
        <w:gridCol w:w="4095"/>
        <w:gridCol w:w="2514"/>
        <w:gridCol w:w="2512"/>
      </w:tblGrid>
      <w:tr w:rsidR="00122B92" w:rsidRPr="004537EA" w:rsidTr="004A3183">
        <w:tc>
          <w:tcPr>
            <w:tcW w:w="2245" w:type="pct"/>
            <w:tcBorders>
              <w:top w:val="single" w:sz="6" w:space="0" w:color="auto"/>
              <w:bottom w:val="single" w:sz="6" w:space="0" w:color="auto"/>
            </w:tcBorders>
            <w:vAlign w:val="bottom"/>
          </w:tcPr>
          <w:p w:rsidR="00122B92" w:rsidRPr="004537EA" w:rsidRDefault="00122B92" w:rsidP="004A3183">
            <w:pPr>
              <w:pStyle w:val="TableColHeadings"/>
              <w:jc w:val="left"/>
              <w:rPr>
                <w:rFonts w:cstheme="minorHAnsi"/>
              </w:rPr>
            </w:pPr>
            <w:r>
              <w:rPr>
                <w:rFonts w:cstheme="minorHAnsi"/>
              </w:rPr>
              <w:t>City population size</w:t>
            </w:r>
          </w:p>
        </w:tc>
        <w:tc>
          <w:tcPr>
            <w:tcW w:w="1378" w:type="pct"/>
            <w:tcBorders>
              <w:top w:val="single" w:sz="6" w:space="0" w:color="auto"/>
              <w:bottom w:val="single" w:sz="6" w:space="0" w:color="auto"/>
            </w:tcBorders>
            <w:vAlign w:val="bottom"/>
          </w:tcPr>
          <w:p w:rsidR="00122B92" w:rsidRPr="004537EA" w:rsidRDefault="00122B92" w:rsidP="004A3183">
            <w:pPr>
              <w:pStyle w:val="TableColHeadings"/>
              <w:rPr>
                <w:rFonts w:cstheme="minorHAnsi"/>
              </w:rPr>
            </w:pPr>
          </w:p>
        </w:tc>
        <w:tc>
          <w:tcPr>
            <w:tcW w:w="1377" w:type="pct"/>
            <w:tcBorders>
              <w:top w:val="single" w:sz="6" w:space="0" w:color="auto"/>
              <w:bottom w:val="single" w:sz="6" w:space="0" w:color="auto"/>
            </w:tcBorders>
            <w:vAlign w:val="bottom"/>
          </w:tcPr>
          <w:p w:rsidR="00122B92" w:rsidRPr="004537EA" w:rsidRDefault="00122B92" w:rsidP="004A3183">
            <w:pPr>
              <w:pStyle w:val="TableColHeadings"/>
              <w:rPr>
                <w:rFonts w:cstheme="minorHAnsi"/>
              </w:rPr>
            </w:pPr>
            <w:r>
              <w:rPr>
                <w:rFonts w:cstheme="minorHAnsi"/>
              </w:rPr>
              <w:t>Subsidies per capita</w:t>
            </w:r>
          </w:p>
        </w:tc>
      </w:tr>
      <w:tr w:rsidR="00122B92" w:rsidRPr="004537EA" w:rsidTr="004A3183">
        <w:tc>
          <w:tcPr>
            <w:tcW w:w="2245" w:type="pct"/>
            <w:tcMar>
              <w:top w:w="0" w:type="dxa"/>
              <w:bottom w:w="0" w:type="dxa"/>
            </w:tcMar>
            <w:vAlign w:val="bottom"/>
          </w:tcPr>
          <w:p w:rsidR="00122B92" w:rsidRPr="004537EA" w:rsidRDefault="00122B92" w:rsidP="004A3183">
            <w:pPr>
              <w:pStyle w:val="TableRowUnits"/>
              <w:rPr>
                <w:rFonts w:cstheme="minorHAnsi"/>
              </w:rPr>
            </w:pPr>
          </w:p>
        </w:tc>
        <w:tc>
          <w:tcPr>
            <w:tcW w:w="1378" w:type="pct"/>
            <w:tcMar>
              <w:top w:w="0" w:type="dxa"/>
              <w:bottom w:w="0" w:type="dxa"/>
            </w:tcMar>
            <w:vAlign w:val="bottom"/>
          </w:tcPr>
          <w:p w:rsidR="00122B92" w:rsidRPr="004537EA" w:rsidRDefault="00122B92" w:rsidP="004A3183">
            <w:pPr>
              <w:pStyle w:val="TableRowUnits"/>
              <w:rPr>
                <w:rFonts w:cstheme="minorHAnsi"/>
              </w:rPr>
            </w:pPr>
          </w:p>
        </w:tc>
        <w:tc>
          <w:tcPr>
            <w:tcW w:w="1377" w:type="pct"/>
            <w:tcMar>
              <w:top w:w="0" w:type="dxa"/>
              <w:bottom w:w="0" w:type="dxa"/>
            </w:tcMar>
            <w:vAlign w:val="bottom"/>
          </w:tcPr>
          <w:p w:rsidR="00122B92" w:rsidRPr="004537EA" w:rsidRDefault="00621D4C" w:rsidP="00621D4C">
            <w:pPr>
              <w:pStyle w:val="TableRowUnits"/>
              <w:rPr>
                <w:rFonts w:cstheme="minorHAnsi"/>
              </w:rPr>
            </w:pPr>
            <w:r>
              <w:rPr>
                <w:rFonts w:cstheme="minorHAnsi"/>
              </w:rPr>
              <w:t xml:space="preserve">US$ </w:t>
            </w:r>
            <w:r w:rsidR="00122B92">
              <w:rPr>
                <w:rFonts w:cstheme="minorHAnsi"/>
              </w:rPr>
              <w:t>pc</w:t>
            </w:r>
          </w:p>
        </w:tc>
      </w:tr>
      <w:tr w:rsidR="00122B92" w:rsidRPr="004537EA" w:rsidTr="004A3183">
        <w:tc>
          <w:tcPr>
            <w:tcW w:w="2245" w:type="pct"/>
            <w:vAlign w:val="bottom"/>
          </w:tcPr>
          <w:p w:rsidR="00122B92" w:rsidRPr="004537EA" w:rsidRDefault="00122B92" w:rsidP="004A3183">
            <w:pPr>
              <w:pStyle w:val="CGCTableStub"/>
              <w:rPr>
                <w:rFonts w:cstheme="minorHAnsi"/>
              </w:rPr>
            </w:pPr>
            <w:r w:rsidRPr="00193715">
              <w:rPr>
                <w:rFonts w:cstheme="minorHAnsi"/>
              </w:rPr>
              <w:t>over 5 million</w:t>
            </w:r>
          </w:p>
        </w:tc>
        <w:tc>
          <w:tcPr>
            <w:tcW w:w="1378" w:type="pct"/>
            <w:vAlign w:val="bottom"/>
          </w:tcPr>
          <w:p w:rsidR="00122B92" w:rsidRPr="004537EA" w:rsidRDefault="00122B92" w:rsidP="004A3183">
            <w:pPr>
              <w:pStyle w:val="TableRowNormal"/>
              <w:rPr>
                <w:rFonts w:cstheme="minorHAnsi"/>
              </w:rPr>
            </w:pPr>
          </w:p>
        </w:tc>
        <w:tc>
          <w:tcPr>
            <w:tcW w:w="1377" w:type="pct"/>
            <w:vAlign w:val="bottom"/>
          </w:tcPr>
          <w:p w:rsidR="00122B92" w:rsidRPr="004537EA" w:rsidRDefault="00122B92" w:rsidP="004A3183">
            <w:pPr>
              <w:pStyle w:val="TableRowNormal"/>
              <w:rPr>
                <w:rFonts w:cstheme="minorHAnsi"/>
              </w:rPr>
            </w:pPr>
            <w:r w:rsidRPr="00193715">
              <w:rPr>
                <w:rFonts w:cstheme="minorHAnsi"/>
              </w:rPr>
              <w:t>167</w:t>
            </w:r>
          </w:p>
        </w:tc>
      </w:tr>
      <w:tr w:rsidR="00122B92" w:rsidRPr="004537EA" w:rsidTr="004A3183">
        <w:tc>
          <w:tcPr>
            <w:tcW w:w="2245" w:type="pct"/>
            <w:vAlign w:val="bottom"/>
          </w:tcPr>
          <w:p w:rsidR="00122B92" w:rsidRPr="004537EA" w:rsidRDefault="00122B92" w:rsidP="004A3183">
            <w:pPr>
              <w:pStyle w:val="CGCTableStub"/>
              <w:rPr>
                <w:rFonts w:cstheme="minorHAnsi"/>
              </w:rPr>
            </w:pPr>
            <w:r w:rsidRPr="00193715">
              <w:rPr>
                <w:rFonts w:cstheme="minorHAnsi"/>
              </w:rPr>
              <w:t>3 to 5 million</w:t>
            </w:r>
          </w:p>
        </w:tc>
        <w:tc>
          <w:tcPr>
            <w:tcW w:w="1378" w:type="pct"/>
            <w:vAlign w:val="bottom"/>
          </w:tcPr>
          <w:p w:rsidR="00122B92" w:rsidRPr="004537EA" w:rsidRDefault="00122B92" w:rsidP="004A3183">
            <w:pPr>
              <w:pStyle w:val="TableRowNormal"/>
              <w:rPr>
                <w:rFonts w:cstheme="minorHAnsi"/>
              </w:rPr>
            </w:pPr>
          </w:p>
        </w:tc>
        <w:tc>
          <w:tcPr>
            <w:tcW w:w="1377" w:type="pct"/>
            <w:vAlign w:val="bottom"/>
          </w:tcPr>
          <w:p w:rsidR="00122B92" w:rsidRPr="004537EA" w:rsidRDefault="00122B92" w:rsidP="004A3183">
            <w:pPr>
              <w:pStyle w:val="TableRowNormal"/>
              <w:rPr>
                <w:rFonts w:cstheme="minorHAnsi"/>
              </w:rPr>
            </w:pPr>
            <w:r w:rsidRPr="00193715">
              <w:rPr>
                <w:rFonts w:cstheme="minorHAnsi"/>
              </w:rPr>
              <w:t>126</w:t>
            </w:r>
          </w:p>
        </w:tc>
      </w:tr>
      <w:tr w:rsidR="00122B92" w:rsidRPr="004537EA" w:rsidTr="004A3183">
        <w:tc>
          <w:tcPr>
            <w:tcW w:w="2245" w:type="pct"/>
            <w:vAlign w:val="bottom"/>
          </w:tcPr>
          <w:p w:rsidR="00122B92" w:rsidRPr="004537EA" w:rsidRDefault="00122B92" w:rsidP="004A3183">
            <w:pPr>
              <w:pStyle w:val="CGCTableStub"/>
              <w:rPr>
                <w:rFonts w:cstheme="minorHAnsi"/>
              </w:rPr>
            </w:pPr>
            <w:r w:rsidRPr="00193715">
              <w:rPr>
                <w:rFonts w:cstheme="minorHAnsi"/>
              </w:rPr>
              <w:t>2 to 3 million</w:t>
            </w:r>
          </w:p>
        </w:tc>
        <w:tc>
          <w:tcPr>
            <w:tcW w:w="1378" w:type="pct"/>
            <w:vAlign w:val="bottom"/>
          </w:tcPr>
          <w:p w:rsidR="00122B92" w:rsidRPr="004537EA" w:rsidRDefault="00122B92" w:rsidP="004A3183">
            <w:pPr>
              <w:pStyle w:val="TableRowNormal"/>
              <w:rPr>
                <w:rFonts w:cstheme="minorHAnsi"/>
              </w:rPr>
            </w:pPr>
          </w:p>
        </w:tc>
        <w:tc>
          <w:tcPr>
            <w:tcW w:w="1377" w:type="pct"/>
            <w:vAlign w:val="bottom"/>
          </w:tcPr>
          <w:p w:rsidR="00122B92" w:rsidRPr="004537EA" w:rsidRDefault="00122B92" w:rsidP="004A3183">
            <w:pPr>
              <w:pStyle w:val="TableRowNormal"/>
              <w:rPr>
                <w:rFonts w:cstheme="minorHAnsi"/>
              </w:rPr>
            </w:pPr>
            <w:r w:rsidRPr="00193715">
              <w:rPr>
                <w:rFonts w:cstheme="minorHAnsi"/>
              </w:rPr>
              <w:t>110</w:t>
            </w:r>
          </w:p>
        </w:tc>
      </w:tr>
      <w:tr w:rsidR="00122B92" w:rsidRPr="004537EA" w:rsidTr="004A3183">
        <w:tc>
          <w:tcPr>
            <w:tcW w:w="2245" w:type="pct"/>
            <w:vAlign w:val="bottom"/>
          </w:tcPr>
          <w:p w:rsidR="00122B92" w:rsidRPr="00193715" w:rsidRDefault="00122B92" w:rsidP="004A3183">
            <w:pPr>
              <w:pStyle w:val="CGCTableStub"/>
              <w:rPr>
                <w:rFonts w:cstheme="minorHAnsi"/>
              </w:rPr>
            </w:pPr>
            <w:r w:rsidRPr="00193715">
              <w:rPr>
                <w:rFonts w:cstheme="minorHAnsi"/>
              </w:rPr>
              <w:t>1 to 2 million</w:t>
            </w:r>
          </w:p>
        </w:tc>
        <w:tc>
          <w:tcPr>
            <w:tcW w:w="1378" w:type="pct"/>
            <w:vAlign w:val="bottom"/>
          </w:tcPr>
          <w:p w:rsidR="00122B92" w:rsidRPr="004537EA" w:rsidRDefault="00122B92" w:rsidP="004A3183">
            <w:pPr>
              <w:pStyle w:val="TableRowNormal"/>
              <w:rPr>
                <w:rFonts w:cstheme="minorHAnsi"/>
              </w:rPr>
            </w:pPr>
          </w:p>
        </w:tc>
        <w:tc>
          <w:tcPr>
            <w:tcW w:w="1377" w:type="pct"/>
            <w:vAlign w:val="bottom"/>
          </w:tcPr>
          <w:p w:rsidR="00122B92" w:rsidRPr="004537EA" w:rsidRDefault="00122B92" w:rsidP="004A3183">
            <w:pPr>
              <w:pStyle w:val="TableRowNormal"/>
              <w:rPr>
                <w:rFonts w:cstheme="minorHAnsi"/>
              </w:rPr>
            </w:pPr>
            <w:r w:rsidRPr="00193715">
              <w:rPr>
                <w:rFonts w:cstheme="minorHAnsi"/>
              </w:rPr>
              <w:t>68</w:t>
            </w:r>
          </w:p>
        </w:tc>
      </w:tr>
      <w:tr w:rsidR="00122B92" w:rsidRPr="004537EA" w:rsidTr="004A3183">
        <w:tc>
          <w:tcPr>
            <w:tcW w:w="2245" w:type="pct"/>
            <w:vAlign w:val="bottom"/>
          </w:tcPr>
          <w:p w:rsidR="00122B92" w:rsidRPr="00193715" w:rsidRDefault="00122B92" w:rsidP="004A3183">
            <w:pPr>
              <w:pStyle w:val="CGCTableStub"/>
              <w:rPr>
                <w:rFonts w:cstheme="minorHAnsi"/>
              </w:rPr>
            </w:pPr>
            <w:r w:rsidRPr="00193715">
              <w:rPr>
                <w:rFonts w:cstheme="minorHAnsi"/>
              </w:rPr>
              <w:t>0.5 to 1 million</w:t>
            </w:r>
          </w:p>
        </w:tc>
        <w:tc>
          <w:tcPr>
            <w:tcW w:w="1378" w:type="pct"/>
            <w:vAlign w:val="bottom"/>
          </w:tcPr>
          <w:p w:rsidR="00122B92" w:rsidRPr="004537EA" w:rsidRDefault="00122B92" w:rsidP="004A3183">
            <w:pPr>
              <w:pStyle w:val="TableRowNormal"/>
              <w:rPr>
                <w:rFonts w:cstheme="minorHAnsi"/>
              </w:rPr>
            </w:pPr>
          </w:p>
        </w:tc>
        <w:tc>
          <w:tcPr>
            <w:tcW w:w="1377" w:type="pct"/>
            <w:vAlign w:val="bottom"/>
          </w:tcPr>
          <w:p w:rsidR="00122B92" w:rsidRPr="004537EA" w:rsidRDefault="00122B92" w:rsidP="004A3183">
            <w:pPr>
              <w:pStyle w:val="TableRowNormal"/>
              <w:rPr>
                <w:rFonts w:cstheme="minorHAnsi"/>
              </w:rPr>
            </w:pPr>
            <w:r w:rsidRPr="00193715">
              <w:rPr>
                <w:rFonts w:cstheme="minorHAnsi"/>
              </w:rPr>
              <w:t>45</w:t>
            </w:r>
          </w:p>
        </w:tc>
      </w:tr>
      <w:tr w:rsidR="00122B92" w:rsidRPr="004537EA" w:rsidTr="004A3183">
        <w:tc>
          <w:tcPr>
            <w:tcW w:w="2245" w:type="pct"/>
            <w:vAlign w:val="bottom"/>
          </w:tcPr>
          <w:p w:rsidR="00122B92" w:rsidRPr="00193715" w:rsidRDefault="00122B92" w:rsidP="004A3183">
            <w:pPr>
              <w:pStyle w:val="CGCTableStub"/>
              <w:rPr>
                <w:rFonts w:cstheme="minorHAnsi"/>
              </w:rPr>
            </w:pPr>
            <w:r w:rsidRPr="00193715">
              <w:rPr>
                <w:rFonts w:cstheme="minorHAnsi"/>
              </w:rPr>
              <w:t>0.3 to 0.5 million</w:t>
            </w:r>
          </w:p>
        </w:tc>
        <w:tc>
          <w:tcPr>
            <w:tcW w:w="1378" w:type="pct"/>
            <w:vAlign w:val="bottom"/>
          </w:tcPr>
          <w:p w:rsidR="00122B92" w:rsidRPr="004537EA" w:rsidRDefault="00122B92" w:rsidP="004A3183">
            <w:pPr>
              <w:pStyle w:val="TableRowNormal"/>
              <w:rPr>
                <w:rFonts w:cstheme="minorHAnsi"/>
              </w:rPr>
            </w:pPr>
          </w:p>
        </w:tc>
        <w:tc>
          <w:tcPr>
            <w:tcW w:w="1377" w:type="pct"/>
            <w:vAlign w:val="bottom"/>
          </w:tcPr>
          <w:p w:rsidR="00122B92" w:rsidRPr="004537EA" w:rsidRDefault="00122B92" w:rsidP="004A3183">
            <w:pPr>
              <w:pStyle w:val="TableRowNormal"/>
              <w:rPr>
                <w:rFonts w:cstheme="minorHAnsi"/>
              </w:rPr>
            </w:pPr>
            <w:r w:rsidRPr="00193715">
              <w:rPr>
                <w:rFonts w:cstheme="minorHAnsi"/>
              </w:rPr>
              <w:t>34</w:t>
            </w:r>
          </w:p>
        </w:tc>
      </w:tr>
      <w:tr w:rsidR="00122B92" w:rsidRPr="004537EA" w:rsidTr="004A3183">
        <w:tc>
          <w:tcPr>
            <w:tcW w:w="2245" w:type="pct"/>
            <w:vAlign w:val="bottom"/>
          </w:tcPr>
          <w:p w:rsidR="00122B92" w:rsidRPr="00193715" w:rsidRDefault="00122B92" w:rsidP="004A3183">
            <w:pPr>
              <w:pStyle w:val="CGCTableStub"/>
              <w:rPr>
                <w:rFonts w:cstheme="minorHAnsi"/>
              </w:rPr>
            </w:pPr>
            <w:r w:rsidRPr="00193715">
              <w:rPr>
                <w:rFonts w:cstheme="minorHAnsi"/>
              </w:rPr>
              <w:t>0.05 to 0.3 million</w:t>
            </w:r>
          </w:p>
        </w:tc>
        <w:tc>
          <w:tcPr>
            <w:tcW w:w="1378" w:type="pct"/>
            <w:tcBorders>
              <w:bottom w:val="single" w:sz="4" w:space="0" w:color="auto"/>
            </w:tcBorders>
            <w:vAlign w:val="bottom"/>
          </w:tcPr>
          <w:p w:rsidR="00122B92" w:rsidRPr="004537EA" w:rsidRDefault="00122B92" w:rsidP="004A3183">
            <w:pPr>
              <w:pStyle w:val="TableRowNormal"/>
              <w:rPr>
                <w:rFonts w:cstheme="minorHAnsi"/>
              </w:rPr>
            </w:pPr>
          </w:p>
        </w:tc>
        <w:tc>
          <w:tcPr>
            <w:tcW w:w="1377" w:type="pct"/>
            <w:tcBorders>
              <w:bottom w:val="single" w:sz="4" w:space="0" w:color="auto"/>
            </w:tcBorders>
            <w:vAlign w:val="bottom"/>
          </w:tcPr>
          <w:p w:rsidR="00122B92" w:rsidRPr="004537EA" w:rsidRDefault="00122B92" w:rsidP="004A3183">
            <w:pPr>
              <w:pStyle w:val="TableRowNormal"/>
              <w:rPr>
                <w:rFonts w:cstheme="minorHAnsi"/>
              </w:rPr>
            </w:pPr>
            <w:r w:rsidRPr="00193715">
              <w:rPr>
                <w:rFonts w:cstheme="minorHAnsi"/>
              </w:rPr>
              <w:t>32</w:t>
            </w:r>
          </w:p>
        </w:tc>
      </w:tr>
      <w:tr w:rsidR="00122B92" w:rsidRPr="004537EA" w:rsidTr="004A3183">
        <w:tc>
          <w:tcPr>
            <w:tcW w:w="2245" w:type="pct"/>
            <w:tcBorders>
              <w:bottom w:val="single" w:sz="6" w:space="0" w:color="auto"/>
            </w:tcBorders>
            <w:vAlign w:val="bottom"/>
          </w:tcPr>
          <w:p w:rsidR="00122B92" w:rsidRPr="00193715" w:rsidRDefault="00122B92" w:rsidP="004A3183">
            <w:pPr>
              <w:pStyle w:val="CGCTableStub"/>
              <w:rPr>
                <w:rFonts w:cstheme="minorHAnsi"/>
              </w:rPr>
            </w:pPr>
            <w:r w:rsidRPr="00193715">
              <w:rPr>
                <w:rFonts w:cstheme="minorHAnsi"/>
              </w:rPr>
              <w:t>Total</w:t>
            </w:r>
          </w:p>
        </w:tc>
        <w:tc>
          <w:tcPr>
            <w:tcW w:w="1378" w:type="pct"/>
            <w:tcBorders>
              <w:top w:val="single" w:sz="4" w:space="0" w:color="auto"/>
              <w:bottom w:val="single" w:sz="6" w:space="0" w:color="auto"/>
            </w:tcBorders>
            <w:vAlign w:val="bottom"/>
          </w:tcPr>
          <w:p w:rsidR="00122B92" w:rsidRPr="004537EA" w:rsidRDefault="00122B92" w:rsidP="004A3183">
            <w:pPr>
              <w:pStyle w:val="TableRowNormal"/>
              <w:rPr>
                <w:rFonts w:cstheme="minorHAnsi"/>
              </w:rPr>
            </w:pPr>
          </w:p>
        </w:tc>
        <w:tc>
          <w:tcPr>
            <w:tcW w:w="1377" w:type="pct"/>
            <w:tcBorders>
              <w:top w:val="single" w:sz="4" w:space="0" w:color="auto"/>
              <w:bottom w:val="single" w:sz="6" w:space="0" w:color="auto"/>
            </w:tcBorders>
            <w:vAlign w:val="bottom"/>
          </w:tcPr>
          <w:p w:rsidR="00122B92" w:rsidRPr="004537EA" w:rsidRDefault="00122B92" w:rsidP="004A3183">
            <w:pPr>
              <w:pStyle w:val="TableRowNormal"/>
              <w:rPr>
                <w:rFonts w:cstheme="minorHAnsi"/>
              </w:rPr>
            </w:pPr>
            <w:r w:rsidRPr="00193715">
              <w:rPr>
                <w:rFonts w:cstheme="minorHAnsi"/>
              </w:rPr>
              <w:t>95</w:t>
            </w:r>
          </w:p>
        </w:tc>
      </w:tr>
    </w:tbl>
    <w:p w:rsidR="00122B92" w:rsidRDefault="00122B92" w:rsidP="00122B92">
      <w:pPr>
        <w:pStyle w:val="CGCTableFootnote"/>
      </w:pPr>
      <w:r>
        <w:t>Note:</w:t>
      </w:r>
      <w:r>
        <w:tab/>
      </w:r>
      <w:r w:rsidRPr="00012703">
        <w:t xml:space="preserve">The American data contains 368 cities. The data reported in </w:t>
      </w:r>
      <w:r>
        <w:t xml:space="preserve">this table </w:t>
      </w:r>
      <w:r w:rsidRPr="00012703">
        <w:t xml:space="preserve">is based on </w:t>
      </w:r>
      <w:r>
        <w:t xml:space="preserve">a </w:t>
      </w:r>
      <w:r w:rsidRPr="00012703">
        <w:t xml:space="preserve">staff calculation. We were not able to ascertain the consistency of reporting in each city.  </w:t>
      </w:r>
    </w:p>
    <w:p w:rsidR="00122B92" w:rsidRDefault="00122B92" w:rsidP="00122B92">
      <w:pPr>
        <w:pStyle w:val="CGCTableFootnote"/>
      </w:pPr>
      <w:r>
        <w:t>Source:</w:t>
      </w:r>
      <w:r>
        <w:tab/>
      </w:r>
      <w:r w:rsidRPr="00D2471B">
        <w:t>US National Transit Database</w:t>
      </w:r>
      <w:r>
        <w:t>.</w:t>
      </w:r>
    </w:p>
    <w:p w:rsidR="00772A67" w:rsidRDefault="00772A67" w:rsidP="00772A67">
      <w:pPr>
        <w:pStyle w:val="NoSpacing"/>
      </w:pPr>
    </w:p>
    <w:p w:rsidR="00772A67" w:rsidRDefault="00772A67" w:rsidP="00772A67">
      <w:pPr>
        <w:pStyle w:val="CGCNumberedPara"/>
      </w:pPr>
      <w:r>
        <w:t>Some European research argued per capita subsidies rise with city size because the number of routes needed to connect each suburb to the others grows faster than the growth in the number of suburbs. For example, a city of 2 suburbs requires 1 route to connect them, 3 suburbs require 3 routes, 4 suburbs require 6 routes, 5 suburbs require 10 routes, 6 suburbs require 15 routes and so on.</w:t>
      </w:r>
    </w:p>
    <w:p w:rsidR="00772A67" w:rsidRDefault="00772A67" w:rsidP="00772A67">
      <w:pPr>
        <w:pStyle w:val="CGCNumberedPara"/>
      </w:pPr>
      <w:r>
        <w:t>City size drives the total level of travel in cities. Many factors affect how that travel is split between private and public means. Nevertheless, the Australian and international data show per capita net expenses for public urban trans</w:t>
      </w:r>
      <w:r w:rsidR="00F2648B">
        <w:t>port</w:t>
      </w:r>
      <w:r>
        <w:t xml:space="preserve"> services increase with city size, which strongly supports the basis of the current assessment approach.</w:t>
      </w:r>
    </w:p>
    <w:p w:rsidR="00772A67" w:rsidRDefault="00772A67" w:rsidP="00772A67">
      <w:pPr>
        <w:pStyle w:val="CGCNumberedPara"/>
        <w:numPr>
          <w:ilvl w:val="0"/>
          <w:numId w:val="0"/>
        </w:numPr>
        <w:ind w:right="-57"/>
      </w:pPr>
    </w:p>
    <w:tbl>
      <w:tblPr>
        <w:tblW w:w="0" w:type="auto"/>
        <w:tblInd w:w="108" w:type="dxa"/>
        <w:shd w:val="clear" w:color="auto" w:fill="D9F3E6"/>
        <w:tblLook w:val="04A0" w:firstRow="1" w:lastRow="0" w:firstColumn="1" w:lastColumn="0" w:noHBand="0" w:noVBand="1"/>
      </w:tblPr>
      <w:tblGrid>
        <w:gridCol w:w="8931"/>
      </w:tblGrid>
      <w:tr w:rsidR="00772A67" w:rsidRPr="00E674AF" w:rsidTr="00476110">
        <w:tc>
          <w:tcPr>
            <w:tcW w:w="8931" w:type="dxa"/>
            <w:shd w:val="clear" w:color="auto" w:fill="D9F3E6"/>
          </w:tcPr>
          <w:p w:rsidR="00772A67" w:rsidRPr="00E674AF" w:rsidRDefault="00772A67" w:rsidP="00476110">
            <w:r w:rsidRPr="00B7517F">
              <w:t>Staff propose to recommend the Commission:</w:t>
            </w:r>
          </w:p>
          <w:p w:rsidR="00772A67" w:rsidRPr="00E674AF" w:rsidRDefault="00772A67" w:rsidP="00F2648B">
            <w:pPr>
              <w:pStyle w:val="CGCBulletlist"/>
              <w:numPr>
                <w:ilvl w:val="0"/>
                <w:numId w:val="1"/>
              </w:numPr>
              <w:tabs>
                <w:tab w:val="clear" w:pos="927"/>
                <w:tab w:val="clear" w:pos="1134"/>
              </w:tabs>
              <w:ind w:left="1134" w:hanging="567"/>
            </w:pPr>
            <w:r>
              <w:t>retain the current general approach to the assessment of recurrent and infrastructure urban transport expenditure because the conceptual case that city population is a major driver of net expenses and assets for public trans</w:t>
            </w:r>
            <w:r w:rsidR="00F2648B">
              <w:t>port</w:t>
            </w:r>
            <w:r>
              <w:t xml:space="preserve"> systems is strong and supported by data. </w:t>
            </w:r>
          </w:p>
        </w:tc>
      </w:tr>
    </w:tbl>
    <w:p w:rsidR="00193715" w:rsidRDefault="00193715" w:rsidP="00DB22C4">
      <w:pPr>
        <w:pStyle w:val="Single"/>
      </w:pPr>
    </w:p>
    <w:p w:rsidR="00A32A91" w:rsidRDefault="00A32A91">
      <w:pPr>
        <w:tabs>
          <w:tab w:val="clear" w:pos="567"/>
        </w:tabs>
        <w:spacing w:after="200" w:line="276" w:lineRule="auto"/>
        <w:rPr>
          <w:rFonts w:eastAsiaTheme="majorEastAsia" w:cstheme="majorBidi"/>
          <w:b/>
          <w:bCs/>
          <w:iCs/>
          <w:color w:val="2C8558"/>
          <w:sz w:val="32"/>
          <w:u w:val="single"/>
        </w:rPr>
      </w:pPr>
      <w:r>
        <w:rPr>
          <w:u w:val="single"/>
        </w:rPr>
        <w:br w:type="page"/>
      </w:r>
    </w:p>
    <w:p w:rsidR="00F83306" w:rsidRDefault="00A42C20" w:rsidP="00F83306">
      <w:pPr>
        <w:pStyle w:val="Heading4"/>
      </w:pPr>
      <w:bookmarkStart w:id="53" w:name="_Toc511381340"/>
      <w:bookmarkStart w:id="54" w:name="_Toc511383915"/>
      <w:bookmarkStart w:id="55" w:name="_Toc511383929"/>
      <w:r>
        <w:lastRenderedPageBreak/>
        <w:t>Urban transport expenses</w:t>
      </w:r>
      <w:r w:rsidR="00E61865">
        <w:t xml:space="preserve"> </w:t>
      </w:r>
      <w:r w:rsidR="00A20705">
        <w:t xml:space="preserve">and infrastructure </w:t>
      </w:r>
      <w:r w:rsidR="00E61865">
        <w:t>model</w:t>
      </w:r>
      <w:r w:rsidR="00A20705">
        <w:t>s</w:t>
      </w:r>
      <w:bookmarkEnd w:id="53"/>
      <w:bookmarkEnd w:id="54"/>
      <w:bookmarkEnd w:id="55"/>
    </w:p>
    <w:p w:rsidR="00A42C20" w:rsidRDefault="00A42C20" w:rsidP="00C61270">
      <w:pPr>
        <w:pStyle w:val="CGCNumberedPara"/>
      </w:pPr>
      <w:r>
        <w:t>In th</w:t>
      </w:r>
      <w:r w:rsidR="009253F2">
        <w:t>e last two</w:t>
      </w:r>
      <w:r>
        <w:t xml:space="preserve"> review</w:t>
      </w:r>
      <w:r w:rsidR="009253F2">
        <w:t>s</w:t>
      </w:r>
      <w:r>
        <w:t>, some States expressed concerns about the model</w:t>
      </w:r>
      <w:r w:rsidR="00C61270">
        <w:t>s</w:t>
      </w:r>
      <w:r>
        <w:t xml:space="preserve"> used </w:t>
      </w:r>
      <w:r w:rsidR="00C61270">
        <w:t>to assess u</w:t>
      </w:r>
      <w:r w:rsidR="00C61270" w:rsidRPr="00C61270">
        <w:t xml:space="preserve">rban transport </w:t>
      </w:r>
      <w:r w:rsidR="00C61270">
        <w:t xml:space="preserve">net </w:t>
      </w:r>
      <w:r w:rsidR="00C61270" w:rsidRPr="00C61270">
        <w:t>expenses and infrastructure</w:t>
      </w:r>
      <w:r w:rsidR="00C61270">
        <w:t xml:space="preserve"> requirements</w:t>
      </w:r>
      <w:r w:rsidR="009446ED">
        <w:t>, including:</w:t>
      </w:r>
    </w:p>
    <w:p w:rsidR="009446ED" w:rsidRDefault="009446ED" w:rsidP="009446ED">
      <w:pPr>
        <w:pStyle w:val="CGCBulletlist"/>
      </w:pPr>
      <w:r w:rsidRPr="002D5ECA">
        <w:t xml:space="preserve">using population as the sole driver </w:t>
      </w:r>
      <w:r>
        <w:t>of net urban operating expenses</w:t>
      </w:r>
    </w:p>
    <w:p w:rsidR="009446ED" w:rsidRDefault="009446ED" w:rsidP="009446ED">
      <w:pPr>
        <w:pStyle w:val="CGCBulletlist"/>
      </w:pPr>
      <w:r>
        <w:t>the appropriate shape of the relationship between population and per capita expenses</w:t>
      </w:r>
      <w:r w:rsidR="006F5956">
        <w:t xml:space="preserve"> and asset values</w:t>
      </w:r>
      <w:r>
        <w:t>.</w:t>
      </w:r>
    </w:p>
    <w:p w:rsidR="00F61225" w:rsidRDefault="00E87644" w:rsidP="008C74C9">
      <w:pPr>
        <w:pStyle w:val="CGCNumberedPara"/>
      </w:pPr>
      <w:r>
        <w:t>As part of th</w:t>
      </w:r>
      <w:r w:rsidR="00BF0F40">
        <w:t>e 2020 Revi</w:t>
      </w:r>
      <w:r w:rsidR="0072285E">
        <w:t xml:space="preserve">ew, the Commission has engaged </w:t>
      </w:r>
      <w:r w:rsidR="00BF0F40">
        <w:t>a consultan</w:t>
      </w:r>
      <w:r w:rsidR="0072285E">
        <w:t>t</w:t>
      </w:r>
      <w:r w:rsidR="00BF0F40">
        <w:t xml:space="preserve"> with expert</w:t>
      </w:r>
      <w:r w:rsidR="0072285E">
        <w:t>ise</w:t>
      </w:r>
      <w:r w:rsidR="00BF0F40">
        <w:t xml:space="preserve"> </w:t>
      </w:r>
      <w:r w:rsidR="00772A67">
        <w:t xml:space="preserve">in </w:t>
      </w:r>
      <w:r w:rsidR="00BF0F40">
        <w:t>transport economi</w:t>
      </w:r>
      <w:r w:rsidR="0072285E">
        <w:t>c</w:t>
      </w:r>
      <w:r w:rsidR="00BF0F40">
        <w:t>s</w:t>
      </w:r>
      <w:r w:rsidR="008D14B7">
        <w:t xml:space="preserve"> with </w:t>
      </w:r>
      <w:r w:rsidR="00DB0871">
        <w:t>two primary objectives</w:t>
      </w:r>
      <w:r w:rsidR="008D14B7">
        <w:t xml:space="preserve">: </w:t>
      </w:r>
    </w:p>
    <w:p w:rsidR="00F61225" w:rsidRDefault="00772A67" w:rsidP="00F61225">
      <w:pPr>
        <w:pStyle w:val="CGCBulletlist"/>
      </w:pPr>
      <w:r>
        <w:t>t</w:t>
      </w:r>
      <w:r w:rsidR="00F61225">
        <w:t xml:space="preserve">o develop a model or models that can be used to assess States’ urban transport recurrent and infrastructure expenditure requirements </w:t>
      </w:r>
    </w:p>
    <w:p w:rsidR="00F61225" w:rsidRDefault="00772A67" w:rsidP="00F61225">
      <w:pPr>
        <w:pStyle w:val="CGCBulletlist"/>
      </w:pPr>
      <w:r>
        <w:t>provide c</w:t>
      </w:r>
      <w:r w:rsidR="00F61225">
        <w:t xml:space="preserve">onfidence for States that the model/s and data used are reliable and fit for purpose. </w:t>
      </w:r>
    </w:p>
    <w:p w:rsidR="00EC0A4F" w:rsidRDefault="00C61270" w:rsidP="00EC0A4F">
      <w:pPr>
        <w:pStyle w:val="CGCNumberedPara"/>
      </w:pPr>
      <w:r>
        <w:t xml:space="preserve">The consultancy was in two stages. The stage 1 report has been circulated to States. As part of stage 2, the </w:t>
      </w:r>
      <w:r w:rsidR="006F5956">
        <w:t xml:space="preserve">consultant will explore whether current models can be improved by including a more comprehensive set of non-policy influences, such as population </w:t>
      </w:r>
      <w:r w:rsidR="00B351E4">
        <w:t>characteristics</w:t>
      </w:r>
      <w:r w:rsidR="006F5956">
        <w:t xml:space="preserve">, urban form and topography. </w:t>
      </w:r>
      <w:r w:rsidR="00EC0A4F">
        <w:t xml:space="preserve">Commission staff have collected data from each State on urban transport expenditure, assets and use by urban centre to help that modelling. </w:t>
      </w:r>
    </w:p>
    <w:p w:rsidR="006F5956" w:rsidRDefault="00C61270" w:rsidP="00C61270">
      <w:pPr>
        <w:pStyle w:val="CGCNumberedPara"/>
      </w:pPr>
      <w:r w:rsidRPr="00C61270">
        <w:t xml:space="preserve">Once stage 2 of the consultancy has been completed, </w:t>
      </w:r>
      <w:r>
        <w:t>staff w</w:t>
      </w:r>
      <w:r w:rsidR="00EC0A4F">
        <w:t>ill</w:t>
      </w:r>
      <w:r>
        <w:t xml:space="preserve"> </w:t>
      </w:r>
      <w:r w:rsidRPr="00C61270">
        <w:t>provide the stage 2 report to States for comments. After recei</w:t>
      </w:r>
      <w:r w:rsidR="00EC0A4F">
        <w:t>ving</w:t>
      </w:r>
      <w:r w:rsidRPr="00C61270">
        <w:t xml:space="preserve"> comments, staff w</w:t>
      </w:r>
      <w:r>
        <w:t>ill</w:t>
      </w:r>
      <w:r w:rsidRPr="00C61270">
        <w:t xml:space="preserve"> develop assessment proposals for </w:t>
      </w:r>
      <w:r>
        <w:t xml:space="preserve">net expenses </w:t>
      </w:r>
      <w:r w:rsidRPr="00C61270">
        <w:t xml:space="preserve">and </w:t>
      </w:r>
      <w:r>
        <w:t>investment</w:t>
      </w:r>
      <w:r w:rsidRPr="00C61270">
        <w:t xml:space="preserve"> for the Commission</w:t>
      </w:r>
      <w:r w:rsidR="003E7EC4">
        <w:t>.</w:t>
      </w:r>
    </w:p>
    <w:p w:rsidR="004B4C3C" w:rsidRDefault="00F9436A" w:rsidP="004B4C3C">
      <w:pPr>
        <w:pStyle w:val="CGCNumberedPara"/>
        <w:numPr>
          <w:ilvl w:val="1"/>
          <w:numId w:val="3"/>
        </w:numPr>
        <w:ind w:right="-57"/>
      </w:pPr>
      <w:r>
        <w:t>If the consultant cannot develop simple and intuitive models that better capture State needs than the current ones, staff would propose to retain the current approach</w:t>
      </w:r>
      <w:r w:rsidR="00EC0A4F">
        <w:t xml:space="preserve"> and update it using the recently collected data</w:t>
      </w:r>
      <w:r>
        <w:t>.</w:t>
      </w:r>
    </w:p>
    <w:p w:rsidR="004B4C3C" w:rsidRDefault="004B4C3C" w:rsidP="004B4C3C">
      <w:pPr>
        <w:pStyle w:val="CGCNumberedPara"/>
        <w:numPr>
          <w:ilvl w:val="0"/>
          <w:numId w:val="0"/>
        </w:numPr>
        <w:ind w:right="-57"/>
      </w:pPr>
    </w:p>
    <w:tbl>
      <w:tblPr>
        <w:tblW w:w="0" w:type="auto"/>
        <w:tblInd w:w="108" w:type="dxa"/>
        <w:shd w:val="clear" w:color="auto" w:fill="D9F3E6"/>
        <w:tblLook w:val="04A0" w:firstRow="1" w:lastRow="0" w:firstColumn="1" w:lastColumn="0" w:noHBand="0" w:noVBand="1"/>
      </w:tblPr>
      <w:tblGrid>
        <w:gridCol w:w="8931"/>
      </w:tblGrid>
      <w:tr w:rsidR="004B4C3C" w:rsidRPr="00E674AF" w:rsidTr="0048273F">
        <w:tc>
          <w:tcPr>
            <w:tcW w:w="8931" w:type="dxa"/>
            <w:shd w:val="clear" w:color="auto" w:fill="D9F3E6"/>
          </w:tcPr>
          <w:p w:rsidR="004B4C3C" w:rsidRPr="00E674AF" w:rsidRDefault="004B4C3C" w:rsidP="0048273F">
            <w:r w:rsidRPr="00B7517F">
              <w:t>Staff propose to:</w:t>
            </w:r>
          </w:p>
          <w:p w:rsidR="004B4C3C" w:rsidRPr="00E674AF" w:rsidRDefault="00EC0A4F" w:rsidP="00C61270">
            <w:pPr>
              <w:pStyle w:val="CGCBulletlist"/>
              <w:numPr>
                <w:ilvl w:val="0"/>
                <w:numId w:val="1"/>
              </w:numPr>
              <w:tabs>
                <w:tab w:val="clear" w:pos="927"/>
                <w:tab w:val="clear" w:pos="1134"/>
              </w:tabs>
              <w:ind w:left="1134" w:hanging="567"/>
            </w:pPr>
            <w:r>
              <w:t xml:space="preserve">provide the report on </w:t>
            </w:r>
            <w:r w:rsidR="00E47575">
              <w:t xml:space="preserve">stage 2 of the consultancy </w:t>
            </w:r>
            <w:r w:rsidR="007E0065">
              <w:t>to States for comments</w:t>
            </w:r>
            <w:r w:rsidR="00143156">
              <w:t>. After recei</w:t>
            </w:r>
            <w:r>
              <w:t>ving those</w:t>
            </w:r>
            <w:r w:rsidR="00143156">
              <w:t xml:space="preserve"> comments,</w:t>
            </w:r>
            <w:r w:rsidR="007E0065">
              <w:t xml:space="preserve"> </w:t>
            </w:r>
            <w:r w:rsidR="0014130C">
              <w:t xml:space="preserve">staff </w:t>
            </w:r>
            <w:r w:rsidR="00773A1C">
              <w:t>w</w:t>
            </w:r>
            <w:r w:rsidR="00685702">
              <w:t>ill</w:t>
            </w:r>
            <w:r w:rsidR="00773A1C">
              <w:t xml:space="preserve"> develop assessment</w:t>
            </w:r>
            <w:r w:rsidR="00F9436A">
              <w:t xml:space="preserve"> proposals for </w:t>
            </w:r>
            <w:r w:rsidR="00C61270">
              <w:t>net expenses</w:t>
            </w:r>
            <w:r w:rsidR="00F9436A">
              <w:t xml:space="preserve"> and </w:t>
            </w:r>
            <w:r w:rsidR="00C61270">
              <w:t>investment</w:t>
            </w:r>
            <w:r w:rsidR="00773A1C">
              <w:t xml:space="preserve"> for the Commission.</w:t>
            </w:r>
          </w:p>
        </w:tc>
      </w:tr>
    </w:tbl>
    <w:p w:rsidR="00195F47" w:rsidRDefault="00195F47" w:rsidP="00195F47">
      <w:pPr>
        <w:pStyle w:val="Heading4"/>
      </w:pPr>
      <w:bookmarkStart w:id="56" w:name="_Toc511381341"/>
      <w:bookmarkStart w:id="57" w:name="_Toc511383916"/>
      <w:bookmarkStart w:id="58" w:name="_Toc511383930"/>
      <w:r w:rsidRPr="00195F47">
        <w:t xml:space="preserve">Definition of </w:t>
      </w:r>
      <w:r w:rsidR="00DF34F4">
        <w:t xml:space="preserve">urban </w:t>
      </w:r>
      <w:r w:rsidRPr="00195F47">
        <w:t>areas</w:t>
      </w:r>
      <w:bookmarkEnd w:id="56"/>
      <w:bookmarkEnd w:id="57"/>
      <w:bookmarkEnd w:id="58"/>
    </w:p>
    <w:p w:rsidR="00DF34F4" w:rsidRDefault="00DF34F4" w:rsidP="00195F47">
      <w:pPr>
        <w:pStyle w:val="CGCNumberedPara"/>
      </w:pPr>
      <w:r>
        <w:t xml:space="preserve">We propose to retain the 2015 Review </w:t>
      </w:r>
      <w:r w:rsidR="0025607C">
        <w:t>definition of urban areas</w:t>
      </w:r>
      <w:r>
        <w:t xml:space="preserve">: </w:t>
      </w:r>
      <w:r w:rsidRPr="00BC4C75">
        <w:t>ABS Urban Centres/Localities (UCLs) contained within Significant Urban Areas (SUAs).</w:t>
      </w:r>
      <w:r>
        <w:t xml:space="preserve"> This was supported by our 2020 </w:t>
      </w:r>
      <w:r w:rsidR="00E71249">
        <w:t xml:space="preserve">Review </w:t>
      </w:r>
      <w:r>
        <w:t>consultant</w:t>
      </w:r>
      <w:r w:rsidR="00E71249">
        <w:t xml:space="preserve"> in </w:t>
      </w:r>
      <w:r w:rsidR="00685702">
        <w:t>their</w:t>
      </w:r>
      <w:r w:rsidR="00E71249">
        <w:t xml:space="preserve"> stage 1 report.</w:t>
      </w:r>
    </w:p>
    <w:p w:rsidR="00A90F66" w:rsidRPr="001148BE" w:rsidRDefault="00A90F66" w:rsidP="00195F47">
      <w:pPr>
        <w:pStyle w:val="CGCNumberedPara"/>
      </w:pPr>
      <w:r>
        <w:t xml:space="preserve">In the last review, only SUAs with population above 20 000 were included. For </w:t>
      </w:r>
      <w:r w:rsidR="001C36FA">
        <w:t xml:space="preserve">the </w:t>
      </w:r>
      <w:r>
        <w:t xml:space="preserve">2020 Review, staff propose to include </w:t>
      </w:r>
      <w:r w:rsidR="00995A9C">
        <w:t xml:space="preserve">all SUAs. This would increase the number of urban areas from 65 to </w:t>
      </w:r>
      <w:r w:rsidR="00995A9C" w:rsidRPr="00270C43">
        <w:t xml:space="preserve">106. </w:t>
      </w:r>
      <w:r w:rsidR="00DD337C" w:rsidRPr="00270C43">
        <w:t xml:space="preserve">The </w:t>
      </w:r>
      <w:r w:rsidR="00270C43" w:rsidRPr="00270C43">
        <w:t xml:space="preserve">vast </w:t>
      </w:r>
      <w:r w:rsidR="00DD337C" w:rsidRPr="00270C43">
        <w:t xml:space="preserve">majority of </w:t>
      </w:r>
      <w:r w:rsidR="00995A9C" w:rsidRPr="00270C43">
        <w:t>SUAs have</w:t>
      </w:r>
      <w:r w:rsidR="00685702" w:rsidRPr="00270C43">
        <w:t xml:space="preserve"> a</w:t>
      </w:r>
      <w:r w:rsidR="00995A9C" w:rsidRPr="00270C43">
        <w:t xml:space="preserve"> population</w:t>
      </w:r>
      <w:r w:rsidR="00995A9C" w:rsidRPr="00DD337C">
        <w:t xml:space="preserve"> above </w:t>
      </w:r>
      <w:r w:rsidR="00995A9C" w:rsidRPr="00DD337C">
        <w:lastRenderedPageBreak/>
        <w:t>10 000</w:t>
      </w:r>
      <w:r w:rsidR="00995A9C">
        <w:t xml:space="preserve"> and the majority have </w:t>
      </w:r>
      <w:r w:rsidR="00682D55">
        <w:t>public transport</w:t>
      </w:r>
      <w:r w:rsidR="00995A9C">
        <w:t xml:space="preserve"> services.</w:t>
      </w:r>
      <w:r w:rsidR="00995A9C">
        <w:rPr>
          <w:rStyle w:val="FootnoteReference"/>
        </w:rPr>
        <w:footnoteReference w:id="4"/>
      </w:r>
      <w:r w:rsidR="00A258BC">
        <w:t xml:space="preserve"> This change will better reflect what States do.</w:t>
      </w:r>
      <w:r w:rsidR="00054F36">
        <w:t xml:space="preserve"> A full list of the SUAs </w:t>
      </w:r>
      <w:r w:rsidR="009343AB">
        <w:t xml:space="preserve">with their </w:t>
      </w:r>
      <w:r w:rsidR="009343AB" w:rsidRPr="001148BE">
        <w:t xml:space="preserve">population </w:t>
      </w:r>
      <w:r w:rsidR="00054F36" w:rsidRPr="001148BE">
        <w:t xml:space="preserve">is at </w:t>
      </w:r>
      <w:r w:rsidR="00270C43">
        <w:t>Attachment A.</w:t>
      </w:r>
    </w:p>
    <w:p w:rsidR="000E002E" w:rsidRDefault="00A246F7" w:rsidP="00E4452D">
      <w:pPr>
        <w:pStyle w:val="CGCNumberedPara"/>
      </w:pPr>
      <w:r>
        <w:t xml:space="preserve">In the 2015 Review, Queensland made a case to amalgamate the Gold Coast with Brisbane. </w:t>
      </w:r>
      <w:r w:rsidR="007E43FD">
        <w:t>For this review, we</w:t>
      </w:r>
      <w:r w:rsidR="00510E7B">
        <w:t xml:space="preserve"> </w:t>
      </w:r>
      <w:r w:rsidR="004D7CE3">
        <w:t>asked the consultant to</w:t>
      </w:r>
      <w:r w:rsidR="00510E7B">
        <w:t xml:space="preserve"> review whether </w:t>
      </w:r>
      <w:r>
        <w:t>and</w:t>
      </w:r>
      <w:r w:rsidR="00685702">
        <w:t>, if so,</w:t>
      </w:r>
      <w:r>
        <w:t xml:space="preserve"> which </w:t>
      </w:r>
      <w:r w:rsidR="00510E7B">
        <w:t xml:space="preserve">satellite cities </w:t>
      </w:r>
      <w:r w:rsidR="009B4086">
        <w:t xml:space="preserve">should </w:t>
      </w:r>
      <w:r w:rsidR="00685702">
        <w:t xml:space="preserve">be </w:t>
      </w:r>
      <w:r w:rsidR="009B4086">
        <w:t xml:space="preserve">amalgamated with their </w:t>
      </w:r>
      <w:r w:rsidR="00E4452D">
        <w:t>principal city</w:t>
      </w:r>
      <w:r w:rsidR="009B4086">
        <w:t xml:space="preserve">. </w:t>
      </w:r>
      <w:r w:rsidR="002F2E76">
        <w:t xml:space="preserve">In </w:t>
      </w:r>
      <w:r w:rsidR="00685702">
        <w:t>the</w:t>
      </w:r>
      <w:r w:rsidR="002F2E76">
        <w:t xml:space="preserve"> stage 1 </w:t>
      </w:r>
      <w:r w:rsidR="0024056D">
        <w:t>report, t</w:t>
      </w:r>
      <w:r w:rsidR="002F2E76">
        <w:t xml:space="preserve">he consultant </w:t>
      </w:r>
      <w:r w:rsidR="0024056D">
        <w:t xml:space="preserve">proposed </w:t>
      </w:r>
      <w:r w:rsidR="00685702">
        <w:t xml:space="preserve">the following </w:t>
      </w:r>
      <w:r w:rsidR="000E002E">
        <w:t xml:space="preserve">two criteria </w:t>
      </w:r>
      <w:r w:rsidR="00685702">
        <w:t xml:space="preserve">be used </w:t>
      </w:r>
      <w:r w:rsidR="00E4452D">
        <w:t xml:space="preserve">to decide whether or not satellite cities </w:t>
      </w:r>
      <w:r w:rsidR="00A5617D">
        <w:t>should be</w:t>
      </w:r>
      <w:r w:rsidR="00E4452D">
        <w:t xml:space="preserve"> amalgamated </w:t>
      </w:r>
      <w:r w:rsidR="00685702">
        <w:t>with</w:t>
      </w:r>
      <w:r w:rsidR="00E4452D">
        <w:t xml:space="preserve"> their principal city</w:t>
      </w:r>
      <w:r w:rsidR="00685702">
        <w:t>.</w:t>
      </w:r>
    </w:p>
    <w:p w:rsidR="000E002E" w:rsidRDefault="00685702" w:rsidP="000E002E">
      <w:pPr>
        <w:pStyle w:val="CGCBulletlist"/>
        <w:numPr>
          <w:ilvl w:val="0"/>
          <w:numId w:val="1"/>
        </w:numPr>
        <w:tabs>
          <w:tab w:val="clear" w:pos="927"/>
        </w:tabs>
        <w:ind w:left="1134" w:hanging="567"/>
      </w:pPr>
      <w:r>
        <w:t>A p</w:t>
      </w:r>
      <w:r w:rsidR="000E002E">
        <w:t xml:space="preserve">ublic transport travel time threshold of 120 minutes between the principal and satellite city centres in </w:t>
      </w:r>
      <w:r w:rsidR="00A66373">
        <w:t>morning</w:t>
      </w:r>
      <w:r w:rsidR="000E002E">
        <w:t xml:space="preserve"> peak hours</w:t>
      </w:r>
      <w:r>
        <w:t xml:space="preserve"> be applied</w:t>
      </w:r>
      <w:r w:rsidR="000E002E">
        <w:t>. This threshold indicates the maxim</w:t>
      </w:r>
      <w:r>
        <w:t>um</w:t>
      </w:r>
      <w:r w:rsidR="000E002E">
        <w:t xml:space="preserve"> commute travel time between the principal and satellite cities.</w:t>
      </w:r>
    </w:p>
    <w:p w:rsidR="000E002E" w:rsidRDefault="00685702" w:rsidP="000E002E">
      <w:pPr>
        <w:pStyle w:val="CGCBulletlist"/>
        <w:numPr>
          <w:ilvl w:val="0"/>
          <w:numId w:val="1"/>
        </w:numPr>
        <w:tabs>
          <w:tab w:val="clear" w:pos="927"/>
        </w:tabs>
        <w:ind w:left="1134" w:hanging="567"/>
      </w:pPr>
      <w:r>
        <w:t>The p</w:t>
      </w:r>
      <w:r w:rsidR="000E002E">
        <w:t>roportion of inter-city commute trips is greater than 5 per</w:t>
      </w:r>
      <w:r>
        <w:t xml:space="preserve"> </w:t>
      </w:r>
      <w:r w:rsidR="000E002E">
        <w:t xml:space="preserve">cent of satellite intra-city commute trips. This criterion indicates a minimum level of labour market integration between the principal and the satellite city. </w:t>
      </w:r>
    </w:p>
    <w:p w:rsidR="00A90F66" w:rsidRDefault="008B6A83" w:rsidP="008B6A83">
      <w:pPr>
        <w:pStyle w:val="CGCNumberedPara"/>
      </w:pPr>
      <w:r>
        <w:t>Th</w:t>
      </w:r>
      <w:r w:rsidR="00A246F7">
        <w:t xml:space="preserve">e analysis based on these criteria </w:t>
      </w:r>
      <w:r>
        <w:t>will form part of stage 2.</w:t>
      </w:r>
    </w:p>
    <w:tbl>
      <w:tblPr>
        <w:tblW w:w="0" w:type="auto"/>
        <w:tblInd w:w="108" w:type="dxa"/>
        <w:shd w:val="clear" w:color="auto" w:fill="D9F3E6"/>
        <w:tblLook w:val="04A0" w:firstRow="1" w:lastRow="0" w:firstColumn="1" w:lastColumn="0" w:noHBand="0" w:noVBand="1"/>
      </w:tblPr>
      <w:tblGrid>
        <w:gridCol w:w="8931"/>
      </w:tblGrid>
      <w:tr w:rsidR="00CA7C08" w:rsidRPr="00E674AF" w:rsidTr="00874F2C">
        <w:tc>
          <w:tcPr>
            <w:tcW w:w="8931" w:type="dxa"/>
            <w:shd w:val="clear" w:color="auto" w:fill="D9F3E6"/>
          </w:tcPr>
          <w:p w:rsidR="00CA7C08" w:rsidRPr="00E674AF" w:rsidRDefault="00CA7C08" w:rsidP="00874F2C">
            <w:r w:rsidRPr="00B7517F">
              <w:t>Staff propose to recommend the Commission:</w:t>
            </w:r>
          </w:p>
          <w:p w:rsidR="00CA7C08" w:rsidRPr="00E674AF" w:rsidRDefault="00A5617D" w:rsidP="00A5617D">
            <w:pPr>
              <w:pStyle w:val="CGCBulletlist"/>
            </w:pPr>
            <w:r w:rsidRPr="00A5617D">
              <w:t>retain the 2015 Review definition of urban areas: ABS UCLs contained within SUAs</w:t>
            </w:r>
          </w:p>
          <w:p w:rsidR="00682D55" w:rsidRDefault="00682D55" w:rsidP="00A5617D">
            <w:pPr>
              <w:pStyle w:val="CGCBulletlist"/>
            </w:pPr>
            <w:r>
              <w:t>include all SUAs in the assessment of urban transport because most of them have public transport services.</w:t>
            </w:r>
          </w:p>
          <w:p w:rsidR="00CA7C08" w:rsidRPr="00E674AF" w:rsidRDefault="00A5617D" w:rsidP="0040371C">
            <w:pPr>
              <w:pStyle w:val="CGCBulletlist"/>
            </w:pPr>
            <w:r w:rsidRPr="00A5617D">
              <w:t xml:space="preserve">decide whether or not </w:t>
            </w:r>
            <w:r w:rsidR="00A246F7">
              <w:t xml:space="preserve">some </w:t>
            </w:r>
            <w:r w:rsidRPr="00A5617D">
              <w:t xml:space="preserve">satellite cities </w:t>
            </w:r>
            <w:r>
              <w:t>should be</w:t>
            </w:r>
            <w:r w:rsidRPr="00A5617D">
              <w:t xml:space="preserve"> amalgamated </w:t>
            </w:r>
            <w:r w:rsidR="003D1126">
              <w:t>with</w:t>
            </w:r>
            <w:r w:rsidRPr="00A5617D">
              <w:t xml:space="preserve"> their principal city</w:t>
            </w:r>
            <w:r>
              <w:t xml:space="preserve"> </w:t>
            </w:r>
            <w:r w:rsidR="0040371C">
              <w:t xml:space="preserve">based on the results of the analysis using the </w:t>
            </w:r>
            <w:r>
              <w:t>two quantitative criteria proposed by the consultant.</w:t>
            </w:r>
          </w:p>
        </w:tc>
      </w:tr>
    </w:tbl>
    <w:p w:rsidR="001828B7" w:rsidRDefault="001828B7" w:rsidP="001828B7">
      <w:pPr>
        <w:pStyle w:val="Heading4"/>
      </w:pPr>
      <w:bookmarkStart w:id="59" w:name="_Toc511381342"/>
      <w:bookmarkStart w:id="60" w:name="_Toc511383917"/>
      <w:bookmarkStart w:id="61" w:name="_Toc511383931"/>
      <w:r>
        <w:t>Non-urban expenses</w:t>
      </w:r>
      <w:bookmarkEnd w:id="59"/>
      <w:bookmarkEnd w:id="60"/>
      <w:bookmarkEnd w:id="61"/>
    </w:p>
    <w:p w:rsidR="009C7659" w:rsidRDefault="00727485" w:rsidP="009C7659">
      <w:pPr>
        <w:pStyle w:val="CGCNumberedPara"/>
        <w:numPr>
          <w:ilvl w:val="1"/>
          <w:numId w:val="3"/>
        </w:numPr>
      </w:pPr>
      <w:r w:rsidRPr="00860E33">
        <w:rPr>
          <w:rStyle w:val="Heading6Char"/>
          <w:rFonts w:eastAsiaTheme="minorHAnsi" w:cstheme="minorBidi"/>
          <w:b w:val="0"/>
          <w:i w:val="0"/>
          <w:iCs w:val="0"/>
          <w:color w:val="auto"/>
          <w:sz w:val="24"/>
        </w:rPr>
        <w:t xml:space="preserve">We propose to retain </w:t>
      </w:r>
      <w:r w:rsidR="00C15E0F" w:rsidRPr="00860E33">
        <w:rPr>
          <w:rStyle w:val="Heading6Char"/>
          <w:rFonts w:eastAsiaTheme="minorHAnsi" w:cstheme="minorBidi"/>
          <w:b w:val="0"/>
          <w:i w:val="0"/>
          <w:iCs w:val="0"/>
          <w:color w:val="auto"/>
          <w:sz w:val="24"/>
        </w:rPr>
        <w:t>the 2015 Review assessment of non-urban transport services</w:t>
      </w:r>
      <w:r w:rsidR="00127BA9" w:rsidRPr="00860E33">
        <w:rPr>
          <w:rStyle w:val="Heading6Char"/>
          <w:rFonts w:eastAsiaTheme="minorHAnsi" w:cstheme="minorBidi"/>
          <w:b w:val="0"/>
          <w:i w:val="0"/>
          <w:iCs w:val="0"/>
          <w:color w:val="auto"/>
          <w:sz w:val="24"/>
        </w:rPr>
        <w:t>, which is</w:t>
      </w:r>
      <w:r w:rsidR="00C15E0F" w:rsidRPr="00860E33">
        <w:rPr>
          <w:rStyle w:val="Heading6Char"/>
          <w:rFonts w:eastAsiaTheme="minorHAnsi" w:cstheme="minorBidi"/>
          <w:b w:val="0"/>
          <w:i w:val="0"/>
          <w:iCs w:val="0"/>
          <w:color w:val="auto"/>
          <w:sz w:val="24"/>
        </w:rPr>
        <w:t xml:space="preserve"> based </w:t>
      </w:r>
      <w:r w:rsidR="00127BA9" w:rsidRPr="00860E33">
        <w:rPr>
          <w:rStyle w:val="Heading6Char"/>
          <w:rFonts w:eastAsiaTheme="minorHAnsi" w:cstheme="minorBidi"/>
          <w:b w:val="0"/>
          <w:i w:val="0"/>
          <w:iCs w:val="0"/>
          <w:color w:val="auto"/>
          <w:sz w:val="24"/>
        </w:rPr>
        <w:t xml:space="preserve">on State </w:t>
      </w:r>
      <w:r w:rsidR="00AE3A64" w:rsidRPr="00860E33">
        <w:rPr>
          <w:rStyle w:val="Heading6Char"/>
          <w:rFonts w:eastAsiaTheme="minorHAnsi" w:cstheme="minorBidi"/>
          <w:b w:val="0"/>
          <w:i w:val="0"/>
          <w:iCs w:val="0"/>
          <w:color w:val="auto"/>
          <w:sz w:val="24"/>
        </w:rPr>
        <w:t>share</w:t>
      </w:r>
      <w:r w:rsidR="00C15E0F" w:rsidRPr="00860E33">
        <w:rPr>
          <w:rStyle w:val="Heading6Char"/>
          <w:rFonts w:eastAsiaTheme="minorHAnsi" w:cstheme="minorBidi"/>
          <w:b w:val="0"/>
          <w:i w:val="0"/>
          <w:iCs w:val="0"/>
          <w:color w:val="auto"/>
          <w:sz w:val="24"/>
        </w:rPr>
        <w:t>s</w:t>
      </w:r>
      <w:r w:rsidR="00AE3A64" w:rsidRPr="00860E33">
        <w:rPr>
          <w:rStyle w:val="Heading6Char"/>
          <w:rFonts w:eastAsiaTheme="minorHAnsi" w:cstheme="minorBidi"/>
          <w:b w:val="0"/>
          <w:i w:val="0"/>
          <w:iCs w:val="0"/>
          <w:color w:val="auto"/>
          <w:sz w:val="24"/>
        </w:rPr>
        <w:t xml:space="preserve"> of population outside capital cities. </w:t>
      </w:r>
      <w:r w:rsidR="00B3504A" w:rsidRPr="002D5ECA">
        <w:t>Th</w:t>
      </w:r>
      <w:r w:rsidR="00B3504A">
        <w:t>e as</w:t>
      </w:r>
      <w:r w:rsidR="00B3504A" w:rsidRPr="002D5ECA">
        <w:t>sessment was supported by States</w:t>
      </w:r>
      <w:r w:rsidR="00C15E0F">
        <w:t xml:space="preserve"> i</w:t>
      </w:r>
      <w:r w:rsidR="00C10D78">
        <w:t>n</w:t>
      </w:r>
      <w:r w:rsidR="00C15E0F">
        <w:t xml:space="preserve"> the last review</w:t>
      </w:r>
      <w:r w:rsidR="00B3504A" w:rsidRPr="002D5ECA">
        <w:t>.</w:t>
      </w:r>
    </w:p>
    <w:tbl>
      <w:tblPr>
        <w:tblW w:w="0" w:type="auto"/>
        <w:tblInd w:w="108" w:type="dxa"/>
        <w:shd w:val="clear" w:color="auto" w:fill="D9F3E6"/>
        <w:tblLook w:val="04A0" w:firstRow="1" w:lastRow="0" w:firstColumn="1" w:lastColumn="0" w:noHBand="0" w:noVBand="1"/>
      </w:tblPr>
      <w:tblGrid>
        <w:gridCol w:w="8931"/>
      </w:tblGrid>
      <w:tr w:rsidR="00CA7C08" w:rsidRPr="00E674AF" w:rsidTr="00874F2C">
        <w:tc>
          <w:tcPr>
            <w:tcW w:w="8931" w:type="dxa"/>
            <w:shd w:val="clear" w:color="auto" w:fill="D9F3E6"/>
          </w:tcPr>
          <w:p w:rsidR="00CA7C08" w:rsidRPr="00E674AF" w:rsidRDefault="00CA7C08" w:rsidP="00874F2C">
            <w:r w:rsidRPr="00B7517F">
              <w:t>Staff propose to recommend the Commission:</w:t>
            </w:r>
          </w:p>
          <w:p w:rsidR="00CA7C08" w:rsidRPr="00E674AF" w:rsidRDefault="00127BA9" w:rsidP="00874F2C">
            <w:pPr>
              <w:pStyle w:val="CGCBulletlist"/>
              <w:numPr>
                <w:ilvl w:val="0"/>
                <w:numId w:val="1"/>
              </w:numPr>
              <w:tabs>
                <w:tab w:val="clear" w:pos="927"/>
                <w:tab w:val="clear" w:pos="1134"/>
              </w:tabs>
              <w:ind w:left="1134" w:hanging="567"/>
            </w:pPr>
            <w:r>
              <w:rPr>
                <w:rStyle w:val="Heading6Char"/>
                <w:rFonts w:eastAsiaTheme="minorHAnsi" w:cstheme="minorBidi"/>
                <w:b w:val="0"/>
                <w:i w:val="0"/>
                <w:iCs w:val="0"/>
                <w:color w:val="auto"/>
                <w:sz w:val="24"/>
              </w:rPr>
              <w:t>retain the 2015 Review assessment of non-urban transport services, which is based on State shares of population outside capital cities</w:t>
            </w:r>
            <w:r w:rsidR="002D4519">
              <w:t>.</w:t>
            </w:r>
          </w:p>
        </w:tc>
      </w:tr>
    </w:tbl>
    <w:p w:rsidR="00B7517F" w:rsidRPr="003106AD" w:rsidRDefault="006A33B3" w:rsidP="003106AD">
      <w:pPr>
        <w:pStyle w:val="Heading3"/>
      </w:pPr>
      <w:bookmarkStart w:id="62" w:name="_Toc511381343"/>
      <w:bookmarkStart w:id="63" w:name="_Toc511383918"/>
      <w:bookmarkStart w:id="64" w:name="_Toc511383932"/>
      <w:r w:rsidRPr="003106AD">
        <w:lastRenderedPageBreak/>
        <w:t>C</w:t>
      </w:r>
      <w:r w:rsidR="00BF5EC3" w:rsidRPr="003106AD">
        <w:t>onclusion and way forward</w:t>
      </w:r>
      <w:bookmarkEnd w:id="62"/>
      <w:bookmarkEnd w:id="63"/>
      <w:bookmarkEnd w:id="64"/>
    </w:p>
    <w:p w:rsidR="00FB2701" w:rsidRPr="00127BA9" w:rsidRDefault="00F436C2" w:rsidP="00127BA9">
      <w:pPr>
        <w:pStyle w:val="CGCNumberedPara"/>
      </w:pPr>
      <w:r w:rsidRPr="00127BA9">
        <w:t xml:space="preserve">Commission staff propose to retain the overall </w:t>
      </w:r>
      <w:r w:rsidR="00916CBD">
        <w:t xml:space="preserve">regression-based </w:t>
      </w:r>
      <w:r w:rsidR="00127BA9">
        <w:t>approach to th</w:t>
      </w:r>
      <w:r w:rsidR="00916CBD">
        <w:t>e assessment of urban transport recurrent and infrastructure needs. However, staff have engaged a consultant</w:t>
      </w:r>
      <w:r w:rsidR="00B351E4">
        <w:t xml:space="preserve"> to review the models and see whether they can be improved. </w:t>
      </w:r>
    </w:p>
    <w:p w:rsidR="00E944DE" w:rsidRPr="00127BA9" w:rsidRDefault="00B351E4" w:rsidP="00127BA9">
      <w:pPr>
        <w:pStyle w:val="CGCNumberedPara"/>
      </w:pPr>
      <w:r>
        <w:t>The consultant will also review the case for amalgamat</w:t>
      </w:r>
      <w:r w:rsidR="00C10D78">
        <w:t>ing</w:t>
      </w:r>
      <w:r>
        <w:t xml:space="preserve"> satellite cities </w:t>
      </w:r>
      <w:r w:rsidR="002E723D">
        <w:t xml:space="preserve">with their principal cities. </w:t>
      </w:r>
    </w:p>
    <w:p w:rsidR="00E944DE" w:rsidRPr="00127BA9" w:rsidRDefault="00B351E4" w:rsidP="00127BA9">
      <w:pPr>
        <w:pStyle w:val="CGCNumberedPara"/>
      </w:pPr>
      <w:r>
        <w:t xml:space="preserve">Because of delays in finalising State financial </w:t>
      </w:r>
      <w:r w:rsidR="002E723D">
        <w:t xml:space="preserve">and use </w:t>
      </w:r>
      <w:r>
        <w:t xml:space="preserve">data, we now expect a final report on stage 2 of the consultancy </w:t>
      </w:r>
      <w:r w:rsidR="002E723D">
        <w:t>i</w:t>
      </w:r>
      <w:r w:rsidR="00C10D78">
        <w:t>n</w:t>
      </w:r>
      <w:r w:rsidR="002E723D">
        <w:t xml:space="preserve"> the second half of 2018</w:t>
      </w:r>
      <w:r>
        <w:t xml:space="preserve">. Once completed, we intend to share the report with State </w:t>
      </w:r>
      <w:r w:rsidR="004E574F">
        <w:t>Treasuries</w:t>
      </w:r>
      <w:r w:rsidR="00C10D78">
        <w:t xml:space="preserve"> and seek their comments</w:t>
      </w:r>
      <w:r w:rsidR="004E574F">
        <w:t>.</w:t>
      </w:r>
      <w:r w:rsidR="002E723D">
        <w:t xml:space="preserve"> After recei</w:t>
      </w:r>
      <w:r w:rsidR="00C10D78">
        <w:t>ving</w:t>
      </w:r>
      <w:r w:rsidR="002E723D">
        <w:t xml:space="preserve"> comments, staff will develop proposals for the Commission.</w:t>
      </w:r>
    </w:p>
    <w:p w:rsidR="00B7517F" w:rsidRDefault="00B7517F" w:rsidP="00131E07">
      <w:pPr>
        <w:pStyle w:val="Heading4"/>
      </w:pPr>
      <w:bookmarkStart w:id="65" w:name="_Toc511381344"/>
      <w:bookmarkStart w:id="66" w:name="_Toc511383919"/>
      <w:bookmarkStart w:id="67" w:name="_Toc511383933"/>
      <w:r>
        <w:t>Proposed assessment structure</w:t>
      </w:r>
      <w:bookmarkEnd w:id="65"/>
      <w:bookmarkEnd w:id="66"/>
      <w:bookmarkEnd w:id="67"/>
    </w:p>
    <w:p w:rsidR="00B7517F" w:rsidRDefault="00B7517F" w:rsidP="00B7517F">
      <w:pPr>
        <w:pStyle w:val="CGCNumberedPara"/>
      </w:pPr>
      <w:r>
        <w:t>Staff propose the following assessment structur</w:t>
      </w:r>
      <w:r w:rsidR="00636471">
        <w:t>e for this category in the 2020 </w:t>
      </w:r>
      <w:r>
        <w:t xml:space="preserve">Review. </w:t>
      </w:r>
    </w:p>
    <w:p w:rsidR="00B7517F" w:rsidRDefault="00B7517F" w:rsidP="007F61CF">
      <w:pPr>
        <w:pStyle w:val="CGCTableHeading"/>
      </w:pPr>
      <w:r>
        <w:t xml:space="preserve">Table </w:t>
      </w:r>
      <w:r w:rsidR="00654065">
        <w:fldChar w:fldCharType="begin"/>
      </w:r>
      <w:r w:rsidR="00654065">
        <w:instrText xml:space="preserve"> SEQ Table \* ARABI</w:instrText>
      </w:r>
      <w:r w:rsidR="00654065">
        <w:instrText xml:space="preserve">C </w:instrText>
      </w:r>
      <w:r w:rsidR="00654065">
        <w:fldChar w:fldCharType="separate"/>
      </w:r>
      <w:r w:rsidR="000819F3">
        <w:rPr>
          <w:noProof/>
        </w:rPr>
        <w:t>10</w:t>
      </w:r>
      <w:r w:rsidR="00654065">
        <w:rPr>
          <w:noProof/>
        </w:rPr>
        <w:fldChar w:fldCharType="end"/>
      </w:r>
      <w:r>
        <w:tab/>
      </w:r>
      <w:r w:rsidRPr="00B7517F">
        <w:t xml:space="preserve">Proposed </w:t>
      </w:r>
      <w:r w:rsidR="00F2648B">
        <w:t>T</w:t>
      </w:r>
      <w:r w:rsidR="006A406C">
        <w:t>ransport</w:t>
      </w:r>
      <w:r w:rsidR="006A406C" w:rsidRPr="00B7517F">
        <w:t xml:space="preserve"> </w:t>
      </w:r>
      <w:r w:rsidRPr="00B7517F">
        <w:t>category structure</w:t>
      </w:r>
    </w:p>
    <w:tbl>
      <w:tblPr>
        <w:tblW w:w="5000" w:type="pct"/>
        <w:tblCellMar>
          <w:left w:w="85" w:type="dxa"/>
          <w:right w:w="85" w:type="dxa"/>
        </w:tblCellMar>
        <w:tblLook w:val="0000" w:firstRow="0" w:lastRow="0" w:firstColumn="0" w:lastColumn="0" w:noHBand="0" w:noVBand="0"/>
      </w:tblPr>
      <w:tblGrid>
        <w:gridCol w:w="2212"/>
        <w:gridCol w:w="1985"/>
        <w:gridCol w:w="4924"/>
      </w:tblGrid>
      <w:tr w:rsidR="00B7517F" w:rsidRPr="004537EA" w:rsidTr="00D604B2">
        <w:tc>
          <w:tcPr>
            <w:tcW w:w="1213" w:type="pct"/>
            <w:tcBorders>
              <w:top w:val="single" w:sz="6" w:space="0" w:color="auto"/>
              <w:bottom w:val="single" w:sz="6" w:space="0" w:color="auto"/>
            </w:tcBorders>
            <w:vAlign w:val="bottom"/>
          </w:tcPr>
          <w:p w:rsidR="00B7517F" w:rsidRPr="004537EA" w:rsidRDefault="00134594" w:rsidP="007F61CF">
            <w:pPr>
              <w:pStyle w:val="TableColHeadings"/>
              <w:jc w:val="left"/>
              <w:rPr>
                <w:rFonts w:cstheme="minorHAnsi"/>
              </w:rPr>
            </w:pPr>
            <w:r w:rsidRPr="00134594">
              <w:rPr>
                <w:rFonts w:cstheme="minorHAnsi"/>
              </w:rPr>
              <w:t>Component</w:t>
            </w:r>
          </w:p>
        </w:tc>
        <w:tc>
          <w:tcPr>
            <w:tcW w:w="1088" w:type="pct"/>
            <w:tcBorders>
              <w:top w:val="single" w:sz="6" w:space="0" w:color="auto"/>
              <w:bottom w:val="single" w:sz="6" w:space="0" w:color="auto"/>
            </w:tcBorders>
            <w:vAlign w:val="bottom"/>
          </w:tcPr>
          <w:p w:rsidR="00B7517F" w:rsidRPr="004537EA" w:rsidRDefault="00134594" w:rsidP="007F61CF">
            <w:pPr>
              <w:pStyle w:val="TableColHeadings"/>
              <w:jc w:val="left"/>
              <w:rPr>
                <w:rFonts w:cstheme="minorHAnsi"/>
              </w:rPr>
            </w:pPr>
            <w:r w:rsidRPr="00134594">
              <w:rPr>
                <w:rFonts w:cstheme="minorHAnsi"/>
              </w:rPr>
              <w:t>Disability</w:t>
            </w:r>
          </w:p>
        </w:tc>
        <w:tc>
          <w:tcPr>
            <w:tcW w:w="2699" w:type="pct"/>
            <w:tcBorders>
              <w:top w:val="single" w:sz="6" w:space="0" w:color="auto"/>
              <w:bottom w:val="single" w:sz="6" w:space="0" w:color="auto"/>
            </w:tcBorders>
            <w:vAlign w:val="bottom"/>
          </w:tcPr>
          <w:p w:rsidR="00B7517F" w:rsidRPr="004537EA" w:rsidRDefault="00134594" w:rsidP="007F61CF">
            <w:pPr>
              <w:pStyle w:val="TableColHeadings"/>
              <w:jc w:val="left"/>
              <w:rPr>
                <w:rFonts w:cstheme="minorHAnsi"/>
              </w:rPr>
            </w:pPr>
            <w:r w:rsidRPr="00134594">
              <w:rPr>
                <w:rFonts w:cstheme="minorHAnsi"/>
              </w:rPr>
              <w:t>Influence measured by disability</w:t>
            </w:r>
          </w:p>
        </w:tc>
      </w:tr>
      <w:tr w:rsidR="00790CD6" w:rsidRPr="004537EA" w:rsidTr="00790CD6">
        <w:tc>
          <w:tcPr>
            <w:tcW w:w="5000" w:type="pct"/>
            <w:gridSpan w:val="3"/>
            <w:tcMar>
              <w:top w:w="0" w:type="dxa"/>
              <w:bottom w:w="0" w:type="dxa"/>
            </w:tcMar>
            <w:vAlign w:val="bottom"/>
          </w:tcPr>
          <w:p w:rsidR="00790CD6" w:rsidRPr="00790CD6" w:rsidRDefault="00790CD6" w:rsidP="007F61CF">
            <w:pPr>
              <w:pStyle w:val="TableRowUnits"/>
              <w:jc w:val="left"/>
              <w:rPr>
                <w:rFonts w:cstheme="minorHAnsi"/>
                <w:b/>
              </w:rPr>
            </w:pPr>
          </w:p>
        </w:tc>
      </w:tr>
      <w:tr w:rsidR="00D604B2" w:rsidRPr="004537EA" w:rsidTr="0044338E">
        <w:tc>
          <w:tcPr>
            <w:tcW w:w="1213" w:type="pct"/>
          </w:tcPr>
          <w:p w:rsidR="00D604B2" w:rsidRPr="004537EA" w:rsidRDefault="005A4BFC" w:rsidP="007F61CF">
            <w:pPr>
              <w:pStyle w:val="TableRowUnits"/>
              <w:jc w:val="left"/>
              <w:rPr>
                <w:rFonts w:cstheme="minorHAnsi"/>
              </w:rPr>
            </w:pPr>
            <w:r>
              <w:rPr>
                <w:rFonts w:ascii="Calibri" w:eastAsia="Times New Roman" w:hAnsi="Calibri" w:cs="Times New Roman"/>
                <w:lang w:eastAsia="en-AU"/>
              </w:rPr>
              <w:t xml:space="preserve">   </w:t>
            </w:r>
            <w:r w:rsidR="00D604B2" w:rsidRPr="002D5ECA">
              <w:rPr>
                <w:rFonts w:ascii="Calibri" w:eastAsia="Times New Roman" w:hAnsi="Calibri" w:cs="Times New Roman"/>
                <w:lang w:eastAsia="en-AU"/>
              </w:rPr>
              <w:t>Urban transport</w:t>
            </w:r>
          </w:p>
        </w:tc>
        <w:tc>
          <w:tcPr>
            <w:tcW w:w="1088" w:type="pct"/>
          </w:tcPr>
          <w:p w:rsidR="00D604B2" w:rsidRPr="004537EA" w:rsidRDefault="00D604B2" w:rsidP="007F61CF">
            <w:pPr>
              <w:pStyle w:val="TableRowNormal"/>
              <w:jc w:val="left"/>
              <w:rPr>
                <w:rFonts w:cstheme="minorHAnsi"/>
              </w:rPr>
            </w:pPr>
            <w:r w:rsidRPr="002D5ECA">
              <w:rPr>
                <w:rFonts w:ascii="Calibri" w:eastAsia="Times New Roman" w:hAnsi="Calibri" w:cs="Times New Roman"/>
                <w:lang w:eastAsia="en-AU"/>
              </w:rPr>
              <w:t>Urban centre size</w:t>
            </w:r>
          </w:p>
        </w:tc>
        <w:tc>
          <w:tcPr>
            <w:tcW w:w="2699" w:type="pct"/>
          </w:tcPr>
          <w:p w:rsidR="00D604B2" w:rsidRPr="002D5ECA" w:rsidRDefault="00D604B2" w:rsidP="00F436C2">
            <w:pPr>
              <w:pStyle w:val="TableRowNormal"/>
              <w:jc w:val="left"/>
              <w:rPr>
                <w:rFonts w:ascii="Calibri" w:eastAsia="Times New Roman" w:hAnsi="Calibri" w:cs="Times New Roman"/>
                <w:lang w:eastAsia="en-AU"/>
              </w:rPr>
            </w:pPr>
            <w:r w:rsidRPr="002D5ECA">
              <w:rPr>
                <w:rFonts w:ascii="Calibri" w:eastAsia="Times New Roman" w:hAnsi="Calibri" w:cs="Times New Roman"/>
                <w:lang w:eastAsia="en-AU"/>
              </w:rPr>
              <w:t>Recognises that the cost of State provided urban passenger transport services increases with urban centre population size.</w:t>
            </w:r>
          </w:p>
        </w:tc>
      </w:tr>
      <w:tr w:rsidR="00D604B2" w:rsidRPr="004537EA" w:rsidTr="0044338E">
        <w:tc>
          <w:tcPr>
            <w:tcW w:w="1213" w:type="pct"/>
          </w:tcPr>
          <w:p w:rsidR="00D604B2" w:rsidRPr="004537EA" w:rsidRDefault="00D604B2" w:rsidP="007F61CF">
            <w:pPr>
              <w:pStyle w:val="CGCTableStub"/>
              <w:rPr>
                <w:rFonts w:cstheme="minorHAnsi"/>
              </w:rPr>
            </w:pPr>
          </w:p>
        </w:tc>
        <w:tc>
          <w:tcPr>
            <w:tcW w:w="1088" w:type="pct"/>
          </w:tcPr>
          <w:p w:rsidR="00D604B2" w:rsidRPr="004537EA" w:rsidRDefault="00D604B2" w:rsidP="007F61CF">
            <w:pPr>
              <w:pStyle w:val="TableRowNormal"/>
              <w:jc w:val="left"/>
              <w:rPr>
                <w:rFonts w:cstheme="minorHAnsi"/>
              </w:rPr>
            </w:pPr>
            <w:r w:rsidRPr="002D5ECA">
              <w:rPr>
                <w:rFonts w:ascii="Calibri" w:eastAsia="Times New Roman" w:hAnsi="Calibri" w:cs="Times New Roman"/>
                <w:lang w:eastAsia="en-AU"/>
              </w:rPr>
              <w:t>Location</w:t>
            </w:r>
          </w:p>
        </w:tc>
        <w:tc>
          <w:tcPr>
            <w:tcW w:w="2699" w:type="pct"/>
          </w:tcPr>
          <w:p w:rsidR="00D604B2" w:rsidRPr="004537EA" w:rsidRDefault="00D604B2" w:rsidP="007F61CF">
            <w:pPr>
              <w:pStyle w:val="TableRowNormal"/>
              <w:jc w:val="left"/>
              <w:rPr>
                <w:rFonts w:cstheme="minorHAnsi"/>
              </w:rPr>
            </w:pPr>
            <w:r w:rsidRPr="002D5ECA">
              <w:rPr>
                <w:rFonts w:ascii="Calibri" w:eastAsia="Times New Roman" w:hAnsi="Calibri" w:cs="Times New Roman"/>
                <w:lang w:eastAsia="en-AU"/>
              </w:rPr>
              <w:t>Recognises the differences in wage costs between States.</w:t>
            </w:r>
          </w:p>
        </w:tc>
      </w:tr>
      <w:tr w:rsidR="00D604B2" w:rsidRPr="004537EA" w:rsidTr="00F436C2">
        <w:tc>
          <w:tcPr>
            <w:tcW w:w="1213" w:type="pct"/>
          </w:tcPr>
          <w:p w:rsidR="00D604B2" w:rsidRPr="004537EA" w:rsidRDefault="005A4BFC" w:rsidP="007F61CF">
            <w:pPr>
              <w:pStyle w:val="CGCTableStub"/>
              <w:rPr>
                <w:rFonts w:cstheme="minorHAnsi"/>
              </w:rPr>
            </w:pPr>
            <w:r>
              <w:rPr>
                <w:rFonts w:ascii="Calibri" w:eastAsia="Times New Roman" w:hAnsi="Calibri" w:cs="Times New Roman"/>
                <w:lang w:eastAsia="en-AU"/>
              </w:rPr>
              <w:t xml:space="preserve">   </w:t>
            </w:r>
            <w:r w:rsidR="00D604B2" w:rsidRPr="002D5ECA">
              <w:rPr>
                <w:rFonts w:ascii="Calibri" w:eastAsia="Times New Roman" w:hAnsi="Calibri" w:cs="Times New Roman"/>
                <w:lang w:eastAsia="en-AU"/>
              </w:rPr>
              <w:t>Non-urban transport</w:t>
            </w:r>
          </w:p>
        </w:tc>
        <w:tc>
          <w:tcPr>
            <w:tcW w:w="1088" w:type="pct"/>
          </w:tcPr>
          <w:p w:rsidR="00D604B2" w:rsidRPr="004537EA" w:rsidRDefault="00D604B2" w:rsidP="007F61CF">
            <w:pPr>
              <w:pStyle w:val="TableRowNormal"/>
              <w:jc w:val="left"/>
              <w:rPr>
                <w:rFonts w:cstheme="minorHAnsi"/>
              </w:rPr>
            </w:pPr>
            <w:r w:rsidRPr="002D5ECA">
              <w:rPr>
                <w:rFonts w:ascii="Calibri" w:eastAsia="Times New Roman" w:hAnsi="Calibri" w:cs="Times New Roman"/>
                <w:lang w:eastAsia="en-AU"/>
              </w:rPr>
              <w:t>Non-urban population</w:t>
            </w:r>
          </w:p>
        </w:tc>
        <w:tc>
          <w:tcPr>
            <w:tcW w:w="2699" w:type="pct"/>
          </w:tcPr>
          <w:p w:rsidR="00D604B2" w:rsidRPr="004537EA" w:rsidRDefault="00D604B2" w:rsidP="007F61CF">
            <w:pPr>
              <w:pStyle w:val="TableRowNormal"/>
              <w:jc w:val="left"/>
              <w:rPr>
                <w:rFonts w:cstheme="minorHAnsi"/>
              </w:rPr>
            </w:pPr>
            <w:r w:rsidRPr="002D5ECA">
              <w:rPr>
                <w:rFonts w:ascii="Calibri" w:eastAsia="Times New Roman" w:hAnsi="Calibri" w:cs="Times New Roman"/>
                <w:lang w:eastAsia="en-AU"/>
              </w:rPr>
              <w:t>Recognises the costs of providing passenger and freight transport services between urban centres.</w:t>
            </w:r>
          </w:p>
        </w:tc>
      </w:tr>
      <w:tr w:rsidR="00D604B2" w:rsidRPr="004537EA" w:rsidTr="00F436C2">
        <w:tc>
          <w:tcPr>
            <w:tcW w:w="1213" w:type="pct"/>
            <w:tcBorders>
              <w:bottom w:val="single" w:sz="4" w:space="0" w:color="auto"/>
            </w:tcBorders>
          </w:tcPr>
          <w:p w:rsidR="00D604B2" w:rsidRPr="004537EA" w:rsidRDefault="00D604B2" w:rsidP="007F61CF">
            <w:pPr>
              <w:pStyle w:val="CGCTableStub"/>
              <w:rPr>
                <w:rFonts w:cstheme="minorHAnsi"/>
              </w:rPr>
            </w:pPr>
          </w:p>
        </w:tc>
        <w:tc>
          <w:tcPr>
            <w:tcW w:w="1088" w:type="pct"/>
            <w:tcBorders>
              <w:bottom w:val="single" w:sz="4" w:space="0" w:color="auto"/>
            </w:tcBorders>
          </w:tcPr>
          <w:p w:rsidR="00D604B2" w:rsidRPr="002D5ECA" w:rsidRDefault="00D604B2" w:rsidP="007F61CF">
            <w:pPr>
              <w:keepNext/>
              <w:keepLines/>
              <w:tabs>
                <w:tab w:val="clear" w:pos="567"/>
              </w:tabs>
              <w:spacing w:after="0" w:line="240" w:lineRule="auto"/>
              <w:rPr>
                <w:rFonts w:ascii="Calibri" w:eastAsia="Times New Roman" w:hAnsi="Calibri" w:cs="Times New Roman"/>
                <w:sz w:val="20"/>
                <w:szCs w:val="20"/>
                <w:lang w:eastAsia="en-AU"/>
              </w:rPr>
            </w:pPr>
            <w:r w:rsidRPr="002D5ECA">
              <w:rPr>
                <w:rFonts w:ascii="Calibri" w:eastAsia="Times New Roman" w:hAnsi="Calibri" w:cs="Times New Roman"/>
                <w:sz w:val="20"/>
                <w:szCs w:val="20"/>
                <w:lang w:eastAsia="en-AU"/>
              </w:rPr>
              <w:t>Location</w:t>
            </w:r>
          </w:p>
        </w:tc>
        <w:tc>
          <w:tcPr>
            <w:tcW w:w="2699" w:type="pct"/>
            <w:tcBorders>
              <w:bottom w:val="single" w:sz="4" w:space="0" w:color="auto"/>
            </w:tcBorders>
          </w:tcPr>
          <w:p w:rsidR="00D604B2" w:rsidRPr="002D5ECA" w:rsidRDefault="00D604B2" w:rsidP="00F436C2">
            <w:pPr>
              <w:pStyle w:val="TableRowNormal"/>
              <w:jc w:val="left"/>
              <w:rPr>
                <w:rFonts w:ascii="Calibri" w:eastAsia="Times New Roman" w:hAnsi="Calibri" w:cs="Times New Roman"/>
                <w:lang w:eastAsia="en-AU"/>
              </w:rPr>
            </w:pPr>
            <w:r w:rsidRPr="002D5ECA">
              <w:rPr>
                <w:rFonts w:ascii="Calibri" w:eastAsia="Times New Roman" w:hAnsi="Calibri" w:cs="Times New Roman"/>
                <w:lang w:eastAsia="en-AU"/>
              </w:rPr>
              <w:t>Recognises the differences in wage costs between States and in the cost of providing services to different areas within a State.</w:t>
            </w:r>
          </w:p>
        </w:tc>
      </w:tr>
    </w:tbl>
    <w:p w:rsidR="00F436C2" w:rsidRDefault="00F436C2" w:rsidP="00F436C2">
      <w:pPr>
        <w:pStyle w:val="CGCTableHeading"/>
      </w:pPr>
      <w:r>
        <w:t xml:space="preserve">Table </w:t>
      </w:r>
      <w:r w:rsidR="00654065">
        <w:fldChar w:fldCharType="begin"/>
      </w:r>
      <w:r w:rsidR="00654065">
        <w:instrText xml:space="preserve"> SEQ Table \* ARABIC </w:instrText>
      </w:r>
      <w:r w:rsidR="00654065">
        <w:fldChar w:fldCharType="separate"/>
      </w:r>
      <w:r w:rsidR="000819F3">
        <w:rPr>
          <w:noProof/>
        </w:rPr>
        <w:t>11</w:t>
      </w:r>
      <w:r w:rsidR="00654065">
        <w:rPr>
          <w:noProof/>
        </w:rPr>
        <w:fldChar w:fldCharType="end"/>
      </w:r>
      <w:r>
        <w:tab/>
      </w:r>
      <w:r w:rsidRPr="00B7517F">
        <w:t xml:space="preserve">Proposed </w:t>
      </w:r>
      <w:r>
        <w:t>urban transport</w:t>
      </w:r>
      <w:r w:rsidRPr="00B7517F">
        <w:t xml:space="preserve"> </w:t>
      </w:r>
      <w:r w:rsidR="006A406C">
        <w:t xml:space="preserve">investment </w:t>
      </w:r>
      <w:r>
        <w:t>component</w:t>
      </w:r>
      <w:r w:rsidRPr="00B7517F">
        <w:t xml:space="preserve"> structure</w:t>
      </w:r>
    </w:p>
    <w:tbl>
      <w:tblPr>
        <w:tblW w:w="5000" w:type="pct"/>
        <w:tblCellMar>
          <w:left w:w="85" w:type="dxa"/>
          <w:right w:w="85" w:type="dxa"/>
        </w:tblCellMar>
        <w:tblLook w:val="0000" w:firstRow="0" w:lastRow="0" w:firstColumn="0" w:lastColumn="0" w:noHBand="0" w:noVBand="0"/>
      </w:tblPr>
      <w:tblGrid>
        <w:gridCol w:w="2212"/>
        <w:gridCol w:w="1985"/>
        <w:gridCol w:w="4924"/>
      </w:tblGrid>
      <w:tr w:rsidR="00F436C2" w:rsidRPr="004537EA" w:rsidTr="00DB22C4">
        <w:tc>
          <w:tcPr>
            <w:tcW w:w="1213" w:type="pct"/>
            <w:tcBorders>
              <w:top w:val="single" w:sz="6" w:space="0" w:color="auto"/>
              <w:bottom w:val="single" w:sz="6" w:space="0" w:color="auto"/>
            </w:tcBorders>
            <w:vAlign w:val="bottom"/>
          </w:tcPr>
          <w:p w:rsidR="00F436C2" w:rsidRPr="004537EA" w:rsidRDefault="00F436C2" w:rsidP="00AE6783">
            <w:pPr>
              <w:pStyle w:val="TableColHeadings"/>
              <w:jc w:val="left"/>
              <w:rPr>
                <w:rFonts w:cstheme="minorHAnsi"/>
              </w:rPr>
            </w:pPr>
            <w:r w:rsidRPr="00134594">
              <w:rPr>
                <w:rFonts w:cstheme="minorHAnsi"/>
              </w:rPr>
              <w:t>Component</w:t>
            </w:r>
          </w:p>
        </w:tc>
        <w:tc>
          <w:tcPr>
            <w:tcW w:w="1088" w:type="pct"/>
            <w:tcBorders>
              <w:top w:val="single" w:sz="6" w:space="0" w:color="auto"/>
              <w:bottom w:val="single" w:sz="6" w:space="0" w:color="auto"/>
            </w:tcBorders>
            <w:vAlign w:val="bottom"/>
          </w:tcPr>
          <w:p w:rsidR="00F436C2" w:rsidRPr="004537EA" w:rsidRDefault="00F436C2" w:rsidP="00AE6783">
            <w:pPr>
              <w:pStyle w:val="TableColHeadings"/>
              <w:jc w:val="left"/>
              <w:rPr>
                <w:rFonts w:cstheme="minorHAnsi"/>
              </w:rPr>
            </w:pPr>
            <w:r w:rsidRPr="00134594">
              <w:rPr>
                <w:rFonts w:cstheme="minorHAnsi"/>
              </w:rPr>
              <w:t>Disability</w:t>
            </w:r>
          </w:p>
        </w:tc>
        <w:tc>
          <w:tcPr>
            <w:tcW w:w="2699" w:type="pct"/>
            <w:tcBorders>
              <w:top w:val="single" w:sz="6" w:space="0" w:color="auto"/>
              <w:bottom w:val="single" w:sz="6" w:space="0" w:color="auto"/>
            </w:tcBorders>
            <w:vAlign w:val="bottom"/>
          </w:tcPr>
          <w:p w:rsidR="00F436C2" w:rsidRPr="004537EA" w:rsidRDefault="00F436C2" w:rsidP="00AE6783">
            <w:pPr>
              <w:pStyle w:val="TableColHeadings"/>
              <w:jc w:val="left"/>
              <w:rPr>
                <w:rFonts w:cstheme="minorHAnsi"/>
              </w:rPr>
            </w:pPr>
            <w:r w:rsidRPr="00134594">
              <w:rPr>
                <w:rFonts w:cstheme="minorHAnsi"/>
              </w:rPr>
              <w:t>Influence measured by disability</w:t>
            </w:r>
          </w:p>
        </w:tc>
      </w:tr>
      <w:tr w:rsidR="00D604B2" w:rsidRPr="004537EA" w:rsidTr="00790CD6">
        <w:tc>
          <w:tcPr>
            <w:tcW w:w="5000" w:type="pct"/>
            <w:gridSpan w:val="3"/>
            <w:tcBorders>
              <w:top w:val="single" w:sz="4" w:space="0" w:color="auto"/>
            </w:tcBorders>
            <w:vAlign w:val="bottom"/>
          </w:tcPr>
          <w:p w:rsidR="00D604B2" w:rsidRPr="00790CD6" w:rsidRDefault="00D604B2" w:rsidP="00621D4C">
            <w:pPr>
              <w:pStyle w:val="TableRowUnits"/>
            </w:pPr>
          </w:p>
        </w:tc>
      </w:tr>
      <w:tr w:rsidR="00D604B2" w:rsidRPr="004537EA" w:rsidTr="0044338E">
        <w:tc>
          <w:tcPr>
            <w:tcW w:w="1213" w:type="pct"/>
          </w:tcPr>
          <w:p w:rsidR="00D604B2" w:rsidRPr="00F46B46" w:rsidRDefault="005A4BFC" w:rsidP="007F61CF">
            <w:pPr>
              <w:keepNext/>
              <w:keepLines/>
              <w:tabs>
                <w:tab w:val="clear" w:pos="567"/>
              </w:tabs>
              <w:spacing w:after="0" w:line="240" w:lineRule="auto"/>
              <w:ind w:left="142" w:hanging="142"/>
              <w:rPr>
                <w:rFonts w:ascii="Calibri" w:eastAsia="Times New Roman" w:hAnsi="Calibri" w:cs="Times New Roman"/>
                <w:sz w:val="20"/>
                <w:szCs w:val="20"/>
                <w:lang w:eastAsia="en-AU"/>
              </w:rPr>
            </w:pPr>
            <w:r>
              <w:rPr>
                <w:rFonts w:ascii="Calibri" w:eastAsia="Times New Roman" w:hAnsi="Calibri" w:cs="Times New Roman"/>
                <w:sz w:val="20"/>
                <w:szCs w:val="20"/>
                <w:lang w:eastAsia="en-AU"/>
              </w:rPr>
              <w:t xml:space="preserve">   </w:t>
            </w:r>
            <w:r w:rsidR="00D604B2" w:rsidRPr="00F46B46">
              <w:rPr>
                <w:rFonts w:ascii="Calibri" w:eastAsia="Times New Roman" w:hAnsi="Calibri" w:cs="Times New Roman"/>
                <w:sz w:val="20"/>
                <w:szCs w:val="20"/>
                <w:lang w:eastAsia="en-AU"/>
              </w:rPr>
              <w:t>Urban transport</w:t>
            </w:r>
          </w:p>
        </w:tc>
        <w:tc>
          <w:tcPr>
            <w:tcW w:w="1088" w:type="pct"/>
          </w:tcPr>
          <w:p w:rsidR="00D604B2" w:rsidRPr="004537EA" w:rsidRDefault="00D604B2" w:rsidP="007F61CF">
            <w:pPr>
              <w:pStyle w:val="TableRowNormal"/>
              <w:jc w:val="left"/>
              <w:rPr>
                <w:rFonts w:cstheme="minorHAnsi"/>
              </w:rPr>
            </w:pPr>
            <w:r w:rsidRPr="00F46B46">
              <w:rPr>
                <w:rFonts w:ascii="Calibri" w:eastAsia="Times New Roman" w:hAnsi="Calibri" w:cs="Times New Roman"/>
                <w:lang w:eastAsia="en-AU"/>
              </w:rPr>
              <w:t>Capital stock</w:t>
            </w:r>
          </w:p>
        </w:tc>
        <w:tc>
          <w:tcPr>
            <w:tcW w:w="2699" w:type="pct"/>
          </w:tcPr>
          <w:p w:rsidR="00D604B2" w:rsidRPr="004537EA" w:rsidRDefault="00D604B2" w:rsidP="007F61CF">
            <w:pPr>
              <w:pStyle w:val="TableRowNormal"/>
              <w:jc w:val="left"/>
              <w:rPr>
                <w:rFonts w:cstheme="minorHAnsi"/>
              </w:rPr>
            </w:pPr>
            <w:r w:rsidRPr="00F46B46">
              <w:rPr>
                <w:rFonts w:ascii="Calibri" w:eastAsia="Times New Roman" w:hAnsi="Calibri" w:cs="Times New Roman"/>
                <w:lang w:eastAsia="en-AU"/>
              </w:rPr>
              <w:t>Recognises the impact of city size on the need for urban transport infrastructure.</w:t>
            </w:r>
          </w:p>
        </w:tc>
      </w:tr>
      <w:tr w:rsidR="00D604B2" w:rsidRPr="004537EA" w:rsidTr="00F436C2">
        <w:tc>
          <w:tcPr>
            <w:tcW w:w="1213" w:type="pct"/>
          </w:tcPr>
          <w:p w:rsidR="00D604B2" w:rsidRPr="004537EA" w:rsidRDefault="00D604B2" w:rsidP="007F61CF">
            <w:pPr>
              <w:pStyle w:val="CGCTableStub"/>
              <w:rPr>
                <w:rFonts w:cstheme="minorHAnsi"/>
              </w:rPr>
            </w:pPr>
          </w:p>
        </w:tc>
        <w:tc>
          <w:tcPr>
            <w:tcW w:w="1088" w:type="pct"/>
          </w:tcPr>
          <w:p w:rsidR="00D604B2" w:rsidRPr="004537EA" w:rsidRDefault="00D604B2" w:rsidP="007F61CF">
            <w:pPr>
              <w:pStyle w:val="TableRowNormal"/>
              <w:jc w:val="left"/>
              <w:rPr>
                <w:rFonts w:cstheme="minorHAnsi"/>
              </w:rPr>
            </w:pPr>
            <w:r w:rsidRPr="00F46B46">
              <w:rPr>
                <w:rFonts w:ascii="Calibri" w:eastAsia="Times New Roman" w:hAnsi="Calibri" w:cs="Times New Roman"/>
                <w:lang w:eastAsia="en-AU"/>
              </w:rPr>
              <w:t>Population growth</w:t>
            </w:r>
          </w:p>
        </w:tc>
        <w:tc>
          <w:tcPr>
            <w:tcW w:w="2699" w:type="pct"/>
          </w:tcPr>
          <w:p w:rsidR="00D604B2" w:rsidRPr="00F46B46" w:rsidRDefault="00D604B2" w:rsidP="007F61CF">
            <w:pPr>
              <w:keepNext/>
              <w:keepLines/>
              <w:tabs>
                <w:tab w:val="clear" w:pos="567"/>
              </w:tabs>
              <w:spacing w:after="0" w:line="240" w:lineRule="auto"/>
              <w:rPr>
                <w:rFonts w:ascii="Calibri" w:eastAsia="Times New Roman" w:hAnsi="Calibri" w:cs="Times New Roman"/>
                <w:sz w:val="20"/>
                <w:szCs w:val="20"/>
                <w:lang w:eastAsia="en-AU"/>
              </w:rPr>
            </w:pPr>
            <w:r w:rsidRPr="00F46B46">
              <w:rPr>
                <w:rFonts w:ascii="Calibri" w:eastAsia="Times New Roman" w:hAnsi="Calibri" w:cs="Times New Roman"/>
                <w:sz w:val="20"/>
                <w:szCs w:val="20"/>
                <w:lang w:eastAsia="en-AU"/>
              </w:rPr>
              <w:t xml:space="preserve">Recognises the impact of differences in population growth on the need for urban transport infrastructure. </w:t>
            </w:r>
          </w:p>
        </w:tc>
      </w:tr>
      <w:tr w:rsidR="00D604B2" w:rsidRPr="004537EA" w:rsidTr="00F436C2">
        <w:tc>
          <w:tcPr>
            <w:tcW w:w="1213" w:type="pct"/>
            <w:tcBorders>
              <w:bottom w:val="single" w:sz="4" w:space="0" w:color="auto"/>
            </w:tcBorders>
          </w:tcPr>
          <w:p w:rsidR="00D604B2" w:rsidRPr="004537EA" w:rsidRDefault="00D604B2" w:rsidP="007F61CF">
            <w:pPr>
              <w:pStyle w:val="CGCTableStub"/>
              <w:rPr>
                <w:rFonts w:cstheme="minorHAnsi"/>
              </w:rPr>
            </w:pPr>
          </w:p>
        </w:tc>
        <w:tc>
          <w:tcPr>
            <w:tcW w:w="1088" w:type="pct"/>
            <w:tcBorders>
              <w:bottom w:val="single" w:sz="4" w:space="0" w:color="auto"/>
            </w:tcBorders>
          </w:tcPr>
          <w:p w:rsidR="00D604B2" w:rsidRPr="004537EA" w:rsidRDefault="00D604B2" w:rsidP="007F61CF">
            <w:pPr>
              <w:pStyle w:val="TableRowNormal"/>
              <w:jc w:val="left"/>
              <w:rPr>
                <w:rFonts w:cstheme="minorHAnsi"/>
              </w:rPr>
            </w:pPr>
            <w:r w:rsidRPr="00F46B46">
              <w:rPr>
                <w:rFonts w:ascii="Calibri" w:eastAsia="Times New Roman" w:hAnsi="Calibri" w:cs="Times New Roman"/>
                <w:lang w:eastAsia="en-AU"/>
              </w:rPr>
              <w:t>Capital cost</w:t>
            </w:r>
          </w:p>
        </w:tc>
        <w:tc>
          <w:tcPr>
            <w:tcW w:w="2699" w:type="pct"/>
            <w:tcBorders>
              <w:bottom w:val="single" w:sz="4" w:space="0" w:color="auto"/>
            </w:tcBorders>
          </w:tcPr>
          <w:p w:rsidR="00D604B2" w:rsidRPr="004537EA" w:rsidRDefault="00D604B2" w:rsidP="007F61CF">
            <w:pPr>
              <w:pStyle w:val="TableRowNormal"/>
              <w:jc w:val="left"/>
              <w:rPr>
                <w:rFonts w:cstheme="minorHAnsi"/>
              </w:rPr>
            </w:pPr>
            <w:r w:rsidRPr="00F46B46">
              <w:rPr>
                <w:rFonts w:ascii="Calibri" w:eastAsia="Times New Roman" w:hAnsi="Calibri" w:cs="Times New Roman"/>
                <w:lang w:eastAsia="en-AU"/>
              </w:rPr>
              <w:t xml:space="preserve">Recognises the impact of differences between States in the cost of </w:t>
            </w:r>
            <w:r>
              <w:rPr>
                <w:rFonts w:ascii="Calibri" w:eastAsia="Times New Roman" w:hAnsi="Calibri" w:cs="Times New Roman"/>
                <w:lang w:eastAsia="en-AU"/>
              </w:rPr>
              <w:t>urban transport infrastructure.</w:t>
            </w:r>
          </w:p>
        </w:tc>
      </w:tr>
    </w:tbl>
    <w:p w:rsidR="00B7517F" w:rsidRDefault="00B7517F" w:rsidP="007F61CF">
      <w:pPr>
        <w:pStyle w:val="CGCTableFootnote"/>
        <w:keepNext/>
        <w:keepLines/>
      </w:pPr>
    </w:p>
    <w:p w:rsidR="00E07621" w:rsidRDefault="00E07621" w:rsidP="00E07621">
      <w:pPr>
        <w:pStyle w:val="NoSpacing"/>
      </w:pPr>
    </w:p>
    <w:p w:rsidR="00C96782" w:rsidRDefault="00C96782" w:rsidP="00E07621">
      <w:pPr>
        <w:pStyle w:val="NoSpacing"/>
        <w:sectPr w:rsidR="00C96782" w:rsidSect="00B7517F">
          <w:footerReference w:type="default" r:id="rId18"/>
          <w:footerReference w:type="first" r:id="rId19"/>
          <w:pgSz w:w="11899" w:h="16838" w:code="9"/>
          <w:pgMar w:top="1701" w:right="1474" w:bottom="1701" w:left="1474" w:header="709" w:footer="709" w:gutter="0"/>
          <w:pgNumType w:start="1"/>
          <w:cols w:space="708"/>
          <w:titlePg/>
          <w:docGrid w:linePitch="299"/>
        </w:sectPr>
      </w:pPr>
    </w:p>
    <w:p w:rsidR="00DB22C4" w:rsidRDefault="00DB22C4" w:rsidP="00DB22C4">
      <w:pPr>
        <w:pStyle w:val="Heading2"/>
        <w:jc w:val="right"/>
      </w:pPr>
      <w:bookmarkStart w:id="68" w:name="_Ref510513629"/>
      <w:bookmarkStart w:id="69" w:name="_Toc511381345"/>
      <w:bookmarkStart w:id="70" w:name="_Toc511383920"/>
      <w:bookmarkStart w:id="71" w:name="_Toc511383934"/>
      <w:r w:rsidRPr="001148BE">
        <w:lastRenderedPageBreak/>
        <w:t>A</w:t>
      </w:r>
      <w:r w:rsidR="009F78FF">
        <w:t xml:space="preserve">ttachment A: </w:t>
      </w:r>
      <w:r w:rsidR="00FB0B23">
        <w:t xml:space="preserve">SUAs </w:t>
      </w:r>
      <w:r w:rsidR="009F78FF">
        <w:t xml:space="preserve">Proposed </w:t>
      </w:r>
      <w:r w:rsidR="00FB0B23">
        <w:t xml:space="preserve">for </w:t>
      </w:r>
      <w:r w:rsidR="009F78FF">
        <w:t>Inclusion</w:t>
      </w:r>
      <w:bookmarkEnd w:id="68"/>
      <w:bookmarkEnd w:id="69"/>
      <w:bookmarkEnd w:id="70"/>
      <w:bookmarkEnd w:id="71"/>
    </w:p>
    <w:p w:rsidR="001B0694" w:rsidRDefault="00742A05" w:rsidP="00C96782">
      <w:pPr>
        <w:pStyle w:val="CGCNumberedPara"/>
        <w:numPr>
          <w:ilvl w:val="1"/>
          <w:numId w:val="42"/>
        </w:numPr>
      </w:pPr>
      <w:r>
        <w:fldChar w:fldCharType="begin"/>
      </w:r>
      <w:r>
        <w:instrText xml:space="preserve"> REF _Ref511378873 \h </w:instrText>
      </w:r>
      <w:r>
        <w:fldChar w:fldCharType="separate"/>
      </w:r>
      <w:r w:rsidR="000819F3">
        <w:t xml:space="preserve">Table </w:t>
      </w:r>
      <w:r>
        <w:fldChar w:fldCharType="end"/>
      </w:r>
      <w:r w:rsidR="00970ED7">
        <w:fldChar w:fldCharType="begin"/>
      </w:r>
      <w:r w:rsidR="00970ED7">
        <w:instrText xml:space="preserve"> REF _Ref511383831 \h </w:instrText>
      </w:r>
      <w:r w:rsidR="00970ED7">
        <w:fldChar w:fldCharType="separate"/>
      </w:r>
      <w:r w:rsidR="000819F3">
        <w:t>Table A-</w:t>
      </w:r>
      <w:r w:rsidR="000819F3">
        <w:rPr>
          <w:noProof/>
        </w:rPr>
        <w:t>1</w:t>
      </w:r>
      <w:r w:rsidR="00970ED7">
        <w:fldChar w:fldCharType="end"/>
      </w:r>
      <w:r w:rsidR="00970ED7">
        <w:t xml:space="preserve"> </w:t>
      </w:r>
      <w:r w:rsidR="001B0694">
        <w:t>shows the complete list of SUAs, which are all proposed for inclusion in t</w:t>
      </w:r>
      <w:r w:rsidR="009F78FF">
        <w:t>he urban transport assessments.</w:t>
      </w:r>
    </w:p>
    <w:p w:rsidR="00AA0BB8" w:rsidRPr="00B60EDA" w:rsidRDefault="007B330B" w:rsidP="00270C43">
      <w:pPr>
        <w:pStyle w:val="CGCNumberedPara"/>
      </w:pPr>
      <w:r w:rsidRPr="00B60EDA">
        <w:t>Staff note that</w:t>
      </w:r>
      <w:r w:rsidR="00B60EDA">
        <w:t>, for capital cities,</w:t>
      </w:r>
      <w:r w:rsidRPr="00B60EDA">
        <w:t xml:space="preserve"> </w:t>
      </w:r>
      <w:r w:rsidR="00270C43" w:rsidRPr="00B60EDA">
        <w:t>SUA is</w:t>
      </w:r>
      <w:r w:rsidRPr="00B60EDA">
        <w:t xml:space="preserve"> a typically smaller measure of urban population than the</w:t>
      </w:r>
      <w:r w:rsidR="001A0152" w:rsidRPr="00B60EDA">
        <w:t xml:space="preserve"> ABS measure of</w:t>
      </w:r>
      <w:r w:rsidRPr="00B60EDA">
        <w:t xml:space="preserve"> </w:t>
      </w:r>
      <w:r w:rsidR="001B0694" w:rsidRPr="00B60EDA">
        <w:t xml:space="preserve">greater capital city statistical </w:t>
      </w:r>
      <w:r w:rsidRPr="00B60EDA">
        <w:t>a</w:t>
      </w:r>
      <w:r w:rsidR="001B0694" w:rsidRPr="00B60EDA">
        <w:t>reas (GCCSA)</w:t>
      </w:r>
      <w:r w:rsidRPr="00B60EDA">
        <w:t xml:space="preserve">. The GCCSA reflects the functional extent of each of Australia’s capital cities, including </w:t>
      </w:r>
      <w:r w:rsidR="008907EF" w:rsidRPr="00B60EDA">
        <w:t>persons</w:t>
      </w:r>
      <w:r w:rsidRPr="00B60EDA">
        <w:t xml:space="preserve"> who live within the urban centre as well as those in small towns and ru</w:t>
      </w:r>
      <w:r w:rsidR="001A0152" w:rsidRPr="00B60EDA">
        <w:t>ral areas surrounding the city.</w:t>
      </w:r>
      <w:bookmarkEnd w:id="6"/>
      <w:bookmarkEnd w:id="7"/>
      <w:bookmarkEnd w:id="8"/>
      <w:bookmarkEnd w:id="9"/>
      <w:bookmarkEnd w:id="10"/>
      <w:bookmarkEnd w:id="11"/>
      <w:bookmarkEnd w:id="12"/>
      <w:bookmarkEnd w:id="13"/>
      <w:r w:rsidR="007E06DC" w:rsidRPr="00B60EDA">
        <w:t xml:space="preserve"> </w:t>
      </w:r>
      <w:r w:rsidR="00AA0BB8" w:rsidRPr="00B60EDA">
        <w:t xml:space="preserve">However, the urban transport </w:t>
      </w:r>
      <w:r w:rsidR="00B60EDA" w:rsidRPr="00B60EDA">
        <w:t>assessment primarily aims</w:t>
      </w:r>
      <w:r w:rsidR="00AA0BB8" w:rsidRPr="00B60EDA">
        <w:t xml:space="preserve"> to </w:t>
      </w:r>
      <w:r w:rsidR="00B60EDA" w:rsidRPr="00B60EDA">
        <w:t xml:space="preserve">capture disabilities </w:t>
      </w:r>
      <w:r w:rsidR="00AA0BB8" w:rsidRPr="00B60EDA">
        <w:t xml:space="preserve">associated with intra-urban transport expenses. </w:t>
      </w:r>
    </w:p>
    <w:p w:rsidR="001D1B9E" w:rsidRDefault="001D1B9E" w:rsidP="001D1B9E">
      <w:pPr>
        <w:pStyle w:val="Caption"/>
      </w:pPr>
      <w:bookmarkStart w:id="72" w:name="_Ref511378873"/>
      <w:bookmarkStart w:id="73" w:name="_Ref511383831"/>
      <w:r>
        <w:t xml:space="preserve">Table </w:t>
      </w:r>
      <w:bookmarkEnd w:id="72"/>
      <w:r w:rsidR="0094041F">
        <w:t>A-</w:t>
      </w:r>
      <w:fldSimple w:instr=" SEQ Table \* ARABIC  \r 1 ">
        <w:r w:rsidR="000819F3">
          <w:rPr>
            <w:noProof/>
          </w:rPr>
          <w:t>1</w:t>
        </w:r>
      </w:fldSimple>
      <w:bookmarkEnd w:id="73"/>
      <w:r w:rsidR="003D3537">
        <w:tab/>
      </w:r>
      <w:r w:rsidRPr="009214CA">
        <w:t>Proposed SUAs for inclusion in urban transport assessments</w:t>
      </w:r>
    </w:p>
    <w:tbl>
      <w:tblPr>
        <w:tblW w:w="8860" w:type="dxa"/>
        <w:tblInd w:w="108" w:type="dxa"/>
        <w:tblLook w:val="04A0" w:firstRow="1" w:lastRow="0" w:firstColumn="1" w:lastColumn="0" w:noHBand="0" w:noVBand="1"/>
      </w:tblPr>
      <w:tblGrid>
        <w:gridCol w:w="900"/>
        <w:gridCol w:w="3380"/>
        <w:gridCol w:w="2320"/>
        <w:gridCol w:w="2260"/>
      </w:tblGrid>
      <w:tr w:rsidR="00A26923" w:rsidRPr="00A26923" w:rsidTr="004957BD">
        <w:trPr>
          <w:trHeight w:val="315"/>
        </w:trPr>
        <w:tc>
          <w:tcPr>
            <w:tcW w:w="900" w:type="dxa"/>
            <w:tcBorders>
              <w:top w:val="single" w:sz="4" w:space="0" w:color="auto"/>
              <w:left w:val="nil"/>
              <w:bottom w:val="single" w:sz="4" w:space="0" w:color="auto"/>
              <w:right w:val="nil"/>
            </w:tcBorders>
            <w:shd w:val="clear" w:color="auto" w:fill="auto"/>
            <w:noWrap/>
            <w:vAlign w:val="bottom"/>
            <w:hideMark/>
          </w:tcPr>
          <w:p w:rsidR="00A26923" w:rsidRPr="00A26923" w:rsidRDefault="00A26923" w:rsidP="004957BD">
            <w:pPr>
              <w:tabs>
                <w:tab w:val="clear" w:pos="567"/>
              </w:tabs>
              <w:spacing w:before="60" w:after="6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State</w:t>
            </w:r>
          </w:p>
        </w:tc>
        <w:tc>
          <w:tcPr>
            <w:tcW w:w="3380" w:type="dxa"/>
            <w:tcBorders>
              <w:top w:val="single" w:sz="4" w:space="0" w:color="auto"/>
              <w:left w:val="nil"/>
              <w:bottom w:val="single" w:sz="4" w:space="0" w:color="auto"/>
              <w:right w:val="nil"/>
            </w:tcBorders>
            <w:shd w:val="clear" w:color="auto" w:fill="auto"/>
            <w:noWrap/>
            <w:vAlign w:val="bottom"/>
            <w:hideMark/>
          </w:tcPr>
          <w:p w:rsidR="00A26923" w:rsidRPr="00A26923" w:rsidRDefault="00A26923" w:rsidP="004957BD">
            <w:pPr>
              <w:tabs>
                <w:tab w:val="clear" w:pos="567"/>
              </w:tabs>
              <w:spacing w:before="60" w:after="6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SUA</w:t>
            </w:r>
          </w:p>
        </w:tc>
        <w:tc>
          <w:tcPr>
            <w:tcW w:w="2320" w:type="dxa"/>
            <w:tcBorders>
              <w:top w:val="single" w:sz="4" w:space="0" w:color="auto"/>
              <w:left w:val="nil"/>
              <w:bottom w:val="single" w:sz="4" w:space="0" w:color="auto"/>
              <w:right w:val="nil"/>
            </w:tcBorders>
            <w:shd w:val="clear" w:color="auto" w:fill="auto"/>
            <w:noWrap/>
            <w:vAlign w:val="bottom"/>
            <w:hideMark/>
          </w:tcPr>
          <w:p w:rsidR="00A26923" w:rsidRPr="00A26923" w:rsidRDefault="00A26923" w:rsidP="004957BD">
            <w:pPr>
              <w:tabs>
                <w:tab w:val="clear" w:pos="567"/>
              </w:tabs>
              <w:spacing w:before="60" w:after="6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Treatment</w:t>
            </w:r>
          </w:p>
        </w:tc>
        <w:tc>
          <w:tcPr>
            <w:tcW w:w="2260" w:type="dxa"/>
            <w:tcBorders>
              <w:top w:val="single" w:sz="4" w:space="0" w:color="auto"/>
              <w:left w:val="nil"/>
              <w:bottom w:val="single" w:sz="4" w:space="0" w:color="auto"/>
              <w:right w:val="nil"/>
            </w:tcBorders>
            <w:shd w:val="clear" w:color="auto" w:fill="auto"/>
            <w:noWrap/>
            <w:vAlign w:val="bottom"/>
            <w:hideMark/>
          </w:tcPr>
          <w:p w:rsidR="00A26923" w:rsidRPr="00A26923" w:rsidRDefault="00A26923" w:rsidP="004957BD">
            <w:pPr>
              <w:tabs>
                <w:tab w:val="clear" w:pos="567"/>
              </w:tabs>
              <w:spacing w:before="60" w:after="6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 xml:space="preserve">Population, 2016-17 </w:t>
            </w:r>
          </w:p>
        </w:tc>
      </w:tr>
      <w:tr w:rsidR="00A26923" w:rsidRPr="00A26923" w:rsidTr="004957BD">
        <w:trPr>
          <w:trHeight w:val="315"/>
        </w:trPr>
        <w:tc>
          <w:tcPr>
            <w:tcW w:w="900" w:type="dxa"/>
            <w:tcBorders>
              <w:top w:val="single" w:sz="4" w:space="0" w:color="auto"/>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NSW</w:t>
            </w:r>
          </w:p>
        </w:tc>
        <w:tc>
          <w:tcPr>
            <w:tcW w:w="3380" w:type="dxa"/>
            <w:tcBorders>
              <w:top w:val="single" w:sz="4" w:space="0" w:color="auto"/>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Sydney</w:t>
            </w:r>
          </w:p>
        </w:tc>
        <w:tc>
          <w:tcPr>
            <w:tcW w:w="2320" w:type="dxa"/>
            <w:tcBorders>
              <w:top w:val="single" w:sz="4" w:space="0" w:color="auto"/>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Currently included</w:t>
            </w:r>
          </w:p>
        </w:tc>
        <w:tc>
          <w:tcPr>
            <w:tcW w:w="2260" w:type="dxa"/>
            <w:tcBorders>
              <w:top w:val="single" w:sz="4" w:space="0" w:color="auto"/>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4 612 509</w:t>
            </w:r>
          </w:p>
        </w:tc>
      </w:tr>
      <w:tr w:rsidR="00A26923" w:rsidRPr="00A26923" w:rsidTr="00A26923">
        <w:trPr>
          <w:trHeight w:val="315"/>
        </w:trPr>
        <w:tc>
          <w:tcPr>
            <w:tcW w:w="90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Vic</w:t>
            </w:r>
          </w:p>
        </w:tc>
        <w:tc>
          <w:tcPr>
            <w:tcW w:w="338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Melbourne</w:t>
            </w:r>
          </w:p>
        </w:tc>
        <w:tc>
          <w:tcPr>
            <w:tcW w:w="232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Currently included</w:t>
            </w:r>
          </w:p>
        </w:tc>
        <w:tc>
          <w:tcPr>
            <w:tcW w:w="226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4 552 897</w:t>
            </w:r>
          </w:p>
        </w:tc>
      </w:tr>
      <w:tr w:rsidR="00A26923" w:rsidRPr="00A26923" w:rsidTr="00A26923">
        <w:trPr>
          <w:trHeight w:val="315"/>
        </w:trPr>
        <w:tc>
          <w:tcPr>
            <w:tcW w:w="90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Qld</w:t>
            </w:r>
          </w:p>
        </w:tc>
        <w:tc>
          <w:tcPr>
            <w:tcW w:w="338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Brisbane</w:t>
            </w:r>
          </w:p>
        </w:tc>
        <w:tc>
          <w:tcPr>
            <w:tcW w:w="232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Currently included</w:t>
            </w:r>
          </w:p>
        </w:tc>
        <w:tc>
          <w:tcPr>
            <w:tcW w:w="226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2 236 741</w:t>
            </w:r>
          </w:p>
        </w:tc>
      </w:tr>
      <w:tr w:rsidR="00A26923" w:rsidRPr="00A26923" w:rsidTr="00A26923">
        <w:trPr>
          <w:trHeight w:val="315"/>
        </w:trPr>
        <w:tc>
          <w:tcPr>
            <w:tcW w:w="90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WA</w:t>
            </w:r>
          </w:p>
        </w:tc>
        <w:tc>
          <w:tcPr>
            <w:tcW w:w="338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Perth</w:t>
            </w:r>
          </w:p>
        </w:tc>
        <w:tc>
          <w:tcPr>
            <w:tcW w:w="232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Currently included</w:t>
            </w:r>
          </w:p>
        </w:tc>
        <w:tc>
          <w:tcPr>
            <w:tcW w:w="226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1 965 142</w:t>
            </w:r>
          </w:p>
        </w:tc>
      </w:tr>
      <w:tr w:rsidR="00A26923" w:rsidRPr="00A26923" w:rsidTr="00A26923">
        <w:trPr>
          <w:trHeight w:val="315"/>
        </w:trPr>
        <w:tc>
          <w:tcPr>
            <w:tcW w:w="90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SA</w:t>
            </w:r>
          </w:p>
        </w:tc>
        <w:tc>
          <w:tcPr>
            <w:tcW w:w="338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Adelaide</w:t>
            </w:r>
          </w:p>
        </w:tc>
        <w:tc>
          <w:tcPr>
            <w:tcW w:w="232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Currently included</w:t>
            </w:r>
          </w:p>
        </w:tc>
        <w:tc>
          <w:tcPr>
            <w:tcW w:w="226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1 284 254</w:t>
            </w:r>
          </w:p>
        </w:tc>
      </w:tr>
      <w:tr w:rsidR="00A26923" w:rsidRPr="00A26923" w:rsidTr="00A26923">
        <w:trPr>
          <w:trHeight w:val="315"/>
        </w:trPr>
        <w:tc>
          <w:tcPr>
            <w:tcW w:w="90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Qld</w:t>
            </w:r>
          </w:p>
        </w:tc>
        <w:tc>
          <w:tcPr>
            <w:tcW w:w="338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Gold Coast - Tweed Heads</w:t>
            </w:r>
          </w:p>
        </w:tc>
        <w:tc>
          <w:tcPr>
            <w:tcW w:w="232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Currently included</w:t>
            </w:r>
          </w:p>
        </w:tc>
        <w:tc>
          <w:tcPr>
            <w:tcW w:w="226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 xml:space="preserve"> 567 674</w:t>
            </w:r>
          </w:p>
        </w:tc>
      </w:tr>
      <w:tr w:rsidR="00A26923" w:rsidRPr="00A26923" w:rsidTr="00A26923">
        <w:trPr>
          <w:trHeight w:val="315"/>
        </w:trPr>
        <w:tc>
          <w:tcPr>
            <w:tcW w:w="90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NSW</w:t>
            </w:r>
          </w:p>
        </w:tc>
        <w:tc>
          <w:tcPr>
            <w:tcW w:w="338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Newcastle - Maitland</w:t>
            </w:r>
          </w:p>
        </w:tc>
        <w:tc>
          <w:tcPr>
            <w:tcW w:w="232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Currently included</w:t>
            </w:r>
          </w:p>
        </w:tc>
        <w:tc>
          <w:tcPr>
            <w:tcW w:w="226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 xml:space="preserve"> 474 229</w:t>
            </w:r>
          </w:p>
        </w:tc>
      </w:tr>
      <w:tr w:rsidR="00A26923" w:rsidRPr="00A26923" w:rsidTr="00A26923">
        <w:trPr>
          <w:trHeight w:val="315"/>
        </w:trPr>
        <w:tc>
          <w:tcPr>
            <w:tcW w:w="90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ACT</w:t>
            </w:r>
          </w:p>
        </w:tc>
        <w:tc>
          <w:tcPr>
            <w:tcW w:w="338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Canberra - Queanbeyan</w:t>
            </w:r>
          </w:p>
        </w:tc>
        <w:tc>
          <w:tcPr>
            <w:tcW w:w="232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Currently included</w:t>
            </w:r>
          </w:p>
        </w:tc>
        <w:tc>
          <w:tcPr>
            <w:tcW w:w="226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 xml:space="preserve"> 405 306</w:t>
            </w:r>
          </w:p>
        </w:tc>
      </w:tr>
      <w:tr w:rsidR="00A26923" w:rsidRPr="00A26923" w:rsidTr="00A26923">
        <w:trPr>
          <w:trHeight w:val="315"/>
        </w:trPr>
        <w:tc>
          <w:tcPr>
            <w:tcW w:w="90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NSW</w:t>
            </w:r>
          </w:p>
        </w:tc>
        <w:tc>
          <w:tcPr>
            <w:tcW w:w="338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Central Coast</w:t>
            </w:r>
          </w:p>
        </w:tc>
        <w:tc>
          <w:tcPr>
            <w:tcW w:w="232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Currently included</w:t>
            </w:r>
          </w:p>
        </w:tc>
        <w:tc>
          <w:tcPr>
            <w:tcW w:w="226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 xml:space="preserve"> 323 316</w:t>
            </w:r>
          </w:p>
        </w:tc>
      </w:tr>
      <w:tr w:rsidR="00A26923" w:rsidRPr="00A26923" w:rsidTr="00A26923">
        <w:trPr>
          <w:trHeight w:val="315"/>
        </w:trPr>
        <w:tc>
          <w:tcPr>
            <w:tcW w:w="90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NSW</w:t>
            </w:r>
          </w:p>
        </w:tc>
        <w:tc>
          <w:tcPr>
            <w:tcW w:w="338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Wollongong</w:t>
            </w:r>
          </w:p>
        </w:tc>
        <w:tc>
          <w:tcPr>
            <w:tcW w:w="232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Currently included</w:t>
            </w:r>
          </w:p>
        </w:tc>
        <w:tc>
          <w:tcPr>
            <w:tcW w:w="226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 xml:space="preserve"> 295 706</w:t>
            </w:r>
          </w:p>
        </w:tc>
      </w:tr>
      <w:tr w:rsidR="00A26923" w:rsidRPr="00A26923" w:rsidTr="00A26923">
        <w:trPr>
          <w:trHeight w:val="315"/>
        </w:trPr>
        <w:tc>
          <w:tcPr>
            <w:tcW w:w="90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Qld</w:t>
            </w:r>
          </w:p>
        </w:tc>
        <w:tc>
          <w:tcPr>
            <w:tcW w:w="338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Sunshine Coast</w:t>
            </w:r>
          </w:p>
        </w:tc>
        <w:tc>
          <w:tcPr>
            <w:tcW w:w="232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Currently included</w:t>
            </w:r>
          </w:p>
        </w:tc>
        <w:tc>
          <w:tcPr>
            <w:tcW w:w="226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 xml:space="preserve"> 291 324</w:t>
            </w:r>
          </w:p>
        </w:tc>
      </w:tr>
      <w:tr w:rsidR="00A26923" w:rsidRPr="00A26923" w:rsidTr="00A26923">
        <w:trPr>
          <w:trHeight w:val="315"/>
        </w:trPr>
        <w:tc>
          <w:tcPr>
            <w:tcW w:w="90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Vic</w:t>
            </w:r>
          </w:p>
        </w:tc>
        <w:tc>
          <w:tcPr>
            <w:tcW w:w="338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Geelong</w:t>
            </w:r>
          </w:p>
        </w:tc>
        <w:tc>
          <w:tcPr>
            <w:tcW w:w="232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Currently included</w:t>
            </w:r>
          </w:p>
        </w:tc>
        <w:tc>
          <w:tcPr>
            <w:tcW w:w="226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 xml:space="preserve"> 241 924</w:t>
            </w:r>
          </w:p>
        </w:tc>
      </w:tr>
      <w:tr w:rsidR="00A26923" w:rsidRPr="00A26923" w:rsidTr="00A26923">
        <w:trPr>
          <w:trHeight w:val="315"/>
        </w:trPr>
        <w:tc>
          <w:tcPr>
            <w:tcW w:w="90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Tas</w:t>
            </w:r>
          </w:p>
        </w:tc>
        <w:tc>
          <w:tcPr>
            <w:tcW w:w="338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Hobart</w:t>
            </w:r>
          </w:p>
        </w:tc>
        <w:tc>
          <w:tcPr>
            <w:tcW w:w="232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Currently included</w:t>
            </w:r>
          </w:p>
        </w:tc>
        <w:tc>
          <w:tcPr>
            <w:tcW w:w="226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 xml:space="preserve"> 192 870</w:t>
            </w:r>
          </w:p>
        </w:tc>
      </w:tr>
      <w:tr w:rsidR="00A26923" w:rsidRPr="00A26923" w:rsidTr="00A26923">
        <w:trPr>
          <w:trHeight w:val="315"/>
        </w:trPr>
        <w:tc>
          <w:tcPr>
            <w:tcW w:w="90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Qld</w:t>
            </w:r>
          </w:p>
        </w:tc>
        <w:tc>
          <w:tcPr>
            <w:tcW w:w="338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Townsville</w:t>
            </w:r>
          </w:p>
        </w:tc>
        <w:tc>
          <w:tcPr>
            <w:tcW w:w="232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Currently included</w:t>
            </w:r>
          </w:p>
        </w:tc>
        <w:tc>
          <w:tcPr>
            <w:tcW w:w="226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 xml:space="preserve"> 178 139</w:t>
            </w:r>
          </w:p>
        </w:tc>
      </w:tr>
      <w:tr w:rsidR="00A26923" w:rsidRPr="00A26923" w:rsidTr="00A26923">
        <w:trPr>
          <w:trHeight w:val="315"/>
        </w:trPr>
        <w:tc>
          <w:tcPr>
            <w:tcW w:w="90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Qld</w:t>
            </w:r>
          </w:p>
        </w:tc>
        <w:tc>
          <w:tcPr>
            <w:tcW w:w="338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Cairns</w:t>
            </w:r>
          </w:p>
        </w:tc>
        <w:tc>
          <w:tcPr>
            <w:tcW w:w="232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Currently included</w:t>
            </w:r>
          </w:p>
        </w:tc>
        <w:tc>
          <w:tcPr>
            <w:tcW w:w="226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 xml:space="preserve"> 151 067</w:t>
            </w:r>
          </w:p>
        </w:tc>
      </w:tr>
      <w:tr w:rsidR="00A26923" w:rsidRPr="00A26923" w:rsidTr="00A26923">
        <w:trPr>
          <w:trHeight w:val="315"/>
        </w:trPr>
        <w:tc>
          <w:tcPr>
            <w:tcW w:w="90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Qld</w:t>
            </w:r>
          </w:p>
        </w:tc>
        <w:tc>
          <w:tcPr>
            <w:tcW w:w="338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Toowoomba</w:t>
            </w:r>
          </w:p>
        </w:tc>
        <w:tc>
          <w:tcPr>
            <w:tcW w:w="232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Currently included</w:t>
            </w:r>
          </w:p>
        </w:tc>
        <w:tc>
          <w:tcPr>
            <w:tcW w:w="226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 xml:space="preserve"> 127 292</w:t>
            </w:r>
          </w:p>
        </w:tc>
      </w:tr>
      <w:tr w:rsidR="00A26923" w:rsidRPr="00A26923" w:rsidTr="00A26923">
        <w:trPr>
          <w:trHeight w:val="315"/>
        </w:trPr>
        <w:tc>
          <w:tcPr>
            <w:tcW w:w="90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NT</w:t>
            </w:r>
          </w:p>
        </w:tc>
        <w:tc>
          <w:tcPr>
            <w:tcW w:w="338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Darwin</w:t>
            </w:r>
          </w:p>
        </w:tc>
        <w:tc>
          <w:tcPr>
            <w:tcW w:w="232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Currently included</w:t>
            </w:r>
          </w:p>
        </w:tc>
        <w:tc>
          <w:tcPr>
            <w:tcW w:w="226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 xml:space="preserve"> 126 826</w:t>
            </w:r>
          </w:p>
        </w:tc>
      </w:tr>
      <w:tr w:rsidR="00A26923" w:rsidRPr="00A26923" w:rsidTr="004957BD">
        <w:trPr>
          <w:trHeight w:val="315"/>
        </w:trPr>
        <w:tc>
          <w:tcPr>
            <w:tcW w:w="900" w:type="dxa"/>
            <w:tcBorders>
              <w:top w:val="nil"/>
              <w:left w:val="nil"/>
              <w:bottom w:val="single" w:sz="4" w:space="0" w:color="auto"/>
              <w:right w:val="nil"/>
            </w:tcBorders>
            <w:shd w:val="clear" w:color="auto" w:fill="auto"/>
            <w:noWrap/>
            <w:vAlign w:val="bottom"/>
            <w:hideMark/>
          </w:tcPr>
          <w:p w:rsidR="00A26923" w:rsidRPr="00A26923" w:rsidRDefault="00A26923" w:rsidP="00A26923">
            <w:pPr>
              <w:tabs>
                <w:tab w:val="clear" w:pos="567"/>
              </w:tabs>
              <w:spacing w:after="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Vic</w:t>
            </w:r>
          </w:p>
        </w:tc>
        <w:tc>
          <w:tcPr>
            <w:tcW w:w="3380" w:type="dxa"/>
            <w:tcBorders>
              <w:top w:val="nil"/>
              <w:left w:val="nil"/>
              <w:bottom w:val="single" w:sz="4" w:space="0" w:color="auto"/>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Ballarat</w:t>
            </w:r>
          </w:p>
        </w:tc>
        <w:tc>
          <w:tcPr>
            <w:tcW w:w="2320" w:type="dxa"/>
            <w:tcBorders>
              <w:top w:val="nil"/>
              <w:left w:val="nil"/>
              <w:bottom w:val="single" w:sz="4" w:space="0" w:color="auto"/>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Currently included</w:t>
            </w:r>
          </w:p>
        </w:tc>
        <w:tc>
          <w:tcPr>
            <w:tcW w:w="2260" w:type="dxa"/>
            <w:tcBorders>
              <w:top w:val="nil"/>
              <w:left w:val="nil"/>
              <w:bottom w:val="single" w:sz="4" w:space="0" w:color="auto"/>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 xml:space="preserve"> 96 939</w:t>
            </w:r>
          </w:p>
        </w:tc>
      </w:tr>
    </w:tbl>
    <w:p w:rsidR="00C04D4E" w:rsidRDefault="00C04D4E">
      <w:pPr>
        <w:tabs>
          <w:tab w:val="clear" w:pos="567"/>
        </w:tabs>
        <w:spacing w:after="200" w:line="276" w:lineRule="auto"/>
        <w:rPr>
          <w:b/>
          <w:bCs/>
          <w:szCs w:val="20"/>
          <w:u w:val="single"/>
        </w:rPr>
      </w:pPr>
      <w:r>
        <w:rPr>
          <w:u w:val="single"/>
        </w:rPr>
        <w:br w:type="page"/>
      </w:r>
    </w:p>
    <w:p w:rsidR="008B3234" w:rsidRDefault="008B3234" w:rsidP="008B3234">
      <w:pPr>
        <w:pStyle w:val="Caption"/>
      </w:pPr>
      <w:r>
        <w:lastRenderedPageBreak/>
        <w:t xml:space="preserve">Table </w:t>
      </w:r>
      <w:r w:rsidR="00025A26">
        <w:t>A-</w:t>
      </w:r>
      <w:fldSimple w:instr=" SEQ Table \* ARABIC  \r 1 ">
        <w:r w:rsidR="000819F3">
          <w:rPr>
            <w:noProof/>
          </w:rPr>
          <w:t>1</w:t>
        </w:r>
      </w:fldSimple>
      <w:r w:rsidR="009C460C">
        <w:tab/>
      </w:r>
      <w:r w:rsidRPr="00386430">
        <w:t>Proposed SUAs for inclusion in urban transport assessments (continued)</w:t>
      </w:r>
    </w:p>
    <w:tbl>
      <w:tblPr>
        <w:tblW w:w="8860" w:type="dxa"/>
        <w:tblInd w:w="108" w:type="dxa"/>
        <w:tblLook w:val="04A0" w:firstRow="1" w:lastRow="0" w:firstColumn="1" w:lastColumn="0" w:noHBand="0" w:noVBand="1"/>
      </w:tblPr>
      <w:tblGrid>
        <w:gridCol w:w="900"/>
        <w:gridCol w:w="3380"/>
        <w:gridCol w:w="2320"/>
        <w:gridCol w:w="2260"/>
      </w:tblGrid>
      <w:tr w:rsidR="00A26923" w:rsidRPr="00A26923" w:rsidTr="009C460C">
        <w:trPr>
          <w:trHeight w:val="315"/>
        </w:trPr>
        <w:tc>
          <w:tcPr>
            <w:tcW w:w="900" w:type="dxa"/>
            <w:tcBorders>
              <w:top w:val="single" w:sz="4" w:space="0" w:color="auto"/>
              <w:left w:val="nil"/>
              <w:bottom w:val="single" w:sz="4" w:space="0" w:color="auto"/>
              <w:right w:val="nil"/>
            </w:tcBorders>
            <w:shd w:val="clear" w:color="auto" w:fill="auto"/>
            <w:noWrap/>
            <w:vAlign w:val="bottom"/>
            <w:hideMark/>
          </w:tcPr>
          <w:p w:rsidR="00A26923" w:rsidRPr="00A26923" w:rsidRDefault="00A26923" w:rsidP="009C460C">
            <w:pPr>
              <w:tabs>
                <w:tab w:val="clear" w:pos="567"/>
              </w:tabs>
              <w:spacing w:before="60" w:after="6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State</w:t>
            </w:r>
          </w:p>
        </w:tc>
        <w:tc>
          <w:tcPr>
            <w:tcW w:w="3380" w:type="dxa"/>
            <w:tcBorders>
              <w:top w:val="single" w:sz="4" w:space="0" w:color="auto"/>
              <w:left w:val="nil"/>
              <w:bottom w:val="single" w:sz="4" w:space="0" w:color="auto"/>
              <w:right w:val="nil"/>
            </w:tcBorders>
            <w:shd w:val="clear" w:color="auto" w:fill="auto"/>
            <w:noWrap/>
            <w:vAlign w:val="bottom"/>
            <w:hideMark/>
          </w:tcPr>
          <w:p w:rsidR="00A26923" w:rsidRPr="00A26923" w:rsidRDefault="00A26923" w:rsidP="009C460C">
            <w:pPr>
              <w:tabs>
                <w:tab w:val="clear" w:pos="567"/>
              </w:tabs>
              <w:spacing w:before="60" w:after="6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SUA</w:t>
            </w:r>
          </w:p>
        </w:tc>
        <w:tc>
          <w:tcPr>
            <w:tcW w:w="2320" w:type="dxa"/>
            <w:tcBorders>
              <w:top w:val="single" w:sz="4" w:space="0" w:color="auto"/>
              <w:left w:val="nil"/>
              <w:bottom w:val="single" w:sz="4" w:space="0" w:color="auto"/>
              <w:right w:val="nil"/>
            </w:tcBorders>
            <w:shd w:val="clear" w:color="auto" w:fill="auto"/>
            <w:noWrap/>
            <w:vAlign w:val="bottom"/>
            <w:hideMark/>
          </w:tcPr>
          <w:p w:rsidR="00A26923" w:rsidRPr="00A26923" w:rsidRDefault="00A26923" w:rsidP="009C460C">
            <w:pPr>
              <w:tabs>
                <w:tab w:val="clear" w:pos="567"/>
              </w:tabs>
              <w:spacing w:before="60" w:after="6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Treatment</w:t>
            </w:r>
          </w:p>
        </w:tc>
        <w:tc>
          <w:tcPr>
            <w:tcW w:w="2260" w:type="dxa"/>
            <w:tcBorders>
              <w:top w:val="single" w:sz="4" w:space="0" w:color="auto"/>
              <w:left w:val="nil"/>
              <w:bottom w:val="single" w:sz="4" w:space="0" w:color="auto"/>
              <w:right w:val="nil"/>
            </w:tcBorders>
            <w:shd w:val="clear" w:color="auto" w:fill="auto"/>
            <w:noWrap/>
            <w:vAlign w:val="bottom"/>
            <w:hideMark/>
          </w:tcPr>
          <w:p w:rsidR="00A26923" w:rsidRPr="00A26923" w:rsidRDefault="00A26923" w:rsidP="009C460C">
            <w:pPr>
              <w:tabs>
                <w:tab w:val="clear" w:pos="567"/>
              </w:tabs>
              <w:spacing w:before="60" w:after="6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 xml:space="preserve">Population, 2016-17 </w:t>
            </w:r>
          </w:p>
        </w:tc>
      </w:tr>
      <w:tr w:rsidR="00A26923" w:rsidRPr="00A26923" w:rsidTr="009C460C">
        <w:trPr>
          <w:trHeight w:val="315"/>
        </w:trPr>
        <w:tc>
          <w:tcPr>
            <w:tcW w:w="900" w:type="dxa"/>
            <w:tcBorders>
              <w:top w:val="single" w:sz="4" w:space="0" w:color="auto"/>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Vic</w:t>
            </w:r>
          </w:p>
        </w:tc>
        <w:tc>
          <w:tcPr>
            <w:tcW w:w="3380" w:type="dxa"/>
            <w:tcBorders>
              <w:top w:val="single" w:sz="4" w:space="0" w:color="auto"/>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Bendigo</w:t>
            </w:r>
          </w:p>
        </w:tc>
        <w:tc>
          <w:tcPr>
            <w:tcW w:w="2320" w:type="dxa"/>
            <w:tcBorders>
              <w:top w:val="single" w:sz="4" w:space="0" w:color="auto"/>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Currently included</w:t>
            </w:r>
          </w:p>
        </w:tc>
        <w:tc>
          <w:tcPr>
            <w:tcW w:w="2260" w:type="dxa"/>
            <w:tcBorders>
              <w:top w:val="single" w:sz="4" w:space="0" w:color="auto"/>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 xml:space="preserve"> 94 544</w:t>
            </w:r>
          </w:p>
        </w:tc>
      </w:tr>
      <w:tr w:rsidR="00A26923" w:rsidRPr="00A26923" w:rsidTr="00A26923">
        <w:trPr>
          <w:trHeight w:val="315"/>
        </w:trPr>
        <w:tc>
          <w:tcPr>
            <w:tcW w:w="90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Tas</w:t>
            </w:r>
          </w:p>
        </w:tc>
        <w:tc>
          <w:tcPr>
            <w:tcW w:w="338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Launceston</w:t>
            </w:r>
          </w:p>
        </w:tc>
        <w:tc>
          <w:tcPr>
            <w:tcW w:w="232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Currently included</w:t>
            </w:r>
          </w:p>
        </w:tc>
        <w:tc>
          <w:tcPr>
            <w:tcW w:w="226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 xml:space="preserve"> 83 565</w:t>
            </w:r>
          </w:p>
        </w:tc>
      </w:tr>
      <w:tr w:rsidR="00A26923" w:rsidRPr="00A26923" w:rsidTr="00A26923">
        <w:trPr>
          <w:trHeight w:val="315"/>
        </w:trPr>
        <w:tc>
          <w:tcPr>
            <w:tcW w:w="90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Qld</w:t>
            </w:r>
          </w:p>
        </w:tc>
        <w:tc>
          <w:tcPr>
            <w:tcW w:w="338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Mackay</w:t>
            </w:r>
          </w:p>
        </w:tc>
        <w:tc>
          <w:tcPr>
            <w:tcW w:w="232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Currently included</w:t>
            </w:r>
          </w:p>
        </w:tc>
        <w:tc>
          <w:tcPr>
            <w:tcW w:w="226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 xml:space="preserve"> 80 182</w:t>
            </w:r>
          </w:p>
        </w:tc>
      </w:tr>
      <w:tr w:rsidR="00A26923" w:rsidRPr="00A26923" w:rsidTr="00A26923">
        <w:trPr>
          <w:trHeight w:val="315"/>
        </w:trPr>
        <w:tc>
          <w:tcPr>
            <w:tcW w:w="90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Qld</w:t>
            </w:r>
          </w:p>
        </w:tc>
        <w:tc>
          <w:tcPr>
            <w:tcW w:w="338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Rockhampton</w:t>
            </w:r>
          </w:p>
        </w:tc>
        <w:tc>
          <w:tcPr>
            <w:tcW w:w="232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Currently included</w:t>
            </w:r>
          </w:p>
        </w:tc>
        <w:tc>
          <w:tcPr>
            <w:tcW w:w="226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 xml:space="preserve"> 75 229</w:t>
            </w:r>
          </w:p>
        </w:tc>
      </w:tr>
      <w:tr w:rsidR="00A26923" w:rsidRPr="00A26923" w:rsidTr="00A26923">
        <w:trPr>
          <w:trHeight w:val="315"/>
        </w:trPr>
        <w:tc>
          <w:tcPr>
            <w:tcW w:w="90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WA</w:t>
            </w:r>
          </w:p>
        </w:tc>
        <w:tc>
          <w:tcPr>
            <w:tcW w:w="338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Bunbury</w:t>
            </w:r>
          </w:p>
        </w:tc>
        <w:tc>
          <w:tcPr>
            <w:tcW w:w="232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Currently included</w:t>
            </w:r>
          </w:p>
        </w:tc>
        <w:tc>
          <w:tcPr>
            <w:tcW w:w="226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 xml:space="preserve"> 73 026</w:t>
            </w:r>
          </w:p>
        </w:tc>
      </w:tr>
      <w:tr w:rsidR="00A26923" w:rsidRPr="00A26923" w:rsidTr="00A26923">
        <w:trPr>
          <w:trHeight w:val="315"/>
        </w:trPr>
        <w:tc>
          <w:tcPr>
            <w:tcW w:w="90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NSW</w:t>
            </w:r>
          </w:p>
        </w:tc>
        <w:tc>
          <w:tcPr>
            <w:tcW w:w="338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Gold Coast - Tweed Heads</w:t>
            </w:r>
          </w:p>
        </w:tc>
        <w:tc>
          <w:tcPr>
            <w:tcW w:w="232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Currently included</w:t>
            </w:r>
          </w:p>
        </w:tc>
        <w:tc>
          <w:tcPr>
            <w:tcW w:w="226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 xml:space="preserve"> 70 102</w:t>
            </w:r>
          </w:p>
        </w:tc>
      </w:tr>
      <w:tr w:rsidR="00A26923" w:rsidRPr="00A26923" w:rsidTr="00A26923">
        <w:trPr>
          <w:trHeight w:val="315"/>
        </w:trPr>
        <w:tc>
          <w:tcPr>
            <w:tcW w:w="90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Qld</w:t>
            </w:r>
          </w:p>
        </w:tc>
        <w:tc>
          <w:tcPr>
            <w:tcW w:w="338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Bundaberg</w:t>
            </w:r>
          </w:p>
        </w:tc>
        <w:tc>
          <w:tcPr>
            <w:tcW w:w="232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Currently included</w:t>
            </w:r>
          </w:p>
        </w:tc>
        <w:tc>
          <w:tcPr>
            <w:tcW w:w="226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 xml:space="preserve"> 67 852</w:t>
            </w:r>
          </w:p>
        </w:tc>
      </w:tr>
      <w:tr w:rsidR="00A26923" w:rsidRPr="00A26923" w:rsidTr="00A26923">
        <w:trPr>
          <w:trHeight w:val="315"/>
        </w:trPr>
        <w:tc>
          <w:tcPr>
            <w:tcW w:w="90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NSW</w:t>
            </w:r>
          </w:p>
        </w:tc>
        <w:tc>
          <w:tcPr>
            <w:tcW w:w="338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Coffs Harbour</w:t>
            </w:r>
          </w:p>
        </w:tc>
        <w:tc>
          <w:tcPr>
            <w:tcW w:w="232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Currently included</w:t>
            </w:r>
          </w:p>
        </w:tc>
        <w:tc>
          <w:tcPr>
            <w:tcW w:w="226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 xml:space="preserve"> 66 435</w:t>
            </w:r>
          </w:p>
        </w:tc>
      </w:tr>
      <w:tr w:rsidR="00A26923" w:rsidRPr="00A26923" w:rsidTr="00A26923">
        <w:trPr>
          <w:trHeight w:val="315"/>
        </w:trPr>
        <w:tc>
          <w:tcPr>
            <w:tcW w:w="90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Vic</w:t>
            </w:r>
          </w:p>
        </w:tc>
        <w:tc>
          <w:tcPr>
            <w:tcW w:w="338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Melton</w:t>
            </w:r>
          </w:p>
        </w:tc>
        <w:tc>
          <w:tcPr>
            <w:tcW w:w="232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Currently included</w:t>
            </w:r>
          </w:p>
        </w:tc>
        <w:tc>
          <w:tcPr>
            <w:tcW w:w="226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 xml:space="preserve"> 59 778</w:t>
            </w:r>
          </w:p>
        </w:tc>
      </w:tr>
      <w:tr w:rsidR="00A26923" w:rsidRPr="00A26923" w:rsidTr="00A26923">
        <w:trPr>
          <w:trHeight w:val="315"/>
        </w:trPr>
        <w:tc>
          <w:tcPr>
            <w:tcW w:w="90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NSW</w:t>
            </w:r>
          </w:p>
        </w:tc>
        <w:tc>
          <w:tcPr>
            <w:tcW w:w="338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Wagga Wagga</w:t>
            </w:r>
          </w:p>
        </w:tc>
        <w:tc>
          <w:tcPr>
            <w:tcW w:w="232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Currently included</w:t>
            </w:r>
          </w:p>
        </w:tc>
        <w:tc>
          <w:tcPr>
            <w:tcW w:w="226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 xml:space="preserve"> 53 996</w:t>
            </w:r>
          </w:p>
        </w:tc>
      </w:tr>
      <w:tr w:rsidR="00A26923" w:rsidRPr="00A26923" w:rsidTr="00A26923">
        <w:trPr>
          <w:trHeight w:val="315"/>
        </w:trPr>
        <w:tc>
          <w:tcPr>
            <w:tcW w:w="90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Qld</w:t>
            </w:r>
          </w:p>
        </w:tc>
        <w:tc>
          <w:tcPr>
            <w:tcW w:w="338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Hervey Bay</w:t>
            </w:r>
          </w:p>
        </w:tc>
        <w:tc>
          <w:tcPr>
            <w:tcW w:w="232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Currently included</w:t>
            </w:r>
          </w:p>
        </w:tc>
        <w:tc>
          <w:tcPr>
            <w:tcW w:w="226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 xml:space="preserve"> 53 186</w:t>
            </w:r>
          </w:p>
        </w:tc>
      </w:tr>
      <w:tr w:rsidR="00A26923" w:rsidRPr="00A26923" w:rsidTr="00A26923">
        <w:trPr>
          <w:trHeight w:val="315"/>
        </w:trPr>
        <w:tc>
          <w:tcPr>
            <w:tcW w:w="90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NSW</w:t>
            </w:r>
          </w:p>
        </w:tc>
        <w:tc>
          <w:tcPr>
            <w:tcW w:w="338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Albury - Wodonga</w:t>
            </w:r>
          </w:p>
        </w:tc>
        <w:tc>
          <w:tcPr>
            <w:tcW w:w="232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Currently included</w:t>
            </w:r>
          </w:p>
        </w:tc>
        <w:tc>
          <w:tcPr>
            <w:tcW w:w="226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 xml:space="preserve"> 49 380</w:t>
            </w:r>
          </w:p>
        </w:tc>
      </w:tr>
      <w:tr w:rsidR="00A26923" w:rsidRPr="00A26923" w:rsidTr="00A26923">
        <w:trPr>
          <w:trHeight w:val="315"/>
        </w:trPr>
        <w:tc>
          <w:tcPr>
            <w:tcW w:w="90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Vic</w:t>
            </w:r>
          </w:p>
        </w:tc>
        <w:tc>
          <w:tcPr>
            <w:tcW w:w="338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Shepparton - Mooroopna</w:t>
            </w:r>
          </w:p>
        </w:tc>
        <w:tc>
          <w:tcPr>
            <w:tcW w:w="232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Currently included</w:t>
            </w:r>
          </w:p>
        </w:tc>
        <w:tc>
          <w:tcPr>
            <w:tcW w:w="226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 xml:space="preserve"> 48 403</w:t>
            </w:r>
          </w:p>
        </w:tc>
      </w:tr>
      <w:tr w:rsidR="00A26923" w:rsidRPr="00A26923" w:rsidTr="00A26923">
        <w:trPr>
          <w:trHeight w:val="315"/>
        </w:trPr>
        <w:tc>
          <w:tcPr>
            <w:tcW w:w="90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NSW</w:t>
            </w:r>
          </w:p>
        </w:tc>
        <w:tc>
          <w:tcPr>
            <w:tcW w:w="338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Port Macquarie</w:t>
            </w:r>
          </w:p>
        </w:tc>
        <w:tc>
          <w:tcPr>
            <w:tcW w:w="232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Currently included</w:t>
            </w:r>
          </w:p>
        </w:tc>
        <w:tc>
          <w:tcPr>
            <w:tcW w:w="226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 xml:space="preserve"> 46 015</w:t>
            </w:r>
          </w:p>
        </w:tc>
      </w:tr>
      <w:tr w:rsidR="00A26923" w:rsidRPr="00A26923" w:rsidTr="00A26923">
        <w:trPr>
          <w:trHeight w:val="315"/>
        </w:trPr>
        <w:tc>
          <w:tcPr>
            <w:tcW w:w="90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Qld</w:t>
            </w:r>
          </w:p>
        </w:tc>
        <w:tc>
          <w:tcPr>
            <w:tcW w:w="338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Gladstone - Tannum Sands</w:t>
            </w:r>
          </w:p>
        </w:tc>
        <w:tc>
          <w:tcPr>
            <w:tcW w:w="232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Currently included</w:t>
            </w:r>
          </w:p>
        </w:tc>
        <w:tc>
          <w:tcPr>
            <w:tcW w:w="226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 xml:space="preserve"> 44 449</w:t>
            </w:r>
          </w:p>
        </w:tc>
      </w:tr>
      <w:tr w:rsidR="00A26923" w:rsidRPr="00A26923" w:rsidTr="00A26923">
        <w:trPr>
          <w:trHeight w:val="315"/>
        </w:trPr>
        <w:tc>
          <w:tcPr>
            <w:tcW w:w="90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Vic</w:t>
            </w:r>
          </w:p>
        </w:tc>
        <w:tc>
          <w:tcPr>
            <w:tcW w:w="338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Traralgon - Morwell</w:t>
            </w:r>
          </w:p>
        </w:tc>
        <w:tc>
          <w:tcPr>
            <w:tcW w:w="232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Currently included</w:t>
            </w:r>
          </w:p>
        </w:tc>
        <w:tc>
          <w:tcPr>
            <w:tcW w:w="226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 xml:space="preserve"> 40 143</w:t>
            </w:r>
          </w:p>
        </w:tc>
      </w:tr>
      <w:tr w:rsidR="00A26923" w:rsidRPr="00A26923" w:rsidTr="00A26923">
        <w:trPr>
          <w:trHeight w:val="315"/>
        </w:trPr>
        <w:tc>
          <w:tcPr>
            <w:tcW w:w="90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NSW</w:t>
            </w:r>
          </w:p>
        </w:tc>
        <w:tc>
          <w:tcPr>
            <w:tcW w:w="338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Tamworth</w:t>
            </w:r>
          </w:p>
        </w:tc>
        <w:tc>
          <w:tcPr>
            <w:tcW w:w="232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Currently included</w:t>
            </w:r>
          </w:p>
        </w:tc>
        <w:tc>
          <w:tcPr>
            <w:tcW w:w="226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 xml:space="preserve"> 39 200</w:t>
            </w:r>
          </w:p>
        </w:tc>
      </w:tr>
      <w:tr w:rsidR="00A26923" w:rsidRPr="00A26923" w:rsidTr="00A26923">
        <w:trPr>
          <w:trHeight w:val="315"/>
        </w:trPr>
        <w:tc>
          <w:tcPr>
            <w:tcW w:w="90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NSW</w:t>
            </w:r>
          </w:p>
        </w:tc>
        <w:tc>
          <w:tcPr>
            <w:tcW w:w="338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Orange</w:t>
            </w:r>
          </w:p>
        </w:tc>
        <w:tc>
          <w:tcPr>
            <w:tcW w:w="232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Currently included</w:t>
            </w:r>
          </w:p>
        </w:tc>
        <w:tc>
          <w:tcPr>
            <w:tcW w:w="226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 xml:space="preserve"> 39 120</w:t>
            </w:r>
          </w:p>
        </w:tc>
      </w:tr>
      <w:tr w:rsidR="00A26923" w:rsidRPr="00A26923" w:rsidTr="00A26923">
        <w:trPr>
          <w:trHeight w:val="315"/>
        </w:trPr>
        <w:tc>
          <w:tcPr>
            <w:tcW w:w="90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NSW</w:t>
            </w:r>
          </w:p>
        </w:tc>
        <w:tc>
          <w:tcPr>
            <w:tcW w:w="338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Canberra - Queanbeyan</w:t>
            </w:r>
          </w:p>
        </w:tc>
        <w:tc>
          <w:tcPr>
            <w:tcW w:w="232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Currently included</w:t>
            </w:r>
          </w:p>
        </w:tc>
        <w:tc>
          <w:tcPr>
            <w:tcW w:w="226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 xml:space="preserve"> 38 207</w:t>
            </w:r>
          </w:p>
        </w:tc>
      </w:tr>
      <w:tr w:rsidR="00A26923" w:rsidRPr="00A26923" w:rsidTr="00A26923">
        <w:trPr>
          <w:trHeight w:val="315"/>
        </w:trPr>
        <w:tc>
          <w:tcPr>
            <w:tcW w:w="90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Vic</w:t>
            </w:r>
          </w:p>
        </w:tc>
        <w:tc>
          <w:tcPr>
            <w:tcW w:w="338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Albury - Wodonga</w:t>
            </w:r>
          </w:p>
        </w:tc>
        <w:tc>
          <w:tcPr>
            <w:tcW w:w="232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Currently included</w:t>
            </w:r>
          </w:p>
        </w:tc>
        <w:tc>
          <w:tcPr>
            <w:tcW w:w="226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 xml:space="preserve"> 37 743</w:t>
            </w:r>
          </w:p>
        </w:tc>
      </w:tr>
      <w:tr w:rsidR="00A26923" w:rsidRPr="00A26923" w:rsidTr="00A26923">
        <w:trPr>
          <w:trHeight w:val="315"/>
        </w:trPr>
        <w:tc>
          <w:tcPr>
            <w:tcW w:w="90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Vic</w:t>
            </w:r>
          </w:p>
        </w:tc>
        <w:tc>
          <w:tcPr>
            <w:tcW w:w="338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Mildura - Wentworth</w:t>
            </w:r>
          </w:p>
        </w:tc>
        <w:tc>
          <w:tcPr>
            <w:tcW w:w="232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Currently included</w:t>
            </w:r>
          </w:p>
        </w:tc>
        <w:tc>
          <w:tcPr>
            <w:tcW w:w="226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 xml:space="preserve"> 37 359</w:t>
            </w:r>
          </w:p>
        </w:tc>
      </w:tr>
      <w:tr w:rsidR="00A26923" w:rsidRPr="00A26923" w:rsidTr="00A26923">
        <w:trPr>
          <w:trHeight w:val="315"/>
        </w:trPr>
        <w:tc>
          <w:tcPr>
            <w:tcW w:w="90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NSW</w:t>
            </w:r>
          </w:p>
        </w:tc>
        <w:tc>
          <w:tcPr>
            <w:tcW w:w="338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Bowral - Mittagong</w:t>
            </w:r>
          </w:p>
        </w:tc>
        <w:tc>
          <w:tcPr>
            <w:tcW w:w="232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Currently included</w:t>
            </w:r>
          </w:p>
        </w:tc>
        <w:tc>
          <w:tcPr>
            <w:tcW w:w="226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 xml:space="preserve"> 36 285</w:t>
            </w:r>
          </w:p>
        </w:tc>
      </w:tr>
      <w:tr w:rsidR="00A26923" w:rsidRPr="00A26923" w:rsidTr="00A26923">
        <w:trPr>
          <w:trHeight w:val="315"/>
        </w:trPr>
        <w:tc>
          <w:tcPr>
            <w:tcW w:w="90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NSW</w:t>
            </w:r>
          </w:p>
        </w:tc>
        <w:tc>
          <w:tcPr>
            <w:tcW w:w="338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Dubbo</w:t>
            </w:r>
          </w:p>
        </w:tc>
        <w:tc>
          <w:tcPr>
            <w:tcW w:w="232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Currently included</w:t>
            </w:r>
          </w:p>
        </w:tc>
        <w:tc>
          <w:tcPr>
            <w:tcW w:w="226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 xml:space="preserve"> 36 150</w:t>
            </w:r>
          </w:p>
        </w:tc>
      </w:tr>
      <w:tr w:rsidR="00A26923" w:rsidRPr="00A26923" w:rsidTr="00A26923">
        <w:trPr>
          <w:trHeight w:val="315"/>
        </w:trPr>
        <w:tc>
          <w:tcPr>
            <w:tcW w:w="90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WA</w:t>
            </w:r>
          </w:p>
        </w:tc>
        <w:tc>
          <w:tcPr>
            <w:tcW w:w="338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Geraldton</w:t>
            </w:r>
          </w:p>
        </w:tc>
        <w:tc>
          <w:tcPr>
            <w:tcW w:w="232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Currently included</w:t>
            </w:r>
          </w:p>
        </w:tc>
        <w:tc>
          <w:tcPr>
            <w:tcW w:w="226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 xml:space="preserve"> 35 438</w:t>
            </w:r>
          </w:p>
        </w:tc>
      </w:tr>
      <w:tr w:rsidR="00A26923" w:rsidRPr="00A26923" w:rsidTr="00A26923">
        <w:trPr>
          <w:trHeight w:val="315"/>
        </w:trPr>
        <w:tc>
          <w:tcPr>
            <w:tcW w:w="90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NSW</w:t>
            </w:r>
          </w:p>
        </w:tc>
        <w:tc>
          <w:tcPr>
            <w:tcW w:w="338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Bathurst</w:t>
            </w:r>
          </w:p>
        </w:tc>
        <w:tc>
          <w:tcPr>
            <w:tcW w:w="232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Currently included</w:t>
            </w:r>
          </w:p>
        </w:tc>
        <w:tc>
          <w:tcPr>
            <w:tcW w:w="226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 xml:space="preserve"> 34 804</w:t>
            </w:r>
          </w:p>
        </w:tc>
      </w:tr>
      <w:tr w:rsidR="00A26923" w:rsidRPr="00A26923" w:rsidTr="00A26923">
        <w:trPr>
          <w:trHeight w:val="315"/>
        </w:trPr>
        <w:tc>
          <w:tcPr>
            <w:tcW w:w="90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NSW</w:t>
            </w:r>
          </w:p>
        </w:tc>
        <w:tc>
          <w:tcPr>
            <w:tcW w:w="338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Nowra - Bomaderry</w:t>
            </w:r>
          </w:p>
        </w:tc>
        <w:tc>
          <w:tcPr>
            <w:tcW w:w="232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Currently included</w:t>
            </w:r>
          </w:p>
        </w:tc>
        <w:tc>
          <w:tcPr>
            <w:tcW w:w="226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 xml:space="preserve"> 34 345</w:t>
            </w:r>
          </w:p>
        </w:tc>
      </w:tr>
      <w:tr w:rsidR="00A26923" w:rsidRPr="00A26923" w:rsidTr="00A26923">
        <w:trPr>
          <w:trHeight w:val="315"/>
        </w:trPr>
        <w:tc>
          <w:tcPr>
            <w:tcW w:w="90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Vic</w:t>
            </w:r>
          </w:p>
        </w:tc>
        <w:tc>
          <w:tcPr>
            <w:tcW w:w="338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Warrnambool</w:t>
            </w:r>
          </w:p>
        </w:tc>
        <w:tc>
          <w:tcPr>
            <w:tcW w:w="232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Currently included</w:t>
            </w:r>
          </w:p>
        </w:tc>
        <w:tc>
          <w:tcPr>
            <w:tcW w:w="226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 xml:space="preserve"> 32 904</w:t>
            </w:r>
          </w:p>
        </w:tc>
      </w:tr>
      <w:tr w:rsidR="00A26923" w:rsidRPr="00A26923" w:rsidTr="00A26923">
        <w:trPr>
          <w:trHeight w:val="315"/>
        </w:trPr>
        <w:tc>
          <w:tcPr>
            <w:tcW w:w="90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WA</w:t>
            </w:r>
          </w:p>
        </w:tc>
        <w:tc>
          <w:tcPr>
            <w:tcW w:w="338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Busselton</w:t>
            </w:r>
          </w:p>
        </w:tc>
        <w:tc>
          <w:tcPr>
            <w:tcW w:w="232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Currently included</w:t>
            </w:r>
          </w:p>
        </w:tc>
        <w:tc>
          <w:tcPr>
            <w:tcW w:w="226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 xml:space="preserve"> 32 240</w:t>
            </w:r>
          </w:p>
        </w:tc>
      </w:tr>
      <w:tr w:rsidR="00A26923" w:rsidRPr="00A26923" w:rsidTr="00A26923">
        <w:trPr>
          <w:trHeight w:val="315"/>
        </w:trPr>
        <w:tc>
          <w:tcPr>
            <w:tcW w:w="90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WA</w:t>
            </w:r>
          </w:p>
        </w:tc>
        <w:tc>
          <w:tcPr>
            <w:tcW w:w="338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Albany</w:t>
            </w:r>
          </w:p>
        </w:tc>
        <w:tc>
          <w:tcPr>
            <w:tcW w:w="232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Currently included</w:t>
            </w:r>
          </w:p>
        </w:tc>
        <w:tc>
          <w:tcPr>
            <w:tcW w:w="226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 xml:space="preserve"> 31 919</w:t>
            </w:r>
          </w:p>
        </w:tc>
      </w:tr>
      <w:tr w:rsidR="00A26923" w:rsidRPr="00A26923" w:rsidTr="00A26923">
        <w:trPr>
          <w:trHeight w:val="315"/>
        </w:trPr>
        <w:tc>
          <w:tcPr>
            <w:tcW w:w="90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WA</w:t>
            </w:r>
          </w:p>
        </w:tc>
        <w:tc>
          <w:tcPr>
            <w:tcW w:w="338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Kalgoorlie - Boulder</w:t>
            </w:r>
          </w:p>
        </w:tc>
        <w:tc>
          <w:tcPr>
            <w:tcW w:w="232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Currently included</w:t>
            </w:r>
          </w:p>
        </w:tc>
        <w:tc>
          <w:tcPr>
            <w:tcW w:w="226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 xml:space="preserve"> 30 788</w:t>
            </w:r>
          </w:p>
        </w:tc>
      </w:tr>
      <w:tr w:rsidR="00A26923" w:rsidRPr="00A26923" w:rsidTr="00A26923">
        <w:trPr>
          <w:trHeight w:val="315"/>
        </w:trPr>
        <w:tc>
          <w:tcPr>
            <w:tcW w:w="90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Vic</w:t>
            </w:r>
          </w:p>
        </w:tc>
        <w:tc>
          <w:tcPr>
            <w:tcW w:w="338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Warragul - Drouin</w:t>
            </w:r>
          </w:p>
        </w:tc>
        <w:tc>
          <w:tcPr>
            <w:tcW w:w="232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Currently included</w:t>
            </w:r>
          </w:p>
        </w:tc>
        <w:tc>
          <w:tcPr>
            <w:tcW w:w="226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 xml:space="preserve"> 28 959</w:t>
            </w:r>
          </w:p>
        </w:tc>
      </w:tr>
      <w:tr w:rsidR="00A26923" w:rsidRPr="00A26923" w:rsidTr="00A26923">
        <w:trPr>
          <w:trHeight w:val="315"/>
        </w:trPr>
        <w:tc>
          <w:tcPr>
            <w:tcW w:w="90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NSW</w:t>
            </w:r>
          </w:p>
        </w:tc>
        <w:tc>
          <w:tcPr>
            <w:tcW w:w="338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Lismore</w:t>
            </w:r>
          </w:p>
        </w:tc>
        <w:tc>
          <w:tcPr>
            <w:tcW w:w="232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Currently included</w:t>
            </w:r>
          </w:p>
        </w:tc>
        <w:tc>
          <w:tcPr>
            <w:tcW w:w="226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 xml:space="preserve"> 28 341</w:t>
            </w:r>
          </w:p>
        </w:tc>
      </w:tr>
      <w:tr w:rsidR="00A26923" w:rsidRPr="00A26923" w:rsidTr="00A26923">
        <w:trPr>
          <w:trHeight w:val="315"/>
        </w:trPr>
        <w:tc>
          <w:tcPr>
            <w:tcW w:w="90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Tas</w:t>
            </w:r>
          </w:p>
        </w:tc>
        <w:tc>
          <w:tcPr>
            <w:tcW w:w="338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Devonport</w:t>
            </w:r>
          </w:p>
        </w:tc>
        <w:tc>
          <w:tcPr>
            <w:tcW w:w="232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Currently included</w:t>
            </w:r>
          </w:p>
        </w:tc>
        <w:tc>
          <w:tcPr>
            <w:tcW w:w="226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 xml:space="preserve"> 27 206</w:t>
            </w:r>
          </w:p>
        </w:tc>
      </w:tr>
      <w:tr w:rsidR="00A26923" w:rsidRPr="00A26923" w:rsidTr="00166BE7">
        <w:trPr>
          <w:trHeight w:val="315"/>
        </w:trPr>
        <w:tc>
          <w:tcPr>
            <w:tcW w:w="900" w:type="dxa"/>
            <w:tcBorders>
              <w:top w:val="nil"/>
              <w:left w:val="nil"/>
              <w:right w:val="nil"/>
            </w:tcBorders>
            <w:shd w:val="clear" w:color="auto" w:fill="auto"/>
            <w:noWrap/>
            <w:vAlign w:val="bottom"/>
            <w:hideMark/>
          </w:tcPr>
          <w:p w:rsidR="00A26923" w:rsidRPr="00A26923" w:rsidRDefault="00A26923" w:rsidP="00A26923">
            <w:pPr>
              <w:tabs>
                <w:tab w:val="clear" w:pos="567"/>
              </w:tabs>
              <w:spacing w:after="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SA</w:t>
            </w:r>
          </w:p>
        </w:tc>
        <w:tc>
          <w:tcPr>
            <w:tcW w:w="3380" w:type="dxa"/>
            <w:tcBorders>
              <w:top w:val="nil"/>
              <w:left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Mount Gambier</w:t>
            </w:r>
          </w:p>
        </w:tc>
        <w:tc>
          <w:tcPr>
            <w:tcW w:w="2320" w:type="dxa"/>
            <w:tcBorders>
              <w:top w:val="nil"/>
              <w:left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Currently included</w:t>
            </w:r>
          </w:p>
        </w:tc>
        <w:tc>
          <w:tcPr>
            <w:tcW w:w="2260" w:type="dxa"/>
            <w:tcBorders>
              <w:top w:val="nil"/>
              <w:left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 xml:space="preserve"> 26 920</w:t>
            </w:r>
          </w:p>
        </w:tc>
      </w:tr>
      <w:tr w:rsidR="00A26923" w:rsidRPr="00A26923" w:rsidTr="00166BE7">
        <w:trPr>
          <w:trHeight w:val="315"/>
        </w:trPr>
        <w:tc>
          <w:tcPr>
            <w:tcW w:w="900" w:type="dxa"/>
            <w:tcBorders>
              <w:top w:val="nil"/>
              <w:left w:val="nil"/>
              <w:bottom w:val="single" w:sz="4" w:space="0" w:color="auto"/>
              <w:right w:val="nil"/>
            </w:tcBorders>
            <w:shd w:val="clear" w:color="auto" w:fill="auto"/>
            <w:noWrap/>
            <w:vAlign w:val="bottom"/>
            <w:hideMark/>
          </w:tcPr>
          <w:p w:rsidR="00A26923" w:rsidRPr="00A26923" w:rsidRDefault="00A26923" w:rsidP="00A26923">
            <w:pPr>
              <w:tabs>
                <w:tab w:val="clear" w:pos="567"/>
              </w:tabs>
              <w:spacing w:after="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NSW</w:t>
            </w:r>
          </w:p>
        </w:tc>
        <w:tc>
          <w:tcPr>
            <w:tcW w:w="3380" w:type="dxa"/>
            <w:tcBorders>
              <w:top w:val="nil"/>
              <w:left w:val="nil"/>
              <w:bottom w:val="single" w:sz="4" w:space="0" w:color="auto"/>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Nelson Bay</w:t>
            </w:r>
          </w:p>
        </w:tc>
        <w:tc>
          <w:tcPr>
            <w:tcW w:w="2320" w:type="dxa"/>
            <w:tcBorders>
              <w:top w:val="nil"/>
              <w:left w:val="nil"/>
              <w:bottom w:val="single" w:sz="4" w:space="0" w:color="auto"/>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Currently included</w:t>
            </w:r>
          </w:p>
        </w:tc>
        <w:tc>
          <w:tcPr>
            <w:tcW w:w="2260" w:type="dxa"/>
            <w:tcBorders>
              <w:top w:val="nil"/>
              <w:left w:val="nil"/>
              <w:bottom w:val="single" w:sz="4" w:space="0" w:color="auto"/>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 xml:space="preserve"> 26 702</w:t>
            </w:r>
          </w:p>
        </w:tc>
      </w:tr>
    </w:tbl>
    <w:p w:rsidR="00DF159F" w:rsidRDefault="00DF159F">
      <w:pPr>
        <w:tabs>
          <w:tab w:val="clear" w:pos="567"/>
        </w:tabs>
        <w:spacing w:after="200" w:line="276" w:lineRule="auto"/>
        <w:rPr>
          <w:u w:val="single"/>
        </w:rPr>
      </w:pPr>
      <w:r>
        <w:rPr>
          <w:u w:val="single"/>
        </w:rPr>
        <w:br w:type="page"/>
      </w:r>
    </w:p>
    <w:p w:rsidR="00054EA0" w:rsidRDefault="00054EA0" w:rsidP="00054EA0">
      <w:pPr>
        <w:pStyle w:val="Caption"/>
      </w:pPr>
      <w:r>
        <w:lastRenderedPageBreak/>
        <w:t xml:space="preserve">Table </w:t>
      </w:r>
      <w:r w:rsidR="006129EF">
        <w:t>A-</w:t>
      </w:r>
      <w:fldSimple w:instr=" SEQ Table \* ARABIC  \r 1 ">
        <w:r w:rsidR="000819F3">
          <w:rPr>
            <w:noProof/>
          </w:rPr>
          <w:t>1</w:t>
        </w:r>
      </w:fldSimple>
      <w:r w:rsidR="00A85692">
        <w:tab/>
      </w:r>
      <w:r w:rsidRPr="00FA3E18">
        <w:t>Proposed SUAs for inclusion in urban transport assessments (continued)</w:t>
      </w:r>
    </w:p>
    <w:tbl>
      <w:tblPr>
        <w:tblW w:w="8860" w:type="dxa"/>
        <w:tblInd w:w="108" w:type="dxa"/>
        <w:tblLook w:val="04A0" w:firstRow="1" w:lastRow="0" w:firstColumn="1" w:lastColumn="0" w:noHBand="0" w:noVBand="1"/>
      </w:tblPr>
      <w:tblGrid>
        <w:gridCol w:w="900"/>
        <w:gridCol w:w="3380"/>
        <w:gridCol w:w="2320"/>
        <w:gridCol w:w="2260"/>
      </w:tblGrid>
      <w:tr w:rsidR="00A26923" w:rsidRPr="00A26923" w:rsidTr="00A85692">
        <w:trPr>
          <w:trHeight w:val="315"/>
        </w:trPr>
        <w:tc>
          <w:tcPr>
            <w:tcW w:w="900" w:type="dxa"/>
            <w:tcBorders>
              <w:top w:val="single" w:sz="4" w:space="0" w:color="auto"/>
              <w:left w:val="nil"/>
              <w:bottom w:val="single" w:sz="4" w:space="0" w:color="auto"/>
              <w:right w:val="nil"/>
            </w:tcBorders>
            <w:shd w:val="clear" w:color="auto" w:fill="auto"/>
            <w:noWrap/>
            <w:vAlign w:val="bottom"/>
            <w:hideMark/>
          </w:tcPr>
          <w:p w:rsidR="00A26923" w:rsidRPr="00A26923" w:rsidRDefault="00A26923" w:rsidP="00A85692">
            <w:pPr>
              <w:tabs>
                <w:tab w:val="clear" w:pos="567"/>
              </w:tabs>
              <w:spacing w:before="60" w:after="6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State</w:t>
            </w:r>
          </w:p>
        </w:tc>
        <w:tc>
          <w:tcPr>
            <w:tcW w:w="3380" w:type="dxa"/>
            <w:tcBorders>
              <w:top w:val="single" w:sz="4" w:space="0" w:color="auto"/>
              <w:left w:val="nil"/>
              <w:bottom w:val="single" w:sz="4" w:space="0" w:color="auto"/>
              <w:right w:val="nil"/>
            </w:tcBorders>
            <w:shd w:val="clear" w:color="auto" w:fill="auto"/>
            <w:noWrap/>
            <w:vAlign w:val="bottom"/>
            <w:hideMark/>
          </w:tcPr>
          <w:p w:rsidR="00A26923" w:rsidRPr="00A26923" w:rsidRDefault="00A26923" w:rsidP="00A85692">
            <w:pPr>
              <w:tabs>
                <w:tab w:val="clear" w:pos="567"/>
              </w:tabs>
              <w:spacing w:before="60" w:after="6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SUA</w:t>
            </w:r>
          </w:p>
        </w:tc>
        <w:tc>
          <w:tcPr>
            <w:tcW w:w="2320" w:type="dxa"/>
            <w:tcBorders>
              <w:top w:val="single" w:sz="4" w:space="0" w:color="auto"/>
              <w:left w:val="nil"/>
              <w:bottom w:val="single" w:sz="4" w:space="0" w:color="auto"/>
              <w:right w:val="nil"/>
            </w:tcBorders>
            <w:shd w:val="clear" w:color="auto" w:fill="auto"/>
            <w:noWrap/>
            <w:vAlign w:val="bottom"/>
            <w:hideMark/>
          </w:tcPr>
          <w:p w:rsidR="00A26923" w:rsidRPr="00A26923" w:rsidRDefault="00A26923" w:rsidP="00A85692">
            <w:pPr>
              <w:tabs>
                <w:tab w:val="clear" w:pos="567"/>
              </w:tabs>
              <w:spacing w:before="60" w:after="6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Treatment</w:t>
            </w:r>
          </w:p>
        </w:tc>
        <w:tc>
          <w:tcPr>
            <w:tcW w:w="2260" w:type="dxa"/>
            <w:tcBorders>
              <w:top w:val="single" w:sz="4" w:space="0" w:color="auto"/>
              <w:left w:val="nil"/>
              <w:bottom w:val="single" w:sz="4" w:space="0" w:color="auto"/>
              <w:right w:val="nil"/>
            </w:tcBorders>
            <w:shd w:val="clear" w:color="auto" w:fill="auto"/>
            <w:noWrap/>
            <w:vAlign w:val="bottom"/>
            <w:hideMark/>
          </w:tcPr>
          <w:p w:rsidR="00A26923" w:rsidRPr="00A26923" w:rsidRDefault="00A26923" w:rsidP="00A85692">
            <w:pPr>
              <w:tabs>
                <w:tab w:val="clear" w:pos="567"/>
              </w:tabs>
              <w:spacing w:before="60" w:after="6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 xml:space="preserve">Population, 2016-17 </w:t>
            </w:r>
          </w:p>
        </w:tc>
      </w:tr>
      <w:tr w:rsidR="00A26923" w:rsidRPr="00A26923" w:rsidTr="00A85692">
        <w:trPr>
          <w:trHeight w:val="315"/>
        </w:trPr>
        <w:tc>
          <w:tcPr>
            <w:tcW w:w="900" w:type="dxa"/>
            <w:tcBorders>
              <w:top w:val="single" w:sz="4" w:space="0" w:color="auto"/>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NT</w:t>
            </w:r>
          </w:p>
        </w:tc>
        <w:tc>
          <w:tcPr>
            <w:tcW w:w="3380" w:type="dxa"/>
            <w:tcBorders>
              <w:top w:val="single" w:sz="4" w:space="0" w:color="auto"/>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Alice Springs</w:t>
            </w:r>
          </w:p>
        </w:tc>
        <w:tc>
          <w:tcPr>
            <w:tcW w:w="2320" w:type="dxa"/>
            <w:tcBorders>
              <w:top w:val="single" w:sz="4" w:space="0" w:color="auto"/>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Currently included</w:t>
            </w:r>
          </w:p>
        </w:tc>
        <w:tc>
          <w:tcPr>
            <w:tcW w:w="2260" w:type="dxa"/>
            <w:tcBorders>
              <w:top w:val="single" w:sz="4" w:space="0" w:color="auto"/>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 xml:space="preserve"> 26 038</w:t>
            </w:r>
          </w:p>
        </w:tc>
      </w:tr>
      <w:tr w:rsidR="00A26923" w:rsidRPr="00A26923" w:rsidTr="00A26923">
        <w:trPr>
          <w:trHeight w:val="315"/>
        </w:trPr>
        <w:tc>
          <w:tcPr>
            <w:tcW w:w="90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Tas</w:t>
            </w:r>
          </w:p>
        </w:tc>
        <w:tc>
          <w:tcPr>
            <w:tcW w:w="338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Burnie - Wynyard</w:t>
            </w:r>
          </w:p>
        </w:tc>
        <w:tc>
          <w:tcPr>
            <w:tcW w:w="232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Currently included</w:t>
            </w:r>
          </w:p>
        </w:tc>
        <w:tc>
          <w:tcPr>
            <w:tcW w:w="226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 xml:space="preserve"> 25 139</w:t>
            </w:r>
          </w:p>
        </w:tc>
      </w:tr>
      <w:tr w:rsidR="00A26923" w:rsidRPr="00A26923" w:rsidTr="00A26923">
        <w:trPr>
          <w:trHeight w:val="315"/>
        </w:trPr>
        <w:tc>
          <w:tcPr>
            <w:tcW w:w="90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Qld</w:t>
            </w:r>
          </w:p>
        </w:tc>
        <w:tc>
          <w:tcPr>
            <w:tcW w:w="338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Maryborough</w:t>
            </w:r>
          </w:p>
        </w:tc>
        <w:tc>
          <w:tcPr>
            <w:tcW w:w="232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Currently included</w:t>
            </w:r>
          </w:p>
        </w:tc>
        <w:tc>
          <w:tcPr>
            <w:tcW w:w="226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 xml:space="preserve"> 24 737</w:t>
            </w:r>
          </w:p>
        </w:tc>
      </w:tr>
      <w:tr w:rsidR="00A26923" w:rsidRPr="00A26923" w:rsidTr="00A26923">
        <w:trPr>
          <w:trHeight w:val="315"/>
        </w:trPr>
        <w:tc>
          <w:tcPr>
            <w:tcW w:w="90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NSW</w:t>
            </w:r>
          </w:p>
        </w:tc>
        <w:tc>
          <w:tcPr>
            <w:tcW w:w="338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Ballina</w:t>
            </w:r>
          </w:p>
        </w:tc>
        <w:tc>
          <w:tcPr>
            <w:tcW w:w="232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Currently included</w:t>
            </w:r>
          </w:p>
        </w:tc>
        <w:tc>
          <w:tcPr>
            <w:tcW w:w="226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 xml:space="preserve"> 24 679</w:t>
            </w:r>
          </w:p>
        </w:tc>
      </w:tr>
      <w:tr w:rsidR="00A26923" w:rsidRPr="00A26923" w:rsidTr="00A26923">
        <w:trPr>
          <w:trHeight w:val="315"/>
        </w:trPr>
        <w:tc>
          <w:tcPr>
            <w:tcW w:w="90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SA</w:t>
            </w:r>
          </w:p>
        </w:tc>
        <w:tc>
          <w:tcPr>
            <w:tcW w:w="338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Victor Harbor - Goolwa</w:t>
            </w:r>
          </w:p>
        </w:tc>
        <w:tc>
          <w:tcPr>
            <w:tcW w:w="232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Currently included</w:t>
            </w:r>
          </w:p>
        </w:tc>
        <w:tc>
          <w:tcPr>
            <w:tcW w:w="226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 xml:space="preserve"> 24 586</w:t>
            </w:r>
          </w:p>
        </w:tc>
      </w:tr>
      <w:tr w:rsidR="00A26923" w:rsidRPr="00A26923" w:rsidTr="00A26923">
        <w:trPr>
          <w:trHeight w:val="315"/>
        </w:trPr>
        <w:tc>
          <w:tcPr>
            <w:tcW w:w="90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NSW</w:t>
            </w:r>
          </w:p>
        </w:tc>
        <w:tc>
          <w:tcPr>
            <w:tcW w:w="338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Taree</w:t>
            </w:r>
          </w:p>
        </w:tc>
        <w:tc>
          <w:tcPr>
            <w:tcW w:w="232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Currently included</w:t>
            </w:r>
          </w:p>
        </w:tc>
        <w:tc>
          <w:tcPr>
            <w:tcW w:w="226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 xml:space="preserve"> 24 031</w:t>
            </w:r>
          </w:p>
        </w:tc>
      </w:tr>
      <w:tr w:rsidR="00A26923" w:rsidRPr="00A26923" w:rsidTr="00A26923">
        <w:trPr>
          <w:trHeight w:val="315"/>
        </w:trPr>
        <w:tc>
          <w:tcPr>
            <w:tcW w:w="90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NSW</w:t>
            </w:r>
          </w:p>
        </w:tc>
        <w:tc>
          <w:tcPr>
            <w:tcW w:w="338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Goulburn</w:t>
            </w:r>
          </w:p>
        </w:tc>
        <w:tc>
          <w:tcPr>
            <w:tcW w:w="232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Currently included</w:t>
            </w:r>
          </w:p>
        </w:tc>
        <w:tc>
          <w:tcPr>
            <w:tcW w:w="226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 xml:space="preserve"> 23 014</w:t>
            </w:r>
          </w:p>
        </w:tc>
      </w:tr>
      <w:tr w:rsidR="00A26923" w:rsidRPr="00A26923" w:rsidTr="00A26923">
        <w:trPr>
          <w:trHeight w:val="315"/>
        </w:trPr>
        <w:tc>
          <w:tcPr>
            <w:tcW w:w="90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SA</w:t>
            </w:r>
          </w:p>
        </w:tc>
        <w:tc>
          <w:tcPr>
            <w:tcW w:w="338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Whyalla</w:t>
            </w:r>
          </w:p>
        </w:tc>
        <w:tc>
          <w:tcPr>
            <w:tcW w:w="232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Currently included</w:t>
            </w:r>
          </w:p>
        </w:tc>
        <w:tc>
          <w:tcPr>
            <w:tcW w:w="226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 xml:space="preserve"> 22 475</w:t>
            </w:r>
          </w:p>
        </w:tc>
      </w:tr>
      <w:tr w:rsidR="00A26923" w:rsidRPr="00A26923" w:rsidTr="00A26923">
        <w:trPr>
          <w:trHeight w:val="315"/>
        </w:trPr>
        <w:tc>
          <w:tcPr>
            <w:tcW w:w="90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NSW</w:t>
            </w:r>
          </w:p>
        </w:tc>
        <w:tc>
          <w:tcPr>
            <w:tcW w:w="338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Morisset - Cooranbong</w:t>
            </w:r>
          </w:p>
        </w:tc>
        <w:tc>
          <w:tcPr>
            <w:tcW w:w="232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Currently included</w:t>
            </w:r>
          </w:p>
        </w:tc>
        <w:tc>
          <w:tcPr>
            <w:tcW w:w="226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 xml:space="preserve"> 22 169</w:t>
            </w:r>
          </w:p>
        </w:tc>
      </w:tr>
      <w:tr w:rsidR="00A26923" w:rsidRPr="00A26923" w:rsidTr="00A26923">
        <w:trPr>
          <w:trHeight w:val="315"/>
        </w:trPr>
        <w:tc>
          <w:tcPr>
            <w:tcW w:w="90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NSW</w:t>
            </w:r>
          </w:p>
        </w:tc>
        <w:tc>
          <w:tcPr>
            <w:tcW w:w="338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Armidale</w:t>
            </w:r>
          </w:p>
        </w:tc>
        <w:tc>
          <w:tcPr>
            <w:tcW w:w="232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Currently included</w:t>
            </w:r>
          </w:p>
        </w:tc>
        <w:tc>
          <w:tcPr>
            <w:tcW w:w="226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 xml:space="preserve"> 21 215</w:t>
            </w:r>
          </w:p>
        </w:tc>
      </w:tr>
      <w:tr w:rsidR="00A26923" w:rsidRPr="00A26923" w:rsidTr="00A26923">
        <w:trPr>
          <w:trHeight w:val="315"/>
        </w:trPr>
        <w:tc>
          <w:tcPr>
            <w:tcW w:w="90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NSW</w:t>
            </w:r>
          </w:p>
        </w:tc>
        <w:tc>
          <w:tcPr>
            <w:tcW w:w="338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Forster - Tuncurry</w:t>
            </w:r>
          </w:p>
        </w:tc>
        <w:tc>
          <w:tcPr>
            <w:tcW w:w="232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Currently included</w:t>
            </w:r>
          </w:p>
        </w:tc>
        <w:tc>
          <w:tcPr>
            <w:tcW w:w="226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 xml:space="preserve"> 21 021</w:t>
            </w:r>
          </w:p>
        </w:tc>
      </w:tr>
      <w:tr w:rsidR="00A26923" w:rsidRPr="00A26923" w:rsidTr="00A26923">
        <w:trPr>
          <w:trHeight w:val="315"/>
        </w:trPr>
        <w:tc>
          <w:tcPr>
            <w:tcW w:w="90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NSW</w:t>
            </w:r>
          </w:p>
        </w:tc>
        <w:tc>
          <w:tcPr>
            <w:tcW w:w="338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Griffith</w:t>
            </w:r>
          </w:p>
        </w:tc>
        <w:tc>
          <w:tcPr>
            <w:tcW w:w="232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Propose inclusion</w:t>
            </w:r>
          </w:p>
        </w:tc>
        <w:tc>
          <w:tcPr>
            <w:tcW w:w="226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 xml:space="preserve"> 19 620</w:t>
            </w:r>
          </w:p>
        </w:tc>
      </w:tr>
      <w:tr w:rsidR="00A26923" w:rsidRPr="00A26923" w:rsidTr="00A26923">
        <w:trPr>
          <w:trHeight w:val="315"/>
        </w:trPr>
        <w:tc>
          <w:tcPr>
            <w:tcW w:w="90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Qld</w:t>
            </w:r>
          </w:p>
        </w:tc>
        <w:tc>
          <w:tcPr>
            <w:tcW w:w="338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Mount Isa</w:t>
            </w:r>
          </w:p>
        </w:tc>
        <w:tc>
          <w:tcPr>
            <w:tcW w:w="232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Currently included (a)</w:t>
            </w:r>
          </w:p>
        </w:tc>
        <w:tc>
          <w:tcPr>
            <w:tcW w:w="226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 xml:space="preserve"> 19 136</w:t>
            </w:r>
          </w:p>
        </w:tc>
      </w:tr>
      <w:tr w:rsidR="00A26923" w:rsidRPr="00A26923" w:rsidTr="00A26923">
        <w:trPr>
          <w:trHeight w:val="315"/>
        </w:trPr>
        <w:tc>
          <w:tcPr>
            <w:tcW w:w="90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Vic</w:t>
            </w:r>
          </w:p>
        </w:tc>
        <w:tc>
          <w:tcPr>
            <w:tcW w:w="338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Wangaratta</w:t>
            </w:r>
          </w:p>
        </w:tc>
        <w:tc>
          <w:tcPr>
            <w:tcW w:w="232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Propose inclusion</w:t>
            </w:r>
          </w:p>
        </w:tc>
        <w:tc>
          <w:tcPr>
            <w:tcW w:w="226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 xml:space="preserve"> 18 942</w:t>
            </w:r>
          </w:p>
        </w:tc>
      </w:tr>
      <w:tr w:rsidR="00A26923" w:rsidRPr="00A26923" w:rsidTr="00A26923">
        <w:trPr>
          <w:trHeight w:val="315"/>
        </w:trPr>
        <w:tc>
          <w:tcPr>
            <w:tcW w:w="90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Vic</w:t>
            </w:r>
          </w:p>
        </w:tc>
        <w:tc>
          <w:tcPr>
            <w:tcW w:w="338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Bacchus Marsh</w:t>
            </w:r>
          </w:p>
        </w:tc>
        <w:tc>
          <w:tcPr>
            <w:tcW w:w="232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Propose inclusion</w:t>
            </w:r>
          </w:p>
        </w:tc>
        <w:tc>
          <w:tcPr>
            <w:tcW w:w="226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 xml:space="preserve"> 18 865</w:t>
            </w:r>
          </w:p>
        </w:tc>
      </w:tr>
      <w:tr w:rsidR="00A26923" w:rsidRPr="00A26923" w:rsidTr="00A26923">
        <w:trPr>
          <w:trHeight w:val="315"/>
        </w:trPr>
        <w:tc>
          <w:tcPr>
            <w:tcW w:w="90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Qld</w:t>
            </w:r>
          </w:p>
        </w:tc>
        <w:tc>
          <w:tcPr>
            <w:tcW w:w="338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Gympie</w:t>
            </w:r>
          </w:p>
        </w:tc>
        <w:tc>
          <w:tcPr>
            <w:tcW w:w="232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Propose inclusion</w:t>
            </w:r>
          </w:p>
        </w:tc>
        <w:tc>
          <w:tcPr>
            <w:tcW w:w="226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 xml:space="preserve"> 18 700</w:t>
            </w:r>
          </w:p>
        </w:tc>
      </w:tr>
      <w:tr w:rsidR="00A26923" w:rsidRPr="00A26923" w:rsidTr="00A26923">
        <w:trPr>
          <w:trHeight w:val="315"/>
        </w:trPr>
        <w:tc>
          <w:tcPr>
            <w:tcW w:w="90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NSW</w:t>
            </w:r>
          </w:p>
        </w:tc>
        <w:tc>
          <w:tcPr>
            <w:tcW w:w="338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Grafton</w:t>
            </w:r>
          </w:p>
        </w:tc>
        <w:tc>
          <w:tcPr>
            <w:tcW w:w="232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Propose inclusion</w:t>
            </w:r>
          </w:p>
        </w:tc>
        <w:tc>
          <w:tcPr>
            <w:tcW w:w="226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 xml:space="preserve"> 18 595</w:t>
            </w:r>
          </w:p>
        </w:tc>
      </w:tr>
      <w:tr w:rsidR="00A26923" w:rsidRPr="00A26923" w:rsidTr="00A26923">
        <w:trPr>
          <w:trHeight w:val="315"/>
        </w:trPr>
        <w:tc>
          <w:tcPr>
            <w:tcW w:w="90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NSW</w:t>
            </w:r>
          </w:p>
        </w:tc>
        <w:tc>
          <w:tcPr>
            <w:tcW w:w="338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Broken Hill</w:t>
            </w:r>
          </w:p>
        </w:tc>
        <w:tc>
          <w:tcPr>
            <w:tcW w:w="232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Propose inclusion</w:t>
            </w:r>
          </w:p>
        </w:tc>
        <w:tc>
          <w:tcPr>
            <w:tcW w:w="226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 xml:space="preserve"> 18 040</w:t>
            </w:r>
          </w:p>
        </w:tc>
      </w:tr>
      <w:tr w:rsidR="00A26923" w:rsidRPr="00A26923" w:rsidTr="00A26923">
        <w:trPr>
          <w:trHeight w:val="315"/>
        </w:trPr>
        <w:tc>
          <w:tcPr>
            <w:tcW w:w="90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Qld</w:t>
            </w:r>
          </w:p>
        </w:tc>
        <w:tc>
          <w:tcPr>
            <w:tcW w:w="338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Yeppoon</w:t>
            </w:r>
          </w:p>
        </w:tc>
        <w:tc>
          <w:tcPr>
            <w:tcW w:w="232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Propose inclusion</w:t>
            </w:r>
          </w:p>
        </w:tc>
        <w:tc>
          <w:tcPr>
            <w:tcW w:w="226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 xml:space="preserve"> 17 952</w:t>
            </w:r>
          </w:p>
        </w:tc>
      </w:tr>
      <w:tr w:rsidR="00A26923" w:rsidRPr="00A26923" w:rsidTr="00A26923">
        <w:trPr>
          <w:trHeight w:val="315"/>
        </w:trPr>
        <w:tc>
          <w:tcPr>
            <w:tcW w:w="90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NSW</w:t>
            </w:r>
          </w:p>
        </w:tc>
        <w:tc>
          <w:tcPr>
            <w:tcW w:w="338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St Georges Basin - Sanctuary Point</w:t>
            </w:r>
          </w:p>
        </w:tc>
        <w:tc>
          <w:tcPr>
            <w:tcW w:w="232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Propose inclusion</w:t>
            </w:r>
          </w:p>
        </w:tc>
        <w:tc>
          <w:tcPr>
            <w:tcW w:w="226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 xml:space="preserve"> 17 919</w:t>
            </w:r>
          </w:p>
        </w:tc>
      </w:tr>
      <w:tr w:rsidR="00A26923" w:rsidRPr="00A26923" w:rsidTr="00A26923">
        <w:trPr>
          <w:trHeight w:val="315"/>
        </w:trPr>
        <w:tc>
          <w:tcPr>
            <w:tcW w:w="90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SA</w:t>
            </w:r>
          </w:p>
        </w:tc>
        <w:tc>
          <w:tcPr>
            <w:tcW w:w="338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Murray Bridge</w:t>
            </w:r>
          </w:p>
        </w:tc>
        <w:tc>
          <w:tcPr>
            <w:tcW w:w="232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Propose inclusion</w:t>
            </w:r>
          </w:p>
        </w:tc>
        <w:tc>
          <w:tcPr>
            <w:tcW w:w="226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 xml:space="preserve"> 17 376</w:t>
            </w:r>
          </w:p>
        </w:tc>
      </w:tr>
      <w:tr w:rsidR="00A26923" w:rsidRPr="00A26923" w:rsidTr="00A26923">
        <w:trPr>
          <w:trHeight w:val="315"/>
        </w:trPr>
        <w:tc>
          <w:tcPr>
            <w:tcW w:w="90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Vic</w:t>
            </w:r>
          </w:p>
        </w:tc>
        <w:tc>
          <w:tcPr>
            <w:tcW w:w="338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Gisborne - Macedon</w:t>
            </w:r>
          </w:p>
        </w:tc>
        <w:tc>
          <w:tcPr>
            <w:tcW w:w="232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Propose inclusion</w:t>
            </w:r>
          </w:p>
        </w:tc>
        <w:tc>
          <w:tcPr>
            <w:tcW w:w="226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 xml:space="preserve"> 16 627</w:t>
            </w:r>
          </w:p>
        </w:tc>
      </w:tr>
      <w:tr w:rsidR="00A26923" w:rsidRPr="00A26923" w:rsidTr="00A26923">
        <w:trPr>
          <w:trHeight w:val="315"/>
        </w:trPr>
        <w:tc>
          <w:tcPr>
            <w:tcW w:w="90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WA</w:t>
            </w:r>
          </w:p>
        </w:tc>
        <w:tc>
          <w:tcPr>
            <w:tcW w:w="338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Karratha</w:t>
            </w:r>
          </w:p>
        </w:tc>
        <w:tc>
          <w:tcPr>
            <w:tcW w:w="232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Propose inclusion</w:t>
            </w:r>
          </w:p>
        </w:tc>
        <w:tc>
          <w:tcPr>
            <w:tcW w:w="226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 xml:space="preserve"> 16 390</w:t>
            </w:r>
          </w:p>
        </w:tc>
      </w:tr>
      <w:tr w:rsidR="00A26923" w:rsidRPr="00A26923" w:rsidTr="00A26923">
        <w:trPr>
          <w:trHeight w:val="315"/>
        </w:trPr>
        <w:tc>
          <w:tcPr>
            <w:tcW w:w="90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Vic</w:t>
            </w:r>
          </w:p>
        </w:tc>
        <w:tc>
          <w:tcPr>
            <w:tcW w:w="338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Horsham</w:t>
            </w:r>
          </w:p>
        </w:tc>
        <w:tc>
          <w:tcPr>
            <w:tcW w:w="232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Propose inclusion</w:t>
            </w:r>
          </w:p>
        </w:tc>
        <w:tc>
          <w:tcPr>
            <w:tcW w:w="226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 xml:space="preserve"> 15 927</w:t>
            </w:r>
          </w:p>
        </w:tc>
      </w:tr>
      <w:tr w:rsidR="00A26923" w:rsidRPr="00A26923" w:rsidTr="00A26923">
        <w:trPr>
          <w:trHeight w:val="315"/>
        </w:trPr>
        <w:tc>
          <w:tcPr>
            <w:tcW w:w="90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NSW</w:t>
            </w:r>
          </w:p>
        </w:tc>
        <w:tc>
          <w:tcPr>
            <w:tcW w:w="338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Batemans Bay</w:t>
            </w:r>
          </w:p>
        </w:tc>
        <w:tc>
          <w:tcPr>
            <w:tcW w:w="232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Propose inclusion</w:t>
            </w:r>
          </w:p>
        </w:tc>
        <w:tc>
          <w:tcPr>
            <w:tcW w:w="226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 xml:space="preserve"> 15 862</w:t>
            </w:r>
          </w:p>
        </w:tc>
      </w:tr>
      <w:tr w:rsidR="00A26923" w:rsidRPr="00A26923" w:rsidTr="00A26923">
        <w:trPr>
          <w:trHeight w:val="315"/>
        </w:trPr>
        <w:tc>
          <w:tcPr>
            <w:tcW w:w="90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NSW</w:t>
            </w:r>
          </w:p>
        </w:tc>
        <w:tc>
          <w:tcPr>
            <w:tcW w:w="338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Ulladulla</w:t>
            </w:r>
          </w:p>
        </w:tc>
        <w:tc>
          <w:tcPr>
            <w:tcW w:w="232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Propose inclusion</w:t>
            </w:r>
          </w:p>
        </w:tc>
        <w:tc>
          <w:tcPr>
            <w:tcW w:w="226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 xml:space="preserve"> 15 417</w:t>
            </w:r>
          </w:p>
        </w:tc>
      </w:tr>
      <w:tr w:rsidR="00A26923" w:rsidRPr="00A26923" w:rsidTr="00A26923">
        <w:trPr>
          <w:trHeight w:val="315"/>
        </w:trPr>
        <w:tc>
          <w:tcPr>
            <w:tcW w:w="90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Vic</w:t>
            </w:r>
          </w:p>
        </w:tc>
        <w:tc>
          <w:tcPr>
            <w:tcW w:w="338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Moe - Newborough</w:t>
            </w:r>
          </w:p>
        </w:tc>
        <w:tc>
          <w:tcPr>
            <w:tcW w:w="232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Propose inclusion</w:t>
            </w:r>
          </w:p>
        </w:tc>
        <w:tc>
          <w:tcPr>
            <w:tcW w:w="226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 xml:space="preserve"> 15 391</w:t>
            </w:r>
          </w:p>
        </w:tc>
      </w:tr>
      <w:tr w:rsidR="00A26923" w:rsidRPr="00A26923" w:rsidTr="00A26923">
        <w:trPr>
          <w:trHeight w:val="315"/>
        </w:trPr>
        <w:tc>
          <w:tcPr>
            <w:tcW w:w="90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SA</w:t>
            </w:r>
          </w:p>
        </w:tc>
        <w:tc>
          <w:tcPr>
            <w:tcW w:w="338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Port Lincoln</w:t>
            </w:r>
          </w:p>
        </w:tc>
        <w:tc>
          <w:tcPr>
            <w:tcW w:w="232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Propose inclusion</w:t>
            </w:r>
          </w:p>
        </w:tc>
        <w:tc>
          <w:tcPr>
            <w:tcW w:w="226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 xml:space="preserve"> 14 961</w:t>
            </w:r>
          </w:p>
        </w:tc>
      </w:tr>
      <w:tr w:rsidR="00A26923" w:rsidRPr="00A26923" w:rsidTr="00A26923">
        <w:trPr>
          <w:trHeight w:val="315"/>
        </w:trPr>
        <w:tc>
          <w:tcPr>
            <w:tcW w:w="90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Vic</w:t>
            </w:r>
          </w:p>
        </w:tc>
        <w:tc>
          <w:tcPr>
            <w:tcW w:w="338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Sale</w:t>
            </w:r>
          </w:p>
        </w:tc>
        <w:tc>
          <w:tcPr>
            <w:tcW w:w="232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Propose inclusion</w:t>
            </w:r>
          </w:p>
        </w:tc>
        <w:tc>
          <w:tcPr>
            <w:tcW w:w="226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 xml:space="preserve"> 14 765</w:t>
            </w:r>
          </w:p>
        </w:tc>
      </w:tr>
      <w:tr w:rsidR="00A26923" w:rsidRPr="00A26923" w:rsidTr="00A26923">
        <w:trPr>
          <w:trHeight w:val="315"/>
        </w:trPr>
        <w:tc>
          <w:tcPr>
            <w:tcW w:w="90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WA</w:t>
            </w:r>
          </w:p>
        </w:tc>
        <w:tc>
          <w:tcPr>
            <w:tcW w:w="338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Broome</w:t>
            </w:r>
          </w:p>
        </w:tc>
        <w:tc>
          <w:tcPr>
            <w:tcW w:w="232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Propose inclusion</w:t>
            </w:r>
          </w:p>
        </w:tc>
        <w:tc>
          <w:tcPr>
            <w:tcW w:w="226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 xml:space="preserve"> 14 568</w:t>
            </w:r>
          </w:p>
        </w:tc>
      </w:tr>
      <w:tr w:rsidR="00A26923" w:rsidRPr="00A26923" w:rsidTr="00A26923">
        <w:trPr>
          <w:trHeight w:val="315"/>
        </w:trPr>
        <w:tc>
          <w:tcPr>
            <w:tcW w:w="90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NSW</w:t>
            </w:r>
          </w:p>
        </w:tc>
        <w:tc>
          <w:tcPr>
            <w:tcW w:w="338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Camden Haven</w:t>
            </w:r>
          </w:p>
        </w:tc>
        <w:tc>
          <w:tcPr>
            <w:tcW w:w="232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Propose inclusion</w:t>
            </w:r>
          </w:p>
        </w:tc>
        <w:tc>
          <w:tcPr>
            <w:tcW w:w="226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 xml:space="preserve"> 14 534</w:t>
            </w:r>
          </w:p>
        </w:tc>
      </w:tr>
      <w:tr w:rsidR="00A26923" w:rsidRPr="00A26923" w:rsidTr="00A26923">
        <w:trPr>
          <w:trHeight w:val="315"/>
        </w:trPr>
        <w:tc>
          <w:tcPr>
            <w:tcW w:w="90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WA</w:t>
            </w:r>
          </w:p>
        </w:tc>
        <w:tc>
          <w:tcPr>
            <w:tcW w:w="338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Port Hedland</w:t>
            </w:r>
          </w:p>
        </w:tc>
        <w:tc>
          <w:tcPr>
            <w:tcW w:w="232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Propose inclusion</w:t>
            </w:r>
          </w:p>
        </w:tc>
        <w:tc>
          <w:tcPr>
            <w:tcW w:w="226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 xml:space="preserve"> 14 445</w:t>
            </w:r>
          </w:p>
        </w:tc>
      </w:tr>
      <w:tr w:rsidR="00A26923" w:rsidRPr="00A26923" w:rsidTr="00A26923">
        <w:trPr>
          <w:trHeight w:val="315"/>
        </w:trPr>
        <w:tc>
          <w:tcPr>
            <w:tcW w:w="90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Qld</w:t>
            </w:r>
          </w:p>
        </w:tc>
        <w:tc>
          <w:tcPr>
            <w:tcW w:w="338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Warwick</w:t>
            </w:r>
          </w:p>
        </w:tc>
        <w:tc>
          <w:tcPr>
            <w:tcW w:w="232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Propose inclusion</w:t>
            </w:r>
          </w:p>
        </w:tc>
        <w:tc>
          <w:tcPr>
            <w:tcW w:w="226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 xml:space="preserve"> 14 187</w:t>
            </w:r>
          </w:p>
        </w:tc>
      </w:tr>
      <w:tr w:rsidR="00A26923" w:rsidRPr="00A26923" w:rsidTr="00A85692">
        <w:trPr>
          <w:trHeight w:val="315"/>
        </w:trPr>
        <w:tc>
          <w:tcPr>
            <w:tcW w:w="900" w:type="dxa"/>
            <w:tcBorders>
              <w:top w:val="nil"/>
              <w:left w:val="nil"/>
              <w:right w:val="nil"/>
            </w:tcBorders>
            <w:shd w:val="clear" w:color="auto" w:fill="auto"/>
            <w:noWrap/>
            <w:vAlign w:val="bottom"/>
            <w:hideMark/>
          </w:tcPr>
          <w:p w:rsidR="00A26923" w:rsidRPr="00A26923" w:rsidRDefault="00A26923" w:rsidP="00A26923">
            <w:pPr>
              <w:tabs>
                <w:tab w:val="clear" w:pos="567"/>
              </w:tabs>
              <w:spacing w:after="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SA</w:t>
            </w:r>
          </w:p>
        </w:tc>
        <w:tc>
          <w:tcPr>
            <w:tcW w:w="3380" w:type="dxa"/>
            <w:tcBorders>
              <w:top w:val="nil"/>
              <w:left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Port Pirie</w:t>
            </w:r>
          </w:p>
        </w:tc>
        <w:tc>
          <w:tcPr>
            <w:tcW w:w="2320" w:type="dxa"/>
            <w:tcBorders>
              <w:top w:val="nil"/>
              <w:left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Propose inclusion</w:t>
            </w:r>
          </w:p>
        </w:tc>
        <w:tc>
          <w:tcPr>
            <w:tcW w:w="2260" w:type="dxa"/>
            <w:tcBorders>
              <w:top w:val="nil"/>
              <w:left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 xml:space="preserve"> 14 125</w:t>
            </w:r>
          </w:p>
        </w:tc>
      </w:tr>
      <w:tr w:rsidR="00A26923" w:rsidRPr="00A26923" w:rsidTr="00A85692">
        <w:trPr>
          <w:trHeight w:val="315"/>
        </w:trPr>
        <w:tc>
          <w:tcPr>
            <w:tcW w:w="900" w:type="dxa"/>
            <w:tcBorders>
              <w:top w:val="nil"/>
              <w:left w:val="nil"/>
              <w:bottom w:val="single" w:sz="4" w:space="0" w:color="auto"/>
              <w:right w:val="nil"/>
            </w:tcBorders>
            <w:shd w:val="clear" w:color="auto" w:fill="auto"/>
            <w:noWrap/>
            <w:vAlign w:val="bottom"/>
            <w:hideMark/>
          </w:tcPr>
          <w:p w:rsidR="00A26923" w:rsidRPr="00A26923" w:rsidRDefault="00A26923" w:rsidP="00A26923">
            <w:pPr>
              <w:tabs>
                <w:tab w:val="clear" w:pos="567"/>
              </w:tabs>
              <w:spacing w:after="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Qld</w:t>
            </w:r>
          </w:p>
        </w:tc>
        <w:tc>
          <w:tcPr>
            <w:tcW w:w="3380" w:type="dxa"/>
            <w:tcBorders>
              <w:top w:val="nil"/>
              <w:left w:val="nil"/>
              <w:bottom w:val="single" w:sz="4" w:space="0" w:color="auto"/>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Emerald</w:t>
            </w:r>
          </w:p>
        </w:tc>
        <w:tc>
          <w:tcPr>
            <w:tcW w:w="2320" w:type="dxa"/>
            <w:tcBorders>
              <w:top w:val="nil"/>
              <w:left w:val="nil"/>
              <w:bottom w:val="single" w:sz="4" w:space="0" w:color="auto"/>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Propose inclusion</w:t>
            </w:r>
          </w:p>
        </w:tc>
        <w:tc>
          <w:tcPr>
            <w:tcW w:w="2260" w:type="dxa"/>
            <w:tcBorders>
              <w:top w:val="nil"/>
              <w:left w:val="nil"/>
              <w:bottom w:val="single" w:sz="4" w:space="0" w:color="auto"/>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 xml:space="preserve"> 14 083</w:t>
            </w:r>
          </w:p>
        </w:tc>
      </w:tr>
    </w:tbl>
    <w:p w:rsidR="009D60F6" w:rsidRPr="009D60F6" w:rsidRDefault="009D60F6" w:rsidP="009D60F6">
      <w:pPr>
        <w:rPr>
          <w:szCs w:val="20"/>
        </w:rPr>
      </w:pPr>
      <w:r>
        <w:br w:type="page"/>
      </w:r>
    </w:p>
    <w:p w:rsidR="00054EA0" w:rsidRDefault="00054EA0" w:rsidP="00054EA0">
      <w:pPr>
        <w:pStyle w:val="Caption"/>
      </w:pPr>
      <w:r>
        <w:lastRenderedPageBreak/>
        <w:t xml:space="preserve">Table </w:t>
      </w:r>
      <w:r w:rsidR="00E86C4C">
        <w:t>A-</w:t>
      </w:r>
      <w:fldSimple w:instr=" SEQ Table \* ARABIC  \r 1 ">
        <w:r w:rsidR="000819F3">
          <w:rPr>
            <w:noProof/>
          </w:rPr>
          <w:t>1</w:t>
        </w:r>
      </w:fldSimple>
      <w:r w:rsidR="001854B2">
        <w:tab/>
      </w:r>
      <w:r w:rsidRPr="00D71313">
        <w:t>Proposed SUAs for inclusion in urban transport assessments (continued)</w:t>
      </w:r>
    </w:p>
    <w:tbl>
      <w:tblPr>
        <w:tblW w:w="8860" w:type="dxa"/>
        <w:tblInd w:w="108" w:type="dxa"/>
        <w:tblLook w:val="04A0" w:firstRow="1" w:lastRow="0" w:firstColumn="1" w:lastColumn="0" w:noHBand="0" w:noVBand="1"/>
      </w:tblPr>
      <w:tblGrid>
        <w:gridCol w:w="900"/>
        <w:gridCol w:w="3380"/>
        <w:gridCol w:w="2320"/>
        <w:gridCol w:w="2260"/>
      </w:tblGrid>
      <w:tr w:rsidR="00A26923" w:rsidRPr="00A26923" w:rsidTr="001854B2">
        <w:trPr>
          <w:trHeight w:val="315"/>
        </w:trPr>
        <w:tc>
          <w:tcPr>
            <w:tcW w:w="900" w:type="dxa"/>
            <w:tcBorders>
              <w:top w:val="single" w:sz="4" w:space="0" w:color="auto"/>
              <w:left w:val="nil"/>
              <w:bottom w:val="single" w:sz="4" w:space="0" w:color="auto"/>
              <w:right w:val="nil"/>
            </w:tcBorders>
            <w:shd w:val="clear" w:color="auto" w:fill="auto"/>
            <w:noWrap/>
            <w:vAlign w:val="bottom"/>
            <w:hideMark/>
          </w:tcPr>
          <w:p w:rsidR="00A26923" w:rsidRPr="00A26923" w:rsidRDefault="00A26923" w:rsidP="001854B2">
            <w:pPr>
              <w:tabs>
                <w:tab w:val="clear" w:pos="567"/>
              </w:tabs>
              <w:spacing w:before="60" w:after="6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State</w:t>
            </w:r>
          </w:p>
        </w:tc>
        <w:tc>
          <w:tcPr>
            <w:tcW w:w="3380" w:type="dxa"/>
            <w:tcBorders>
              <w:top w:val="single" w:sz="4" w:space="0" w:color="auto"/>
              <w:left w:val="nil"/>
              <w:bottom w:val="single" w:sz="4" w:space="0" w:color="auto"/>
              <w:right w:val="nil"/>
            </w:tcBorders>
            <w:shd w:val="clear" w:color="auto" w:fill="auto"/>
            <w:noWrap/>
            <w:vAlign w:val="bottom"/>
            <w:hideMark/>
          </w:tcPr>
          <w:p w:rsidR="00A26923" w:rsidRPr="00A26923" w:rsidRDefault="00A26923" w:rsidP="001854B2">
            <w:pPr>
              <w:tabs>
                <w:tab w:val="clear" w:pos="567"/>
              </w:tabs>
              <w:spacing w:before="60" w:after="6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SUA</w:t>
            </w:r>
          </w:p>
        </w:tc>
        <w:tc>
          <w:tcPr>
            <w:tcW w:w="2320" w:type="dxa"/>
            <w:tcBorders>
              <w:top w:val="single" w:sz="4" w:space="0" w:color="auto"/>
              <w:left w:val="nil"/>
              <w:bottom w:val="single" w:sz="4" w:space="0" w:color="auto"/>
              <w:right w:val="nil"/>
            </w:tcBorders>
            <w:shd w:val="clear" w:color="auto" w:fill="auto"/>
            <w:noWrap/>
            <w:vAlign w:val="bottom"/>
            <w:hideMark/>
          </w:tcPr>
          <w:p w:rsidR="00A26923" w:rsidRPr="00A26923" w:rsidRDefault="00A26923" w:rsidP="001854B2">
            <w:pPr>
              <w:tabs>
                <w:tab w:val="clear" w:pos="567"/>
              </w:tabs>
              <w:spacing w:before="60" w:after="6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Treatment</w:t>
            </w:r>
          </w:p>
        </w:tc>
        <w:tc>
          <w:tcPr>
            <w:tcW w:w="2260" w:type="dxa"/>
            <w:tcBorders>
              <w:top w:val="single" w:sz="4" w:space="0" w:color="auto"/>
              <w:left w:val="nil"/>
              <w:bottom w:val="single" w:sz="4" w:space="0" w:color="auto"/>
              <w:right w:val="nil"/>
            </w:tcBorders>
            <w:shd w:val="clear" w:color="auto" w:fill="auto"/>
            <w:noWrap/>
            <w:vAlign w:val="bottom"/>
            <w:hideMark/>
          </w:tcPr>
          <w:p w:rsidR="00A26923" w:rsidRPr="00A26923" w:rsidRDefault="00A26923" w:rsidP="001854B2">
            <w:pPr>
              <w:tabs>
                <w:tab w:val="clear" w:pos="567"/>
              </w:tabs>
              <w:spacing w:before="60" w:after="6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 xml:space="preserve">Population, 2016-17 </w:t>
            </w:r>
          </w:p>
        </w:tc>
      </w:tr>
      <w:tr w:rsidR="00A26923" w:rsidRPr="00A26923" w:rsidTr="001854B2">
        <w:trPr>
          <w:trHeight w:val="315"/>
        </w:trPr>
        <w:tc>
          <w:tcPr>
            <w:tcW w:w="900" w:type="dxa"/>
            <w:tcBorders>
              <w:top w:val="single" w:sz="4" w:space="0" w:color="auto"/>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NSW</w:t>
            </w:r>
          </w:p>
        </w:tc>
        <w:tc>
          <w:tcPr>
            <w:tcW w:w="3380" w:type="dxa"/>
            <w:tcBorders>
              <w:top w:val="single" w:sz="4" w:space="0" w:color="auto"/>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Singleton</w:t>
            </w:r>
          </w:p>
        </w:tc>
        <w:tc>
          <w:tcPr>
            <w:tcW w:w="2320" w:type="dxa"/>
            <w:tcBorders>
              <w:top w:val="single" w:sz="4" w:space="0" w:color="auto"/>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Propose inclusion</w:t>
            </w:r>
          </w:p>
        </w:tc>
        <w:tc>
          <w:tcPr>
            <w:tcW w:w="2260" w:type="dxa"/>
            <w:tcBorders>
              <w:top w:val="single" w:sz="4" w:space="0" w:color="auto"/>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 xml:space="preserve"> 13 673</w:t>
            </w:r>
          </w:p>
        </w:tc>
      </w:tr>
      <w:tr w:rsidR="00A26923" w:rsidRPr="00A26923" w:rsidTr="00A26923">
        <w:trPr>
          <w:trHeight w:val="315"/>
        </w:trPr>
        <w:tc>
          <w:tcPr>
            <w:tcW w:w="90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SA</w:t>
            </w:r>
          </w:p>
        </w:tc>
        <w:tc>
          <w:tcPr>
            <w:tcW w:w="338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Port Augusta</w:t>
            </w:r>
          </w:p>
        </w:tc>
        <w:tc>
          <w:tcPr>
            <w:tcW w:w="232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Propose inclusion</w:t>
            </w:r>
          </w:p>
        </w:tc>
        <w:tc>
          <w:tcPr>
            <w:tcW w:w="226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 xml:space="preserve"> 13 465</w:t>
            </w:r>
          </w:p>
        </w:tc>
      </w:tr>
      <w:tr w:rsidR="00A26923" w:rsidRPr="00A26923" w:rsidTr="00A26923">
        <w:trPr>
          <w:trHeight w:val="315"/>
        </w:trPr>
        <w:tc>
          <w:tcPr>
            <w:tcW w:w="90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Vic</w:t>
            </w:r>
          </w:p>
        </w:tc>
        <w:tc>
          <w:tcPr>
            <w:tcW w:w="338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Bairnsdale</w:t>
            </w:r>
          </w:p>
        </w:tc>
        <w:tc>
          <w:tcPr>
            <w:tcW w:w="232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Propose inclusion</w:t>
            </w:r>
          </w:p>
        </w:tc>
        <w:tc>
          <w:tcPr>
            <w:tcW w:w="226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 xml:space="preserve"> 13 240</w:t>
            </w:r>
          </w:p>
        </w:tc>
      </w:tr>
      <w:tr w:rsidR="00A26923" w:rsidRPr="00A26923" w:rsidTr="00A26923">
        <w:trPr>
          <w:trHeight w:val="315"/>
        </w:trPr>
        <w:tc>
          <w:tcPr>
            <w:tcW w:w="90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Vic</w:t>
            </w:r>
          </w:p>
        </w:tc>
        <w:tc>
          <w:tcPr>
            <w:tcW w:w="338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Echuca - Moama</w:t>
            </w:r>
          </w:p>
        </w:tc>
        <w:tc>
          <w:tcPr>
            <w:tcW w:w="232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Propose inclusion</w:t>
            </w:r>
          </w:p>
        </w:tc>
        <w:tc>
          <w:tcPr>
            <w:tcW w:w="226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 xml:space="preserve"> 13 140</w:t>
            </w:r>
          </w:p>
        </w:tc>
      </w:tr>
      <w:tr w:rsidR="00A26923" w:rsidRPr="00A26923" w:rsidTr="00A26923">
        <w:trPr>
          <w:trHeight w:val="315"/>
        </w:trPr>
        <w:tc>
          <w:tcPr>
            <w:tcW w:w="90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Tas</w:t>
            </w:r>
          </w:p>
        </w:tc>
        <w:tc>
          <w:tcPr>
            <w:tcW w:w="338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Ulverstone</w:t>
            </w:r>
          </w:p>
        </w:tc>
        <w:tc>
          <w:tcPr>
            <w:tcW w:w="232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Propose inclusion</w:t>
            </w:r>
          </w:p>
        </w:tc>
        <w:tc>
          <w:tcPr>
            <w:tcW w:w="226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 xml:space="preserve"> 12 938</w:t>
            </w:r>
          </w:p>
        </w:tc>
      </w:tr>
      <w:tr w:rsidR="00A26923" w:rsidRPr="00A26923" w:rsidTr="00A26923">
        <w:trPr>
          <w:trHeight w:val="315"/>
        </w:trPr>
        <w:tc>
          <w:tcPr>
            <w:tcW w:w="90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NSW</w:t>
            </w:r>
          </w:p>
        </w:tc>
        <w:tc>
          <w:tcPr>
            <w:tcW w:w="338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Lithgow</w:t>
            </w:r>
          </w:p>
        </w:tc>
        <w:tc>
          <w:tcPr>
            <w:tcW w:w="232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Propose inclusion</w:t>
            </w:r>
          </w:p>
        </w:tc>
        <w:tc>
          <w:tcPr>
            <w:tcW w:w="226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 xml:space="preserve"> 12 184</w:t>
            </w:r>
          </w:p>
        </w:tc>
      </w:tr>
      <w:tr w:rsidR="00A26923" w:rsidRPr="00A26923" w:rsidTr="00A26923">
        <w:trPr>
          <w:trHeight w:val="315"/>
        </w:trPr>
        <w:tc>
          <w:tcPr>
            <w:tcW w:w="90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Vic</w:t>
            </w:r>
          </w:p>
        </w:tc>
        <w:tc>
          <w:tcPr>
            <w:tcW w:w="338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Colac</w:t>
            </w:r>
          </w:p>
        </w:tc>
        <w:tc>
          <w:tcPr>
            <w:tcW w:w="232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Propose inclusion</w:t>
            </w:r>
          </w:p>
        </w:tc>
        <w:tc>
          <w:tcPr>
            <w:tcW w:w="226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 xml:space="preserve"> 12 172</w:t>
            </w:r>
          </w:p>
        </w:tc>
      </w:tr>
      <w:tr w:rsidR="00A26923" w:rsidRPr="00A26923" w:rsidTr="00A26923">
        <w:trPr>
          <w:trHeight w:val="315"/>
        </w:trPr>
        <w:tc>
          <w:tcPr>
            <w:tcW w:w="90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NSW</w:t>
            </w:r>
          </w:p>
        </w:tc>
        <w:tc>
          <w:tcPr>
            <w:tcW w:w="338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Kempsey</w:t>
            </w:r>
          </w:p>
        </w:tc>
        <w:tc>
          <w:tcPr>
            <w:tcW w:w="232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Propose inclusion (b)</w:t>
            </w:r>
          </w:p>
        </w:tc>
        <w:tc>
          <w:tcPr>
            <w:tcW w:w="226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 xml:space="preserve"> 12 120</w:t>
            </w:r>
          </w:p>
        </w:tc>
      </w:tr>
      <w:tr w:rsidR="00A26923" w:rsidRPr="00A26923" w:rsidTr="00A26923">
        <w:trPr>
          <w:trHeight w:val="315"/>
        </w:trPr>
        <w:tc>
          <w:tcPr>
            <w:tcW w:w="90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NSW</w:t>
            </w:r>
          </w:p>
        </w:tc>
        <w:tc>
          <w:tcPr>
            <w:tcW w:w="338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Mudgee</w:t>
            </w:r>
          </w:p>
        </w:tc>
        <w:tc>
          <w:tcPr>
            <w:tcW w:w="232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Propose inclusion (b)</w:t>
            </w:r>
          </w:p>
        </w:tc>
        <w:tc>
          <w:tcPr>
            <w:tcW w:w="226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 xml:space="preserve"> 11 902</w:t>
            </w:r>
          </w:p>
        </w:tc>
      </w:tr>
      <w:tr w:rsidR="00A26923" w:rsidRPr="00A26923" w:rsidTr="00A26923">
        <w:trPr>
          <w:trHeight w:val="315"/>
        </w:trPr>
        <w:tc>
          <w:tcPr>
            <w:tcW w:w="90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WA</w:t>
            </w:r>
          </w:p>
        </w:tc>
        <w:tc>
          <w:tcPr>
            <w:tcW w:w="338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Yanchep</w:t>
            </w:r>
          </w:p>
        </w:tc>
        <w:tc>
          <w:tcPr>
            <w:tcW w:w="232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Propose inclusion (b)</w:t>
            </w:r>
          </w:p>
        </w:tc>
        <w:tc>
          <w:tcPr>
            <w:tcW w:w="226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 xml:space="preserve"> 11 526</w:t>
            </w:r>
          </w:p>
        </w:tc>
      </w:tr>
      <w:tr w:rsidR="00A26923" w:rsidRPr="00A26923" w:rsidTr="00A26923">
        <w:trPr>
          <w:trHeight w:val="315"/>
        </w:trPr>
        <w:tc>
          <w:tcPr>
            <w:tcW w:w="90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Vic</w:t>
            </w:r>
          </w:p>
        </w:tc>
        <w:tc>
          <w:tcPr>
            <w:tcW w:w="338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Swan Hill</w:t>
            </w:r>
          </w:p>
        </w:tc>
        <w:tc>
          <w:tcPr>
            <w:tcW w:w="232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Propose inclusion (b)</w:t>
            </w:r>
          </w:p>
        </w:tc>
        <w:tc>
          <w:tcPr>
            <w:tcW w:w="226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 xml:space="preserve"> 10 848</w:t>
            </w:r>
          </w:p>
        </w:tc>
      </w:tr>
      <w:tr w:rsidR="00A26923" w:rsidRPr="00A26923" w:rsidTr="00A26923">
        <w:trPr>
          <w:trHeight w:val="315"/>
        </w:trPr>
        <w:tc>
          <w:tcPr>
            <w:tcW w:w="90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NSW</w:t>
            </w:r>
          </w:p>
        </w:tc>
        <w:tc>
          <w:tcPr>
            <w:tcW w:w="338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Muswellbrook</w:t>
            </w:r>
          </w:p>
        </w:tc>
        <w:tc>
          <w:tcPr>
            <w:tcW w:w="232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Propose inclusion</w:t>
            </w:r>
          </w:p>
        </w:tc>
        <w:tc>
          <w:tcPr>
            <w:tcW w:w="226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 xml:space="preserve"> 10 771</w:t>
            </w:r>
          </w:p>
        </w:tc>
      </w:tr>
      <w:tr w:rsidR="00A26923" w:rsidRPr="00A26923" w:rsidTr="00A26923">
        <w:trPr>
          <w:trHeight w:val="315"/>
        </w:trPr>
        <w:tc>
          <w:tcPr>
            <w:tcW w:w="90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WA</w:t>
            </w:r>
          </w:p>
        </w:tc>
        <w:tc>
          <w:tcPr>
            <w:tcW w:w="338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Esperance</w:t>
            </w:r>
          </w:p>
        </w:tc>
        <w:tc>
          <w:tcPr>
            <w:tcW w:w="232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Propose inclusion (b)</w:t>
            </w:r>
          </w:p>
        </w:tc>
        <w:tc>
          <w:tcPr>
            <w:tcW w:w="226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 xml:space="preserve"> 10 631</w:t>
            </w:r>
          </w:p>
        </w:tc>
      </w:tr>
      <w:tr w:rsidR="00A26923" w:rsidRPr="00A26923" w:rsidTr="00A26923">
        <w:trPr>
          <w:trHeight w:val="315"/>
        </w:trPr>
        <w:tc>
          <w:tcPr>
            <w:tcW w:w="90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Qld</w:t>
            </w:r>
          </w:p>
        </w:tc>
        <w:tc>
          <w:tcPr>
            <w:tcW w:w="338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Kingaroy</w:t>
            </w:r>
          </w:p>
        </w:tc>
        <w:tc>
          <w:tcPr>
            <w:tcW w:w="232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Propose inclusion (b)</w:t>
            </w:r>
          </w:p>
        </w:tc>
        <w:tc>
          <w:tcPr>
            <w:tcW w:w="226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 xml:space="preserve"> 10 397</w:t>
            </w:r>
          </w:p>
        </w:tc>
      </w:tr>
      <w:tr w:rsidR="00A26923" w:rsidRPr="00A26923" w:rsidTr="00A26923">
        <w:trPr>
          <w:trHeight w:val="315"/>
        </w:trPr>
        <w:tc>
          <w:tcPr>
            <w:tcW w:w="90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Vic</w:t>
            </w:r>
          </w:p>
        </w:tc>
        <w:tc>
          <w:tcPr>
            <w:tcW w:w="338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Portland</w:t>
            </w:r>
          </w:p>
        </w:tc>
        <w:tc>
          <w:tcPr>
            <w:tcW w:w="232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Propose inclusion</w:t>
            </w:r>
          </w:p>
        </w:tc>
        <w:tc>
          <w:tcPr>
            <w:tcW w:w="226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 xml:space="preserve"> 10 307</w:t>
            </w:r>
          </w:p>
        </w:tc>
      </w:tr>
      <w:tr w:rsidR="00A26923" w:rsidRPr="00A26923" w:rsidTr="00A26923">
        <w:trPr>
          <w:trHeight w:val="315"/>
        </w:trPr>
        <w:tc>
          <w:tcPr>
            <w:tcW w:w="90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NSW</w:t>
            </w:r>
          </w:p>
        </w:tc>
        <w:tc>
          <w:tcPr>
            <w:tcW w:w="338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Parkes</w:t>
            </w:r>
          </w:p>
        </w:tc>
        <w:tc>
          <w:tcPr>
            <w:tcW w:w="232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Propose inclusion</w:t>
            </w:r>
          </w:p>
        </w:tc>
        <w:tc>
          <w:tcPr>
            <w:tcW w:w="226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 xml:space="preserve"> 10 290</w:t>
            </w:r>
          </w:p>
        </w:tc>
      </w:tr>
      <w:tr w:rsidR="00A26923" w:rsidRPr="00A26923" w:rsidTr="00A26923">
        <w:trPr>
          <w:trHeight w:val="315"/>
        </w:trPr>
        <w:tc>
          <w:tcPr>
            <w:tcW w:w="90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NSW</w:t>
            </w:r>
          </w:p>
        </w:tc>
        <w:tc>
          <w:tcPr>
            <w:tcW w:w="338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Echuca - Moama</w:t>
            </w:r>
          </w:p>
        </w:tc>
        <w:tc>
          <w:tcPr>
            <w:tcW w:w="232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Propose inclusion</w:t>
            </w:r>
          </w:p>
        </w:tc>
        <w:tc>
          <w:tcPr>
            <w:tcW w:w="2260" w:type="dxa"/>
            <w:tcBorders>
              <w:top w:val="nil"/>
              <w:left w:val="nil"/>
              <w:bottom w:val="nil"/>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 xml:space="preserve"> 5 779</w:t>
            </w:r>
          </w:p>
        </w:tc>
      </w:tr>
      <w:tr w:rsidR="00A26923" w:rsidRPr="00A26923" w:rsidTr="00A26923">
        <w:trPr>
          <w:trHeight w:val="315"/>
        </w:trPr>
        <w:tc>
          <w:tcPr>
            <w:tcW w:w="900" w:type="dxa"/>
            <w:tcBorders>
              <w:top w:val="nil"/>
              <w:left w:val="nil"/>
              <w:bottom w:val="single" w:sz="4" w:space="0" w:color="auto"/>
              <w:right w:val="nil"/>
            </w:tcBorders>
            <w:shd w:val="clear" w:color="auto" w:fill="auto"/>
            <w:noWrap/>
            <w:vAlign w:val="bottom"/>
            <w:hideMark/>
          </w:tcPr>
          <w:p w:rsidR="00A26923" w:rsidRPr="00A26923" w:rsidRDefault="00A26923" w:rsidP="00A26923">
            <w:pPr>
              <w:tabs>
                <w:tab w:val="clear" w:pos="567"/>
              </w:tabs>
              <w:spacing w:after="0" w:line="240" w:lineRule="auto"/>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NSW</w:t>
            </w:r>
          </w:p>
        </w:tc>
        <w:tc>
          <w:tcPr>
            <w:tcW w:w="3380" w:type="dxa"/>
            <w:tcBorders>
              <w:top w:val="nil"/>
              <w:left w:val="nil"/>
              <w:bottom w:val="single" w:sz="4" w:space="0" w:color="auto"/>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Mildura - Wentworth</w:t>
            </w:r>
          </w:p>
        </w:tc>
        <w:tc>
          <w:tcPr>
            <w:tcW w:w="2320" w:type="dxa"/>
            <w:tcBorders>
              <w:top w:val="nil"/>
              <w:left w:val="nil"/>
              <w:bottom w:val="single" w:sz="4" w:space="0" w:color="auto"/>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Propose inclusion</w:t>
            </w:r>
          </w:p>
        </w:tc>
        <w:tc>
          <w:tcPr>
            <w:tcW w:w="2260" w:type="dxa"/>
            <w:tcBorders>
              <w:top w:val="nil"/>
              <w:left w:val="nil"/>
              <w:bottom w:val="single" w:sz="4" w:space="0" w:color="auto"/>
              <w:right w:val="nil"/>
            </w:tcBorders>
            <w:shd w:val="clear" w:color="auto" w:fill="auto"/>
            <w:noWrap/>
            <w:vAlign w:val="bottom"/>
            <w:hideMark/>
          </w:tcPr>
          <w:p w:rsidR="00A26923" w:rsidRPr="00A26923" w:rsidRDefault="00A26923" w:rsidP="00A26923">
            <w:pPr>
              <w:tabs>
                <w:tab w:val="clear" w:pos="567"/>
              </w:tabs>
              <w:spacing w:after="0" w:line="240" w:lineRule="auto"/>
              <w:jc w:val="right"/>
              <w:rPr>
                <w:rFonts w:ascii="Calibri" w:eastAsia="Times New Roman" w:hAnsi="Calibri" w:cs="Calibri"/>
                <w:sz w:val="20"/>
                <w:szCs w:val="20"/>
                <w:lang w:eastAsia="en-AU"/>
              </w:rPr>
            </w:pPr>
            <w:r w:rsidRPr="00A26923">
              <w:rPr>
                <w:rFonts w:ascii="Calibri" w:eastAsia="Times New Roman" w:hAnsi="Calibri" w:cs="Calibri"/>
                <w:sz w:val="20"/>
                <w:szCs w:val="20"/>
                <w:lang w:eastAsia="en-AU"/>
              </w:rPr>
              <w:t xml:space="preserve"> 3 974</w:t>
            </w:r>
          </w:p>
        </w:tc>
      </w:tr>
    </w:tbl>
    <w:p w:rsidR="00BC0A66" w:rsidRDefault="00BC0A66" w:rsidP="00BC0A66">
      <w:pPr>
        <w:pStyle w:val="CGCTableFootnote"/>
      </w:pPr>
      <w:r>
        <w:t>(a)</w:t>
      </w:r>
      <w:r>
        <w:tab/>
        <w:t xml:space="preserve">Mount Isa’s population fell under 20 000 in 2016-17. </w:t>
      </w:r>
    </w:p>
    <w:p w:rsidR="00BC0A66" w:rsidRDefault="00BC0A66" w:rsidP="00BC0A66">
      <w:pPr>
        <w:pStyle w:val="CGCTableFootnote"/>
      </w:pPr>
      <w:r>
        <w:t>(b)</w:t>
      </w:r>
      <w:r>
        <w:tab/>
        <w:t>New SUA, 2016 Census.</w:t>
      </w:r>
    </w:p>
    <w:p w:rsidR="00BC0A66" w:rsidRPr="007858D2" w:rsidRDefault="00BC0A66" w:rsidP="00BC0A66">
      <w:pPr>
        <w:pStyle w:val="CGCTableFootnote"/>
      </w:pPr>
      <w:r>
        <w:t>Source:</w:t>
      </w:r>
      <w:r>
        <w:tab/>
        <w:t xml:space="preserve"> ABS data return, October 2017. Estimated resident population.</w:t>
      </w:r>
    </w:p>
    <w:sectPr w:rsidR="00BC0A66" w:rsidRPr="007858D2" w:rsidSect="00C96782">
      <w:footerReference w:type="default" r:id="rId20"/>
      <w:footerReference w:type="first" r:id="rId21"/>
      <w:pgSz w:w="11899" w:h="16838" w:code="9"/>
      <w:pgMar w:top="1701" w:right="1474" w:bottom="1701" w:left="1474"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923" w:rsidRDefault="00A26923">
      <w:r>
        <w:separator/>
      </w:r>
    </w:p>
  </w:endnote>
  <w:endnote w:type="continuationSeparator" w:id="0">
    <w:p w:rsidR="00A26923" w:rsidRDefault="00A26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923" w:rsidRPr="00875C0F" w:rsidRDefault="00A26923" w:rsidP="00B0184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341964478"/>
      <w:docPartObj>
        <w:docPartGallery w:val="Page Numbers (Bottom of Page)"/>
        <w:docPartUnique/>
      </w:docPartObj>
    </w:sdtPr>
    <w:sdtEndPr/>
    <w:sdtContent>
      <w:p w:rsidR="00C96782" w:rsidRDefault="00C96782" w:rsidP="00C96782">
        <w:pPr>
          <w:pStyle w:val="Footer"/>
        </w:pPr>
      </w:p>
      <w:p w:rsidR="00A26923" w:rsidRPr="00875C0F" w:rsidRDefault="00654065" w:rsidP="00B01845">
        <w:pPr>
          <w:pStyle w:val="Footer"/>
          <w:rPr>
            <w:sz w:val="20"/>
            <w:szCs w:val="20"/>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0756001"/>
      <w:docPartObj>
        <w:docPartGallery w:val="Page Numbers (Bottom of Page)"/>
        <w:docPartUnique/>
      </w:docPartObj>
    </w:sdtPr>
    <w:sdtEndPr/>
    <w:sdtContent>
      <w:p w:rsidR="00A26923" w:rsidRPr="00875C0F" w:rsidRDefault="00654065" w:rsidP="00B01845">
        <w:pPr>
          <w:pStyle w:val="Footer"/>
          <w:jc w:val="right"/>
        </w:pP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4606816"/>
      <w:docPartObj>
        <w:docPartGallery w:val="Page Numbers (Bottom of Page)"/>
        <w:docPartUnique/>
      </w:docPartObj>
    </w:sdtPr>
    <w:sdtEndPr/>
    <w:sdtContent>
      <w:p w:rsidR="00A26923" w:rsidRPr="00875C0F" w:rsidRDefault="00654065" w:rsidP="00B01845">
        <w:pPr>
          <w:pStyle w:val="Footer"/>
          <w:jc w:val="right"/>
        </w:pP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923" w:rsidRPr="0011178C" w:rsidRDefault="00A26923" w:rsidP="003929D2">
    <w:pPr>
      <w:pStyle w:val="Footer"/>
      <w:jc w:val="right"/>
    </w:pPr>
    <w:r>
      <w:fldChar w:fldCharType="begin"/>
    </w:r>
    <w:r>
      <w:instrText xml:space="preserve"> PAGE  \* Arabic  \* MERGEFORMAT </w:instrText>
    </w:r>
    <w:r>
      <w:fldChar w:fldCharType="separate"/>
    </w:r>
    <w:r w:rsidR="00654065">
      <w:rPr>
        <w:noProof/>
      </w:rPr>
      <w:t>14</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923" w:rsidRPr="007E487F" w:rsidRDefault="00A26923" w:rsidP="00DC0F02">
    <w:pPr>
      <w:pStyle w:val="Footer"/>
      <w:tabs>
        <w:tab w:val="right" w:pos="8931"/>
      </w:tabs>
      <w:rPr>
        <w:sz w:val="20"/>
        <w:szCs w:val="20"/>
      </w:rPr>
    </w:pPr>
    <w:r>
      <w:rPr>
        <w:sz w:val="20"/>
        <w:szCs w:val="20"/>
      </w:rPr>
      <w:tab/>
    </w:r>
    <w:r>
      <w:rPr>
        <w:sz w:val="20"/>
        <w:szCs w:val="20"/>
      </w:rPr>
      <w:tab/>
    </w:r>
    <w:r>
      <w:fldChar w:fldCharType="begin"/>
    </w:r>
    <w:r>
      <w:instrText xml:space="preserve"> PAGE   \* MERGEFORMAT </w:instrText>
    </w:r>
    <w:r>
      <w:fldChar w:fldCharType="separate"/>
    </w:r>
    <w:r w:rsidR="00654065">
      <w:rPr>
        <w:noProof/>
      </w:rPr>
      <w:t>1</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782" w:rsidRPr="0011178C" w:rsidRDefault="00C96782" w:rsidP="003929D2">
    <w:pPr>
      <w:pStyle w:val="Footer"/>
      <w:jc w:val="right"/>
    </w:pPr>
    <w:r>
      <w:fldChar w:fldCharType="begin"/>
    </w:r>
    <w:r>
      <w:instrText xml:space="preserve"> PAGE  \* Arabic  \* MERGEFORMAT </w:instrText>
    </w:r>
    <w:r>
      <w:fldChar w:fldCharType="separate"/>
    </w:r>
    <w:r w:rsidR="00654065">
      <w:rPr>
        <w:noProof/>
      </w:rPr>
      <w:t>18</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782" w:rsidRPr="007E487F" w:rsidRDefault="00C96782" w:rsidP="00DC0F02">
    <w:pPr>
      <w:pStyle w:val="Footer"/>
      <w:tabs>
        <w:tab w:val="right" w:pos="8931"/>
      </w:tabs>
      <w:rPr>
        <w:sz w:val="20"/>
        <w:szCs w:val="20"/>
      </w:rPr>
    </w:pPr>
    <w:r>
      <w:rPr>
        <w:sz w:val="20"/>
        <w:szCs w:val="20"/>
      </w:rPr>
      <w:tab/>
    </w:r>
    <w:r>
      <w:rPr>
        <w:sz w:val="20"/>
        <w:szCs w:val="20"/>
      </w:rPr>
      <w:tab/>
    </w:r>
    <w:r>
      <w:fldChar w:fldCharType="begin"/>
    </w:r>
    <w:r>
      <w:instrText xml:space="preserve"> PAGE   \* MERGEFORMAT </w:instrText>
    </w:r>
    <w:r>
      <w:fldChar w:fldCharType="separate"/>
    </w:r>
    <w:r w:rsidR="00654065">
      <w:rPr>
        <w:noProof/>
      </w:rPr>
      <w:t>15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923" w:rsidRDefault="00A26923">
      <w:r>
        <w:separator/>
      </w:r>
    </w:p>
  </w:footnote>
  <w:footnote w:type="continuationSeparator" w:id="0">
    <w:p w:rsidR="00A26923" w:rsidRDefault="00A26923">
      <w:r>
        <w:continuationSeparator/>
      </w:r>
    </w:p>
  </w:footnote>
  <w:footnote w:id="1">
    <w:p w:rsidR="00A26923" w:rsidRPr="002D5ECA" w:rsidRDefault="00A26923" w:rsidP="004E5D19">
      <w:pPr>
        <w:pStyle w:val="FootnoteText"/>
      </w:pPr>
      <w:r w:rsidRPr="002D5ECA">
        <w:rPr>
          <w:rStyle w:val="FootnoteReference"/>
        </w:rPr>
        <w:footnoteRef/>
      </w:r>
      <w:r w:rsidRPr="002D5ECA">
        <w:t xml:space="preserve">  </w:t>
      </w:r>
      <w:r w:rsidRPr="002D5ECA">
        <w:tab/>
      </w:r>
      <w:r w:rsidRPr="002D5ECA">
        <w:rPr>
          <w:rStyle w:val="FootnoteTextChar"/>
          <w:i/>
        </w:rPr>
        <w:t>2010 Review of</w:t>
      </w:r>
      <w:r w:rsidRPr="002D5ECA">
        <w:rPr>
          <w:rStyle w:val="FootnoteTextChar"/>
        </w:rPr>
        <w:t xml:space="preserve"> </w:t>
      </w:r>
      <w:r w:rsidRPr="002D5ECA">
        <w:rPr>
          <w:rStyle w:val="FootnoteTextChar"/>
          <w:i/>
        </w:rPr>
        <w:t>State Government Subsidised Urban Public Transport Services: Consultant Advice</w:t>
      </w:r>
      <w:r w:rsidRPr="002D5ECA">
        <w:rPr>
          <w:rStyle w:val="FootnoteTextChar"/>
        </w:rPr>
        <w:t xml:space="preserve">, </w:t>
      </w:r>
      <w:r w:rsidRPr="002D5ECA">
        <w:t>Institute for Sustainable Systems and Technologies, University of South Australia, April 2009.</w:t>
      </w:r>
    </w:p>
  </w:footnote>
  <w:footnote w:id="2">
    <w:p w:rsidR="00A26923" w:rsidRDefault="00A26923">
      <w:pPr>
        <w:pStyle w:val="FootnoteText"/>
      </w:pPr>
      <w:r>
        <w:rPr>
          <w:rStyle w:val="FootnoteReference"/>
        </w:rPr>
        <w:footnoteRef/>
      </w:r>
      <w:r>
        <w:t xml:space="preserve"> This constant is equal to the per capita expense for an urban centre with a population of one million.</w:t>
      </w:r>
    </w:p>
  </w:footnote>
  <w:footnote w:id="3">
    <w:p w:rsidR="00A26923" w:rsidRDefault="00A26923" w:rsidP="00B94580">
      <w:pPr>
        <w:pStyle w:val="FootnoteText"/>
      </w:pPr>
      <w:r>
        <w:rPr>
          <w:rStyle w:val="FootnoteReference"/>
        </w:rPr>
        <w:footnoteRef/>
      </w:r>
      <w:r>
        <w:t xml:space="preserve"> </w:t>
      </w:r>
      <w:r>
        <w:tab/>
        <w:t xml:space="preserve">Consultants engaged for the 2010 Review also found no literature on this issue or the links between city size and transport subsidies. </w:t>
      </w:r>
    </w:p>
  </w:footnote>
  <w:footnote w:id="4">
    <w:p w:rsidR="00A26923" w:rsidRDefault="00A26923" w:rsidP="00995A9C">
      <w:pPr>
        <w:pStyle w:val="FootnoteText"/>
      </w:pPr>
      <w:r>
        <w:rPr>
          <w:rStyle w:val="FootnoteReference"/>
        </w:rPr>
        <w:footnoteRef/>
      </w:r>
      <w:r>
        <w:t xml:space="preserve"> </w:t>
      </w:r>
      <w:r>
        <w:tab/>
        <w:t xml:space="preserve">The Mildura – Wentworth and Echuca – Moama SUAs are split between New South Wales and Victoria. On the New South Wales’ side, the population is below 10 000.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923" w:rsidRDefault="00A269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923" w:rsidRDefault="00A269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4679"/>
    <w:multiLevelType w:val="multilevel"/>
    <w:tmpl w:val="87ECD5DE"/>
    <w:lvl w:ilvl="0">
      <w:start w:val="1"/>
      <w:numFmt w:val="lowerRoman"/>
      <w:lvlText w:val="(%1)"/>
      <w:lvlJc w:val="right"/>
      <w:pPr>
        <w:tabs>
          <w:tab w:val="num" w:pos="1701"/>
        </w:tabs>
        <w:ind w:left="1701"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53D7BB4"/>
    <w:multiLevelType w:val="multilevel"/>
    <w:tmpl w:val="410E2C24"/>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6C95DEC"/>
    <w:multiLevelType w:val="multilevel"/>
    <w:tmpl w:val="09E854DC"/>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C66C66"/>
    <w:multiLevelType w:val="multilevel"/>
    <w:tmpl w:val="5B74CF8C"/>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5" w15:restartNumberingAfterBreak="0">
    <w:nsid w:val="317A6023"/>
    <w:multiLevelType w:val="hybridMultilevel"/>
    <w:tmpl w:val="1262912E"/>
    <w:lvl w:ilvl="0" w:tplc="9B9083DC">
      <w:start w:val="1"/>
      <w:numFmt w:val="lowerRoman"/>
      <w:pStyle w:val="CGCNumeralList"/>
      <w:lvlText w:val="%1"/>
      <w:lvlJc w:val="left"/>
      <w:pPr>
        <w:ind w:left="206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9CB5609"/>
    <w:multiLevelType w:val="hybridMultilevel"/>
    <w:tmpl w:val="24484DBE"/>
    <w:lvl w:ilvl="0" w:tplc="A1CEF810">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D0A6680"/>
    <w:multiLevelType w:val="multilevel"/>
    <w:tmpl w:val="646E338E"/>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E32354"/>
    <w:multiLevelType w:val="hybridMultilevel"/>
    <w:tmpl w:val="7D6053A6"/>
    <w:lvl w:ilvl="0" w:tplc="5FE44A6C">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CDF4199"/>
    <w:multiLevelType w:val="hybridMultilevel"/>
    <w:tmpl w:val="99062688"/>
    <w:lvl w:ilvl="0" w:tplc="F3F48994">
      <w:start w:val="1"/>
      <w:numFmt w:val="bullet"/>
      <w:pStyle w:val="CGCQuotationBullet"/>
      <w:lvlText w:val=""/>
      <w:lvlJc w:val="left"/>
      <w:pPr>
        <w:tabs>
          <w:tab w:val="num" w:pos="1701"/>
        </w:tabs>
        <w:ind w:left="1701"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124923"/>
    <w:multiLevelType w:val="multilevel"/>
    <w:tmpl w:val="DA6AC07E"/>
    <w:lvl w:ilvl="0">
      <w:start w:val="1"/>
      <w:numFmt w:val="bullet"/>
      <w:lvlText w:val=""/>
      <w:lvlJc w:val="left"/>
      <w:pPr>
        <w:tabs>
          <w:tab w:val="num" w:pos="1627"/>
        </w:tabs>
        <w:ind w:left="1627"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120A6F"/>
    <w:multiLevelType w:val="multilevel"/>
    <w:tmpl w:val="EC6A24FE"/>
    <w:lvl w:ilvl="0">
      <w:start w:val="1"/>
      <w:numFmt w:val="bullet"/>
      <w:lvlText w:val=""/>
      <w:lvlJc w:val="left"/>
      <w:pPr>
        <w:tabs>
          <w:tab w:val="num" w:pos="927"/>
        </w:tabs>
        <w:ind w:left="1134"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FE42A7"/>
    <w:multiLevelType w:val="hybridMultilevel"/>
    <w:tmpl w:val="E4B8FB9A"/>
    <w:lvl w:ilvl="0" w:tplc="18EA3C62">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9552687"/>
    <w:multiLevelType w:val="multilevel"/>
    <w:tmpl w:val="76E0CFF8"/>
    <w:lvl w:ilvl="0">
      <w:start w:val="1"/>
      <w:numFmt w:val="bullet"/>
      <w:lvlText w:val=""/>
      <w:lvlJc w:val="left"/>
      <w:pPr>
        <w:tabs>
          <w:tab w:val="num" w:pos="1503"/>
        </w:tabs>
        <w:ind w:left="171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15" w15:restartNumberingAfterBreak="0">
    <w:nsid w:val="77D62F87"/>
    <w:multiLevelType w:val="hybridMultilevel"/>
    <w:tmpl w:val="E332B1EE"/>
    <w:lvl w:ilvl="0" w:tplc="7898E74C">
      <w:start w:val="1"/>
      <w:numFmt w:val="bullet"/>
      <w:pStyle w:val="CGCSubbulletlist"/>
      <w:lvlText w:val=""/>
      <w:lvlJc w:val="left"/>
      <w:pPr>
        <w:tabs>
          <w:tab w:val="num" w:pos="786"/>
        </w:tabs>
        <w:ind w:left="993" w:firstLine="0"/>
      </w:pPr>
      <w:rPr>
        <w:rFonts w:ascii="Symbol" w:hAnsi="Symbol" w:hint="default"/>
      </w:rPr>
    </w:lvl>
    <w:lvl w:ilvl="1" w:tplc="0C090003" w:tentative="1">
      <w:start w:val="1"/>
      <w:numFmt w:val="bullet"/>
      <w:lvlText w:val="o"/>
      <w:lvlJc w:val="left"/>
      <w:pPr>
        <w:tabs>
          <w:tab w:val="num" w:pos="1299"/>
        </w:tabs>
        <w:ind w:left="1299" w:hanging="360"/>
      </w:pPr>
      <w:rPr>
        <w:rFonts w:ascii="Courier New" w:hAnsi="Courier New" w:cs="Courier New" w:hint="default"/>
      </w:rPr>
    </w:lvl>
    <w:lvl w:ilvl="2" w:tplc="0C090005" w:tentative="1">
      <w:start w:val="1"/>
      <w:numFmt w:val="bullet"/>
      <w:lvlText w:val=""/>
      <w:lvlJc w:val="left"/>
      <w:pPr>
        <w:tabs>
          <w:tab w:val="num" w:pos="2019"/>
        </w:tabs>
        <w:ind w:left="2019" w:hanging="360"/>
      </w:pPr>
      <w:rPr>
        <w:rFonts w:ascii="Wingdings" w:hAnsi="Wingdings" w:hint="default"/>
      </w:rPr>
    </w:lvl>
    <w:lvl w:ilvl="3" w:tplc="0C090001" w:tentative="1">
      <w:start w:val="1"/>
      <w:numFmt w:val="bullet"/>
      <w:lvlText w:val=""/>
      <w:lvlJc w:val="left"/>
      <w:pPr>
        <w:tabs>
          <w:tab w:val="num" w:pos="2739"/>
        </w:tabs>
        <w:ind w:left="2739" w:hanging="360"/>
      </w:pPr>
      <w:rPr>
        <w:rFonts w:ascii="Symbol" w:hAnsi="Symbol" w:hint="default"/>
      </w:rPr>
    </w:lvl>
    <w:lvl w:ilvl="4" w:tplc="0C090003" w:tentative="1">
      <w:start w:val="1"/>
      <w:numFmt w:val="bullet"/>
      <w:lvlText w:val="o"/>
      <w:lvlJc w:val="left"/>
      <w:pPr>
        <w:tabs>
          <w:tab w:val="num" w:pos="3459"/>
        </w:tabs>
        <w:ind w:left="3459" w:hanging="360"/>
      </w:pPr>
      <w:rPr>
        <w:rFonts w:ascii="Courier New" w:hAnsi="Courier New" w:cs="Courier New" w:hint="default"/>
      </w:rPr>
    </w:lvl>
    <w:lvl w:ilvl="5" w:tplc="0C090005" w:tentative="1">
      <w:start w:val="1"/>
      <w:numFmt w:val="bullet"/>
      <w:lvlText w:val=""/>
      <w:lvlJc w:val="left"/>
      <w:pPr>
        <w:tabs>
          <w:tab w:val="num" w:pos="4179"/>
        </w:tabs>
        <w:ind w:left="4179" w:hanging="360"/>
      </w:pPr>
      <w:rPr>
        <w:rFonts w:ascii="Wingdings" w:hAnsi="Wingdings" w:hint="default"/>
      </w:rPr>
    </w:lvl>
    <w:lvl w:ilvl="6" w:tplc="0C090001" w:tentative="1">
      <w:start w:val="1"/>
      <w:numFmt w:val="bullet"/>
      <w:lvlText w:val=""/>
      <w:lvlJc w:val="left"/>
      <w:pPr>
        <w:tabs>
          <w:tab w:val="num" w:pos="4899"/>
        </w:tabs>
        <w:ind w:left="4899" w:hanging="360"/>
      </w:pPr>
      <w:rPr>
        <w:rFonts w:ascii="Symbol" w:hAnsi="Symbol" w:hint="default"/>
      </w:rPr>
    </w:lvl>
    <w:lvl w:ilvl="7" w:tplc="0C090003" w:tentative="1">
      <w:start w:val="1"/>
      <w:numFmt w:val="bullet"/>
      <w:lvlText w:val="o"/>
      <w:lvlJc w:val="left"/>
      <w:pPr>
        <w:tabs>
          <w:tab w:val="num" w:pos="5619"/>
        </w:tabs>
        <w:ind w:left="5619" w:hanging="360"/>
      </w:pPr>
      <w:rPr>
        <w:rFonts w:ascii="Courier New" w:hAnsi="Courier New" w:cs="Courier New" w:hint="default"/>
      </w:rPr>
    </w:lvl>
    <w:lvl w:ilvl="8" w:tplc="0C090005" w:tentative="1">
      <w:start w:val="1"/>
      <w:numFmt w:val="bullet"/>
      <w:lvlText w:val=""/>
      <w:lvlJc w:val="left"/>
      <w:pPr>
        <w:tabs>
          <w:tab w:val="num" w:pos="6339"/>
        </w:tabs>
        <w:ind w:left="6339" w:hanging="360"/>
      </w:pPr>
      <w:rPr>
        <w:rFonts w:ascii="Wingdings" w:hAnsi="Wingdings" w:hint="default"/>
      </w:rPr>
    </w:lvl>
  </w:abstractNum>
  <w:num w:numId="1">
    <w:abstractNumId w:val="14"/>
  </w:num>
  <w:num w:numId="2">
    <w:abstractNumId w:val="5"/>
  </w:num>
  <w:num w:numId="3">
    <w:abstractNumId w:val="1"/>
  </w:num>
  <w:num w:numId="4">
    <w:abstractNumId w:val="15"/>
  </w:num>
  <w:num w:numId="5">
    <w:abstractNumId w:val="15"/>
  </w:num>
  <w:num w:numId="6">
    <w:abstractNumId w:val="4"/>
  </w:num>
  <w:num w:numId="7">
    <w:abstractNumId w:val="4"/>
  </w:num>
  <w:num w:numId="8">
    <w:abstractNumId w:val="4"/>
  </w:num>
  <w:num w:numId="9">
    <w:abstractNumId w:val="4"/>
  </w:num>
  <w:num w:numId="10">
    <w:abstractNumId w:val="14"/>
  </w:num>
  <w:num w:numId="11">
    <w:abstractNumId w:val="5"/>
  </w:num>
  <w:num w:numId="12">
    <w:abstractNumId w:val="1"/>
  </w:num>
  <w:num w:numId="13">
    <w:abstractNumId w:val="15"/>
  </w:num>
  <w:num w:numId="14">
    <w:abstractNumId w:val="4"/>
  </w:num>
  <w:num w:numId="15">
    <w:abstractNumId w:val="4"/>
  </w:num>
  <w:num w:numId="16">
    <w:abstractNumId w:val="4"/>
  </w:num>
  <w:num w:numId="17">
    <w:abstractNumId w:val="4"/>
  </w:num>
  <w:num w:numId="18">
    <w:abstractNumId w:val="0"/>
  </w:num>
  <w:num w:numId="19">
    <w:abstractNumId w:val="9"/>
  </w:num>
  <w:num w:numId="20">
    <w:abstractNumId w:val="10"/>
  </w:num>
  <w:num w:numId="21">
    <w:abstractNumId w:val="2"/>
  </w:num>
  <w:num w:numId="22">
    <w:abstractNumId w:val="7"/>
  </w:num>
  <w:num w:numId="23">
    <w:abstractNumId w:val="13"/>
  </w:num>
  <w:num w:numId="24">
    <w:abstractNumId w:val="3"/>
  </w:num>
  <w:num w:numId="25">
    <w:abstractNumId w:val="11"/>
  </w:num>
  <w:num w:numId="26">
    <w:abstractNumId w:val="1"/>
  </w:num>
  <w:num w:numId="27">
    <w:abstractNumId w:val="8"/>
  </w:num>
  <w:num w:numId="28">
    <w:abstractNumId w:val="12"/>
  </w:num>
  <w:num w:numId="29">
    <w:abstractNumId w:val="6"/>
  </w:num>
  <w:num w:numId="30">
    <w:abstractNumId w:val="5"/>
    <w:lvlOverride w:ilvl="0">
      <w:startOverride w:val="1"/>
    </w:lvlOverride>
  </w:num>
  <w:num w:numId="31">
    <w:abstractNumId w:val="14"/>
  </w:num>
  <w:num w:numId="32">
    <w:abstractNumId w:val="1"/>
  </w:num>
  <w:num w:numId="33">
    <w:abstractNumId w:val="5"/>
  </w:num>
  <w:num w:numId="34">
    <w:abstractNumId w:val="15"/>
  </w:num>
  <w:num w:numId="35">
    <w:abstractNumId w:val="9"/>
  </w:num>
  <w:num w:numId="36">
    <w:abstractNumId w:val="14"/>
  </w:num>
  <w:num w:numId="37">
    <w:abstractNumId w:val="1"/>
  </w:num>
  <w:num w:numId="38">
    <w:abstractNumId w:val="5"/>
  </w:num>
  <w:num w:numId="39">
    <w:abstractNumId w:val="15"/>
  </w:num>
  <w:num w:numId="40">
    <w:abstractNumId w:val="9"/>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306"/>
    <w:rsid w:val="00003284"/>
    <w:rsid w:val="0000483A"/>
    <w:rsid w:val="00012703"/>
    <w:rsid w:val="00014424"/>
    <w:rsid w:val="00016F97"/>
    <w:rsid w:val="00016FE0"/>
    <w:rsid w:val="000170EA"/>
    <w:rsid w:val="000223F7"/>
    <w:rsid w:val="0002253F"/>
    <w:rsid w:val="00022EA9"/>
    <w:rsid w:val="000233B8"/>
    <w:rsid w:val="0002373C"/>
    <w:rsid w:val="00023ED6"/>
    <w:rsid w:val="00024745"/>
    <w:rsid w:val="00025A26"/>
    <w:rsid w:val="00026BF5"/>
    <w:rsid w:val="000329AF"/>
    <w:rsid w:val="00032F41"/>
    <w:rsid w:val="0003437D"/>
    <w:rsid w:val="0003676E"/>
    <w:rsid w:val="0003755F"/>
    <w:rsid w:val="000403D1"/>
    <w:rsid w:val="00040765"/>
    <w:rsid w:val="0004123E"/>
    <w:rsid w:val="00041748"/>
    <w:rsid w:val="00041CD2"/>
    <w:rsid w:val="00041E84"/>
    <w:rsid w:val="0004209F"/>
    <w:rsid w:val="000424EA"/>
    <w:rsid w:val="00043883"/>
    <w:rsid w:val="00043E73"/>
    <w:rsid w:val="000477CC"/>
    <w:rsid w:val="00050799"/>
    <w:rsid w:val="00054EA0"/>
    <w:rsid w:val="00054F36"/>
    <w:rsid w:val="00056373"/>
    <w:rsid w:val="00061111"/>
    <w:rsid w:val="000624BB"/>
    <w:rsid w:val="000648E8"/>
    <w:rsid w:val="000652A3"/>
    <w:rsid w:val="00065958"/>
    <w:rsid w:val="00070845"/>
    <w:rsid w:val="00072304"/>
    <w:rsid w:val="00076B65"/>
    <w:rsid w:val="000819F3"/>
    <w:rsid w:val="00081BC2"/>
    <w:rsid w:val="0008281A"/>
    <w:rsid w:val="000837AD"/>
    <w:rsid w:val="00084292"/>
    <w:rsid w:val="00084526"/>
    <w:rsid w:val="00084770"/>
    <w:rsid w:val="0009143F"/>
    <w:rsid w:val="000914CB"/>
    <w:rsid w:val="00093796"/>
    <w:rsid w:val="00095E54"/>
    <w:rsid w:val="000969AA"/>
    <w:rsid w:val="00097D80"/>
    <w:rsid w:val="000A08A9"/>
    <w:rsid w:val="000A1A0D"/>
    <w:rsid w:val="000A3898"/>
    <w:rsid w:val="000A3A70"/>
    <w:rsid w:val="000A448B"/>
    <w:rsid w:val="000A52A1"/>
    <w:rsid w:val="000A657A"/>
    <w:rsid w:val="000B19CD"/>
    <w:rsid w:val="000B2785"/>
    <w:rsid w:val="000B2942"/>
    <w:rsid w:val="000B3557"/>
    <w:rsid w:val="000B3730"/>
    <w:rsid w:val="000B64E3"/>
    <w:rsid w:val="000B673A"/>
    <w:rsid w:val="000B6DAD"/>
    <w:rsid w:val="000C1AAF"/>
    <w:rsid w:val="000C21DB"/>
    <w:rsid w:val="000C3B50"/>
    <w:rsid w:val="000C64CD"/>
    <w:rsid w:val="000C6F76"/>
    <w:rsid w:val="000C7545"/>
    <w:rsid w:val="000C7683"/>
    <w:rsid w:val="000D1354"/>
    <w:rsid w:val="000D17A7"/>
    <w:rsid w:val="000D1D03"/>
    <w:rsid w:val="000D7C54"/>
    <w:rsid w:val="000E002E"/>
    <w:rsid w:val="000E0210"/>
    <w:rsid w:val="000E0593"/>
    <w:rsid w:val="000E15FB"/>
    <w:rsid w:val="000E27BB"/>
    <w:rsid w:val="000E6AA5"/>
    <w:rsid w:val="000E7F56"/>
    <w:rsid w:val="000F1CDA"/>
    <w:rsid w:val="000F4943"/>
    <w:rsid w:val="000F5478"/>
    <w:rsid w:val="000F685C"/>
    <w:rsid w:val="001039C2"/>
    <w:rsid w:val="001040AD"/>
    <w:rsid w:val="00104653"/>
    <w:rsid w:val="00105640"/>
    <w:rsid w:val="001060B5"/>
    <w:rsid w:val="00106531"/>
    <w:rsid w:val="00111292"/>
    <w:rsid w:val="0011178C"/>
    <w:rsid w:val="00112C5F"/>
    <w:rsid w:val="00112CF0"/>
    <w:rsid w:val="00113D16"/>
    <w:rsid w:val="001147D1"/>
    <w:rsid w:val="001148BE"/>
    <w:rsid w:val="00115EF7"/>
    <w:rsid w:val="00116770"/>
    <w:rsid w:val="0011758D"/>
    <w:rsid w:val="001211AB"/>
    <w:rsid w:val="001218B8"/>
    <w:rsid w:val="00122601"/>
    <w:rsid w:val="00122A62"/>
    <w:rsid w:val="00122B92"/>
    <w:rsid w:val="0012376A"/>
    <w:rsid w:val="00124ED1"/>
    <w:rsid w:val="0012538F"/>
    <w:rsid w:val="00127BA9"/>
    <w:rsid w:val="00131E07"/>
    <w:rsid w:val="001327E7"/>
    <w:rsid w:val="00133471"/>
    <w:rsid w:val="00133796"/>
    <w:rsid w:val="00134594"/>
    <w:rsid w:val="00136497"/>
    <w:rsid w:val="00136561"/>
    <w:rsid w:val="00140C19"/>
    <w:rsid w:val="0014130C"/>
    <w:rsid w:val="00141BD1"/>
    <w:rsid w:val="0014283F"/>
    <w:rsid w:val="00143156"/>
    <w:rsid w:val="00143D77"/>
    <w:rsid w:val="001441DA"/>
    <w:rsid w:val="001465BE"/>
    <w:rsid w:val="00147115"/>
    <w:rsid w:val="001477CE"/>
    <w:rsid w:val="00150643"/>
    <w:rsid w:val="00150F2B"/>
    <w:rsid w:val="00154F06"/>
    <w:rsid w:val="00155BD7"/>
    <w:rsid w:val="00156AD4"/>
    <w:rsid w:val="00163A72"/>
    <w:rsid w:val="0016412F"/>
    <w:rsid w:val="00166BE7"/>
    <w:rsid w:val="0016723A"/>
    <w:rsid w:val="00170DC9"/>
    <w:rsid w:val="001711F9"/>
    <w:rsid w:val="00171A05"/>
    <w:rsid w:val="00171EDA"/>
    <w:rsid w:val="00172F3A"/>
    <w:rsid w:val="001730FD"/>
    <w:rsid w:val="001733FE"/>
    <w:rsid w:val="0017365C"/>
    <w:rsid w:val="00173798"/>
    <w:rsid w:val="00173BE6"/>
    <w:rsid w:val="00173E72"/>
    <w:rsid w:val="001742F2"/>
    <w:rsid w:val="00175759"/>
    <w:rsid w:val="00176910"/>
    <w:rsid w:val="00176EAA"/>
    <w:rsid w:val="0018030E"/>
    <w:rsid w:val="001807C0"/>
    <w:rsid w:val="001811DE"/>
    <w:rsid w:val="001825DA"/>
    <w:rsid w:val="001828B7"/>
    <w:rsid w:val="00183F64"/>
    <w:rsid w:val="0018420B"/>
    <w:rsid w:val="00184888"/>
    <w:rsid w:val="001854B2"/>
    <w:rsid w:val="00187145"/>
    <w:rsid w:val="0019229F"/>
    <w:rsid w:val="001926A0"/>
    <w:rsid w:val="00193421"/>
    <w:rsid w:val="00193715"/>
    <w:rsid w:val="0019415C"/>
    <w:rsid w:val="00194483"/>
    <w:rsid w:val="00195F47"/>
    <w:rsid w:val="0019796D"/>
    <w:rsid w:val="001A0152"/>
    <w:rsid w:val="001A24FA"/>
    <w:rsid w:val="001A3400"/>
    <w:rsid w:val="001A4336"/>
    <w:rsid w:val="001A558E"/>
    <w:rsid w:val="001A6DF8"/>
    <w:rsid w:val="001A76BC"/>
    <w:rsid w:val="001B0110"/>
    <w:rsid w:val="001B018B"/>
    <w:rsid w:val="001B05D0"/>
    <w:rsid w:val="001B0694"/>
    <w:rsid w:val="001B0E87"/>
    <w:rsid w:val="001B3048"/>
    <w:rsid w:val="001B5274"/>
    <w:rsid w:val="001B619B"/>
    <w:rsid w:val="001B68B1"/>
    <w:rsid w:val="001B696E"/>
    <w:rsid w:val="001B6A56"/>
    <w:rsid w:val="001B6AF4"/>
    <w:rsid w:val="001C36FA"/>
    <w:rsid w:val="001C4606"/>
    <w:rsid w:val="001C469B"/>
    <w:rsid w:val="001C4840"/>
    <w:rsid w:val="001C6A71"/>
    <w:rsid w:val="001C78A6"/>
    <w:rsid w:val="001D1AB6"/>
    <w:rsid w:val="001D1B9E"/>
    <w:rsid w:val="001D2207"/>
    <w:rsid w:val="001D23DF"/>
    <w:rsid w:val="001D2661"/>
    <w:rsid w:val="001D2DBC"/>
    <w:rsid w:val="001D32AF"/>
    <w:rsid w:val="001D49A4"/>
    <w:rsid w:val="001D638B"/>
    <w:rsid w:val="001D6DFA"/>
    <w:rsid w:val="001E473F"/>
    <w:rsid w:val="001E6180"/>
    <w:rsid w:val="001E674B"/>
    <w:rsid w:val="001E68FC"/>
    <w:rsid w:val="001E72B6"/>
    <w:rsid w:val="001F21B1"/>
    <w:rsid w:val="001F31D7"/>
    <w:rsid w:val="001F4F5A"/>
    <w:rsid w:val="001F58C8"/>
    <w:rsid w:val="001F5CB8"/>
    <w:rsid w:val="001F5EB3"/>
    <w:rsid w:val="001F7DC2"/>
    <w:rsid w:val="00200943"/>
    <w:rsid w:val="002027E7"/>
    <w:rsid w:val="00204026"/>
    <w:rsid w:val="002046AB"/>
    <w:rsid w:val="00206A13"/>
    <w:rsid w:val="002105DB"/>
    <w:rsid w:val="00212948"/>
    <w:rsid w:val="00214D36"/>
    <w:rsid w:val="00215DAF"/>
    <w:rsid w:val="00216829"/>
    <w:rsid w:val="00216977"/>
    <w:rsid w:val="00217839"/>
    <w:rsid w:val="00221AF2"/>
    <w:rsid w:val="00223995"/>
    <w:rsid w:val="00225A3B"/>
    <w:rsid w:val="0022711C"/>
    <w:rsid w:val="00227398"/>
    <w:rsid w:val="0023081D"/>
    <w:rsid w:val="00231315"/>
    <w:rsid w:val="002326CB"/>
    <w:rsid w:val="0023329C"/>
    <w:rsid w:val="00233428"/>
    <w:rsid w:val="00234F2D"/>
    <w:rsid w:val="0023679F"/>
    <w:rsid w:val="00236DC0"/>
    <w:rsid w:val="002373A2"/>
    <w:rsid w:val="00237C9D"/>
    <w:rsid w:val="0024056D"/>
    <w:rsid w:val="00240EEA"/>
    <w:rsid w:val="00242517"/>
    <w:rsid w:val="0024260B"/>
    <w:rsid w:val="00243A50"/>
    <w:rsid w:val="0024401F"/>
    <w:rsid w:val="00244986"/>
    <w:rsid w:val="0024569B"/>
    <w:rsid w:val="002457FA"/>
    <w:rsid w:val="0024787D"/>
    <w:rsid w:val="002517CB"/>
    <w:rsid w:val="00255B5A"/>
    <w:rsid w:val="0025607C"/>
    <w:rsid w:val="00256D4D"/>
    <w:rsid w:val="00256E57"/>
    <w:rsid w:val="00261887"/>
    <w:rsid w:val="00262686"/>
    <w:rsid w:val="002647A8"/>
    <w:rsid w:val="00264C8D"/>
    <w:rsid w:val="0026524E"/>
    <w:rsid w:val="00266B22"/>
    <w:rsid w:val="002671A2"/>
    <w:rsid w:val="00267496"/>
    <w:rsid w:val="002678CE"/>
    <w:rsid w:val="00270C43"/>
    <w:rsid w:val="00273B48"/>
    <w:rsid w:val="002745F0"/>
    <w:rsid w:val="00275B68"/>
    <w:rsid w:val="00280DD3"/>
    <w:rsid w:val="00280F12"/>
    <w:rsid w:val="00282A46"/>
    <w:rsid w:val="00283034"/>
    <w:rsid w:val="002845EA"/>
    <w:rsid w:val="002849AD"/>
    <w:rsid w:val="00285CD9"/>
    <w:rsid w:val="00286EBE"/>
    <w:rsid w:val="00287274"/>
    <w:rsid w:val="002878EB"/>
    <w:rsid w:val="00287D37"/>
    <w:rsid w:val="002906CC"/>
    <w:rsid w:val="00290B9B"/>
    <w:rsid w:val="00292263"/>
    <w:rsid w:val="00295B70"/>
    <w:rsid w:val="002A1695"/>
    <w:rsid w:val="002A2A08"/>
    <w:rsid w:val="002A2D93"/>
    <w:rsid w:val="002A35C0"/>
    <w:rsid w:val="002A4E42"/>
    <w:rsid w:val="002A77C3"/>
    <w:rsid w:val="002A7E88"/>
    <w:rsid w:val="002B10B0"/>
    <w:rsid w:val="002B169C"/>
    <w:rsid w:val="002B1E98"/>
    <w:rsid w:val="002B2583"/>
    <w:rsid w:val="002B4714"/>
    <w:rsid w:val="002B6EFD"/>
    <w:rsid w:val="002B6F33"/>
    <w:rsid w:val="002B79F0"/>
    <w:rsid w:val="002B7F3E"/>
    <w:rsid w:val="002C1D9C"/>
    <w:rsid w:val="002C319D"/>
    <w:rsid w:val="002C366F"/>
    <w:rsid w:val="002C4CA9"/>
    <w:rsid w:val="002D018B"/>
    <w:rsid w:val="002D0576"/>
    <w:rsid w:val="002D09E5"/>
    <w:rsid w:val="002D1076"/>
    <w:rsid w:val="002D20E6"/>
    <w:rsid w:val="002D2270"/>
    <w:rsid w:val="002D27F1"/>
    <w:rsid w:val="002D4519"/>
    <w:rsid w:val="002D52E8"/>
    <w:rsid w:val="002D6924"/>
    <w:rsid w:val="002E25A8"/>
    <w:rsid w:val="002E36DE"/>
    <w:rsid w:val="002E513C"/>
    <w:rsid w:val="002E62C9"/>
    <w:rsid w:val="002E723D"/>
    <w:rsid w:val="002F04DE"/>
    <w:rsid w:val="002F1CD3"/>
    <w:rsid w:val="002F1E98"/>
    <w:rsid w:val="002F20D8"/>
    <w:rsid w:val="002F26ED"/>
    <w:rsid w:val="002F2B64"/>
    <w:rsid w:val="002F2E76"/>
    <w:rsid w:val="002F3393"/>
    <w:rsid w:val="002F377F"/>
    <w:rsid w:val="002F4B27"/>
    <w:rsid w:val="002F51AE"/>
    <w:rsid w:val="002F6E28"/>
    <w:rsid w:val="002F7E68"/>
    <w:rsid w:val="003012D3"/>
    <w:rsid w:val="00301B29"/>
    <w:rsid w:val="00302E5E"/>
    <w:rsid w:val="003030B0"/>
    <w:rsid w:val="0030317C"/>
    <w:rsid w:val="00305111"/>
    <w:rsid w:val="003061E9"/>
    <w:rsid w:val="00307DEF"/>
    <w:rsid w:val="003106AD"/>
    <w:rsid w:val="00310B2D"/>
    <w:rsid w:val="00311D33"/>
    <w:rsid w:val="00313624"/>
    <w:rsid w:val="00313664"/>
    <w:rsid w:val="00314F90"/>
    <w:rsid w:val="00316F5D"/>
    <w:rsid w:val="00327DF9"/>
    <w:rsid w:val="0033102E"/>
    <w:rsid w:val="00331401"/>
    <w:rsid w:val="00331795"/>
    <w:rsid w:val="00332172"/>
    <w:rsid w:val="00332287"/>
    <w:rsid w:val="00333234"/>
    <w:rsid w:val="003338A2"/>
    <w:rsid w:val="00335ED1"/>
    <w:rsid w:val="00336B70"/>
    <w:rsid w:val="00337EF8"/>
    <w:rsid w:val="00342090"/>
    <w:rsid w:val="00342A60"/>
    <w:rsid w:val="0034379D"/>
    <w:rsid w:val="003460E7"/>
    <w:rsid w:val="0034646D"/>
    <w:rsid w:val="00347BE5"/>
    <w:rsid w:val="003522E0"/>
    <w:rsid w:val="0035267F"/>
    <w:rsid w:val="0035580D"/>
    <w:rsid w:val="00360624"/>
    <w:rsid w:val="003626A2"/>
    <w:rsid w:val="00362D8A"/>
    <w:rsid w:val="003639FB"/>
    <w:rsid w:val="00363BF7"/>
    <w:rsid w:val="003653B2"/>
    <w:rsid w:val="003664DC"/>
    <w:rsid w:val="00372721"/>
    <w:rsid w:val="00372E0F"/>
    <w:rsid w:val="003745ED"/>
    <w:rsid w:val="0037508C"/>
    <w:rsid w:val="00380000"/>
    <w:rsid w:val="00380283"/>
    <w:rsid w:val="00382AE5"/>
    <w:rsid w:val="00382C9D"/>
    <w:rsid w:val="00382D96"/>
    <w:rsid w:val="003929D2"/>
    <w:rsid w:val="003932F9"/>
    <w:rsid w:val="00393E3E"/>
    <w:rsid w:val="00393FA5"/>
    <w:rsid w:val="003945AB"/>
    <w:rsid w:val="003A27BB"/>
    <w:rsid w:val="003A5E34"/>
    <w:rsid w:val="003A5E99"/>
    <w:rsid w:val="003B029F"/>
    <w:rsid w:val="003B1BA8"/>
    <w:rsid w:val="003B224C"/>
    <w:rsid w:val="003B3ADE"/>
    <w:rsid w:val="003B673D"/>
    <w:rsid w:val="003B74C5"/>
    <w:rsid w:val="003C01DD"/>
    <w:rsid w:val="003C052A"/>
    <w:rsid w:val="003C2577"/>
    <w:rsid w:val="003C4448"/>
    <w:rsid w:val="003C527B"/>
    <w:rsid w:val="003C7213"/>
    <w:rsid w:val="003D1126"/>
    <w:rsid w:val="003D22D2"/>
    <w:rsid w:val="003D2F1A"/>
    <w:rsid w:val="003D352B"/>
    <w:rsid w:val="003D3537"/>
    <w:rsid w:val="003D3D91"/>
    <w:rsid w:val="003D4508"/>
    <w:rsid w:val="003D4708"/>
    <w:rsid w:val="003D477A"/>
    <w:rsid w:val="003D6749"/>
    <w:rsid w:val="003E45F2"/>
    <w:rsid w:val="003E6615"/>
    <w:rsid w:val="003E6CE1"/>
    <w:rsid w:val="003E79F9"/>
    <w:rsid w:val="003E7EC4"/>
    <w:rsid w:val="003F12E9"/>
    <w:rsid w:val="003F59F4"/>
    <w:rsid w:val="0040068A"/>
    <w:rsid w:val="00401556"/>
    <w:rsid w:val="0040371C"/>
    <w:rsid w:val="00404B29"/>
    <w:rsid w:val="00404DCD"/>
    <w:rsid w:val="0040766C"/>
    <w:rsid w:val="004077D6"/>
    <w:rsid w:val="004100AF"/>
    <w:rsid w:val="00410228"/>
    <w:rsid w:val="004108B3"/>
    <w:rsid w:val="004121E7"/>
    <w:rsid w:val="0041349A"/>
    <w:rsid w:val="00414E51"/>
    <w:rsid w:val="00417C92"/>
    <w:rsid w:val="00420F04"/>
    <w:rsid w:val="00423099"/>
    <w:rsid w:val="00423803"/>
    <w:rsid w:val="00424E79"/>
    <w:rsid w:val="00424FAD"/>
    <w:rsid w:val="00425414"/>
    <w:rsid w:val="0042661C"/>
    <w:rsid w:val="004274B3"/>
    <w:rsid w:val="004300A2"/>
    <w:rsid w:val="00430C4E"/>
    <w:rsid w:val="00430E1D"/>
    <w:rsid w:val="0043271C"/>
    <w:rsid w:val="0043687B"/>
    <w:rsid w:val="0044338E"/>
    <w:rsid w:val="00443EC1"/>
    <w:rsid w:val="00445166"/>
    <w:rsid w:val="00445760"/>
    <w:rsid w:val="004500AB"/>
    <w:rsid w:val="00451378"/>
    <w:rsid w:val="00452BCC"/>
    <w:rsid w:val="00452BEF"/>
    <w:rsid w:val="004530AC"/>
    <w:rsid w:val="00453264"/>
    <w:rsid w:val="0045545A"/>
    <w:rsid w:val="00455B2B"/>
    <w:rsid w:val="00455C80"/>
    <w:rsid w:val="00457F2A"/>
    <w:rsid w:val="00462B54"/>
    <w:rsid w:val="00463064"/>
    <w:rsid w:val="0046652B"/>
    <w:rsid w:val="00466E70"/>
    <w:rsid w:val="00471E8D"/>
    <w:rsid w:val="00472461"/>
    <w:rsid w:val="00474EA3"/>
    <w:rsid w:val="00475294"/>
    <w:rsid w:val="00475647"/>
    <w:rsid w:val="00476110"/>
    <w:rsid w:val="004809B8"/>
    <w:rsid w:val="004821B9"/>
    <w:rsid w:val="0048252D"/>
    <w:rsid w:val="0048273F"/>
    <w:rsid w:val="00484DD3"/>
    <w:rsid w:val="004862D2"/>
    <w:rsid w:val="00491B4A"/>
    <w:rsid w:val="00491D88"/>
    <w:rsid w:val="00493846"/>
    <w:rsid w:val="00494E82"/>
    <w:rsid w:val="004957BD"/>
    <w:rsid w:val="0049605C"/>
    <w:rsid w:val="004965F7"/>
    <w:rsid w:val="004970CF"/>
    <w:rsid w:val="004A2352"/>
    <w:rsid w:val="004A2A48"/>
    <w:rsid w:val="004A3183"/>
    <w:rsid w:val="004A4430"/>
    <w:rsid w:val="004A5173"/>
    <w:rsid w:val="004A7048"/>
    <w:rsid w:val="004B0A0A"/>
    <w:rsid w:val="004B12A9"/>
    <w:rsid w:val="004B1C4B"/>
    <w:rsid w:val="004B4C3C"/>
    <w:rsid w:val="004B60CB"/>
    <w:rsid w:val="004B68B4"/>
    <w:rsid w:val="004C0713"/>
    <w:rsid w:val="004C1CB5"/>
    <w:rsid w:val="004C3334"/>
    <w:rsid w:val="004C3819"/>
    <w:rsid w:val="004C509F"/>
    <w:rsid w:val="004C7126"/>
    <w:rsid w:val="004D03F5"/>
    <w:rsid w:val="004D0A82"/>
    <w:rsid w:val="004D1E25"/>
    <w:rsid w:val="004D2B20"/>
    <w:rsid w:val="004D3769"/>
    <w:rsid w:val="004D3EFF"/>
    <w:rsid w:val="004D70DF"/>
    <w:rsid w:val="004D7CE3"/>
    <w:rsid w:val="004D7F64"/>
    <w:rsid w:val="004E0E82"/>
    <w:rsid w:val="004E4147"/>
    <w:rsid w:val="004E574F"/>
    <w:rsid w:val="004E5D19"/>
    <w:rsid w:val="004E731A"/>
    <w:rsid w:val="004E769A"/>
    <w:rsid w:val="004F19CB"/>
    <w:rsid w:val="004F4899"/>
    <w:rsid w:val="004F4D80"/>
    <w:rsid w:val="004F5286"/>
    <w:rsid w:val="005001AD"/>
    <w:rsid w:val="00500ACD"/>
    <w:rsid w:val="005034E9"/>
    <w:rsid w:val="00504061"/>
    <w:rsid w:val="00505BAE"/>
    <w:rsid w:val="00506956"/>
    <w:rsid w:val="00506F8A"/>
    <w:rsid w:val="005078F6"/>
    <w:rsid w:val="00510699"/>
    <w:rsid w:val="00510E7B"/>
    <w:rsid w:val="0051373F"/>
    <w:rsid w:val="00515380"/>
    <w:rsid w:val="00515DF4"/>
    <w:rsid w:val="005162F5"/>
    <w:rsid w:val="005176CA"/>
    <w:rsid w:val="0051770C"/>
    <w:rsid w:val="005203A0"/>
    <w:rsid w:val="0052715F"/>
    <w:rsid w:val="00532D10"/>
    <w:rsid w:val="00537A77"/>
    <w:rsid w:val="0054000B"/>
    <w:rsid w:val="00541A14"/>
    <w:rsid w:val="005420EA"/>
    <w:rsid w:val="00542972"/>
    <w:rsid w:val="00543F9C"/>
    <w:rsid w:val="005469BB"/>
    <w:rsid w:val="00546D39"/>
    <w:rsid w:val="00547D12"/>
    <w:rsid w:val="00550E84"/>
    <w:rsid w:val="00551368"/>
    <w:rsid w:val="00551516"/>
    <w:rsid w:val="005516BC"/>
    <w:rsid w:val="0055574C"/>
    <w:rsid w:val="00556A2C"/>
    <w:rsid w:val="00557276"/>
    <w:rsid w:val="005577B0"/>
    <w:rsid w:val="00557E13"/>
    <w:rsid w:val="00562084"/>
    <w:rsid w:val="00562BE7"/>
    <w:rsid w:val="00566654"/>
    <w:rsid w:val="00566E4F"/>
    <w:rsid w:val="0056789A"/>
    <w:rsid w:val="00570EED"/>
    <w:rsid w:val="005716FC"/>
    <w:rsid w:val="00571ADF"/>
    <w:rsid w:val="0057424D"/>
    <w:rsid w:val="005742D0"/>
    <w:rsid w:val="00574782"/>
    <w:rsid w:val="00574918"/>
    <w:rsid w:val="00575DEF"/>
    <w:rsid w:val="00577174"/>
    <w:rsid w:val="0057764C"/>
    <w:rsid w:val="00577898"/>
    <w:rsid w:val="00581185"/>
    <w:rsid w:val="00581A7F"/>
    <w:rsid w:val="00583A33"/>
    <w:rsid w:val="005867D2"/>
    <w:rsid w:val="0058707F"/>
    <w:rsid w:val="00587F1E"/>
    <w:rsid w:val="005916E3"/>
    <w:rsid w:val="0059195A"/>
    <w:rsid w:val="00592B45"/>
    <w:rsid w:val="005939DE"/>
    <w:rsid w:val="005951B8"/>
    <w:rsid w:val="00596225"/>
    <w:rsid w:val="005963CC"/>
    <w:rsid w:val="00596E19"/>
    <w:rsid w:val="005A1C78"/>
    <w:rsid w:val="005A241E"/>
    <w:rsid w:val="005A4944"/>
    <w:rsid w:val="005A4BFC"/>
    <w:rsid w:val="005A6824"/>
    <w:rsid w:val="005A6887"/>
    <w:rsid w:val="005A6C2F"/>
    <w:rsid w:val="005A6FED"/>
    <w:rsid w:val="005B1BC4"/>
    <w:rsid w:val="005B1C58"/>
    <w:rsid w:val="005B31E2"/>
    <w:rsid w:val="005B6894"/>
    <w:rsid w:val="005B7121"/>
    <w:rsid w:val="005B7B38"/>
    <w:rsid w:val="005C0D4E"/>
    <w:rsid w:val="005C13B2"/>
    <w:rsid w:val="005C1523"/>
    <w:rsid w:val="005C19E6"/>
    <w:rsid w:val="005C27E3"/>
    <w:rsid w:val="005C2883"/>
    <w:rsid w:val="005C37CB"/>
    <w:rsid w:val="005C459C"/>
    <w:rsid w:val="005C52C7"/>
    <w:rsid w:val="005C55D5"/>
    <w:rsid w:val="005C6737"/>
    <w:rsid w:val="005D1A9F"/>
    <w:rsid w:val="005D2A1B"/>
    <w:rsid w:val="005D3971"/>
    <w:rsid w:val="005D46F8"/>
    <w:rsid w:val="005D4913"/>
    <w:rsid w:val="005D52FA"/>
    <w:rsid w:val="005D57CF"/>
    <w:rsid w:val="005D782A"/>
    <w:rsid w:val="005E266F"/>
    <w:rsid w:val="005E27F1"/>
    <w:rsid w:val="005E5561"/>
    <w:rsid w:val="005E5734"/>
    <w:rsid w:val="005E5E12"/>
    <w:rsid w:val="005E61DC"/>
    <w:rsid w:val="005E73CE"/>
    <w:rsid w:val="005E76A1"/>
    <w:rsid w:val="005E7C0D"/>
    <w:rsid w:val="005F07DC"/>
    <w:rsid w:val="005F0FBE"/>
    <w:rsid w:val="005F57C4"/>
    <w:rsid w:val="005F64FB"/>
    <w:rsid w:val="005F7468"/>
    <w:rsid w:val="00601432"/>
    <w:rsid w:val="00601BDA"/>
    <w:rsid w:val="0060251E"/>
    <w:rsid w:val="00602DDE"/>
    <w:rsid w:val="006041D6"/>
    <w:rsid w:val="00606C49"/>
    <w:rsid w:val="00610EA0"/>
    <w:rsid w:val="00611737"/>
    <w:rsid w:val="006129EF"/>
    <w:rsid w:val="00612D48"/>
    <w:rsid w:val="00614528"/>
    <w:rsid w:val="00614DE8"/>
    <w:rsid w:val="0062177A"/>
    <w:rsid w:val="00621D4C"/>
    <w:rsid w:val="00622388"/>
    <w:rsid w:val="00622669"/>
    <w:rsid w:val="00622908"/>
    <w:rsid w:val="00622FE1"/>
    <w:rsid w:val="00625CE5"/>
    <w:rsid w:val="006270A2"/>
    <w:rsid w:val="00631ED6"/>
    <w:rsid w:val="00635027"/>
    <w:rsid w:val="0063586F"/>
    <w:rsid w:val="00636471"/>
    <w:rsid w:val="00644A7B"/>
    <w:rsid w:val="006467D6"/>
    <w:rsid w:val="0065122C"/>
    <w:rsid w:val="00651428"/>
    <w:rsid w:val="00651F0E"/>
    <w:rsid w:val="00654065"/>
    <w:rsid w:val="006556D9"/>
    <w:rsid w:val="00656258"/>
    <w:rsid w:val="00656396"/>
    <w:rsid w:val="006574FE"/>
    <w:rsid w:val="00657904"/>
    <w:rsid w:val="00661C46"/>
    <w:rsid w:val="00661ED2"/>
    <w:rsid w:val="006652D3"/>
    <w:rsid w:val="00667C5E"/>
    <w:rsid w:val="00667CF3"/>
    <w:rsid w:val="006736DE"/>
    <w:rsid w:val="006769C4"/>
    <w:rsid w:val="00677627"/>
    <w:rsid w:val="00677973"/>
    <w:rsid w:val="00677BD5"/>
    <w:rsid w:val="0068025E"/>
    <w:rsid w:val="00680B20"/>
    <w:rsid w:val="00682CFD"/>
    <w:rsid w:val="00682D55"/>
    <w:rsid w:val="006845C7"/>
    <w:rsid w:val="00685702"/>
    <w:rsid w:val="0068596B"/>
    <w:rsid w:val="0068601B"/>
    <w:rsid w:val="0069010B"/>
    <w:rsid w:val="0069093B"/>
    <w:rsid w:val="00690EBF"/>
    <w:rsid w:val="00693C87"/>
    <w:rsid w:val="0069418E"/>
    <w:rsid w:val="006A0196"/>
    <w:rsid w:val="006A05C7"/>
    <w:rsid w:val="006A0A6E"/>
    <w:rsid w:val="006A32E7"/>
    <w:rsid w:val="006A33B3"/>
    <w:rsid w:val="006A353C"/>
    <w:rsid w:val="006A406C"/>
    <w:rsid w:val="006A58C2"/>
    <w:rsid w:val="006A607B"/>
    <w:rsid w:val="006A6E27"/>
    <w:rsid w:val="006A72B0"/>
    <w:rsid w:val="006A75C2"/>
    <w:rsid w:val="006A78D4"/>
    <w:rsid w:val="006A7DAD"/>
    <w:rsid w:val="006B1005"/>
    <w:rsid w:val="006B1079"/>
    <w:rsid w:val="006B122B"/>
    <w:rsid w:val="006B133E"/>
    <w:rsid w:val="006B33EF"/>
    <w:rsid w:val="006B3E4D"/>
    <w:rsid w:val="006B570C"/>
    <w:rsid w:val="006B58D4"/>
    <w:rsid w:val="006B5918"/>
    <w:rsid w:val="006B5920"/>
    <w:rsid w:val="006C19A8"/>
    <w:rsid w:val="006C1A61"/>
    <w:rsid w:val="006C2A14"/>
    <w:rsid w:val="006C2F90"/>
    <w:rsid w:val="006C373D"/>
    <w:rsid w:val="006C45E9"/>
    <w:rsid w:val="006C4824"/>
    <w:rsid w:val="006C52B9"/>
    <w:rsid w:val="006C64BC"/>
    <w:rsid w:val="006D15C2"/>
    <w:rsid w:val="006D1CD9"/>
    <w:rsid w:val="006D1DFE"/>
    <w:rsid w:val="006E0B66"/>
    <w:rsid w:val="006E0E65"/>
    <w:rsid w:val="006E42C2"/>
    <w:rsid w:val="006E5515"/>
    <w:rsid w:val="006E6BC2"/>
    <w:rsid w:val="006E77BB"/>
    <w:rsid w:val="006F083F"/>
    <w:rsid w:val="006F4A74"/>
    <w:rsid w:val="006F5956"/>
    <w:rsid w:val="006F70B7"/>
    <w:rsid w:val="00701347"/>
    <w:rsid w:val="0070150E"/>
    <w:rsid w:val="00705DB8"/>
    <w:rsid w:val="007070EB"/>
    <w:rsid w:val="00710036"/>
    <w:rsid w:val="00713225"/>
    <w:rsid w:val="00717411"/>
    <w:rsid w:val="00717EC9"/>
    <w:rsid w:val="00721B52"/>
    <w:rsid w:val="0072285E"/>
    <w:rsid w:val="00723BEE"/>
    <w:rsid w:val="0072512A"/>
    <w:rsid w:val="00727485"/>
    <w:rsid w:val="00731EE6"/>
    <w:rsid w:val="00732258"/>
    <w:rsid w:val="00733D6E"/>
    <w:rsid w:val="0073441B"/>
    <w:rsid w:val="007349CB"/>
    <w:rsid w:val="007355A6"/>
    <w:rsid w:val="00740A71"/>
    <w:rsid w:val="00742A05"/>
    <w:rsid w:val="00744641"/>
    <w:rsid w:val="00745B2D"/>
    <w:rsid w:val="00746807"/>
    <w:rsid w:val="007472AE"/>
    <w:rsid w:val="007477C5"/>
    <w:rsid w:val="00747938"/>
    <w:rsid w:val="00752E27"/>
    <w:rsid w:val="007540DA"/>
    <w:rsid w:val="00756606"/>
    <w:rsid w:val="00756850"/>
    <w:rsid w:val="00760291"/>
    <w:rsid w:val="007618BE"/>
    <w:rsid w:val="00762803"/>
    <w:rsid w:val="00762AFB"/>
    <w:rsid w:val="007650BA"/>
    <w:rsid w:val="007657E8"/>
    <w:rsid w:val="00765BA8"/>
    <w:rsid w:val="00766007"/>
    <w:rsid w:val="00766FAE"/>
    <w:rsid w:val="00770A26"/>
    <w:rsid w:val="00771461"/>
    <w:rsid w:val="00771630"/>
    <w:rsid w:val="00771E96"/>
    <w:rsid w:val="00772A67"/>
    <w:rsid w:val="00773A1C"/>
    <w:rsid w:val="00774CA4"/>
    <w:rsid w:val="00774FD0"/>
    <w:rsid w:val="0077503E"/>
    <w:rsid w:val="00777DA5"/>
    <w:rsid w:val="00781846"/>
    <w:rsid w:val="007858D2"/>
    <w:rsid w:val="00787736"/>
    <w:rsid w:val="00790AF5"/>
    <w:rsid w:val="00790CD6"/>
    <w:rsid w:val="007914FD"/>
    <w:rsid w:val="00791509"/>
    <w:rsid w:val="007951A1"/>
    <w:rsid w:val="007A075F"/>
    <w:rsid w:val="007A1364"/>
    <w:rsid w:val="007A24A0"/>
    <w:rsid w:val="007A4AB2"/>
    <w:rsid w:val="007A537C"/>
    <w:rsid w:val="007A5CA8"/>
    <w:rsid w:val="007A5E68"/>
    <w:rsid w:val="007A719A"/>
    <w:rsid w:val="007A720E"/>
    <w:rsid w:val="007A7576"/>
    <w:rsid w:val="007A7CB7"/>
    <w:rsid w:val="007B07F9"/>
    <w:rsid w:val="007B16CB"/>
    <w:rsid w:val="007B1BF7"/>
    <w:rsid w:val="007B1C6D"/>
    <w:rsid w:val="007B330B"/>
    <w:rsid w:val="007B5420"/>
    <w:rsid w:val="007B5C7E"/>
    <w:rsid w:val="007C404B"/>
    <w:rsid w:val="007C4BAE"/>
    <w:rsid w:val="007C6F2E"/>
    <w:rsid w:val="007C7EAF"/>
    <w:rsid w:val="007D1D3B"/>
    <w:rsid w:val="007D474B"/>
    <w:rsid w:val="007D5960"/>
    <w:rsid w:val="007E0065"/>
    <w:rsid w:val="007E0105"/>
    <w:rsid w:val="007E06DC"/>
    <w:rsid w:val="007E114E"/>
    <w:rsid w:val="007E43FD"/>
    <w:rsid w:val="007E487F"/>
    <w:rsid w:val="007E4B2D"/>
    <w:rsid w:val="007E551E"/>
    <w:rsid w:val="007E587D"/>
    <w:rsid w:val="007E6082"/>
    <w:rsid w:val="007E65AC"/>
    <w:rsid w:val="007E6757"/>
    <w:rsid w:val="007E71E9"/>
    <w:rsid w:val="007E7518"/>
    <w:rsid w:val="007F1873"/>
    <w:rsid w:val="007F1D06"/>
    <w:rsid w:val="007F3C36"/>
    <w:rsid w:val="007F5D0F"/>
    <w:rsid w:val="007F5E2F"/>
    <w:rsid w:val="007F61CF"/>
    <w:rsid w:val="007F62CC"/>
    <w:rsid w:val="007F6E4D"/>
    <w:rsid w:val="008010D7"/>
    <w:rsid w:val="00803443"/>
    <w:rsid w:val="00805AD3"/>
    <w:rsid w:val="0080680D"/>
    <w:rsid w:val="008115FB"/>
    <w:rsid w:val="00812C05"/>
    <w:rsid w:val="0081322A"/>
    <w:rsid w:val="008137D1"/>
    <w:rsid w:val="008162AB"/>
    <w:rsid w:val="008163A0"/>
    <w:rsid w:val="00821CC8"/>
    <w:rsid w:val="00823D90"/>
    <w:rsid w:val="00830949"/>
    <w:rsid w:val="00835BAC"/>
    <w:rsid w:val="00836425"/>
    <w:rsid w:val="00837373"/>
    <w:rsid w:val="00840025"/>
    <w:rsid w:val="008410B9"/>
    <w:rsid w:val="00842EE1"/>
    <w:rsid w:val="0084324D"/>
    <w:rsid w:val="00843E6F"/>
    <w:rsid w:val="00844FC3"/>
    <w:rsid w:val="00846E4A"/>
    <w:rsid w:val="00850862"/>
    <w:rsid w:val="00850A16"/>
    <w:rsid w:val="00850E09"/>
    <w:rsid w:val="00851AF5"/>
    <w:rsid w:val="00851FB5"/>
    <w:rsid w:val="00854DAA"/>
    <w:rsid w:val="00854F02"/>
    <w:rsid w:val="0085564A"/>
    <w:rsid w:val="0086002B"/>
    <w:rsid w:val="008601B0"/>
    <w:rsid w:val="00860E33"/>
    <w:rsid w:val="008638E9"/>
    <w:rsid w:val="00863E42"/>
    <w:rsid w:val="008647DE"/>
    <w:rsid w:val="00864B95"/>
    <w:rsid w:val="0086506D"/>
    <w:rsid w:val="00870264"/>
    <w:rsid w:val="008734E1"/>
    <w:rsid w:val="00874F2C"/>
    <w:rsid w:val="00875271"/>
    <w:rsid w:val="00876E65"/>
    <w:rsid w:val="0087754E"/>
    <w:rsid w:val="008800D3"/>
    <w:rsid w:val="0088256A"/>
    <w:rsid w:val="008864B8"/>
    <w:rsid w:val="00886CDD"/>
    <w:rsid w:val="008873F5"/>
    <w:rsid w:val="008907EF"/>
    <w:rsid w:val="008918DE"/>
    <w:rsid w:val="0089214D"/>
    <w:rsid w:val="008931D3"/>
    <w:rsid w:val="008939C4"/>
    <w:rsid w:val="00893B45"/>
    <w:rsid w:val="00893C0D"/>
    <w:rsid w:val="008941BD"/>
    <w:rsid w:val="008954C0"/>
    <w:rsid w:val="008A20DA"/>
    <w:rsid w:val="008A3702"/>
    <w:rsid w:val="008A45BC"/>
    <w:rsid w:val="008A4658"/>
    <w:rsid w:val="008A64A5"/>
    <w:rsid w:val="008A75AE"/>
    <w:rsid w:val="008B138D"/>
    <w:rsid w:val="008B145E"/>
    <w:rsid w:val="008B3234"/>
    <w:rsid w:val="008B4CC2"/>
    <w:rsid w:val="008B5C8F"/>
    <w:rsid w:val="008B5F16"/>
    <w:rsid w:val="008B6A83"/>
    <w:rsid w:val="008B7722"/>
    <w:rsid w:val="008C0E5C"/>
    <w:rsid w:val="008C2747"/>
    <w:rsid w:val="008C2FC3"/>
    <w:rsid w:val="008C54E4"/>
    <w:rsid w:val="008C621A"/>
    <w:rsid w:val="008C74C9"/>
    <w:rsid w:val="008D14B7"/>
    <w:rsid w:val="008D348B"/>
    <w:rsid w:val="008D34F8"/>
    <w:rsid w:val="008E2B17"/>
    <w:rsid w:val="008E2BE4"/>
    <w:rsid w:val="008E3C94"/>
    <w:rsid w:val="008E6B4E"/>
    <w:rsid w:val="008E7970"/>
    <w:rsid w:val="008E7C34"/>
    <w:rsid w:val="008F0C36"/>
    <w:rsid w:val="008F377B"/>
    <w:rsid w:val="008F4BFD"/>
    <w:rsid w:val="008F4EA9"/>
    <w:rsid w:val="009007D6"/>
    <w:rsid w:val="00902F77"/>
    <w:rsid w:val="00906125"/>
    <w:rsid w:val="00906B82"/>
    <w:rsid w:val="00907308"/>
    <w:rsid w:val="00910BF7"/>
    <w:rsid w:val="00913A3B"/>
    <w:rsid w:val="00913C8F"/>
    <w:rsid w:val="00915512"/>
    <w:rsid w:val="00916CBD"/>
    <w:rsid w:val="0091780B"/>
    <w:rsid w:val="009233CC"/>
    <w:rsid w:val="009240D8"/>
    <w:rsid w:val="0092523D"/>
    <w:rsid w:val="009253F2"/>
    <w:rsid w:val="009343AB"/>
    <w:rsid w:val="00935A07"/>
    <w:rsid w:val="009360D7"/>
    <w:rsid w:val="009362C9"/>
    <w:rsid w:val="0094041F"/>
    <w:rsid w:val="00941DC2"/>
    <w:rsid w:val="00942387"/>
    <w:rsid w:val="009439B6"/>
    <w:rsid w:val="009446ED"/>
    <w:rsid w:val="0094626F"/>
    <w:rsid w:val="009462D2"/>
    <w:rsid w:val="00946DE6"/>
    <w:rsid w:val="00951427"/>
    <w:rsid w:val="00951A00"/>
    <w:rsid w:val="009547AC"/>
    <w:rsid w:val="00957C4D"/>
    <w:rsid w:val="009603F0"/>
    <w:rsid w:val="00961740"/>
    <w:rsid w:val="00962896"/>
    <w:rsid w:val="00962FF7"/>
    <w:rsid w:val="00963A8A"/>
    <w:rsid w:val="009652D5"/>
    <w:rsid w:val="009677F8"/>
    <w:rsid w:val="00970ED7"/>
    <w:rsid w:val="00971146"/>
    <w:rsid w:val="00972A9A"/>
    <w:rsid w:val="00973F53"/>
    <w:rsid w:val="00974ABB"/>
    <w:rsid w:val="00975D78"/>
    <w:rsid w:val="00984216"/>
    <w:rsid w:val="00986F83"/>
    <w:rsid w:val="009901D8"/>
    <w:rsid w:val="00991499"/>
    <w:rsid w:val="00991675"/>
    <w:rsid w:val="00992008"/>
    <w:rsid w:val="0099357C"/>
    <w:rsid w:val="00995A9C"/>
    <w:rsid w:val="00996409"/>
    <w:rsid w:val="00996D00"/>
    <w:rsid w:val="009A03DC"/>
    <w:rsid w:val="009A1D02"/>
    <w:rsid w:val="009A3381"/>
    <w:rsid w:val="009A5421"/>
    <w:rsid w:val="009A54C8"/>
    <w:rsid w:val="009A6CF3"/>
    <w:rsid w:val="009B0099"/>
    <w:rsid w:val="009B0257"/>
    <w:rsid w:val="009B15B9"/>
    <w:rsid w:val="009B1BC7"/>
    <w:rsid w:val="009B1FF1"/>
    <w:rsid w:val="009B2C78"/>
    <w:rsid w:val="009B4086"/>
    <w:rsid w:val="009B43BF"/>
    <w:rsid w:val="009B4A2D"/>
    <w:rsid w:val="009B4B4A"/>
    <w:rsid w:val="009B5A07"/>
    <w:rsid w:val="009C11B9"/>
    <w:rsid w:val="009C1E0B"/>
    <w:rsid w:val="009C27E1"/>
    <w:rsid w:val="009C451E"/>
    <w:rsid w:val="009C460C"/>
    <w:rsid w:val="009C4702"/>
    <w:rsid w:val="009C7229"/>
    <w:rsid w:val="009C7315"/>
    <w:rsid w:val="009C7659"/>
    <w:rsid w:val="009D545A"/>
    <w:rsid w:val="009D60F6"/>
    <w:rsid w:val="009D6D44"/>
    <w:rsid w:val="009D71CD"/>
    <w:rsid w:val="009E0EA7"/>
    <w:rsid w:val="009E1134"/>
    <w:rsid w:val="009E1B2F"/>
    <w:rsid w:val="009E1DDB"/>
    <w:rsid w:val="009E22FA"/>
    <w:rsid w:val="009E4744"/>
    <w:rsid w:val="009E496F"/>
    <w:rsid w:val="009E4EC9"/>
    <w:rsid w:val="009E5D5A"/>
    <w:rsid w:val="009E7F9B"/>
    <w:rsid w:val="009F1E60"/>
    <w:rsid w:val="009F2262"/>
    <w:rsid w:val="009F4ADA"/>
    <w:rsid w:val="009F59EA"/>
    <w:rsid w:val="009F6A0D"/>
    <w:rsid w:val="009F78FF"/>
    <w:rsid w:val="00A00C7B"/>
    <w:rsid w:val="00A01521"/>
    <w:rsid w:val="00A01741"/>
    <w:rsid w:val="00A06F2C"/>
    <w:rsid w:val="00A07991"/>
    <w:rsid w:val="00A10A22"/>
    <w:rsid w:val="00A10CDE"/>
    <w:rsid w:val="00A134AA"/>
    <w:rsid w:val="00A13746"/>
    <w:rsid w:val="00A1680D"/>
    <w:rsid w:val="00A16CB4"/>
    <w:rsid w:val="00A17F4F"/>
    <w:rsid w:val="00A20705"/>
    <w:rsid w:val="00A2269F"/>
    <w:rsid w:val="00A23AB0"/>
    <w:rsid w:val="00A2461D"/>
    <w:rsid w:val="00A246F7"/>
    <w:rsid w:val="00A247E5"/>
    <w:rsid w:val="00A258BC"/>
    <w:rsid w:val="00A25948"/>
    <w:rsid w:val="00A26570"/>
    <w:rsid w:val="00A26574"/>
    <w:rsid w:val="00A266C5"/>
    <w:rsid w:val="00A26923"/>
    <w:rsid w:val="00A309C6"/>
    <w:rsid w:val="00A319A4"/>
    <w:rsid w:val="00A32A91"/>
    <w:rsid w:val="00A32E4E"/>
    <w:rsid w:val="00A3301D"/>
    <w:rsid w:val="00A36F84"/>
    <w:rsid w:val="00A4012A"/>
    <w:rsid w:val="00A42C20"/>
    <w:rsid w:val="00A45D72"/>
    <w:rsid w:val="00A47203"/>
    <w:rsid w:val="00A47F41"/>
    <w:rsid w:val="00A505DE"/>
    <w:rsid w:val="00A507CD"/>
    <w:rsid w:val="00A52880"/>
    <w:rsid w:val="00A52FCE"/>
    <w:rsid w:val="00A5327C"/>
    <w:rsid w:val="00A53500"/>
    <w:rsid w:val="00A5617D"/>
    <w:rsid w:val="00A5721C"/>
    <w:rsid w:val="00A62E0F"/>
    <w:rsid w:val="00A641CD"/>
    <w:rsid w:val="00A66373"/>
    <w:rsid w:val="00A66F66"/>
    <w:rsid w:val="00A678F0"/>
    <w:rsid w:val="00A67913"/>
    <w:rsid w:val="00A70601"/>
    <w:rsid w:val="00A70A43"/>
    <w:rsid w:val="00A71C8B"/>
    <w:rsid w:val="00A75838"/>
    <w:rsid w:val="00A75AA6"/>
    <w:rsid w:val="00A807CE"/>
    <w:rsid w:val="00A8163F"/>
    <w:rsid w:val="00A81A94"/>
    <w:rsid w:val="00A85692"/>
    <w:rsid w:val="00A85D0F"/>
    <w:rsid w:val="00A8691B"/>
    <w:rsid w:val="00A87916"/>
    <w:rsid w:val="00A90F66"/>
    <w:rsid w:val="00A931EB"/>
    <w:rsid w:val="00A9681E"/>
    <w:rsid w:val="00AA007A"/>
    <w:rsid w:val="00AA02EC"/>
    <w:rsid w:val="00AA0AC4"/>
    <w:rsid w:val="00AA0BB8"/>
    <w:rsid w:val="00AA2932"/>
    <w:rsid w:val="00AA35B4"/>
    <w:rsid w:val="00AA415C"/>
    <w:rsid w:val="00AA4503"/>
    <w:rsid w:val="00AA47A3"/>
    <w:rsid w:val="00AA5D82"/>
    <w:rsid w:val="00AA6784"/>
    <w:rsid w:val="00AA7EA3"/>
    <w:rsid w:val="00AB073E"/>
    <w:rsid w:val="00AB1A13"/>
    <w:rsid w:val="00AB4A86"/>
    <w:rsid w:val="00AB4E9F"/>
    <w:rsid w:val="00AB585C"/>
    <w:rsid w:val="00AB7A22"/>
    <w:rsid w:val="00AC0108"/>
    <w:rsid w:val="00AC210F"/>
    <w:rsid w:val="00AC319E"/>
    <w:rsid w:val="00AC382C"/>
    <w:rsid w:val="00AC4140"/>
    <w:rsid w:val="00AC441C"/>
    <w:rsid w:val="00AD1D14"/>
    <w:rsid w:val="00AD2875"/>
    <w:rsid w:val="00AD52E0"/>
    <w:rsid w:val="00AD7CDF"/>
    <w:rsid w:val="00AE24E3"/>
    <w:rsid w:val="00AE3A1E"/>
    <w:rsid w:val="00AE3A64"/>
    <w:rsid w:val="00AE3A82"/>
    <w:rsid w:val="00AE60F3"/>
    <w:rsid w:val="00AE6783"/>
    <w:rsid w:val="00AE68B3"/>
    <w:rsid w:val="00AE734F"/>
    <w:rsid w:val="00AF02D1"/>
    <w:rsid w:val="00AF0382"/>
    <w:rsid w:val="00AF2656"/>
    <w:rsid w:val="00AF3FE1"/>
    <w:rsid w:val="00AF6110"/>
    <w:rsid w:val="00AF6AC6"/>
    <w:rsid w:val="00AF7408"/>
    <w:rsid w:val="00B00611"/>
    <w:rsid w:val="00B0142B"/>
    <w:rsid w:val="00B01845"/>
    <w:rsid w:val="00B019B2"/>
    <w:rsid w:val="00B025A2"/>
    <w:rsid w:val="00B04354"/>
    <w:rsid w:val="00B067CA"/>
    <w:rsid w:val="00B07DBC"/>
    <w:rsid w:val="00B10BD6"/>
    <w:rsid w:val="00B12611"/>
    <w:rsid w:val="00B14585"/>
    <w:rsid w:val="00B1521A"/>
    <w:rsid w:val="00B1685C"/>
    <w:rsid w:val="00B20FD7"/>
    <w:rsid w:val="00B21071"/>
    <w:rsid w:val="00B249FC"/>
    <w:rsid w:val="00B25247"/>
    <w:rsid w:val="00B25651"/>
    <w:rsid w:val="00B30957"/>
    <w:rsid w:val="00B31197"/>
    <w:rsid w:val="00B31236"/>
    <w:rsid w:val="00B317E7"/>
    <w:rsid w:val="00B3267C"/>
    <w:rsid w:val="00B33A57"/>
    <w:rsid w:val="00B33BF3"/>
    <w:rsid w:val="00B33D30"/>
    <w:rsid w:val="00B34083"/>
    <w:rsid w:val="00B3504A"/>
    <w:rsid w:val="00B351E4"/>
    <w:rsid w:val="00B37728"/>
    <w:rsid w:val="00B41973"/>
    <w:rsid w:val="00B42C3D"/>
    <w:rsid w:val="00B45C64"/>
    <w:rsid w:val="00B46A32"/>
    <w:rsid w:val="00B46B29"/>
    <w:rsid w:val="00B47640"/>
    <w:rsid w:val="00B479D0"/>
    <w:rsid w:val="00B51760"/>
    <w:rsid w:val="00B527FB"/>
    <w:rsid w:val="00B52EE8"/>
    <w:rsid w:val="00B53248"/>
    <w:rsid w:val="00B53547"/>
    <w:rsid w:val="00B53597"/>
    <w:rsid w:val="00B545C0"/>
    <w:rsid w:val="00B55D3E"/>
    <w:rsid w:val="00B56E65"/>
    <w:rsid w:val="00B60DFA"/>
    <w:rsid w:val="00B60EDA"/>
    <w:rsid w:val="00B62590"/>
    <w:rsid w:val="00B62F71"/>
    <w:rsid w:val="00B65624"/>
    <w:rsid w:val="00B6729F"/>
    <w:rsid w:val="00B706E2"/>
    <w:rsid w:val="00B71D32"/>
    <w:rsid w:val="00B743D3"/>
    <w:rsid w:val="00B7517F"/>
    <w:rsid w:val="00B77940"/>
    <w:rsid w:val="00B81991"/>
    <w:rsid w:val="00B8201D"/>
    <w:rsid w:val="00B82274"/>
    <w:rsid w:val="00B82627"/>
    <w:rsid w:val="00B83FEA"/>
    <w:rsid w:val="00B84271"/>
    <w:rsid w:val="00B84AA9"/>
    <w:rsid w:val="00B86F32"/>
    <w:rsid w:val="00B875CE"/>
    <w:rsid w:val="00B90AA7"/>
    <w:rsid w:val="00B94335"/>
    <w:rsid w:val="00B94580"/>
    <w:rsid w:val="00BA2598"/>
    <w:rsid w:val="00BA3358"/>
    <w:rsid w:val="00BA38F6"/>
    <w:rsid w:val="00BA6289"/>
    <w:rsid w:val="00BA65E5"/>
    <w:rsid w:val="00BA6EDC"/>
    <w:rsid w:val="00BB09DF"/>
    <w:rsid w:val="00BB354B"/>
    <w:rsid w:val="00BB3BE3"/>
    <w:rsid w:val="00BB3FC5"/>
    <w:rsid w:val="00BB514C"/>
    <w:rsid w:val="00BB7EB6"/>
    <w:rsid w:val="00BC0A5A"/>
    <w:rsid w:val="00BC0A66"/>
    <w:rsid w:val="00BC23DA"/>
    <w:rsid w:val="00BC2B3B"/>
    <w:rsid w:val="00BC3C06"/>
    <w:rsid w:val="00BC4579"/>
    <w:rsid w:val="00BC4B6C"/>
    <w:rsid w:val="00BC4C75"/>
    <w:rsid w:val="00BC573A"/>
    <w:rsid w:val="00BC7A9B"/>
    <w:rsid w:val="00BD0409"/>
    <w:rsid w:val="00BD3D24"/>
    <w:rsid w:val="00BD4944"/>
    <w:rsid w:val="00BD79FC"/>
    <w:rsid w:val="00BE0A8D"/>
    <w:rsid w:val="00BE0AD2"/>
    <w:rsid w:val="00BE418D"/>
    <w:rsid w:val="00BE52E0"/>
    <w:rsid w:val="00BE63AE"/>
    <w:rsid w:val="00BE677A"/>
    <w:rsid w:val="00BF0C58"/>
    <w:rsid w:val="00BF0E86"/>
    <w:rsid w:val="00BF0F40"/>
    <w:rsid w:val="00BF3ED2"/>
    <w:rsid w:val="00BF4664"/>
    <w:rsid w:val="00BF5EC3"/>
    <w:rsid w:val="00BF6178"/>
    <w:rsid w:val="00C0018A"/>
    <w:rsid w:val="00C00905"/>
    <w:rsid w:val="00C011CC"/>
    <w:rsid w:val="00C016DD"/>
    <w:rsid w:val="00C025E7"/>
    <w:rsid w:val="00C035B5"/>
    <w:rsid w:val="00C0482B"/>
    <w:rsid w:val="00C04D4E"/>
    <w:rsid w:val="00C065E9"/>
    <w:rsid w:val="00C06B69"/>
    <w:rsid w:val="00C06E96"/>
    <w:rsid w:val="00C10D78"/>
    <w:rsid w:val="00C119C6"/>
    <w:rsid w:val="00C11ABD"/>
    <w:rsid w:val="00C14FB2"/>
    <w:rsid w:val="00C15E0F"/>
    <w:rsid w:val="00C1603C"/>
    <w:rsid w:val="00C176AC"/>
    <w:rsid w:val="00C178D9"/>
    <w:rsid w:val="00C21EF9"/>
    <w:rsid w:val="00C22232"/>
    <w:rsid w:val="00C222F7"/>
    <w:rsid w:val="00C2351D"/>
    <w:rsid w:val="00C24839"/>
    <w:rsid w:val="00C26938"/>
    <w:rsid w:val="00C276E8"/>
    <w:rsid w:val="00C276F6"/>
    <w:rsid w:val="00C27C23"/>
    <w:rsid w:val="00C3161E"/>
    <w:rsid w:val="00C321B8"/>
    <w:rsid w:val="00C34225"/>
    <w:rsid w:val="00C3681C"/>
    <w:rsid w:val="00C372BC"/>
    <w:rsid w:val="00C37BAE"/>
    <w:rsid w:val="00C41C84"/>
    <w:rsid w:val="00C43340"/>
    <w:rsid w:val="00C448A0"/>
    <w:rsid w:val="00C46FB5"/>
    <w:rsid w:val="00C4735F"/>
    <w:rsid w:val="00C51190"/>
    <w:rsid w:val="00C515B0"/>
    <w:rsid w:val="00C53186"/>
    <w:rsid w:val="00C54DDD"/>
    <w:rsid w:val="00C554D4"/>
    <w:rsid w:val="00C568A0"/>
    <w:rsid w:val="00C57B38"/>
    <w:rsid w:val="00C61270"/>
    <w:rsid w:val="00C61B02"/>
    <w:rsid w:val="00C61F1C"/>
    <w:rsid w:val="00C62B21"/>
    <w:rsid w:val="00C63617"/>
    <w:rsid w:val="00C6433C"/>
    <w:rsid w:val="00C670D9"/>
    <w:rsid w:val="00C70498"/>
    <w:rsid w:val="00C7055A"/>
    <w:rsid w:val="00C719A2"/>
    <w:rsid w:val="00C71CA1"/>
    <w:rsid w:val="00C71E0C"/>
    <w:rsid w:val="00C72165"/>
    <w:rsid w:val="00C81D8C"/>
    <w:rsid w:val="00C82BCD"/>
    <w:rsid w:val="00C83041"/>
    <w:rsid w:val="00C830C5"/>
    <w:rsid w:val="00C84DA2"/>
    <w:rsid w:val="00C87E57"/>
    <w:rsid w:val="00C90B42"/>
    <w:rsid w:val="00C9475D"/>
    <w:rsid w:val="00C9484A"/>
    <w:rsid w:val="00C95056"/>
    <w:rsid w:val="00C951FD"/>
    <w:rsid w:val="00C964D4"/>
    <w:rsid w:val="00C96782"/>
    <w:rsid w:val="00C9698A"/>
    <w:rsid w:val="00CA0399"/>
    <w:rsid w:val="00CA0CC4"/>
    <w:rsid w:val="00CA2232"/>
    <w:rsid w:val="00CA27FF"/>
    <w:rsid w:val="00CA7C08"/>
    <w:rsid w:val="00CA7F28"/>
    <w:rsid w:val="00CB0478"/>
    <w:rsid w:val="00CB0768"/>
    <w:rsid w:val="00CB131F"/>
    <w:rsid w:val="00CB13D3"/>
    <w:rsid w:val="00CB17EB"/>
    <w:rsid w:val="00CB32B8"/>
    <w:rsid w:val="00CB4552"/>
    <w:rsid w:val="00CB4DCD"/>
    <w:rsid w:val="00CB4F2D"/>
    <w:rsid w:val="00CB52EB"/>
    <w:rsid w:val="00CC00BF"/>
    <w:rsid w:val="00CC08DB"/>
    <w:rsid w:val="00CC1690"/>
    <w:rsid w:val="00CC172F"/>
    <w:rsid w:val="00CC2C1F"/>
    <w:rsid w:val="00CC4321"/>
    <w:rsid w:val="00CC4482"/>
    <w:rsid w:val="00CC4763"/>
    <w:rsid w:val="00CC55A9"/>
    <w:rsid w:val="00CC665A"/>
    <w:rsid w:val="00CC71D5"/>
    <w:rsid w:val="00CD0C0B"/>
    <w:rsid w:val="00CD2076"/>
    <w:rsid w:val="00CD6A92"/>
    <w:rsid w:val="00CD6D5E"/>
    <w:rsid w:val="00CE016C"/>
    <w:rsid w:val="00CE04A0"/>
    <w:rsid w:val="00CE3212"/>
    <w:rsid w:val="00CE34DC"/>
    <w:rsid w:val="00CE387A"/>
    <w:rsid w:val="00CE610E"/>
    <w:rsid w:val="00CE6701"/>
    <w:rsid w:val="00CE75EA"/>
    <w:rsid w:val="00CF1E79"/>
    <w:rsid w:val="00D00216"/>
    <w:rsid w:val="00D002B2"/>
    <w:rsid w:val="00D01F25"/>
    <w:rsid w:val="00D04144"/>
    <w:rsid w:val="00D07640"/>
    <w:rsid w:val="00D07FB4"/>
    <w:rsid w:val="00D10898"/>
    <w:rsid w:val="00D1115E"/>
    <w:rsid w:val="00D158D1"/>
    <w:rsid w:val="00D21FA8"/>
    <w:rsid w:val="00D2219F"/>
    <w:rsid w:val="00D236B7"/>
    <w:rsid w:val="00D23E48"/>
    <w:rsid w:val="00D244BE"/>
    <w:rsid w:val="00D33D89"/>
    <w:rsid w:val="00D342ED"/>
    <w:rsid w:val="00D354D2"/>
    <w:rsid w:val="00D418C1"/>
    <w:rsid w:val="00D42302"/>
    <w:rsid w:val="00D42665"/>
    <w:rsid w:val="00D4297A"/>
    <w:rsid w:val="00D43096"/>
    <w:rsid w:val="00D43578"/>
    <w:rsid w:val="00D463FC"/>
    <w:rsid w:val="00D467D6"/>
    <w:rsid w:val="00D46AB2"/>
    <w:rsid w:val="00D473A6"/>
    <w:rsid w:val="00D47815"/>
    <w:rsid w:val="00D50759"/>
    <w:rsid w:val="00D5089D"/>
    <w:rsid w:val="00D533B0"/>
    <w:rsid w:val="00D5719B"/>
    <w:rsid w:val="00D604B2"/>
    <w:rsid w:val="00D6060E"/>
    <w:rsid w:val="00D62657"/>
    <w:rsid w:val="00D628A5"/>
    <w:rsid w:val="00D62BD0"/>
    <w:rsid w:val="00D6306E"/>
    <w:rsid w:val="00D640CA"/>
    <w:rsid w:val="00D64F6D"/>
    <w:rsid w:val="00D656EB"/>
    <w:rsid w:val="00D657AA"/>
    <w:rsid w:val="00D666FB"/>
    <w:rsid w:val="00D73576"/>
    <w:rsid w:val="00D75EB8"/>
    <w:rsid w:val="00D771FD"/>
    <w:rsid w:val="00D7796D"/>
    <w:rsid w:val="00D80330"/>
    <w:rsid w:val="00D81B18"/>
    <w:rsid w:val="00D83541"/>
    <w:rsid w:val="00D8431F"/>
    <w:rsid w:val="00D87099"/>
    <w:rsid w:val="00D91AA7"/>
    <w:rsid w:val="00D92A07"/>
    <w:rsid w:val="00D93A16"/>
    <w:rsid w:val="00D9496D"/>
    <w:rsid w:val="00D94FFA"/>
    <w:rsid w:val="00D95546"/>
    <w:rsid w:val="00D95A0B"/>
    <w:rsid w:val="00D97575"/>
    <w:rsid w:val="00D9775E"/>
    <w:rsid w:val="00DA0768"/>
    <w:rsid w:val="00DA161A"/>
    <w:rsid w:val="00DA311B"/>
    <w:rsid w:val="00DA4F58"/>
    <w:rsid w:val="00DA5A94"/>
    <w:rsid w:val="00DA67D1"/>
    <w:rsid w:val="00DA71CA"/>
    <w:rsid w:val="00DA7DE4"/>
    <w:rsid w:val="00DB0871"/>
    <w:rsid w:val="00DB0A7B"/>
    <w:rsid w:val="00DB0F1F"/>
    <w:rsid w:val="00DB22C4"/>
    <w:rsid w:val="00DB2355"/>
    <w:rsid w:val="00DB26E1"/>
    <w:rsid w:val="00DB37AE"/>
    <w:rsid w:val="00DB3BB4"/>
    <w:rsid w:val="00DB5F76"/>
    <w:rsid w:val="00DB74F3"/>
    <w:rsid w:val="00DC0E60"/>
    <w:rsid w:val="00DC0F02"/>
    <w:rsid w:val="00DC0F8D"/>
    <w:rsid w:val="00DC16E1"/>
    <w:rsid w:val="00DC1AD1"/>
    <w:rsid w:val="00DC2284"/>
    <w:rsid w:val="00DC350F"/>
    <w:rsid w:val="00DC3818"/>
    <w:rsid w:val="00DC3CA4"/>
    <w:rsid w:val="00DC4AE0"/>
    <w:rsid w:val="00DC5153"/>
    <w:rsid w:val="00DD337C"/>
    <w:rsid w:val="00DD547F"/>
    <w:rsid w:val="00DE1C0E"/>
    <w:rsid w:val="00DE366F"/>
    <w:rsid w:val="00DE4578"/>
    <w:rsid w:val="00DF04EE"/>
    <w:rsid w:val="00DF159F"/>
    <w:rsid w:val="00DF1828"/>
    <w:rsid w:val="00DF2811"/>
    <w:rsid w:val="00DF34F4"/>
    <w:rsid w:val="00DF3E35"/>
    <w:rsid w:val="00DF5104"/>
    <w:rsid w:val="00E01454"/>
    <w:rsid w:val="00E023A6"/>
    <w:rsid w:val="00E03C08"/>
    <w:rsid w:val="00E03ED5"/>
    <w:rsid w:val="00E04187"/>
    <w:rsid w:val="00E042B0"/>
    <w:rsid w:val="00E04979"/>
    <w:rsid w:val="00E05C5C"/>
    <w:rsid w:val="00E06243"/>
    <w:rsid w:val="00E07169"/>
    <w:rsid w:val="00E07424"/>
    <w:rsid w:val="00E07621"/>
    <w:rsid w:val="00E134EA"/>
    <w:rsid w:val="00E13E79"/>
    <w:rsid w:val="00E146FB"/>
    <w:rsid w:val="00E15998"/>
    <w:rsid w:val="00E15E00"/>
    <w:rsid w:val="00E162A4"/>
    <w:rsid w:val="00E1688C"/>
    <w:rsid w:val="00E16D4B"/>
    <w:rsid w:val="00E22665"/>
    <w:rsid w:val="00E23946"/>
    <w:rsid w:val="00E27A54"/>
    <w:rsid w:val="00E30499"/>
    <w:rsid w:val="00E30B51"/>
    <w:rsid w:val="00E324BB"/>
    <w:rsid w:val="00E34E2C"/>
    <w:rsid w:val="00E36A55"/>
    <w:rsid w:val="00E36C0E"/>
    <w:rsid w:val="00E377E8"/>
    <w:rsid w:val="00E37BC6"/>
    <w:rsid w:val="00E41847"/>
    <w:rsid w:val="00E42394"/>
    <w:rsid w:val="00E43464"/>
    <w:rsid w:val="00E4452D"/>
    <w:rsid w:val="00E47575"/>
    <w:rsid w:val="00E47A69"/>
    <w:rsid w:val="00E516CB"/>
    <w:rsid w:val="00E53971"/>
    <w:rsid w:val="00E571BB"/>
    <w:rsid w:val="00E60893"/>
    <w:rsid w:val="00E61865"/>
    <w:rsid w:val="00E6230E"/>
    <w:rsid w:val="00E626A1"/>
    <w:rsid w:val="00E6371C"/>
    <w:rsid w:val="00E64B9E"/>
    <w:rsid w:val="00E705B3"/>
    <w:rsid w:val="00E71249"/>
    <w:rsid w:val="00E712D9"/>
    <w:rsid w:val="00E73F8D"/>
    <w:rsid w:val="00E74435"/>
    <w:rsid w:val="00E758AD"/>
    <w:rsid w:val="00E77D4E"/>
    <w:rsid w:val="00E8065E"/>
    <w:rsid w:val="00E840C7"/>
    <w:rsid w:val="00E84CE8"/>
    <w:rsid w:val="00E854A4"/>
    <w:rsid w:val="00E86C4C"/>
    <w:rsid w:val="00E87644"/>
    <w:rsid w:val="00E9076D"/>
    <w:rsid w:val="00E91860"/>
    <w:rsid w:val="00E937C9"/>
    <w:rsid w:val="00E93D3D"/>
    <w:rsid w:val="00E94167"/>
    <w:rsid w:val="00E944DE"/>
    <w:rsid w:val="00E954B7"/>
    <w:rsid w:val="00E95B7B"/>
    <w:rsid w:val="00E95FA3"/>
    <w:rsid w:val="00E9669F"/>
    <w:rsid w:val="00E96FDB"/>
    <w:rsid w:val="00E976D7"/>
    <w:rsid w:val="00EA0C29"/>
    <w:rsid w:val="00EA107B"/>
    <w:rsid w:val="00EA72AB"/>
    <w:rsid w:val="00EA73E3"/>
    <w:rsid w:val="00EB00CD"/>
    <w:rsid w:val="00EB44C0"/>
    <w:rsid w:val="00EB4A21"/>
    <w:rsid w:val="00EB4CFE"/>
    <w:rsid w:val="00EB5102"/>
    <w:rsid w:val="00EB6D31"/>
    <w:rsid w:val="00EC06CC"/>
    <w:rsid w:val="00EC0A4F"/>
    <w:rsid w:val="00EC16F1"/>
    <w:rsid w:val="00EC5D9B"/>
    <w:rsid w:val="00ED012F"/>
    <w:rsid w:val="00ED05D6"/>
    <w:rsid w:val="00ED0C6F"/>
    <w:rsid w:val="00ED2FCC"/>
    <w:rsid w:val="00ED68CD"/>
    <w:rsid w:val="00ED6971"/>
    <w:rsid w:val="00EE0B9A"/>
    <w:rsid w:val="00EE5986"/>
    <w:rsid w:val="00EE5F75"/>
    <w:rsid w:val="00EE621E"/>
    <w:rsid w:val="00EE76F2"/>
    <w:rsid w:val="00EF2722"/>
    <w:rsid w:val="00EF280B"/>
    <w:rsid w:val="00EF3893"/>
    <w:rsid w:val="00EF51C8"/>
    <w:rsid w:val="00EF6805"/>
    <w:rsid w:val="00EF7E3D"/>
    <w:rsid w:val="00F00508"/>
    <w:rsid w:val="00F01948"/>
    <w:rsid w:val="00F01E52"/>
    <w:rsid w:val="00F022A1"/>
    <w:rsid w:val="00F02B8A"/>
    <w:rsid w:val="00F042DC"/>
    <w:rsid w:val="00F04309"/>
    <w:rsid w:val="00F06896"/>
    <w:rsid w:val="00F07099"/>
    <w:rsid w:val="00F105EA"/>
    <w:rsid w:val="00F107A7"/>
    <w:rsid w:val="00F107FD"/>
    <w:rsid w:val="00F11117"/>
    <w:rsid w:val="00F119B9"/>
    <w:rsid w:val="00F12541"/>
    <w:rsid w:val="00F141C1"/>
    <w:rsid w:val="00F15E41"/>
    <w:rsid w:val="00F22035"/>
    <w:rsid w:val="00F22D18"/>
    <w:rsid w:val="00F2648B"/>
    <w:rsid w:val="00F27334"/>
    <w:rsid w:val="00F27E63"/>
    <w:rsid w:val="00F30691"/>
    <w:rsid w:val="00F34B13"/>
    <w:rsid w:val="00F3666C"/>
    <w:rsid w:val="00F36C87"/>
    <w:rsid w:val="00F43406"/>
    <w:rsid w:val="00F436C2"/>
    <w:rsid w:val="00F43BDF"/>
    <w:rsid w:val="00F4665B"/>
    <w:rsid w:val="00F46927"/>
    <w:rsid w:val="00F50DDF"/>
    <w:rsid w:val="00F5172C"/>
    <w:rsid w:val="00F533CE"/>
    <w:rsid w:val="00F55854"/>
    <w:rsid w:val="00F5678C"/>
    <w:rsid w:val="00F56813"/>
    <w:rsid w:val="00F60C22"/>
    <w:rsid w:val="00F6118B"/>
    <w:rsid w:val="00F61225"/>
    <w:rsid w:val="00F6175A"/>
    <w:rsid w:val="00F61E67"/>
    <w:rsid w:val="00F61EF6"/>
    <w:rsid w:val="00F62AB8"/>
    <w:rsid w:val="00F63DE5"/>
    <w:rsid w:val="00F65833"/>
    <w:rsid w:val="00F67AF5"/>
    <w:rsid w:val="00F70110"/>
    <w:rsid w:val="00F70B7F"/>
    <w:rsid w:val="00F711DA"/>
    <w:rsid w:val="00F72C93"/>
    <w:rsid w:val="00F734EE"/>
    <w:rsid w:val="00F80A88"/>
    <w:rsid w:val="00F81C73"/>
    <w:rsid w:val="00F823F5"/>
    <w:rsid w:val="00F83306"/>
    <w:rsid w:val="00F86052"/>
    <w:rsid w:val="00F9170D"/>
    <w:rsid w:val="00F94368"/>
    <w:rsid w:val="00F9436A"/>
    <w:rsid w:val="00F9494C"/>
    <w:rsid w:val="00F9595C"/>
    <w:rsid w:val="00F96828"/>
    <w:rsid w:val="00F96F44"/>
    <w:rsid w:val="00F978B7"/>
    <w:rsid w:val="00F97A93"/>
    <w:rsid w:val="00FA15C8"/>
    <w:rsid w:val="00FA2D86"/>
    <w:rsid w:val="00FA348C"/>
    <w:rsid w:val="00FA36B3"/>
    <w:rsid w:val="00FA68DF"/>
    <w:rsid w:val="00FA7089"/>
    <w:rsid w:val="00FB0AD8"/>
    <w:rsid w:val="00FB0B23"/>
    <w:rsid w:val="00FB2701"/>
    <w:rsid w:val="00FB2FC3"/>
    <w:rsid w:val="00FB372E"/>
    <w:rsid w:val="00FB4DBB"/>
    <w:rsid w:val="00FB5C84"/>
    <w:rsid w:val="00FB7416"/>
    <w:rsid w:val="00FD5FE3"/>
    <w:rsid w:val="00FD62EC"/>
    <w:rsid w:val="00FE2C17"/>
    <w:rsid w:val="00FE3532"/>
    <w:rsid w:val="00FE664D"/>
    <w:rsid w:val="00FE6DA3"/>
    <w:rsid w:val="00FF072F"/>
    <w:rsid w:val="00FF13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D10"/>
    <w:pPr>
      <w:tabs>
        <w:tab w:val="left" w:pos="567"/>
      </w:tabs>
      <w:spacing w:after="80" w:line="320" w:lineRule="atLeast"/>
    </w:pPr>
    <w:rPr>
      <w:sz w:val="24"/>
    </w:rPr>
  </w:style>
  <w:style w:type="paragraph" w:styleId="Heading1">
    <w:name w:val="heading 1"/>
    <w:basedOn w:val="Normal"/>
    <w:next w:val="Heading2"/>
    <w:link w:val="Heading1Char"/>
    <w:uiPriority w:val="9"/>
    <w:qFormat/>
    <w:rsid w:val="00622669"/>
    <w:pPr>
      <w:keepNext/>
      <w:widowControl w:val="0"/>
      <w:pBdr>
        <w:bottom w:val="single" w:sz="4" w:space="1" w:color="auto"/>
      </w:pBdr>
      <w:spacing w:before="800" w:after="0" w:line="240" w:lineRule="auto"/>
      <w:outlineLvl w:val="0"/>
    </w:pPr>
    <w:rPr>
      <w:rFonts w:eastAsiaTheme="majorEastAsia" w:cstheme="majorBidi"/>
      <w:b/>
      <w:bCs/>
      <w:caps/>
      <w:color w:val="2C8558"/>
      <w:sz w:val="40"/>
      <w:szCs w:val="28"/>
    </w:rPr>
  </w:style>
  <w:style w:type="paragraph" w:styleId="Heading2">
    <w:name w:val="heading 2"/>
    <w:basedOn w:val="Normal"/>
    <w:next w:val="Heading3"/>
    <w:link w:val="Heading2Char"/>
    <w:uiPriority w:val="9"/>
    <w:qFormat/>
    <w:rsid w:val="00622669"/>
    <w:pPr>
      <w:keepNext/>
      <w:widowControl w:val="0"/>
      <w:spacing w:before="100" w:after="720" w:line="240" w:lineRule="auto"/>
      <w:outlineLvl w:val="1"/>
    </w:pPr>
    <w:rPr>
      <w:rFonts w:eastAsiaTheme="majorEastAsia" w:cstheme="majorBidi"/>
      <w:b/>
      <w:bCs/>
      <w:caps/>
      <w:color w:val="2C8558"/>
      <w:sz w:val="40"/>
      <w:szCs w:val="26"/>
    </w:rPr>
  </w:style>
  <w:style w:type="paragraph" w:styleId="Heading3">
    <w:name w:val="heading 3"/>
    <w:basedOn w:val="Normal"/>
    <w:next w:val="Heading4"/>
    <w:link w:val="Heading3Char"/>
    <w:uiPriority w:val="9"/>
    <w:qFormat/>
    <w:rsid w:val="00622669"/>
    <w:pPr>
      <w:keepNext/>
      <w:widowControl w:val="0"/>
      <w:spacing w:before="600" w:after="200" w:line="240" w:lineRule="auto"/>
      <w:outlineLvl w:val="2"/>
    </w:pPr>
    <w:rPr>
      <w:rFonts w:eastAsiaTheme="majorEastAsia" w:cstheme="majorBidi"/>
      <w:b/>
      <w:bCs/>
      <w:caps/>
      <w:color w:val="2C8558"/>
      <w:sz w:val="32"/>
    </w:rPr>
  </w:style>
  <w:style w:type="paragraph" w:styleId="Heading4">
    <w:name w:val="heading 4"/>
    <w:basedOn w:val="Normal"/>
    <w:next w:val="Heading5"/>
    <w:link w:val="Heading4Char"/>
    <w:uiPriority w:val="9"/>
    <w:qFormat/>
    <w:rsid w:val="00622669"/>
    <w:pPr>
      <w:keepNext/>
      <w:widowControl w:val="0"/>
      <w:spacing w:before="300" w:after="40" w:line="240" w:lineRule="auto"/>
      <w:outlineLvl w:val="3"/>
    </w:pPr>
    <w:rPr>
      <w:rFonts w:eastAsiaTheme="majorEastAsia" w:cstheme="majorBidi"/>
      <w:b/>
      <w:bCs/>
      <w:iCs/>
      <w:color w:val="2C8558"/>
      <w:sz w:val="32"/>
    </w:rPr>
  </w:style>
  <w:style w:type="paragraph" w:styleId="Heading5">
    <w:name w:val="heading 5"/>
    <w:basedOn w:val="Normal"/>
    <w:next w:val="Heading6"/>
    <w:link w:val="Heading5Char"/>
    <w:uiPriority w:val="9"/>
    <w:qFormat/>
    <w:rsid w:val="00622669"/>
    <w:pPr>
      <w:keepNext/>
      <w:tabs>
        <w:tab w:val="clear" w:pos="567"/>
      </w:tabs>
      <w:spacing w:before="300" w:after="40" w:line="240" w:lineRule="auto"/>
      <w:outlineLvl w:val="4"/>
    </w:pPr>
    <w:rPr>
      <w:rFonts w:eastAsiaTheme="majorEastAsia" w:cstheme="majorBidi"/>
      <w:b/>
      <w:i/>
      <w:color w:val="2C8558"/>
      <w:sz w:val="28"/>
    </w:rPr>
  </w:style>
  <w:style w:type="paragraph" w:styleId="Heading6">
    <w:name w:val="heading 6"/>
    <w:aliases w:val="(Not In Use), Section heading"/>
    <w:basedOn w:val="Normal"/>
    <w:next w:val="Normal"/>
    <w:link w:val="Heading6Char"/>
    <w:uiPriority w:val="9"/>
    <w:qFormat/>
    <w:rsid w:val="00622669"/>
    <w:pPr>
      <w:keepNext/>
      <w:keepLines/>
      <w:spacing w:before="120"/>
      <w:outlineLvl w:val="5"/>
    </w:pPr>
    <w:rPr>
      <w:rFonts w:eastAsiaTheme="majorEastAsia" w:cstheme="majorBidi"/>
      <w:b/>
      <w:i/>
      <w:iCs/>
      <w:color w:val="2C8558"/>
      <w:sz w:val="28"/>
    </w:rPr>
  </w:style>
  <w:style w:type="paragraph" w:styleId="Heading7">
    <w:name w:val="heading 7"/>
    <w:basedOn w:val="Normal"/>
    <w:next w:val="Normal"/>
    <w:link w:val="Heading7Char"/>
    <w:uiPriority w:val="9"/>
    <w:semiHidden/>
    <w:rsid w:val="006226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7"/>
      </w:numPr>
      <w:spacing w:before="240" w:after="60"/>
      <w:outlineLvl w:val="7"/>
    </w:pPr>
    <w:rPr>
      <w:rFonts w:ascii="Arial" w:hAnsi="Arial"/>
      <w:i/>
      <w:sz w:val="20"/>
      <w:szCs w:val="20"/>
    </w:rPr>
  </w:style>
  <w:style w:type="paragraph" w:styleId="Heading9">
    <w:name w:val="heading 9"/>
    <w:aliases w:val="Heading 9 (Do not use),(Subsubsection Nos)"/>
    <w:basedOn w:val="Normal"/>
    <w:next w:val="Normal"/>
    <w:semiHidden/>
    <w:rsid w:val="00765BA8"/>
    <w:pPr>
      <w:numPr>
        <w:ilvl w:val="8"/>
        <w:numId w:val="17"/>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622669"/>
    <w:pPr>
      <w:spacing w:after="0" w:line="240" w:lineRule="auto"/>
    </w:pPr>
    <w:rPr>
      <w:rFonts w:ascii="Tahoma" w:hAnsi="Tahoma" w:cs="Tahoma"/>
      <w:sz w:val="16"/>
      <w:szCs w:val="16"/>
    </w:rPr>
  </w:style>
  <w:style w:type="paragraph" w:styleId="Caption">
    <w:name w:val="caption"/>
    <w:basedOn w:val="Normal"/>
    <w:next w:val="Normal"/>
    <w:link w:val="CaptionChar"/>
    <w:rsid w:val="00622669"/>
    <w:pPr>
      <w:keepNext/>
      <w:keepLines/>
      <w:tabs>
        <w:tab w:val="clear" w:pos="567"/>
        <w:tab w:val="left" w:pos="1418"/>
      </w:tabs>
      <w:spacing w:before="240" w:after="120" w:line="240" w:lineRule="auto"/>
      <w:ind w:left="1418" w:hanging="1418"/>
    </w:pPr>
    <w:rPr>
      <w:b/>
      <w:bCs/>
      <w:szCs w:val="20"/>
    </w:rPr>
  </w:style>
  <w:style w:type="paragraph" w:customStyle="1" w:styleId="CGCBulletlist">
    <w:name w:val="CGC Bullet list"/>
    <w:aliases w:val="CGC List 1"/>
    <w:basedOn w:val="Normal"/>
    <w:link w:val="CGCBulletlistCharChar"/>
    <w:qFormat/>
    <w:rsid w:val="00DC0F02"/>
    <w:pPr>
      <w:numPr>
        <w:numId w:val="36"/>
      </w:numPr>
      <w:tabs>
        <w:tab w:val="clear" w:pos="567"/>
        <w:tab w:val="clear" w:pos="927"/>
        <w:tab w:val="left" w:pos="1134"/>
      </w:tabs>
      <w:spacing w:before="80" w:line="300" w:lineRule="atLeast"/>
      <w:ind w:left="1134" w:hanging="567"/>
    </w:pPr>
    <w:rPr>
      <w:szCs w:val="20"/>
    </w:rPr>
  </w:style>
  <w:style w:type="paragraph" w:customStyle="1" w:styleId="CGCNumeralList">
    <w:name w:val="CGC Numeral List"/>
    <w:aliases w:val="CGC List 3"/>
    <w:basedOn w:val="Normal"/>
    <w:qFormat/>
    <w:rsid w:val="00622669"/>
    <w:pPr>
      <w:numPr>
        <w:numId w:val="38"/>
      </w:numPr>
      <w:tabs>
        <w:tab w:val="clear" w:pos="567"/>
      </w:tabs>
      <w:spacing w:line="300" w:lineRule="atLeast"/>
    </w:pPr>
    <w:rPr>
      <w:szCs w:val="20"/>
    </w:rPr>
  </w:style>
  <w:style w:type="paragraph" w:customStyle="1" w:styleId="CGCNumberedPara">
    <w:name w:val="CGC Numbered Para"/>
    <w:aliases w:val="CGC Para No"/>
    <w:basedOn w:val="Normal"/>
    <w:link w:val="CGCParaNoChar"/>
    <w:qFormat/>
    <w:rsid w:val="00622669"/>
    <w:pPr>
      <w:numPr>
        <w:ilvl w:val="1"/>
        <w:numId w:val="37"/>
      </w:numPr>
      <w:spacing w:before="120"/>
    </w:pPr>
    <w:rPr>
      <w:szCs w:val="24"/>
    </w:rPr>
  </w:style>
  <w:style w:type="paragraph" w:customStyle="1" w:styleId="CGCQuotation">
    <w:name w:val="CGC Quotation"/>
    <w:basedOn w:val="Normal"/>
    <w:next w:val="CGCNumberedPara"/>
    <w:rsid w:val="00622669"/>
    <w:pPr>
      <w:tabs>
        <w:tab w:val="clear" w:pos="567"/>
      </w:tabs>
      <w:spacing w:before="120" w:after="120" w:line="240" w:lineRule="auto"/>
      <w:ind w:left="1134" w:right="1134"/>
    </w:pPr>
    <w:rPr>
      <w:sz w:val="22"/>
      <w:szCs w:val="24"/>
    </w:rPr>
  </w:style>
  <w:style w:type="paragraph" w:customStyle="1" w:styleId="CGCSubbulletlist">
    <w:name w:val="CGC Sub bullet list"/>
    <w:aliases w:val="CGC List 2"/>
    <w:basedOn w:val="Normal"/>
    <w:qFormat/>
    <w:rsid w:val="00C21EF9"/>
    <w:pPr>
      <w:numPr>
        <w:numId w:val="39"/>
      </w:numPr>
      <w:tabs>
        <w:tab w:val="clear" w:pos="567"/>
        <w:tab w:val="left" w:pos="1701"/>
      </w:tabs>
      <w:spacing w:line="300" w:lineRule="atLeast"/>
      <w:ind w:left="1701" w:hanging="567"/>
    </w:pPr>
    <w:rPr>
      <w:szCs w:val="20"/>
    </w:rPr>
  </w:style>
  <w:style w:type="paragraph" w:customStyle="1" w:styleId="CGCQuotationBullet">
    <w:name w:val="CGC Quotation Bullet"/>
    <w:basedOn w:val="CGCSubbulletlist"/>
    <w:rsid w:val="00622669"/>
    <w:pPr>
      <w:numPr>
        <w:numId w:val="40"/>
      </w:numPr>
      <w:ind w:right="1134"/>
    </w:pPr>
    <w:rPr>
      <w:sz w:val="22"/>
    </w:rPr>
  </w:style>
  <w:style w:type="paragraph" w:customStyle="1" w:styleId="CGCTableFootnote">
    <w:name w:val="CGC Table Footnote"/>
    <w:basedOn w:val="CGCNumberedPara"/>
    <w:next w:val="NoSpacing"/>
    <w:link w:val="CGCTableFootnoteChar"/>
    <w:qFormat/>
    <w:rsid w:val="00622669"/>
    <w:pPr>
      <w:numPr>
        <w:ilvl w:val="0"/>
        <w:numId w:val="0"/>
      </w:numPr>
      <w:tabs>
        <w:tab w:val="left" w:pos="851"/>
      </w:tabs>
      <w:spacing w:before="0" w:after="0" w:line="240" w:lineRule="auto"/>
      <w:ind w:left="851" w:hanging="851"/>
    </w:pPr>
    <w:rPr>
      <w:sz w:val="20"/>
    </w:rPr>
  </w:style>
  <w:style w:type="paragraph" w:customStyle="1" w:styleId="CGCTableHeading">
    <w:name w:val="CGC Table Heading"/>
    <w:basedOn w:val="Normal"/>
    <w:next w:val="Normal"/>
    <w:link w:val="CGCTableHeadingChar"/>
    <w:qFormat/>
    <w:rsid w:val="00622669"/>
    <w:pPr>
      <w:keepNext/>
      <w:keepLines/>
      <w:tabs>
        <w:tab w:val="clear" w:pos="567"/>
        <w:tab w:val="left" w:pos="1420"/>
      </w:tabs>
      <w:spacing w:before="240" w:after="120" w:line="240" w:lineRule="auto"/>
      <w:ind w:left="1418" w:hanging="1418"/>
    </w:pPr>
    <w:rPr>
      <w:b/>
      <w:szCs w:val="20"/>
    </w:rPr>
  </w:style>
  <w:style w:type="paragraph" w:customStyle="1" w:styleId="TableRowNormal">
    <w:name w:val="TableRowNormal"/>
    <w:basedOn w:val="Normal"/>
    <w:rsid w:val="00765BA8"/>
    <w:pPr>
      <w:keepNext/>
      <w:keepLines/>
      <w:tabs>
        <w:tab w:val="left" w:pos="475"/>
        <w:tab w:val="left" w:pos="1440"/>
        <w:tab w:val="left" w:pos="2160"/>
        <w:tab w:val="left" w:pos="2880"/>
      </w:tabs>
      <w:spacing w:before="60" w:after="60" w:line="200" w:lineRule="atLeast"/>
      <w:ind w:left="144" w:hanging="144"/>
      <w:jc w:val="right"/>
    </w:pPr>
    <w:rPr>
      <w:sz w:val="20"/>
      <w:szCs w:val="20"/>
    </w:rPr>
  </w:style>
  <w:style w:type="paragraph" w:customStyle="1" w:styleId="CGCTableStub">
    <w:name w:val="CGC Table Stub"/>
    <w:basedOn w:val="Normal"/>
    <w:rsid w:val="00622669"/>
    <w:pPr>
      <w:keepNext/>
      <w:keepLines/>
      <w:tabs>
        <w:tab w:val="left" w:pos="284"/>
      </w:tabs>
      <w:spacing w:before="60" w:after="60" w:line="200" w:lineRule="atLeast"/>
    </w:pPr>
    <w:rPr>
      <w:sz w:val="20"/>
      <w:szCs w:val="20"/>
    </w:rPr>
  </w:style>
  <w:style w:type="character" w:styleId="CommentReference">
    <w:name w:val="annotation reference"/>
    <w:basedOn w:val="DefaultParagraphFont"/>
    <w:rsid w:val="00765BA8"/>
    <w:rPr>
      <w:sz w:val="16"/>
      <w:szCs w:val="16"/>
    </w:rPr>
  </w:style>
  <w:style w:type="paragraph" w:styleId="CommentText">
    <w:name w:val="annotation text"/>
    <w:basedOn w:val="Normal"/>
    <w:rsid w:val="00765BA8"/>
    <w:rPr>
      <w:sz w:val="20"/>
      <w:szCs w:val="20"/>
    </w:rPr>
  </w:style>
  <w:style w:type="paragraph" w:styleId="CommentSubject">
    <w:name w:val="annotation subject"/>
    <w:basedOn w:val="CommentText"/>
    <w:next w:val="CommentText"/>
    <w:rsid w:val="00765BA8"/>
    <w:rPr>
      <w:b/>
      <w:bCs/>
    </w:rPr>
  </w:style>
  <w:style w:type="paragraph" w:styleId="DocumentMap">
    <w:name w:val="Document Map"/>
    <w:basedOn w:val="Normal"/>
    <w:rsid w:val="00765BA8"/>
    <w:pPr>
      <w:shd w:val="clear" w:color="auto" w:fill="000080"/>
    </w:pPr>
    <w:rPr>
      <w:rFonts w:ascii="Tahoma" w:hAnsi="Tahoma" w:cs="Tahoma"/>
      <w:sz w:val="20"/>
      <w:szCs w:val="20"/>
    </w:rPr>
  </w:style>
  <w:style w:type="character" w:styleId="EndnoteReference">
    <w:name w:val="endnote reference"/>
    <w:basedOn w:val="DefaultParagraphFont"/>
    <w:rsid w:val="00765BA8"/>
    <w:rPr>
      <w:vertAlign w:val="superscript"/>
    </w:rPr>
  </w:style>
  <w:style w:type="paragraph" w:styleId="EndnoteText">
    <w:name w:val="endnote text"/>
    <w:basedOn w:val="Normal"/>
    <w:rsid w:val="00765BA8"/>
    <w:rPr>
      <w:sz w:val="20"/>
      <w:szCs w:val="20"/>
    </w:rPr>
  </w:style>
  <w:style w:type="paragraph" w:styleId="Footer">
    <w:name w:val="footer"/>
    <w:basedOn w:val="Normal"/>
    <w:link w:val="FooterChar"/>
    <w:uiPriority w:val="99"/>
    <w:unhideWhenUsed/>
    <w:rsid w:val="00622669"/>
    <w:pPr>
      <w:tabs>
        <w:tab w:val="clear" w:pos="567"/>
        <w:tab w:val="center" w:pos="4513"/>
        <w:tab w:val="right" w:pos="9026"/>
      </w:tabs>
      <w:spacing w:after="0" w:line="240" w:lineRule="auto"/>
    </w:pPr>
  </w:style>
  <w:style w:type="character" w:styleId="FootnoteReference">
    <w:name w:val="footnote reference"/>
    <w:basedOn w:val="DefaultParagraphFont"/>
    <w:qFormat/>
    <w:rsid w:val="00765BA8"/>
    <w:rPr>
      <w:vertAlign w:val="superscript"/>
    </w:rPr>
  </w:style>
  <w:style w:type="paragraph" w:styleId="FootnoteText">
    <w:name w:val="footnote text"/>
    <w:basedOn w:val="Normal"/>
    <w:link w:val="FootnoteTextChar"/>
    <w:qFormat/>
    <w:rsid w:val="00622669"/>
    <w:pPr>
      <w:spacing w:after="0" w:line="240" w:lineRule="auto"/>
      <w:ind w:left="567" w:hanging="567"/>
    </w:pPr>
    <w:rPr>
      <w:sz w:val="20"/>
      <w:szCs w:val="20"/>
    </w:rPr>
  </w:style>
  <w:style w:type="paragraph" w:styleId="Header">
    <w:name w:val="header"/>
    <w:basedOn w:val="Normal"/>
    <w:link w:val="HeaderChar"/>
    <w:unhideWhenUsed/>
    <w:rsid w:val="00622669"/>
    <w:pPr>
      <w:tabs>
        <w:tab w:val="clear" w:pos="567"/>
        <w:tab w:val="center" w:pos="4513"/>
        <w:tab w:val="right" w:pos="9026"/>
      </w:tabs>
      <w:spacing w:after="0" w:line="240" w:lineRule="auto"/>
    </w:pPr>
  </w:style>
  <w:style w:type="character" w:styleId="Hyperlink">
    <w:name w:val="Hyperlink"/>
    <w:basedOn w:val="DefaultParagraphFont"/>
    <w:uiPriority w:val="99"/>
    <w:rsid w:val="00765BA8"/>
    <w:rPr>
      <w:color w:val="0000FF"/>
      <w:u w:val="single"/>
    </w:rPr>
  </w:style>
  <w:style w:type="paragraph" w:styleId="Index1">
    <w:name w:val="index 1"/>
    <w:basedOn w:val="Normal"/>
    <w:rsid w:val="00212948"/>
  </w:style>
  <w:style w:type="paragraph" w:styleId="Index2">
    <w:name w:val="index 2"/>
    <w:basedOn w:val="Normal"/>
    <w:next w:val="Index1"/>
    <w:rsid w:val="00212948"/>
    <w:pPr>
      <w:ind w:left="284"/>
    </w:pPr>
  </w:style>
  <w:style w:type="paragraph" w:styleId="Index3">
    <w:name w:val="index 3"/>
    <w:basedOn w:val="Normal"/>
    <w:next w:val="Index1"/>
    <w:rsid w:val="00212948"/>
    <w:pPr>
      <w:ind w:left="567"/>
    </w:pPr>
  </w:style>
  <w:style w:type="paragraph" w:styleId="Index4">
    <w:name w:val="index 4"/>
    <w:basedOn w:val="Normal"/>
    <w:next w:val="Normal"/>
    <w:rsid w:val="00765BA8"/>
    <w:pPr>
      <w:ind w:left="880" w:hanging="220"/>
    </w:pPr>
  </w:style>
  <w:style w:type="paragraph" w:styleId="Index5">
    <w:name w:val="index 5"/>
    <w:basedOn w:val="Normal"/>
    <w:next w:val="Normal"/>
    <w:rsid w:val="00765BA8"/>
    <w:pPr>
      <w:ind w:left="1100" w:hanging="220"/>
    </w:pPr>
  </w:style>
  <w:style w:type="paragraph" w:styleId="Index6">
    <w:name w:val="index 6"/>
    <w:basedOn w:val="Normal"/>
    <w:next w:val="Normal"/>
    <w:rsid w:val="00765BA8"/>
    <w:pPr>
      <w:ind w:left="1320" w:hanging="220"/>
    </w:pPr>
  </w:style>
  <w:style w:type="paragraph" w:styleId="Index7">
    <w:name w:val="index 7"/>
    <w:basedOn w:val="Normal"/>
    <w:next w:val="Normal"/>
    <w:rsid w:val="00765BA8"/>
    <w:pPr>
      <w:ind w:left="1540" w:hanging="220"/>
    </w:pPr>
  </w:style>
  <w:style w:type="paragraph" w:styleId="Index8">
    <w:name w:val="index 8"/>
    <w:basedOn w:val="Normal"/>
    <w:next w:val="Normal"/>
    <w:rsid w:val="00765BA8"/>
    <w:pPr>
      <w:ind w:left="1760" w:hanging="220"/>
    </w:pPr>
  </w:style>
  <w:style w:type="paragraph" w:styleId="Index9">
    <w:name w:val="index 9"/>
    <w:basedOn w:val="Normal"/>
    <w:next w:val="Normal"/>
    <w:rsid w:val="00765BA8"/>
    <w:pPr>
      <w:ind w:left="1980" w:hanging="220"/>
    </w:pPr>
  </w:style>
  <w:style w:type="paragraph" w:styleId="IndexHeading">
    <w:name w:val="index heading"/>
    <w:basedOn w:val="Normal"/>
    <w:next w:val="Index1"/>
    <w:rsid w:val="00765BA8"/>
  </w:style>
  <w:style w:type="paragraph" w:styleId="List">
    <w:name w:val="List"/>
    <w:basedOn w:val="Normal"/>
    <w:rsid w:val="003A27BB"/>
    <w:pPr>
      <w:spacing w:line="300" w:lineRule="atLeast"/>
    </w:pPr>
  </w:style>
  <w:style w:type="paragraph" w:styleId="MacroText">
    <w:name w:val="macro"/>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765BA8"/>
  </w:style>
  <w:style w:type="paragraph" w:customStyle="1" w:styleId="Single">
    <w:name w:val="Single"/>
    <w:basedOn w:val="Normal"/>
    <w:next w:val="CGCNumberedPara"/>
    <w:rsid w:val="00765BA8"/>
    <w:pPr>
      <w:spacing w:after="0" w:line="240" w:lineRule="auto"/>
    </w:pPr>
  </w:style>
  <w:style w:type="table" w:styleId="TableGrid">
    <w:name w:val="Table Grid"/>
    <w:basedOn w:val="TableNormal"/>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765BA8"/>
    <w:pPr>
      <w:tabs>
        <w:tab w:val="clear" w:pos="567"/>
      </w:tabs>
      <w:ind w:left="220" w:hanging="220"/>
    </w:pPr>
  </w:style>
  <w:style w:type="paragraph" w:styleId="TableofFigures">
    <w:name w:val="table of figures"/>
    <w:basedOn w:val="Normal"/>
    <w:next w:val="Normal"/>
    <w:rsid w:val="00765BA8"/>
    <w:pPr>
      <w:tabs>
        <w:tab w:val="clear" w:pos="567"/>
      </w:tabs>
    </w:pPr>
  </w:style>
  <w:style w:type="paragraph" w:customStyle="1" w:styleId="TableColHeadings">
    <w:name w:val="TableColHeadings"/>
    <w:basedOn w:val="Normal"/>
    <w:rsid w:val="00765BA8"/>
    <w:pPr>
      <w:keepNext/>
      <w:keepLines/>
      <w:tabs>
        <w:tab w:val="left" w:pos="475"/>
        <w:tab w:val="left" w:pos="1440"/>
        <w:tab w:val="left" w:pos="2160"/>
        <w:tab w:val="left" w:pos="2880"/>
      </w:tabs>
      <w:spacing w:before="60" w:after="60" w:line="240" w:lineRule="auto"/>
      <w:jc w:val="right"/>
    </w:pPr>
    <w:rPr>
      <w:sz w:val="20"/>
      <w:szCs w:val="20"/>
    </w:rPr>
  </w:style>
  <w:style w:type="paragraph" w:customStyle="1" w:styleId="TableRowUnits">
    <w:name w:val="TableRowUnits"/>
    <w:basedOn w:val="Normal"/>
    <w:rsid w:val="00765BA8"/>
    <w:pPr>
      <w:keepNext/>
      <w:keepLines/>
      <w:tabs>
        <w:tab w:val="left" w:pos="475"/>
        <w:tab w:val="left" w:pos="1440"/>
        <w:tab w:val="left" w:pos="2160"/>
        <w:tab w:val="left" w:pos="2880"/>
      </w:tabs>
      <w:spacing w:after="0" w:line="240" w:lineRule="auto"/>
      <w:jc w:val="right"/>
    </w:pPr>
    <w:rPr>
      <w:sz w:val="20"/>
      <w:szCs w:val="20"/>
    </w:rPr>
  </w:style>
  <w:style w:type="paragraph" w:styleId="TOAHeading">
    <w:name w:val="toa heading"/>
    <w:basedOn w:val="Normal"/>
    <w:next w:val="Normal"/>
    <w:rsid w:val="003A27BB"/>
    <w:pPr>
      <w:spacing w:before="120"/>
    </w:pPr>
    <w:rPr>
      <w:rFonts w:cs="Arial"/>
      <w:b/>
      <w:bCs/>
    </w:rPr>
  </w:style>
  <w:style w:type="paragraph" w:styleId="TOC1">
    <w:name w:val="toc 1"/>
    <w:basedOn w:val="Normal"/>
    <w:next w:val="Normal"/>
    <w:uiPriority w:val="39"/>
    <w:rsid w:val="00996409"/>
    <w:pPr>
      <w:tabs>
        <w:tab w:val="clear" w:pos="567"/>
        <w:tab w:val="right" w:pos="8942"/>
      </w:tabs>
      <w:spacing w:before="120" w:after="120"/>
    </w:pPr>
    <w:rPr>
      <w:b/>
      <w:bCs/>
      <w:caps/>
      <w:szCs w:val="20"/>
    </w:rPr>
  </w:style>
  <w:style w:type="paragraph" w:styleId="TOC2">
    <w:name w:val="toc 2"/>
    <w:basedOn w:val="Normal"/>
    <w:next w:val="Normal"/>
    <w:rsid w:val="00DE1C0E"/>
    <w:pPr>
      <w:tabs>
        <w:tab w:val="clear" w:pos="567"/>
        <w:tab w:val="right" w:pos="8942"/>
      </w:tabs>
      <w:spacing w:after="0"/>
      <w:ind w:left="284"/>
    </w:pPr>
    <w:rPr>
      <w:szCs w:val="20"/>
    </w:rPr>
  </w:style>
  <w:style w:type="paragraph" w:styleId="TOC3">
    <w:name w:val="toc 3"/>
    <w:basedOn w:val="Normal"/>
    <w:next w:val="Normal"/>
    <w:uiPriority w:val="39"/>
    <w:rsid w:val="00DE1C0E"/>
    <w:pPr>
      <w:tabs>
        <w:tab w:val="clear" w:pos="567"/>
        <w:tab w:val="right" w:pos="8942"/>
      </w:tabs>
      <w:spacing w:after="0"/>
      <w:ind w:left="567"/>
    </w:pPr>
    <w:rPr>
      <w:iCs/>
    </w:rPr>
  </w:style>
  <w:style w:type="paragraph" w:styleId="TOC4">
    <w:name w:val="toc 4"/>
    <w:basedOn w:val="Normal"/>
    <w:next w:val="Normal"/>
    <w:uiPriority w:val="39"/>
    <w:rsid w:val="00996409"/>
    <w:pPr>
      <w:tabs>
        <w:tab w:val="clear" w:pos="567"/>
        <w:tab w:val="right" w:pos="8942"/>
      </w:tabs>
      <w:spacing w:after="0"/>
      <w:ind w:left="1134"/>
    </w:pPr>
  </w:style>
  <w:style w:type="paragraph" w:styleId="TOC5">
    <w:name w:val="toc 5"/>
    <w:basedOn w:val="Normal"/>
    <w:next w:val="Normal"/>
    <w:rsid w:val="00765BA8"/>
    <w:pPr>
      <w:tabs>
        <w:tab w:val="clear" w:pos="567"/>
      </w:tabs>
      <w:spacing w:after="0"/>
      <w:ind w:left="1701"/>
    </w:pPr>
    <w:rPr>
      <w:sz w:val="18"/>
      <w:szCs w:val="18"/>
    </w:rPr>
  </w:style>
  <w:style w:type="paragraph" w:styleId="TOC6">
    <w:name w:val="toc 6"/>
    <w:basedOn w:val="Normal"/>
    <w:next w:val="Normal"/>
    <w:rsid w:val="00765BA8"/>
    <w:pPr>
      <w:tabs>
        <w:tab w:val="clear" w:pos="567"/>
      </w:tabs>
      <w:spacing w:after="0"/>
      <w:ind w:left="1100"/>
    </w:pPr>
    <w:rPr>
      <w:sz w:val="18"/>
      <w:szCs w:val="18"/>
    </w:rPr>
  </w:style>
  <w:style w:type="paragraph" w:styleId="TOC7">
    <w:name w:val="toc 7"/>
    <w:basedOn w:val="Normal"/>
    <w:next w:val="Normal"/>
    <w:rsid w:val="00765BA8"/>
    <w:pPr>
      <w:tabs>
        <w:tab w:val="clear" w:pos="567"/>
      </w:tabs>
      <w:spacing w:after="0"/>
      <w:ind w:left="1320"/>
    </w:pPr>
    <w:rPr>
      <w:sz w:val="18"/>
      <w:szCs w:val="18"/>
    </w:rPr>
  </w:style>
  <w:style w:type="paragraph" w:styleId="TOC8">
    <w:name w:val="toc 8"/>
    <w:basedOn w:val="Normal"/>
    <w:next w:val="Normal"/>
    <w:rsid w:val="00765BA8"/>
    <w:pPr>
      <w:tabs>
        <w:tab w:val="clear" w:pos="567"/>
      </w:tabs>
      <w:spacing w:after="0"/>
      <w:ind w:left="1540"/>
    </w:pPr>
    <w:rPr>
      <w:sz w:val="18"/>
      <w:szCs w:val="18"/>
    </w:rPr>
  </w:style>
  <w:style w:type="paragraph" w:styleId="TOC9">
    <w:name w:val="toc 9"/>
    <w:basedOn w:val="Normal"/>
    <w:next w:val="Normal"/>
    <w:rsid w:val="00765BA8"/>
    <w:pPr>
      <w:tabs>
        <w:tab w:val="clear" w:pos="567"/>
      </w:tabs>
      <w:spacing w:after="0"/>
      <w:ind w:left="1760"/>
    </w:pPr>
    <w:rPr>
      <w:sz w:val="18"/>
      <w:szCs w:val="18"/>
    </w:rPr>
  </w:style>
  <w:style w:type="character" w:customStyle="1" w:styleId="Heading1Char">
    <w:name w:val="Heading 1 Char"/>
    <w:basedOn w:val="DefaultParagraphFont"/>
    <w:link w:val="Heading1"/>
    <w:uiPriority w:val="9"/>
    <w:rsid w:val="00622669"/>
    <w:rPr>
      <w:rFonts w:eastAsiaTheme="majorEastAsia" w:cstheme="majorBidi"/>
      <w:b/>
      <w:bCs/>
      <w:caps/>
      <w:color w:val="2C8558"/>
      <w:sz w:val="40"/>
      <w:szCs w:val="28"/>
    </w:rPr>
  </w:style>
  <w:style w:type="character" w:customStyle="1" w:styleId="Heading2Char">
    <w:name w:val="Heading 2 Char"/>
    <w:basedOn w:val="DefaultParagraphFont"/>
    <w:link w:val="Heading2"/>
    <w:uiPriority w:val="9"/>
    <w:rsid w:val="00622669"/>
    <w:rPr>
      <w:rFonts w:eastAsiaTheme="majorEastAsia" w:cstheme="majorBidi"/>
      <w:b/>
      <w:bCs/>
      <w:caps/>
      <w:color w:val="2C8558"/>
      <w:sz w:val="40"/>
      <w:szCs w:val="26"/>
    </w:rPr>
  </w:style>
  <w:style w:type="character" w:customStyle="1" w:styleId="Heading3Char">
    <w:name w:val="Heading 3 Char"/>
    <w:basedOn w:val="DefaultParagraphFont"/>
    <w:link w:val="Heading3"/>
    <w:uiPriority w:val="9"/>
    <w:rsid w:val="00622669"/>
    <w:rPr>
      <w:rFonts w:eastAsiaTheme="majorEastAsia" w:cstheme="majorBidi"/>
      <w:b/>
      <w:bCs/>
      <w:caps/>
      <w:color w:val="2C8558"/>
      <w:sz w:val="32"/>
    </w:rPr>
  </w:style>
  <w:style w:type="character" w:customStyle="1" w:styleId="Heading4Char">
    <w:name w:val="Heading 4 Char"/>
    <w:basedOn w:val="DefaultParagraphFont"/>
    <w:link w:val="Heading4"/>
    <w:uiPriority w:val="9"/>
    <w:rsid w:val="00622669"/>
    <w:rPr>
      <w:rFonts w:eastAsiaTheme="majorEastAsia" w:cstheme="majorBidi"/>
      <w:b/>
      <w:bCs/>
      <w:iCs/>
      <w:color w:val="2C8558"/>
      <w:sz w:val="32"/>
    </w:rPr>
  </w:style>
  <w:style w:type="character" w:customStyle="1" w:styleId="Heading5Char">
    <w:name w:val="Heading 5 Char"/>
    <w:basedOn w:val="DefaultParagraphFont"/>
    <w:link w:val="Heading5"/>
    <w:uiPriority w:val="9"/>
    <w:rsid w:val="00622669"/>
    <w:rPr>
      <w:rFonts w:eastAsiaTheme="majorEastAsia" w:cstheme="majorBidi"/>
      <w:b/>
      <w:i/>
      <w:color w:val="2C8558"/>
      <w:sz w:val="28"/>
    </w:rPr>
  </w:style>
  <w:style w:type="paragraph" w:styleId="NoSpacing">
    <w:name w:val="No Spacing"/>
    <w:link w:val="NoSpacingChar"/>
    <w:uiPriority w:val="1"/>
    <w:qFormat/>
    <w:rsid w:val="00622669"/>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F9170D"/>
    <w:rPr>
      <w:sz w:val="24"/>
    </w:rPr>
  </w:style>
  <w:style w:type="paragraph" w:styleId="ListParagraph">
    <w:name w:val="List Paragraph"/>
    <w:basedOn w:val="Normal"/>
    <w:uiPriority w:val="34"/>
    <w:qFormat/>
    <w:rsid w:val="00622669"/>
    <w:pPr>
      <w:tabs>
        <w:tab w:val="clear" w:pos="567"/>
      </w:tabs>
      <w:spacing w:line="300" w:lineRule="atLeast"/>
      <w:ind w:left="1134"/>
    </w:pPr>
    <w:rPr>
      <w:szCs w:val="24"/>
    </w:rPr>
  </w:style>
  <w:style w:type="paragraph" w:styleId="TOCHeading">
    <w:name w:val="TOC Heading"/>
    <w:basedOn w:val="Heading1"/>
    <w:next w:val="Normal"/>
    <w:uiPriority w:val="39"/>
    <w:semiHidden/>
    <w:unhideWhenUsed/>
    <w:qFormat/>
    <w:rsid w:val="00F9170D"/>
    <w:pPr>
      <w:keepLines/>
      <w:pBdr>
        <w:bottom w:val="none" w:sz="0" w:space="0" w:color="auto"/>
      </w:pBdr>
      <w:spacing w:before="480" w:line="320" w:lineRule="atLeast"/>
      <w:outlineLvl w:val="9"/>
    </w:pPr>
    <w:rPr>
      <w:rFonts w:asciiTheme="majorHAnsi" w:hAnsiTheme="majorHAnsi"/>
      <w:caps w:val="0"/>
      <w:color w:val="365F91" w:themeColor="accent1" w:themeShade="BF"/>
      <w:sz w:val="28"/>
    </w:rPr>
  </w:style>
  <w:style w:type="character" w:customStyle="1" w:styleId="FooterChar">
    <w:name w:val="Footer Char"/>
    <w:basedOn w:val="DefaultParagraphFont"/>
    <w:link w:val="Footer"/>
    <w:uiPriority w:val="99"/>
    <w:rsid w:val="00622669"/>
    <w:rPr>
      <w:sz w:val="24"/>
    </w:rPr>
  </w:style>
  <w:style w:type="character" w:customStyle="1" w:styleId="HeaderChar">
    <w:name w:val="Header Char"/>
    <w:basedOn w:val="DefaultParagraphFont"/>
    <w:link w:val="Header"/>
    <w:rsid w:val="00622669"/>
    <w:rPr>
      <w:sz w:val="24"/>
    </w:rPr>
  </w:style>
  <w:style w:type="paragraph" w:customStyle="1" w:styleId="CGCDataCaption">
    <w:name w:val="CGC Data Caption"/>
    <w:basedOn w:val="CGCTableFootnote"/>
    <w:next w:val="NoSpacing"/>
    <w:link w:val="DataCaptionChar"/>
    <w:qFormat/>
    <w:rsid w:val="00622669"/>
  </w:style>
  <w:style w:type="character" w:customStyle="1" w:styleId="CaptionChar">
    <w:name w:val="Caption Char"/>
    <w:basedOn w:val="DefaultParagraphFont"/>
    <w:link w:val="Caption"/>
    <w:rsid w:val="00622669"/>
    <w:rPr>
      <w:b/>
      <w:bCs/>
      <w:sz w:val="24"/>
      <w:szCs w:val="20"/>
    </w:rPr>
  </w:style>
  <w:style w:type="character" w:customStyle="1" w:styleId="DataCaptionChar">
    <w:name w:val="Data Caption Char"/>
    <w:basedOn w:val="DefaultParagraphFont"/>
    <w:link w:val="CGCDataCaption"/>
    <w:rsid w:val="00622669"/>
    <w:rPr>
      <w:sz w:val="20"/>
      <w:szCs w:val="24"/>
    </w:rPr>
  </w:style>
  <w:style w:type="character" w:customStyle="1" w:styleId="BalloonTextChar">
    <w:name w:val="Balloon Text Char"/>
    <w:basedOn w:val="DefaultParagraphFont"/>
    <w:link w:val="BalloonText"/>
    <w:uiPriority w:val="99"/>
    <w:rsid w:val="00622669"/>
    <w:rPr>
      <w:rFonts w:ascii="Tahoma" w:hAnsi="Tahoma" w:cs="Tahoma"/>
      <w:sz w:val="16"/>
      <w:szCs w:val="16"/>
    </w:rPr>
  </w:style>
  <w:style w:type="character" w:customStyle="1" w:styleId="FootnoteTextChar">
    <w:name w:val="Footnote Text Char"/>
    <w:basedOn w:val="DefaultParagraphFont"/>
    <w:link w:val="FootnoteText"/>
    <w:rsid w:val="00622669"/>
    <w:rPr>
      <w:sz w:val="20"/>
      <w:szCs w:val="20"/>
    </w:rPr>
  </w:style>
  <w:style w:type="character" w:customStyle="1" w:styleId="Heading6Char">
    <w:name w:val="Heading 6 Char"/>
    <w:aliases w:val="(Not In Use) Char, Section heading Char"/>
    <w:basedOn w:val="DefaultParagraphFont"/>
    <w:link w:val="Heading6"/>
    <w:uiPriority w:val="9"/>
    <w:rsid w:val="00622669"/>
    <w:rPr>
      <w:rFonts w:eastAsiaTheme="majorEastAsia" w:cstheme="majorBidi"/>
      <w:b/>
      <w:i/>
      <w:iCs/>
      <w:color w:val="2C8558"/>
      <w:sz w:val="28"/>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character" w:customStyle="1" w:styleId="CGCBulletlistCharChar">
    <w:name w:val="CGC Bullet list Char Char"/>
    <w:basedOn w:val="DefaultParagraphFont"/>
    <w:link w:val="CGCBulletlist"/>
    <w:rsid w:val="00E42394"/>
    <w:rPr>
      <w:sz w:val="24"/>
      <w:szCs w:val="20"/>
    </w:rPr>
  </w:style>
  <w:style w:type="character" w:customStyle="1" w:styleId="CGCParaNoChar">
    <w:name w:val="CGC Para No Char"/>
    <w:aliases w:val="CGC Numbered Para Char"/>
    <w:basedOn w:val="DefaultParagraphFont"/>
    <w:link w:val="CGCNumberedPara"/>
    <w:rsid w:val="00E42394"/>
    <w:rPr>
      <w:sz w:val="24"/>
      <w:szCs w:val="24"/>
    </w:rPr>
  </w:style>
  <w:style w:type="paragraph" w:customStyle="1" w:styleId="Default">
    <w:name w:val="Default"/>
    <w:rsid w:val="000C7545"/>
    <w:pPr>
      <w:autoSpaceDE w:val="0"/>
      <w:autoSpaceDN w:val="0"/>
      <w:adjustRightInd w:val="0"/>
      <w:spacing w:after="0" w:line="240" w:lineRule="auto"/>
    </w:pPr>
    <w:rPr>
      <w:rFonts w:ascii="Calibri" w:hAnsi="Calibri" w:cs="Calibri"/>
      <w:color w:val="000000"/>
      <w:sz w:val="24"/>
      <w:szCs w:val="24"/>
    </w:rPr>
  </w:style>
  <w:style w:type="character" w:customStyle="1" w:styleId="CGCTableFootnoteChar">
    <w:name w:val="CGC Table Footnote Char"/>
    <w:basedOn w:val="DefaultParagraphFont"/>
    <w:link w:val="CGCTableFootnote"/>
    <w:rsid w:val="00E8065E"/>
    <w:rPr>
      <w:sz w:val="20"/>
      <w:szCs w:val="24"/>
    </w:rPr>
  </w:style>
  <w:style w:type="character" w:styleId="PlaceholderText">
    <w:name w:val="Placeholder Text"/>
    <w:basedOn w:val="DefaultParagraphFont"/>
    <w:uiPriority w:val="99"/>
    <w:semiHidden/>
    <w:rsid w:val="00095E54"/>
    <w:rPr>
      <w:color w:val="808080"/>
    </w:rPr>
  </w:style>
  <w:style w:type="character" w:customStyle="1" w:styleId="CGCTableHeadingChar">
    <w:name w:val="CGC Table Heading Char"/>
    <w:basedOn w:val="DefaultParagraphFont"/>
    <w:link w:val="CGCTableHeading"/>
    <w:rsid w:val="00680B20"/>
    <w:rPr>
      <w:b/>
      <w:sz w:val="24"/>
      <w:szCs w:val="20"/>
    </w:rPr>
  </w:style>
  <w:style w:type="character" w:customStyle="1" w:styleId="CGCBulletlistChar">
    <w:name w:val="CGC Bullet list Char"/>
    <w:aliases w:val="CGC List 1 Char,CGC Bullet list Char1"/>
    <w:basedOn w:val="DefaultParagraphFont"/>
    <w:locked/>
    <w:rsid w:val="0014283F"/>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1123">
      <w:bodyDiv w:val="1"/>
      <w:marLeft w:val="0"/>
      <w:marRight w:val="0"/>
      <w:marTop w:val="0"/>
      <w:marBottom w:val="0"/>
      <w:divBdr>
        <w:top w:val="none" w:sz="0" w:space="0" w:color="auto"/>
        <w:left w:val="none" w:sz="0" w:space="0" w:color="auto"/>
        <w:bottom w:val="none" w:sz="0" w:space="0" w:color="auto"/>
        <w:right w:val="none" w:sz="0" w:space="0" w:color="auto"/>
      </w:divBdr>
    </w:div>
    <w:div w:id="39398854">
      <w:bodyDiv w:val="1"/>
      <w:marLeft w:val="0"/>
      <w:marRight w:val="0"/>
      <w:marTop w:val="0"/>
      <w:marBottom w:val="0"/>
      <w:divBdr>
        <w:top w:val="none" w:sz="0" w:space="0" w:color="auto"/>
        <w:left w:val="none" w:sz="0" w:space="0" w:color="auto"/>
        <w:bottom w:val="none" w:sz="0" w:space="0" w:color="auto"/>
        <w:right w:val="none" w:sz="0" w:space="0" w:color="auto"/>
      </w:divBdr>
    </w:div>
    <w:div w:id="134372523">
      <w:bodyDiv w:val="1"/>
      <w:marLeft w:val="0"/>
      <w:marRight w:val="0"/>
      <w:marTop w:val="0"/>
      <w:marBottom w:val="0"/>
      <w:divBdr>
        <w:top w:val="none" w:sz="0" w:space="0" w:color="auto"/>
        <w:left w:val="none" w:sz="0" w:space="0" w:color="auto"/>
        <w:bottom w:val="none" w:sz="0" w:space="0" w:color="auto"/>
        <w:right w:val="none" w:sz="0" w:space="0" w:color="auto"/>
      </w:divBdr>
    </w:div>
    <w:div w:id="140775952">
      <w:bodyDiv w:val="1"/>
      <w:marLeft w:val="0"/>
      <w:marRight w:val="0"/>
      <w:marTop w:val="0"/>
      <w:marBottom w:val="0"/>
      <w:divBdr>
        <w:top w:val="none" w:sz="0" w:space="0" w:color="auto"/>
        <w:left w:val="none" w:sz="0" w:space="0" w:color="auto"/>
        <w:bottom w:val="none" w:sz="0" w:space="0" w:color="auto"/>
        <w:right w:val="none" w:sz="0" w:space="0" w:color="auto"/>
      </w:divBdr>
    </w:div>
    <w:div w:id="177936145">
      <w:bodyDiv w:val="1"/>
      <w:marLeft w:val="0"/>
      <w:marRight w:val="0"/>
      <w:marTop w:val="0"/>
      <w:marBottom w:val="0"/>
      <w:divBdr>
        <w:top w:val="none" w:sz="0" w:space="0" w:color="auto"/>
        <w:left w:val="none" w:sz="0" w:space="0" w:color="auto"/>
        <w:bottom w:val="none" w:sz="0" w:space="0" w:color="auto"/>
        <w:right w:val="none" w:sz="0" w:space="0" w:color="auto"/>
      </w:divBdr>
    </w:div>
    <w:div w:id="285163861">
      <w:bodyDiv w:val="1"/>
      <w:marLeft w:val="0"/>
      <w:marRight w:val="0"/>
      <w:marTop w:val="0"/>
      <w:marBottom w:val="0"/>
      <w:divBdr>
        <w:top w:val="none" w:sz="0" w:space="0" w:color="auto"/>
        <w:left w:val="none" w:sz="0" w:space="0" w:color="auto"/>
        <w:bottom w:val="none" w:sz="0" w:space="0" w:color="auto"/>
        <w:right w:val="none" w:sz="0" w:space="0" w:color="auto"/>
      </w:divBdr>
    </w:div>
    <w:div w:id="318776317">
      <w:bodyDiv w:val="1"/>
      <w:marLeft w:val="0"/>
      <w:marRight w:val="0"/>
      <w:marTop w:val="0"/>
      <w:marBottom w:val="0"/>
      <w:divBdr>
        <w:top w:val="none" w:sz="0" w:space="0" w:color="auto"/>
        <w:left w:val="none" w:sz="0" w:space="0" w:color="auto"/>
        <w:bottom w:val="none" w:sz="0" w:space="0" w:color="auto"/>
        <w:right w:val="none" w:sz="0" w:space="0" w:color="auto"/>
      </w:divBdr>
    </w:div>
    <w:div w:id="535970562">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691956371">
      <w:bodyDiv w:val="1"/>
      <w:marLeft w:val="0"/>
      <w:marRight w:val="0"/>
      <w:marTop w:val="0"/>
      <w:marBottom w:val="0"/>
      <w:divBdr>
        <w:top w:val="none" w:sz="0" w:space="0" w:color="auto"/>
        <w:left w:val="none" w:sz="0" w:space="0" w:color="auto"/>
        <w:bottom w:val="none" w:sz="0" w:space="0" w:color="auto"/>
        <w:right w:val="none" w:sz="0" w:space="0" w:color="auto"/>
      </w:divBdr>
    </w:div>
    <w:div w:id="747458938">
      <w:bodyDiv w:val="1"/>
      <w:marLeft w:val="0"/>
      <w:marRight w:val="0"/>
      <w:marTop w:val="0"/>
      <w:marBottom w:val="0"/>
      <w:divBdr>
        <w:top w:val="none" w:sz="0" w:space="0" w:color="auto"/>
        <w:left w:val="none" w:sz="0" w:space="0" w:color="auto"/>
        <w:bottom w:val="none" w:sz="0" w:space="0" w:color="auto"/>
        <w:right w:val="none" w:sz="0" w:space="0" w:color="auto"/>
      </w:divBdr>
    </w:div>
    <w:div w:id="761534989">
      <w:bodyDiv w:val="1"/>
      <w:marLeft w:val="0"/>
      <w:marRight w:val="0"/>
      <w:marTop w:val="0"/>
      <w:marBottom w:val="0"/>
      <w:divBdr>
        <w:top w:val="none" w:sz="0" w:space="0" w:color="auto"/>
        <w:left w:val="none" w:sz="0" w:space="0" w:color="auto"/>
        <w:bottom w:val="none" w:sz="0" w:space="0" w:color="auto"/>
        <w:right w:val="none" w:sz="0" w:space="0" w:color="auto"/>
      </w:divBdr>
    </w:div>
    <w:div w:id="786243254">
      <w:bodyDiv w:val="1"/>
      <w:marLeft w:val="0"/>
      <w:marRight w:val="0"/>
      <w:marTop w:val="0"/>
      <w:marBottom w:val="0"/>
      <w:divBdr>
        <w:top w:val="none" w:sz="0" w:space="0" w:color="auto"/>
        <w:left w:val="none" w:sz="0" w:space="0" w:color="auto"/>
        <w:bottom w:val="none" w:sz="0" w:space="0" w:color="auto"/>
        <w:right w:val="none" w:sz="0" w:space="0" w:color="auto"/>
      </w:divBdr>
    </w:div>
    <w:div w:id="854736196">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149060094">
      <w:bodyDiv w:val="1"/>
      <w:marLeft w:val="0"/>
      <w:marRight w:val="0"/>
      <w:marTop w:val="0"/>
      <w:marBottom w:val="0"/>
      <w:divBdr>
        <w:top w:val="none" w:sz="0" w:space="0" w:color="auto"/>
        <w:left w:val="none" w:sz="0" w:space="0" w:color="auto"/>
        <w:bottom w:val="none" w:sz="0" w:space="0" w:color="auto"/>
        <w:right w:val="none" w:sz="0" w:space="0" w:color="auto"/>
      </w:divBdr>
    </w:div>
    <w:div w:id="1261992773">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579361494">
      <w:bodyDiv w:val="1"/>
      <w:marLeft w:val="0"/>
      <w:marRight w:val="0"/>
      <w:marTop w:val="0"/>
      <w:marBottom w:val="0"/>
      <w:divBdr>
        <w:top w:val="none" w:sz="0" w:space="0" w:color="auto"/>
        <w:left w:val="none" w:sz="0" w:space="0" w:color="auto"/>
        <w:bottom w:val="none" w:sz="0" w:space="0" w:color="auto"/>
        <w:right w:val="none" w:sz="0" w:space="0" w:color="auto"/>
      </w:divBdr>
    </w:div>
    <w:div w:id="1585528441">
      <w:bodyDiv w:val="1"/>
      <w:marLeft w:val="0"/>
      <w:marRight w:val="0"/>
      <w:marTop w:val="0"/>
      <w:marBottom w:val="0"/>
      <w:divBdr>
        <w:top w:val="none" w:sz="0" w:space="0" w:color="auto"/>
        <w:left w:val="none" w:sz="0" w:space="0" w:color="auto"/>
        <w:bottom w:val="none" w:sz="0" w:space="0" w:color="auto"/>
        <w:right w:val="none" w:sz="0" w:space="0" w:color="auto"/>
      </w:divBdr>
    </w:div>
    <w:div w:id="1660499713">
      <w:bodyDiv w:val="1"/>
      <w:marLeft w:val="0"/>
      <w:marRight w:val="0"/>
      <w:marTop w:val="0"/>
      <w:marBottom w:val="0"/>
      <w:divBdr>
        <w:top w:val="none" w:sz="0" w:space="0" w:color="auto"/>
        <w:left w:val="none" w:sz="0" w:space="0" w:color="auto"/>
        <w:bottom w:val="none" w:sz="0" w:space="0" w:color="auto"/>
        <w:right w:val="none" w:sz="0" w:space="0" w:color="auto"/>
      </w:divBdr>
    </w:div>
    <w:div w:id="1714424258">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1755471859">
      <w:bodyDiv w:val="1"/>
      <w:marLeft w:val="0"/>
      <w:marRight w:val="0"/>
      <w:marTop w:val="0"/>
      <w:marBottom w:val="0"/>
      <w:divBdr>
        <w:top w:val="none" w:sz="0" w:space="0" w:color="auto"/>
        <w:left w:val="none" w:sz="0" w:space="0" w:color="auto"/>
        <w:bottom w:val="none" w:sz="0" w:space="0" w:color="auto"/>
        <w:right w:val="none" w:sz="0" w:space="0" w:color="auto"/>
      </w:divBdr>
    </w:div>
    <w:div w:id="1791700636">
      <w:bodyDiv w:val="1"/>
      <w:marLeft w:val="0"/>
      <w:marRight w:val="0"/>
      <w:marTop w:val="0"/>
      <w:marBottom w:val="0"/>
      <w:divBdr>
        <w:top w:val="none" w:sz="0" w:space="0" w:color="auto"/>
        <w:left w:val="none" w:sz="0" w:space="0" w:color="auto"/>
        <w:bottom w:val="none" w:sz="0" w:space="0" w:color="auto"/>
        <w:right w:val="none" w:sz="0" w:space="0" w:color="auto"/>
      </w:divBdr>
    </w:div>
    <w:div w:id="1910723585">
      <w:bodyDiv w:val="1"/>
      <w:marLeft w:val="0"/>
      <w:marRight w:val="0"/>
      <w:marTop w:val="0"/>
      <w:marBottom w:val="0"/>
      <w:divBdr>
        <w:top w:val="none" w:sz="0" w:space="0" w:color="auto"/>
        <w:left w:val="none" w:sz="0" w:space="0" w:color="auto"/>
        <w:bottom w:val="none" w:sz="0" w:space="0" w:color="auto"/>
        <w:right w:val="none" w:sz="0" w:space="0" w:color="auto"/>
      </w:divBdr>
    </w:div>
    <w:div w:id="1988588278">
      <w:bodyDiv w:val="1"/>
      <w:marLeft w:val="0"/>
      <w:marRight w:val="0"/>
      <w:marTop w:val="0"/>
      <w:marBottom w:val="0"/>
      <w:divBdr>
        <w:top w:val="none" w:sz="0" w:space="0" w:color="auto"/>
        <w:left w:val="none" w:sz="0" w:space="0" w:color="auto"/>
        <w:bottom w:val="none" w:sz="0" w:space="0" w:color="auto"/>
        <w:right w:val="none" w:sz="0" w:space="0" w:color="auto"/>
      </w:divBdr>
    </w:div>
    <w:div w:id="206274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image" Target="media/image1.png"/><Relationship Id="rId12" Type="http://schemas.openxmlformats.org/officeDocument/2006/relationships/hyperlink" Target="http://creativecommons.org/licenses/by/3.0"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mailto:secretary@cgc.gov.au" TargetMode="Externa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5430</Words>
  <Characters>30954</Characters>
  <Application>Microsoft Office Word</Application>
  <DocSecurity>0</DocSecurity>
  <Lines>257</Lines>
  <Paragraphs>72</Paragraphs>
  <ScaleCrop>false</ScaleCrop>
  <Company/>
  <LinksUpToDate>false</LinksUpToDate>
  <CharactersWithSpaces>36312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2018-04-18T04:00:00Z</dcterms:created>
  <dcterms:modified xsi:type="dcterms:W3CDTF">2018-04-18T04:01:00Z</dcterms:modified>
</cp:coreProperties>
</file>