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8B1" w:rsidRPr="00970E6D" w:rsidRDefault="001B68B1" w:rsidP="001B68B1">
      <w:pPr>
        <w:tabs>
          <w:tab w:val="clear" w:pos="567"/>
        </w:tabs>
        <w:jc w:val="center"/>
        <w:rPr>
          <w:b/>
          <w:bCs/>
        </w:rPr>
      </w:pPr>
      <w:bookmarkStart w:id="0" w:name="_Toc106707122"/>
      <w:bookmarkStart w:id="1" w:name="_Toc155675722"/>
      <w:bookmarkStart w:id="2" w:name="_Toc155675934"/>
      <w:bookmarkStart w:id="3" w:name="_Toc155675975"/>
      <w:bookmarkStart w:id="4" w:name="_Toc155676245"/>
      <w:bookmarkStart w:id="5" w:name="_Toc174415768"/>
      <w:bookmarkStart w:id="6" w:name="_Toc106707725"/>
      <w:bookmarkStart w:id="7" w:name="_Toc155675935"/>
      <w:bookmarkStart w:id="8" w:name="_Toc174415770"/>
      <w:bookmarkStart w:id="9" w:name="_Toc174415844"/>
      <w:bookmarkStart w:id="10" w:name="_Toc174415935"/>
      <w:bookmarkStart w:id="11" w:name="_Toc174416620"/>
      <w:bookmarkStart w:id="12" w:name="_Toc174416662"/>
      <w:bookmarkStart w:id="13" w:name="_Toc174416675"/>
      <w:bookmarkStart w:id="14" w:name="_GoBack"/>
      <w:bookmarkEnd w:id="14"/>
      <w:r w:rsidRPr="00970E6D">
        <w:rPr>
          <w:noProof/>
          <w:lang w:eastAsia="en-AU"/>
        </w:rPr>
        <w:drawing>
          <wp:inline distT="0" distB="0" distL="0" distR="0" wp14:anchorId="6487E4E8" wp14:editId="4C6582FB">
            <wp:extent cx="2933700" cy="1524600"/>
            <wp:effectExtent l="19050" t="0" r="0" b="0"/>
            <wp:docPr id="1" name="Picture 1" descr="Commonwealth Grant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GC_stackedstrip"/>
                    <pic:cNvPicPr>
                      <a:picLocks noChangeAspect="1" noChangeArrowheads="1"/>
                    </pic:cNvPicPr>
                  </pic:nvPicPr>
                  <pic:blipFill>
                    <a:blip r:embed="rId8" cstate="print"/>
                    <a:srcRect/>
                    <a:stretch>
                      <a:fillRect/>
                    </a:stretch>
                  </pic:blipFill>
                  <pic:spPr bwMode="auto">
                    <a:xfrm>
                      <a:off x="0" y="0"/>
                      <a:ext cx="2933700" cy="1524600"/>
                    </a:xfrm>
                    <a:prstGeom prst="rect">
                      <a:avLst/>
                    </a:prstGeom>
                    <a:noFill/>
                    <a:ln w="9525">
                      <a:noFill/>
                      <a:miter lim="800000"/>
                      <a:headEnd/>
                      <a:tailEnd/>
                    </a:ln>
                  </pic:spPr>
                </pic:pic>
              </a:graphicData>
            </a:graphic>
          </wp:inline>
        </w:drawing>
      </w:r>
    </w:p>
    <w:p w:rsidR="001B68B1" w:rsidRPr="00970E6D" w:rsidRDefault="001B68B1" w:rsidP="001B68B1">
      <w:pPr>
        <w:tabs>
          <w:tab w:val="clear" w:pos="567"/>
        </w:tabs>
        <w:jc w:val="center"/>
        <w:rPr>
          <w:b/>
          <w:sz w:val="40"/>
          <w:szCs w:val="40"/>
        </w:rPr>
      </w:pPr>
    </w:p>
    <w:p w:rsidR="001B68B1" w:rsidRPr="00970E6D" w:rsidRDefault="001B68B1" w:rsidP="001B68B1">
      <w:pPr>
        <w:tabs>
          <w:tab w:val="clear" w:pos="567"/>
        </w:tabs>
        <w:jc w:val="center"/>
        <w:rPr>
          <w:b/>
          <w:sz w:val="40"/>
          <w:szCs w:val="40"/>
        </w:rPr>
      </w:pPr>
    </w:p>
    <w:p w:rsidR="001B68B1" w:rsidRPr="00970E6D" w:rsidRDefault="001B68B1" w:rsidP="001B68B1">
      <w:pPr>
        <w:tabs>
          <w:tab w:val="clear" w:pos="567"/>
        </w:tabs>
        <w:jc w:val="center"/>
        <w:rPr>
          <w:b/>
          <w:sz w:val="40"/>
          <w:szCs w:val="40"/>
        </w:rPr>
      </w:pPr>
      <w:r w:rsidRPr="00970E6D">
        <w:rPr>
          <w:b/>
          <w:sz w:val="40"/>
          <w:szCs w:val="40"/>
        </w:rPr>
        <w:t>20</w:t>
      </w:r>
      <w:r>
        <w:rPr>
          <w:b/>
          <w:sz w:val="40"/>
          <w:szCs w:val="40"/>
        </w:rPr>
        <w:t>20</w:t>
      </w:r>
      <w:r w:rsidRPr="00970E6D">
        <w:rPr>
          <w:b/>
          <w:sz w:val="40"/>
          <w:szCs w:val="40"/>
        </w:rPr>
        <w:t xml:space="preserve"> REVIEW</w:t>
      </w:r>
    </w:p>
    <w:p w:rsidR="001B68B1" w:rsidRPr="00970E6D" w:rsidRDefault="001B68B1" w:rsidP="001B68B1">
      <w:pPr>
        <w:tabs>
          <w:tab w:val="clear" w:pos="567"/>
        </w:tabs>
        <w:jc w:val="center"/>
        <w:rPr>
          <w:b/>
          <w:sz w:val="40"/>
          <w:szCs w:val="40"/>
        </w:rPr>
      </w:pPr>
    </w:p>
    <w:p w:rsidR="001B68B1" w:rsidRPr="00970E6D" w:rsidRDefault="001B68B1" w:rsidP="001B68B1">
      <w:pPr>
        <w:tabs>
          <w:tab w:val="clear" w:pos="567"/>
        </w:tabs>
        <w:jc w:val="center"/>
        <w:rPr>
          <w:b/>
          <w:sz w:val="40"/>
          <w:szCs w:val="40"/>
        </w:rPr>
      </w:pPr>
    </w:p>
    <w:p w:rsidR="001B68B1" w:rsidRPr="00970E6D" w:rsidRDefault="001B68B1" w:rsidP="001B68B1">
      <w:pPr>
        <w:tabs>
          <w:tab w:val="clear" w:pos="567"/>
        </w:tabs>
        <w:jc w:val="center"/>
        <w:rPr>
          <w:b/>
          <w:sz w:val="40"/>
          <w:szCs w:val="40"/>
        </w:rPr>
      </w:pPr>
    </w:p>
    <w:p w:rsidR="001B68B1" w:rsidRPr="00970E6D" w:rsidRDefault="001B68B1" w:rsidP="001B68B1">
      <w:pPr>
        <w:tabs>
          <w:tab w:val="clear" w:pos="567"/>
        </w:tabs>
        <w:jc w:val="center"/>
        <w:rPr>
          <w:b/>
          <w:sz w:val="40"/>
          <w:szCs w:val="40"/>
        </w:rPr>
      </w:pPr>
    </w:p>
    <w:p w:rsidR="001B68B1" w:rsidRPr="00970E6D" w:rsidRDefault="00E4120D" w:rsidP="001B68B1">
      <w:pPr>
        <w:tabs>
          <w:tab w:val="clear" w:pos="567"/>
        </w:tabs>
        <w:jc w:val="center"/>
        <w:rPr>
          <w:bCs/>
          <w:sz w:val="40"/>
          <w:szCs w:val="40"/>
        </w:rPr>
      </w:pPr>
      <w:r>
        <w:rPr>
          <w:b/>
          <w:sz w:val="40"/>
          <w:szCs w:val="40"/>
        </w:rPr>
        <w:t>SERVICES TO INDUSTRY</w:t>
      </w:r>
    </w:p>
    <w:p w:rsidR="001B68B1" w:rsidRPr="00970E6D" w:rsidRDefault="001B68B1" w:rsidP="001B68B1">
      <w:pPr>
        <w:tabs>
          <w:tab w:val="clear" w:pos="567"/>
        </w:tabs>
        <w:jc w:val="center"/>
        <w:rPr>
          <w:b/>
          <w:sz w:val="40"/>
          <w:szCs w:val="40"/>
        </w:rPr>
      </w:pPr>
    </w:p>
    <w:p w:rsidR="001B68B1" w:rsidRPr="00970E6D" w:rsidRDefault="001B68B1" w:rsidP="001B68B1">
      <w:pPr>
        <w:tabs>
          <w:tab w:val="clear" w:pos="567"/>
        </w:tabs>
        <w:jc w:val="center"/>
        <w:rPr>
          <w:b/>
          <w:sz w:val="40"/>
          <w:szCs w:val="40"/>
        </w:rPr>
      </w:pPr>
    </w:p>
    <w:p w:rsidR="001B68B1" w:rsidRPr="00970E6D" w:rsidRDefault="001B68B1" w:rsidP="001B68B1">
      <w:pPr>
        <w:tabs>
          <w:tab w:val="clear" w:pos="567"/>
        </w:tabs>
        <w:jc w:val="center"/>
        <w:rPr>
          <w:b/>
          <w:sz w:val="40"/>
          <w:szCs w:val="40"/>
        </w:rPr>
      </w:pPr>
    </w:p>
    <w:p w:rsidR="001B68B1" w:rsidRPr="00970E6D" w:rsidRDefault="001B68B1" w:rsidP="001B68B1">
      <w:pPr>
        <w:tabs>
          <w:tab w:val="clear" w:pos="567"/>
        </w:tabs>
        <w:jc w:val="center"/>
        <w:rPr>
          <w:b/>
          <w:sz w:val="40"/>
          <w:szCs w:val="40"/>
        </w:rPr>
      </w:pPr>
    </w:p>
    <w:p w:rsidR="001B68B1" w:rsidRPr="00970E6D" w:rsidRDefault="00173002" w:rsidP="001B68B1">
      <w:pPr>
        <w:tabs>
          <w:tab w:val="clear" w:pos="567"/>
        </w:tabs>
        <w:jc w:val="center"/>
        <w:rPr>
          <w:b/>
          <w:sz w:val="40"/>
          <w:szCs w:val="40"/>
        </w:rPr>
      </w:pPr>
      <w:proofErr w:type="gramStart"/>
      <w:r>
        <w:rPr>
          <w:b/>
          <w:sz w:val="40"/>
          <w:szCs w:val="40"/>
        </w:rPr>
        <w:t xml:space="preserve">STAFF </w:t>
      </w:r>
      <w:r w:rsidR="001B68B1">
        <w:rPr>
          <w:b/>
          <w:sz w:val="40"/>
          <w:szCs w:val="40"/>
        </w:rPr>
        <w:t>DRAFT</w:t>
      </w:r>
      <w:proofErr w:type="gramEnd"/>
      <w:r w:rsidR="001B68B1">
        <w:rPr>
          <w:b/>
          <w:sz w:val="40"/>
          <w:szCs w:val="40"/>
        </w:rPr>
        <w:t xml:space="preserve"> ASSESSMENT PAPER</w:t>
      </w:r>
      <w:r w:rsidR="001B68B1">
        <w:rPr>
          <w:b/>
          <w:sz w:val="40"/>
          <w:szCs w:val="40"/>
        </w:rPr>
        <w:br/>
        <w:t>CGC 20</w:t>
      </w:r>
      <w:r w:rsidR="001B68B1" w:rsidRPr="00970E6D">
        <w:rPr>
          <w:b/>
          <w:sz w:val="40"/>
          <w:szCs w:val="40"/>
        </w:rPr>
        <w:t>1</w:t>
      </w:r>
      <w:r w:rsidR="001B68B1">
        <w:rPr>
          <w:b/>
          <w:sz w:val="40"/>
          <w:szCs w:val="40"/>
        </w:rPr>
        <w:t>8</w:t>
      </w:r>
      <w:r w:rsidR="008F2724">
        <w:rPr>
          <w:b/>
          <w:sz w:val="40"/>
          <w:szCs w:val="40"/>
        </w:rPr>
        <w:t>-</w:t>
      </w:r>
      <w:r w:rsidR="000D7811">
        <w:rPr>
          <w:b/>
          <w:sz w:val="40"/>
          <w:szCs w:val="40"/>
        </w:rPr>
        <w:t>19</w:t>
      </w:r>
      <w:r w:rsidR="001B68B1">
        <w:rPr>
          <w:b/>
          <w:sz w:val="40"/>
          <w:szCs w:val="40"/>
        </w:rPr>
        <w:t>-S</w:t>
      </w:r>
    </w:p>
    <w:p w:rsidR="001B68B1" w:rsidRPr="00970E6D" w:rsidRDefault="001B68B1" w:rsidP="001B68B1">
      <w:pPr>
        <w:tabs>
          <w:tab w:val="clear" w:pos="567"/>
        </w:tabs>
        <w:jc w:val="center"/>
        <w:rPr>
          <w:b/>
          <w:sz w:val="40"/>
          <w:szCs w:val="40"/>
        </w:rPr>
      </w:pPr>
    </w:p>
    <w:p w:rsidR="001B68B1" w:rsidRPr="00970E6D" w:rsidRDefault="001B68B1" w:rsidP="001B68B1">
      <w:pPr>
        <w:tabs>
          <w:tab w:val="clear" w:pos="567"/>
        </w:tabs>
        <w:jc w:val="center"/>
        <w:rPr>
          <w:b/>
          <w:sz w:val="40"/>
          <w:szCs w:val="40"/>
        </w:rPr>
      </w:pPr>
    </w:p>
    <w:p w:rsidR="001B68B1" w:rsidRPr="00970E6D" w:rsidRDefault="001B68B1" w:rsidP="001B68B1">
      <w:pPr>
        <w:tabs>
          <w:tab w:val="clear" w:pos="567"/>
        </w:tabs>
        <w:jc w:val="center"/>
        <w:rPr>
          <w:sz w:val="40"/>
          <w:szCs w:val="40"/>
        </w:rPr>
      </w:pPr>
    </w:p>
    <w:p w:rsidR="001B68B1" w:rsidRPr="00970E6D" w:rsidRDefault="001B68B1" w:rsidP="001B68B1">
      <w:pPr>
        <w:tabs>
          <w:tab w:val="clear" w:pos="567"/>
        </w:tabs>
        <w:jc w:val="right"/>
        <w:rPr>
          <w:b/>
          <w:sz w:val="28"/>
          <w:szCs w:val="28"/>
        </w:rPr>
      </w:pPr>
      <w:r>
        <w:rPr>
          <w:b/>
          <w:sz w:val="28"/>
          <w:szCs w:val="28"/>
        </w:rPr>
        <w:t>APRIL 2018</w:t>
      </w:r>
    </w:p>
    <w:p w:rsidR="001B68B1" w:rsidRPr="00970E6D" w:rsidRDefault="001B68B1" w:rsidP="001B68B1">
      <w:pPr>
        <w:tabs>
          <w:tab w:val="clear" w:pos="567"/>
        </w:tabs>
      </w:pPr>
    </w:p>
    <w:p w:rsidR="001B68B1" w:rsidRPr="00970E6D" w:rsidRDefault="001B68B1" w:rsidP="001B68B1">
      <w:pPr>
        <w:tabs>
          <w:tab w:val="clear" w:pos="567"/>
        </w:tabs>
        <w:sectPr w:rsidR="001B68B1" w:rsidRPr="00970E6D" w:rsidSect="00A23C56">
          <w:footerReference w:type="default" r:id="rId9"/>
          <w:footerReference w:type="first" r:id="rId10"/>
          <w:pgSz w:w="11899" w:h="16838" w:code="9"/>
          <w:pgMar w:top="1701" w:right="1474" w:bottom="1701" w:left="1474" w:header="709" w:footer="709" w:gutter="0"/>
          <w:cols w:space="708"/>
          <w:titlePg/>
          <w:docGrid w:linePitch="299"/>
        </w:sectPr>
      </w:pPr>
    </w:p>
    <w:p w:rsidR="001B68B1" w:rsidRPr="00970E6D" w:rsidRDefault="001B68B1" w:rsidP="001B68B1">
      <w:pPr>
        <w:tabs>
          <w:tab w:val="clear" w:pos="567"/>
        </w:tabs>
      </w:pPr>
    </w:p>
    <w:tbl>
      <w:tblPr>
        <w:tblStyle w:val="TableGrid"/>
        <w:tblW w:w="5000" w:type="pct"/>
        <w:tblLook w:val="01E0" w:firstRow="1" w:lastRow="1" w:firstColumn="1" w:lastColumn="1" w:noHBand="0" w:noVBand="0"/>
      </w:tblPr>
      <w:tblGrid>
        <w:gridCol w:w="2943"/>
        <w:gridCol w:w="6224"/>
      </w:tblGrid>
      <w:tr w:rsidR="001B68B1" w:rsidRPr="00970E6D" w:rsidTr="00A23C56">
        <w:tc>
          <w:tcPr>
            <w:tcW w:w="1605" w:type="pct"/>
            <w:tcBorders>
              <w:top w:val="single" w:sz="4" w:space="0" w:color="auto"/>
              <w:left w:val="single" w:sz="4" w:space="0" w:color="auto"/>
              <w:bottom w:val="single" w:sz="4" w:space="0" w:color="auto"/>
              <w:right w:val="single" w:sz="4" w:space="0" w:color="auto"/>
            </w:tcBorders>
          </w:tcPr>
          <w:p w:rsidR="001B68B1" w:rsidRPr="00970E6D" w:rsidRDefault="001B68B1" w:rsidP="00A23C56">
            <w:pPr>
              <w:tabs>
                <w:tab w:val="clear" w:pos="567"/>
              </w:tabs>
            </w:pPr>
            <w:r w:rsidRPr="00970E6D">
              <w:t>Paper issued</w:t>
            </w:r>
          </w:p>
        </w:tc>
        <w:tc>
          <w:tcPr>
            <w:tcW w:w="3395" w:type="pct"/>
            <w:tcBorders>
              <w:top w:val="single" w:sz="4" w:space="0" w:color="auto"/>
              <w:left w:val="single" w:sz="4" w:space="0" w:color="auto"/>
              <w:bottom w:val="single" w:sz="4" w:space="0" w:color="auto"/>
              <w:right w:val="single" w:sz="4" w:space="0" w:color="auto"/>
            </w:tcBorders>
          </w:tcPr>
          <w:p w:rsidR="001B68B1" w:rsidRPr="006F1F32" w:rsidRDefault="005F2A2A" w:rsidP="00F468FB">
            <w:pPr>
              <w:tabs>
                <w:tab w:val="clear" w:pos="567"/>
              </w:tabs>
              <w:rPr>
                <w:highlight w:val="yellow"/>
              </w:rPr>
            </w:pPr>
            <w:r w:rsidRPr="005F2A2A">
              <w:t xml:space="preserve">20 </w:t>
            </w:r>
            <w:r w:rsidR="00F468FB" w:rsidRPr="005F2A2A">
              <w:t>April 2018</w:t>
            </w:r>
          </w:p>
        </w:tc>
      </w:tr>
      <w:tr w:rsidR="001B68B1" w:rsidRPr="00970E6D" w:rsidTr="00A23C56">
        <w:tc>
          <w:tcPr>
            <w:tcW w:w="1605" w:type="pct"/>
            <w:tcBorders>
              <w:top w:val="single" w:sz="4" w:space="0" w:color="auto"/>
              <w:left w:val="single" w:sz="4" w:space="0" w:color="auto"/>
              <w:bottom w:val="single" w:sz="4" w:space="0" w:color="auto"/>
              <w:right w:val="single" w:sz="4" w:space="0" w:color="auto"/>
            </w:tcBorders>
          </w:tcPr>
          <w:p w:rsidR="001B68B1" w:rsidRPr="00970E6D" w:rsidRDefault="001B68B1" w:rsidP="00A23C56">
            <w:pPr>
              <w:tabs>
                <w:tab w:val="clear" w:pos="567"/>
              </w:tabs>
            </w:pPr>
            <w:r w:rsidRPr="00970E6D">
              <w:t>Commission contact officer</w:t>
            </w:r>
          </w:p>
        </w:tc>
        <w:tc>
          <w:tcPr>
            <w:tcW w:w="3395" w:type="pct"/>
            <w:tcBorders>
              <w:top w:val="single" w:sz="4" w:space="0" w:color="auto"/>
              <w:left w:val="single" w:sz="4" w:space="0" w:color="auto"/>
              <w:bottom w:val="single" w:sz="4" w:space="0" w:color="auto"/>
              <w:right w:val="single" w:sz="4" w:space="0" w:color="auto"/>
            </w:tcBorders>
          </w:tcPr>
          <w:p w:rsidR="001B68B1" w:rsidRPr="006F1F32" w:rsidRDefault="00F468FB" w:rsidP="00420DC1">
            <w:pPr>
              <w:tabs>
                <w:tab w:val="clear" w:pos="567"/>
              </w:tabs>
              <w:rPr>
                <w:highlight w:val="yellow"/>
              </w:rPr>
            </w:pPr>
            <w:r w:rsidRPr="00420DC1">
              <w:t>Jacob Savage</w:t>
            </w:r>
            <w:r w:rsidR="001B68B1" w:rsidRPr="00420DC1">
              <w:t xml:space="preserve">, </w:t>
            </w:r>
            <w:r w:rsidRPr="00420DC1">
              <w:t xml:space="preserve">02 6229 </w:t>
            </w:r>
            <w:r w:rsidR="00420DC1" w:rsidRPr="00420DC1">
              <w:t>8824</w:t>
            </w:r>
            <w:r w:rsidR="001B68B1" w:rsidRPr="00420DC1">
              <w:t xml:space="preserve">, </w:t>
            </w:r>
            <w:r w:rsidRPr="00420DC1">
              <w:t>Jacob.savage@cgc.gov.au</w:t>
            </w:r>
          </w:p>
        </w:tc>
      </w:tr>
      <w:tr w:rsidR="001B68B1" w:rsidRPr="00970E6D" w:rsidTr="00A23C56">
        <w:tc>
          <w:tcPr>
            <w:tcW w:w="1605" w:type="pct"/>
            <w:tcBorders>
              <w:top w:val="single" w:sz="4" w:space="0" w:color="auto"/>
              <w:left w:val="single" w:sz="4" w:space="0" w:color="auto"/>
              <w:bottom w:val="single" w:sz="4" w:space="0" w:color="auto"/>
              <w:right w:val="single" w:sz="4" w:space="0" w:color="auto"/>
            </w:tcBorders>
          </w:tcPr>
          <w:p w:rsidR="001B68B1" w:rsidRPr="00970E6D" w:rsidRDefault="001B68B1" w:rsidP="00A23C56">
            <w:pPr>
              <w:tabs>
                <w:tab w:val="clear" w:pos="567"/>
              </w:tabs>
            </w:pPr>
            <w:r w:rsidRPr="00970E6D">
              <w:t>Submissions sought by</w:t>
            </w:r>
          </w:p>
        </w:tc>
        <w:tc>
          <w:tcPr>
            <w:tcW w:w="3395" w:type="pct"/>
            <w:tcBorders>
              <w:top w:val="single" w:sz="4" w:space="0" w:color="auto"/>
              <w:left w:val="single" w:sz="4" w:space="0" w:color="auto"/>
              <w:bottom w:val="single" w:sz="4" w:space="0" w:color="auto"/>
              <w:right w:val="single" w:sz="4" w:space="0" w:color="auto"/>
            </w:tcBorders>
          </w:tcPr>
          <w:p w:rsidR="006F1F32" w:rsidRDefault="005F2A2A" w:rsidP="00A23C56">
            <w:pPr>
              <w:tabs>
                <w:tab w:val="clear" w:pos="567"/>
              </w:tabs>
            </w:pPr>
            <w:r w:rsidRPr="005F2A2A">
              <w:t xml:space="preserve">31 </w:t>
            </w:r>
            <w:r w:rsidR="00420DC1" w:rsidRPr="005F2A2A">
              <w:t>August</w:t>
            </w:r>
            <w:r w:rsidR="001B68B1" w:rsidRPr="005F2A2A">
              <w:t xml:space="preserve"> 20</w:t>
            </w:r>
            <w:r w:rsidR="00420DC1" w:rsidRPr="005F2A2A">
              <w:t>18</w:t>
            </w:r>
            <w:r w:rsidR="006F1F32" w:rsidRPr="005F2A2A">
              <w:t>.</w:t>
            </w:r>
          </w:p>
          <w:p w:rsidR="001B68B1" w:rsidRDefault="001B68B1" w:rsidP="00B24FB0">
            <w:pPr>
              <w:tabs>
                <w:tab w:val="clear" w:pos="567"/>
              </w:tabs>
            </w:pPr>
            <w:r w:rsidRPr="00970E6D">
              <w:t xml:space="preserve">Submissions should be emailed in Word format to </w:t>
            </w:r>
            <w:hyperlink r:id="rId11" w:history="1">
              <w:r w:rsidRPr="00970E6D">
                <w:rPr>
                  <w:rStyle w:val="Hyperlink"/>
                </w:rPr>
                <w:t>secretary@cgc.gov.au</w:t>
              </w:r>
            </w:hyperlink>
            <w:r w:rsidRPr="00970E6D">
              <w:t xml:space="preserve"> .</w:t>
            </w:r>
          </w:p>
          <w:p w:rsidR="001A6E8C" w:rsidRPr="00970E6D" w:rsidRDefault="001A6E8C" w:rsidP="00B24FB0">
            <w:pPr>
              <w:tabs>
                <w:tab w:val="clear" w:pos="567"/>
              </w:tabs>
            </w:pPr>
            <w:r>
              <w:t xml:space="preserve">Submissions of more than 10 pages in length should include a summary section. </w:t>
            </w:r>
          </w:p>
        </w:tc>
      </w:tr>
      <w:tr w:rsidR="001B68B1" w:rsidRPr="00970E6D" w:rsidTr="00A23C56">
        <w:tc>
          <w:tcPr>
            <w:tcW w:w="1605" w:type="pct"/>
            <w:tcBorders>
              <w:top w:val="single" w:sz="4" w:space="0" w:color="auto"/>
              <w:left w:val="single" w:sz="4" w:space="0" w:color="auto"/>
              <w:bottom w:val="single" w:sz="4" w:space="0" w:color="auto"/>
              <w:right w:val="single" w:sz="4" w:space="0" w:color="auto"/>
            </w:tcBorders>
          </w:tcPr>
          <w:p w:rsidR="001B68B1" w:rsidRPr="00970E6D" w:rsidRDefault="001B68B1" w:rsidP="00A23C56">
            <w:pPr>
              <w:tabs>
                <w:tab w:val="clear" w:pos="567"/>
              </w:tabs>
            </w:pPr>
            <w:r w:rsidRPr="00970E6D">
              <w:t>Confidential material</w:t>
            </w:r>
          </w:p>
        </w:tc>
        <w:tc>
          <w:tcPr>
            <w:tcW w:w="3395" w:type="pct"/>
            <w:tcBorders>
              <w:top w:val="single" w:sz="4" w:space="0" w:color="auto"/>
              <w:left w:val="single" w:sz="4" w:space="0" w:color="auto"/>
              <w:bottom w:val="single" w:sz="4" w:space="0" w:color="auto"/>
              <w:right w:val="single" w:sz="4" w:space="0" w:color="auto"/>
            </w:tcBorders>
          </w:tcPr>
          <w:p w:rsidR="001B68B1" w:rsidRPr="00CF1294" w:rsidRDefault="001B68B1" w:rsidP="00A23C56">
            <w:pPr>
              <w:tabs>
                <w:tab w:val="clear" w:pos="567"/>
              </w:tabs>
            </w:pPr>
            <w:r w:rsidRPr="00CF1294">
              <w:t xml:space="preserve">It is the </w:t>
            </w:r>
            <w:r w:rsidR="000D7811">
              <w:t>C</w:t>
            </w:r>
            <w:r w:rsidRPr="00CF1294">
              <w:t xml:space="preserve">ommission’s normal practice to make State submissions available on its website under the CC BY licence, allowing free use of content by third parties. </w:t>
            </w:r>
          </w:p>
          <w:p w:rsidR="001B68B1" w:rsidRPr="00CF1294" w:rsidRDefault="001B68B1" w:rsidP="00A23C56">
            <w:pPr>
              <w:tabs>
                <w:tab w:val="clear" w:pos="567"/>
              </w:tabs>
            </w:pPr>
            <w:r w:rsidRPr="00CF1294">
              <w:rPr>
                <w:noProof/>
                <w:lang w:eastAsia="en-AU"/>
              </w:rPr>
              <w:drawing>
                <wp:inline distT="0" distB="0" distL="0" distR="0" wp14:anchorId="6D5EA3D5" wp14:editId="62C01B9C">
                  <wp:extent cx="828675" cy="295275"/>
                  <wp:effectExtent l="19050" t="0" r="9525" b="0"/>
                  <wp:docPr id="3" name="Picture 1" descr="Creative Commons - CC BY At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 Attribution"/>
                          <pic:cNvPicPr>
                            <a:picLocks noChangeAspect="1" noChangeArrowheads="1"/>
                          </pic:cNvPicPr>
                        </pic:nvPicPr>
                        <pic:blipFill>
                          <a:blip r:embed="rId12"/>
                          <a:srcRect/>
                          <a:stretch>
                            <a:fillRect/>
                          </a:stretch>
                        </pic:blipFill>
                        <pic:spPr bwMode="auto">
                          <a:xfrm>
                            <a:off x="0" y="0"/>
                            <a:ext cx="828675" cy="295275"/>
                          </a:xfrm>
                          <a:prstGeom prst="rect">
                            <a:avLst/>
                          </a:prstGeom>
                          <a:noFill/>
                          <a:ln w="9525">
                            <a:noFill/>
                            <a:miter lim="800000"/>
                            <a:headEnd/>
                            <a:tailEnd/>
                          </a:ln>
                        </pic:spPr>
                      </pic:pic>
                    </a:graphicData>
                  </a:graphic>
                </wp:inline>
              </w:drawing>
            </w:r>
          </w:p>
          <w:p w:rsidR="001B68B1" w:rsidRPr="00CF1294" w:rsidRDefault="001B68B1" w:rsidP="00A23C56">
            <w:pPr>
              <w:tabs>
                <w:tab w:val="clear" w:pos="567"/>
              </w:tabs>
            </w:pPr>
            <w:r w:rsidRPr="00CF1294">
              <w:t xml:space="preserve">Further information on the CC BY licence can be found </w:t>
            </w:r>
            <w:r w:rsidRPr="00EC79CF">
              <w:t xml:space="preserve">on the </w:t>
            </w:r>
            <w:hyperlink r:id="rId13" w:history="1">
              <w:r w:rsidRPr="00841145">
                <w:rPr>
                  <w:rStyle w:val="Hyperlink"/>
                </w:rPr>
                <w:t>Creative Commons website</w:t>
              </w:r>
            </w:hyperlink>
            <w:r w:rsidRPr="00EC79CF">
              <w:t xml:space="preserve"> </w:t>
            </w:r>
            <w:r>
              <w:t>(</w:t>
            </w:r>
            <w:r w:rsidRPr="00841145">
              <w:t>http://creativecommons.org</w:t>
            </w:r>
            <w:r>
              <w:t>).</w:t>
            </w:r>
            <w:r w:rsidRPr="00CF1294">
              <w:t xml:space="preserve"> </w:t>
            </w:r>
          </w:p>
          <w:p w:rsidR="001B68B1" w:rsidRPr="00970E6D" w:rsidRDefault="001B68B1" w:rsidP="00A23C56">
            <w:pPr>
              <w:tabs>
                <w:tab w:val="clear" w:pos="567"/>
              </w:tabs>
            </w:pPr>
            <w:r w:rsidRPr="00CF1294">
              <w:t xml:space="preserve">Confidential material contained in submissions must be clearly identified or included in separate attachment/s, and details provided in the covering email. Identified confidential material will not be published on the </w:t>
            </w:r>
            <w:r w:rsidR="000D7811">
              <w:t>C</w:t>
            </w:r>
            <w:r w:rsidRPr="00CF1294">
              <w:t>ommission’s website.</w:t>
            </w:r>
          </w:p>
        </w:tc>
      </w:tr>
    </w:tbl>
    <w:p w:rsidR="001B68B1" w:rsidRPr="00970E6D" w:rsidRDefault="001B68B1" w:rsidP="001B68B1">
      <w:pPr>
        <w:tabs>
          <w:tab w:val="clear" w:pos="567"/>
        </w:tabs>
        <w:sectPr w:rsidR="001B68B1" w:rsidRPr="00970E6D" w:rsidSect="00A23C56">
          <w:headerReference w:type="first" r:id="rId14"/>
          <w:footerReference w:type="first" r:id="rId15"/>
          <w:pgSz w:w="11899" w:h="16838" w:code="9"/>
          <w:pgMar w:top="1701" w:right="1474" w:bottom="1701" w:left="1474" w:header="709" w:footer="709" w:gutter="0"/>
          <w:cols w:space="708"/>
          <w:vAlign w:val="bottom"/>
          <w:titlePg/>
          <w:docGrid w:linePitch="299"/>
        </w:sectPr>
      </w:pPr>
    </w:p>
    <w:p w:rsidR="001B68B1" w:rsidRPr="00970E6D" w:rsidRDefault="001B68B1" w:rsidP="001B68B1">
      <w:pPr>
        <w:pStyle w:val="Heading1"/>
      </w:pPr>
      <w:r w:rsidRPr="00970E6D">
        <w:lastRenderedPageBreak/>
        <w:t>C</w:t>
      </w:r>
      <w:bookmarkEnd w:id="0"/>
      <w:bookmarkEnd w:id="1"/>
      <w:bookmarkEnd w:id="2"/>
      <w:bookmarkEnd w:id="3"/>
      <w:bookmarkEnd w:id="4"/>
      <w:bookmarkEnd w:id="5"/>
      <w:r>
        <w:t>ontents</w:t>
      </w:r>
    </w:p>
    <w:p w:rsidR="001A6E8C" w:rsidRDefault="001A6E8C" w:rsidP="001A6E8C">
      <w:pPr>
        <w:pStyle w:val="TOC1"/>
      </w:pPr>
    </w:p>
    <w:p w:rsidR="00E378DF" w:rsidRDefault="001A6E8C">
      <w:pPr>
        <w:pStyle w:val="TOC1"/>
        <w:rPr>
          <w:rFonts w:eastAsiaTheme="minorEastAsia"/>
          <w:b w:val="0"/>
          <w:bCs w:val="0"/>
          <w:caps w:val="0"/>
          <w:noProof/>
          <w:sz w:val="22"/>
          <w:szCs w:val="22"/>
          <w:lang w:eastAsia="en-AU"/>
        </w:rPr>
      </w:pPr>
      <w:r>
        <w:fldChar w:fldCharType="begin"/>
      </w:r>
      <w:r>
        <w:instrText xml:space="preserve"> TOC \f \h \z \u \t "Heading 2,1,Heading 3,1,Heading 4,3" </w:instrText>
      </w:r>
      <w:r>
        <w:fldChar w:fldCharType="separate"/>
      </w:r>
      <w:hyperlink w:anchor="_Toc511660955" w:history="1">
        <w:r w:rsidR="00E378DF" w:rsidRPr="00D56674">
          <w:rPr>
            <w:rStyle w:val="Hyperlink"/>
            <w:noProof/>
          </w:rPr>
          <w:t>Service to industry</w:t>
        </w:r>
        <w:r w:rsidR="00E378DF">
          <w:rPr>
            <w:noProof/>
            <w:webHidden/>
          </w:rPr>
          <w:tab/>
        </w:r>
        <w:r w:rsidR="00E378DF">
          <w:rPr>
            <w:noProof/>
            <w:webHidden/>
          </w:rPr>
          <w:fldChar w:fldCharType="begin"/>
        </w:r>
        <w:r w:rsidR="00E378DF">
          <w:rPr>
            <w:noProof/>
            <w:webHidden/>
          </w:rPr>
          <w:instrText xml:space="preserve"> PAGEREF _Toc511660955 \h </w:instrText>
        </w:r>
        <w:r w:rsidR="00E378DF">
          <w:rPr>
            <w:noProof/>
            <w:webHidden/>
          </w:rPr>
        </w:r>
        <w:r w:rsidR="00E378DF">
          <w:rPr>
            <w:noProof/>
            <w:webHidden/>
          </w:rPr>
          <w:fldChar w:fldCharType="separate"/>
        </w:r>
        <w:r w:rsidR="00E378DF">
          <w:rPr>
            <w:noProof/>
            <w:webHidden/>
          </w:rPr>
          <w:t>1</w:t>
        </w:r>
        <w:r w:rsidR="00E378DF">
          <w:rPr>
            <w:noProof/>
            <w:webHidden/>
          </w:rPr>
          <w:fldChar w:fldCharType="end"/>
        </w:r>
      </w:hyperlink>
    </w:p>
    <w:p w:rsidR="00E378DF" w:rsidRDefault="003731D6">
      <w:pPr>
        <w:pStyle w:val="TOC1"/>
        <w:rPr>
          <w:rFonts w:eastAsiaTheme="minorEastAsia"/>
          <w:b w:val="0"/>
          <w:bCs w:val="0"/>
          <w:caps w:val="0"/>
          <w:noProof/>
          <w:sz w:val="22"/>
          <w:szCs w:val="22"/>
          <w:lang w:eastAsia="en-AU"/>
        </w:rPr>
      </w:pPr>
      <w:hyperlink w:anchor="_Toc511660956" w:history="1">
        <w:r w:rsidR="00E378DF" w:rsidRPr="00D56674">
          <w:rPr>
            <w:rStyle w:val="Hyperlink"/>
            <w:noProof/>
          </w:rPr>
          <w:t>2015 REVIEW APPROACH</w:t>
        </w:r>
        <w:r w:rsidR="00E378DF">
          <w:rPr>
            <w:noProof/>
            <w:webHidden/>
          </w:rPr>
          <w:tab/>
        </w:r>
        <w:r w:rsidR="00E378DF">
          <w:rPr>
            <w:noProof/>
            <w:webHidden/>
          </w:rPr>
          <w:fldChar w:fldCharType="begin"/>
        </w:r>
        <w:r w:rsidR="00E378DF">
          <w:rPr>
            <w:noProof/>
            <w:webHidden/>
          </w:rPr>
          <w:instrText xml:space="preserve"> PAGEREF _Toc511660956 \h </w:instrText>
        </w:r>
        <w:r w:rsidR="00E378DF">
          <w:rPr>
            <w:noProof/>
            <w:webHidden/>
          </w:rPr>
        </w:r>
        <w:r w:rsidR="00E378DF">
          <w:rPr>
            <w:noProof/>
            <w:webHidden/>
          </w:rPr>
          <w:fldChar w:fldCharType="separate"/>
        </w:r>
        <w:r w:rsidR="00E378DF">
          <w:rPr>
            <w:noProof/>
            <w:webHidden/>
          </w:rPr>
          <w:t>1</w:t>
        </w:r>
        <w:r w:rsidR="00E378DF">
          <w:rPr>
            <w:noProof/>
            <w:webHidden/>
          </w:rPr>
          <w:fldChar w:fldCharType="end"/>
        </w:r>
      </w:hyperlink>
    </w:p>
    <w:p w:rsidR="00E378DF" w:rsidRDefault="003731D6">
      <w:pPr>
        <w:pStyle w:val="TOC3"/>
        <w:rPr>
          <w:rFonts w:eastAsiaTheme="minorEastAsia"/>
          <w:iCs w:val="0"/>
          <w:noProof/>
          <w:sz w:val="22"/>
          <w:lang w:eastAsia="en-AU"/>
        </w:rPr>
      </w:pPr>
      <w:hyperlink w:anchor="_Toc511660957" w:history="1">
        <w:r w:rsidR="00E378DF" w:rsidRPr="00D56674">
          <w:rPr>
            <w:rStyle w:val="Hyperlink"/>
            <w:noProof/>
          </w:rPr>
          <w:t>Services included in this category</w:t>
        </w:r>
        <w:r w:rsidR="00E378DF">
          <w:rPr>
            <w:noProof/>
            <w:webHidden/>
          </w:rPr>
          <w:tab/>
        </w:r>
        <w:r w:rsidR="00E378DF">
          <w:rPr>
            <w:noProof/>
            <w:webHidden/>
          </w:rPr>
          <w:fldChar w:fldCharType="begin"/>
        </w:r>
        <w:r w:rsidR="00E378DF">
          <w:rPr>
            <w:noProof/>
            <w:webHidden/>
          </w:rPr>
          <w:instrText xml:space="preserve"> PAGEREF _Toc511660957 \h </w:instrText>
        </w:r>
        <w:r w:rsidR="00E378DF">
          <w:rPr>
            <w:noProof/>
            <w:webHidden/>
          </w:rPr>
        </w:r>
        <w:r w:rsidR="00E378DF">
          <w:rPr>
            <w:noProof/>
            <w:webHidden/>
          </w:rPr>
          <w:fldChar w:fldCharType="separate"/>
        </w:r>
        <w:r w:rsidR="00E378DF">
          <w:rPr>
            <w:noProof/>
            <w:webHidden/>
          </w:rPr>
          <w:t>1</w:t>
        </w:r>
        <w:r w:rsidR="00E378DF">
          <w:rPr>
            <w:noProof/>
            <w:webHidden/>
          </w:rPr>
          <w:fldChar w:fldCharType="end"/>
        </w:r>
      </w:hyperlink>
    </w:p>
    <w:p w:rsidR="00E378DF" w:rsidRDefault="003731D6">
      <w:pPr>
        <w:pStyle w:val="TOC3"/>
        <w:rPr>
          <w:rFonts w:eastAsiaTheme="minorEastAsia"/>
          <w:iCs w:val="0"/>
          <w:noProof/>
          <w:sz w:val="22"/>
          <w:lang w:eastAsia="en-AU"/>
        </w:rPr>
      </w:pPr>
      <w:hyperlink w:anchor="_Toc511660958" w:history="1">
        <w:r w:rsidR="00E378DF" w:rsidRPr="00D56674">
          <w:rPr>
            <w:rStyle w:val="Hyperlink"/>
            <w:noProof/>
          </w:rPr>
          <w:t>Category and component expenses</w:t>
        </w:r>
        <w:r w:rsidR="00E378DF">
          <w:rPr>
            <w:noProof/>
            <w:webHidden/>
          </w:rPr>
          <w:tab/>
        </w:r>
        <w:r w:rsidR="00E378DF">
          <w:rPr>
            <w:noProof/>
            <w:webHidden/>
          </w:rPr>
          <w:fldChar w:fldCharType="begin"/>
        </w:r>
        <w:r w:rsidR="00E378DF">
          <w:rPr>
            <w:noProof/>
            <w:webHidden/>
          </w:rPr>
          <w:instrText xml:space="preserve"> PAGEREF _Toc511660958 \h </w:instrText>
        </w:r>
        <w:r w:rsidR="00E378DF">
          <w:rPr>
            <w:noProof/>
            <w:webHidden/>
          </w:rPr>
        </w:r>
        <w:r w:rsidR="00E378DF">
          <w:rPr>
            <w:noProof/>
            <w:webHidden/>
          </w:rPr>
          <w:fldChar w:fldCharType="separate"/>
        </w:r>
        <w:r w:rsidR="00E378DF">
          <w:rPr>
            <w:noProof/>
            <w:webHidden/>
          </w:rPr>
          <w:t>1</w:t>
        </w:r>
        <w:r w:rsidR="00E378DF">
          <w:rPr>
            <w:noProof/>
            <w:webHidden/>
          </w:rPr>
          <w:fldChar w:fldCharType="end"/>
        </w:r>
      </w:hyperlink>
    </w:p>
    <w:p w:rsidR="00E378DF" w:rsidRDefault="003731D6">
      <w:pPr>
        <w:pStyle w:val="TOC3"/>
        <w:rPr>
          <w:rFonts w:eastAsiaTheme="minorEastAsia"/>
          <w:iCs w:val="0"/>
          <w:noProof/>
          <w:sz w:val="22"/>
          <w:lang w:eastAsia="en-AU"/>
        </w:rPr>
      </w:pPr>
      <w:hyperlink w:anchor="_Toc511660959" w:history="1">
        <w:r w:rsidR="00E378DF" w:rsidRPr="00D56674">
          <w:rPr>
            <w:rStyle w:val="Hyperlink"/>
            <w:noProof/>
          </w:rPr>
          <w:t>Data sources and assessment methods</w:t>
        </w:r>
        <w:r w:rsidR="00E378DF">
          <w:rPr>
            <w:noProof/>
            <w:webHidden/>
          </w:rPr>
          <w:tab/>
        </w:r>
        <w:r w:rsidR="00E378DF">
          <w:rPr>
            <w:noProof/>
            <w:webHidden/>
          </w:rPr>
          <w:fldChar w:fldCharType="begin"/>
        </w:r>
        <w:r w:rsidR="00E378DF">
          <w:rPr>
            <w:noProof/>
            <w:webHidden/>
          </w:rPr>
          <w:instrText xml:space="preserve"> PAGEREF _Toc511660959 \h </w:instrText>
        </w:r>
        <w:r w:rsidR="00E378DF">
          <w:rPr>
            <w:noProof/>
            <w:webHidden/>
          </w:rPr>
        </w:r>
        <w:r w:rsidR="00E378DF">
          <w:rPr>
            <w:noProof/>
            <w:webHidden/>
          </w:rPr>
          <w:fldChar w:fldCharType="separate"/>
        </w:r>
        <w:r w:rsidR="00E378DF">
          <w:rPr>
            <w:noProof/>
            <w:webHidden/>
          </w:rPr>
          <w:t>2</w:t>
        </w:r>
        <w:r w:rsidR="00E378DF">
          <w:rPr>
            <w:noProof/>
            <w:webHidden/>
          </w:rPr>
          <w:fldChar w:fldCharType="end"/>
        </w:r>
      </w:hyperlink>
    </w:p>
    <w:p w:rsidR="00E378DF" w:rsidRDefault="003731D6">
      <w:pPr>
        <w:pStyle w:val="TOC3"/>
        <w:rPr>
          <w:rFonts w:eastAsiaTheme="minorEastAsia"/>
          <w:iCs w:val="0"/>
          <w:noProof/>
          <w:sz w:val="22"/>
          <w:lang w:eastAsia="en-AU"/>
        </w:rPr>
      </w:pPr>
      <w:hyperlink w:anchor="_Toc511660960" w:history="1">
        <w:r w:rsidR="00E378DF" w:rsidRPr="00D56674">
          <w:rPr>
            <w:rStyle w:val="Hyperlink"/>
            <w:noProof/>
          </w:rPr>
          <w:t>Investment and depreciation</w:t>
        </w:r>
        <w:r w:rsidR="00E378DF">
          <w:rPr>
            <w:noProof/>
            <w:webHidden/>
          </w:rPr>
          <w:tab/>
        </w:r>
        <w:r w:rsidR="00E378DF">
          <w:rPr>
            <w:noProof/>
            <w:webHidden/>
          </w:rPr>
          <w:fldChar w:fldCharType="begin"/>
        </w:r>
        <w:r w:rsidR="00E378DF">
          <w:rPr>
            <w:noProof/>
            <w:webHidden/>
          </w:rPr>
          <w:instrText xml:space="preserve"> PAGEREF _Toc511660960 \h </w:instrText>
        </w:r>
        <w:r w:rsidR="00E378DF">
          <w:rPr>
            <w:noProof/>
            <w:webHidden/>
          </w:rPr>
        </w:r>
        <w:r w:rsidR="00E378DF">
          <w:rPr>
            <w:noProof/>
            <w:webHidden/>
          </w:rPr>
          <w:fldChar w:fldCharType="separate"/>
        </w:r>
        <w:r w:rsidR="00E378DF">
          <w:rPr>
            <w:noProof/>
            <w:webHidden/>
          </w:rPr>
          <w:t>4</w:t>
        </w:r>
        <w:r w:rsidR="00E378DF">
          <w:rPr>
            <w:noProof/>
            <w:webHidden/>
          </w:rPr>
          <w:fldChar w:fldCharType="end"/>
        </w:r>
      </w:hyperlink>
    </w:p>
    <w:p w:rsidR="00E378DF" w:rsidRDefault="003731D6">
      <w:pPr>
        <w:pStyle w:val="TOC3"/>
        <w:rPr>
          <w:rFonts w:eastAsiaTheme="minorEastAsia"/>
          <w:iCs w:val="0"/>
          <w:noProof/>
          <w:sz w:val="22"/>
          <w:lang w:eastAsia="en-AU"/>
        </w:rPr>
      </w:pPr>
      <w:hyperlink w:anchor="_Toc511660961" w:history="1">
        <w:r w:rsidR="00E378DF" w:rsidRPr="00D56674">
          <w:rPr>
            <w:rStyle w:val="Hyperlink"/>
            <w:noProof/>
          </w:rPr>
          <w:t>GST redistribution</w:t>
        </w:r>
        <w:r w:rsidR="00E378DF">
          <w:rPr>
            <w:noProof/>
            <w:webHidden/>
          </w:rPr>
          <w:tab/>
        </w:r>
        <w:r w:rsidR="00E378DF">
          <w:rPr>
            <w:noProof/>
            <w:webHidden/>
          </w:rPr>
          <w:fldChar w:fldCharType="begin"/>
        </w:r>
        <w:r w:rsidR="00E378DF">
          <w:rPr>
            <w:noProof/>
            <w:webHidden/>
          </w:rPr>
          <w:instrText xml:space="preserve"> PAGEREF _Toc511660961 \h </w:instrText>
        </w:r>
        <w:r w:rsidR="00E378DF">
          <w:rPr>
            <w:noProof/>
            <w:webHidden/>
          </w:rPr>
        </w:r>
        <w:r w:rsidR="00E378DF">
          <w:rPr>
            <w:noProof/>
            <w:webHidden/>
          </w:rPr>
          <w:fldChar w:fldCharType="separate"/>
        </w:r>
        <w:r w:rsidR="00E378DF">
          <w:rPr>
            <w:noProof/>
            <w:webHidden/>
          </w:rPr>
          <w:t>4</w:t>
        </w:r>
        <w:r w:rsidR="00E378DF">
          <w:rPr>
            <w:noProof/>
            <w:webHidden/>
          </w:rPr>
          <w:fldChar w:fldCharType="end"/>
        </w:r>
      </w:hyperlink>
    </w:p>
    <w:p w:rsidR="00E378DF" w:rsidRDefault="003731D6">
      <w:pPr>
        <w:pStyle w:val="TOC1"/>
        <w:rPr>
          <w:rFonts w:eastAsiaTheme="minorEastAsia"/>
          <w:b w:val="0"/>
          <w:bCs w:val="0"/>
          <w:caps w:val="0"/>
          <w:noProof/>
          <w:sz w:val="22"/>
          <w:szCs w:val="22"/>
          <w:lang w:eastAsia="en-AU"/>
        </w:rPr>
      </w:pPr>
      <w:hyperlink w:anchor="_Toc511660962" w:history="1">
        <w:r w:rsidR="00E378DF" w:rsidRPr="00D56674">
          <w:rPr>
            <w:rStyle w:val="Hyperlink"/>
            <w:noProof/>
          </w:rPr>
          <w:t>ISSUES AND ANALYSIS</w:t>
        </w:r>
        <w:r w:rsidR="00E378DF">
          <w:rPr>
            <w:noProof/>
            <w:webHidden/>
          </w:rPr>
          <w:tab/>
        </w:r>
        <w:r w:rsidR="00E378DF">
          <w:rPr>
            <w:noProof/>
            <w:webHidden/>
          </w:rPr>
          <w:fldChar w:fldCharType="begin"/>
        </w:r>
        <w:r w:rsidR="00E378DF">
          <w:rPr>
            <w:noProof/>
            <w:webHidden/>
          </w:rPr>
          <w:instrText xml:space="preserve"> PAGEREF _Toc511660962 \h </w:instrText>
        </w:r>
        <w:r w:rsidR="00E378DF">
          <w:rPr>
            <w:noProof/>
            <w:webHidden/>
          </w:rPr>
        </w:r>
        <w:r w:rsidR="00E378DF">
          <w:rPr>
            <w:noProof/>
            <w:webHidden/>
          </w:rPr>
          <w:fldChar w:fldCharType="separate"/>
        </w:r>
        <w:r w:rsidR="00E378DF">
          <w:rPr>
            <w:noProof/>
            <w:webHidden/>
          </w:rPr>
          <w:t>4</w:t>
        </w:r>
        <w:r w:rsidR="00E378DF">
          <w:rPr>
            <w:noProof/>
            <w:webHidden/>
          </w:rPr>
          <w:fldChar w:fldCharType="end"/>
        </w:r>
      </w:hyperlink>
    </w:p>
    <w:p w:rsidR="00E378DF" w:rsidRDefault="003731D6">
      <w:pPr>
        <w:pStyle w:val="TOC3"/>
        <w:rPr>
          <w:rFonts w:eastAsiaTheme="minorEastAsia"/>
          <w:iCs w:val="0"/>
          <w:noProof/>
          <w:sz w:val="22"/>
          <w:lang w:eastAsia="en-AU"/>
        </w:rPr>
      </w:pPr>
      <w:hyperlink w:anchor="_Toc511660963" w:history="1">
        <w:r w:rsidR="00E378DF" w:rsidRPr="00D56674">
          <w:rPr>
            <w:rStyle w:val="Hyperlink"/>
            <w:noProof/>
          </w:rPr>
          <w:t>Business development expenses</w:t>
        </w:r>
        <w:r w:rsidR="00E378DF">
          <w:rPr>
            <w:noProof/>
            <w:webHidden/>
          </w:rPr>
          <w:tab/>
        </w:r>
        <w:r w:rsidR="00E378DF">
          <w:rPr>
            <w:noProof/>
            <w:webHidden/>
          </w:rPr>
          <w:fldChar w:fldCharType="begin"/>
        </w:r>
        <w:r w:rsidR="00E378DF">
          <w:rPr>
            <w:noProof/>
            <w:webHidden/>
          </w:rPr>
          <w:instrText xml:space="preserve"> PAGEREF _Toc511660963 \h </w:instrText>
        </w:r>
        <w:r w:rsidR="00E378DF">
          <w:rPr>
            <w:noProof/>
            <w:webHidden/>
          </w:rPr>
        </w:r>
        <w:r w:rsidR="00E378DF">
          <w:rPr>
            <w:noProof/>
            <w:webHidden/>
          </w:rPr>
          <w:fldChar w:fldCharType="separate"/>
        </w:r>
        <w:r w:rsidR="00E378DF">
          <w:rPr>
            <w:noProof/>
            <w:webHidden/>
          </w:rPr>
          <w:t>4</w:t>
        </w:r>
        <w:r w:rsidR="00E378DF">
          <w:rPr>
            <w:noProof/>
            <w:webHidden/>
          </w:rPr>
          <w:fldChar w:fldCharType="end"/>
        </w:r>
      </w:hyperlink>
    </w:p>
    <w:p w:rsidR="00E378DF" w:rsidRDefault="003731D6">
      <w:pPr>
        <w:pStyle w:val="TOC3"/>
        <w:rPr>
          <w:rFonts w:eastAsiaTheme="minorEastAsia"/>
          <w:iCs w:val="0"/>
          <w:noProof/>
          <w:sz w:val="22"/>
          <w:lang w:eastAsia="en-AU"/>
        </w:rPr>
      </w:pPr>
      <w:hyperlink w:anchor="_Toc511660964" w:history="1">
        <w:r w:rsidR="00E378DF" w:rsidRPr="00D56674">
          <w:rPr>
            <w:rStyle w:val="Hyperlink"/>
            <w:noProof/>
          </w:rPr>
          <w:t>Assessing regulation and other industry support services</w:t>
        </w:r>
        <w:r w:rsidR="00E378DF">
          <w:rPr>
            <w:noProof/>
            <w:webHidden/>
          </w:rPr>
          <w:tab/>
        </w:r>
        <w:r w:rsidR="00E378DF">
          <w:rPr>
            <w:noProof/>
            <w:webHidden/>
          </w:rPr>
          <w:fldChar w:fldCharType="begin"/>
        </w:r>
        <w:r w:rsidR="00E378DF">
          <w:rPr>
            <w:noProof/>
            <w:webHidden/>
          </w:rPr>
          <w:instrText xml:space="preserve"> PAGEREF _Toc511660964 \h </w:instrText>
        </w:r>
        <w:r w:rsidR="00E378DF">
          <w:rPr>
            <w:noProof/>
            <w:webHidden/>
          </w:rPr>
        </w:r>
        <w:r w:rsidR="00E378DF">
          <w:rPr>
            <w:noProof/>
            <w:webHidden/>
          </w:rPr>
          <w:fldChar w:fldCharType="separate"/>
        </w:r>
        <w:r w:rsidR="00E378DF">
          <w:rPr>
            <w:noProof/>
            <w:webHidden/>
          </w:rPr>
          <w:t>6</w:t>
        </w:r>
        <w:r w:rsidR="00E378DF">
          <w:rPr>
            <w:noProof/>
            <w:webHidden/>
          </w:rPr>
          <w:fldChar w:fldCharType="end"/>
        </w:r>
      </w:hyperlink>
    </w:p>
    <w:p w:rsidR="00E378DF" w:rsidRDefault="003731D6">
      <w:pPr>
        <w:pStyle w:val="TOC3"/>
        <w:rPr>
          <w:rFonts w:eastAsiaTheme="minorEastAsia"/>
          <w:iCs w:val="0"/>
          <w:noProof/>
          <w:sz w:val="22"/>
          <w:lang w:eastAsia="en-AU"/>
        </w:rPr>
      </w:pPr>
      <w:hyperlink w:anchor="_Toc511660965" w:history="1">
        <w:r w:rsidR="00E378DF" w:rsidRPr="00D56674">
          <w:rPr>
            <w:rStyle w:val="Hyperlink"/>
            <w:noProof/>
          </w:rPr>
          <w:t>Estimating business development and regulation expenses</w:t>
        </w:r>
        <w:r w:rsidR="00E378DF">
          <w:rPr>
            <w:noProof/>
            <w:webHidden/>
          </w:rPr>
          <w:tab/>
        </w:r>
        <w:r w:rsidR="00E378DF">
          <w:rPr>
            <w:noProof/>
            <w:webHidden/>
          </w:rPr>
          <w:fldChar w:fldCharType="begin"/>
        </w:r>
        <w:r w:rsidR="00E378DF">
          <w:rPr>
            <w:noProof/>
            <w:webHidden/>
          </w:rPr>
          <w:instrText xml:space="preserve"> PAGEREF _Toc511660965 \h </w:instrText>
        </w:r>
        <w:r w:rsidR="00E378DF">
          <w:rPr>
            <w:noProof/>
            <w:webHidden/>
          </w:rPr>
        </w:r>
        <w:r w:rsidR="00E378DF">
          <w:rPr>
            <w:noProof/>
            <w:webHidden/>
          </w:rPr>
          <w:fldChar w:fldCharType="separate"/>
        </w:r>
        <w:r w:rsidR="00E378DF">
          <w:rPr>
            <w:noProof/>
            <w:webHidden/>
          </w:rPr>
          <w:t>7</w:t>
        </w:r>
        <w:r w:rsidR="00E378DF">
          <w:rPr>
            <w:noProof/>
            <w:webHidden/>
          </w:rPr>
          <w:fldChar w:fldCharType="end"/>
        </w:r>
      </w:hyperlink>
    </w:p>
    <w:p w:rsidR="00E378DF" w:rsidRDefault="003731D6">
      <w:pPr>
        <w:pStyle w:val="TOC3"/>
        <w:rPr>
          <w:rFonts w:eastAsiaTheme="minorEastAsia"/>
          <w:iCs w:val="0"/>
          <w:noProof/>
          <w:sz w:val="22"/>
          <w:lang w:eastAsia="en-AU"/>
        </w:rPr>
      </w:pPr>
      <w:hyperlink w:anchor="_Toc511660966" w:history="1">
        <w:r w:rsidR="00E378DF" w:rsidRPr="00D56674">
          <w:rPr>
            <w:rStyle w:val="Hyperlink"/>
            <w:noProof/>
          </w:rPr>
          <w:t>Weighting the drivers of regulation expenses</w:t>
        </w:r>
        <w:r w:rsidR="00E378DF">
          <w:rPr>
            <w:noProof/>
            <w:webHidden/>
          </w:rPr>
          <w:tab/>
        </w:r>
        <w:r w:rsidR="00E378DF">
          <w:rPr>
            <w:noProof/>
            <w:webHidden/>
          </w:rPr>
          <w:fldChar w:fldCharType="begin"/>
        </w:r>
        <w:r w:rsidR="00E378DF">
          <w:rPr>
            <w:noProof/>
            <w:webHidden/>
          </w:rPr>
          <w:instrText xml:space="preserve"> PAGEREF _Toc511660966 \h </w:instrText>
        </w:r>
        <w:r w:rsidR="00E378DF">
          <w:rPr>
            <w:noProof/>
            <w:webHidden/>
          </w:rPr>
        </w:r>
        <w:r w:rsidR="00E378DF">
          <w:rPr>
            <w:noProof/>
            <w:webHidden/>
          </w:rPr>
          <w:fldChar w:fldCharType="separate"/>
        </w:r>
        <w:r w:rsidR="00E378DF">
          <w:rPr>
            <w:noProof/>
            <w:webHidden/>
          </w:rPr>
          <w:t>9</w:t>
        </w:r>
        <w:r w:rsidR="00E378DF">
          <w:rPr>
            <w:noProof/>
            <w:webHidden/>
          </w:rPr>
          <w:fldChar w:fldCharType="end"/>
        </w:r>
      </w:hyperlink>
    </w:p>
    <w:p w:rsidR="00E378DF" w:rsidRDefault="003731D6">
      <w:pPr>
        <w:pStyle w:val="TOC3"/>
        <w:rPr>
          <w:rFonts w:eastAsiaTheme="minorEastAsia"/>
          <w:iCs w:val="0"/>
          <w:noProof/>
          <w:sz w:val="22"/>
          <w:lang w:eastAsia="en-AU"/>
        </w:rPr>
      </w:pPr>
      <w:hyperlink w:anchor="_Toc511660967" w:history="1">
        <w:r w:rsidR="00E378DF" w:rsidRPr="00D56674">
          <w:rPr>
            <w:rStyle w:val="Hyperlink"/>
            <w:noProof/>
          </w:rPr>
          <w:t>Planning and regulation for major infrastructure projects</w:t>
        </w:r>
        <w:r w:rsidR="00E378DF">
          <w:rPr>
            <w:noProof/>
            <w:webHidden/>
          </w:rPr>
          <w:tab/>
        </w:r>
        <w:r w:rsidR="00E378DF">
          <w:rPr>
            <w:noProof/>
            <w:webHidden/>
          </w:rPr>
          <w:fldChar w:fldCharType="begin"/>
        </w:r>
        <w:r w:rsidR="00E378DF">
          <w:rPr>
            <w:noProof/>
            <w:webHidden/>
          </w:rPr>
          <w:instrText xml:space="preserve"> PAGEREF _Toc511660967 \h </w:instrText>
        </w:r>
        <w:r w:rsidR="00E378DF">
          <w:rPr>
            <w:noProof/>
            <w:webHidden/>
          </w:rPr>
        </w:r>
        <w:r w:rsidR="00E378DF">
          <w:rPr>
            <w:noProof/>
            <w:webHidden/>
          </w:rPr>
          <w:fldChar w:fldCharType="separate"/>
        </w:r>
        <w:r w:rsidR="00E378DF">
          <w:rPr>
            <w:noProof/>
            <w:webHidden/>
          </w:rPr>
          <w:t>10</w:t>
        </w:r>
        <w:r w:rsidR="00E378DF">
          <w:rPr>
            <w:noProof/>
            <w:webHidden/>
          </w:rPr>
          <w:fldChar w:fldCharType="end"/>
        </w:r>
      </w:hyperlink>
    </w:p>
    <w:p w:rsidR="00E378DF" w:rsidRDefault="003731D6">
      <w:pPr>
        <w:pStyle w:val="TOC3"/>
        <w:rPr>
          <w:rFonts w:eastAsiaTheme="minorEastAsia"/>
          <w:iCs w:val="0"/>
          <w:noProof/>
          <w:sz w:val="22"/>
          <w:lang w:eastAsia="en-AU"/>
        </w:rPr>
      </w:pPr>
      <w:hyperlink w:anchor="_Toc511660968" w:history="1">
        <w:r w:rsidR="00E378DF" w:rsidRPr="00D56674">
          <w:rPr>
            <w:rStyle w:val="Hyperlink"/>
            <w:noProof/>
          </w:rPr>
          <w:t>Other R&amp;D expenses</w:t>
        </w:r>
        <w:r w:rsidR="00E378DF">
          <w:rPr>
            <w:noProof/>
            <w:webHidden/>
          </w:rPr>
          <w:tab/>
        </w:r>
        <w:r w:rsidR="00E378DF">
          <w:rPr>
            <w:noProof/>
            <w:webHidden/>
          </w:rPr>
          <w:fldChar w:fldCharType="begin"/>
        </w:r>
        <w:r w:rsidR="00E378DF">
          <w:rPr>
            <w:noProof/>
            <w:webHidden/>
          </w:rPr>
          <w:instrText xml:space="preserve"> PAGEREF _Toc511660968 \h </w:instrText>
        </w:r>
        <w:r w:rsidR="00E378DF">
          <w:rPr>
            <w:noProof/>
            <w:webHidden/>
          </w:rPr>
        </w:r>
        <w:r w:rsidR="00E378DF">
          <w:rPr>
            <w:noProof/>
            <w:webHidden/>
          </w:rPr>
          <w:fldChar w:fldCharType="separate"/>
        </w:r>
        <w:r w:rsidR="00E378DF">
          <w:rPr>
            <w:noProof/>
            <w:webHidden/>
          </w:rPr>
          <w:t>11</w:t>
        </w:r>
        <w:r w:rsidR="00E378DF">
          <w:rPr>
            <w:noProof/>
            <w:webHidden/>
          </w:rPr>
          <w:fldChar w:fldCharType="end"/>
        </w:r>
      </w:hyperlink>
    </w:p>
    <w:p w:rsidR="00E378DF" w:rsidRDefault="003731D6">
      <w:pPr>
        <w:pStyle w:val="TOC3"/>
        <w:rPr>
          <w:rFonts w:eastAsiaTheme="minorEastAsia"/>
          <w:iCs w:val="0"/>
          <w:noProof/>
          <w:sz w:val="22"/>
          <w:lang w:eastAsia="en-AU"/>
        </w:rPr>
      </w:pPr>
      <w:hyperlink w:anchor="_Toc511660969" w:history="1">
        <w:r w:rsidR="00E378DF" w:rsidRPr="00D56674">
          <w:rPr>
            <w:rStyle w:val="Hyperlink"/>
            <w:noProof/>
          </w:rPr>
          <w:t>User charges</w:t>
        </w:r>
        <w:r w:rsidR="00E378DF">
          <w:rPr>
            <w:noProof/>
            <w:webHidden/>
          </w:rPr>
          <w:tab/>
        </w:r>
        <w:r w:rsidR="00E378DF">
          <w:rPr>
            <w:noProof/>
            <w:webHidden/>
          </w:rPr>
          <w:fldChar w:fldCharType="begin"/>
        </w:r>
        <w:r w:rsidR="00E378DF">
          <w:rPr>
            <w:noProof/>
            <w:webHidden/>
          </w:rPr>
          <w:instrText xml:space="preserve"> PAGEREF _Toc511660969 \h </w:instrText>
        </w:r>
        <w:r w:rsidR="00E378DF">
          <w:rPr>
            <w:noProof/>
            <w:webHidden/>
          </w:rPr>
        </w:r>
        <w:r w:rsidR="00E378DF">
          <w:rPr>
            <w:noProof/>
            <w:webHidden/>
          </w:rPr>
          <w:fldChar w:fldCharType="separate"/>
        </w:r>
        <w:r w:rsidR="00E378DF">
          <w:rPr>
            <w:noProof/>
            <w:webHidden/>
          </w:rPr>
          <w:t>12</w:t>
        </w:r>
        <w:r w:rsidR="00E378DF">
          <w:rPr>
            <w:noProof/>
            <w:webHidden/>
          </w:rPr>
          <w:fldChar w:fldCharType="end"/>
        </w:r>
      </w:hyperlink>
    </w:p>
    <w:p w:rsidR="00E378DF" w:rsidRDefault="003731D6">
      <w:pPr>
        <w:pStyle w:val="TOC3"/>
        <w:rPr>
          <w:rFonts w:eastAsiaTheme="minorEastAsia"/>
          <w:iCs w:val="0"/>
          <w:noProof/>
          <w:sz w:val="22"/>
          <w:lang w:eastAsia="en-AU"/>
        </w:rPr>
      </w:pPr>
      <w:hyperlink w:anchor="_Toc511660970" w:history="1">
        <w:r w:rsidR="00E378DF" w:rsidRPr="00D56674">
          <w:rPr>
            <w:rStyle w:val="Hyperlink"/>
            <w:noProof/>
          </w:rPr>
          <w:t>Administrative scale assessment</w:t>
        </w:r>
        <w:r w:rsidR="00E378DF">
          <w:rPr>
            <w:noProof/>
            <w:webHidden/>
          </w:rPr>
          <w:tab/>
        </w:r>
        <w:r w:rsidR="00E378DF">
          <w:rPr>
            <w:noProof/>
            <w:webHidden/>
          </w:rPr>
          <w:fldChar w:fldCharType="begin"/>
        </w:r>
        <w:r w:rsidR="00E378DF">
          <w:rPr>
            <w:noProof/>
            <w:webHidden/>
          </w:rPr>
          <w:instrText xml:space="preserve"> PAGEREF _Toc511660970 \h </w:instrText>
        </w:r>
        <w:r w:rsidR="00E378DF">
          <w:rPr>
            <w:noProof/>
            <w:webHidden/>
          </w:rPr>
        </w:r>
        <w:r w:rsidR="00E378DF">
          <w:rPr>
            <w:noProof/>
            <w:webHidden/>
          </w:rPr>
          <w:fldChar w:fldCharType="separate"/>
        </w:r>
        <w:r w:rsidR="00E378DF">
          <w:rPr>
            <w:noProof/>
            <w:webHidden/>
          </w:rPr>
          <w:t>13</w:t>
        </w:r>
        <w:r w:rsidR="00E378DF">
          <w:rPr>
            <w:noProof/>
            <w:webHidden/>
          </w:rPr>
          <w:fldChar w:fldCharType="end"/>
        </w:r>
      </w:hyperlink>
    </w:p>
    <w:p w:rsidR="00E378DF" w:rsidRDefault="003731D6">
      <w:pPr>
        <w:pStyle w:val="TOC3"/>
        <w:rPr>
          <w:rFonts w:eastAsiaTheme="minorEastAsia"/>
          <w:iCs w:val="0"/>
          <w:noProof/>
          <w:sz w:val="22"/>
          <w:lang w:eastAsia="en-AU"/>
        </w:rPr>
      </w:pPr>
      <w:hyperlink w:anchor="_Toc511660971" w:history="1">
        <w:r w:rsidR="00E378DF" w:rsidRPr="00D56674">
          <w:rPr>
            <w:rStyle w:val="Hyperlink"/>
            <w:noProof/>
          </w:rPr>
          <w:t>Conclusion and way forward</w:t>
        </w:r>
        <w:r w:rsidR="00E378DF">
          <w:rPr>
            <w:noProof/>
            <w:webHidden/>
          </w:rPr>
          <w:tab/>
        </w:r>
        <w:r w:rsidR="00E378DF">
          <w:rPr>
            <w:noProof/>
            <w:webHidden/>
          </w:rPr>
          <w:fldChar w:fldCharType="begin"/>
        </w:r>
        <w:r w:rsidR="00E378DF">
          <w:rPr>
            <w:noProof/>
            <w:webHidden/>
          </w:rPr>
          <w:instrText xml:space="preserve"> PAGEREF _Toc511660971 \h </w:instrText>
        </w:r>
        <w:r w:rsidR="00E378DF">
          <w:rPr>
            <w:noProof/>
            <w:webHidden/>
          </w:rPr>
        </w:r>
        <w:r w:rsidR="00E378DF">
          <w:rPr>
            <w:noProof/>
            <w:webHidden/>
          </w:rPr>
          <w:fldChar w:fldCharType="separate"/>
        </w:r>
        <w:r w:rsidR="00E378DF">
          <w:rPr>
            <w:noProof/>
            <w:webHidden/>
          </w:rPr>
          <w:t>14</w:t>
        </w:r>
        <w:r w:rsidR="00E378DF">
          <w:rPr>
            <w:noProof/>
            <w:webHidden/>
          </w:rPr>
          <w:fldChar w:fldCharType="end"/>
        </w:r>
      </w:hyperlink>
    </w:p>
    <w:p w:rsidR="001B68B1" w:rsidRPr="00970E6D" w:rsidRDefault="001A6E8C" w:rsidP="001B68B1">
      <w:pPr>
        <w:tabs>
          <w:tab w:val="clear" w:pos="567"/>
        </w:tabs>
      </w:pPr>
      <w:r>
        <w:fldChar w:fldCharType="end"/>
      </w:r>
    </w:p>
    <w:p w:rsidR="001B68B1" w:rsidRPr="00970E6D" w:rsidRDefault="001B68B1" w:rsidP="001B68B1">
      <w:pPr>
        <w:tabs>
          <w:tab w:val="clear" w:pos="567"/>
        </w:tabs>
      </w:pPr>
    </w:p>
    <w:p w:rsidR="001B68B1" w:rsidRPr="00970E6D" w:rsidRDefault="001B68B1" w:rsidP="001B68B1">
      <w:pPr>
        <w:tabs>
          <w:tab w:val="clear" w:pos="567"/>
        </w:tabs>
        <w:sectPr w:rsidR="001B68B1" w:rsidRPr="00970E6D" w:rsidSect="00A23C56">
          <w:headerReference w:type="first" r:id="rId16"/>
          <w:footerReference w:type="first" r:id="rId17"/>
          <w:pgSz w:w="11899" w:h="16838" w:code="9"/>
          <w:pgMar w:top="1701" w:right="1474" w:bottom="1701" w:left="1474" w:header="709" w:footer="709" w:gutter="0"/>
          <w:pgNumType w:fmt="lowerRoman" w:start="1"/>
          <w:cols w:space="708"/>
          <w:titlePg/>
          <w:docGrid w:linePitch="299"/>
        </w:sectPr>
      </w:pPr>
    </w:p>
    <w:p w:rsidR="00F83306" w:rsidRDefault="00463BBD" w:rsidP="00F83306">
      <w:pPr>
        <w:pStyle w:val="Heading2"/>
      </w:pPr>
      <w:bookmarkStart w:id="15" w:name="_Toc508121228"/>
      <w:bookmarkStart w:id="16" w:name="_Toc509410202"/>
      <w:bookmarkStart w:id="17" w:name="_Toc511660955"/>
      <w:r>
        <w:lastRenderedPageBreak/>
        <w:t>Service to industry</w:t>
      </w:r>
      <w:bookmarkEnd w:id="15"/>
      <w:bookmarkEnd w:id="16"/>
      <w:bookmarkEnd w:id="17"/>
    </w:p>
    <w:p w:rsidR="00973DA4" w:rsidRDefault="00973DA4" w:rsidP="00973DA4">
      <w:pPr>
        <w:pStyle w:val="CGCNumberedPara"/>
        <w:numPr>
          <w:ilvl w:val="1"/>
          <w:numId w:val="3"/>
        </w:numPr>
      </w:pPr>
      <w:bookmarkStart w:id="18" w:name="_Toc508121229"/>
      <w:r>
        <w:t>The paper provides the Commission staff proposals for the assessment of Services to industry expenses for the 2020 Review.</w:t>
      </w:r>
    </w:p>
    <w:p w:rsidR="00F83306" w:rsidRPr="00F83306" w:rsidRDefault="00F83306" w:rsidP="00F83306">
      <w:pPr>
        <w:pStyle w:val="Heading3"/>
      </w:pPr>
      <w:bookmarkStart w:id="19" w:name="_Toc511660956"/>
      <w:r w:rsidRPr="00F83306">
        <w:t>2015 REVIEW APPROACH</w:t>
      </w:r>
      <w:bookmarkEnd w:id="18"/>
      <w:bookmarkEnd w:id="19"/>
    </w:p>
    <w:p w:rsidR="00E42394" w:rsidRPr="002132CC" w:rsidRDefault="00E42394" w:rsidP="00E42394">
      <w:pPr>
        <w:pStyle w:val="Heading4"/>
      </w:pPr>
      <w:bookmarkStart w:id="20" w:name="_Toc508121230"/>
      <w:bookmarkStart w:id="21" w:name="_Toc511660957"/>
      <w:r w:rsidRPr="002132CC">
        <w:t>Services included in this category</w:t>
      </w:r>
      <w:bookmarkEnd w:id="20"/>
      <w:bookmarkEnd w:id="21"/>
    </w:p>
    <w:p w:rsidR="00F83306" w:rsidRDefault="00453FBC" w:rsidP="00453FBC">
      <w:pPr>
        <w:pStyle w:val="CGCNumberedPara"/>
      </w:pPr>
      <w:r w:rsidRPr="00453FBC">
        <w:t>The Services to industry category covers State spending on the regulation and development of businesses and industries, and other economic affairs.</w:t>
      </w:r>
      <w:r>
        <w:t xml:space="preserve"> </w:t>
      </w:r>
      <w:r w:rsidRPr="00453FBC">
        <w:t xml:space="preserve">Some spending relates to specific industries including agriculture, forestry, mining, </w:t>
      </w:r>
      <w:r w:rsidR="00F17982">
        <w:t xml:space="preserve">manufacturing, </w:t>
      </w:r>
      <w:r w:rsidRPr="00453FBC">
        <w:t>tourism and construction. Other spending relates to all businesses, or to consumers.</w:t>
      </w:r>
    </w:p>
    <w:p w:rsidR="00930C7C" w:rsidRDefault="00930C7C" w:rsidP="00930C7C">
      <w:pPr>
        <w:pStyle w:val="CGCBulletlist"/>
      </w:pPr>
      <w:r>
        <w:t xml:space="preserve">Examples </w:t>
      </w:r>
      <w:r w:rsidRPr="00930C7C">
        <w:t>of regulatory functions include business registration, licensing of tradespeople, livestock identification schemes, chemical and pesticide regulation, building codes, energy market regulation, product safety, occupational health and safety, consumer protection, mine safety, employment conditions and shop trading hours</w:t>
      </w:r>
      <w:r>
        <w:t>.</w:t>
      </w:r>
    </w:p>
    <w:p w:rsidR="00930C7C" w:rsidRDefault="00930C7C" w:rsidP="00930C7C">
      <w:pPr>
        <w:pStyle w:val="CGCBulletlist"/>
      </w:pPr>
      <w:r>
        <w:t xml:space="preserve">Examples </w:t>
      </w:r>
      <w:r w:rsidRPr="00930C7C">
        <w:t>of business development activities include mineral exploration,</w:t>
      </w:r>
      <w:r w:rsidR="00F17982">
        <w:t xml:space="preserve"> geological mapping, </w:t>
      </w:r>
      <w:r w:rsidRPr="00930C7C">
        <w:t>agricultural irrigation systems, tourism and trade promotion, marketing and industry research and development</w:t>
      </w:r>
      <w:r>
        <w:t>.</w:t>
      </w:r>
    </w:p>
    <w:p w:rsidR="00930C7C" w:rsidRDefault="00930C7C" w:rsidP="00930C7C">
      <w:pPr>
        <w:pStyle w:val="CGCNumberedPara"/>
      </w:pPr>
      <w:r w:rsidRPr="00930C7C">
        <w:t xml:space="preserve">While this category includes expenses related to a number of the regulatory functions performed by States, it does not include all State regulatory expenses. </w:t>
      </w:r>
      <w:r w:rsidR="00F17982">
        <w:t xml:space="preserve">For example, health regulation is included in the Health category. </w:t>
      </w:r>
      <w:r w:rsidRPr="00930C7C">
        <w:t xml:space="preserve">Similarly, the business development expenses in this category do not include all State economic development expenses, or all mining related expenditure. These costs are spread across a number of expense categories including </w:t>
      </w:r>
      <w:r w:rsidR="00F17982">
        <w:t xml:space="preserve">Post-secondary education, </w:t>
      </w:r>
      <w:r w:rsidRPr="00930C7C">
        <w:t>Services to communities</w:t>
      </w:r>
      <w:r w:rsidR="00C626A9">
        <w:t xml:space="preserve">, </w:t>
      </w:r>
      <w:proofErr w:type="gramStart"/>
      <w:r w:rsidR="00C626A9">
        <w:t>Other</w:t>
      </w:r>
      <w:proofErr w:type="gramEnd"/>
      <w:r w:rsidR="00567389">
        <w:t> </w:t>
      </w:r>
      <w:r w:rsidR="00C626A9">
        <w:t>expenses</w:t>
      </w:r>
      <w:r w:rsidRPr="00930C7C">
        <w:t xml:space="preserve"> and Investment.</w:t>
      </w:r>
    </w:p>
    <w:p w:rsidR="00E42394" w:rsidRPr="00C3140C" w:rsidRDefault="00E42394" w:rsidP="00E42394">
      <w:pPr>
        <w:pStyle w:val="Heading4"/>
      </w:pPr>
      <w:bookmarkStart w:id="22" w:name="_Toc508121231"/>
      <w:bookmarkStart w:id="23" w:name="_Toc511660958"/>
      <w:r w:rsidRPr="00C3140C">
        <w:t>Category and component expenses</w:t>
      </w:r>
      <w:bookmarkEnd w:id="22"/>
      <w:bookmarkEnd w:id="23"/>
    </w:p>
    <w:p w:rsidR="00F83306" w:rsidRDefault="00551756" w:rsidP="001A197C">
      <w:pPr>
        <w:pStyle w:val="CGCNumberedPara"/>
      </w:pPr>
      <w:r>
        <w:t>Services to industry net expenses were $6.2</w:t>
      </w:r>
      <w:r w:rsidRPr="002D5D74">
        <w:t> bil</w:t>
      </w:r>
      <w:r>
        <w:t>lion in 2016</w:t>
      </w:r>
      <w:r>
        <w:noBreakHyphen/>
        <w:t xml:space="preserve">17 or </w:t>
      </w:r>
      <w:r w:rsidR="00571C79">
        <w:t>2</w:t>
      </w:r>
      <w:r w:rsidRPr="002D5D74">
        <w:t>% of total State operating expenses.</w:t>
      </w:r>
      <w:r>
        <w:t xml:space="preserve"> The expenses are broken down by function in </w:t>
      </w:r>
      <w:r w:rsidR="00560AEE">
        <w:fldChar w:fldCharType="begin"/>
      </w:r>
      <w:r w:rsidR="00560AEE">
        <w:instrText xml:space="preserve"> REF _Ref505873622 \h </w:instrText>
      </w:r>
      <w:r w:rsidR="00560AEE">
        <w:fldChar w:fldCharType="separate"/>
      </w:r>
      <w:r w:rsidR="00F3280B">
        <w:t xml:space="preserve">Table </w:t>
      </w:r>
      <w:r w:rsidR="00F3280B">
        <w:rPr>
          <w:noProof/>
        </w:rPr>
        <w:t>1</w:t>
      </w:r>
      <w:r w:rsidR="00560AEE">
        <w:fldChar w:fldCharType="end"/>
      </w:r>
      <w:r w:rsidR="00560AEE">
        <w:t>.</w:t>
      </w:r>
    </w:p>
    <w:p w:rsidR="00F83306" w:rsidRDefault="00F83306" w:rsidP="00A23C56">
      <w:pPr>
        <w:pStyle w:val="CGCTableHeading"/>
      </w:pPr>
      <w:bookmarkStart w:id="24" w:name="_Ref505873622"/>
      <w:r>
        <w:t xml:space="preserve">Table </w:t>
      </w:r>
      <w:fldSimple w:instr=" SEQ Table \* ARABIC ">
        <w:r w:rsidR="00F3280B">
          <w:rPr>
            <w:noProof/>
          </w:rPr>
          <w:t>1</w:t>
        </w:r>
      </w:fldSimple>
      <w:bookmarkEnd w:id="24"/>
      <w:r>
        <w:tab/>
      </w:r>
      <w:r w:rsidR="00DA09BB">
        <w:t>Services to industry</w:t>
      </w:r>
      <w:r w:rsidRPr="00F83306">
        <w:t xml:space="preserve"> </w:t>
      </w:r>
      <w:r w:rsidR="00AF04E8">
        <w:t xml:space="preserve">expenses </w:t>
      </w:r>
      <w:r w:rsidRPr="00F83306">
        <w:t xml:space="preserve">by </w:t>
      </w:r>
      <w:r w:rsidR="00C06B69">
        <w:t>component</w:t>
      </w:r>
      <w:r w:rsidRPr="00F83306">
        <w:t>, 201</w:t>
      </w:r>
      <w:r w:rsidR="00305111">
        <w:t>6</w:t>
      </w:r>
      <w:r w:rsidRPr="00F83306">
        <w:t>-1</w:t>
      </w:r>
      <w:r w:rsidR="00305111">
        <w:t>7</w:t>
      </w:r>
    </w:p>
    <w:tbl>
      <w:tblPr>
        <w:tblW w:w="8940" w:type="dxa"/>
        <w:tblLayout w:type="fixed"/>
        <w:tblCellMar>
          <w:left w:w="0" w:type="dxa"/>
          <w:right w:w="0" w:type="dxa"/>
        </w:tblCellMar>
        <w:tblLook w:val="04A0" w:firstRow="1" w:lastRow="0" w:firstColumn="1" w:lastColumn="0" w:noHBand="0" w:noVBand="1"/>
      </w:tblPr>
      <w:tblGrid>
        <w:gridCol w:w="3400"/>
        <w:gridCol w:w="1720"/>
        <w:gridCol w:w="3820"/>
      </w:tblGrid>
      <w:tr w:rsidR="00704880" w:rsidRPr="00704880" w:rsidTr="00704880">
        <w:trPr>
          <w:trHeight w:val="315"/>
        </w:trPr>
        <w:tc>
          <w:tcPr>
            <w:tcW w:w="3400" w:type="dxa"/>
            <w:tcBorders>
              <w:top w:val="single" w:sz="4" w:space="0" w:color="auto"/>
              <w:left w:val="nil"/>
              <w:bottom w:val="single" w:sz="4" w:space="0" w:color="auto"/>
              <w:right w:val="nil"/>
            </w:tcBorders>
            <w:shd w:val="clear" w:color="auto" w:fill="auto"/>
            <w:noWrap/>
            <w:vAlign w:val="center"/>
            <w:hideMark/>
          </w:tcPr>
          <w:p w:rsidR="00704880" w:rsidRPr="00704880" w:rsidRDefault="00704880" w:rsidP="00704880">
            <w:pPr>
              <w:keepNext/>
              <w:keepLines/>
              <w:tabs>
                <w:tab w:val="clear" w:pos="567"/>
              </w:tabs>
              <w:spacing w:after="0" w:line="240" w:lineRule="auto"/>
              <w:ind w:left="193" w:hanging="142"/>
              <w:rPr>
                <w:rFonts w:ascii="Calibri" w:eastAsia="Times New Roman" w:hAnsi="Calibri" w:cs="Times New Roman"/>
                <w:sz w:val="20"/>
                <w:szCs w:val="20"/>
                <w:lang w:eastAsia="en-AU"/>
              </w:rPr>
            </w:pPr>
            <w:bookmarkStart w:id="25" w:name="RANGE!B2:D7"/>
            <w:r w:rsidRPr="00704880">
              <w:rPr>
                <w:rFonts w:ascii="Calibri" w:eastAsia="Times New Roman" w:hAnsi="Calibri" w:cs="Times New Roman"/>
                <w:sz w:val="20"/>
                <w:szCs w:val="20"/>
                <w:lang w:eastAsia="en-AU"/>
              </w:rPr>
              <w:t>Component</w:t>
            </w:r>
            <w:bookmarkEnd w:id="25"/>
          </w:p>
        </w:tc>
        <w:tc>
          <w:tcPr>
            <w:tcW w:w="1720" w:type="dxa"/>
            <w:tcBorders>
              <w:top w:val="single" w:sz="4" w:space="0" w:color="auto"/>
              <w:left w:val="nil"/>
              <w:bottom w:val="single" w:sz="4" w:space="0" w:color="auto"/>
              <w:right w:val="nil"/>
            </w:tcBorders>
            <w:shd w:val="clear" w:color="auto" w:fill="auto"/>
            <w:noWrap/>
            <w:vAlign w:val="center"/>
            <w:hideMark/>
          </w:tcPr>
          <w:p w:rsidR="00704880" w:rsidRPr="00704880" w:rsidRDefault="00704880" w:rsidP="00704880">
            <w:pPr>
              <w:keepNext/>
              <w:keepLines/>
              <w:tabs>
                <w:tab w:val="clear" w:pos="567"/>
              </w:tabs>
              <w:spacing w:after="0" w:line="240" w:lineRule="auto"/>
              <w:jc w:val="right"/>
              <w:rPr>
                <w:rFonts w:ascii="Calibri" w:eastAsia="Times New Roman" w:hAnsi="Calibri" w:cs="Times New Roman"/>
                <w:sz w:val="20"/>
                <w:szCs w:val="20"/>
                <w:lang w:eastAsia="en-AU"/>
              </w:rPr>
            </w:pPr>
            <w:r w:rsidRPr="00704880">
              <w:rPr>
                <w:rFonts w:ascii="Calibri" w:eastAsia="Times New Roman" w:hAnsi="Calibri" w:cs="Times New Roman"/>
                <w:sz w:val="20"/>
                <w:szCs w:val="20"/>
                <w:lang w:eastAsia="en-AU"/>
              </w:rPr>
              <w:t>Amount</w:t>
            </w:r>
          </w:p>
        </w:tc>
        <w:tc>
          <w:tcPr>
            <w:tcW w:w="3820" w:type="dxa"/>
            <w:tcBorders>
              <w:top w:val="single" w:sz="4" w:space="0" w:color="auto"/>
              <w:left w:val="nil"/>
              <w:bottom w:val="single" w:sz="4" w:space="0" w:color="auto"/>
              <w:right w:val="nil"/>
            </w:tcBorders>
            <w:shd w:val="clear" w:color="auto" w:fill="auto"/>
            <w:noWrap/>
            <w:vAlign w:val="center"/>
            <w:hideMark/>
          </w:tcPr>
          <w:p w:rsidR="00704880" w:rsidRPr="00704880" w:rsidRDefault="00704880" w:rsidP="00704880">
            <w:pPr>
              <w:keepNext/>
              <w:keepLines/>
              <w:tabs>
                <w:tab w:val="clear" w:pos="567"/>
              </w:tabs>
              <w:spacing w:after="0" w:line="240" w:lineRule="auto"/>
              <w:jc w:val="right"/>
              <w:rPr>
                <w:rFonts w:ascii="Calibri" w:eastAsia="Times New Roman" w:hAnsi="Calibri" w:cs="Times New Roman"/>
                <w:sz w:val="20"/>
                <w:szCs w:val="20"/>
                <w:lang w:eastAsia="en-AU"/>
              </w:rPr>
            </w:pPr>
            <w:r w:rsidRPr="00704880">
              <w:rPr>
                <w:rFonts w:ascii="Calibri" w:eastAsia="Times New Roman" w:hAnsi="Calibri" w:cs="Times New Roman"/>
                <w:sz w:val="20"/>
                <w:szCs w:val="20"/>
                <w:lang w:eastAsia="en-AU"/>
              </w:rPr>
              <w:t>Proportion of category expenses</w:t>
            </w:r>
          </w:p>
        </w:tc>
      </w:tr>
      <w:tr w:rsidR="00704880" w:rsidRPr="00704880" w:rsidTr="00704880">
        <w:trPr>
          <w:trHeight w:val="259"/>
        </w:trPr>
        <w:tc>
          <w:tcPr>
            <w:tcW w:w="3400" w:type="dxa"/>
            <w:tcBorders>
              <w:top w:val="nil"/>
              <w:left w:val="nil"/>
              <w:bottom w:val="nil"/>
              <w:right w:val="nil"/>
            </w:tcBorders>
            <w:shd w:val="clear" w:color="auto" w:fill="auto"/>
            <w:noWrap/>
            <w:vAlign w:val="bottom"/>
            <w:hideMark/>
          </w:tcPr>
          <w:p w:rsidR="00704880" w:rsidRPr="00704880" w:rsidRDefault="00704880" w:rsidP="00704880">
            <w:pPr>
              <w:keepNext/>
              <w:keepLines/>
              <w:tabs>
                <w:tab w:val="clear" w:pos="567"/>
              </w:tabs>
              <w:spacing w:after="0" w:line="240" w:lineRule="auto"/>
              <w:ind w:left="193" w:hanging="142"/>
              <w:rPr>
                <w:rFonts w:ascii="Calibri" w:eastAsia="Times New Roman" w:hAnsi="Calibri" w:cs="Times New Roman"/>
                <w:sz w:val="20"/>
                <w:szCs w:val="20"/>
                <w:lang w:eastAsia="en-AU"/>
              </w:rPr>
            </w:pPr>
          </w:p>
        </w:tc>
        <w:tc>
          <w:tcPr>
            <w:tcW w:w="1720" w:type="dxa"/>
            <w:tcBorders>
              <w:top w:val="nil"/>
              <w:left w:val="nil"/>
              <w:bottom w:val="nil"/>
              <w:right w:val="nil"/>
            </w:tcBorders>
            <w:shd w:val="clear" w:color="auto" w:fill="auto"/>
            <w:noWrap/>
            <w:vAlign w:val="bottom"/>
            <w:hideMark/>
          </w:tcPr>
          <w:p w:rsidR="00704880" w:rsidRPr="00704880" w:rsidRDefault="00704880" w:rsidP="00704880">
            <w:pPr>
              <w:keepNext/>
              <w:keepLines/>
              <w:tabs>
                <w:tab w:val="clear" w:pos="567"/>
              </w:tabs>
              <w:spacing w:after="0" w:line="240" w:lineRule="auto"/>
              <w:jc w:val="right"/>
              <w:rPr>
                <w:rFonts w:ascii="Calibri" w:eastAsia="Times New Roman" w:hAnsi="Calibri" w:cs="Times New Roman"/>
                <w:sz w:val="20"/>
                <w:szCs w:val="20"/>
                <w:lang w:eastAsia="en-AU"/>
              </w:rPr>
            </w:pPr>
            <w:r w:rsidRPr="00704880">
              <w:rPr>
                <w:rFonts w:ascii="Calibri" w:eastAsia="Times New Roman" w:hAnsi="Calibri" w:cs="Times New Roman"/>
                <w:sz w:val="20"/>
                <w:szCs w:val="20"/>
                <w:lang w:eastAsia="en-AU"/>
              </w:rPr>
              <w:t>$m</w:t>
            </w:r>
          </w:p>
        </w:tc>
        <w:tc>
          <w:tcPr>
            <w:tcW w:w="3820" w:type="dxa"/>
            <w:tcBorders>
              <w:top w:val="nil"/>
              <w:left w:val="nil"/>
              <w:bottom w:val="nil"/>
              <w:right w:val="nil"/>
            </w:tcBorders>
            <w:shd w:val="clear" w:color="auto" w:fill="auto"/>
            <w:noWrap/>
            <w:vAlign w:val="bottom"/>
            <w:hideMark/>
          </w:tcPr>
          <w:p w:rsidR="00704880" w:rsidRPr="00704880" w:rsidRDefault="00704880" w:rsidP="00704880">
            <w:pPr>
              <w:keepNext/>
              <w:keepLines/>
              <w:tabs>
                <w:tab w:val="clear" w:pos="567"/>
              </w:tabs>
              <w:spacing w:after="0" w:line="240" w:lineRule="auto"/>
              <w:jc w:val="right"/>
              <w:rPr>
                <w:rFonts w:ascii="Calibri" w:eastAsia="Times New Roman" w:hAnsi="Calibri" w:cs="Times New Roman"/>
                <w:sz w:val="20"/>
                <w:szCs w:val="20"/>
                <w:lang w:eastAsia="en-AU"/>
              </w:rPr>
            </w:pPr>
            <w:r w:rsidRPr="00704880">
              <w:rPr>
                <w:rFonts w:ascii="Calibri" w:eastAsia="Times New Roman" w:hAnsi="Calibri" w:cs="Times New Roman"/>
                <w:sz w:val="20"/>
                <w:szCs w:val="20"/>
                <w:lang w:eastAsia="en-AU"/>
              </w:rPr>
              <w:t>%</w:t>
            </w:r>
          </w:p>
        </w:tc>
      </w:tr>
      <w:tr w:rsidR="00704880" w:rsidRPr="00704880" w:rsidTr="00704880">
        <w:trPr>
          <w:trHeight w:val="315"/>
        </w:trPr>
        <w:tc>
          <w:tcPr>
            <w:tcW w:w="3400" w:type="dxa"/>
            <w:tcBorders>
              <w:top w:val="nil"/>
              <w:left w:val="nil"/>
              <w:bottom w:val="nil"/>
              <w:right w:val="nil"/>
            </w:tcBorders>
            <w:shd w:val="clear" w:color="auto" w:fill="auto"/>
            <w:noWrap/>
            <w:vAlign w:val="bottom"/>
            <w:hideMark/>
          </w:tcPr>
          <w:p w:rsidR="00704880" w:rsidRPr="00704880" w:rsidRDefault="00704880" w:rsidP="00704880">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704880">
              <w:rPr>
                <w:rFonts w:ascii="Calibri" w:eastAsia="Times New Roman" w:hAnsi="Calibri" w:cs="Times New Roman"/>
                <w:sz w:val="20"/>
                <w:szCs w:val="20"/>
                <w:lang w:eastAsia="en-AU"/>
              </w:rPr>
              <w:t>Agriculture regulation</w:t>
            </w:r>
          </w:p>
        </w:tc>
        <w:tc>
          <w:tcPr>
            <w:tcW w:w="1720" w:type="dxa"/>
            <w:tcBorders>
              <w:top w:val="nil"/>
              <w:left w:val="nil"/>
              <w:bottom w:val="nil"/>
              <w:right w:val="nil"/>
            </w:tcBorders>
            <w:shd w:val="clear" w:color="auto" w:fill="auto"/>
            <w:noWrap/>
            <w:vAlign w:val="bottom"/>
            <w:hideMark/>
          </w:tcPr>
          <w:p w:rsidR="00704880" w:rsidRPr="00704880" w:rsidRDefault="00704880" w:rsidP="00704880">
            <w:pPr>
              <w:keepNext/>
              <w:keepLines/>
              <w:tabs>
                <w:tab w:val="clear" w:pos="567"/>
              </w:tabs>
              <w:spacing w:after="0" w:line="240" w:lineRule="auto"/>
              <w:jc w:val="right"/>
              <w:rPr>
                <w:rFonts w:ascii="Calibri" w:eastAsia="Times New Roman" w:hAnsi="Calibri" w:cs="Times New Roman"/>
                <w:sz w:val="20"/>
                <w:szCs w:val="20"/>
                <w:lang w:eastAsia="en-AU"/>
              </w:rPr>
            </w:pPr>
            <w:r w:rsidRPr="00704880">
              <w:rPr>
                <w:rFonts w:ascii="Calibri" w:eastAsia="Times New Roman" w:hAnsi="Calibri" w:cs="Times New Roman"/>
                <w:sz w:val="20"/>
                <w:szCs w:val="20"/>
                <w:lang w:eastAsia="en-AU"/>
              </w:rPr>
              <w:t>1 196</w:t>
            </w:r>
          </w:p>
        </w:tc>
        <w:tc>
          <w:tcPr>
            <w:tcW w:w="3820" w:type="dxa"/>
            <w:tcBorders>
              <w:top w:val="nil"/>
              <w:left w:val="nil"/>
              <w:bottom w:val="nil"/>
              <w:right w:val="nil"/>
            </w:tcBorders>
            <w:shd w:val="clear" w:color="auto" w:fill="auto"/>
            <w:noWrap/>
            <w:vAlign w:val="bottom"/>
            <w:hideMark/>
          </w:tcPr>
          <w:p w:rsidR="00704880" w:rsidRPr="00704880" w:rsidRDefault="00704880" w:rsidP="00704880">
            <w:pPr>
              <w:keepNext/>
              <w:keepLines/>
              <w:tabs>
                <w:tab w:val="clear" w:pos="567"/>
              </w:tabs>
              <w:spacing w:after="0" w:line="240" w:lineRule="auto"/>
              <w:jc w:val="right"/>
              <w:rPr>
                <w:rFonts w:ascii="Calibri" w:eastAsia="Times New Roman" w:hAnsi="Calibri" w:cs="Times New Roman"/>
                <w:sz w:val="20"/>
                <w:szCs w:val="20"/>
                <w:lang w:eastAsia="en-AU"/>
              </w:rPr>
            </w:pPr>
            <w:r w:rsidRPr="00704880">
              <w:rPr>
                <w:rFonts w:ascii="Calibri" w:eastAsia="Times New Roman" w:hAnsi="Calibri" w:cs="Times New Roman"/>
                <w:sz w:val="20"/>
                <w:szCs w:val="20"/>
                <w:lang w:eastAsia="en-AU"/>
              </w:rPr>
              <w:t>19</w:t>
            </w:r>
          </w:p>
        </w:tc>
      </w:tr>
      <w:tr w:rsidR="00704880" w:rsidRPr="00704880" w:rsidTr="00704880">
        <w:trPr>
          <w:trHeight w:val="315"/>
        </w:trPr>
        <w:tc>
          <w:tcPr>
            <w:tcW w:w="3400" w:type="dxa"/>
            <w:tcBorders>
              <w:top w:val="nil"/>
              <w:left w:val="nil"/>
              <w:bottom w:val="nil"/>
              <w:right w:val="nil"/>
            </w:tcBorders>
            <w:shd w:val="clear" w:color="auto" w:fill="auto"/>
            <w:noWrap/>
            <w:vAlign w:val="bottom"/>
            <w:hideMark/>
          </w:tcPr>
          <w:p w:rsidR="00704880" w:rsidRPr="00704880" w:rsidRDefault="00704880" w:rsidP="00704880">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704880">
              <w:rPr>
                <w:rFonts w:ascii="Calibri" w:eastAsia="Times New Roman" w:hAnsi="Calibri" w:cs="Times New Roman"/>
                <w:sz w:val="20"/>
                <w:szCs w:val="20"/>
                <w:lang w:eastAsia="en-AU"/>
              </w:rPr>
              <w:t>Other industries regulation</w:t>
            </w:r>
          </w:p>
        </w:tc>
        <w:tc>
          <w:tcPr>
            <w:tcW w:w="1720" w:type="dxa"/>
            <w:tcBorders>
              <w:top w:val="nil"/>
              <w:left w:val="nil"/>
              <w:bottom w:val="nil"/>
              <w:right w:val="nil"/>
            </w:tcBorders>
            <w:shd w:val="clear" w:color="auto" w:fill="auto"/>
            <w:noWrap/>
            <w:vAlign w:val="bottom"/>
            <w:hideMark/>
          </w:tcPr>
          <w:p w:rsidR="00704880" w:rsidRPr="00704880" w:rsidRDefault="00704880" w:rsidP="00704880">
            <w:pPr>
              <w:keepNext/>
              <w:keepLines/>
              <w:tabs>
                <w:tab w:val="clear" w:pos="567"/>
              </w:tabs>
              <w:spacing w:after="0" w:line="240" w:lineRule="auto"/>
              <w:jc w:val="right"/>
              <w:rPr>
                <w:rFonts w:ascii="Calibri" w:eastAsia="Times New Roman" w:hAnsi="Calibri" w:cs="Times New Roman"/>
                <w:sz w:val="20"/>
                <w:szCs w:val="20"/>
                <w:lang w:eastAsia="en-AU"/>
              </w:rPr>
            </w:pPr>
            <w:r w:rsidRPr="00704880">
              <w:rPr>
                <w:rFonts w:ascii="Calibri" w:eastAsia="Times New Roman" w:hAnsi="Calibri" w:cs="Times New Roman"/>
                <w:sz w:val="20"/>
                <w:szCs w:val="20"/>
                <w:lang w:eastAsia="en-AU"/>
              </w:rPr>
              <w:t>1 329</w:t>
            </w:r>
          </w:p>
        </w:tc>
        <w:tc>
          <w:tcPr>
            <w:tcW w:w="3820" w:type="dxa"/>
            <w:tcBorders>
              <w:top w:val="nil"/>
              <w:left w:val="nil"/>
              <w:bottom w:val="nil"/>
              <w:right w:val="nil"/>
            </w:tcBorders>
            <w:shd w:val="clear" w:color="auto" w:fill="auto"/>
            <w:noWrap/>
            <w:vAlign w:val="bottom"/>
            <w:hideMark/>
          </w:tcPr>
          <w:p w:rsidR="00704880" w:rsidRPr="00704880" w:rsidRDefault="00704880" w:rsidP="00704880">
            <w:pPr>
              <w:keepNext/>
              <w:keepLines/>
              <w:tabs>
                <w:tab w:val="clear" w:pos="567"/>
              </w:tabs>
              <w:spacing w:after="0" w:line="240" w:lineRule="auto"/>
              <w:jc w:val="right"/>
              <w:rPr>
                <w:rFonts w:ascii="Calibri" w:eastAsia="Times New Roman" w:hAnsi="Calibri" w:cs="Times New Roman"/>
                <w:sz w:val="20"/>
                <w:szCs w:val="20"/>
                <w:lang w:eastAsia="en-AU"/>
              </w:rPr>
            </w:pPr>
            <w:r w:rsidRPr="00704880">
              <w:rPr>
                <w:rFonts w:ascii="Calibri" w:eastAsia="Times New Roman" w:hAnsi="Calibri" w:cs="Times New Roman"/>
                <w:sz w:val="20"/>
                <w:szCs w:val="20"/>
                <w:lang w:eastAsia="en-AU"/>
              </w:rPr>
              <w:t>21</w:t>
            </w:r>
          </w:p>
        </w:tc>
      </w:tr>
      <w:tr w:rsidR="00704880" w:rsidRPr="00704880" w:rsidTr="00704880">
        <w:trPr>
          <w:trHeight w:val="315"/>
        </w:trPr>
        <w:tc>
          <w:tcPr>
            <w:tcW w:w="3400" w:type="dxa"/>
            <w:tcBorders>
              <w:top w:val="nil"/>
              <w:left w:val="nil"/>
              <w:bottom w:val="nil"/>
              <w:right w:val="nil"/>
            </w:tcBorders>
            <w:shd w:val="clear" w:color="auto" w:fill="auto"/>
            <w:noWrap/>
            <w:vAlign w:val="bottom"/>
            <w:hideMark/>
          </w:tcPr>
          <w:p w:rsidR="00704880" w:rsidRPr="00704880" w:rsidRDefault="00704880" w:rsidP="00704880">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704880">
              <w:rPr>
                <w:rFonts w:ascii="Calibri" w:eastAsia="Times New Roman" w:hAnsi="Calibri" w:cs="Times New Roman"/>
                <w:sz w:val="20"/>
                <w:szCs w:val="20"/>
                <w:lang w:eastAsia="en-AU"/>
              </w:rPr>
              <w:t>Business development</w:t>
            </w:r>
          </w:p>
        </w:tc>
        <w:tc>
          <w:tcPr>
            <w:tcW w:w="1720" w:type="dxa"/>
            <w:tcBorders>
              <w:top w:val="nil"/>
              <w:left w:val="nil"/>
              <w:bottom w:val="nil"/>
              <w:right w:val="nil"/>
            </w:tcBorders>
            <w:shd w:val="clear" w:color="auto" w:fill="auto"/>
            <w:noWrap/>
            <w:vAlign w:val="bottom"/>
            <w:hideMark/>
          </w:tcPr>
          <w:p w:rsidR="00704880" w:rsidRPr="00704880" w:rsidRDefault="00704880" w:rsidP="00704880">
            <w:pPr>
              <w:keepNext/>
              <w:keepLines/>
              <w:tabs>
                <w:tab w:val="clear" w:pos="567"/>
              </w:tabs>
              <w:spacing w:after="0" w:line="240" w:lineRule="auto"/>
              <w:jc w:val="right"/>
              <w:rPr>
                <w:rFonts w:ascii="Calibri" w:eastAsia="Times New Roman" w:hAnsi="Calibri" w:cs="Times New Roman"/>
                <w:sz w:val="20"/>
                <w:szCs w:val="20"/>
                <w:lang w:eastAsia="en-AU"/>
              </w:rPr>
            </w:pPr>
            <w:r w:rsidRPr="00704880">
              <w:rPr>
                <w:rFonts w:ascii="Calibri" w:eastAsia="Times New Roman" w:hAnsi="Calibri" w:cs="Times New Roman"/>
                <w:sz w:val="20"/>
                <w:szCs w:val="20"/>
                <w:lang w:eastAsia="en-AU"/>
              </w:rPr>
              <w:t>3 721</w:t>
            </w:r>
          </w:p>
        </w:tc>
        <w:tc>
          <w:tcPr>
            <w:tcW w:w="3820" w:type="dxa"/>
            <w:tcBorders>
              <w:top w:val="nil"/>
              <w:left w:val="nil"/>
              <w:bottom w:val="nil"/>
              <w:right w:val="nil"/>
            </w:tcBorders>
            <w:shd w:val="clear" w:color="auto" w:fill="auto"/>
            <w:noWrap/>
            <w:vAlign w:val="bottom"/>
            <w:hideMark/>
          </w:tcPr>
          <w:p w:rsidR="00704880" w:rsidRPr="00704880" w:rsidRDefault="00704880" w:rsidP="00704880">
            <w:pPr>
              <w:keepNext/>
              <w:keepLines/>
              <w:tabs>
                <w:tab w:val="clear" w:pos="567"/>
              </w:tabs>
              <w:spacing w:after="0" w:line="240" w:lineRule="auto"/>
              <w:jc w:val="right"/>
              <w:rPr>
                <w:rFonts w:ascii="Calibri" w:eastAsia="Times New Roman" w:hAnsi="Calibri" w:cs="Times New Roman"/>
                <w:sz w:val="20"/>
                <w:szCs w:val="20"/>
                <w:lang w:eastAsia="en-AU"/>
              </w:rPr>
            </w:pPr>
            <w:r w:rsidRPr="00704880">
              <w:rPr>
                <w:rFonts w:ascii="Calibri" w:eastAsia="Times New Roman" w:hAnsi="Calibri" w:cs="Times New Roman"/>
                <w:sz w:val="20"/>
                <w:szCs w:val="20"/>
                <w:lang w:eastAsia="en-AU"/>
              </w:rPr>
              <w:t>60</w:t>
            </w:r>
          </w:p>
        </w:tc>
      </w:tr>
      <w:tr w:rsidR="00704880" w:rsidRPr="00704880" w:rsidTr="00704880">
        <w:trPr>
          <w:trHeight w:val="315"/>
        </w:trPr>
        <w:tc>
          <w:tcPr>
            <w:tcW w:w="3400" w:type="dxa"/>
            <w:tcBorders>
              <w:top w:val="nil"/>
              <w:left w:val="nil"/>
              <w:bottom w:val="single" w:sz="4" w:space="0" w:color="auto"/>
              <w:right w:val="nil"/>
            </w:tcBorders>
            <w:shd w:val="clear" w:color="auto" w:fill="auto"/>
            <w:noWrap/>
            <w:vAlign w:val="bottom"/>
            <w:hideMark/>
          </w:tcPr>
          <w:p w:rsidR="00704880" w:rsidRPr="00704880" w:rsidRDefault="00704880" w:rsidP="00704880">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704880">
              <w:rPr>
                <w:rFonts w:ascii="Calibri" w:eastAsia="Times New Roman" w:hAnsi="Calibri" w:cs="Times New Roman"/>
                <w:sz w:val="20"/>
                <w:szCs w:val="20"/>
                <w:lang w:eastAsia="en-AU"/>
              </w:rPr>
              <w:t>Total</w:t>
            </w:r>
          </w:p>
        </w:tc>
        <w:tc>
          <w:tcPr>
            <w:tcW w:w="1720" w:type="dxa"/>
            <w:tcBorders>
              <w:top w:val="single" w:sz="4" w:space="0" w:color="auto"/>
              <w:left w:val="nil"/>
              <w:bottom w:val="single" w:sz="4" w:space="0" w:color="auto"/>
              <w:right w:val="nil"/>
            </w:tcBorders>
            <w:shd w:val="clear" w:color="auto" w:fill="auto"/>
            <w:noWrap/>
            <w:vAlign w:val="bottom"/>
            <w:hideMark/>
          </w:tcPr>
          <w:p w:rsidR="00704880" w:rsidRPr="00704880" w:rsidRDefault="00704880" w:rsidP="00704880">
            <w:pPr>
              <w:keepNext/>
              <w:keepLines/>
              <w:tabs>
                <w:tab w:val="clear" w:pos="567"/>
              </w:tabs>
              <w:spacing w:after="0" w:line="240" w:lineRule="auto"/>
              <w:jc w:val="right"/>
              <w:rPr>
                <w:rFonts w:ascii="Calibri" w:eastAsia="Times New Roman" w:hAnsi="Calibri" w:cs="Times New Roman"/>
                <w:sz w:val="20"/>
                <w:szCs w:val="20"/>
                <w:lang w:eastAsia="en-AU"/>
              </w:rPr>
            </w:pPr>
            <w:r w:rsidRPr="00704880">
              <w:rPr>
                <w:rFonts w:ascii="Calibri" w:eastAsia="Times New Roman" w:hAnsi="Calibri" w:cs="Times New Roman"/>
                <w:sz w:val="20"/>
                <w:szCs w:val="20"/>
                <w:lang w:eastAsia="en-AU"/>
              </w:rPr>
              <w:t>6 246</w:t>
            </w:r>
          </w:p>
        </w:tc>
        <w:tc>
          <w:tcPr>
            <w:tcW w:w="3820" w:type="dxa"/>
            <w:tcBorders>
              <w:top w:val="single" w:sz="4" w:space="0" w:color="auto"/>
              <w:left w:val="nil"/>
              <w:bottom w:val="single" w:sz="4" w:space="0" w:color="auto"/>
              <w:right w:val="nil"/>
            </w:tcBorders>
            <w:shd w:val="clear" w:color="auto" w:fill="auto"/>
            <w:noWrap/>
            <w:vAlign w:val="bottom"/>
            <w:hideMark/>
          </w:tcPr>
          <w:p w:rsidR="00704880" w:rsidRPr="00704880" w:rsidRDefault="00704880" w:rsidP="00704880">
            <w:pPr>
              <w:keepNext/>
              <w:keepLines/>
              <w:tabs>
                <w:tab w:val="clear" w:pos="567"/>
              </w:tabs>
              <w:spacing w:after="0" w:line="240" w:lineRule="auto"/>
              <w:jc w:val="right"/>
              <w:rPr>
                <w:rFonts w:ascii="Calibri" w:eastAsia="Times New Roman" w:hAnsi="Calibri" w:cs="Times New Roman"/>
                <w:sz w:val="20"/>
                <w:szCs w:val="20"/>
                <w:lang w:eastAsia="en-AU"/>
              </w:rPr>
            </w:pPr>
            <w:r w:rsidRPr="00704880">
              <w:rPr>
                <w:rFonts w:ascii="Calibri" w:eastAsia="Times New Roman" w:hAnsi="Calibri" w:cs="Times New Roman"/>
                <w:sz w:val="20"/>
                <w:szCs w:val="20"/>
                <w:lang w:eastAsia="en-AU"/>
              </w:rPr>
              <w:t>100</w:t>
            </w:r>
          </w:p>
        </w:tc>
      </w:tr>
    </w:tbl>
    <w:p w:rsidR="00F83306" w:rsidRDefault="00F83306" w:rsidP="00A23C56">
      <w:pPr>
        <w:pStyle w:val="CGCTableFootnote"/>
      </w:pPr>
      <w:r>
        <w:t>Source:</w:t>
      </w:r>
      <w:r>
        <w:tab/>
      </w:r>
      <w:r w:rsidR="00C06B69">
        <w:t xml:space="preserve">Commission estimates </w:t>
      </w:r>
      <w:r w:rsidR="00567389">
        <w:t>for 2018 Update.</w:t>
      </w:r>
    </w:p>
    <w:p w:rsidR="001C78A6" w:rsidRDefault="001C78A6" w:rsidP="001C78A6">
      <w:pPr>
        <w:pStyle w:val="Heading4"/>
      </w:pPr>
      <w:bookmarkStart w:id="26" w:name="_Toc508121232"/>
      <w:bookmarkStart w:id="27" w:name="_Toc511660959"/>
      <w:r>
        <w:t>Data sources and assessment methods</w:t>
      </w:r>
      <w:bookmarkEnd w:id="26"/>
      <w:bookmarkEnd w:id="27"/>
    </w:p>
    <w:p w:rsidR="00426CED" w:rsidRDefault="00426CED" w:rsidP="00426CED">
      <w:pPr>
        <w:pStyle w:val="CGCNumberedPara"/>
        <w:numPr>
          <w:ilvl w:val="1"/>
          <w:numId w:val="3"/>
        </w:numPr>
        <w:rPr>
          <w:rStyle w:val="Heading6Char"/>
          <w:rFonts w:eastAsiaTheme="minorHAnsi" w:cstheme="minorBidi"/>
          <w:b w:val="0"/>
          <w:i w:val="0"/>
          <w:iCs w:val="0"/>
          <w:color w:val="auto"/>
          <w:sz w:val="24"/>
        </w:rPr>
      </w:pPr>
      <w:r>
        <w:rPr>
          <w:rStyle w:val="Heading6Char"/>
        </w:rPr>
        <w:t>Overview of assessment methods.</w:t>
      </w:r>
      <w:r>
        <w:rPr>
          <w:rStyle w:val="Heading6Char"/>
          <w:rFonts w:eastAsiaTheme="minorHAnsi" w:cstheme="minorBidi"/>
          <w:b w:val="0"/>
          <w:i w:val="0"/>
          <w:iCs w:val="0"/>
          <w:color w:val="auto"/>
          <w:sz w:val="24"/>
        </w:rPr>
        <w:t xml:space="preserve"> </w:t>
      </w:r>
      <w:r w:rsidRPr="0070175C">
        <w:rPr>
          <w:rStyle w:val="Heading6Char"/>
          <w:rFonts w:eastAsiaTheme="minorHAnsi" w:cstheme="minorBidi"/>
          <w:b w:val="0"/>
          <w:i w:val="0"/>
          <w:iCs w:val="0"/>
          <w:color w:val="auto"/>
          <w:sz w:val="24"/>
        </w:rPr>
        <w:t xml:space="preserve">The assessment for </w:t>
      </w:r>
      <w:r>
        <w:rPr>
          <w:rStyle w:val="Heading6Char"/>
          <w:rFonts w:eastAsiaTheme="minorHAnsi" w:cstheme="minorBidi"/>
          <w:b w:val="0"/>
          <w:i w:val="0"/>
          <w:iCs w:val="0"/>
          <w:color w:val="auto"/>
          <w:sz w:val="24"/>
        </w:rPr>
        <w:t>Services to industry</w:t>
      </w:r>
      <w:r w:rsidRPr="0070175C">
        <w:rPr>
          <w:rStyle w:val="Heading6Char"/>
          <w:rFonts w:eastAsiaTheme="minorHAnsi" w:cstheme="minorBidi"/>
          <w:b w:val="0"/>
          <w:i w:val="0"/>
          <w:iCs w:val="0"/>
          <w:color w:val="auto"/>
          <w:sz w:val="24"/>
        </w:rPr>
        <w:t xml:space="preserve"> </w:t>
      </w:r>
      <w:r>
        <w:rPr>
          <w:rStyle w:val="Heading6Char"/>
          <w:rFonts w:eastAsiaTheme="minorHAnsi" w:cstheme="minorBidi"/>
          <w:b w:val="0"/>
          <w:i w:val="0"/>
          <w:iCs w:val="0"/>
          <w:color w:val="auto"/>
          <w:sz w:val="24"/>
        </w:rPr>
        <w:t>recognises that States face differing costs for regulatio</w:t>
      </w:r>
      <w:r w:rsidR="0088799F">
        <w:rPr>
          <w:rStyle w:val="Heading6Char"/>
          <w:rFonts w:eastAsiaTheme="minorHAnsi" w:cstheme="minorBidi"/>
          <w:b w:val="0"/>
          <w:i w:val="0"/>
          <w:iCs w:val="0"/>
          <w:color w:val="auto"/>
          <w:sz w:val="24"/>
        </w:rPr>
        <w:t>n but not business development.</w:t>
      </w:r>
    </w:p>
    <w:p w:rsidR="00426CED" w:rsidRDefault="00426CED" w:rsidP="00426CED">
      <w:pPr>
        <w:pStyle w:val="CGCNumberedPara"/>
        <w:numPr>
          <w:ilvl w:val="1"/>
          <w:numId w:val="3"/>
        </w:numPr>
        <w:rPr>
          <w:rStyle w:val="Heading6Char"/>
          <w:rFonts w:eastAsiaTheme="minorHAnsi" w:cstheme="minorBidi"/>
          <w:b w:val="0"/>
          <w:i w:val="0"/>
          <w:iCs w:val="0"/>
          <w:color w:val="auto"/>
          <w:sz w:val="24"/>
        </w:rPr>
      </w:pPr>
      <w:r>
        <w:rPr>
          <w:rStyle w:val="Heading6Char"/>
          <w:rFonts w:eastAsiaTheme="minorHAnsi" w:cstheme="minorBidi"/>
          <w:b w:val="0"/>
          <w:i w:val="0"/>
          <w:iCs w:val="0"/>
          <w:color w:val="auto"/>
          <w:sz w:val="24"/>
        </w:rPr>
        <w:t>Agriculture, forestry and fishing regulation is assessed separately from other industries as States regulate agriculture differently. The assessment of agriculture regulation recognises that States with a greater share of farms and agricultural production face higher costs. For other industry regulation, the assessment recognises tha</w:t>
      </w:r>
      <w:r w:rsidR="00AA6D84">
        <w:rPr>
          <w:rStyle w:val="Heading6Char"/>
          <w:rFonts w:eastAsiaTheme="minorHAnsi" w:cstheme="minorBidi"/>
          <w:b w:val="0"/>
          <w:i w:val="0"/>
          <w:iCs w:val="0"/>
          <w:color w:val="auto"/>
          <w:sz w:val="24"/>
        </w:rPr>
        <w:t>t States with a greater share of</w:t>
      </w:r>
      <w:r>
        <w:rPr>
          <w:rStyle w:val="Heading6Char"/>
          <w:rFonts w:eastAsiaTheme="minorHAnsi" w:cstheme="minorBidi"/>
          <w:b w:val="0"/>
          <w:i w:val="0"/>
          <w:iCs w:val="0"/>
          <w:color w:val="auto"/>
          <w:sz w:val="24"/>
        </w:rPr>
        <w:t xml:space="preserve"> non-farm production and private non</w:t>
      </w:r>
      <w:r>
        <w:rPr>
          <w:rStyle w:val="Heading6Char"/>
          <w:rFonts w:eastAsiaTheme="minorHAnsi" w:cstheme="minorBidi"/>
          <w:b w:val="0"/>
          <w:i w:val="0"/>
          <w:iCs w:val="0"/>
          <w:color w:val="auto"/>
          <w:sz w:val="24"/>
        </w:rPr>
        <w:noBreakHyphen/>
        <w:t>dwelling construction face higher costs.</w:t>
      </w:r>
    </w:p>
    <w:p w:rsidR="00426CED" w:rsidRDefault="00426CED" w:rsidP="00F17982">
      <w:pPr>
        <w:pStyle w:val="CGCNumberedPara"/>
        <w:rPr>
          <w:rStyle w:val="Heading6Char"/>
          <w:rFonts w:eastAsiaTheme="minorHAnsi" w:cstheme="minorBidi"/>
          <w:b w:val="0"/>
          <w:i w:val="0"/>
          <w:iCs w:val="0"/>
          <w:color w:val="auto"/>
          <w:sz w:val="24"/>
        </w:rPr>
      </w:pPr>
      <w:r w:rsidRPr="00F17982">
        <w:rPr>
          <w:rStyle w:val="Heading6Char"/>
          <w:rFonts w:eastAsiaTheme="minorHAnsi" w:cstheme="minorBidi"/>
          <w:b w:val="0"/>
          <w:i w:val="0"/>
          <w:iCs w:val="0"/>
          <w:color w:val="auto"/>
          <w:sz w:val="24"/>
        </w:rPr>
        <w:t>Bu</w:t>
      </w:r>
      <w:r w:rsidR="00AA6D84">
        <w:rPr>
          <w:rStyle w:val="Heading6Char"/>
          <w:rFonts w:eastAsiaTheme="minorHAnsi" w:cstheme="minorBidi"/>
          <w:b w:val="0"/>
          <w:i w:val="0"/>
          <w:iCs w:val="0"/>
          <w:color w:val="auto"/>
          <w:sz w:val="24"/>
        </w:rPr>
        <w:t>siness development expenses are</w:t>
      </w:r>
      <w:r w:rsidRPr="00F17982">
        <w:rPr>
          <w:rStyle w:val="Heading6Char"/>
          <w:rFonts w:eastAsiaTheme="minorHAnsi" w:cstheme="minorBidi"/>
          <w:b w:val="0"/>
          <w:i w:val="0"/>
          <w:iCs w:val="0"/>
          <w:color w:val="auto"/>
          <w:sz w:val="24"/>
        </w:rPr>
        <w:t xml:space="preserve"> assessed equal per capita (EPC)</w:t>
      </w:r>
      <w:r w:rsidR="00F17982">
        <w:rPr>
          <w:rStyle w:val="Heading6Char"/>
          <w:rFonts w:eastAsiaTheme="minorHAnsi" w:cstheme="minorBidi"/>
          <w:b w:val="0"/>
          <w:i w:val="0"/>
          <w:iCs w:val="0"/>
          <w:color w:val="auto"/>
          <w:sz w:val="24"/>
        </w:rPr>
        <w:t xml:space="preserve"> although </w:t>
      </w:r>
      <w:r w:rsidR="0068747C">
        <w:rPr>
          <w:rStyle w:val="Heading6Char"/>
          <w:rFonts w:eastAsiaTheme="minorHAnsi" w:cstheme="minorBidi"/>
          <w:b w:val="0"/>
          <w:i w:val="0"/>
          <w:iCs w:val="0"/>
          <w:color w:val="auto"/>
          <w:sz w:val="24"/>
        </w:rPr>
        <w:t xml:space="preserve">the </w:t>
      </w:r>
      <w:r w:rsidR="00F17982">
        <w:rPr>
          <w:rStyle w:val="Heading6Char"/>
          <w:rFonts w:eastAsiaTheme="minorHAnsi" w:cstheme="minorBidi"/>
          <w:b w:val="0"/>
          <w:i w:val="0"/>
          <w:iCs w:val="0"/>
          <w:color w:val="auto"/>
          <w:sz w:val="24"/>
        </w:rPr>
        <w:t>wage cost</w:t>
      </w:r>
      <w:r w:rsidR="0068747C">
        <w:rPr>
          <w:rStyle w:val="Heading6Char"/>
          <w:rFonts w:eastAsiaTheme="minorHAnsi" w:cstheme="minorBidi"/>
          <w:b w:val="0"/>
          <w:i w:val="0"/>
          <w:iCs w:val="0"/>
          <w:color w:val="auto"/>
          <w:sz w:val="24"/>
        </w:rPr>
        <w:t xml:space="preserve">s disability is </w:t>
      </w:r>
      <w:r w:rsidR="00F17982">
        <w:rPr>
          <w:rStyle w:val="Heading6Char"/>
          <w:rFonts w:eastAsiaTheme="minorHAnsi" w:cstheme="minorBidi"/>
          <w:b w:val="0"/>
          <w:i w:val="0"/>
          <w:iCs w:val="0"/>
          <w:color w:val="auto"/>
          <w:sz w:val="24"/>
        </w:rPr>
        <w:t xml:space="preserve">applied to </w:t>
      </w:r>
      <w:r w:rsidR="0068747C">
        <w:rPr>
          <w:rStyle w:val="Heading6Char"/>
          <w:rFonts w:eastAsiaTheme="minorHAnsi" w:cstheme="minorBidi"/>
          <w:b w:val="0"/>
          <w:i w:val="0"/>
          <w:iCs w:val="0"/>
          <w:color w:val="auto"/>
          <w:sz w:val="24"/>
        </w:rPr>
        <w:t xml:space="preserve">the wages component of </w:t>
      </w:r>
      <w:r w:rsidR="00DB38B0">
        <w:rPr>
          <w:rStyle w:val="Heading6Char"/>
          <w:rFonts w:eastAsiaTheme="minorHAnsi" w:cstheme="minorBidi"/>
          <w:b w:val="0"/>
          <w:i w:val="0"/>
          <w:iCs w:val="0"/>
          <w:color w:val="auto"/>
          <w:sz w:val="24"/>
        </w:rPr>
        <w:t xml:space="preserve">these expenses. Additionally, </w:t>
      </w:r>
      <w:r w:rsidR="00F17982">
        <w:rPr>
          <w:rStyle w:val="Heading6Char"/>
          <w:rFonts w:eastAsiaTheme="minorHAnsi" w:cstheme="minorBidi"/>
          <w:b w:val="0"/>
          <w:i w:val="0"/>
          <w:iCs w:val="0"/>
          <w:color w:val="auto"/>
          <w:sz w:val="24"/>
        </w:rPr>
        <w:t xml:space="preserve">there is an administrative scale allowance for common business development functions including tourism </w:t>
      </w:r>
      <w:r w:rsidR="0068747C">
        <w:rPr>
          <w:rStyle w:val="Heading6Char"/>
          <w:rFonts w:eastAsiaTheme="minorHAnsi" w:cstheme="minorBidi"/>
          <w:b w:val="0"/>
          <w:i w:val="0"/>
          <w:iCs w:val="0"/>
          <w:color w:val="auto"/>
          <w:sz w:val="24"/>
        </w:rPr>
        <w:t>marketing, geological mapping and investment and trade promotion.</w:t>
      </w:r>
    </w:p>
    <w:p w:rsidR="00F468FB" w:rsidRPr="00F17982" w:rsidRDefault="00F468FB" w:rsidP="00F17982">
      <w:pPr>
        <w:pStyle w:val="CGCNumberedPara"/>
      </w:pPr>
      <w:r>
        <w:rPr>
          <w:rStyle w:val="Heading6Char"/>
          <w:rFonts w:eastAsiaTheme="minorHAnsi" w:cstheme="minorBidi"/>
          <w:b w:val="0"/>
          <w:i w:val="0"/>
          <w:iCs w:val="0"/>
          <w:color w:val="auto"/>
          <w:sz w:val="24"/>
        </w:rPr>
        <w:t xml:space="preserve">User charges for mining regulation are deducted from mining expenses before making the assessment but other user charges are assessed EPC in the </w:t>
      </w:r>
      <w:proofErr w:type="gramStart"/>
      <w:r>
        <w:rPr>
          <w:rStyle w:val="Heading6Char"/>
          <w:rFonts w:eastAsiaTheme="minorHAnsi" w:cstheme="minorBidi"/>
          <w:b w:val="0"/>
          <w:i w:val="0"/>
          <w:iCs w:val="0"/>
          <w:color w:val="auto"/>
          <w:sz w:val="24"/>
        </w:rPr>
        <w:t>Other</w:t>
      </w:r>
      <w:proofErr w:type="gramEnd"/>
      <w:r>
        <w:rPr>
          <w:rStyle w:val="Heading6Char"/>
          <w:rFonts w:eastAsiaTheme="minorHAnsi" w:cstheme="minorBidi"/>
          <w:b w:val="0"/>
          <w:i w:val="0"/>
          <w:iCs w:val="0"/>
          <w:color w:val="auto"/>
          <w:sz w:val="24"/>
        </w:rPr>
        <w:t xml:space="preserve"> revenue category.</w:t>
      </w:r>
    </w:p>
    <w:p w:rsidR="00426CED" w:rsidRPr="00F17982" w:rsidRDefault="00426CED" w:rsidP="00F17982">
      <w:pPr>
        <w:pStyle w:val="CGCNumberedPara"/>
        <w:rPr>
          <w:rStyle w:val="Heading6Char"/>
          <w:rFonts w:eastAsiaTheme="minorHAnsi" w:cstheme="minorBidi"/>
          <w:b w:val="0"/>
          <w:i w:val="0"/>
          <w:iCs w:val="0"/>
          <w:color w:val="auto"/>
          <w:sz w:val="24"/>
        </w:rPr>
      </w:pPr>
      <w:r w:rsidRPr="00F17982">
        <w:rPr>
          <w:rStyle w:val="Heading6Char"/>
        </w:rPr>
        <w:t>Data sources.</w:t>
      </w:r>
      <w:r w:rsidRPr="00F17982">
        <w:rPr>
          <w:rStyle w:val="Heading6Char"/>
          <w:rFonts w:eastAsiaTheme="minorHAnsi" w:cstheme="minorBidi"/>
          <w:b w:val="0"/>
          <w:i w:val="0"/>
          <w:iCs w:val="0"/>
          <w:color w:val="auto"/>
          <w:sz w:val="24"/>
        </w:rPr>
        <w:t xml:space="preserve"> Most of the data for measuring disabilities are sourced from the ABS including:</w:t>
      </w:r>
    </w:p>
    <w:p w:rsidR="00426CED" w:rsidRPr="0053618B" w:rsidRDefault="00426CED" w:rsidP="00426CED">
      <w:pPr>
        <w:pStyle w:val="CGCBulletlist"/>
        <w:numPr>
          <w:ilvl w:val="0"/>
          <w:numId w:val="1"/>
        </w:numPr>
        <w:tabs>
          <w:tab w:val="clear" w:pos="927"/>
        </w:tabs>
        <w:ind w:left="1134" w:hanging="567"/>
        <w:rPr>
          <w:rStyle w:val="Heading6Char"/>
          <w:rFonts w:eastAsiaTheme="minorHAnsi" w:cstheme="minorBidi"/>
          <w:b w:val="0"/>
          <w:i w:val="0"/>
          <w:iCs w:val="0"/>
          <w:color w:val="auto"/>
          <w:sz w:val="24"/>
        </w:rPr>
      </w:pPr>
      <w:r w:rsidRPr="0053618B">
        <w:rPr>
          <w:rStyle w:val="Heading6Char"/>
          <w:rFonts w:eastAsiaTheme="minorHAnsi" w:cstheme="minorBidi"/>
          <w:b w:val="0"/>
          <w:iCs w:val="0"/>
          <w:color w:val="auto"/>
          <w:sz w:val="24"/>
        </w:rPr>
        <w:t>5220.0 Australian National Accounts: State Accounts</w:t>
      </w:r>
    </w:p>
    <w:p w:rsidR="00426CED" w:rsidRPr="0053618B" w:rsidRDefault="00426CED" w:rsidP="00426CED">
      <w:pPr>
        <w:pStyle w:val="CGCBulletlist"/>
        <w:numPr>
          <w:ilvl w:val="0"/>
          <w:numId w:val="1"/>
        </w:numPr>
        <w:tabs>
          <w:tab w:val="clear" w:pos="927"/>
        </w:tabs>
        <w:ind w:left="1134" w:hanging="567"/>
        <w:rPr>
          <w:rStyle w:val="Heading6Char"/>
          <w:rFonts w:eastAsiaTheme="minorHAnsi" w:cstheme="minorBidi"/>
          <w:b w:val="0"/>
          <w:i w:val="0"/>
          <w:iCs w:val="0"/>
          <w:color w:val="auto"/>
          <w:sz w:val="24"/>
        </w:rPr>
      </w:pPr>
      <w:r w:rsidRPr="0053618B">
        <w:rPr>
          <w:rStyle w:val="Heading6Char"/>
          <w:rFonts w:eastAsiaTheme="minorHAnsi" w:cstheme="minorBidi"/>
          <w:b w:val="0"/>
          <w:iCs w:val="0"/>
          <w:color w:val="auto"/>
          <w:sz w:val="24"/>
        </w:rPr>
        <w:t>7121.0 Agricultural Commodities Australia</w:t>
      </w:r>
      <w:r w:rsidR="0088799F">
        <w:rPr>
          <w:rStyle w:val="Heading6Char"/>
          <w:rFonts w:eastAsiaTheme="minorHAnsi" w:cstheme="minorBidi"/>
          <w:b w:val="0"/>
          <w:iCs w:val="0"/>
          <w:color w:val="auto"/>
          <w:sz w:val="24"/>
        </w:rPr>
        <w:t>.</w:t>
      </w:r>
    </w:p>
    <w:p w:rsidR="00426CED" w:rsidRPr="0053618B" w:rsidRDefault="00426CED" w:rsidP="00426CED">
      <w:pPr>
        <w:pStyle w:val="CGCNumberedPara"/>
        <w:numPr>
          <w:ilvl w:val="1"/>
          <w:numId w:val="3"/>
        </w:numPr>
        <w:rPr>
          <w:rStyle w:val="Heading6Char"/>
          <w:rFonts w:eastAsiaTheme="minorHAnsi" w:cstheme="minorBidi"/>
          <w:b w:val="0"/>
          <w:i w:val="0"/>
          <w:iCs w:val="0"/>
          <w:color w:val="auto"/>
          <w:sz w:val="24"/>
        </w:rPr>
      </w:pPr>
      <w:r w:rsidRPr="0053618B">
        <w:rPr>
          <w:rStyle w:val="Heading6Char"/>
          <w:rFonts w:eastAsiaTheme="minorHAnsi" w:cstheme="minorBidi"/>
          <w:b w:val="0"/>
          <w:i w:val="0"/>
          <w:iCs w:val="0"/>
          <w:color w:val="auto"/>
          <w:sz w:val="24"/>
        </w:rPr>
        <w:t>Category expenses are disaggregated using data from a 2010 Review State survey of services to industry expenses</w:t>
      </w:r>
      <w:r w:rsidR="00F73B31">
        <w:rPr>
          <w:rStyle w:val="Heading6Char"/>
          <w:rFonts w:eastAsiaTheme="minorHAnsi" w:cstheme="minorBidi"/>
          <w:b w:val="0"/>
          <w:i w:val="0"/>
          <w:iCs w:val="0"/>
          <w:color w:val="auto"/>
          <w:sz w:val="24"/>
        </w:rPr>
        <w:t xml:space="preserve"> (hereafter referred to as the 2010 Review survey)</w:t>
      </w:r>
      <w:r w:rsidRPr="0053618B">
        <w:rPr>
          <w:rStyle w:val="Heading6Char"/>
          <w:rFonts w:eastAsiaTheme="minorHAnsi" w:cstheme="minorBidi"/>
          <w:b w:val="0"/>
          <w:i w:val="0"/>
          <w:iCs w:val="0"/>
          <w:color w:val="auto"/>
          <w:sz w:val="24"/>
        </w:rPr>
        <w:t>.</w:t>
      </w:r>
    </w:p>
    <w:p w:rsidR="00426CED" w:rsidRDefault="00426CED" w:rsidP="00426CED">
      <w:pPr>
        <w:pStyle w:val="CGCNumberedPara"/>
        <w:numPr>
          <w:ilvl w:val="1"/>
          <w:numId w:val="3"/>
        </w:numPr>
      </w:pPr>
      <w:r>
        <w:rPr>
          <w:rStyle w:val="Heading6Char"/>
        </w:rPr>
        <w:t>Disaggregation of expenses.</w:t>
      </w:r>
      <w:r>
        <w:t xml:space="preserve"> The Commission disaggregates total category expenses in three steps which are illustrated in </w:t>
      </w:r>
      <w:r>
        <w:fldChar w:fldCharType="begin"/>
      </w:r>
      <w:r>
        <w:instrText xml:space="preserve"> REF _Ref499650733 \h </w:instrText>
      </w:r>
      <w:r>
        <w:fldChar w:fldCharType="separate"/>
      </w:r>
      <w:r w:rsidR="00F3280B">
        <w:t xml:space="preserve">Figure </w:t>
      </w:r>
      <w:r w:rsidR="00F3280B">
        <w:rPr>
          <w:noProof/>
        </w:rPr>
        <w:t>1</w:t>
      </w:r>
      <w:r>
        <w:fldChar w:fldCharType="end"/>
      </w:r>
      <w:r>
        <w:t>.</w:t>
      </w:r>
    </w:p>
    <w:p w:rsidR="00426CED" w:rsidRDefault="00426CED" w:rsidP="00426CED">
      <w:pPr>
        <w:pStyle w:val="CGCBulletlist"/>
        <w:numPr>
          <w:ilvl w:val="0"/>
          <w:numId w:val="1"/>
        </w:numPr>
        <w:tabs>
          <w:tab w:val="clear" w:pos="927"/>
        </w:tabs>
        <w:ind w:left="1134" w:hanging="567"/>
      </w:pPr>
      <w:r>
        <w:t xml:space="preserve">Total category expenses are allocated to agriculture and other industries using </w:t>
      </w:r>
      <w:r w:rsidR="00F73B31">
        <w:t>Government Finance Statistics (</w:t>
      </w:r>
      <w:r>
        <w:t>GFS</w:t>
      </w:r>
      <w:r w:rsidR="00F73B31">
        <w:t>)</w:t>
      </w:r>
      <w:r>
        <w:t xml:space="preserve"> data.</w:t>
      </w:r>
    </w:p>
    <w:p w:rsidR="00426CED" w:rsidRDefault="00426CED" w:rsidP="00426CED">
      <w:pPr>
        <w:pStyle w:val="CGCBulletlist"/>
        <w:numPr>
          <w:ilvl w:val="0"/>
          <w:numId w:val="1"/>
        </w:numPr>
        <w:tabs>
          <w:tab w:val="clear" w:pos="927"/>
        </w:tabs>
        <w:ind w:left="1134" w:hanging="567"/>
      </w:pPr>
      <w:r>
        <w:t>Industry expenses are allocated to regulation and business development based on the 2010 Review</w:t>
      </w:r>
      <w:r w:rsidR="00F73B31">
        <w:t xml:space="preserve"> survey</w:t>
      </w:r>
      <w:r>
        <w:t>.</w:t>
      </w:r>
    </w:p>
    <w:p w:rsidR="00426CED" w:rsidRDefault="00426CED" w:rsidP="00426CED">
      <w:pPr>
        <w:pStyle w:val="CGCBulletlist"/>
        <w:numPr>
          <w:ilvl w:val="0"/>
          <w:numId w:val="1"/>
        </w:numPr>
        <w:tabs>
          <w:tab w:val="clear" w:pos="927"/>
        </w:tabs>
        <w:ind w:left="1134" w:hanging="567"/>
      </w:pPr>
      <w:r>
        <w:t xml:space="preserve">Regulatory expenses </w:t>
      </w:r>
      <w:r w:rsidR="001053BD">
        <w:t>for</w:t>
      </w:r>
      <w:r>
        <w:t xml:space="preserve"> each industry are allocated to different drivers of State spending based on the 2010 Review</w:t>
      </w:r>
      <w:r w:rsidR="00F73B31">
        <w:t xml:space="preserve"> survey</w:t>
      </w:r>
      <w:r>
        <w:t>.</w:t>
      </w:r>
    </w:p>
    <w:p w:rsidR="00426CED" w:rsidRDefault="00426CED" w:rsidP="00426CED">
      <w:pPr>
        <w:pStyle w:val="CGCNumberedPara"/>
        <w:numPr>
          <w:ilvl w:val="1"/>
          <w:numId w:val="3"/>
        </w:numPr>
      </w:pPr>
      <w:r>
        <w:t xml:space="preserve">As seen in </w:t>
      </w:r>
      <w:r>
        <w:fldChar w:fldCharType="begin"/>
      </w:r>
      <w:r>
        <w:instrText xml:space="preserve"> REF _Ref499650733 \h </w:instrText>
      </w:r>
      <w:r>
        <w:fldChar w:fldCharType="separate"/>
      </w:r>
      <w:r w:rsidR="00F3280B">
        <w:t xml:space="preserve">Figure </w:t>
      </w:r>
      <w:r w:rsidR="00F3280B">
        <w:rPr>
          <w:noProof/>
        </w:rPr>
        <w:t>1</w:t>
      </w:r>
      <w:r>
        <w:fldChar w:fldCharType="end"/>
      </w:r>
      <w:r>
        <w:t xml:space="preserve">, </w:t>
      </w:r>
      <w:r w:rsidRPr="00DA0707">
        <w:t>7</w:t>
      </w:r>
      <w:r w:rsidR="00B840F3">
        <w:t>8</w:t>
      </w:r>
      <w:r w:rsidRPr="00DA0707">
        <w:t>%</w:t>
      </w:r>
      <w:r>
        <w:t xml:space="preserve"> of category expenses in the 2018 Update were assessed </w:t>
      </w:r>
      <w:r w:rsidR="00F73B31">
        <w:t xml:space="preserve">on the basis of State </w:t>
      </w:r>
      <w:r w:rsidR="0068747C">
        <w:t>population</w:t>
      </w:r>
      <w:r w:rsidR="00F73B31">
        <w:t xml:space="preserve"> shares</w:t>
      </w:r>
      <w:r w:rsidR="0068747C">
        <w:t>.</w:t>
      </w:r>
    </w:p>
    <w:p w:rsidR="00426CED" w:rsidRDefault="00426CED" w:rsidP="00426CED">
      <w:pPr>
        <w:pStyle w:val="Caption"/>
      </w:pPr>
      <w:bookmarkStart w:id="28" w:name="_Ref499650733"/>
      <w:r>
        <w:t xml:space="preserve">Figure </w:t>
      </w:r>
      <w:fldSimple w:instr=" SEQ Figure \* ARABIC ">
        <w:r w:rsidR="00F3280B">
          <w:rPr>
            <w:noProof/>
          </w:rPr>
          <w:t>1</w:t>
        </w:r>
      </w:fldSimple>
      <w:bookmarkEnd w:id="28"/>
      <w:r>
        <w:tab/>
      </w:r>
      <w:r w:rsidR="001053BD">
        <w:t>Drivers of spending by industry and function</w:t>
      </w:r>
      <w:r>
        <w:t>, Services to industry</w:t>
      </w:r>
      <w:r w:rsidRPr="00DE7030">
        <w:t xml:space="preserve">, </w:t>
      </w:r>
      <w:r w:rsidR="00F73B31">
        <w:t>2018 Update</w:t>
      </w:r>
    </w:p>
    <w:p w:rsidR="00426CED" w:rsidRDefault="00B840F3" w:rsidP="00426CED">
      <w:pPr>
        <w:jc w:val="center"/>
      </w:pPr>
      <w:r w:rsidRPr="00B840F3">
        <w:rPr>
          <w:noProof/>
          <w:lang w:eastAsia="en-AU"/>
        </w:rPr>
        <w:drawing>
          <wp:inline distT="0" distB="0" distL="0" distR="0" wp14:anchorId="7EF02BD3" wp14:editId="5ECE3D07">
            <wp:extent cx="5683885" cy="3083671"/>
            <wp:effectExtent l="19050" t="19050" r="12065" b="21590"/>
            <wp:docPr id="5" name="Picture 5" descr="Figure 1 shows the breakdown of services to the services to industry expenses by industry, function, and expense dr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83885" cy="3083671"/>
                    </a:xfrm>
                    <a:prstGeom prst="rect">
                      <a:avLst/>
                    </a:prstGeom>
                    <a:noFill/>
                    <a:ln>
                      <a:solidFill>
                        <a:schemeClr val="tx1"/>
                      </a:solidFill>
                    </a:ln>
                  </pic:spPr>
                </pic:pic>
              </a:graphicData>
            </a:graphic>
          </wp:inline>
        </w:drawing>
      </w:r>
    </w:p>
    <w:p w:rsidR="00426CED" w:rsidRPr="00F73B31" w:rsidRDefault="00426CED" w:rsidP="00F73B31">
      <w:pPr>
        <w:pStyle w:val="CGCTableFootnote"/>
      </w:pPr>
      <w:r w:rsidRPr="00F73B31">
        <w:t>Note:</w:t>
      </w:r>
      <w:r w:rsidRPr="00F73B31">
        <w:tab/>
        <w:t xml:space="preserve">‘Population and other influences’ </w:t>
      </w:r>
      <w:proofErr w:type="gramStart"/>
      <w:r w:rsidR="00FB5DDF" w:rsidRPr="00F73B31">
        <w:t>is</w:t>
      </w:r>
      <w:proofErr w:type="gramEnd"/>
      <w:r w:rsidRPr="00F73B31">
        <w:t xml:space="preserve"> identified as a driver in the final row of the figure. This indicates either that population </w:t>
      </w:r>
      <w:r w:rsidR="00FB5DDF" w:rsidRPr="00F73B31">
        <w:t>wa</w:t>
      </w:r>
      <w:r w:rsidRPr="00F73B31">
        <w:t xml:space="preserve">s considered the appropriate driver (for example, consumer protection services) or that spending could not be attributed to one of the </w:t>
      </w:r>
      <w:r w:rsidR="00FB5DDF" w:rsidRPr="00F73B31">
        <w:t>other</w:t>
      </w:r>
      <w:r w:rsidRPr="00F73B31">
        <w:t xml:space="preserve"> drivers.</w:t>
      </w:r>
      <w:r w:rsidR="00FB5DDF" w:rsidRPr="00F73B31">
        <w:t xml:space="preserve"> There were no reliable business count data available for other industries so population </w:t>
      </w:r>
      <w:r w:rsidR="00F73B31" w:rsidRPr="00F73B31">
        <w:t>is</w:t>
      </w:r>
      <w:r w:rsidR="00FB5DDF" w:rsidRPr="00F73B31">
        <w:t xml:space="preserve"> used as the proxy. </w:t>
      </w:r>
    </w:p>
    <w:p w:rsidR="00426CED" w:rsidRPr="00F73B31" w:rsidRDefault="00DB38B0" w:rsidP="00F73B31">
      <w:pPr>
        <w:pStyle w:val="CGCTableFootnote"/>
      </w:pPr>
      <w:r w:rsidRPr="00F73B31">
        <w:t xml:space="preserve">Source: </w:t>
      </w:r>
      <w:r w:rsidRPr="00F73B31">
        <w:tab/>
      </w:r>
      <w:r w:rsidR="00426CED" w:rsidRPr="00F73B31">
        <w:t>Commission calculation for the 2018 Update.</w:t>
      </w:r>
    </w:p>
    <w:p w:rsidR="000018F1" w:rsidRDefault="000018F1" w:rsidP="000018F1">
      <w:pPr>
        <w:pStyle w:val="CGCNumberedPara"/>
        <w:numPr>
          <w:ilvl w:val="1"/>
          <w:numId w:val="3"/>
        </w:numPr>
        <w:rPr>
          <w:rStyle w:val="Heading6Char"/>
          <w:rFonts w:eastAsiaTheme="minorHAnsi" w:cstheme="minorBidi"/>
          <w:b w:val="0"/>
          <w:i w:val="0"/>
          <w:iCs w:val="0"/>
          <w:color w:val="auto"/>
          <w:sz w:val="24"/>
        </w:rPr>
      </w:pPr>
      <w:r w:rsidRPr="00BE5507">
        <w:rPr>
          <w:rStyle w:val="Heading6Char"/>
        </w:rPr>
        <w:t>Wage costs.</w:t>
      </w:r>
      <w:r w:rsidRPr="00791A48">
        <w:rPr>
          <w:rStyle w:val="Heading6Char"/>
          <w:rFonts w:eastAsiaTheme="minorHAnsi" w:cstheme="minorBidi"/>
          <w:b w:val="0"/>
          <w:i w:val="0"/>
          <w:iCs w:val="0"/>
          <w:color w:val="auto"/>
          <w:sz w:val="24"/>
        </w:rPr>
        <w:t xml:space="preserve"> The assessment recognises that differences between the States in wage costs have a differential effect on the cost of providing services</w:t>
      </w:r>
      <w:r>
        <w:rPr>
          <w:rStyle w:val="Heading6Char"/>
          <w:rFonts w:eastAsiaTheme="minorHAnsi" w:cstheme="minorBidi"/>
          <w:b w:val="0"/>
          <w:i w:val="0"/>
          <w:iCs w:val="0"/>
          <w:color w:val="auto"/>
          <w:sz w:val="24"/>
        </w:rPr>
        <w:t xml:space="preserve"> to industry</w:t>
      </w:r>
      <w:r w:rsidRPr="00791A48">
        <w:rPr>
          <w:rStyle w:val="Heading6Char"/>
          <w:rFonts w:eastAsiaTheme="minorHAnsi" w:cstheme="minorBidi"/>
          <w:b w:val="0"/>
          <w:i w:val="0"/>
          <w:iCs w:val="0"/>
          <w:color w:val="auto"/>
          <w:sz w:val="24"/>
        </w:rPr>
        <w:t>. These influences are measured in a similar w</w:t>
      </w:r>
      <w:r>
        <w:rPr>
          <w:rStyle w:val="Heading6Char"/>
          <w:rFonts w:eastAsiaTheme="minorHAnsi" w:cstheme="minorBidi"/>
          <w:b w:val="0"/>
          <w:i w:val="0"/>
          <w:iCs w:val="0"/>
          <w:color w:val="auto"/>
          <w:sz w:val="24"/>
        </w:rPr>
        <w:t>ay for most expense categories.</w:t>
      </w:r>
    </w:p>
    <w:p w:rsidR="000018F1" w:rsidRDefault="000018F1" w:rsidP="000018F1">
      <w:pPr>
        <w:pStyle w:val="CGCNumberedPara"/>
        <w:numPr>
          <w:ilvl w:val="1"/>
          <w:numId w:val="3"/>
        </w:numPr>
        <w:rPr>
          <w:rStyle w:val="Heading6Char"/>
          <w:rFonts w:eastAsiaTheme="minorHAnsi" w:cstheme="minorBidi"/>
          <w:b w:val="0"/>
          <w:i w:val="0"/>
          <w:iCs w:val="0"/>
          <w:color w:val="auto"/>
          <w:sz w:val="24"/>
        </w:rPr>
      </w:pPr>
      <w:r>
        <w:rPr>
          <w:rStyle w:val="Heading6Char"/>
        </w:rPr>
        <w:t>Regional costs</w:t>
      </w:r>
      <w:r w:rsidRPr="0053618B">
        <w:rPr>
          <w:rStyle w:val="Heading6Char"/>
          <w:rFonts w:eastAsiaTheme="minorHAnsi" w:cstheme="minorBidi"/>
          <w:b w:val="0"/>
          <w:i w:val="0"/>
          <w:iCs w:val="0"/>
          <w:color w:val="auto"/>
          <w:sz w:val="24"/>
        </w:rPr>
        <w:t>.</w:t>
      </w:r>
      <w:r>
        <w:rPr>
          <w:rStyle w:val="Heading6Char"/>
          <w:rFonts w:eastAsiaTheme="minorHAnsi" w:cstheme="minorBidi"/>
          <w:b w:val="0"/>
          <w:i w:val="0"/>
          <w:iCs w:val="0"/>
          <w:color w:val="auto"/>
          <w:sz w:val="24"/>
        </w:rPr>
        <w:t xml:space="preserve"> The assessment recognises </w:t>
      </w:r>
      <w:r w:rsidR="00AA6D84">
        <w:rPr>
          <w:rStyle w:val="Heading6Char"/>
          <w:rFonts w:eastAsiaTheme="minorHAnsi" w:cstheme="minorBidi"/>
          <w:b w:val="0"/>
          <w:i w:val="0"/>
          <w:iCs w:val="0"/>
          <w:color w:val="auto"/>
          <w:sz w:val="24"/>
        </w:rPr>
        <w:t xml:space="preserve">that </w:t>
      </w:r>
      <w:r>
        <w:rPr>
          <w:rStyle w:val="Heading6Char"/>
          <w:rFonts w:eastAsiaTheme="minorHAnsi" w:cstheme="minorBidi"/>
          <w:b w:val="0"/>
          <w:i w:val="0"/>
          <w:iCs w:val="0"/>
          <w:color w:val="auto"/>
          <w:sz w:val="24"/>
        </w:rPr>
        <w:t>differences in the cost of providing services within States have a differential effect on the cost of regulation</w:t>
      </w:r>
      <w:r w:rsidR="0068747C">
        <w:rPr>
          <w:rStyle w:val="Heading6Char"/>
          <w:rFonts w:eastAsiaTheme="minorHAnsi" w:cstheme="minorBidi"/>
          <w:b w:val="0"/>
          <w:i w:val="0"/>
          <w:iCs w:val="0"/>
          <w:color w:val="auto"/>
          <w:sz w:val="24"/>
        </w:rPr>
        <w:t xml:space="preserve"> because some regulation services are provided where businesses are located.</w:t>
      </w:r>
      <w:r>
        <w:rPr>
          <w:rStyle w:val="Heading6Char"/>
          <w:rFonts w:eastAsiaTheme="minorHAnsi" w:cstheme="minorBidi"/>
          <w:b w:val="0"/>
          <w:i w:val="0"/>
          <w:iCs w:val="0"/>
          <w:color w:val="auto"/>
          <w:sz w:val="24"/>
        </w:rPr>
        <w:t xml:space="preserve"> The regional costs assessment is bas</w:t>
      </w:r>
      <w:r w:rsidR="0068747C">
        <w:rPr>
          <w:rStyle w:val="Heading6Char"/>
          <w:rFonts w:eastAsiaTheme="minorHAnsi" w:cstheme="minorBidi"/>
          <w:b w:val="0"/>
          <w:i w:val="0"/>
          <w:iCs w:val="0"/>
          <w:color w:val="auto"/>
          <w:sz w:val="24"/>
        </w:rPr>
        <w:t>ed on the general regional cost</w:t>
      </w:r>
      <w:r>
        <w:rPr>
          <w:rStyle w:val="Heading6Char"/>
          <w:rFonts w:eastAsiaTheme="minorHAnsi" w:cstheme="minorBidi"/>
          <w:b w:val="0"/>
          <w:i w:val="0"/>
          <w:iCs w:val="0"/>
          <w:color w:val="auto"/>
          <w:sz w:val="24"/>
        </w:rPr>
        <w:t xml:space="preserve"> gradient weighted by the geographic distribution of employment.</w:t>
      </w:r>
    </w:p>
    <w:p w:rsidR="00E95FA3" w:rsidRDefault="00E95FA3" w:rsidP="00E95FA3">
      <w:pPr>
        <w:pStyle w:val="Heading4"/>
      </w:pPr>
      <w:bookmarkStart w:id="29" w:name="_Toc508121233"/>
      <w:bookmarkStart w:id="30" w:name="_Toc511660960"/>
      <w:r>
        <w:t>Investment and depreciation</w:t>
      </w:r>
      <w:bookmarkEnd w:id="29"/>
      <w:bookmarkEnd w:id="30"/>
    </w:p>
    <w:p w:rsidR="00F83306" w:rsidRDefault="003C457F" w:rsidP="003C457F">
      <w:pPr>
        <w:pStyle w:val="CGCNumberedPara"/>
      </w:pPr>
      <w:r w:rsidRPr="003C457F">
        <w:t xml:space="preserve">The size of the regulation task affects the quantity of </w:t>
      </w:r>
      <w:r w:rsidR="001053BD">
        <w:t>State own</w:t>
      </w:r>
      <w:r w:rsidR="00F468FB">
        <w:t>ed</w:t>
      </w:r>
      <w:r w:rsidR="001053BD">
        <w:t xml:space="preserve"> </w:t>
      </w:r>
      <w:r w:rsidRPr="003C457F">
        <w:t xml:space="preserve">infrastructure but the level of influence is not significant. Services to industry accounted for </w:t>
      </w:r>
      <w:r w:rsidR="00284E58">
        <w:t>less than</w:t>
      </w:r>
      <w:r w:rsidRPr="003C457F">
        <w:t xml:space="preserve"> 1% of </w:t>
      </w:r>
      <w:r w:rsidR="0001577C">
        <w:t>total State assets in 2016-17.</w:t>
      </w:r>
    </w:p>
    <w:p w:rsidR="003C457F" w:rsidRDefault="003C457F" w:rsidP="003C457F">
      <w:pPr>
        <w:pStyle w:val="CGCNumberedPara"/>
      </w:pPr>
      <w:r w:rsidRPr="003C457F">
        <w:t xml:space="preserve">The infrastructure assessments use the expense weighted </w:t>
      </w:r>
      <w:r w:rsidR="005163D2">
        <w:t>disabilities which affect</w:t>
      </w:r>
      <w:r w:rsidRPr="003C457F">
        <w:t xml:space="preserve"> State spending on regulation to calculate </w:t>
      </w:r>
      <w:r w:rsidR="005163D2">
        <w:t>a</w:t>
      </w:r>
      <w:r w:rsidRPr="003C457F">
        <w:t xml:space="preserve"> capital stock factor for the category. Interstate differences in wage levels, the price of materials and other unavoidable factors affecting the cost of infrastructure are also taken into account. In addition, the Investment assessment recognises the impact of differences between States in population growth on the need for infrastructure.</w:t>
      </w:r>
    </w:p>
    <w:p w:rsidR="00E07621" w:rsidRDefault="00E07621" w:rsidP="00E07621">
      <w:pPr>
        <w:pStyle w:val="Heading4"/>
      </w:pPr>
      <w:bookmarkStart w:id="31" w:name="_Toc508121234"/>
      <w:bookmarkStart w:id="32" w:name="_Toc511660961"/>
      <w:r>
        <w:t xml:space="preserve">GST </w:t>
      </w:r>
      <w:r w:rsidR="0053759E">
        <w:t>re</w:t>
      </w:r>
      <w:r>
        <w:t>distribution</w:t>
      </w:r>
      <w:bookmarkEnd w:id="31"/>
      <w:bookmarkEnd w:id="32"/>
    </w:p>
    <w:p w:rsidR="00E07621" w:rsidRDefault="00560AEE" w:rsidP="00E07621">
      <w:pPr>
        <w:pStyle w:val="CGCNumberedPara"/>
      </w:pPr>
      <w:r>
        <w:fldChar w:fldCharType="begin"/>
      </w:r>
      <w:r>
        <w:instrText xml:space="preserve"> REF _Ref505873576 \h </w:instrText>
      </w:r>
      <w:r>
        <w:fldChar w:fldCharType="separate"/>
      </w:r>
      <w:r w:rsidR="00F3280B">
        <w:t xml:space="preserve">Table </w:t>
      </w:r>
      <w:r w:rsidR="00F3280B">
        <w:rPr>
          <w:noProof/>
        </w:rPr>
        <w:t>2</w:t>
      </w:r>
      <w:r>
        <w:fldChar w:fldCharType="end"/>
      </w:r>
      <w:r>
        <w:t xml:space="preserve"> </w:t>
      </w:r>
      <w:r w:rsidR="00481CEF">
        <w:t>shows the GST redistribution for each component of the Services to industry category in the 2018 Update.</w:t>
      </w:r>
    </w:p>
    <w:p w:rsidR="008F56A6" w:rsidRDefault="00560AEE" w:rsidP="00560AEE">
      <w:pPr>
        <w:pStyle w:val="Caption"/>
      </w:pPr>
      <w:bookmarkStart w:id="33" w:name="_Ref505873576"/>
      <w:bookmarkStart w:id="34" w:name="_Ref505873565"/>
      <w:r>
        <w:t xml:space="preserve">Table </w:t>
      </w:r>
      <w:fldSimple w:instr=" SEQ Table \* ARABIC ">
        <w:r w:rsidR="00F3280B">
          <w:rPr>
            <w:noProof/>
          </w:rPr>
          <w:t>2</w:t>
        </w:r>
      </w:fldSimple>
      <w:bookmarkEnd w:id="33"/>
      <w:r w:rsidR="003A4A6F">
        <w:tab/>
        <w:t>Estimated GST distribution</w:t>
      </w:r>
      <w:r w:rsidR="0068747C">
        <w:t>,</w:t>
      </w:r>
      <w:r w:rsidR="003A4A6F">
        <w:t xml:space="preserve"> 2018</w:t>
      </w:r>
      <w:bookmarkEnd w:id="34"/>
      <w:r w:rsidR="0068747C">
        <w:t xml:space="preserve"> </w:t>
      </w:r>
      <w:proofErr w:type="gramStart"/>
      <w:r w:rsidR="0068747C">
        <w:t>Update</w:t>
      </w:r>
      <w:proofErr w:type="gramEnd"/>
    </w:p>
    <w:tbl>
      <w:tblPr>
        <w:tblW w:w="8960" w:type="dxa"/>
        <w:tblLayout w:type="fixed"/>
        <w:tblCellMar>
          <w:left w:w="0" w:type="dxa"/>
          <w:right w:w="0" w:type="dxa"/>
        </w:tblCellMar>
        <w:tblLook w:val="04A0" w:firstRow="1" w:lastRow="0" w:firstColumn="1" w:lastColumn="0" w:noHBand="0" w:noVBand="1"/>
      </w:tblPr>
      <w:tblGrid>
        <w:gridCol w:w="2460"/>
        <w:gridCol w:w="780"/>
        <w:gridCol w:w="720"/>
        <w:gridCol w:w="720"/>
        <w:gridCol w:w="760"/>
        <w:gridCol w:w="680"/>
        <w:gridCol w:w="620"/>
        <w:gridCol w:w="680"/>
        <w:gridCol w:w="720"/>
        <w:gridCol w:w="820"/>
      </w:tblGrid>
      <w:tr w:rsidR="00704880" w:rsidRPr="00704880" w:rsidTr="008F0571">
        <w:trPr>
          <w:trHeight w:val="379"/>
        </w:trPr>
        <w:tc>
          <w:tcPr>
            <w:tcW w:w="2460" w:type="dxa"/>
            <w:tcBorders>
              <w:top w:val="single" w:sz="4" w:space="0" w:color="auto"/>
              <w:left w:val="nil"/>
              <w:bottom w:val="single" w:sz="4" w:space="0" w:color="auto"/>
              <w:right w:val="nil"/>
            </w:tcBorders>
            <w:shd w:val="clear" w:color="auto" w:fill="auto"/>
            <w:noWrap/>
            <w:vAlign w:val="center"/>
            <w:hideMark/>
          </w:tcPr>
          <w:p w:rsidR="00704880" w:rsidRPr="00704880" w:rsidRDefault="00704880" w:rsidP="008F0571">
            <w:pPr>
              <w:keepNext/>
              <w:keepLines/>
              <w:tabs>
                <w:tab w:val="clear" w:pos="567"/>
              </w:tabs>
              <w:spacing w:after="0" w:line="240" w:lineRule="auto"/>
              <w:ind w:left="193" w:hanging="142"/>
              <w:jc w:val="right"/>
              <w:rPr>
                <w:rFonts w:ascii="Calibri" w:eastAsia="Times New Roman" w:hAnsi="Calibri" w:cs="Times New Roman"/>
                <w:sz w:val="20"/>
                <w:szCs w:val="20"/>
                <w:lang w:eastAsia="en-AU"/>
              </w:rPr>
            </w:pPr>
            <w:bookmarkStart w:id="35" w:name="RANGE!B2:K8"/>
            <w:r w:rsidRPr="00704880">
              <w:rPr>
                <w:rFonts w:ascii="Calibri" w:eastAsia="Times New Roman" w:hAnsi="Calibri" w:cs="Times New Roman"/>
                <w:sz w:val="20"/>
                <w:szCs w:val="20"/>
                <w:lang w:eastAsia="en-AU"/>
              </w:rPr>
              <w:t> </w:t>
            </w:r>
            <w:bookmarkEnd w:id="35"/>
          </w:p>
        </w:tc>
        <w:tc>
          <w:tcPr>
            <w:tcW w:w="780" w:type="dxa"/>
            <w:tcBorders>
              <w:top w:val="single" w:sz="4" w:space="0" w:color="auto"/>
              <w:left w:val="nil"/>
              <w:bottom w:val="single" w:sz="4" w:space="0" w:color="auto"/>
              <w:right w:val="nil"/>
            </w:tcBorders>
            <w:shd w:val="clear" w:color="auto" w:fill="auto"/>
            <w:noWrap/>
            <w:vAlign w:val="center"/>
            <w:hideMark/>
          </w:tcPr>
          <w:p w:rsidR="00704880" w:rsidRPr="00704880" w:rsidRDefault="00704880" w:rsidP="008F0571">
            <w:pPr>
              <w:keepNext/>
              <w:keepLines/>
              <w:tabs>
                <w:tab w:val="clear" w:pos="567"/>
              </w:tabs>
              <w:spacing w:after="0" w:line="240" w:lineRule="auto"/>
              <w:jc w:val="right"/>
              <w:rPr>
                <w:rFonts w:ascii="Calibri" w:eastAsia="Times New Roman" w:hAnsi="Calibri" w:cs="Times New Roman"/>
                <w:sz w:val="20"/>
                <w:szCs w:val="20"/>
                <w:lang w:eastAsia="en-AU"/>
              </w:rPr>
            </w:pPr>
            <w:r w:rsidRPr="00704880">
              <w:rPr>
                <w:rFonts w:ascii="Calibri" w:eastAsia="Times New Roman" w:hAnsi="Calibri" w:cs="Times New Roman"/>
                <w:sz w:val="20"/>
                <w:szCs w:val="20"/>
                <w:lang w:eastAsia="en-AU"/>
              </w:rPr>
              <w:t>NSW</w:t>
            </w:r>
          </w:p>
        </w:tc>
        <w:tc>
          <w:tcPr>
            <w:tcW w:w="720" w:type="dxa"/>
            <w:tcBorders>
              <w:top w:val="single" w:sz="4" w:space="0" w:color="auto"/>
              <w:left w:val="nil"/>
              <w:bottom w:val="single" w:sz="4" w:space="0" w:color="auto"/>
              <w:right w:val="nil"/>
            </w:tcBorders>
            <w:shd w:val="clear" w:color="auto" w:fill="auto"/>
            <w:noWrap/>
            <w:vAlign w:val="center"/>
            <w:hideMark/>
          </w:tcPr>
          <w:p w:rsidR="00704880" w:rsidRPr="00704880" w:rsidRDefault="00704880" w:rsidP="008F0571">
            <w:pPr>
              <w:keepNext/>
              <w:keepLines/>
              <w:tabs>
                <w:tab w:val="clear" w:pos="567"/>
              </w:tabs>
              <w:spacing w:after="0" w:line="240" w:lineRule="auto"/>
              <w:jc w:val="right"/>
              <w:rPr>
                <w:rFonts w:ascii="Calibri" w:eastAsia="Times New Roman" w:hAnsi="Calibri" w:cs="Times New Roman"/>
                <w:sz w:val="20"/>
                <w:szCs w:val="20"/>
                <w:lang w:eastAsia="en-AU"/>
              </w:rPr>
            </w:pPr>
            <w:r w:rsidRPr="00704880">
              <w:rPr>
                <w:rFonts w:ascii="Calibri" w:eastAsia="Times New Roman" w:hAnsi="Calibri" w:cs="Times New Roman"/>
                <w:sz w:val="20"/>
                <w:szCs w:val="20"/>
                <w:lang w:eastAsia="en-AU"/>
              </w:rPr>
              <w:t>Vic</w:t>
            </w:r>
          </w:p>
        </w:tc>
        <w:tc>
          <w:tcPr>
            <w:tcW w:w="720" w:type="dxa"/>
            <w:tcBorders>
              <w:top w:val="single" w:sz="4" w:space="0" w:color="auto"/>
              <w:left w:val="nil"/>
              <w:bottom w:val="single" w:sz="4" w:space="0" w:color="auto"/>
              <w:right w:val="nil"/>
            </w:tcBorders>
            <w:shd w:val="clear" w:color="auto" w:fill="auto"/>
            <w:noWrap/>
            <w:vAlign w:val="center"/>
            <w:hideMark/>
          </w:tcPr>
          <w:p w:rsidR="00704880" w:rsidRPr="00704880" w:rsidRDefault="00704880" w:rsidP="008F0571">
            <w:pPr>
              <w:keepNext/>
              <w:keepLines/>
              <w:tabs>
                <w:tab w:val="clear" w:pos="567"/>
              </w:tabs>
              <w:spacing w:after="0" w:line="240" w:lineRule="auto"/>
              <w:jc w:val="right"/>
              <w:rPr>
                <w:rFonts w:ascii="Calibri" w:eastAsia="Times New Roman" w:hAnsi="Calibri" w:cs="Times New Roman"/>
                <w:sz w:val="20"/>
                <w:szCs w:val="20"/>
                <w:lang w:eastAsia="en-AU"/>
              </w:rPr>
            </w:pPr>
            <w:r w:rsidRPr="00704880">
              <w:rPr>
                <w:rFonts w:ascii="Calibri" w:eastAsia="Times New Roman" w:hAnsi="Calibri" w:cs="Times New Roman"/>
                <w:sz w:val="20"/>
                <w:szCs w:val="20"/>
                <w:lang w:eastAsia="en-AU"/>
              </w:rPr>
              <w:t>Qld</w:t>
            </w:r>
          </w:p>
        </w:tc>
        <w:tc>
          <w:tcPr>
            <w:tcW w:w="760" w:type="dxa"/>
            <w:tcBorders>
              <w:top w:val="single" w:sz="4" w:space="0" w:color="auto"/>
              <w:left w:val="nil"/>
              <w:bottom w:val="single" w:sz="4" w:space="0" w:color="auto"/>
              <w:right w:val="nil"/>
            </w:tcBorders>
            <w:shd w:val="clear" w:color="auto" w:fill="auto"/>
            <w:noWrap/>
            <w:vAlign w:val="center"/>
            <w:hideMark/>
          </w:tcPr>
          <w:p w:rsidR="00704880" w:rsidRPr="00704880" w:rsidRDefault="00704880" w:rsidP="008F0571">
            <w:pPr>
              <w:keepNext/>
              <w:keepLines/>
              <w:tabs>
                <w:tab w:val="clear" w:pos="567"/>
              </w:tabs>
              <w:spacing w:after="0" w:line="240" w:lineRule="auto"/>
              <w:jc w:val="right"/>
              <w:rPr>
                <w:rFonts w:ascii="Calibri" w:eastAsia="Times New Roman" w:hAnsi="Calibri" w:cs="Times New Roman"/>
                <w:sz w:val="20"/>
                <w:szCs w:val="20"/>
                <w:lang w:eastAsia="en-AU"/>
              </w:rPr>
            </w:pPr>
            <w:r w:rsidRPr="00704880">
              <w:rPr>
                <w:rFonts w:ascii="Calibri" w:eastAsia="Times New Roman" w:hAnsi="Calibri" w:cs="Times New Roman"/>
                <w:sz w:val="20"/>
                <w:szCs w:val="20"/>
                <w:lang w:eastAsia="en-AU"/>
              </w:rPr>
              <w:t>WA</w:t>
            </w:r>
          </w:p>
        </w:tc>
        <w:tc>
          <w:tcPr>
            <w:tcW w:w="680" w:type="dxa"/>
            <w:tcBorders>
              <w:top w:val="single" w:sz="4" w:space="0" w:color="auto"/>
              <w:left w:val="nil"/>
              <w:bottom w:val="single" w:sz="4" w:space="0" w:color="auto"/>
              <w:right w:val="nil"/>
            </w:tcBorders>
            <w:shd w:val="clear" w:color="auto" w:fill="auto"/>
            <w:noWrap/>
            <w:vAlign w:val="center"/>
            <w:hideMark/>
          </w:tcPr>
          <w:p w:rsidR="00704880" w:rsidRPr="00704880" w:rsidRDefault="00704880" w:rsidP="008F0571">
            <w:pPr>
              <w:keepNext/>
              <w:keepLines/>
              <w:tabs>
                <w:tab w:val="clear" w:pos="567"/>
              </w:tabs>
              <w:spacing w:after="0" w:line="240" w:lineRule="auto"/>
              <w:jc w:val="right"/>
              <w:rPr>
                <w:rFonts w:ascii="Calibri" w:eastAsia="Times New Roman" w:hAnsi="Calibri" w:cs="Times New Roman"/>
                <w:sz w:val="20"/>
                <w:szCs w:val="20"/>
                <w:lang w:eastAsia="en-AU"/>
              </w:rPr>
            </w:pPr>
            <w:r w:rsidRPr="00704880">
              <w:rPr>
                <w:rFonts w:ascii="Calibri" w:eastAsia="Times New Roman" w:hAnsi="Calibri" w:cs="Times New Roman"/>
                <w:sz w:val="20"/>
                <w:szCs w:val="20"/>
                <w:lang w:eastAsia="en-AU"/>
              </w:rPr>
              <w:t>SA</w:t>
            </w:r>
          </w:p>
        </w:tc>
        <w:tc>
          <w:tcPr>
            <w:tcW w:w="620" w:type="dxa"/>
            <w:tcBorders>
              <w:top w:val="single" w:sz="4" w:space="0" w:color="auto"/>
              <w:left w:val="nil"/>
              <w:bottom w:val="single" w:sz="4" w:space="0" w:color="auto"/>
              <w:right w:val="nil"/>
            </w:tcBorders>
            <w:shd w:val="clear" w:color="auto" w:fill="auto"/>
            <w:noWrap/>
            <w:vAlign w:val="center"/>
            <w:hideMark/>
          </w:tcPr>
          <w:p w:rsidR="00704880" w:rsidRPr="00704880" w:rsidRDefault="00704880" w:rsidP="008F0571">
            <w:pPr>
              <w:keepNext/>
              <w:keepLines/>
              <w:tabs>
                <w:tab w:val="clear" w:pos="567"/>
              </w:tabs>
              <w:spacing w:after="0" w:line="240" w:lineRule="auto"/>
              <w:jc w:val="right"/>
              <w:rPr>
                <w:rFonts w:ascii="Calibri" w:eastAsia="Times New Roman" w:hAnsi="Calibri" w:cs="Times New Roman"/>
                <w:sz w:val="20"/>
                <w:szCs w:val="20"/>
                <w:lang w:eastAsia="en-AU"/>
              </w:rPr>
            </w:pPr>
            <w:r w:rsidRPr="00704880">
              <w:rPr>
                <w:rFonts w:ascii="Calibri" w:eastAsia="Times New Roman" w:hAnsi="Calibri" w:cs="Times New Roman"/>
                <w:sz w:val="20"/>
                <w:szCs w:val="20"/>
                <w:lang w:eastAsia="en-AU"/>
              </w:rPr>
              <w:t>Tas</w:t>
            </w:r>
          </w:p>
        </w:tc>
        <w:tc>
          <w:tcPr>
            <w:tcW w:w="680" w:type="dxa"/>
            <w:tcBorders>
              <w:top w:val="single" w:sz="4" w:space="0" w:color="auto"/>
              <w:left w:val="nil"/>
              <w:bottom w:val="single" w:sz="4" w:space="0" w:color="auto"/>
              <w:right w:val="nil"/>
            </w:tcBorders>
            <w:shd w:val="clear" w:color="auto" w:fill="auto"/>
            <w:noWrap/>
            <w:vAlign w:val="center"/>
            <w:hideMark/>
          </w:tcPr>
          <w:p w:rsidR="00704880" w:rsidRPr="00704880" w:rsidRDefault="00704880" w:rsidP="008F0571">
            <w:pPr>
              <w:keepNext/>
              <w:keepLines/>
              <w:tabs>
                <w:tab w:val="clear" w:pos="567"/>
              </w:tabs>
              <w:spacing w:after="0" w:line="240" w:lineRule="auto"/>
              <w:jc w:val="right"/>
              <w:rPr>
                <w:rFonts w:ascii="Calibri" w:eastAsia="Times New Roman" w:hAnsi="Calibri" w:cs="Times New Roman"/>
                <w:sz w:val="20"/>
                <w:szCs w:val="20"/>
                <w:lang w:eastAsia="en-AU"/>
              </w:rPr>
            </w:pPr>
            <w:r w:rsidRPr="00704880">
              <w:rPr>
                <w:rFonts w:ascii="Calibri" w:eastAsia="Times New Roman" w:hAnsi="Calibri" w:cs="Times New Roman"/>
                <w:sz w:val="20"/>
                <w:szCs w:val="20"/>
                <w:lang w:eastAsia="en-AU"/>
              </w:rPr>
              <w:t>ACT</w:t>
            </w:r>
          </w:p>
        </w:tc>
        <w:tc>
          <w:tcPr>
            <w:tcW w:w="720" w:type="dxa"/>
            <w:tcBorders>
              <w:top w:val="single" w:sz="4" w:space="0" w:color="auto"/>
              <w:left w:val="nil"/>
              <w:bottom w:val="single" w:sz="4" w:space="0" w:color="auto"/>
              <w:right w:val="nil"/>
            </w:tcBorders>
            <w:shd w:val="clear" w:color="auto" w:fill="auto"/>
            <w:noWrap/>
            <w:vAlign w:val="center"/>
            <w:hideMark/>
          </w:tcPr>
          <w:p w:rsidR="00704880" w:rsidRPr="00704880" w:rsidRDefault="00704880" w:rsidP="008F0571">
            <w:pPr>
              <w:keepNext/>
              <w:keepLines/>
              <w:tabs>
                <w:tab w:val="clear" w:pos="567"/>
              </w:tabs>
              <w:spacing w:after="0" w:line="240" w:lineRule="auto"/>
              <w:jc w:val="right"/>
              <w:rPr>
                <w:rFonts w:ascii="Calibri" w:eastAsia="Times New Roman" w:hAnsi="Calibri" w:cs="Times New Roman"/>
                <w:sz w:val="20"/>
                <w:szCs w:val="20"/>
                <w:lang w:eastAsia="en-AU"/>
              </w:rPr>
            </w:pPr>
            <w:r w:rsidRPr="00704880">
              <w:rPr>
                <w:rFonts w:ascii="Calibri" w:eastAsia="Times New Roman" w:hAnsi="Calibri" w:cs="Times New Roman"/>
                <w:sz w:val="20"/>
                <w:szCs w:val="20"/>
                <w:lang w:eastAsia="en-AU"/>
              </w:rPr>
              <w:t>NT</w:t>
            </w:r>
          </w:p>
        </w:tc>
        <w:tc>
          <w:tcPr>
            <w:tcW w:w="820" w:type="dxa"/>
            <w:tcBorders>
              <w:top w:val="single" w:sz="4" w:space="0" w:color="auto"/>
              <w:left w:val="nil"/>
              <w:bottom w:val="single" w:sz="4" w:space="0" w:color="auto"/>
              <w:right w:val="nil"/>
            </w:tcBorders>
            <w:shd w:val="clear" w:color="auto" w:fill="auto"/>
            <w:noWrap/>
            <w:vAlign w:val="center"/>
            <w:hideMark/>
          </w:tcPr>
          <w:p w:rsidR="00704880" w:rsidRPr="00704880" w:rsidRDefault="00704880" w:rsidP="00AA6D84">
            <w:pPr>
              <w:keepNext/>
              <w:keepLines/>
              <w:tabs>
                <w:tab w:val="clear" w:pos="567"/>
              </w:tabs>
              <w:spacing w:after="0" w:line="240" w:lineRule="auto"/>
              <w:jc w:val="right"/>
              <w:rPr>
                <w:rFonts w:ascii="Calibri" w:eastAsia="Times New Roman" w:hAnsi="Calibri" w:cs="Times New Roman"/>
                <w:sz w:val="20"/>
                <w:szCs w:val="20"/>
                <w:lang w:eastAsia="en-AU"/>
              </w:rPr>
            </w:pPr>
            <w:r w:rsidRPr="00704880">
              <w:rPr>
                <w:rFonts w:ascii="Calibri" w:eastAsia="Times New Roman" w:hAnsi="Calibri" w:cs="Times New Roman"/>
                <w:sz w:val="20"/>
                <w:szCs w:val="20"/>
                <w:lang w:eastAsia="en-AU"/>
              </w:rPr>
              <w:t>Redist</w:t>
            </w:r>
          </w:p>
        </w:tc>
      </w:tr>
      <w:tr w:rsidR="00704880" w:rsidRPr="00704880" w:rsidTr="008F0571">
        <w:trPr>
          <w:trHeight w:val="259"/>
        </w:trPr>
        <w:tc>
          <w:tcPr>
            <w:tcW w:w="2460" w:type="dxa"/>
            <w:tcBorders>
              <w:top w:val="nil"/>
              <w:left w:val="nil"/>
              <w:bottom w:val="nil"/>
              <w:right w:val="nil"/>
            </w:tcBorders>
            <w:shd w:val="clear" w:color="auto" w:fill="auto"/>
            <w:noWrap/>
            <w:vAlign w:val="bottom"/>
            <w:hideMark/>
          </w:tcPr>
          <w:p w:rsidR="00704880" w:rsidRPr="00704880" w:rsidRDefault="00704880" w:rsidP="008F0571">
            <w:pPr>
              <w:keepNext/>
              <w:keepLines/>
              <w:tabs>
                <w:tab w:val="clear" w:pos="567"/>
              </w:tabs>
              <w:spacing w:after="0" w:line="240" w:lineRule="auto"/>
              <w:ind w:left="193" w:hanging="142"/>
              <w:jc w:val="right"/>
              <w:rPr>
                <w:rFonts w:ascii="Calibri" w:eastAsia="Times New Roman" w:hAnsi="Calibri" w:cs="Times New Roman"/>
                <w:sz w:val="20"/>
                <w:szCs w:val="20"/>
                <w:lang w:eastAsia="en-AU"/>
              </w:rPr>
            </w:pPr>
          </w:p>
        </w:tc>
        <w:tc>
          <w:tcPr>
            <w:tcW w:w="780" w:type="dxa"/>
            <w:tcBorders>
              <w:top w:val="nil"/>
              <w:left w:val="nil"/>
              <w:bottom w:val="nil"/>
              <w:right w:val="nil"/>
            </w:tcBorders>
            <w:shd w:val="clear" w:color="auto" w:fill="auto"/>
            <w:noWrap/>
            <w:vAlign w:val="bottom"/>
            <w:hideMark/>
          </w:tcPr>
          <w:p w:rsidR="00704880" w:rsidRPr="00704880" w:rsidRDefault="00704880" w:rsidP="008F0571">
            <w:pPr>
              <w:keepNext/>
              <w:keepLines/>
              <w:tabs>
                <w:tab w:val="clear" w:pos="567"/>
              </w:tabs>
              <w:spacing w:after="0" w:line="240" w:lineRule="auto"/>
              <w:jc w:val="right"/>
              <w:rPr>
                <w:rFonts w:ascii="Calibri" w:eastAsia="Times New Roman" w:hAnsi="Calibri" w:cs="Times New Roman"/>
                <w:sz w:val="20"/>
                <w:szCs w:val="20"/>
                <w:lang w:eastAsia="en-AU"/>
              </w:rPr>
            </w:pPr>
            <w:r w:rsidRPr="00704880">
              <w:rPr>
                <w:rFonts w:ascii="Calibri" w:eastAsia="Times New Roman" w:hAnsi="Calibri" w:cs="Times New Roman"/>
                <w:sz w:val="20"/>
                <w:szCs w:val="20"/>
                <w:lang w:eastAsia="en-AU"/>
              </w:rPr>
              <w:t>$m</w:t>
            </w:r>
          </w:p>
        </w:tc>
        <w:tc>
          <w:tcPr>
            <w:tcW w:w="720" w:type="dxa"/>
            <w:tcBorders>
              <w:top w:val="nil"/>
              <w:left w:val="nil"/>
              <w:bottom w:val="nil"/>
              <w:right w:val="nil"/>
            </w:tcBorders>
            <w:shd w:val="clear" w:color="auto" w:fill="auto"/>
            <w:noWrap/>
            <w:vAlign w:val="bottom"/>
            <w:hideMark/>
          </w:tcPr>
          <w:p w:rsidR="00704880" w:rsidRPr="00704880" w:rsidRDefault="00704880" w:rsidP="008F0571">
            <w:pPr>
              <w:keepNext/>
              <w:keepLines/>
              <w:tabs>
                <w:tab w:val="clear" w:pos="567"/>
              </w:tabs>
              <w:spacing w:after="0" w:line="240" w:lineRule="auto"/>
              <w:jc w:val="right"/>
              <w:rPr>
                <w:rFonts w:ascii="Calibri" w:eastAsia="Times New Roman" w:hAnsi="Calibri" w:cs="Times New Roman"/>
                <w:sz w:val="20"/>
                <w:szCs w:val="20"/>
                <w:lang w:eastAsia="en-AU"/>
              </w:rPr>
            </w:pPr>
            <w:r w:rsidRPr="00704880">
              <w:rPr>
                <w:rFonts w:ascii="Calibri" w:eastAsia="Times New Roman" w:hAnsi="Calibri" w:cs="Times New Roman"/>
                <w:sz w:val="20"/>
                <w:szCs w:val="20"/>
                <w:lang w:eastAsia="en-AU"/>
              </w:rPr>
              <w:t>$m</w:t>
            </w:r>
          </w:p>
        </w:tc>
        <w:tc>
          <w:tcPr>
            <w:tcW w:w="720" w:type="dxa"/>
            <w:tcBorders>
              <w:top w:val="nil"/>
              <w:left w:val="nil"/>
              <w:bottom w:val="nil"/>
              <w:right w:val="nil"/>
            </w:tcBorders>
            <w:shd w:val="clear" w:color="auto" w:fill="auto"/>
            <w:noWrap/>
            <w:vAlign w:val="bottom"/>
            <w:hideMark/>
          </w:tcPr>
          <w:p w:rsidR="00704880" w:rsidRPr="00704880" w:rsidRDefault="00704880" w:rsidP="008F0571">
            <w:pPr>
              <w:keepNext/>
              <w:keepLines/>
              <w:tabs>
                <w:tab w:val="clear" w:pos="567"/>
              </w:tabs>
              <w:spacing w:after="0" w:line="240" w:lineRule="auto"/>
              <w:jc w:val="right"/>
              <w:rPr>
                <w:rFonts w:ascii="Calibri" w:eastAsia="Times New Roman" w:hAnsi="Calibri" w:cs="Times New Roman"/>
                <w:sz w:val="20"/>
                <w:szCs w:val="20"/>
                <w:lang w:eastAsia="en-AU"/>
              </w:rPr>
            </w:pPr>
            <w:r w:rsidRPr="00704880">
              <w:rPr>
                <w:rFonts w:ascii="Calibri" w:eastAsia="Times New Roman" w:hAnsi="Calibri" w:cs="Times New Roman"/>
                <w:sz w:val="20"/>
                <w:szCs w:val="20"/>
                <w:lang w:eastAsia="en-AU"/>
              </w:rPr>
              <w:t>$m</w:t>
            </w:r>
          </w:p>
        </w:tc>
        <w:tc>
          <w:tcPr>
            <w:tcW w:w="760" w:type="dxa"/>
            <w:tcBorders>
              <w:top w:val="nil"/>
              <w:left w:val="nil"/>
              <w:bottom w:val="nil"/>
              <w:right w:val="nil"/>
            </w:tcBorders>
            <w:shd w:val="clear" w:color="auto" w:fill="auto"/>
            <w:noWrap/>
            <w:vAlign w:val="bottom"/>
            <w:hideMark/>
          </w:tcPr>
          <w:p w:rsidR="00704880" w:rsidRPr="00704880" w:rsidRDefault="00704880" w:rsidP="008F0571">
            <w:pPr>
              <w:keepNext/>
              <w:keepLines/>
              <w:tabs>
                <w:tab w:val="clear" w:pos="567"/>
              </w:tabs>
              <w:spacing w:after="0" w:line="240" w:lineRule="auto"/>
              <w:jc w:val="right"/>
              <w:rPr>
                <w:rFonts w:ascii="Calibri" w:eastAsia="Times New Roman" w:hAnsi="Calibri" w:cs="Times New Roman"/>
                <w:sz w:val="20"/>
                <w:szCs w:val="20"/>
                <w:lang w:eastAsia="en-AU"/>
              </w:rPr>
            </w:pPr>
            <w:r w:rsidRPr="00704880">
              <w:rPr>
                <w:rFonts w:ascii="Calibri" w:eastAsia="Times New Roman" w:hAnsi="Calibri" w:cs="Times New Roman"/>
                <w:sz w:val="20"/>
                <w:szCs w:val="20"/>
                <w:lang w:eastAsia="en-AU"/>
              </w:rPr>
              <w:t>$m</w:t>
            </w:r>
          </w:p>
        </w:tc>
        <w:tc>
          <w:tcPr>
            <w:tcW w:w="680" w:type="dxa"/>
            <w:tcBorders>
              <w:top w:val="nil"/>
              <w:left w:val="nil"/>
              <w:bottom w:val="nil"/>
              <w:right w:val="nil"/>
            </w:tcBorders>
            <w:shd w:val="clear" w:color="auto" w:fill="auto"/>
            <w:noWrap/>
            <w:vAlign w:val="bottom"/>
            <w:hideMark/>
          </w:tcPr>
          <w:p w:rsidR="00704880" w:rsidRPr="00704880" w:rsidRDefault="00704880" w:rsidP="008F0571">
            <w:pPr>
              <w:keepNext/>
              <w:keepLines/>
              <w:tabs>
                <w:tab w:val="clear" w:pos="567"/>
              </w:tabs>
              <w:spacing w:after="0" w:line="240" w:lineRule="auto"/>
              <w:jc w:val="right"/>
              <w:rPr>
                <w:rFonts w:ascii="Calibri" w:eastAsia="Times New Roman" w:hAnsi="Calibri" w:cs="Times New Roman"/>
                <w:sz w:val="20"/>
                <w:szCs w:val="20"/>
                <w:lang w:eastAsia="en-AU"/>
              </w:rPr>
            </w:pPr>
            <w:r w:rsidRPr="00704880">
              <w:rPr>
                <w:rFonts w:ascii="Calibri" w:eastAsia="Times New Roman" w:hAnsi="Calibri" w:cs="Times New Roman"/>
                <w:sz w:val="20"/>
                <w:szCs w:val="20"/>
                <w:lang w:eastAsia="en-AU"/>
              </w:rPr>
              <w:t>$m</w:t>
            </w:r>
          </w:p>
        </w:tc>
        <w:tc>
          <w:tcPr>
            <w:tcW w:w="620" w:type="dxa"/>
            <w:tcBorders>
              <w:top w:val="nil"/>
              <w:left w:val="nil"/>
              <w:bottom w:val="nil"/>
              <w:right w:val="nil"/>
            </w:tcBorders>
            <w:shd w:val="clear" w:color="auto" w:fill="auto"/>
            <w:noWrap/>
            <w:vAlign w:val="bottom"/>
            <w:hideMark/>
          </w:tcPr>
          <w:p w:rsidR="00704880" w:rsidRPr="00704880" w:rsidRDefault="00704880" w:rsidP="008F0571">
            <w:pPr>
              <w:keepNext/>
              <w:keepLines/>
              <w:tabs>
                <w:tab w:val="clear" w:pos="567"/>
              </w:tabs>
              <w:spacing w:after="0" w:line="240" w:lineRule="auto"/>
              <w:jc w:val="right"/>
              <w:rPr>
                <w:rFonts w:ascii="Calibri" w:eastAsia="Times New Roman" w:hAnsi="Calibri" w:cs="Times New Roman"/>
                <w:sz w:val="20"/>
                <w:szCs w:val="20"/>
                <w:lang w:eastAsia="en-AU"/>
              </w:rPr>
            </w:pPr>
            <w:r w:rsidRPr="00704880">
              <w:rPr>
                <w:rFonts w:ascii="Calibri" w:eastAsia="Times New Roman" w:hAnsi="Calibri" w:cs="Times New Roman"/>
                <w:sz w:val="20"/>
                <w:szCs w:val="20"/>
                <w:lang w:eastAsia="en-AU"/>
              </w:rPr>
              <w:t>$m</w:t>
            </w:r>
          </w:p>
        </w:tc>
        <w:tc>
          <w:tcPr>
            <w:tcW w:w="680" w:type="dxa"/>
            <w:tcBorders>
              <w:top w:val="nil"/>
              <w:left w:val="nil"/>
              <w:bottom w:val="nil"/>
              <w:right w:val="nil"/>
            </w:tcBorders>
            <w:shd w:val="clear" w:color="auto" w:fill="auto"/>
            <w:noWrap/>
            <w:vAlign w:val="bottom"/>
            <w:hideMark/>
          </w:tcPr>
          <w:p w:rsidR="00704880" w:rsidRPr="00704880" w:rsidRDefault="00704880" w:rsidP="008F0571">
            <w:pPr>
              <w:keepNext/>
              <w:keepLines/>
              <w:tabs>
                <w:tab w:val="clear" w:pos="567"/>
              </w:tabs>
              <w:spacing w:after="0" w:line="240" w:lineRule="auto"/>
              <w:jc w:val="right"/>
              <w:rPr>
                <w:rFonts w:ascii="Calibri" w:eastAsia="Times New Roman" w:hAnsi="Calibri" w:cs="Times New Roman"/>
                <w:sz w:val="20"/>
                <w:szCs w:val="20"/>
                <w:lang w:eastAsia="en-AU"/>
              </w:rPr>
            </w:pPr>
            <w:r w:rsidRPr="00704880">
              <w:rPr>
                <w:rFonts w:ascii="Calibri" w:eastAsia="Times New Roman" w:hAnsi="Calibri" w:cs="Times New Roman"/>
                <w:sz w:val="20"/>
                <w:szCs w:val="20"/>
                <w:lang w:eastAsia="en-AU"/>
              </w:rPr>
              <w:t>$m</w:t>
            </w:r>
          </w:p>
        </w:tc>
        <w:tc>
          <w:tcPr>
            <w:tcW w:w="720" w:type="dxa"/>
            <w:tcBorders>
              <w:top w:val="nil"/>
              <w:left w:val="nil"/>
              <w:bottom w:val="nil"/>
              <w:right w:val="nil"/>
            </w:tcBorders>
            <w:shd w:val="clear" w:color="auto" w:fill="auto"/>
            <w:noWrap/>
            <w:vAlign w:val="bottom"/>
            <w:hideMark/>
          </w:tcPr>
          <w:p w:rsidR="00704880" w:rsidRPr="00704880" w:rsidRDefault="00704880" w:rsidP="008F0571">
            <w:pPr>
              <w:keepNext/>
              <w:keepLines/>
              <w:tabs>
                <w:tab w:val="clear" w:pos="567"/>
              </w:tabs>
              <w:spacing w:after="0" w:line="240" w:lineRule="auto"/>
              <w:jc w:val="right"/>
              <w:rPr>
                <w:rFonts w:ascii="Calibri" w:eastAsia="Times New Roman" w:hAnsi="Calibri" w:cs="Times New Roman"/>
                <w:sz w:val="20"/>
                <w:szCs w:val="20"/>
                <w:lang w:eastAsia="en-AU"/>
              </w:rPr>
            </w:pPr>
            <w:r w:rsidRPr="00704880">
              <w:rPr>
                <w:rFonts w:ascii="Calibri" w:eastAsia="Times New Roman" w:hAnsi="Calibri" w:cs="Times New Roman"/>
                <w:sz w:val="20"/>
                <w:szCs w:val="20"/>
                <w:lang w:eastAsia="en-AU"/>
              </w:rPr>
              <w:t>$m</w:t>
            </w:r>
          </w:p>
        </w:tc>
        <w:tc>
          <w:tcPr>
            <w:tcW w:w="820" w:type="dxa"/>
            <w:tcBorders>
              <w:top w:val="nil"/>
              <w:left w:val="nil"/>
              <w:bottom w:val="nil"/>
              <w:right w:val="nil"/>
            </w:tcBorders>
            <w:shd w:val="clear" w:color="auto" w:fill="auto"/>
            <w:noWrap/>
            <w:vAlign w:val="bottom"/>
            <w:hideMark/>
          </w:tcPr>
          <w:p w:rsidR="00704880" w:rsidRPr="00704880" w:rsidRDefault="00704880" w:rsidP="008F0571">
            <w:pPr>
              <w:keepNext/>
              <w:keepLines/>
              <w:tabs>
                <w:tab w:val="clear" w:pos="567"/>
              </w:tabs>
              <w:spacing w:after="0" w:line="240" w:lineRule="auto"/>
              <w:jc w:val="right"/>
              <w:rPr>
                <w:rFonts w:ascii="Calibri" w:eastAsia="Times New Roman" w:hAnsi="Calibri" w:cs="Times New Roman"/>
                <w:sz w:val="20"/>
                <w:szCs w:val="20"/>
                <w:lang w:eastAsia="en-AU"/>
              </w:rPr>
            </w:pPr>
            <w:r w:rsidRPr="00704880">
              <w:rPr>
                <w:rFonts w:ascii="Calibri" w:eastAsia="Times New Roman" w:hAnsi="Calibri" w:cs="Times New Roman"/>
                <w:sz w:val="20"/>
                <w:szCs w:val="20"/>
                <w:lang w:eastAsia="en-AU"/>
              </w:rPr>
              <w:t>$m</w:t>
            </w:r>
          </w:p>
        </w:tc>
      </w:tr>
      <w:tr w:rsidR="00704880" w:rsidRPr="00704880" w:rsidTr="008F0571">
        <w:trPr>
          <w:trHeight w:val="315"/>
        </w:trPr>
        <w:tc>
          <w:tcPr>
            <w:tcW w:w="2460" w:type="dxa"/>
            <w:tcBorders>
              <w:top w:val="nil"/>
              <w:left w:val="nil"/>
              <w:bottom w:val="nil"/>
              <w:right w:val="nil"/>
            </w:tcBorders>
            <w:shd w:val="clear" w:color="auto" w:fill="auto"/>
            <w:noWrap/>
            <w:vAlign w:val="bottom"/>
            <w:hideMark/>
          </w:tcPr>
          <w:p w:rsidR="00704880" w:rsidRPr="00704880" w:rsidRDefault="00704880" w:rsidP="008F0571">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704880">
              <w:rPr>
                <w:rFonts w:ascii="Calibri" w:eastAsia="Times New Roman" w:hAnsi="Calibri" w:cs="Times New Roman"/>
                <w:sz w:val="20"/>
                <w:szCs w:val="20"/>
                <w:lang w:eastAsia="en-AU"/>
              </w:rPr>
              <w:t>Agriculture regulation</w:t>
            </w:r>
          </w:p>
        </w:tc>
        <w:tc>
          <w:tcPr>
            <w:tcW w:w="780" w:type="dxa"/>
            <w:tcBorders>
              <w:top w:val="nil"/>
              <w:left w:val="nil"/>
              <w:bottom w:val="nil"/>
              <w:right w:val="nil"/>
            </w:tcBorders>
            <w:shd w:val="clear" w:color="auto" w:fill="auto"/>
            <w:noWrap/>
            <w:vAlign w:val="bottom"/>
            <w:hideMark/>
          </w:tcPr>
          <w:p w:rsidR="00704880" w:rsidRPr="00704880" w:rsidRDefault="00704880" w:rsidP="008F0571">
            <w:pPr>
              <w:keepNext/>
              <w:keepLines/>
              <w:tabs>
                <w:tab w:val="clear" w:pos="567"/>
              </w:tabs>
              <w:spacing w:after="0" w:line="240" w:lineRule="auto"/>
              <w:jc w:val="right"/>
              <w:rPr>
                <w:rFonts w:ascii="Calibri" w:eastAsia="Times New Roman" w:hAnsi="Calibri" w:cs="Times New Roman"/>
                <w:sz w:val="20"/>
                <w:szCs w:val="20"/>
                <w:lang w:eastAsia="en-AU"/>
              </w:rPr>
            </w:pPr>
            <w:r w:rsidRPr="00704880">
              <w:rPr>
                <w:rFonts w:ascii="Calibri" w:eastAsia="Times New Roman" w:hAnsi="Calibri" w:cs="Times New Roman"/>
                <w:sz w:val="20"/>
                <w:szCs w:val="20"/>
                <w:lang w:eastAsia="en-AU"/>
              </w:rPr>
              <w:t>-57</w:t>
            </w:r>
          </w:p>
        </w:tc>
        <w:tc>
          <w:tcPr>
            <w:tcW w:w="720" w:type="dxa"/>
            <w:tcBorders>
              <w:top w:val="nil"/>
              <w:left w:val="nil"/>
              <w:bottom w:val="nil"/>
              <w:right w:val="nil"/>
            </w:tcBorders>
            <w:shd w:val="clear" w:color="auto" w:fill="auto"/>
            <w:noWrap/>
            <w:vAlign w:val="bottom"/>
            <w:hideMark/>
          </w:tcPr>
          <w:p w:rsidR="00704880" w:rsidRPr="00704880" w:rsidRDefault="00704880" w:rsidP="008F0571">
            <w:pPr>
              <w:keepNext/>
              <w:keepLines/>
              <w:tabs>
                <w:tab w:val="clear" w:pos="567"/>
              </w:tabs>
              <w:spacing w:after="0" w:line="240" w:lineRule="auto"/>
              <w:jc w:val="right"/>
              <w:rPr>
                <w:rFonts w:ascii="Calibri" w:eastAsia="Times New Roman" w:hAnsi="Calibri" w:cs="Times New Roman"/>
                <w:sz w:val="20"/>
                <w:szCs w:val="20"/>
                <w:lang w:eastAsia="en-AU"/>
              </w:rPr>
            </w:pPr>
            <w:r w:rsidRPr="00704880">
              <w:rPr>
                <w:rFonts w:ascii="Calibri" w:eastAsia="Times New Roman" w:hAnsi="Calibri" w:cs="Times New Roman"/>
                <w:sz w:val="20"/>
                <w:szCs w:val="20"/>
                <w:lang w:eastAsia="en-AU"/>
              </w:rPr>
              <w:t>-24</w:t>
            </w:r>
          </w:p>
        </w:tc>
        <w:tc>
          <w:tcPr>
            <w:tcW w:w="720" w:type="dxa"/>
            <w:tcBorders>
              <w:top w:val="nil"/>
              <w:left w:val="nil"/>
              <w:bottom w:val="nil"/>
              <w:right w:val="nil"/>
            </w:tcBorders>
            <w:shd w:val="clear" w:color="auto" w:fill="auto"/>
            <w:noWrap/>
            <w:vAlign w:val="bottom"/>
            <w:hideMark/>
          </w:tcPr>
          <w:p w:rsidR="00704880" w:rsidRPr="00704880" w:rsidRDefault="00704880" w:rsidP="008F0571">
            <w:pPr>
              <w:keepNext/>
              <w:keepLines/>
              <w:tabs>
                <w:tab w:val="clear" w:pos="567"/>
              </w:tabs>
              <w:spacing w:after="0" w:line="240" w:lineRule="auto"/>
              <w:jc w:val="right"/>
              <w:rPr>
                <w:rFonts w:ascii="Calibri" w:eastAsia="Times New Roman" w:hAnsi="Calibri" w:cs="Times New Roman"/>
                <w:sz w:val="20"/>
                <w:szCs w:val="20"/>
                <w:lang w:eastAsia="en-AU"/>
              </w:rPr>
            </w:pPr>
            <w:r w:rsidRPr="00704880">
              <w:rPr>
                <w:rFonts w:ascii="Calibri" w:eastAsia="Times New Roman" w:hAnsi="Calibri" w:cs="Times New Roman"/>
                <w:sz w:val="20"/>
                <w:szCs w:val="20"/>
                <w:lang w:eastAsia="en-AU"/>
              </w:rPr>
              <w:t>15</w:t>
            </w:r>
          </w:p>
        </w:tc>
        <w:tc>
          <w:tcPr>
            <w:tcW w:w="760" w:type="dxa"/>
            <w:tcBorders>
              <w:top w:val="nil"/>
              <w:left w:val="nil"/>
              <w:bottom w:val="nil"/>
              <w:right w:val="nil"/>
            </w:tcBorders>
            <w:shd w:val="clear" w:color="auto" w:fill="auto"/>
            <w:noWrap/>
            <w:vAlign w:val="bottom"/>
            <w:hideMark/>
          </w:tcPr>
          <w:p w:rsidR="00704880" w:rsidRPr="00704880" w:rsidRDefault="00704880" w:rsidP="008F0571">
            <w:pPr>
              <w:keepNext/>
              <w:keepLines/>
              <w:tabs>
                <w:tab w:val="clear" w:pos="567"/>
              </w:tabs>
              <w:spacing w:after="0" w:line="240" w:lineRule="auto"/>
              <w:jc w:val="right"/>
              <w:rPr>
                <w:rFonts w:ascii="Calibri" w:eastAsia="Times New Roman" w:hAnsi="Calibri" w:cs="Times New Roman"/>
                <w:sz w:val="20"/>
                <w:szCs w:val="20"/>
                <w:lang w:eastAsia="en-AU"/>
              </w:rPr>
            </w:pPr>
            <w:r w:rsidRPr="00704880">
              <w:rPr>
                <w:rFonts w:ascii="Calibri" w:eastAsia="Times New Roman" w:hAnsi="Calibri" w:cs="Times New Roman"/>
                <w:sz w:val="20"/>
                <w:szCs w:val="20"/>
                <w:lang w:eastAsia="en-AU"/>
              </w:rPr>
              <w:t>20</w:t>
            </w:r>
          </w:p>
        </w:tc>
        <w:tc>
          <w:tcPr>
            <w:tcW w:w="680" w:type="dxa"/>
            <w:tcBorders>
              <w:top w:val="nil"/>
              <w:left w:val="nil"/>
              <w:bottom w:val="nil"/>
              <w:right w:val="nil"/>
            </w:tcBorders>
            <w:shd w:val="clear" w:color="auto" w:fill="auto"/>
            <w:noWrap/>
            <w:vAlign w:val="bottom"/>
            <w:hideMark/>
          </w:tcPr>
          <w:p w:rsidR="00704880" w:rsidRPr="00704880" w:rsidRDefault="00704880" w:rsidP="008F0571">
            <w:pPr>
              <w:keepNext/>
              <w:keepLines/>
              <w:tabs>
                <w:tab w:val="clear" w:pos="567"/>
              </w:tabs>
              <w:spacing w:after="0" w:line="240" w:lineRule="auto"/>
              <w:jc w:val="right"/>
              <w:rPr>
                <w:rFonts w:ascii="Calibri" w:eastAsia="Times New Roman" w:hAnsi="Calibri" w:cs="Times New Roman"/>
                <w:sz w:val="20"/>
                <w:szCs w:val="20"/>
                <w:lang w:eastAsia="en-AU"/>
              </w:rPr>
            </w:pPr>
            <w:r w:rsidRPr="00704880">
              <w:rPr>
                <w:rFonts w:ascii="Calibri" w:eastAsia="Times New Roman" w:hAnsi="Calibri" w:cs="Times New Roman"/>
                <w:sz w:val="20"/>
                <w:szCs w:val="20"/>
                <w:lang w:eastAsia="en-AU"/>
              </w:rPr>
              <w:t>38</w:t>
            </w:r>
          </w:p>
        </w:tc>
        <w:tc>
          <w:tcPr>
            <w:tcW w:w="620" w:type="dxa"/>
            <w:tcBorders>
              <w:top w:val="nil"/>
              <w:left w:val="nil"/>
              <w:bottom w:val="nil"/>
              <w:right w:val="nil"/>
            </w:tcBorders>
            <w:shd w:val="clear" w:color="auto" w:fill="auto"/>
            <w:noWrap/>
            <w:vAlign w:val="bottom"/>
            <w:hideMark/>
          </w:tcPr>
          <w:p w:rsidR="00704880" w:rsidRPr="00704880" w:rsidRDefault="00704880" w:rsidP="008F0571">
            <w:pPr>
              <w:keepNext/>
              <w:keepLines/>
              <w:tabs>
                <w:tab w:val="clear" w:pos="567"/>
              </w:tabs>
              <w:spacing w:after="0" w:line="240" w:lineRule="auto"/>
              <w:jc w:val="right"/>
              <w:rPr>
                <w:rFonts w:ascii="Calibri" w:eastAsia="Times New Roman" w:hAnsi="Calibri" w:cs="Times New Roman"/>
                <w:sz w:val="20"/>
                <w:szCs w:val="20"/>
                <w:lang w:eastAsia="en-AU"/>
              </w:rPr>
            </w:pPr>
            <w:r w:rsidRPr="00704880">
              <w:rPr>
                <w:rFonts w:ascii="Calibri" w:eastAsia="Times New Roman" w:hAnsi="Calibri" w:cs="Times New Roman"/>
                <w:sz w:val="20"/>
                <w:szCs w:val="20"/>
                <w:lang w:eastAsia="en-AU"/>
              </w:rPr>
              <w:t>21</w:t>
            </w:r>
          </w:p>
        </w:tc>
        <w:tc>
          <w:tcPr>
            <w:tcW w:w="680" w:type="dxa"/>
            <w:tcBorders>
              <w:top w:val="nil"/>
              <w:left w:val="nil"/>
              <w:bottom w:val="nil"/>
              <w:right w:val="nil"/>
            </w:tcBorders>
            <w:shd w:val="clear" w:color="auto" w:fill="auto"/>
            <w:noWrap/>
            <w:vAlign w:val="bottom"/>
            <w:hideMark/>
          </w:tcPr>
          <w:p w:rsidR="00704880" w:rsidRPr="00704880" w:rsidRDefault="00704880" w:rsidP="008F0571">
            <w:pPr>
              <w:keepNext/>
              <w:keepLines/>
              <w:tabs>
                <w:tab w:val="clear" w:pos="567"/>
              </w:tabs>
              <w:spacing w:after="0" w:line="240" w:lineRule="auto"/>
              <w:jc w:val="right"/>
              <w:rPr>
                <w:rFonts w:ascii="Calibri" w:eastAsia="Times New Roman" w:hAnsi="Calibri" w:cs="Times New Roman"/>
                <w:sz w:val="20"/>
                <w:szCs w:val="20"/>
                <w:lang w:eastAsia="en-AU"/>
              </w:rPr>
            </w:pPr>
            <w:r w:rsidRPr="00704880">
              <w:rPr>
                <w:rFonts w:ascii="Calibri" w:eastAsia="Times New Roman" w:hAnsi="Calibri" w:cs="Times New Roman"/>
                <w:sz w:val="20"/>
                <w:szCs w:val="20"/>
                <w:lang w:eastAsia="en-AU"/>
              </w:rPr>
              <w:t>-15</w:t>
            </w:r>
          </w:p>
        </w:tc>
        <w:tc>
          <w:tcPr>
            <w:tcW w:w="720" w:type="dxa"/>
            <w:tcBorders>
              <w:top w:val="nil"/>
              <w:left w:val="nil"/>
              <w:bottom w:val="nil"/>
              <w:right w:val="nil"/>
            </w:tcBorders>
            <w:shd w:val="clear" w:color="auto" w:fill="auto"/>
            <w:noWrap/>
            <w:vAlign w:val="bottom"/>
            <w:hideMark/>
          </w:tcPr>
          <w:p w:rsidR="00704880" w:rsidRPr="00704880" w:rsidRDefault="00704880" w:rsidP="008F0571">
            <w:pPr>
              <w:keepNext/>
              <w:keepLines/>
              <w:tabs>
                <w:tab w:val="clear" w:pos="567"/>
              </w:tabs>
              <w:spacing w:after="0" w:line="240" w:lineRule="auto"/>
              <w:jc w:val="right"/>
              <w:rPr>
                <w:rFonts w:ascii="Calibri" w:eastAsia="Times New Roman" w:hAnsi="Calibri" w:cs="Times New Roman"/>
                <w:sz w:val="20"/>
                <w:szCs w:val="20"/>
                <w:lang w:eastAsia="en-AU"/>
              </w:rPr>
            </w:pPr>
            <w:r w:rsidRPr="00704880">
              <w:rPr>
                <w:rFonts w:ascii="Calibri" w:eastAsia="Times New Roman" w:hAnsi="Calibri" w:cs="Times New Roman"/>
                <w:sz w:val="20"/>
                <w:szCs w:val="20"/>
                <w:lang w:eastAsia="en-AU"/>
              </w:rPr>
              <w:t>3</w:t>
            </w:r>
          </w:p>
        </w:tc>
        <w:tc>
          <w:tcPr>
            <w:tcW w:w="820" w:type="dxa"/>
            <w:tcBorders>
              <w:top w:val="nil"/>
              <w:left w:val="nil"/>
              <w:bottom w:val="nil"/>
              <w:right w:val="nil"/>
            </w:tcBorders>
            <w:shd w:val="clear" w:color="auto" w:fill="auto"/>
            <w:noWrap/>
            <w:vAlign w:val="bottom"/>
            <w:hideMark/>
          </w:tcPr>
          <w:p w:rsidR="00704880" w:rsidRPr="00704880" w:rsidRDefault="00704880" w:rsidP="008F0571">
            <w:pPr>
              <w:keepNext/>
              <w:keepLines/>
              <w:tabs>
                <w:tab w:val="clear" w:pos="567"/>
              </w:tabs>
              <w:spacing w:after="0" w:line="240" w:lineRule="auto"/>
              <w:jc w:val="right"/>
              <w:rPr>
                <w:rFonts w:ascii="Calibri" w:eastAsia="Times New Roman" w:hAnsi="Calibri" w:cs="Times New Roman"/>
                <w:sz w:val="20"/>
                <w:szCs w:val="20"/>
                <w:lang w:eastAsia="en-AU"/>
              </w:rPr>
            </w:pPr>
            <w:r w:rsidRPr="00704880">
              <w:rPr>
                <w:rFonts w:ascii="Calibri" w:eastAsia="Times New Roman" w:hAnsi="Calibri" w:cs="Times New Roman"/>
                <w:sz w:val="20"/>
                <w:szCs w:val="20"/>
                <w:lang w:eastAsia="en-AU"/>
              </w:rPr>
              <w:t>96</w:t>
            </w:r>
          </w:p>
        </w:tc>
      </w:tr>
      <w:tr w:rsidR="00704880" w:rsidRPr="00704880" w:rsidTr="008F0571">
        <w:trPr>
          <w:trHeight w:val="315"/>
        </w:trPr>
        <w:tc>
          <w:tcPr>
            <w:tcW w:w="2460" w:type="dxa"/>
            <w:tcBorders>
              <w:top w:val="nil"/>
              <w:left w:val="nil"/>
              <w:bottom w:val="nil"/>
              <w:right w:val="nil"/>
            </w:tcBorders>
            <w:shd w:val="clear" w:color="auto" w:fill="auto"/>
            <w:vAlign w:val="bottom"/>
            <w:hideMark/>
          </w:tcPr>
          <w:p w:rsidR="00704880" w:rsidRPr="00704880" w:rsidRDefault="00704880" w:rsidP="008F0571">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704880">
              <w:rPr>
                <w:rFonts w:ascii="Calibri" w:eastAsia="Times New Roman" w:hAnsi="Calibri" w:cs="Times New Roman"/>
                <w:sz w:val="20"/>
                <w:szCs w:val="20"/>
                <w:lang w:eastAsia="en-AU"/>
              </w:rPr>
              <w:t>Other industries regulation</w:t>
            </w:r>
          </w:p>
        </w:tc>
        <w:tc>
          <w:tcPr>
            <w:tcW w:w="780" w:type="dxa"/>
            <w:tcBorders>
              <w:top w:val="nil"/>
              <w:left w:val="nil"/>
              <w:bottom w:val="nil"/>
              <w:right w:val="nil"/>
            </w:tcBorders>
            <w:shd w:val="clear" w:color="auto" w:fill="auto"/>
            <w:vAlign w:val="bottom"/>
            <w:hideMark/>
          </w:tcPr>
          <w:p w:rsidR="00704880" w:rsidRPr="00704880" w:rsidRDefault="00704880" w:rsidP="008F0571">
            <w:pPr>
              <w:keepNext/>
              <w:keepLines/>
              <w:tabs>
                <w:tab w:val="clear" w:pos="567"/>
              </w:tabs>
              <w:spacing w:after="0" w:line="240" w:lineRule="auto"/>
              <w:jc w:val="right"/>
              <w:rPr>
                <w:rFonts w:ascii="Calibri" w:eastAsia="Times New Roman" w:hAnsi="Calibri" w:cs="Times New Roman"/>
                <w:sz w:val="20"/>
                <w:szCs w:val="20"/>
                <w:lang w:eastAsia="en-AU"/>
              </w:rPr>
            </w:pPr>
            <w:r w:rsidRPr="00704880">
              <w:rPr>
                <w:rFonts w:ascii="Calibri" w:eastAsia="Times New Roman" w:hAnsi="Calibri" w:cs="Times New Roman"/>
                <w:sz w:val="20"/>
                <w:szCs w:val="20"/>
                <w:lang w:eastAsia="en-AU"/>
              </w:rPr>
              <w:t>-64</w:t>
            </w:r>
          </w:p>
        </w:tc>
        <w:tc>
          <w:tcPr>
            <w:tcW w:w="720" w:type="dxa"/>
            <w:tcBorders>
              <w:top w:val="nil"/>
              <w:left w:val="nil"/>
              <w:bottom w:val="nil"/>
              <w:right w:val="nil"/>
            </w:tcBorders>
            <w:shd w:val="clear" w:color="auto" w:fill="auto"/>
            <w:vAlign w:val="bottom"/>
            <w:hideMark/>
          </w:tcPr>
          <w:p w:rsidR="00704880" w:rsidRPr="00704880" w:rsidRDefault="00704880" w:rsidP="008F0571">
            <w:pPr>
              <w:keepNext/>
              <w:keepLines/>
              <w:tabs>
                <w:tab w:val="clear" w:pos="567"/>
              </w:tabs>
              <w:spacing w:after="0" w:line="240" w:lineRule="auto"/>
              <w:jc w:val="right"/>
              <w:rPr>
                <w:rFonts w:ascii="Calibri" w:eastAsia="Times New Roman" w:hAnsi="Calibri" w:cs="Times New Roman"/>
                <w:sz w:val="20"/>
                <w:szCs w:val="20"/>
                <w:lang w:eastAsia="en-AU"/>
              </w:rPr>
            </w:pPr>
            <w:r w:rsidRPr="00704880">
              <w:rPr>
                <w:rFonts w:ascii="Calibri" w:eastAsia="Times New Roman" w:hAnsi="Calibri" w:cs="Times New Roman"/>
                <w:sz w:val="20"/>
                <w:szCs w:val="20"/>
                <w:lang w:eastAsia="en-AU"/>
              </w:rPr>
              <w:t>-58</w:t>
            </w:r>
          </w:p>
        </w:tc>
        <w:tc>
          <w:tcPr>
            <w:tcW w:w="720" w:type="dxa"/>
            <w:tcBorders>
              <w:top w:val="nil"/>
              <w:left w:val="nil"/>
              <w:bottom w:val="nil"/>
              <w:right w:val="nil"/>
            </w:tcBorders>
            <w:shd w:val="clear" w:color="auto" w:fill="auto"/>
            <w:vAlign w:val="bottom"/>
            <w:hideMark/>
          </w:tcPr>
          <w:p w:rsidR="00704880" w:rsidRPr="00704880" w:rsidRDefault="00704880" w:rsidP="008F0571">
            <w:pPr>
              <w:keepNext/>
              <w:keepLines/>
              <w:tabs>
                <w:tab w:val="clear" w:pos="567"/>
              </w:tabs>
              <w:spacing w:after="0" w:line="240" w:lineRule="auto"/>
              <w:jc w:val="right"/>
              <w:rPr>
                <w:rFonts w:ascii="Calibri" w:eastAsia="Times New Roman" w:hAnsi="Calibri" w:cs="Times New Roman"/>
                <w:sz w:val="20"/>
                <w:szCs w:val="20"/>
                <w:lang w:eastAsia="en-AU"/>
              </w:rPr>
            </w:pPr>
            <w:r w:rsidRPr="00704880">
              <w:rPr>
                <w:rFonts w:ascii="Calibri" w:eastAsia="Times New Roman" w:hAnsi="Calibri" w:cs="Times New Roman"/>
                <w:sz w:val="20"/>
                <w:szCs w:val="20"/>
                <w:lang w:eastAsia="en-AU"/>
              </w:rPr>
              <w:t>1</w:t>
            </w:r>
          </w:p>
        </w:tc>
        <w:tc>
          <w:tcPr>
            <w:tcW w:w="760" w:type="dxa"/>
            <w:tcBorders>
              <w:top w:val="nil"/>
              <w:left w:val="nil"/>
              <w:bottom w:val="nil"/>
              <w:right w:val="nil"/>
            </w:tcBorders>
            <w:shd w:val="clear" w:color="auto" w:fill="auto"/>
            <w:vAlign w:val="bottom"/>
            <w:hideMark/>
          </w:tcPr>
          <w:p w:rsidR="00704880" w:rsidRPr="00704880" w:rsidRDefault="00704880" w:rsidP="008F0571">
            <w:pPr>
              <w:keepNext/>
              <w:keepLines/>
              <w:tabs>
                <w:tab w:val="clear" w:pos="567"/>
              </w:tabs>
              <w:spacing w:after="0" w:line="240" w:lineRule="auto"/>
              <w:jc w:val="right"/>
              <w:rPr>
                <w:rFonts w:ascii="Calibri" w:eastAsia="Times New Roman" w:hAnsi="Calibri" w:cs="Times New Roman"/>
                <w:sz w:val="20"/>
                <w:szCs w:val="20"/>
                <w:lang w:eastAsia="en-AU"/>
              </w:rPr>
            </w:pPr>
            <w:r w:rsidRPr="00704880">
              <w:rPr>
                <w:rFonts w:ascii="Calibri" w:eastAsia="Times New Roman" w:hAnsi="Calibri" w:cs="Times New Roman"/>
                <w:sz w:val="20"/>
                <w:szCs w:val="20"/>
                <w:lang w:eastAsia="en-AU"/>
              </w:rPr>
              <w:t>119</w:t>
            </w:r>
          </w:p>
        </w:tc>
        <w:tc>
          <w:tcPr>
            <w:tcW w:w="680" w:type="dxa"/>
            <w:tcBorders>
              <w:top w:val="nil"/>
              <w:left w:val="nil"/>
              <w:bottom w:val="nil"/>
              <w:right w:val="nil"/>
            </w:tcBorders>
            <w:shd w:val="clear" w:color="auto" w:fill="auto"/>
            <w:vAlign w:val="bottom"/>
            <w:hideMark/>
          </w:tcPr>
          <w:p w:rsidR="00704880" w:rsidRPr="00704880" w:rsidRDefault="00704880" w:rsidP="008F0571">
            <w:pPr>
              <w:keepNext/>
              <w:keepLines/>
              <w:tabs>
                <w:tab w:val="clear" w:pos="567"/>
              </w:tabs>
              <w:spacing w:after="0" w:line="240" w:lineRule="auto"/>
              <w:jc w:val="right"/>
              <w:rPr>
                <w:rFonts w:ascii="Calibri" w:eastAsia="Times New Roman" w:hAnsi="Calibri" w:cs="Times New Roman"/>
                <w:sz w:val="20"/>
                <w:szCs w:val="20"/>
                <w:lang w:eastAsia="en-AU"/>
              </w:rPr>
            </w:pPr>
            <w:r w:rsidRPr="00704880">
              <w:rPr>
                <w:rFonts w:ascii="Calibri" w:eastAsia="Times New Roman" w:hAnsi="Calibri" w:cs="Times New Roman"/>
                <w:sz w:val="20"/>
                <w:szCs w:val="20"/>
                <w:lang w:eastAsia="en-AU"/>
              </w:rPr>
              <w:t>-18</w:t>
            </w:r>
          </w:p>
        </w:tc>
        <w:tc>
          <w:tcPr>
            <w:tcW w:w="620" w:type="dxa"/>
            <w:tcBorders>
              <w:top w:val="nil"/>
              <w:left w:val="nil"/>
              <w:bottom w:val="nil"/>
              <w:right w:val="nil"/>
            </w:tcBorders>
            <w:shd w:val="clear" w:color="auto" w:fill="auto"/>
            <w:vAlign w:val="bottom"/>
            <w:hideMark/>
          </w:tcPr>
          <w:p w:rsidR="00704880" w:rsidRPr="00704880" w:rsidRDefault="00704880" w:rsidP="008F0571">
            <w:pPr>
              <w:keepNext/>
              <w:keepLines/>
              <w:tabs>
                <w:tab w:val="clear" w:pos="567"/>
              </w:tabs>
              <w:spacing w:after="0" w:line="240" w:lineRule="auto"/>
              <w:jc w:val="right"/>
              <w:rPr>
                <w:rFonts w:ascii="Calibri" w:eastAsia="Times New Roman" w:hAnsi="Calibri" w:cs="Times New Roman"/>
                <w:sz w:val="20"/>
                <w:szCs w:val="20"/>
                <w:lang w:eastAsia="en-AU"/>
              </w:rPr>
            </w:pPr>
            <w:r w:rsidRPr="00704880">
              <w:rPr>
                <w:rFonts w:ascii="Calibri" w:eastAsia="Times New Roman" w:hAnsi="Calibri" w:cs="Times New Roman"/>
                <w:sz w:val="20"/>
                <w:szCs w:val="20"/>
                <w:lang w:eastAsia="en-AU"/>
              </w:rPr>
              <w:t>-7</w:t>
            </w:r>
          </w:p>
        </w:tc>
        <w:tc>
          <w:tcPr>
            <w:tcW w:w="680" w:type="dxa"/>
            <w:tcBorders>
              <w:top w:val="nil"/>
              <w:left w:val="nil"/>
              <w:bottom w:val="nil"/>
              <w:right w:val="nil"/>
            </w:tcBorders>
            <w:shd w:val="clear" w:color="auto" w:fill="auto"/>
            <w:vAlign w:val="bottom"/>
            <w:hideMark/>
          </w:tcPr>
          <w:p w:rsidR="00704880" w:rsidRPr="00704880" w:rsidRDefault="00704880" w:rsidP="008F0571">
            <w:pPr>
              <w:keepNext/>
              <w:keepLines/>
              <w:tabs>
                <w:tab w:val="clear" w:pos="567"/>
              </w:tabs>
              <w:spacing w:after="0" w:line="240" w:lineRule="auto"/>
              <w:jc w:val="right"/>
              <w:rPr>
                <w:rFonts w:ascii="Calibri" w:eastAsia="Times New Roman" w:hAnsi="Calibri" w:cs="Times New Roman"/>
                <w:sz w:val="20"/>
                <w:szCs w:val="20"/>
                <w:lang w:eastAsia="en-AU"/>
              </w:rPr>
            </w:pPr>
            <w:r w:rsidRPr="00704880">
              <w:rPr>
                <w:rFonts w:ascii="Calibri" w:eastAsia="Times New Roman" w:hAnsi="Calibri" w:cs="Times New Roman"/>
                <w:sz w:val="20"/>
                <w:szCs w:val="20"/>
                <w:lang w:eastAsia="en-AU"/>
              </w:rPr>
              <w:t>-2</w:t>
            </w:r>
          </w:p>
        </w:tc>
        <w:tc>
          <w:tcPr>
            <w:tcW w:w="720" w:type="dxa"/>
            <w:tcBorders>
              <w:top w:val="nil"/>
              <w:left w:val="nil"/>
              <w:bottom w:val="nil"/>
              <w:right w:val="nil"/>
            </w:tcBorders>
            <w:shd w:val="clear" w:color="auto" w:fill="auto"/>
            <w:vAlign w:val="bottom"/>
            <w:hideMark/>
          </w:tcPr>
          <w:p w:rsidR="00704880" w:rsidRPr="00704880" w:rsidRDefault="00704880" w:rsidP="008F0571">
            <w:pPr>
              <w:keepNext/>
              <w:keepLines/>
              <w:tabs>
                <w:tab w:val="clear" w:pos="567"/>
              </w:tabs>
              <w:spacing w:after="0" w:line="240" w:lineRule="auto"/>
              <w:jc w:val="right"/>
              <w:rPr>
                <w:rFonts w:ascii="Calibri" w:eastAsia="Times New Roman" w:hAnsi="Calibri" w:cs="Times New Roman"/>
                <w:sz w:val="20"/>
                <w:szCs w:val="20"/>
                <w:lang w:eastAsia="en-AU"/>
              </w:rPr>
            </w:pPr>
            <w:r w:rsidRPr="00704880">
              <w:rPr>
                <w:rFonts w:ascii="Calibri" w:eastAsia="Times New Roman" w:hAnsi="Calibri" w:cs="Times New Roman"/>
                <w:sz w:val="20"/>
                <w:szCs w:val="20"/>
                <w:lang w:eastAsia="en-AU"/>
              </w:rPr>
              <w:t>30</w:t>
            </w:r>
          </w:p>
        </w:tc>
        <w:tc>
          <w:tcPr>
            <w:tcW w:w="820" w:type="dxa"/>
            <w:tcBorders>
              <w:top w:val="nil"/>
              <w:left w:val="nil"/>
              <w:bottom w:val="nil"/>
              <w:right w:val="nil"/>
            </w:tcBorders>
            <w:shd w:val="clear" w:color="auto" w:fill="auto"/>
            <w:vAlign w:val="bottom"/>
            <w:hideMark/>
          </w:tcPr>
          <w:p w:rsidR="00704880" w:rsidRPr="00704880" w:rsidRDefault="00704880" w:rsidP="008F0571">
            <w:pPr>
              <w:keepNext/>
              <w:keepLines/>
              <w:tabs>
                <w:tab w:val="clear" w:pos="567"/>
              </w:tabs>
              <w:spacing w:after="0" w:line="240" w:lineRule="auto"/>
              <w:jc w:val="right"/>
              <w:rPr>
                <w:rFonts w:ascii="Calibri" w:eastAsia="Times New Roman" w:hAnsi="Calibri" w:cs="Times New Roman"/>
                <w:sz w:val="20"/>
                <w:szCs w:val="20"/>
                <w:lang w:eastAsia="en-AU"/>
              </w:rPr>
            </w:pPr>
            <w:r w:rsidRPr="00704880">
              <w:rPr>
                <w:rFonts w:ascii="Calibri" w:eastAsia="Times New Roman" w:hAnsi="Calibri" w:cs="Times New Roman"/>
                <w:sz w:val="20"/>
                <w:szCs w:val="20"/>
                <w:lang w:eastAsia="en-AU"/>
              </w:rPr>
              <w:t>188</w:t>
            </w:r>
          </w:p>
        </w:tc>
      </w:tr>
      <w:tr w:rsidR="00704880" w:rsidRPr="00704880" w:rsidTr="008F0571">
        <w:trPr>
          <w:trHeight w:val="315"/>
        </w:trPr>
        <w:tc>
          <w:tcPr>
            <w:tcW w:w="2460" w:type="dxa"/>
            <w:tcBorders>
              <w:top w:val="nil"/>
              <w:left w:val="nil"/>
              <w:bottom w:val="nil"/>
              <w:right w:val="nil"/>
            </w:tcBorders>
            <w:shd w:val="clear" w:color="auto" w:fill="auto"/>
            <w:noWrap/>
            <w:vAlign w:val="bottom"/>
            <w:hideMark/>
          </w:tcPr>
          <w:p w:rsidR="00704880" w:rsidRPr="00704880" w:rsidRDefault="00704880" w:rsidP="008F0571">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704880">
              <w:rPr>
                <w:rFonts w:ascii="Calibri" w:eastAsia="Times New Roman" w:hAnsi="Calibri" w:cs="Times New Roman"/>
                <w:sz w:val="20"/>
                <w:szCs w:val="20"/>
                <w:lang w:eastAsia="en-AU"/>
              </w:rPr>
              <w:t>Business development</w:t>
            </w:r>
          </w:p>
        </w:tc>
        <w:tc>
          <w:tcPr>
            <w:tcW w:w="780" w:type="dxa"/>
            <w:tcBorders>
              <w:top w:val="nil"/>
              <w:left w:val="nil"/>
              <w:bottom w:val="nil"/>
              <w:right w:val="nil"/>
            </w:tcBorders>
            <w:shd w:val="clear" w:color="auto" w:fill="auto"/>
            <w:noWrap/>
            <w:vAlign w:val="bottom"/>
            <w:hideMark/>
          </w:tcPr>
          <w:p w:rsidR="00704880" w:rsidRPr="00704880" w:rsidRDefault="00704880" w:rsidP="008F0571">
            <w:pPr>
              <w:keepNext/>
              <w:keepLines/>
              <w:tabs>
                <w:tab w:val="clear" w:pos="567"/>
              </w:tabs>
              <w:spacing w:after="0" w:line="240" w:lineRule="auto"/>
              <w:jc w:val="right"/>
              <w:rPr>
                <w:rFonts w:ascii="Calibri" w:eastAsia="Times New Roman" w:hAnsi="Calibri" w:cs="Times New Roman"/>
                <w:sz w:val="20"/>
                <w:szCs w:val="20"/>
                <w:lang w:eastAsia="en-AU"/>
              </w:rPr>
            </w:pPr>
            <w:r w:rsidRPr="00704880">
              <w:rPr>
                <w:rFonts w:ascii="Calibri" w:eastAsia="Times New Roman" w:hAnsi="Calibri" w:cs="Times New Roman"/>
                <w:sz w:val="20"/>
                <w:szCs w:val="20"/>
                <w:lang w:eastAsia="en-AU"/>
              </w:rPr>
              <w:t>3</w:t>
            </w:r>
          </w:p>
        </w:tc>
        <w:tc>
          <w:tcPr>
            <w:tcW w:w="720" w:type="dxa"/>
            <w:tcBorders>
              <w:top w:val="nil"/>
              <w:left w:val="nil"/>
              <w:bottom w:val="nil"/>
              <w:right w:val="nil"/>
            </w:tcBorders>
            <w:shd w:val="clear" w:color="auto" w:fill="auto"/>
            <w:noWrap/>
            <w:vAlign w:val="bottom"/>
            <w:hideMark/>
          </w:tcPr>
          <w:p w:rsidR="00704880" w:rsidRPr="00704880" w:rsidRDefault="00704880" w:rsidP="008F0571">
            <w:pPr>
              <w:keepNext/>
              <w:keepLines/>
              <w:tabs>
                <w:tab w:val="clear" w:pos="567"/>
              </w:tabs>
              <w:spacing w:after="0" w:line="240" w:lineRule="auto"/>
              <w:jc w:val="right"/>
              <w:rPr>
                <w:rFonts w:ascii="Calibri" w:eastAsia="Times New Roman" w:hAnsi="Calibri" w:cs="Times New Roman"/>
                <w:sz w:val="20"/>
                <w:szCs w:val="20"/>
                <w:lang w:eastAsia="en-AU"/>
              </w:rPr>
            </w:pPr>
            <w:r w:rsidRPr="00704880">
              <w:rPr>
                <w:rFonts w:ascii="Calibri" w:eastAsia="Times New Roman" w:hAnsi="Calibri" w:cs="Times New Roman"/>
                <w:sz w:val="20"/>
                <w:szCs w:val="20"/>
                <w:lang w:eastAsia="en-AU"/>
              </w:rPr>
              <w:t>-7</w:t>
            </w:r>
          </w:p>
        </w:tc>
        <w:tc>
          <w:tcPr>
            <w:tcW w:w="720" w:type="dxa"/>
            <w:tcBorders>
              <w:top w:val="nil"/>
              <w:left w:val="nil"/>
              <w:bottom w:val="nil"/>
              <w:right w:val="nil"/>
            </w:tcBorders>
            <w:shd w:val="clear" w:color="auto" w:fill="auto"/>
            <w:noWrap/>
            <w:vAlign w:val="bottom"/>
            <w:hideMark/>
          </w:tcPr>
          <w:p w:rsidR="00704880" w:rsidRPr="00704880" w:rsidRDefault="00704880" w:rsidP="008F0571">
            <w:pPr>
              <w:keepNext/>
              <w:keepLines/>
              <w:tabs>
                <w:tab w:val="clear" w:pos="567"/>
              </w:tabs>
              <w:spacing w:after="0" w:line="240" w:lineRule="auto"/>
              <w:jc w:val="right"/>
              <w:rPr>
                <w:rFonts w:ascii="Calibri" w:eastAsia="Times New Roman" w:hAnsi="Calibri" w:cs="Times New Roman"/>
                <w:sz w:val="20"/>
                <w:szCs w:val="20"/>
                <w:lang w:eastAsia="en-AU"/>
              </w:rPr>
            </w:pPr>
            <w:r w:rsidRPr="00704880">
              <w:rPr>
                <w:rFonts w:ascii="Calibri" w:eastAsia="Times New Roman" w:hAnsi="Calibri" w:cs="Times New Roman"/>
                <w:sz w:val="20"/>
                <w:szCs w:val="20"/>
                <w:lang w:eastAsia="en-AU"/>
              </w:rPr>
              <w:t>-4</w:t>
            </w:r>
          </w:p>
        </w:tc>
        <w:tc>
          <w:tcPr>
            <w:tcW w:w="760" w:type="dxa"/>
            <w:tcBorders>
              <w:top w:val="nil"/>
              <w:left w:val="nil"/>
              <w:bottom w:val="nil"/>
              <w:right w:val="nil"/>
            </w:tcBorders>
            <w:shd w:val="clear" w:color="auto" w:fill="auto"/>
            <w:noWrap/>
            <w:vAlign w:val="bottom"/>
            <w:hideMark/>
          </w:tcPr>
          <w:p w:rsidR="00704880" w:rsidRPr="00704880" w:rsidRDefault="00704880" w:rsidP="008F0571">
            <w:pPr>
              <w:keepNext/>
              <w:keepLines/>
              <w:tabs>
                <w:tab w:val="clear" w:pos="567"/>
              </w:tabs>
              <w:spacing w:after="0" w:line="240" w:lineRule="auto"/>
              <w:jc w:val="right"/>
              <w:rPr>
                <w:rFonts w:ascii="Calibri" w:eastAsia="Times New Roman" w:hAnsi="Calibri" w:cs="Times New Roman"/>
                <w:sz w:val="20"/>
                <w:szCs w:val="20"/>
                <w:lang w:eastAsia="en-AU"/>
              </w:rPr>
            </w:pPr>
            <w:r w:rsidRPr="00704880">
              <w:rPr>
                <w:rFonts w:ascii="Calibri" w:eastAsia="Times New Roman" w:hAnsi="Calibri" w:cs="Times New Roman"/>
                <w:sz w:val="20"/>
                <w:szCs w:val="20"/>
                <w:lang w:eastAsia="en-AU"/>
              </w:rPr>
              <w:t>12</w:t>
            </w:r>
          </w:p>
        </w:tc>
        <w:tc>
          <w:tcPr>
            <w:tcW w:w="680" w:type="dxa"/>
            <w:tcBorders>
              <w:top w:val="nil"/>
              <w:left w:val="nil"/>
              <w:bottom w:val="nil"/>
              <w:right w:val="nil"/>
            </w:tcBorders>
            <w:shd w:val="clear" w:color="auto" w:fill="auto"/>
            <w:noWrap/>
            <w:vAlign w:val="bottom"/>
            <w:hideMark/>
          </w:tcPr>
          <w:p w:rsidR="00704880" w:rsidRPr="00704880" w:rsidRDefault="00704880" w:rsidP="008F0571">
            <w:pPr>
              <w:keepNext/>
              <w:keepLines/>
              <w:tabs>
                <w:tab w:val="clear" w:pos="567"/>
              </w:tabs>
              <w:spacing w:after="0" w:line="240" w:lineRule="auto"/>
              <w:jc w:val="right"/>
              <w:rPr>
                <w:rFonts w:ascii="Calibri" w:eastAsia="Times New Roman" w:hAnsi="Calibri" w:cs="Times New Roman"/>
                <w:sz w:val="20"/>
                <w:szCs w:val="20"/>
                <w:lang w:eastAsia="en-AU"/>
              </w:rPr>
            </w:pPr>
            <w:r w:rsidRPr="00704880">
              <w:rPr>
                <w:rFonts w:ascii="Calibri" w:eastAsia="Times New Roman" w:hAnsi="Calibri" w:cs="Times New Roman"/>
                <w:sz w:val="20"/>
                <w:szCs w:val="20"/>
                <w:lang w:eastAsia="en-AU"/>
              </w:rPr>
              <w:t>-4</w:t>
            </w:r>
          </w:p>
        </w:tc>
        <w:tc>
          <w:tcPr>
            <w:tcW w:w="620" w:type="dxa"/>
            <w:tcBorders>
              <w:top w:val="nil"/>
              <w:left w:val="nil"/>
              <w:bottom w:val="nil"/>
              <w:right w:val="nil"/>
            </w:tcBorders>
            <w:shd w:val="clear" w:color="auto" w:fill="auto"/>
            <w:noWrap/>
            <w:vAlign w:val="bottom"/>
            <w:hideMark/>
          </w:tcPr>
          <w:p w:rsidR="00704880" w:rsidRPr="00704880" w:rsidRDefault="00704880" w:rsidP="008F0571">
            <w:pPr>
              <w:keepNext/>
              <w:keepLines/>
              <w:tabs>
                <w:tab w:val="clear" w:pos="567"/>
              </w:tabs>
              <w:spacing w:after="0" w:line="240" w:lineRule="auto"/>
              <w:jc w:val="right"/>
              <w:rPr>
                <w:rFonts w:ascii="Calibri" w:eastAsia="Times New Roman" w:hAnsi="Calibri" w:cs="Times New Roman"/>
                <w:sz w:val="20"/>
                <w:szCs w:val="20"/>
                <w:lang w:eastAsia="en-AU"/>
              </w:rPr>
            </w:pPr>
            <w:r w:rsidRPr="00704880">
              <w:rPr>
                <w:rFonts w:ascii="Calibri" w:eastAsia="Times New Roman" w:hAnsi="Calibri" w:cs="Times New Roman"/>
                <w:sz w:val="20"/>
                <w:szCs w:val="20"/>
                <w:lang w:eastAsia="en-AU"/>
              </w:rPr>
              <w:t>-3</w:t>
            </w:r>
          </w:p>
        </w:tc>
        <w:tc>
          <w:tcPr>
            <w:tcW w:w="680" w:type="dxa"/>
            <w:tcBorders>
              <w:top w:val="nil"/>
              <w:left w:val="nil"/>
              <w:bottom w:val="nil"/>
              <w:right w:val="nil"/>
            </w:tcBorders>
            <w:shd w:val="clear" w:color="auto" w:fill="auto"/>
            <w:noWrap/>
            <w:vAlign w:val="bottom"/>
            <w:hideMark/>
          </w:tcPr>
          <w:p w:rsidR="00704880" w:rsidRPr="00704880" w:rsidRDefault="00704880" w:rsidP="008F0571">
            <w:pPr>
              <w:keepNext/>
              <w:keepLines/>
              <w:tabs>
                <w:tab w:val="clear" w:pos="567"/>
              </w:tabs>
              <w:spacing w:after="0" w:line="240" w:lineRule="auto"/>
              <w:jc w:val="right"/>
              <w:rPr>
                <w:rFonts w:ascii="Calibri" w:eastAsia="Times New Roman" w:hAnsi="Calibri" w:cs="Times New Roman"/>
                <w:sz w:val="20"/>
                <w:szCs w:val="20"/>
                <w:lang w:eastAsia="en-AU"/>
              </w:rPr>
            </w:pPr>
            <w:r w:rsidRPr="00704880">
              <w:rPr>
                <w:rFonts w:ascii="Calibri" w:eastAsia="Times New Roman" w:hAnsi="Calibri" w:cs="Times New Roman"/>
                <w:sz w:val="20"/>
                <w:szCs w:val="20"/>
                <w:lang w:eastAsia="en-AU"/>
              </w:rPr>
              <w:t>2</w:t>
            </w:r>
          </w:p>
        </w:tc>
        <w:tc>
          <w:tcPr>
            <w:tcW w:w="720" w:type="dxa"/>
            <w:tcBorders>
              <w:top w:val="nil"/>
              <w:left w:val="nil"/>
              <w:bottom w:val="nil"/>
              <w:right w:val="nil"/>
            </w:tcBorders>
            <w:shd w:val="clear" w:color="auto" w:fill="auto"/>
            <w:noWrap/>
            <w:vAlign w:val="bottom"/>
            <w:hideMark/>
          </w:tcPr>
          <w:p w:rsidR="00704880" w:rsidRPr="00704880" w:rsidRDefault="00704880" w:rsidP="008F0571">
            <w:pPr>
              <w:keepNext/>
              <w:keepLines/>
              <w:tabs>
                <w:tab w:val="clear" w:pos="567"/>
              </w:tabs>
              <w:spacing w:after="0" w:line="240" w:lineRule="auto"/>
              <w:jc w:val="right"/>
              <w:rPr>
                <w:rFonts w:ascii="Calibri" w:eastAsia="Times New Roman" w:hAnsi="Calibri" w:cs="Times New Roman"/>
                <w:sz w:val="20"/>
                <w:szCs w:val="20"/>
                <w:lang w:eastAsia="en-AU"/>
              </w:rPr>
            </w:pPr>
            <w:r w:rsidRPr="00704880">
              <w:rPr>
                <w:rFonts w:ascii="Calibri" w:eastAsia="Times New Roman" w:hAnsi="Calibri" w:cs="Times New Roman"/>
                <w:sz w:val="20"/>
                <w:szCs w:val="20"/>
                <w:lang w:eastAsia="en-AU"/>
              </w:rPr>
              <w:t>1</w:t>
            </w:r>
          </w:p>
        </w:tc>
        <w:tc>
          <w:tcPr>
            <w:tcW w:w="820" w:type="dxa"/>
            <w:tcBorders>
              <w:top w:val="nil"/>
              <w:left w:val="nil"/>
              <w:bottom w:val="nil"/>
              <w:right w:val="nil"/>
            </w:tcBorders>
            <w:shd w:val="clear" w:color="auto" w:fill="auto"/>
            <w:noWrap/>
            <w:vAlign w:val="bottom"/>
            <w:hideMark/>
          </w:tcPr>
          <w:p w:rsidR="00704880" w:rsidRPr="00704880" w:rsidRDefault="00704880" w:rsidP="008F0571">
            <w:pPr>
              <w:keepNext/>
              <w:keepLines/>
              <w:tabs>
                <w:tab w:val="clear" w:pos="567"/>
              </w:tabs>
              <w:spacing w:after="0" w:line="240" w:lineRule="auto"/>
              <w:jc w:val="right"/>
              <w:rPr>
                <w:rFonts w:ascii="Calibri" w:eastAsia="Times New Roman" w:hAnsi="Calibri" w:cs="Times New Roman"/>
                <w:sz w:val="20"/>
                <w:szCs w:val="20"/>
                <w:lang w:eastAsia="en-AU"/>
              </w:rPr>
            </w:pPr>
            <w:r w:rsidRPr="00704880">
              <w:rPr>
                <w:rFonts w:ascii="Calibri" w:eastAsia="Times New Roman" w:hAnsi="Calibri" w:cs="Times New Roman"/>
                <w:sz w:val="20"/>
                <w:szCs w:val="20"/>
                <w:lang w:eastAsia="en-AU"/>
              </w:rPr>
              <w:t>18</w:t>
            </w:r>
          </w:p>
        </w:tc>
      </w:tr>
      <w:tr w:rsidR="00704880" w:rsidRPr="00704880" w:rsidTr="008F0571">
        <w:trPr>
          <w:trHeight w:val="315"/>
        </w:trPr>
        <w:tc>
          <w:tcPr>
            <w:tcW w:w="2460" w:type="dxa"/>
            <w:tcBorders>
              <w:top w:val="nil"/>
              <w:left w:val="nil"/>
              <w:bottom w:val="nil"/>
              <w:right w:val="nil"/>
            </w:tcBorders>
            <w:shd w:val="clear" w:color="auto" w:fill="auto"/>
            <w:noWrap/>
            <w:vAlign w:val="bottom"/>
            <w:hideMark/>
          </w:tcPr>
          <w:p w:rsidR="00704880" w:rsidRPr="00704880" w:rsidRDefault="00704880" w:rsidP="008F0571">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704880">
              <w:rPr>
                <w:rFonts w:ascii="Calibri" w:eastAsia="Times New Roman" w:hAnsi="Calibri" w:cs="Times New Roman"/>
                <w:sz w:val="20"/>
                <w:szCs w:val="20"/>
                <w:lang w:eastAsia="en-AU"/>
              </w:rPr>
              <w:t>Total ($m)</w:t>
            </w:r>
          </w:p>
        </w:tc>
        <w:tc>
          <w:tcPr>
            <w:tcW w:w="780" w:type="dxa"/>
            <w:tcBorders>
              <w:top w:val="single" w:sz="4" w:space="0" w:color="auto"/>
              <w:left w:val="nil"/>
              <w:bottom w:val="nil"/>
              <w:right w:val="nil"/>
            </w:tcBorders>
            <w:shd w:val="clear" w:color="auto" w:fill="auto"/>
            <w:noWrap/>
            <w:vAlign w:val="bottom"/>
            <w:hideMark/>
          </w:tcPr>
          <w:p w:rsidR="00704880" w:rsidRPr="00704880" w:rsidRDefault="00704880" w:rsidP="008F0571">
            <w:pPr>
              <w:keepNext/>
              <w:keepLines/>
              <w:tabs>
                <w:tab w:val="clear" w:pos="567"/>
              </w:tabs>
              <w:spacing w:after="0" w:line="240" w:lineRule="auto"/>
              <w:jc w:val="right"/>
              <w:rPr>
                <w:rFonts w:ascii="Calibri" w:eastAsia="Times New Roman" w:hAnsi="Calibri" w:cs="Times New Roman"/>
                <w:sz w:val="20"/>
                <w:szCs w:val="20"/>
                <w:lang w:eastAsia="en-AU"/>
              </w:rPr>
            </w:pPr>
            <w:r w:rsidRPr="00704880">
              <w:rPr>
                <w:rFonts w:ascii="Calibri" w:eastAsia="Times New Roman" w:hAnsi="Calibri" w:cs="Times New Roman"/>
                <w:sz w:val="20"/>
                <w:szCs w:val="20"/>
                <w:lang w:eastAsia="en-AU"/>
              </w:rPr>
              <w:t>-119</w:t>
            </w:r>
          </w:p>
        </w:tc>
        <w:tc>
          <w:tcPr>
            <w:tcW w:w="720" w:type="dxa"/>
            <w:tcBorders>
              <w:top w:val="single" w:sz="4" w:space="0" w:color="auto"/>
              <w:left w:val="nil"/>
              <w:bottom w:val="nil"/>
              <w:right w:val="nil"/>
            </w:tcBorders>
            <w:shd w:val="clear" w:color="auto" w:fill="auto"/>
            <w:noWrap/>
            <w:vAlign w:val="bottom"/>
            <w:hideMark/>
          </w:tcPr>
          <w:p w:rsidR="00704880" w:rsidRPr="00704880" w:rsidRDefault="00704880" w:rsidP="008F0571">
            <w:pPr>
              <w:keepNext/>
              <w:keepLines/>
              <w:tabs>
                <w:tab w:val="clear" w:pos="567"/>
              </w:tabs>
              <w:spacing w:after="0" w:line="240" w:lineRule="auto"/>
              <w:jc w:val="right"/>
              <w:rPr>
                <w:rFonts w:ascii="Calibri" w:eastAsia="Times New Roman" w:hAnsi="Calibri" w:cs="Times New Roman"/>
                <w:sz w:val="20"/>
                <w:szCs w:val="20"/>
                <w:lang w:eastAsia="en-AU"/>
              </w:rPr>
            </w:pPr>
            <w:r w:rsidRPr="00704880">
              <w:rPr>
                <w:rFonts w:ascii="Calibri" w:eastAsia="Times New Roman" w:hAnsi="Calibri" w:cs="Times New Roman"/>
                <w:sz w:val="20"/>
                <w:szCs w:val="20"/>
                <w:lang w:eastAsia="en-AU"/>
              </w:rPr>
              <w:t>-88</w:t>
            </w:r>
          </w:p>
        </w:tc>
        <w:tc>
          <w:tcPr>
            <w:tcW w:w="720" w:type="dxa"/>
            <w:tcBorders>
              <w:top w:val="single" w:sz="4" w:space="0" w:color="auto"/>
              <w:left w:val="nil"/>
              <w:bottom w:val="nil"/>
              <w:right w:val="nil"/>
            </w:tcBorders>
            <w:shd w:val="clear" w:color="auto" w:fill="auto"/>
            <w:noWrap/>
            <w:vAlign w:val="bottom"/>
            <w:hideMark/>
          </w:tcPr>
          <w:p w:rsidR="00704880" w:rsidRPr="00704880" w:rsidRDefault="00704880" w:rsidP="008F0571">
            <w:pPr>
              <w:keepNext/>
              <w:keepLines/>
              <w:tabs>
                <w:tab w:val="clear" w:pos="567"/>
              </w:tabs>
              <w:spacing w:after="0" w:line="240" w:lineRule="auto"/>
              <w:jc w:val="right"/>
              <w:rPr>
                <w:rFonts w:ascii="Calibri" w:eastAsia="Times New Roman" w:hAnsi="Calibri" w:cs="Times New Roman"/>
                <w:sz w:val="20"/>
                <w:szCs w:val="20"/>
                <w:lang w:eastAsia="en-AU"/>
              </w:rPr>
            </w:pPr>
            <w:r w:rsidRPr="00704880">
              <w:rPr>
                <w:rFonts w:ascii="Calibri" w:eastAsia="Times New Roman" w:hAnsi="Calibri" w:cs="Times New Roman"/>
                <w:sz w:val="20"/>
                <w:szCs w:val="20"/>
                <w:lang w:eastAsia="en-AU"/>
              </w:rPr>
              <w:t>12</w:t>
            </w:r>
          </w:p>
        </w:tc>
        <w:tc>
          <w:tcPr>
            <w:tcW w:w="760" w:type="dxa"/>
            <w:tcBorders>
              <w:top w:val="single" w:sz="4" w:space="0" w:color="auto"/>
              <w:left w:val="nil"/>
              <w:bottom w:val="nil"/>
              <w:right w:val="nil"/>
            </w:tcBorders>
            <w:shd w:val="clear" w:color="auto" w:fill="auto"/>
            <w:noWrap/>
            <w:vAlign w:val="bottom"/>
            <w:hideMark/>
          </w:tcPr>
          <w:p w:rsidR="00704880" w:rsidRPr="00704880" w:rsidRDefault="00704880" w:rsidP="008F0571">
            <w:pPr>
              <w:keepNext/>
              <w:keepLines/>
              <w:tabs>
                <w:tab w:val="clear" w:pos="567"/>
              </w:tabs>
              <w:spacing w:after="0" w:line="240" w:lineRule="auto"/>
              <w:jc w:val="right"/>
              <w:rPr>
                <w:rFonts w:ascii="Calibri" w:eastAsia="Times New Roman" w:hAnsi="Calibri" w:cs="Times New Roman"/>
                <w:sz w:val="20"/>
                <w:szCs w:val="20"/>
                <w:lang w:eastAsia="en-AU"/>
              </w:rPr>
            </w:pPr>
            <w:r w:rsidRPr="00704880">
              <w:rPr>
                <w:rFonts w:ascii="Calibri" w:eastAsia="Times New Roman" w:hAnsi="Calibri" w:cs="Times New Roman"/>
                <w:sz w:val="20"/>
                <w:szCs w:val="20"/>
                <w:lang w:eastAsia="en-AU"/>
              </w:rPr>
              <w:t>151</w:t>
            </w:r>
          </w:p>
        </w:tc>
        <w:tc>
          <w:tcPr>
            <w:tcW w:w="680" w:type="dxa"/>
            <w:tcBorders>
              <w:top w:val="single" w:sz="4" w:space="0" w:color="auto"/>
              <w:left w:val="nil"/>
              <w:bottom w:val="nil"/>
              <w:right w:val="nil"/>
            </w:tcBorders>
            <w:shd w:val="clear" w:color="auto" w:fill="auto"/>
            <w:noWrap/>
            <w:vAlign w:val="bottom"/>
            <w:hideMark/>
          </w:tcPr>
          <w:p w:rsidR="00704880" w:rsidRPr="00704880" w:rsidRDefault="00704880" w:rsidP="008F0571">
            <w:pPr>
              <w:keepNext/>
              <w:keepLines/>
              <w:tabs>
                <w:tab w:val="clear" w:pos="567"/>
              </w:tabs>
              <w:spacing w:after="0" w:line="240" w:lineRule="auto"/>
              <w:jc w:val="right"/>
              <w:rPr>
                <w:rFonts w:ascii="Calibri" w:eastAsia="Times New Roman" w:hAnsi="Calibri" w:cs="Times New Roman"/>
                <w:sz w:val="20"/>
                <w:szCs w:val="20"/>
                <w:lang w:eastAsia="en-AU"/>
              </w:rPr>
            </w:pPr>
            <w:r w:rsidRPr="00704880">
              <w:rPr>
                <w:rFonts w:ascii="Calibri" w:eastAsia="Times New Roman" w:hAnsi="Calibri" w:cs="Times New Roman"/>
                <w:sz w:val="20"/>
                <w:szCs w:val="20"/>
                <w:lang w:eastAsia="en-AU"/>
              </w:rPr>
              <w:t>16</w:t>
            </w:r>
          </w:p>
        </w:tc>
        <w:tc>
          <w:tcPr>
            <w:tcW w:w="620" w:type="dxa"/>
            <w:tcBorders>
              <w:top w:val="single" w:sz="4" w:space="0" w:color="auto"/>
              <w:left w:val="nil"/>
              <w:bottom w:val="nil"/>
              <w:right w:val="nil"/>
            </w:tcBorders>
            <w:shd w:val="clear" w:color="auto" w:fill="auto"/>
            <w:noWrap/>
            <w:vAlign w:val="bottom"/>
            <w:hideMark/>
          </w:tcPr>
          <w:p w:rsidR="00704880" w:rsidRPr="00704880" w:rsidRDefault="00704880" w:rsidP="008F0571">
            <w:pPr>
              <w:keepNext/>
              <w:keepLines/>
              <w:tabs>
                <w:tab w:val="clear" w:pos="567"/>
              </w:tabs>
              <w:spacing w:after="0" w:line="240" w:lineRule="auto"/>
              <w:jc w:val="right"/>
              <w:rPr>
                <w:rFonts w:ascii="Calibri" w:eastAsia="Times New Roman" w:hAnsi="Calibri" w:cs="Times New Roman"/>
                <w:sz w:val="20"/>
                <w:szCs w:val="20"/>
                <w:lang w:eastAsia="en-AU"/>
              </w:rPr>
            </w:pPr>
            <w:r w:rsidRPr="00704880">
              <w:rPr>
                <w:rFonts w:ascii="Calibri" w:eastAsia="Times New Roman" w:hAnsi="Calibri" w:cs="Times New Roman"/>
                <w:sz w:val="20"/>
                <w:szCs w:val="20"/>
                <w:lang w:eastAsia="en-AU"/>
              </w:rPr>
              <w:t>10</w:t>
            </w:r>
          </w:p>
        </w:tc>
        <w:tc>
          <w:tcPr>
            <w:tcW w:w="680" w:type="dxa"/>
            <w:tcBorders>
              <w:top w:val="single" w:sz="4" w:space="0" w:color="auto"/>
              <w:left w:val="nil"/>
              <w:bottom w:val="nil"/>
              <w:right w:val="nil"/>
            </w:tcBorders>
            <w:shd w:val="clear" w:color="auto" w:fill="auto"/>
            <w:noWrap/>
            <w:vAlign w:val="bottom"/>
            <w:hideMark/>
          </w:tcPr>
          <w:p w:rsidR="00704880" w:rsidRPr="00704880" w:rsidRDefault="00704880" w:rsidP="008F0571">
            <w:pPr>
              <w:keepNext/>
              <w:keepLines/>
              <w:tabs>
                <w:tab w:val="clear" w:pos="567"/>
              </w:tabs>
              <w:spacing w:after="0" w:line="240" w:lineRule="auto"/>
              <w:jc w:val="right"/>
              <w:rPr>
                <w:rFonts w:ascii="Calibri" w:eastAsia="Times New Roman" w:hAnsi="Calibri" w:cs="Times New Roman"/>
                <w:sz w:val="20"/>
                <w:szCs w:val="20"/>
                <w:lang w:eastAsia="en-AU"/>
              </w:rPr>
            </w:pPr>
            <w:r w:rsidRPr="00704880">
              <w:rPr>
                <w:rFonts w:ascii="Calibri" w:eastAsia="Times New Roman" w:hAnsi="Calibri" w:cs="Times New Roman"/>
                <w:sz w:val="20"/>
                <w:szCs w:val="20"/>
                <w:lang w:eastAsia="en-AU"/>
              </w:rPr>
              <w:t>-15</w:t>
            </w:r>
          </w:p>
        </w:tc>
        <w:tc>
          <w:tcPr>
            <w:tcW w:w="720" w:type="dxa"/>
            <w:tcBorders>
              <w:top w:val="single" w:sz="4" w:space="0" w:color="auto"/>
              <w:left w:val="nil"/>
              <w:bottom w:val="nil"/>
              <w:right w:val="nil"/>
            </w:tcBorders>
            <w:shd w:val="clear" w:color="auto" w:fill="auto"/>
            <w:noWrap/>
            <w:vAlign w:val="bottom"/>
            <w:hideMark/>
          </w:tcPr>
          <w:p w:rsidR="00704880" w:rsidRPr="00704880" w:rsidRDefault="00704880" w:rsidP="008F0571">
            <w:pPr>
              <w:keepNext/>
              <w:keepLines/>
              <w:tabs>
                <w:tab w:val="clear" w:pos="567"/>
              </w:tabs>
              <w:spacing w:after="0" w:line="240" w:lineRule="auto"/>
              <w:jc w:val="right"/>
              <w:rPr>
                <w:rFonts w:ascii="Calibri" w:eastAsia="Times New Roman" w:hAnsi="Calibri" w:cs="Times New Roman"/>
                <w:sz w:val="20"/>
                <w:szCs w:val="20"/>
                <w:lang w:eastAsia="en-AU"/>
              </w:rPr>
            </w:pPr>
            <w:r w:rsidRPr="00704880">
              <w:rPr>
                <w:rFonts w:ascii="Calibri" w:eastAsia="Times New Roman" w:hAnsi="Calibri" w:cs="Times New Roman"/>
                <w:sz w:val="20"/>
                <w:szCs w:val="20"/>
                <w:lang w:eastAsia="en-AU"/>
              </w:rPr>
              <w:t>34</w:t>
            </w:r>
          </w:p>
        </w:tc>
        <w:tc>
          <w:tcPr>
            <w:tcW w:w="820" w:type="dxa"/>
            <w:tcBorders>
              <w:top w:val="single" w:sz="4" w:space="0" w:color="auto"/>
              <w:left w:val="nil"/>
              <w:bottom w:val="nil"/>
              <w:right w:val="nil"/>
            </w:tcBorders>
            <w:shd w:val="clear" w:color="auto" w:fill="auto"/>
            <w:noWrap/>
            <w:vAlign w:val="bottom"/>
            <w:hideMark/>
          </w:tcPr>
          <w:p w:rsidR="00704880" w:rsidRPr="00704880" w:rsidRDefault="00704880" w:rsidP="008F0571">
            <w:pPr>
              <w:keepNext/>
              <w:keepLines/>
              <w:tabs>
                <w:tab w:val="clear" w:pos="567"/>
              </w:tabs>
              <w:spacing w:after="0" w:line="240" w:lineRule="auto"/>
              <w:jc w:val="right"/>
              <w:rPr>
                <w:rFonts w:ascii="Calibri" w:eastAsia="Times New Roman" w:hAnsi="Calibri" w:cs="Times New Roman"/>
                <w:sz w:val="20"/>
                <w:szCs w:val="20"/>
                <w:lang w:eastAsia="en-AU"/>
              </w:rPr>
            </w:pPr>
            <w:r w:rsidRPr="00704880">
              <w:rPr>
                <w:rFonts w:ascii="Calibri" w:eastAsia="Times New Roman" w:hAnsi="Calibri" w:cs="Times New Roman"/>
                <w:sz w:val="20"/>
                <w:szCs w:val="20"/>
                <w:lang w:eastAsia="en-AU"/>
              </w:rPr>
              <w:t>223</w:t>
            </w:r>
          </w:p>
        </w:tc>
      </w:tr>
      <w:tr w:rsidR="00704880" w:rsidRPr="00704880" w:rsidTr="008F0571">
        <w:trPr>
          <w:trHeight w:val="315"/>
        </w:trPr>
        <w:tc>
          <w:tcPr>
            <w:tcW w:w="2460" w:type="dxa"/>
            <w:tcBorders>
              <w:top w:val="nil"/>
              <w:left w:val="nil"/>
              <w:bottom w:val="single" w:sz="4" w:space="0" w:color="auto"/>
              <w:right w:val="nil"/>
            </w:tcBorders>
            <w:shd w:val="clear" w:color="auto" w:fill="auto"/>
            <w:noWrap/>
            <w:vAlign w:val="bottom"/>
            <w:hideMark/>
          </w:tcPr>
          <w:p w:rsidR="00704880" w:rsidRPr="00704880" w:rsidRDefault="00704880" w:rsidP="008F0571">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704880">
              <w:rPr>
                <w:rFonts w:ascii="Calibri" w:eastAsia="Times New Roman" w:hAnsi="Calibri" w:cs="Times New Roman"/>
                <w:sz w:val="20"/>
                <w:szCs w:val="20"/>
                <w:lang w:eastAsia="en-AU"/>
              </w:rPr>
              <w:t>Total ($pc)</w:t>
            </w:r>
          </w:p>
        </w:tc>
        <w:tc>
          <w:tcPr>
            <w:tcW w:w="780" w:type="dxa"/>
            <w:tcBorders>
              <w:top w:val="nil"/>
              <w:left w:val="nil"/>
              <w:bottom w:val="single" w:sz="4" w:space="0" w:color="auto"/>
              <w:right w:val="nil"/>
            </w:tcBorders>
            <w:shd w:val="clear" w:color="auto" w:fill="auto"/>
            <w:noWrap/>
            <w:vAlign w:val="bottom"/>
            <w:hideMark/>
          </w:tcPr>
          <w:p w:rsidR="00704880" w:rsidRPr="00704880" w:rsidRDefault="00704880" w:rsidP="008F0571">
            <w:pPr>
              <w:keepNext/>
              <w:keepLines/>
              <w:tabs>
                <w:tab w:val="clear" w:pos="567"/>
              </w:tabs>
              <w:spacing w:after="0" w:line="240" w:lineRule="auto"/>
              <w:jc w:val="right"/>
              <w:rPr>
                <w:rFonts w:ascii="Calibri" w:eastAsia="Times New Roman" w:hAnsi="Calibri" w:cs="Times New Roman"/>
                <w:sz w:val="20"/>
                <w:szCs w:val="20"/>
                <w:lang w:eastAsia="en-AU"/>
              </w:rPr>
            </w:pPr>
            <w:r w:rsidRPr="00704880">
              <w:rPr>
                <w:rFonts w:ascii="Calibri" w:eastAsia="Times New Roman" w:hAnsi="Calibri" w:cs="Times New Roman"/>
                <w:sz w:val="20"/>
                <w:szCs w:val="20"/>
                <w:lang w:eastAsia="en-AU"/>
              </w:rPr>
              <w:t>-15</w:t>
            </w:r>
          </w:p>
        </w:tc>
        <w:tc>
          <w:tcPr>
            <w:tcW w:w="720" w:type="dxa"/>
            <w:tcBorders>
              <w:top w:val="nil"/>
              <w:left w:val="nil"/>
              <w:bottom w:val="single" w:sz="4" w:space="0" w:color="auto"/>
              <w:right w:val="nil"/>
            </w:tcBorders>
            <w:shd w:val="clear" w:color="auto" w:fill="auto"/>
            <w:noWrap/>
            <w:vAlign w:val="bottom"/>
            <w:hideMark/>
          </w:tcPr>
          <w:p w:rsidR="00704880" w:rsidRPr="00704880" w:rsidRDefault="00704880" w:rsidP="008F0571">
            <w:pPr>
              <w:keepNext/>
              <w:keepLines/>
              <w:tabs>
                <w:tab w:val="clear" w:pos="567"/>
              </w:tabs>
              <w:spacing w:after="0" w:line="240" w:lineRule="auto"/>
              <w:jc w:val="right"/>
              <w:rPr>
                <w:rFonts w:ascii="Calibri" w:eastAsia="Times New Roman" w:hAnsi="Calibri" w:cs="Times New Roman"/>
                <w:sz w:val="20"/>
                <w:szCs w:val="20"/>
                <w:lang w:eastAsia="en-AU"/>
              </w:rPr>
            </w:pPr>
            <w:r w:rsidRPr="00704880">
              <w:rPr>
                <w:rFonts w:ascii="Calibri" w:eastAsia="Times New Roman" w:hAnsi="Calibri" w:cs="Times New Roman"/>
                <w:sz w:val="20"/>
                <w:szCs w:val="20"/>
                <w:lang w:eastAsia="en-AU"/>
              </w:rPr>
              <w:t>-14</w:t>
            </w:r>
          </w:p>
        </w:tc>
        <w:tc>
          <w:tcPr>
            <w:tcW w:w="720" w:type="dxa"/>
            <w:tcBorders>
              <w:top w:val="nil"/>
              <w:left w:val="nil"/>
              <w:bottom w:val="single" w:sz="4" w:space="0" w:color="auto"/>
              <w:right w:val="nil"/>
            </w:tcBorders>
            <w:shd w:val="clear" w:color="auto" w:fill="auto"/>
            <w:noWrap/>
            <w:vAlign w:val="bottom"/>
            <w:hideMark/>
          </w:tcPr>
          <w:p w:rsidR="00704880" w:rsidRPr="00704880" w:rsidRDefault="00704880" w:rsidP="008F0571">
            <w:pPr>
              <w:keepNext/>
              <w:keepLines/>
              <w:tabs>
                <w:tab w:val="clear" w:pos="567"/>
              </w:tabs>
              <w:spacing w:after="0" w:line="240" w:lineRule="auto"/>
              <w:jc w:val="right"/>
              <w:rPr>
                <w:rFonts w:ascii="Calibri" w:eastAsia="Times New Roman" w:hAnsi="Calibri" w:cs="Times New Roman"/>
                <w:sz w:val="20"/>
                <w:szCs w:val="20"/>
                <w:lang w:eastAsia="en-AU"/>
              </w:rPr>
            </w:pPr>
            <w:r w:rsidRPr="00704880">
              <w:rPr>
                <w:rFonts w:ascii="Calibri" w:eastAsia="Times New Roman" w:hAnsi="Calibri" w:cs="Times New Roman"/>
                <w:sz w:val="20"/>
                <w:szCs w:val="20"/>
                <w:lang w:eastAsia="en-AU"/>
              </w:rPr>
              <w:t>2</w:t>
            </w:r>
          </w:p>
        </w:tc>
        <w:tc>
          <w:tcPr>
            <w:tcW w:w="760" w:type="dxa"/>
            <w:tcBorders>
              <w:top w:val="nil"/>
              <w:left w:val="nil"/>
              <w:bottom w:val="single" w:sz="4" w:space="0" w:color="auto"/>
              <w:right w:val="nil"/>
            </w:tcBorders>
            <w:shd w:val="clear" w:color="auto" w:fill="auto"/>
            <w:noWrap/>
            <w:vAlign w:val="bottom"/>
            <w:hideMark/>
          </w:tcPr>
          <w:p w:rsidR="00704880" w:rsidRPr="00704880" w:rsidRDefault="00704880" w:rsidP="008F0571">
            <w:pPr>
              <w:keepNext/>
              <w:keepLines/>
              <w:tabs>
                <w:tab w:val="clear" w:pos="567"/>
              </w:tabs>
              <w:spacing w:after="0" w:line="240" w:lineRule="auto"/>
              <w:jc w:val="right"/>
              <w:rPr>
                <w:rFonts w:ascii="Calibri" w:eastAsia="Times New Roman" w:hAnsi="Calibri" w:cs="Times New Roman"/>
                <w:sz w:val="20"/>
                <w:szCs w:val="20"/>
                <w:lang w:eastAsia="en-AU"/>
              </w:rPr>
            </w:pPr>
            <w:r w:rsidRPr="00704880">
              <w:rPr>
                <w:rFonts w:ascii="Calibri" w:eastAsia="Times New Roman" w:hAnsi="Calibri" w:cs="Times New Roman"/>
                <w:sz w:val="20"/>
                <w:szCs w:val="20"/>
                <w:lang w:eastAsia="en-AU"/>
              </w:rPr>
              <w:t>57</w:t>
            </w:r>
          </w:p>
        </w:tc>
        <w:tc>
          <w:tcPr>
            <w:tcW w:w="680" w:type="dxa"/>
            <w:tcBorders>
              <w:top w:val="nil"/>
              <w:left w:val="nil"/>
              <w:bottom w:val="single" w:sz="4" w:space="0" w:color="auto"/>
              <w:right w:val="nil"/>
            </w:tcBorders>
            <w:shd w:val="clear" w:color="auto" w:fill="auto"/>
            <w:noWrap/>
            <w:vAlign w:val="bottom"/>
            <w:hideMark/>
          </w:tcPr>
          <w:p w:rsidR="00704880" w:rsidRPr="00704880" w:rsidRDefault="00704880" w:rsidP="008F0571">
            <w:pPr>
              <w:keepNext/>
              <w:keepLines/>
              <w:tabs>
                <w:tab w:val="clear" w:pos="567"/>
              </w:tabs>
              <w:spacing w:after="0" w:line="240" w:lineRule="auto"/>
              <w:jc w:val="right"/>
              <w:rPr>
                <w:rFonts w:ascii="Calibri" w:eastAsia="Times New Roman" w:hAnsi="Calibri" w:cs="Times New Roman"/>
                <w:sz w:val="20"/>
                <w:szCs w:val="20"/>
                <w:lang w:eastAsia="en-AU"/>
              </w:rPr>
            </w:pPr>
            <w:r w:rsidRPr="00704880">
              <w:rPr>
                <w:rFonts w:ascii="Calibri" w:eastAsia="Times New Roman" w:hAnsi="Calibri" w:cs="Times New Roman"/>
                <w:sz w:val="20"/>
                <w:szCs w:val="20"/>
                <w:lang w:eastAsia="en-AU"/>
              </w:rPr>
              <w:t>9</w:t>
            </w:r>
          </w:p>
        </w:tc>
        <w:tc>
          <w:tcPr>
            <w:tcW w:w="620" w:type="dxa"/>
            <w:tcBorders>
              <w:top w:val="nil"/>
              <w:left w:val="nil"/>
              <w:bottom w:val="single" w:sz="4" w:space="0" w:color="auto"/>
              <w:right w:val="nil"/>
            </w:tcBorders>
            <w:shd w:val="clear" w:color="auto" w:fill="auto"/>
            <w:noWrap/>
            <w:vAlign w:val="bottom"/>
            <w:hideMark/>
          </w:tcPr>
          <w:p w:rsidR="00704880" w:rsidRPr="00704880" w:rsidRDefault="00704880" w:rsidP="008F0571">
            <w:pPr>
              <w:keepNext/>
              <w:keepLines/>
              <w:tabs>
                <w:tab w:val="clear" w:pos="567"/>
              </w:tabs>
              <w:spacing w:after="0" w:line="240" w:lineRule="auto"/>
              <w:jc w:val="right"/>
              <w:rPr>
                <w:rFonts w:ascii="Calibri" w:eastAsia="Times New Roman" w:hAnsi="Calibri" w:cs="Times New Roman"/>
                <w:sz w:val="20"/>
                <w:szCs w:val="20"/>
                <w:lang w:eastAsia="en-AU"/>
              </w:rPr>
            </w:pPr>
            <w:r w:rsidRPr="00704880">
              <w:rPr>
                <w:rFonts w:ascii="Calibri" w:eastAsia="Times New Roman" w:hAnsi="Calibri" w:cs="Times New Roman"/>
                <w:sz w:val="20"/>
                <w:szCs w:val="20"/>
                <w:lang w:eastAsia="en-AU"/>
              </w:rPr>
              <w:t>20</w:t>
            </w:r>
          </w:p>
        </w:tc>
        <w:tc>
          <w:tcPr>
            <w:tcW w:w="680" w:type="dxa"/>
            <w:tcBorders>
              <w:top w:val="nil"/>
              <w:left w:val="nil"/>
              <w:bottom w:val="single" w:sz="4" w:space="0" w:color="auto"/>
              <w:right w:val="nil"/>
            </w:tcBorders>
            <w:shd w:val="clear" w:color="auto" w:fill="auto"/>
            <w:noWrap/>
            <w:vAlign w:val="bottom"/>
            <w:hideMark/>
          </w:tcPr>
          <w:p w:rsidR="00704880" w:rsidRPr="00704880" w:rsidRDefault="00704880" w:rsidP="008F0571">
            <w:pPr>
              <w:keepNext/>
              <w:keepLines/>
              <w:tabs>
                <w:tab w:val="clear" w:pos="567"/>
              </w:tabs>
              <w:spacing w:after="0" w:line="240" w:lineRule="auto"/>
              <w:jc w:val="right"/>
              <w:rPr>
                <w:rFonts w:ascii="Calibri" w:eastAsia="Times New Roman" w:hAnsi="Calibri" w:cs="Times New Roman"/>
                <w:sz w:val="20"/>
                <w:szCs w:val="20"/>
                <w:lang w:eastAsia="en-AU"/>
              </w:rPr>
            </w:pPr>
            <w:r w:rsidRPr="00704880">
              <w:rPr>
                <w:rFonts w:ascii="Calibri" w:eastAsia="Times New Roman" w:hAnsi="Calibri" w:cs="Times New Roman"/>
                <w:sz w:val="20"/>
                <w:szCs w:val="20"/>
                <w:lang w:eastAsia="en-AU"/>
              </w:rPr>
              <w:t>-36</w:t>
            </w:r>
          </w:p>
        </w:tc>
        <w:tc>
          <w:tcPr>
            <w:tcW w:w="720" w:type="dxa"/>
            <w:tcBorders>
              <w:top w:val="nil"/>
              <w:left w:val="nil"/>
              <w:bottom w:val="single" w:sz="4" w:space="0" w:color="auto"/>
              <w:right w:val="nil"/>
            </w:tcBorders>
            <w:shd w:val="clear" w:color="auto" w:fill="auto"/>
            <w:noWrap/>
            <w:vAlign w:val="bottom"/>
            <w:hideMark/>
          </w:tcPr>
          <w:p w:rsidR="00704880" w:rsidRPr="00704880" w:rsidRDefault="00704880" w:rsidP="008F0571">
            <w:pPr>
              <w:keepNext/>
              <w:keepLines/>
              <w:tabs>
                <w:tab w:val="clear" w:pos="567"/>
              </w:tabs>
              <w:spacing w:after="0" w:line="240" w:lineRule="auto"/>
              <w:jc w:val="right"/>
              <w:rPr>
                <w:rFonts w:ascii="Calibri" w:eastAsia="Times New Roman" w:hAnsi="Calibri" w:cs="Times New Roman"/>
                <w:sz w:val="20"/>
                <w:szCs w:val="20"/>
                <w:lang w:eastAsia="en-AU"/>
              </w:rPr>
            </w:pPr>
            <w:r w:rsidRPr="00704880">
              <w:rPr>
                <w:rFonts w:ascii="Calibri" w:eastAsia="Times New Roman" w:hAnsi="Calibri" w:cs="Times New Roman"/>
                <w:sz w:val="20"/>
                <w:szCs w:val="20"/>
                <w:lang w:eastAsia="en-AU"/>
              </w:rPr>
              <w:t>138</w:t>
            </w:r>
          </w:p>
        </w:tc>
        <w:tc>
          <w:tcPr>
            <w:tcW w:w="820" w:type="dxa"/>
            <w:tcBorders>
              <w:top w:val="nil"/>
              <w:left w:val="nil"/>
              <w:bottom w:val="single" w:sz="4" w:space="0" w:color="auto"/>
              <w:right w:val="nil"/>
            </w:tcBorders>
            <w:shd w:val="clear" w:color="auto" w:fill="auto"/>
            <w:noWrap/>
            <w:vAlign w:val="bottom"/>
            <w:hideMark/>
          </w:tcPr>
          <w:p w:rsidR="00704880" w:rsidRPr="00704880" w:rsidRDefault="00704880" w:rsidP="008F0571">
            <w:pPr>
              <w:keepNext/>
              <w:keepLines/>
              <w:tabs>
                <w:tab w:val="clear" w:pos="567"/>
              </w:tabs>
              <w:spacing w:after="0" w:line="240" w:lineRule="auto"/>
              <w:jc w:val="right"/>
              <w:rPr>
                <w:rFonts w:ascii="Calibri" w:eastAsia="Times New Roman" w:hAnsi="Calibri" w:cs="Times New Roman"/>
                <w:sz w:val="20"/>
                <w:szCs w:val="20"/>
                <w:lang w:eastAsia="en-AU"/>
              </w:rPr>
            </w:pPr>
            <w:r w:rsidRPr="00704880">
              <w:rPr>
                <w:rFonts w:ascii="Calibri" w:eastAsia="Times New Roman" w:hAnsi="Calibri" w:cs="Times New Roman"/>
                <w:sz w:val="20"/>
                <w:szCs w:val="20"/>
                <w:lang w:eastAsia="en-AU"/>
              </w:rPr>
              <w:t>9</w:t>
            </w:r>
          </w:p>
        </w:tc>
      </w:tr>
    </w:tbl>
    <w:p w:rsidR="008F56A6" w:rsidRDefault="00481CEF" w:rsidP="00481CEF">
      <w:pPr>
        <w:pStyle w:val="CGCTableFootnote"/>
      </w:pPr>
      <w:r>
        <w:t>Source:</w:t>
      </w:r>
      <w:r>
        <w:tab/>
        <w:t xml:space="preserve">Commission calculation, 2018 </w:t>
      </w:r>
      <w:proofErr w:type="gramStart"/>
      <w:r>
        <w:t>Update</w:t>
      </w:r>
      <w:proofErr w:type="gramEnd"/>
      <w:r>
        <w:t>.</w:t>
      </w:r>
    </w:p>
    <w:p w:rsidR="00F83306" w:rsidRDefault="00F83306" w:rsidP="00F83306">
      <w:pPr>
        <w:pStyle w:val="Heading3"/>
      </w:pPr>
      <w:bookmarkStart w:id="36" w:name="_Toc508121235"/>
      <w:bookmarkStart w:id="37" w:name="_Toc511660962"/>
      <w:r>
        <w:t>ISSUES AND ANALYSIS</w:t>
      </w:r>
      <w:bookmarkEnd w:id="36"/>
      <w:bookmarkEnd w:id="37"/>
    </w:p>
    <w:p w:rsidR="00F83306" w:rsidRDefault="00A95466" w:rsidP="00F83306">
      <w:pPr>
        <w:pStyle w:val="Heading4"/>
      </w:pPr>
      <w:bookmarkStart w:id="38" w:name="_Toc508121236"/>
      <w:bookmarkStart w:id="39" w:name="_Toc511660963"/>
      <w:r>
        <w:t>B</w:t>
      </w:r>
      <w:r w:rsidR="0052435E" w:rsidRPr="0052435E">
        <w:t>usiness development expenses</w:t>
      </w:r>
      <w:bookmarkEnd w:id="38"/>
      <w:bookmarkEnd w:id="39"/>
    </w:p>
    <w:p w:rsidR="009F3B38" w:rsidRDefault="008705BD" w:rsidP="00756A0C">
      <w:pPr>
        <w:pStyle w:val="CGCNumberedPara"/>
      </w:pPr>
      <w:bookmarkStart w:id="40" w:name="_Ref507594646"/>
      <w:r>
        <w:t xml:space="preserve">For the purposes </w:t>
      </w:r>
      <w:r w:rsidR="00AA6D84">
        <w:t xml:space="preserve">of </w:t>
      </w:r>
      <w:r>
        <w:t>this assessment</w:t>
      </w:r>
      <w:r w:rsidR="00B552CE">
        <w:t>,</w:t>
      </w:r>
      <w:r>
        <w:t xml:space="preserve"> b</w:t>
      </w:r>
      <w:r w:rsidR="000E0CEA">
        <w:t xml:space="preserve">usiness development expenses </w:t>
      </w:r>
      <w:r>
        <w:t>are</w:t>
      </w:r>
      <w:r w:rsidR="000E0CEA">
        <w:t xml:space="preserve"> defined </w:t>
      </w:r>
      <w:r w:rsidR="00B552CE">
        <w:t>as</w:t>
      </w:r>
      <w:r w:rsidR="00AE5173">
        <w:t xml:space="preserve"> </w:t>
      </w:r>
      <w:r w:rsidR="00B552CE">
        <w:t xml:space="preserve">State </w:t>
      </w:r>
      <w:r w:rsidR="00756A0C">
        <w:t xml:space="preserve">expenses </w:t>
      </w:r>
      <w:r w:rsidR="00B552CE">
        <w:t xml:space="preserve">(grants, subsidies or government services) intended to </w:t>
      </w:r>
      <w:r w:rsidR="007629C6">
        <w:t xml:space="preserve">assist </w:t>
      </w:r>
      <w:r w:rsidR="00E437BB">
        <w:t>or</w:t>
      </w:r>
      <w:r w:rsidR="007629C6">
        <w:t xml:space="preserve"> benefit businesses or industry</w:t>
      </w:r>
      <w:r w:rsidR="00E437BB">
        <w:t>.</w:t>
      </w:r>
      <w:r w:rsidR="0084594C">
        <w:t xml:space="preserve"> </w:t>
      </w:r>
      <w:r w:rsidR="00A95466">
        <w:t xml:space="preserve">Examples of </w:t>
      </w:r>
      <w:r w:rsidR="00775B1E">
        <w:t xml:space="preserve">State </w:t>
      </w:r>
      <w:r w:rsidR="00A95466">
        <w:t xml:space="preserve">business development expenses </w:t>
      </w:r>
      <w:r w:rsidR="003049FB">
        <w:t>include</w:t>
      </w:r>
      <w:r w:rsidR="009F3B38">
        <w:t>:</w:t>
      </w:r>
      <w:bookmarkEnd w:id="40"/>
    </w:p>
    <w:p w:rsidR="009F3B38" w:rsidRDefault="009F3B38" w:rsidP="009F3B38">
      <w:pPr>
        <w:pStyle w:val="CGCBulletlist"/>
      </w:pPr>
      <w:r>
        <w:t>research and development</w:t>
      </w:r>
      <w:r w:rsidR="00775B1E">
        <w:t xml:space="preserve"> (R&amp;D)</w:t>
      </w:r>
      <w:r w:rsidR="00775B1E">
        <w:rPr>
          <w:rStyle w:val="FootnoteReference"/>
        </w:rPr>
        <w:footnoteReference w:id="1"/>
      </w:r>
    </w:p>
    <w:p w:rsidR="009F3B38" w:rsidRDefault="009F3B38" w:rsidP="009F3B38">
      <w:pPr>
        <w:pStyle w:val="CGCBulletlist"/>
      </w:pPr>
      <w:r>
        <w:t>rural irrigation</w:t>
      </w:r>
      <w:r w:rsidR="006B4FCC">
        <w:t xml:space="preserve"> projects</w:t>
      </w:r>
    </w:p>
    <w:p w:rsidR="009F3B38" w:rsidRDefault="009F3B38" w:rsidP="009F3B38">
      <w:pPr>
        <w:pStyle w:val="CGCBulletlist"/>
      </w:pPr>
      <w:r>
        <w:t>trade and investment promotion</w:t>
      </w:r>
    </w:p>
    <w:p w:rsidR="009F3B38" w:rsidRDefault="009F3B38" w:rsidP="009F3B38">
      <w:pPr>
        <w:pStyle w:val="CGCBulletlist"/>
      </w:pPr>
      <w:r>
        <w:t xml:space="preserve">tourism </w:t>
      </w:r>
      <w:r w:rsidR="00775B1E">
        <w:t xml:space="preserve">and major events </w:t>
      </w:r>
      <w:r>
        <w:t>development</w:t>
      </w:r>
      <w:r w:rsidR="00775B1E">
        <w:t xml:space="preserve"> and promotion</w:t>
      </w:r>
    </w:p>
    <w:p w:rsidR="009F3B38" w:rsidRDefault="009F3B38" w:rsidP="009F3B38">
      <w:pPr>
        <w:pStyle w:val="CGCBulletlist"/>
      </w:pPr>
      <w:r>
        <w:t>small business support</w:t>
      </w:r>
    </w:p>
    <w:p w:rsidR="009F3B38" w:rsidRDefault="009F3B38" w:rsidP="009F3B38">
      <w:pPr>
        <w:pStyle w:val="CGCBulletlist"/>
      </w:pPr>
      <w:r>
        <w:t>drought assistance</w:t>
      </w:r>
    </w:p>
    <w:p w:rsidR="009F3B38" w:rsidRDefault="009F3B38" w:rsidP="009F3B38">
      <w:pPr>
        <w:pStyle w:val="CGCBulletlist"/>
      </w:pPr>
      <w:r>
        <w:t>regional economic development</w:t>
      </w:r>
    </w:p>
    <w:p w:rsidR="0084594C" w:rsidRDefault="0084594C" w:rsidP="009F3B38">
      <w:pPr>
        <w:pStyle w:val="CGCBulletlist"/>
      </w:pPr>
      <w:r>
        <w:t>job creation measures</w:t>
      </w:r>
    </w:p>
    <w:p w:rsidR="00775B1E" w:rsidRDefault="009F3B38" w:rsidP="00775B1E">
      <w:pPr>
        <w:pStyle w:val="CGCBulletlist"/>
      </w:pPr>
      <w:r>
        <w:t>mining exploration</w:t>
      </w:r>
      <w:r w:rsidR="00775B1E">
        <w:t xml:space="preserve"> and geological surveying</w:t>
      </w:r>
    </w:p>
    <w:p w:rsidR="009F3B38" w:rsidRDefault="006B4FCC" w:rsidP="009F3B38">
      <w:pPr>
        <w:pStyle w:val="CGCBulletlist"/>
      </w:pPr>
      <w:proofErr w:type="gramStart"/>
      <w:r>
        <w:t>other</w:t>
      </w:r>
      <w:proofErr w:type="gramEnd"/>
      <w:r>
        <w:t xml:space="preserve"> </w:t>
      </w:r>
      <w:r w:rsidR="009F3B38">
        <w:t xml:space="preserve">industry </w:t>
      </w:r>
      <w:r w:rsidR="00775B1E">
        <w:t>assistance</w:t>
      </w:r>
      <w:r w:rsidR="0084594C">
        <w:t>.</w:t>
      </w:r>
    </w:p>
    <w:p w:rsidR="0084594C" w:rsidRDefault="0084594C" w:rsidP="0084594C">
      <w:pPr>
        <w:pStyle w:val="CGCNumberedPara"/>
      </w:pPr>
      <w:r>
        <w:t xml:space="preserve">This </w:t>
      </w:r>
      <w:r w:rsidR="00FF23E7">
        <w:t>is not the</w:t>
      </w:r>
      <w:r>
        <w:t xml:space="preserve"> full range of </w:t>
      </w:r>
      <w:r w:rsidR="00775B1E">
        <w:t>expenses</w:t>
      </w:r>
      <w:r>
        <w:t xml:space="preserve"> which might be regarded as business or industry development. For example, it does not include spending on health and education, government purchasing preferences</w:t>
      </w:r>
      <w:r w:rsidR="006B4FCC">
        <w:t>,</w:t>
      </w:r>
      <w:r>
        <w:t xml:space="preserve"> local content requirements</w:t>
      </w:r>
      <w:r w:rsidR="006B4FCC">
        <w:t>,</w:t>
      </w:r>
      <w:r>
        <w:t xml:space="preserve"> or tax concessions.</w:t>
      </w:r>
      <w:r w:rsidR="00840062">
        <w:t xml:space="preserve"> However, </w:t>
      </w:r>
      <w:proofErr w:type="gramStart"/>
      <w:r w:rsidR="00840062">
        <w:t>staff consider</w:t>
      </w:r>
      <w:proofErr w:type="gramEnd"/>
      <w:r w:rsidR="00840062">
        <w:t xml:space="preserve"> the list covers the main types of business development expenses within the scope of the Services to industry category.</w:t>
      </w:r>
      <w:r w:rsidR="00FF7CE5">
        <w:rPr>
          <w:rStyle w:val="FootnoteReference"/>
        </w:rPr>
        <w:footnoteReference w:id="2"/>
      </w:r>
    </w:p>
    <w:p w:rsidR="00C169F6" w:rsidRDefault="0084594C" w:rsidP="0084594C">
      <w:pPr>
        <w:pStyle w:val="CGCNumberedPara"/>
      </w:pPr>
      <w:r>
        <w:t>In the 2015 Review, the Commission assessed business development expenses EPC because it could not identify the conceptual case for a differential assessment</w:t>
      </w:r>
      <w:r w:rsidR="00F468FB">
        <w:t xml:space="preserve"> and population seemed to be the most appropriate driver</w:t>
      </w:r>
      <w:r>
        <w:t xml:space="preserve">. This has been the Commission’s approach to business development expenses for some time. </w:t>
      </w:r>
      <w:r w:rsidR="00C169F6">
        <w:t xml:space="preserve">The </w:t>
      </w:r>
      <w:r w:rsidR="003770B8">
        <w:t xml:space="preserve">main </w:t>
      </w:r>
      <w:r w:rsidR="00C169F6">
        <w:t xml:space="preserve">difficulty </w:t>
      </w:r>
      <w:r w:rsidR="003770B8">
        <w:t>for the assessment is</w:t>
      </w:r>
      <w:r w:rsidR="00C169F6">
        <w:t xml:space="preserve"> establishing why a State would need to spend more or less than the average in developing its industries and businesses. </w:t>
      </w:r>
      <w:r w:rsidR="00096CA9">
        <w:t>We observe that a</w:t>
      </w:r>
      <w:r w:rsidR="00C169F6">
        <w:t xml:space="preserve">ll States fund </w:t>
      </w:r>
      <w:r w:rsidR="00601D86">
        <w:t>business development</w:t>
      </w:r>
      <w:r w:rsidR="00851668">
        <w:t>,</w:t>
      </w:r>
      <w:r w:rsidR="00C169F6">
        <w:t xml:space="preserve"> but</w:t>
      </w:r>
      <w:r w:rsidR="00A72797">
        <w:t xml:space="preserve"> </w:t>
      </w:r>
      <w:r w:rsidR="003770B8">
        <w:t xml:space="preserve">States exercise considerable discretion in deciding </w:t>
      </w:r>
      <w:r w:rsidR="00A72797">
        <w:t>how much to spend and which industries should benefit</w:t>
      </w:r>
      <w:r w:rsidR="00851668">
        <w:t>.</w:t>
      </w:r>
      <w:r w:rsidR="00161FB5">
        <w:rPr>
          <w:rStyle w:val="FootnoteReference"/>
        </w:rPr>
        <w:footnoteReference w:id="3"/>
      </w:r>
      <w:r w:rsidR="00C169F6">
        <w:t xml:space="preserve"> Some </w:t>
      </w:r>
      <w:r w:rsidR="003770B8">
        <w:t xml:space="preserve">States </w:t>
      </w:r>
      <w:r w:rsidR="00601D86">
        <w:t xml:space="preserve">have </w:t>
      </w:r>
      <w:r w:rsidR="00C169F6">
        <w:t>argue</w:t>
      </w:r>
      <w:r w:rsidR="00601D86">
        <w:t>d</w:t>
      </w:r>
      <w:r w:rsidR="00C169F6">
        <w:t xml:space="preserve"> that the </w:t>
      </w:r>
      <w:r w:rsidR="00851668">
        <w:t>pr</w:t>
      </w:r>
      <w:r w:rsidR="003770B8">
        <w:t>esence</w:t>
      </w:r>
      <w:r w:rsidR="00851668">
        <w:t xml:space="preserve"> </w:t>
      </w:r>
      <w:r w:rsidR="009C536A">
        <w:t xml:space="preserve">of </w:t>
      </w:r>
      <w:r w:rsidR="00601D86">
        <w:t>existing</w:t>
      </w:r>
      <w:r w:rsidR="00C169F6">
        <w:t xml:space="preserve"> </w:t>
      </w:r>
      <w:r w:rsidR="009C536A">
        <w:t>industries</w:t>
      </w:r>
      <w:r w:rsidR="00C169F6">
        <w:t>, for example agriculture</w:t>
      </w:r>
      <w:r w:rsidR="00851668">
        <w:t xml:space="preserve"> or mining</w:t>
      </w:r>
      <w:r w:rsidR="00C169F6">
        <w:t xml:space="preserve">, </w:t>
      </w:r>
      <w:r w:rsidR="003770B8">
        <w:t>results in an above average need for spending to</w:t>
      </w:r>
      <w:r w:rsidR="00851668">
        <w:t xml:space="preserve"> </w:t>
      </w:r>
      <w:r w:rsidR="00451C5B">
        <w:t xml:space="preserve">further </w:t>
      </w:r>
      <w:r w:rsidR="003770B8">
        <w:t>develop</w:t>
      </w:r>
      <w:r w:rsidR="00851668">
        <w:t xml:space="preserve"> th</w:t>
      </w:r>
      <w:r w:rsidR="006B4FCC">
        <w:t>o</w:t>
      </w:r>
      <w:r w:rsidR="009C536A">
        <w:t>se industries</w:t>
      </w:r>
      <w:r w:rsidR="00851668">
        <w:t xml:space="preserve">. </w:t>
      </w:r>
      <w:r w:rsidR="009C536A">
        <w:t xml:space="preserve">However, </w:t>
      </w:r>
      <w:r w:rsidR="00336DAB">
        <w:t xml:space="preserve">successive </w:t>
      </w:r>
      <w:r w:rsidR="00BF0DA9">
        <w:t xml:space="preserve">Commission </w:t>
      </w:r>
      <w:r w:rsidR="00336DAB">
        <w:t xml:space="preserve">have </w:t>
      </w:r>
      <w:r w:rsidR="00096CA9">
        <w:t xml:space="preserve">not </w:t>
      </w:r>
      <w:r w:rsidR="00336DAB">
        <w:t xml:space="preserve">been </w:t>
      </w:r>
      <w:r w:rsidR="00096CA9">
        <w:t xml:space="preserve">persuaded that the </w:t>
      </w:r>
      <w:r w:rsidR="00851668">
        <w:t>presence of a particular industry</w:t>
      </w:r>
      <w:r w:rsidR="00451C5B">
        <w:t>, or stage of development,</w:t>
      </w:r>
      <w:r w:rsidR="00C83690">
        <w:t xml:space="preserve"> </w:t>
      </w:r>
      <w:r w:rsidR="00851668">
        <w:t xml:space="preserve">necessitates </w:t>
      </w:r>
      <w:r w:rsidR="009C536A">
        <w:t xml:space="preserve">higher </w:t>
      </w:r>
      <w:r w:rsidR="00096CA9">
        <w:t xml:space="preserve">business development </w:t>
      </w:r>
      <w:r w:rsidR="009C536A">
        <w:t>spending</w:t>
      </w:r>
      <w:r w:rsidR="003770B8">
        <w:t xml:space="preserve"> overall</w:t>
      </w:r>
      <w:r w:rsidR="00851668">
        <w:t>.</w:t>
      </w:r>
      <w:r w:rsidR="00096CA9">
        <w:t xml:space="preserve"> </w:t>
      </w:r>
    </w:p>
    <w:p w:rsidR="00161FB5" w:rsidRDefault="00161FB5" w:rsidP="009C536A">
      <w:pPr>
        <w:pStyle w:val="CGCNumberedPara"/>
      </w:pPr>
      <w:bookmarkStart w:id="41" w:name="_Ref508018369"/>
      <w:r>
        <w:t>Given</w:t>
      </w:r>
      <w:r w:rsidR="009C536A">
        <w:t xml:space="preserve"> the discretion States have in how much is spent and an absence of evidence that particular industries result in the need for higher or lower spending overall, staff are not proposing to change the assessment.</w:t>
      </w:r>
      <w:bookmarkEnd w:id="41"/>
      <w:r w:rsidR="00096CA9">
        <w:t xml:space="preserve"> </w:t>
      </w:r>
    </w:p>
    <w:p w:rsidR="00160FE0" w:rsidRDefault="00161FB5" w:rsidP="009C536A">
      <w:pPr>
        <w:pStyle w:val="CGCNumberedPara"/>
      </w:pPr>
      <w:r>
        <w:t>The wage costs disability is</w:t>
      </w:r>
      <w:r w:rsidR="009C536A">
        <w:t xml:space="preserve"> applied to business development expenses. </w:t>
      </w:r>
      <w:r w:rsidR="00FF23E7">
        <w:t xml:space="preserve">There is also an </w:t>
      </w:r>
      <w:r w:rsidR="009C536A">
        <w:t xml:space="preserve">administrative scale </w:t>
      </w:r>
      <w:r w:rsidR="00FF23E7">
        <w:t xml:space="preserve">allowance for </w:t>
      </w:r>
      <w:r>
        <w:t>the component</w:t>
      </w:r>
      <w:r w:rsidR="00FF23E7">
        <w:t xml:space="preserve"> recognising</w:t>
      </w:r>
      <w:r w:rsidR="009C536A">
        <w:t xml:space="preserve"> that there are minimum fixed costs associated with the normal range of business de</w:t>
      </w:r>
      <w:r w:rsidR="00160FE0">
        <w:t>velopment activities States</w:t>
      </w:r>
      <w:r w:rsidR="00FF23E7">
        <w:t xml:space="preserve"> perform</w:t>
      </w:r>
      <w:r w:rsidR="00074FC1">
        <w:t xml:space="preserve"> which include</w:t>
      </w:r>
      <w:r w:rsidR="00160FE0">
        <w:t>:</w:t>
      </w:r>
    </w:p>
    <w:p w:rsidR="00160FE0" w:rsidRDefault="00160FE0" w:rsidP="00160FE0">
      <w:pPr>
        <w:pStyle w:val="CGCBulletlist"/>
      </w:pPr>
      <w:r>
        <w:t xml:space="preserve">a </w:t>
      </w:r>
      <w:r w:rsidRPr="00010B6C">
        <w:t>geological survey office</w:t>
      </w:r>
    </w:p>
    <w:p w:rsidR="009C536A" w:rsidRDefault="00160FE0" w:rsidP="00160FE0">
      <w:pPr>
        <w:pStyle w:val="CGCBulletlist"/>
      </w:pPr>
      <w:r>
        <w:t>State and regional development unit</w:t>
      </w:r>
      <w:r w:rsidR="00074FC1">
        <w:t>s</w:t>
      </w:r>
    </w:p>
    <w:p w:rsidR="00160FE0" w:rsidRDefault="00074FC1" w:rsidP="00160FE0">
      <w:pPr>
        <w:pStyle w:val="CGCBulletlist"/>
      </w:pPr>
      <w:r>
        <w:t xml:space="preserve">a </w:t>
      </w:r>
      <w:r w:rsidR="00160FE0">
        <w:t>small business development unit</w:t>
      </w:r>
    </w:p>
    <w:p w:rsidR="00160FE0" w:rsidRDefault="00074FC1" w:rsidP="00160FE0">
      <w:pPr>
        <w:pStyle w:val="CGCBulletlist"/>
      </w:pPr>
      <w:proofErr w:type="gramStart"/>
      <w:r>
        <w:t>a</w:t>
      </w:r>
      <w:proofErr w:type="gramEnd"/>
      <w:r w:rsidR="000D1568">
        <w:t xml:space="preserve"> </w:t>
      </w:r>
      <w:r w:rsidR="00160FE0">
        <w:t>tourism authority.</w:t>
      </w:r>
      <w:r w:rsidR="00160FE0">
        <w:rPr>
          <w:rStyle w:val="FootnoteReference"/>
        </w:rPr>
        <w:footnoteReference w:id="4"/>
      </w:r>
    </w:p>
    <w:p w:rsidR="00E117A4" w:rsidRDefault="00E117A4" w:rsidP="00E117A4"/>
    <w:tbl>
      <w:tblPr>
        <w:tblW w:w="0" w:type="auto"/>
        <w:tblInd w:w="108" w:type="dxa"/>
        <w:shd w:val="clear" w:color="auto" w:fill="D9F3E6"/>
        <w:tblLook w:val="04A0" w:firstRow="1" w:lastRow="0" w:firstColumn="1" w:lastColumn="0" w:noHBand="0" w:noVBand="1"/>
      </w:tblPr>
      <w:tblGrid>
        <w:gridCol w:w="8931"/>
      </w:tblGrid>
      <w:tr w:rsidR="00B7517F" w:rsidRPr="00E674AF" w:rsidTr="00A23C56">
        <w:tc>
          <w:tcPr>
            <w:tcW w:w="8931" w:type="dxa"/>
            <w:shd w:val="clear" w:color="auto" w:fill="D9F3E6"/>
          </w:tcPr>
          <w:p w:rsidR="00B7517F" w:rsidRPr="00E674AF" w:rsidRDefault="00184C33" w:rsidP="00A23C56">
            <w:r>
              <w:br w:type="page"/>
            </w:r>
            <w:r w:rsidR="00B7517F" w:rsidRPr="00B7517F">
              <w:t>Staff propose to recommend the Commission:</w:t>
            </w:r>
          </w:p>
          <w:p w:rsidR="001E5573" w:rsidRDefault="003770B8" w:rsidP="009C536A">
            <w:pPr>
              <w:pStyle w:val="CGCBulletlist"/>
              <w:numPr>
                <w:ilvl w:val="0"/>
                <w:numId w:val="1"/>
              </w:numPr>
              <w:tabs>
                <w:tab w:val="clear" w:pos="927"/>
                <w:tab w:val="clear" w:pos="1134"/>
              </w:tabs>
              <w:ind w:left="1134" w:hanging="567"/>
            </w:pPr>
            <w:r>
              <w:t>c</w:t>
            </w:r>
            <w:r w:rsidR="001E5573">
              <w:t>ontinue to assess b</w:t>
            </w:r>
            <w:r w:rsidR="002703AD">
              <w:t>usiness development expense</w:t>
            </w:r>
            <w:r w:rsidR="00BF0DA9">
              <w:t>s</w:t>
            </w:r>
            <w:r w:rsidR="002703AD">
              <w:t xml:space="preserve"> EPC</w:t>
            </w:r>
          </w:p>
          <w:p w:rsidR="00160FE0" w:rsidRDefault="00160FE0" w:rsidP="00FF23E7">
            <w:pPr>
              <w:pStyle w:val="CGCBulletlist"/>
              <w:numPr>
                <w:ilvl w:val="0"/>
                <w:numId w:val="1"/>
              </w:numPr>
              <w:tabs>
                <w:tab w:val="clear" w:pos="927"/>
                <w:tab w:val="clear" w:pos="1134"/>
              </w:tabs>
              <w:ind w:left="1134" w:hanging="567"/>
            </w:pPr>
            <w:r>
              <w:t xml:space="preserve">continue to apply </w:t>
            </w:r>
            <w:r w:rsidR="00FF23E7">
              <w:t xml:space="preserve">the </w:t>
            </w:r>
            <w:r>
              <w:t xml:space="preserve">wage costs </w:t>
            </w:r>
            <w:r w:rsidR="00FF23E7">
              <w:t>disability</w:t>
            </w:r>
            <w:r>
              <w:t xml:space="preserve"> to State business development expenses</w:t>
            </w:r>
          </w:p>
          <w:p w:rsidR="00FF23E7" w:rsidRPr="00E674AF" w:rsidRDefault="00FF23E7" w:rsidP="00FF23E7">
            <w:pPr>
              <w:pStyle w:val="CGCBulletlist"/>
              <w:numPr>
                <w:ilvl w:val="0"/>
                <w:numId w:val="1"/>
              </w:numPr>
              <w:tabs>
                <w:tab w:val="clear" w:pos="927"/>
                <w:tab w:val="clear" w:pos="1134"/>
              </w:tabs>
              <w:ind w:left="1134" w:hanging="567"/>
            </w:pPr>
            <w:proofErr w:type="gramStart"/>
            <w:r>
              <w:t>continue</w:t>
            </w:r>
            <w:proofErr w:type="gramEnd"/>
            <w:r>
              <w:t xml:space="preserve"> to recognise that there are minimum fixed costs associated with the normal range of business development activities States perform.</w:t>
            </w:r>
          </w:p>
        </w:tc>
      </w:tr>
    </w:tbl>
    <w:p w:rsidR="00B7517F" w:rsidRDefault="0052435E" w:rsidP="00B7517F">
      <w:pPr>
        <w:pStyle w:val="Heading4"/>
      </w:pPr>
      <w:bookmarkStart w:id="42" w:name="_Toc508121237"/>
      <w:bookmarkStart w:id="43" w:name="_Toc511660964"/>
      <w:r w:rsidRPr="0052435E">
        <w:t>Assessing regulation and other industry support services</w:t>
      </w:r>
      <w:bookmarkEnd w:id="42"/>
      <w:bookmarkEnd w:id="43"/>
    </w:p>
    <w:p w:rsidR="00074FC1" w:rsidRDefault="00074FC1" w:rsidP="0052435E">
      <w:pPr>
        <w:pStyle w:val="CGCNumberedPara"/>
      </w:pPr>
      <w:r>
        <w:t>Apart from business development, Service to industry includes State spending on regulation and other industry support services.</w:t>
      </w:r>
    </w:p>
    <w:p w:rsidR="00C31C84" w:rsidRDefault="00A17A66" w:rsidP="00074FC1">
      <w:pPr>
        <w:pStyle w:val="CGCBulletlist"/>
      </w:pPr>
      <w:r>
        <w:t>Regulation</w:t>
      </w:r>
      <w:r w:rsidR="00C31C84">
        <w:t xml:space="preserve"> can be defined as guidelines, codes, standards, rules or laws designed to control, govern or influence the way people and businesses behave. </w:t>
      </w:r>
      <w:r w:rsidR="00876F8D">
        <w:t>R</w:t>
      </w:r>
      <w:r w:rsidR="00C31C84">
        <w:t xml:space="preserve">egulation expenses include costs associated with developing and maintaining regulations, </w:t>
      </w:r>
      <w:r w:rsidR="00FF23E7">
        <w:t xml:space="preserve">as well as </w:t>
      </w:r>
      <w:r w:rsidR="00C31C84">
        <w:t>costs associated with promoting, monitoring and enforcing regulations.</w:t>
      </w:r>
      <w:r>
        <w:t xml:space="preserve"> Most of the regulation expenses included in this category relate to businesses and industry. </w:t>
      </w:r>
      <w:r w:rsidR="007D5E4E">
        <w:t>Regulation of other sectors, such as education or health, is</w:t>
      </w:r>
      <w:r>
        <w:t xml:space="preserve"> included in the relevant </w:t>
      </w:r>
      <w:r w:rsidR="007D5E4E">
        <w:t>divisions of COFOG</w:t>
      </w:r>
      <w:r w:rsidR="007D5E4E">
        <w:noBreakHyphen/>
        <w:t>A, and category disabilities are applied.</w:t>
      </w:r>
    </w:p>
    <w:p w:rsidR="00CD2873" w:rsidRPr="00A17A66" w:rsidRDefault="00074FC1" w:rsidP="00074FC1">
      <w:pPr>
        <w:pStyle w:val="CGCBulletlist"/>
      </w:pPr>
      <w:r>
        <w:t>Other industry support services</w:t>
      </w:r>
      <w:r w:rsidR="00C31C84" w:rsidRPr="00A17A66">
        <w:t xml:space="preserve"> </w:t>
      </w:r>
      <w:r w:rsidR="00BF0DA9">
        <w:t>can</w:t>
      </w:r>
      <w:r w:rsidR="00C31C84" w:rsidRPr="00A17A66">
        <w:t xml:space="preserve"> be defined as those which </w:t>
      </w:r>
      <w:r w:rsidR="00FF23E7" w:rsidRPr="00A17A66">
        <w:t xml:space="preserve">are not </w:t>
      </w:r>
      <w:r w:rsidR="00C31C84" w:rsidRPr="00A17A66">
        <w:t xml:space="preserve">strictly regulation </w:t>
      </w:r>
      <w:r w:rsidR="00FF23E7" w:rsidRPr="00A17A66">
        <w:t>or business development</w:t>
      </w:r>
      <w:r>
        <w:t xml:space="preserve">. </w:t>
      </w:r>
      <w:r w:rsidRPr="00A17A66">
        <w:t>Examples include biosecurity response</w:t>
      </w:r>
      <w:r>
        <w:t>s</w:t>
      </w:r>
      <w:r w:rsidRPr="00A17A66">
        <w:t xml:space="preserve"> and drought preparedness.</w:t>
      </w:r>
      <w:r>
        <w:t xml:space="preserve"> </w:t>
      </w:r>
      <w:r w:rsidR="00FF23E7" w:rsidRPr="00A17A66">
        <w:t xml:space="preserve"> </w:t>
      </w:r>
    </w:p>
    <w:p w:rsidR="007D5E4E" w:rsidRDefault="00A17A66" w:rsidP="0052435E">
      <w:pPr>
        <w:pStyle w:val="CGCNumberedPara"/>
      </w:pPr>
      <w:r>
        <w:t xml:space="preserve">We consider the </w:t>
      </w:r>
      <w:r w:rsidR="001E5573">
        <w:t>broad driver</w:t>
      </w:r>
      <w:r w:rsidR="000C459F">
        <w:t>s</w:t>
      </w:r>
      <w:r w:rsidR="001E5573">
        <w:t xml:space="preserve"> of </w:t>
      </w:r>
      <w:r>
        <w:t>regulation and other industry support</w:t>
      </w:r>
      <w:r w:rsidR="001E5573">
        <w:t xml:space="preserve"> is the size of the </w:t>
      </w:r>
      <w:r w:rsidR="00611DF1">
        <w:t xml:space="preserve">industry </w:t>
      </w:r>
      <w:r w:rsidR="001E5573">
        <w:t>in question.</w:t>
      </w:r>
      <w:r w:rsidR="00C31C84">
        <w:t xml:space="preserve"> Industry size can have a number of measures,</w:t>
      </w:r>
      <w:r w:rsidR="000C459F">
        <w:t xml:space="preserve"> including value of production or</w:t>
      </w:r>
      <w:r w:rsidR="00C31C84">
        <w:t xml:space="preserve"> number of businesses</w:t>
      </w:r>
      <w:r w:rsidR="000C459F">
        <w:t>. Some regulation targets the broader community</w:t>
      </w:r>
      <w:r w:rsidR="00AA6D84">
        <w:t>,</w:t>
      </w:r>
      <w:r w:rsidR="007D5E4E">
        <w:rPr>
          <w:rStyle w:val="FootnoteReference"/>
        </w:rPr>
        <w:footnoteReference w:id="5"/>
      </w:r>
      <w:r w:rsidR="00C31C84">
        <w:t xml:space="preserve"> </w:t>
      </w:r>
      <w:r w:rsidR="000C459F">
        <w:t xml:space="preserve">in which case </w:t>
      </w:r>
      <w:r w:rsidR="00C31C84">
        <w:t>population</w:t>
      </w:r>
      <w:r w:rsidR="000C459F">
        <w:t xml:space="preserve"> is considered the relevant driver.</w:t>
      </w:r>
      <w:r w:rsidR="00C31C84">
        <w:t xml:space="preserve"> The extent to which each measure drives expenses </w:t>
      </w:r>
      <w:r w:rsidR="000C459F">
        <w:t>is likely to depend</w:t>
      </w:r>
      <w:r w:rsidR="00C31C84">
        <w:t xml:space="preserve"> on the particular industry.</w:t>
      </w:r>
      <w:r w:rsidR="00A807D5">
        <w:t xml:space="preserve"> </w:t>
      </w:r>
      <w:r w:rsidR="000C459F">
        <w:t xml:space="preserve">In general, we consider that the larger an industry, the larger the regulatory task as there is more activity to monitor to ensure industry compliance. </w:t>
      </w:r>
    </w:p>
    <w:p w:rsidR="00230EC8" w:rsidRDefault="00230EC8" w:rsidP="00230EC8">
      <w:pPr>
        <w:pStyle w:val="Heading4"/>
      </w:pPr>
      <w:bookmarkStart w:id="44" w:name="_Toc508121238"/>
      <w:bookmarkStart w:id="45" w:name="_Toc511660965"/>
      <w:r>
        <w:t>Estimating business development and regulation expenses</w:t>
      </w:r>
      <w:bookmarkEnd w:id="44"/>
      <w:bookmarkEnd w:id="45"/>
    </w:p>
    <w:p w:rsidR="00BD3AD0" w:rsidRDefault="00230EC8" w:rsidP="00230EC8">
      <w:pPr>
        <w:pStyle w:val="CGCNumberedPara"/>
      </w:pPr>
      <w:r>
        <w:t>Since the drivers of business development and regulation differ</w:t>
      </w:r>
      <w:r w:rsidR="00BF0DA9">
        <w:t>,</w:t>
      </w:r>
      <w:r>
        <w:t xml:space="preserve"> the assessment requires data for State spending </w:t>
      </w:r>
      <w:r w:rsidR="00BF0DA9">
        <w:t>to be disaggregated by</w:t>
      </w:r>
      <w:r w:rsidR="00146F0F">
        <w:t xml:space="preserve"> function</w:t>
      </w:r>
      <w:r w:rsidR="00E8659F">
        <w:t xml:space="preserve">. These data are </w:t>
      </w:r>
      <w:r>
        <w:t>not available from GFS</w:t>
      </w:r>
      <w:r w:rsidR="00E8659F">
        <w:t xml:space="preserve"> because it</w:t>
      </w:r>
      <w:r>
        <w:t xml:space="preserve"> uses an industry based classification which is not granular enough to separately identify business development and regulation expenses. In the 2010 Review, the Commission used</w:t>
      </w:r>
      <w:r w:rsidR="00E8659F">
        <w:t xml:space="preserve"> data from a</w:t>
      </w:r>
      <w:r>
        <w:t xml:space="preserve"> State collection to estimate </w:t>
      </w:r>
      <w:r w:rsidR="00915669">
        <w:t xml:space="preserve">how much spending for each industry should be classified to </w:t>
      </w:r>
      <w:r w:rsidR="00074FC1">
        <w:t>regulation and business development</w:t>
      </w:r>
      <w:r>
        <w:t xml:space="preserve">. The </w:t>
      </w:r>
      <w:r w:rsidR="00FA7698">
        <w:t xml:space="preserve">2010 Review weights </w:t>
      </w:r>
      <w:r>
        <w:t>were retained in the 2015 Review mainly due to the truncated timeframe for that review. The</w:t>
      </w:r>
      <w:r w:rsidR="00E8659F">
        <w:t>se</w:t>
      </w:r>
      <w:r>
        <w:t xml:space="preserve"> </w:t>
      </w:r>
      <w:r w:rsidR="00FA7698">
        <w:t>weights</w:t>
      </w:r>
      <w:r>
        <w:t xml:space="preserve">, which were </w:t>
      </w:r>
      <w:r w:rsidRPr="00644E9E">
        <w:t>calculated</w:t>
      </w:r>
      <w:r w:rsidR="00FA7698">
        <w:t xml:space="preserve"> separately for agriculture and other </w:t>
      </w:r>
      <w:r w:rsidRPr="00644E9E">
        <w:t>industr</w:t>
      </w:r>
      <w:r w:rsidR="00FA7698">
        <w:t>ies</w:t>
      </w:r>
      <w:r w:rsidRPr="00644E9E">
        <w:t xml:space="preserve">, are shown in </w:t>
      </w:r>
      <w:r w:rsidRPr="00644E9E">
        <w:fldChar w:fldCharType="begin"/>
      </w:r>
      <w:r w:rsidRPr="00644E9E">
        <w:instrText xml:space="preserve"> REF _Ref499650733 \h </w:instrText>
      </w:r>
      <w:r>
        <w:instrText xml:space="preserve"> \* MERGEFORMAT </w:instrText>
      </w:r>
      <w:r w:rsidRPr="00644E9E">
        <w:fldChar w:fldCharType="separate"/>
      </w:r>
      <w:r w:rsidR="00F3280B">
        <w:t>Figure 1</w:t>
      </w:r>
      <w:r w:rsidRPr="00644E9E">
        <w:fldChar w:fldCharType="end"/>
      </w:r>
      <w:r w:rsidRPr="00644E9E">
        <w:t>.</w:t>
      </w:r>
      <w:r w:rsidRPr="00644E9E">
        <w:rPr>
          <w:rStyle w:val="FootnoteReference"/>
        </w:rPr>
        <w:footnoteReference w:id="6"/>
      </w:r>
      <w:r w:rsidR="00FA7698">
        <w:t xml:space="preserve"> </w:t>
      </w:r>
    </w:p>
    <w:p w:rsidR="00230EC8" w:rsidRPr="00644E9E" w:rsidRDefault="00FA7698" w:rsidP="00230EC8">
      <w:pPr>
        <w:pStyle w:val="CGCNumberedPara"/>
      </w:pPr>
      <w:r>
        <w:t xml:space="preserve">The decision in the 2010 Review to treat agriculture separately was based on the observation that States regulate agriculture differently </w:t>
      </w:r>
      <w:r w:rsidR="00611DF1">
        <w:t xml:space="preserve">from </w:t>
      </w:r>
      <w:r>
        <w:t xml:space="preserve">other industries. This is due to the food safety and biosecurity arrangements which exist for agriculture for which States are </w:t>
      </w:r>
      <w:r w:rsidR="00BD3AD0">
        <w:t>mostly</w:t>
      </w:r>
      <w:r>
        <w:t xml:space="preserve"> responsible.</w:t>
      </w:r>
      <w:r w:rsidR="00BD3AD0">
        <w:t xml:space="preserve"> Staff would only recommend a separate assessment for agriculture if it remains material at $30 per capita for any one State. The staff proposal to net off all revenue related to agriculture regulation (see paragraphs </w:t>
      </w:r>
      <w:r w:rsidR="00BD3AD0">
        <w:fldChar w:fldCharType="begin"/>
      </w:r>
      <w:r w:rsidR="00BD3AD0">
        <w:instrText xml:space="preserve"> REF _Ref508095717 \r \h </w:instrText>
      </w:r>
      <w:r w:rsidR="00BD3AD0">
        <w:fldChar w:fldCharType="separate"/>
      </w:r>
      <w:r w:rsidR="00F3280B">
        <w:t>45</w:t>
      </w:r>
      <w:r w:rsidR="00BD3AD0">
        <w:fldChar w:fldCharType="end"/>
      </w:r>
      <w:r w:rsidR="00BD3AD0">
        <w:t xml:space="preserve"> to </w:t>
      </w:r>
      <w:r w:rsidR="00BD3AD0">
        <w:fldChar w:fldCharType="begin"/>
      </w:r>
      <w:r w:rsidR="00BD3AD0">
        <w:instrText xml:space="preserve"> REF _Ref508095728 \r \h </w:instrText>
      </w:r>
      <w:r w:rsidR="00BD3AD0">
        <w:fldChar w:fldCharType="separate"/>
      </w:r>
      <w:r w:rsidR="00F3280B">
        <w:t>47</w:t>
      </w:r>
      <w:r w:rsidR="00BD3AD0">
        <w:fldChar w:fldCharType="end"/>
      </w:r>
      <w:r w:rsidR="00BD3AD0">
        <w:t>)</w:t>
      </w:r>
      <w:r w:rsidR="005A066D">
        <w:t xml:space="preserve"> will affect the materiality of this assessment.</w:t>
      </w:r>
      <w:r w:rsidR="00BD3AD0">
        <w:t xml:space="preserve"> In the last two reviews the Commission considered a separate assessment for mining but an assessment of net mining expenses was not material. </w:t>
      </w:r>
    </w:p>
    <w:p w:rsidR="00230EC8" w:rsidRPr="00644E9E" w:rsidRDefault="00230EC8" w:rsidP="00230EC8">
      <w:pPr>
        <w:pStyle w:val="CGCNumberedPara"/>
      </w:pPr>
      <w:r w:rsidRPr="00644E9E">
        <w:t xml:space="preserve">For this review, </w:t>
      </w:r>
      <w:proofErr w:type="gramStart"/>
      <w:r w:rsidRPr="00644E9E">
        <w:t>staff propose</w:t>
      </w:r>
      <w:proofErr w:type="gramEnd"/>
      <w:r w:rsidRPr="00644E9E">
        <w:t xml:space="preserve"> to collect new data from the States for splitting expenses between business development and regulation. We have already sent to States a draft data request for agriculture, forestry and fishing. Feedback on the data request was mixed. Some States provide</w:t>
      </w:r>
      <w:r w:rsidR="00E8659F">
        <w:t>d a response to</w:t>
      </w:r>
      <w:r w:rsidRPr="00644E9E">
        <w:t xml:space="preserve"> the </w:t>
      </w:r>
      <w:r w:rsidR="00E8659F">
        <w:t xml:space="preserve">draft </w:t>
      </w:r>
      <w:r w:rsidRPr="00644E9E">
        <w:t xml:space="preserve">data </w:t>
      </w:r>
      <w:r w:rsidR="00452C01">
        <w:t xml:space="preserve">request </w:t>
      </w:r>
      <w:r w:rsidR="00915669">
        <w:t xml:space="preserve">by </w:t>
      </w:r>
      <w:r w:rsidRPr="00644E9E">
        <w:t>drawing on resource allocation estimates prepared for other purposes. Western Australia said the request would not get fit for purpose data because the definition of business development was too narrow. A number of specific concerns were raised.</w:t>
      </w:r>
    </w:p>
    <w:p w:rsidR="00230EC8" w:rsidRPr="00644E9E" w:rsidRDefault="00230EC8" w:rsidP="00230EC8">
      <w:pPr>
        <w:pStyle w:val="CGCBulletlist"/>
      </w:pPr>
      <w:r w:rsidRPr="00644E9E">
        <w:t xml:space="preserve">The instructions in the draft data request about how to classify particular expenses would </w:t>
      </w:r>
      <w:r>
        <w:t>overstate business development expenses.</w:t>
      </w:r>
    </w:p>
    <w:p w:rsidR="00230EC8" w:rsidRPr="00644E9E" w:rsidRDefault="00230EC8" w:rsidP="00230EC8">
      <w:pPr>
        <w:pStyle w:val="CGCBulletlist"/>
      </w:pPr>
      <w:r w:rsidRPr="00644E9E">
        <w:t>Agencies completing the data request would need t</w:t>
      </w:r>
      <w:r w:rsidR="00AA6D84">
        <w:t>o exercise judgement in classifying</w:t>
      </w:r>
      <w:r w:rsidRPr="00644E9E">
        <w:t xml:space="preserve"> expenses because:</w:t>
      </w:r>
    </w:p>
    <w:p w:rsidR="00230EC8" w:rsidRPr="00644E9E" w:rsidRDefault="00230EC8" w:rsidP="00230EC8">
      <w:pPr>
        <w:pStyle w:val="CGCSubbulletlist"/>
      </w:pPr>
      <w:r w:rsidRPr="00644E9E">
        <w:t>the list of activities included in the request did not cover all in-scope activities</w:t>
      </w:r>
    </w:p>
    <w:p w:rsidR="00230EC8" w:rsidRPr="00644E9E" w:rsidRDefault="00230EC8" w:rsidP="00230EC8">
      <w:pPr>
        <w:pStyle w:val="CGCSubbulletlist"/>
      </w:pPr>
      <w:proofErr w:type="gramStart"/>
      <w:r w:rsidRPr="00644E9E">
        <w:t>funding</w:t>
      </w:r>
      <w:proofErr w:type="gramEnd"/>
      <w:r w:rsidRPr="00644E9E">
        <w:t xml:space="preserve"> for some activities (for example, biosecurity) needed to be split between regulation and </w:t>
      </w:r>
      <w:r>
        <w:t>business development</w:t>
      </w:r>
      <w:r w:rsidR="00E8659F">
        <w:t xml:space="preserve"> which would require judgement</w:t>
      </w:r>
      <w:r>
        <w:t>.</w:t>
      </w:r>
    </w:p>
    <w:p w:rsidR="00915669" w:rsidRDefault="00E8659F" w:rsidP="00230EC8">
      <w:pPr>
        <w:pStyle w:val="CGCNumberedPara"/>
      </w:pPr>
      <w:r>
        <w:t>Western Australia’s primary concern was of a conceptual nature</w:t>
      </w:r>
      <w:r w:rsidR="00C83690">
        <w:t xml:space="preserve"> but it also provided comments </w:t>
      </w:r>
      <w:r w:rsidR="008837DB">
        <w:t xml:space="preserve">on the design of the draft request </w:t>
      </w:r>
      <w:r w:rsidR="00C83690">
        <w:t>which will be used to develop the final data request. Despite the conceptual concerns raised by Western Australia, it said its</w:t>
      </w:r>
      <w:r w:rsidR="00A6006E">
        <w:t xml:space="preserve"> l</w:t>
      </w:r>
      <w:r>
        <w:t xml:space="preserve">ine </w:t>
      </w:r>
      <w:r w:rsidR="00A6006E">
        <w:t>agencies</w:t>
      </w:r>
      <w:r w:rsidR="00611DF1">
        <w:t xml:space="preserve"> would</w:t>
      </w:r>
      <w:r w:rsidR="00A6006E">
        <w:t xml:space="preserve"> </w:t>
      </w:r>
      <w:r>
        <w:t xml:space="preserve">be able </w:t>
      </w:r>
      <w:r w:rsidR="00A6006E">
        <w:t>to provide data for 2016-17. B</w:t>
      </w:r>
      <w:r>
        <w:t xml:space="preserve">eyond that it would be more problematic due to </w:t>
      </w:r>
      <w:r w:rsidR="0091074A">
        <w:t>machinery of government charges</w:t>
      </w:r>
      <w:r>
        <w:t>.</w:t>
      </w:r>
      <w:r w:rsidR="00915669">
        <w:t xml:space="preserve"> </w:t>
      </w:r>
    </w:p>
    <w:p w:rsidR="008837DB" w:rsidRDefault="00C83690" w:rsidP="00230EC8">
      <w:pPr>
        <w:pStyle w:val="CGCNumberedPara"/>
      </w:pPr>
      <w:r>
        <w:t xml:space="preserve">After considering the issues raised by </w:t>
      </w:r>
      <w:r w:rsidR="00FA7698">
        <w:t xml:space="preserve">States, </w:t>
      </w:r>
      <w:proofErr w:type="gramStart"/>
      <w:r>
        <w:t>staff intend</w:t>
      </w:r>
      <w:proofErr w:type="gramEnd"/>
      <w:r>
        <w:t xml:space="preserve"> to make significant changes to the final </w:t>
      </w:r>
      <w:r w:rsidR="008837DB">
        <w:t xml:space="preserve">agriculture </w:t>
      </w:r>
      <w:r>
        <w:t xml:space="preserve">data request. We propose to only collect revenue and expenses for business development activities as defined in paragraphs </w:t>
      </w:r>
      <w:r>
        <w:fldChar w:fldCharType="begin"/>
      </w:r>
      <w:r>
        <w:instrText xml:space="preserve"> REF _Ref507594646 \r \h </w:instrText>
      </w:r>
      <w:r>
        <w:fldChar w:fldCharType="separate"/>
      </w:r>
      <w:r w:rsidR="00F3280B">
        <w:t>18</w:t>
      </w:r>
      <w:r>
        <w:fldChar w:fldCharType="end"/>
      </w:r>
      <w:r>
        <w:t xml:space="preserve"> to</w:t>
      </w:r>
      <w:r w:rsidR="008837DB">
        <w:t xml:space="preserve"> </w:t>
      </w:r>
      <w:r w:rsidR="008837DB">
        <w:fldChar w:fldCharType="begin"/>
      </w:r>
      <w:r w:rsidR="008837DB">
        <w:instrText xml:space="preserve"> REF _Ref508018369 \r \h </w:instrText>
      </w:r>
      <w:r w:rsidR="008837DB">
        <w:fldChar w:fldCharType="separate"/>
      </w:r>
      <w:r w:rsidR="00F3280B">
        <w:t>21</w:t>
      </w:r>
      <w:r w:rsidR="008837DB">
        <w:fldChar w:fldCharType="end"/>
      </w:r>
      <w:r w:rsidR="008837DB">
        <w:t xml:space="preserve">. We will assume that all other GFS revenue and expenses relate to regulation activities. We intend to use the same approach for other industries. </w:t>
      </w:r>
      <w:r w:rsidR="00FA7698">
        <w:t>Separate requests will be sent for agriculture and other industries since the agencies or business units within State government responsible for each sector are likely to be different. This will also allow us to tailor the requests for each function.</w:t>
      </w:r>
    </w:p>
    <w:p w:rsidR="00230EC8" w:rsidRDefault="008837DB" w:rsidP="008F4B67">
      <w:pPr>
        <w:pStyle w:val="CGCNumberedPara"/>
      </w:pPr>
      <w:r>
        <w:t xml:space="preserve">The </w:t>
      </w:r>
      <w:r w:rsidR="008F4B67">
        <w:t xml:space="preserve">other industry </w:t>
      </w:r>
      <w:r>
        <w:t xml:space="preserve">data request will not ask for </w:t>
      </w:r>
      <w:r w:rsidR="008F4B67">
        <w:t>tourism</w:t>
      </w:r>
      <w:r w:rsidR="00C935A5">
        <w:t xml:space="preserve"> expenses</w:t>
      </w:r>
      <w:r>
        <w:t xml:space="preserve">. Our </w:t>
      </w:r>
      <w:r w:rsidR="008F4B67">
        <w:t xml:space="preserve">research </w:t>
      </w:r>
      <w:r>
        <w:t xml:space="preserve">for </w:t>
      </w:r>
      <w:r w:rsidR="008F4B67">
        <w:t xml:space="preserve">the </w:t>
      </w:r>
      <w:r w:rsidR="001933D2">
        <w:t>S</w:t>
      </w:r>
      <w:r w:rsidR="00611DF1">
        <w:t xml:space="preserve">taff </w:t>
      </w:r>
      <w:r w:rsidR="001933D2">
        <w:t>R</w:t>
      </w:r>
      <w:r w:rsidR="00611DF1">
        <w:t xml:space="preserve">esearch </w:t>
      </w:r>
      <w:r w:rsidR="001933D2">
        <w:t>P</w:t>
      </w:r>
      <w:r w:rsidR="00611DF1">
        <w:t>aper</w:t>
      </w:r>
      <w:r w:rsidR="001933D2">
        <w:t xml:space="preserve"> </w:t>
      </w:r>
      <w:r w:rsidR="001933D2" w:rsidRPr="001933D2">
        <w:rPr>
          <w:i/>
        </w:rPr>
        <w:t>CGC 2017-10,</w:t>
      </w:r>
      <w:r w:rsidR="00611DF1" w:rsidRPr="001933D2">
        <w:rPr>
          <w:i/>
        </w:rPr>
        <w:t xml:space="preserve"> </w:t>
      </w:r>
      <w:r w:rsidR="008F4B67" w:rsidRPr="001933D2">
        <w:rPr>
          <w:i/>
        </w:rPr>
        <w:t>Wh</w:t>
      </w:r>
      <w:r w:rsidRPr="001933D2">
        <w:rPr>
          <w:i/>
        </w:rPr>
        <w:t>at States</w:t>
      </w:r>
      <w:r w:rsidRPr="008F4B67">
        <w:rPr>
          <w:i/>
        </w:rPr>
        <w:t xml:space="preserve"> Do – Services to industry</w:t>
      </w:r>
      <w:r w:rsidR="008F4B67">
        <w:t xml:space="preserve"> showed that virtually all State tourism expenses are to develop the industry and that the GFS expense estimates are accurate. Also, we intend to use GFS for R&amp;D expenses for all industries including agriculture. The </w:t>
      </w:r>
      <w:r w:rsidR="00230EC8">
        <w:t>new COFOG</w:t>
      </w:r>
      <w:r w:rsidR="00230EC8">
        <w:noBreakHyphen/>
        <w:t>A classification</w:t>
      </w:r>
      <w:r w:rsidR="008F4B67">
        <w:t>,</w:t>
      </w:r>
      <w:r w:rsidR="00230EC8">
        <w:t xml:space="preserve"> </w:t>
      </w:r>
      <w:r w:rsidR="008F4B67">
        <w:t>which comes into effect from 2017</w:t>
      </w:r>
      <w:r w:rsidR="008F4B67">
        <w:noBreakHyphen/>
        <w:t xml:space="preserve">18, identifies </w:t>
      </w:r>
      <w:r w:rsidR="0091074A">
        <w:t xml:space="preserve">industry </w:t>
      </w:r>
      <w:r w:rsidR="00230EC8">
        <w:t xml:space="preserve">research and development expenses in a separate 3-digit group — </w:t>
      </w:r>
      <w:r w:rsidR="00230EC8" w:rsidRPr="008F4B67">
        <w:rPr>
          <w:i/>
        </w:rPr>
        <w:t>047 R&amp;D – economic affairs</w:t>
      </w:r>
      <w:r w:rsidR="00230EC8">
        <w:t xml:space="preserve">. </w:t>
      </w:r>
    </w:p>
    <w:p w:rsidR="00F64713" w:rsidRDefault="008F4B67" w:rsidP="00230EC8">
      <w:pPr>
        <w:pStyle w:val="CGCNumberedPara"/>
      </w:pPr>
      <w:proofErr w:type="gramStart"/>
      <w:r>
        <w:t>Staff consider</w:t>
      </w:r>
      <w:proofErr w:type="gramEnd"/>
      <w:r>
        <w:t xml:space="preserve"> that the approach we have outlined is the simplest and most reliable </w:t>
      </w:r>
      <w:r w:rsidR="00083D09">
        <w:t>way to obtain</w:t>
      </w:r>
      <w:r>
        <w:t xml:space="preserve"> estimates of State regulation and business development expenses. It will also minimise the burden on States to provide data. </w:t>
      </w:r>
      <w:r w:rsidR="00083D09">
        <w:t xml:space="preserve">The main risk is that regulation expenses could be overstated but we have been unable to identify </w:t>
      </w:r>
      <w:r w:rsidR="00693E5C">
        <w:t>a</w:t>
      </w:r>
      <w:r w:rsidR="00083D09">
        <w:t xml:space="preserve"> </w:t>
      </w:r>
      <w:r w:rsidR="00693E5C">
        <w:t xml:space="preserve">better </w:t>
      </w:r>
      <w:r w:rsidR="00083D09">
        <w:t>approach.</w:t>
      </w:r>
    </w:p>
    <w:p w:rsidR="00F64713" w:rsidRDefault="00F64713" w:rsidP="00230EC8">
      <w:pPr>
        <w:pStyle w:val="CGCNumberedPara"/>
      </w:pPr>
      <w:r>
        <w:t>Given the changes we intend to make to the agriculture data request based on States</w:t>
      </w:r>
      <w:r w:rsidR="00DB38B0">
        <w:t>’</w:t>
      </w:r>
      <w:r>
        <w:t xml:space="preserve"> comments, we intend to send a second draft data request in May 2018. We will also send a draft data request for other industries at the same time. </w:t>
      </w:r>
      <w:r w:rsidR="00083D09">
        <w:t xml:space="preserve">The final data requests will be sent to States in </w:t>
      </w:r>
      <w:r w:rsidR="00B24D9D">
        <w:t xml:space="preserve">September 2018 which will allow us to collect data for the three financial years </w:t>
      </w:r>
      <w:r w:rsidR="00693E5C">
        <w:t>from 2015</w:t>
      </w:r>
      <w:r w:rsidR="00693E5C">
        <w:noBreakHyphen/>
        <w:t>16 to</w:t>
      </w:r>
      <w:r w:rsidR="00B24D9D">
        <w:t xml:space="preserve"> 2017</w:t>
      </w:r>
      <w:r w:rsidR="00B24D9D">
        <w:noBreakHyphen/>
        <w:t xml:space="preserve">18. </w:t>
      </w:r>
      <w:r w:rsidR="00083D09">
        <w:t xml:space="preserve">We will consult with States on the outcome of the data requests through the Officer Working Party (OWP). </w:t>
      </w:r>
    </w:p>
    <w:p w:rsidR="008F4B67" w:rsidRDefault="00693E5C" w:rsidP="00230EC8">
      <w:pPr>
        <w:pStyle w:val="CGCNumberedPara"/>
      </w:pPr>
      <w:r>
        <w:t xml:space="preserve">The weights obtained using </w:t>
      </w:r>
      <w:r w:rsidR="00F64713">
        <w:t xml:space="preserve">the approach we have outlined </w:t>
      </w:r>
      <w:r>
        <w:t>would be used for the period of the 2020 Review.</w:t>
      </w:r>
    </w:p>
    <w:p w:rsidR="00E117A4" w:rsidRDefault="00E117A4" w:rsidP="00E117A4">
      <w:pPr>
        <w:pStyle w:val="CGCNumberedPara"/>
      </w:pPr>
      <w:r>
        <w:br w:type="page"/>
      </w:r>
    </w:p>
    <w:p w:rsidR="00230EC8" w:rsidRDefault="00230EC8" w:rsidP="00230EC8">
      <w:pPr>
        <w:pStyle w:val="NoSpacing"/>
      </w:pPr>
    </w:p>
    <w:tbl>
      <w:tblPr>
        <w:tblW w:w="0" w:type="auto"/>
        <w:tblInd w:w="108" w:type="dxa"/>
        <w:shd w:val="clear" w:color="auto" w:fill="D9F3E6"/>
        <w:tblLook w:val="04A0" w:firstRow="1" w:lastRow="0" w:firstColumn="1" w:lastColumn="0" w:noHBand="0" w:noVBand="1"/>
      </w:tblPr>
      <w:tblGrid>
        <w:gridCol w:w="8931"/>
      </w:tblGrid>
      <w:tr w:rsidR="00230EC8" w:rsidRPr="00E674AF" w:rsidTr="00A15CD8">
        <w:tc>
          <w:tcPr>
            <w:tcW w:w="8931" w:type="dxa"/>
            <w:shd w:val="clear" w:color="auto" w:fill="D9F3E6"/>
          </w:tcPr>
          <w:p w:rsidR="00230EC8" w:rsidRPr="00E674AF" w:rsidRDefault="00230EC8" w:rsidP="00A15CD8">
            <w:r w:rsidRPr="00B7517F">
              <w:t>Staff propose to recommend the Commission:</w:t>
            </w:r>
          </w:p>
          <w:p w:rsidR="00ED0B2D" w:rsidRDefault="00ED0B2D" w:rsidP="00A15CD8">
            <w:pPr>
              <w:pStyle w:val="CGCBulletlist"/>
              <w:numPr>
                <w:ilvl w:val="0"/>
                <w:numId w:val="1"/>
              </w:numPr>
              <w:tabs>
                <w:tab w:val="clear" w:pos="927"/>
                <w:tab w:val="clear" w:pos="1134"/>
              </w:tabs>
              <w:ind w:left="1134" w:hanging="567"/>
            </w:pPr>
            <w:r>
              <w:t>use State data on business development expenses and GFS data to estimate business development and regulation expenses</w:t>
            </w:r>
            <w:r w:rsidR="00693E5C">
              <w:t xml:space="preserve"> for </w:t>
            </w:r>
            <w:r w:rsidR="0091074A">
              <w:t>agriculture and other industries</w:t>
            </w:r>
          </w:p>
          <w:p w:rsidR="00BD3AD0" w:rsidRDefault="00BD3AD0" w:rsidP="00A15CD8">
            <w:pPr>
              <w:pStyle w:val="CGCBulletlist"/>
              <w:numPr>
                <w:ilvl w:val="0"/>
                <w:numId w:val="1"/>
              </w:numPr>
              <w:tabs>
                <w:tab w:val="clear" w:pos="927"/>
                <w:tab w:val="clear" w:pos="1134"/>
              </w:tabs>
              <w:ind w:left="1134" w:hanging="567"/>
            </w:pPr>
            <w:r>
              <w:t>continue to assess agriculture and other industries regulation separately because the way States regulate these sectors is different, but only if a separate agriculture assessment remains material</w:t>
            </w:r>
          </w:p>
          <w:p w:rsidR="00F64713" w:rsidRDefault="00F64713" w:rsidP="00A15CD8">
            <w:pPr>
              <w:pStyle w:val="CGCBulletlist"/>
              <w:numPr>
                <w:ilvl w:val="0"/>
                <w:numId w:val="1"/>
              </w:numPr>
              <w:tabs>
                <w:tab w:val="clear" w:pos="927"/>
                <w:tab w:val="clear" w:pos="1134"/>
              </w:tabs>
              <w:ind w:left="1134" w:hanging="567"/>
            </w:pPr>
            <w:r>
              <w:t>send dra</w:t>
            </w:r>
            <w:r w:rsidR="00AA6D84">
              <w:t>f</w:t>
            </w:r>
            <w:r>
              <w:t>t data requests for agriculture and other industries in May 2018</w:t>
            </w:r>
          </w:p>
          <w:p w:rsidR="00230EC8" w:rsidRDefault="00693E5C" w:rsidP="00A15CD8">
            <w:pPr>
              <w:pStyle w:val="CGCBulletlist"/>
              <w:numPr>
                <w:ilvl w:val="0"/>
                <w:numId w:val="1"/>
              </w:numPr>
              <w:tabs>
                <w:tab w:val="clear" w:pos="927"/>
                <w:tab w:val="clear" w:pos="1134"/>
              </w:tabs>
              <w:ind w:left="1134" w:hanging="567"/>
            </w:pPr>
            <w:r>
              <w:t>s</w:t>
            </w:r>
            <w:r w:rsidR="00230EC8">
              <w:t>end final data request</w:t>
            </w:r>
            <w:r w:rsidR="00F64713">
              <w:t>s</w:t>
            </w:r>
            <w:r w:rsidR="00230EC8">
              <w:t xml:space="preserve"> to the States </w:t>
            </w:r>
            <w:r>
              <w:t xml:space="preserve">in September 2018 to collect the </w:t>
            </w:r>
            <w:r w:rsidR="00F64713">
              <w:t>final</w:t>
            </w:r>
            <w:r>
              <w:t xml:space="preserve"> data for three financial years from 2015</w:t>
            </w:r>
            <w:r>
              <w:noBreakHyphen/>
              <w:t>16 to 2017</w:t>
            </w:r>
            <w:r>
              <w:noBreakHyphen/>
              <w:t>18</w:t>
            </w:r>
          </w:p>
          <w:p w:rsidR="00230EC8" w:rsidRPr="00E674AF" w:rsidRDefault="00693E5C" w:rsidP="00F64713">
            <w:pPr>
              <w:pStyle w:val="CGCBulletlist"/>
              <w:numPr>
                <w:ilvl w:val="0"/>
                <w:numId w:val="1"/>
              </w:numPr>
              <w:tabs>
                <w:tab w:val="clear" w:pos="927"/>
                <w:tab w:val="clear" w:pos="1134"/>
              </w:tabs>
              <w:ind w:left="1134" w:hanging="567"/>
            </w:pPr>
            <w:proofErr w:type="gramStart"/>
            <w:r>
              <w:t>retain</w:t>
            </w:r>
            <w:proofErr w:type="gramEnd"/>
            <w:r>
              <w:t xml:space="preserve"> </w:t>
            </w:r>
            <w:r w:rsidR="00F64713">
              <w:t xml:space="preserve">the business development and regulation weights obtained from </w:t>
            </w:r>
            <w:r>
              <w:t>data for 2015</w:t>
            </w:r>
            <w:r>
              <w:noBreakHyphen/>
              <w:t>16 to 2017</w:t>
            </w:r>
            <w:r>
              <w:noBreakHyphen/>
              <w:t xml:space="preserve">18 for the period of the 2020 Review. </w:t>
            </w:r>
          </w:p>
        </w:tc>
      </w:tr>
    </w:tbl>
    <w:p w:rsidR="00230EC8" w:rsidRDefault="00230EC8" w:rsidP="00230EC8"/>
    <w:p w:rsidR="00230EC8" w:rsidRDefault="00693E5C" w:rsidP="00693E5C">
      <w:pPr>
        <w:pStyle w:val="Heading4"/>
      </w:pPr>
      <w:bookmarkStart w:id="46" w:name="_Toc508121239"/>
      <w:bookmarkStart w:id="47" w:name="_Toc511660966"/>
      <w:r>
        <w:t>Weighting the drivers of regulation expenses</w:t>
      </w:r>
      <w:bookmarkEnd w:id="46"/>
      <w:bookmarkEnd w:id="47"/>
    </w:p>
    <w:p w:rsidR="00693E5C" w:rsidRDefault="00693E5C" w:rsidP="00693E5C">
      <w:pPr>
        <w:pStyle w:val="CGCNumberedPara"/>
      </w:pPr>
      <w:r>
        <w:t xml:space="preserve">In the 2010 and 2015 </w:t>
      </w:r>
      <w:r w:rsidR="00665216">
        <w:t>R</w:t>
      </w:r>
      <w:r>
        <w:t>eviews,</w:t>
      </w:r>
      <w:r w:rsidR="00FB5DDF">
        <w:t xml:space="preserve"> data</w:t>
      </w:r>
      <w:r w:rsidR="00F64713">
        <w:t xml:space="preserve"> from the 2010 Review </w:t>
      </w:r>
      <w:r>
        <w:t xml:space="preserve">State collection </w:t>
      </w:r>
      <w:r w:rsidR="00CF4D92">
        <w:t>were</w:t>
      </w:r>
      <w:r>
        <w:t xml:space="preserve"> used </w:t>
      </w:r>
      <w:r w:rsidR="00F64713">
        <w:t xml:space="preserve">to assign weights to the different drivers of regulation expenses. The final row of </w:t>
      </w:r>
      <w:r w:rsidR="00F64713">
        <w:fldChar w:fldCharType="begin"/>
      </w:r>
      <w:r w:rsidR="00F64713">
        <w:instrText xml:space="preserve"> REF _Ref499650733 \h </w:instrText>
      </w:r>
      <w:r w:rsidR="00F64713">
        <w:fldChar w:fldCharType="separate"/>
      </w:r>
      <w:r w:rsidR="00F3280B">
        <w:t xml:space="preserve">Figure </w:t>
      </w:r>
      <w:r w:rsidR="00F3280B">
        <w:rPr>
          <w:noProof/>
        </w:rPr>
        <w:t>1</w:t>
      </w:r>
      <w:r w:rsidR="00F64713">
        <w:fldChar w:fldCharType="end"/>
      </w:r>
      <w:r w:rsidR="00F64713">
        <w:t xml:space="preserve"> shows the weights</w:t>
      </w:r>
      <w:r w:rsidR="00FB5DDF">
        <w:t>. For regulation expenses, the main drivers were the number of businesses, value of production and population. Since there were no reliable business count data available for other industries, population was used as the proxy.</w:t>
      </w:r>
    </w:p>
    <w:p w:rsidR="00BF0DA9" w:rsidRDefault="00771401" w:rsidP="00AD27E4">
      <w:pPr>
        <w:pStyle w:val="CGCNumberedPara"/>
      </w:pPr>
      <w:r>
        <w:t xml:space="preserve">States have consistently argued that there </w:t>
      </w:r>
      <w:r w:rsidR="00FB5DDF">
        <w:t>was significant judgement involved in determini</w:t>
      </w:r>
      <w:r>
        <w:t xml:space="preserve">ng the level of influence for each driver. </w:t>
      </w:r>
      <w:proofErr w:type="gramStart"/>
      <w:r>
        <w:t>Staff agree</w:t>
      </w:r>
      <w:proofErr w:type="gramEnd"/>
      <w:r>
        <w:t xml:space="preserve"> that judgement was required but there was some effort by Commission staff to evaluate State decisions and ensure consistency. Nevertheless, the approach used for the 2010 Review required judgements about </w:t>
      </w:r>
      <w:r w:rsidR="0091074A">
        <w:t>hundreds of</w:t>
      </w:r>
      <w:r>
        <w:t xml:space="preserve"> individual line items in State budgets. </w:t>
      </w:r>
    </w:p>
    <w:p w:rsidR="00AD27E4" w:rsidRPr="00693E5C" w:rsidRDefault="00BF0DA9" w:rsidP="00AD27E4">
      <w:pPr>
        <w:pStyle w:val="CGCNumberedPara"/>
      </w:pPr>
      <w:proofErr w:type="gramStart"/>
      <w:r>
        <w:t>Staff</w:t>
      </w:r>
      <w:r w:rsidR="00771401">
        <w:t xml:space="preserve"> want</w:t>
      </w:r>
      <w:proofErr w:type="gramEnd"/>
      <w:r w:rsidR="00771401">
        <w:t xml:space="preserve"> to avoid this type of detailed approach for the 2020 Review</w:t>
      </w:r>
      <w:r w:rsidR="00AD27E4">
        <w:t xml:space="preserve">. We consider there was a degree of precision involved </w:t>
      </w:r>
      <w:r w:rsidR="00665216">
        <w:t xml:space="preserve">in </w:t>
      </w:r>
      <w:r w:rsidR="00AD27E4">
        <w:t xml:space="preserve">the </w:t>
      </w:r>
      <w:r w:rsidR="00CF4D92">
        <w:t xml:space="preserve">2010 Review </w:t>
      </w:r>
      <w:r w:rsidR="00AD27E4">
        <w:t xml:space="preserve">approach which </w:t>
      </w:r>
      <w:r>
        <w:t>is not applied</w:t>
      </w:r>
      <w:r w:rsidR="00AD27E4">
        <w:t xml:space="preserve"> in other assessments. Therefore, in the interests of simplicity</w:t>
      </w:r>
      <w:r w:rsidR="00653B1B">
        <w:t>,</w:t>
      </w:r>
      <w:r w:rsidR="00AD27E4">
        <w:t xml:space="preserve"> </w:t>
      </w:r>
      <w:proofErr w:type="gramStart"/>
      <w:r>
        <w:t>staff</w:t>
      </w:r>
      <w:r w:rsidR="00AD27E4">
        <w:t xml:space="preserve"> </w:t>
      </w:r>
      <w:r w:rsidR="00653B1B">
        <w:t>intend</w:t>
      </w:r>
      <w:proofErr w:type="gramEnd"/>
      <w:r w:rsidR="00653B1B">
        <w:t xml:space="preserve"> to propose that </w:t>
      </w:r>
      <w:r>
        <w:t>the Commission</w:t>
      </w:r>
      <w:r w:rsidR="00AD27E4">
        <w:t xml:space="preserve"> </w:t>
      </w:r>
      <w:r w:rsidR="00CF4D92">
        <w:t>use</w:t>
      </w:r>
      <w:r w:rsidR="000C459F">
        <w:t xml:space="preserve"> informed</w:t>
      </w:r>
      <w:r w:rsidR="00A32E1D">
        <w:t>,</w:t>
      </w:r>
      <w:r w:rsidR="000C459F">
        <w:t xml:space="preserve"> high level judgement</w:t>
      </w:r>
      <w:r w:rsidR="00A32E1D">
        <w:t>,</w:t>
      </w:r>
      <w:r w:rsidR="000C459F">
        <w:t xml:space="preserve"> to determine the disability </w:t>
      </w:r>
      <w:r w:rsidR="00AD27E4">
        <w:t xml:space="preserve">weights for </w:t>
      </w:r>
      <w:r w:rsidR="00A32E1D">
        <w:t>regulation expenses</w:t>
      </w:r>
      <w:r w:rsidR="00AD27E4">
        <w:t>.</w:t>
      </w:r>
      <w:r w:rsidR="000C459F">
        <w:t xml:space="preserve"> </w:t>
      </w:r>
      <w:r w:rsidR="00A32E1D">
        <w:t>To facilitate this approach</w:t>
      </w:r>
      <w:r w:rsidR="00452C01">
        <w:t>,</w:t>
      </w:r>
      <w:r w:rsidR="00A32E1D">
        <w:t xml:space="preserve"> </w:t>
      </w:r>
      <w:proofErr w:type="gramStart"/>
      <w:r>
        <w:t>staff</w:t>
      </w:r>
      <w:r w:rsidR="00A32E1D">
        <w:t xml:space="preserve"> </w:t>
      </w:r>
      <w:r w:rsidR="00653B1B">
        <w:t>plan</w:t>
      </w:r>
      <w:proofErr w:type="gramEnd"/>
      <w:r w:rsidR="00653B1B">
        <w:t xml:space="preserve"> </w:t>
      </w:r>
      <w:r w:rsidR="00A32E1D">
        <w:t>to develop a series</w:t>
      </w:r>
      <w:r w:rsidR="00AA6D84">
        <w:t xml:space="preserve"> of</w:t>
      </w:r>
      <w:r w:rsidR="00A32E1D">
        <w:t xml:space="preserve"> questions </w:t>
      </w:r>
      <w:r w:rsidR="00CE607E">
        <w:t xml:space="preserve">about the relative importance of different drivers </w:t>
      </w:r>
      <w:r w:rsidR="00653B1B">
        <w:t xml:space="preserve">and to ask </w:t>
      </w:r>
      <w:r w:rsidR="00A32E1D">
        <w:t xml:space="preserve">States to put </w:t>
      </w:r>
      <w:r w:rsidR="00653B1B">
        <w:t xml:space="preserve">these questions </w:t>
      </w:r>
      <w:r w:rsidR="00A32E1D">
        <w:t xml:space="preserve">to experts in </w:t>
      </w:r>
      <w:r w:rsidR="00CF4D92">
        <w:t xml:space="preserve">their </w:t>
      </w:r>
      <w:r w:rsidR="00A32E1D">
        <w:t>line agencies. These questions will be included in the data requests we will be sending to States to collect data on business development expenses.</w:t>
      </w:r>
      <w:r w:rsidR="00CE607E">
        <w:t xml:space="preserve"> Based on State responses to the questions, staff will </w:t>
      </w:r>
      <w:r w:rsidR="00452C01">
        <w:t>develop a proposal for what disabilities</w:t>
      </w:r>
      <w:r w:rsidR="00CE607E">
        <w:t xml:space="preserve"> </w:t>
      </w:r>
      <w:r w:rsidR="00665216">
        <w:t>should be applied to</w:t>
      </w:r>
      <w:r w:rsidR="00CE607E">
        <w:t xml:space="preserve"> regulation expenses. States will have the opportunity to comment on staff proposals through the OWP.</w:t>
      </w:r>
    </w:p>
    <w:p w:rsidR="0052435E" w:rsidRPr="00FB5DDF" w:rsidRDefault="0052435E" w:rsidP="00CE607E">
      <w:pPr>
        <w:pStyle w:val="NoSpacing"/>
      </w:pPr>
    </w:p>
    <w:tbl>
      <w:tblPr>
        <w:tblW w:w="0" w:type="auto"/>
        <w:tblInd w:w="108" w:type="dxa"/>
        <w:shd w:val="clear" w:color="auto" w:fill="D9F3E6"/>
        <w:tblLook w:val="04A0" w:firstRow="1" w:lastRow="0" w:firstColumn="1" w:lastColumn="0" w:noHBand="0" w:noVBand="1"/>
      </w:tblPr>
      <w:tblGrid>
        <w:gridCol w:w="8931"/>
      </w:tblGrid>
      <w:tr w:rsidR="0052435E" w:rsidRPr="00E674AF" w:rsidTr="00A23C56">
        <w:tc>
          <w:tcPr>
            <w:tcW w:w="8931" w:type="dxa"/>
            <w:shd w:val="clear" w:color="auto" w:fill="D9F3E6"/>
          </w:tcPr>
          <w:p w:rsidR="0052435E" w:rsidRPr="00E674AF" w:rsidRDefault="0052435E" w:rsidP="00A23C56">
            <w:r w:rsidRPr="00B7517F">
              <w:t>Staff propose to recommend the Commission:</w:t>
            </w:r>
          </w:p>
          <w:p w:rsidR="00CE607E" w:rsidRPr="00E674AF" w:rsidRDefault="007D5E4E" w:rsidP="00CE607E">
            <w:pPr>
              <w:pStyle w:val="CGCBulletlist"/>
              <w:numPr>
                <w:ilvl w:val="0"/>
                <w:numId w:val="1"/>
              </w:numPr>
              <w:tabs>
                <w:tab w:val="clear" w:pos="927"/>
                <w:tab w:val="clear" w:pos="1134"/>
              </w:tabs>
              <w:ind w:left="1134" w:hanging="567"/>
            </w:pPr>
            <w:r>
              <w:t xml:space="preserve">continue to differentially assess </w:t>
            </w:r>
            <w:r w:rsidR="0091074A">
              <w:t xml:space="preserve">industry </w:t>
            </w:r>
            <w:r>
              <w:t xml:space="preserve">regulation expenses </w:t>
            </w:r>
            <w:r w:rsidR="00CE607E">
              <w:t xml:space="preserve">because the size of the regulation task for industry is related to the size of the sector </w:t>
            </w:r>
          </w:p>
          <w:p w:rsidR="0052435E" w:rsidRPr="00E674AF" w:rsidRDefault="00CE607E" w:rsidP="00452C01">
            <w:pPr>
              <w:pStyle w:val="CGCBulletlist"/>
              <w:numPr>
                <w:ilvl w:val="0"/>
                <w:numId w:val="1"/>
              </w:numPr>
              <w:tabs>
                <w:tab w:val="clear" w:pos="927"/>
                <w:tab w:val="clear" w:pos="1134"/>
              </w:tabs>
              <w:ind w:left="1134" w:hanging="567"/>
            </w:pPr>
            <w:proofErr w:type="gramStart"/>
            <w:r>
              <w:t>use</w:t>
            </w:r>
            <w:proofErr w:type="gramEnd"/>
            <w:r>
              <w:t xml:space="preserve"> information from State line agencies to </w:t>
            </w:r>
            <w:r w:rsidR="00CF4D92">
              <w:t xml:space="preserve">inform the decision </w:t>
            </w:r>
            <w:r w:rsidR="00452C01">
              <w:t xml:space="preserve">on </w:t>
            </w:r>
            <w:r>
              <w:t>the relevant drivers of State spending on industry regulation.</w:t>
            </w:r>
          </w:p>
        </w:tc>
      </w:tr>
    </w:tbl>
    <w:p w:rsidR="004377C0" w:rsidRPr="000D1568" w:rsidRDefault="004377C0" w:rsidP="00CE607E">
      <w:pPr>
        <w:pStyle w:val="NoSpacing"/>
      </w:pPr>
    </w:p>
    <w:p w:rsidR="0052435E" w:rsidRDefault="0052435E" w:rsidP="000D1568">
      <w:pPr>
        <w:pStyle w:val="Heading5"/>
      </w:pPr>
      <w:r>
        <w:t>Regression approach</w:t>
      </w:r>
      <w:r w:rsidR="00C935A5">
        <w:t xml:space="preserve"> for identifying and weighting drivers</w:t>
      </w:r>
    </w:p>
    <w:p w:rsidR="00EA2483" w:rsidRDefault="00CF4D92" w:rsidP="00DF04DB">
      <w:pPr>
        <w:pStyle w:val="CGCNumberedPara"/>
      </w:pPr>
      <w:r>
        <w:t>At the October 2017 telepresences</w:t>
      </w:r>
      <w:r w:rsidR="00611DF1">
        <w:t xml:space="preserve">, </w:t>
      </w:r>
      <w:r>
        <w:t xml:space="preserve">when </w:t>
      </w:r>
      <w:r w:rsidR="005651F4">
        <w:t>staff outlined for States our</w:t>
      </w:r>
      <w:r>
        <w:t xml:space="preserve"> initial thinking about </w:t>
      </w:r>
      <w:r w:rsidR="00E86C75">
        <w:t xml:space="preserve">the </w:t>
      </w:r>
      <w:r w:rsidR="005651F4">
        <w:t>Services to industry assessment</w:t>
      </w:r>
      <w:r w:rsidR="00611DF1">
        <w:t>,</w:t>
      </w:r>
      <w:r>
        <w:t xml:space="preserve"> Western Australia suggested the Commission could us</w:t>
      </w:r>
      <w:r w:rsidR="00AA6D84">
        <w:t>e</w:t>
      </w:r>
      <w:r>
        <w:t xml:space="preserve"> a regression approach</w:t>
      </w:r>
      <w:r w:rsidR="005651F4">
        <w:t xml:space="preserve"> to determine the disability weights</w:t>
      </w:r>
      <w:r>
        <w:t xml:space="preserve">. Subsequently, Western Australia </w:t>
      </w:r>
      <w:r w:rsidR="005651F4">
        <w:t>shared with staff</w:t>
      </w:r>
      <w:r>
        <w:t xml:space="preserve"> some initial work showing how </w:t>
      </w:r>
      <w:r w:rsidR="00530AD8">
        <w:t xml:space="preserve">a regression approach </w:t>
      </w:r>
      <w:r>
        <w:t xml:space="preserve">could be used </w:t>
      </w:r>
      <w:r w:rsidR="00530AD8">
        <w:t>to ide</w:t>
      </w:r>
      <w:r w:rsidR="00423B99">
        <w:t>ntify and</w:t>
      </w:r>
      <w:r w:rsidR="00530AD8">
        <w:t xml:space="preserve"> weight the drivers of </w:t>
      </w:r>
      <w:r w:rsidR="005651F4">
        <w:t xml:space="preserve">agriculture </w:t>
      </w:r>
      <w:r w:rsidR="00423B99">
        <w:t>expenses.</w:t>
      </w:r>
      <w:r w:rsidR="00876F8D">
        <w:t xml:space="preserve"> We have reviewed this work and undertaken our </w:t>
      </w:r>
      <w:r w:rsidR="00A15CD8">
        <w:t xml:space="preserve">own </w:t>
      </w:r>
      <w:r w:rsidR="00876F8D">
        <w:t>analysis</w:t>
      </w:r>
      <w:r w:rsidR="00A15CD8">
        <w:t xml:space="preserve"> but at this stage we consider that a regression approach is </w:t>
      </w:r>
      <w:r w:rsidR="00423B99">
        <w:t xml:space="preserve">not viable </w:t>
      </w:r>
      <w:r w:rsidR="00A15CD8">
        <w:t xml:space="preserve">for the following reasons. </w:t>
      </w:r>
    </w:p>
    <w:p w:rsidR="0052435E" w:rsidRDefault="005651F4" w:rsidP="00EA2483">
      <w:pPr>
        <w:pStyle w:val="CGCBulletlist"/>
      </w:pPr>
      <w:r>
        <w:t>The r</w:t>
      </w:r>
      <w:r w:rsidR="00EA2483">
        <w:t xml:space="preserve">egression results </w:t>
      </w:r>
      <w:r w:rsidR="00653B1B">
        <w:t xml:space="preserve">indicate that the value of agricultural production and number of farms are not significant in explaining State agriculture spending. </w:t>
      </w:r>
      <w:r w:rsidR="00A15CD8">
        <w:t xml:space="preserve">This appears to be </w:t>
      </w:r>
      <w:r w:rsidR="00074FC4">
        <w:t xml:space="preserve">due </w:t>
      </w:r>
      <w:r w:rsidR="00A15CD8">
        <w:t>to the extent of policy influence on the expense data used in the analysis</w:t>
      </w:r>
      <w:r>
        <w:t xml:space="preserve"> as well as annual fluctuations in the value of agricultural production</w:t>
      </w:r>
      <w:r w:rsidR="00A15CD8">
        <w:t>.</w:t>
      </w:r>
    </w:p>
    <w:p w:rsidR="00EA2483" w:rsidRDefault="00EA2483" w:rsidP="00EA2483">
      <w:pPr>
        <w:pStyle w:val="CGCBulletlist"/>
      </w:pPr>
      <w:r>
        <w:t xml:space="preserve">The </w:t>
      </w:r>
      <w:r w:rsidR="00A15CD8">
        <w:t>regression was based on total expenses</w:t>
      </w:r>
      <w:r w:rsidR="005651F4">
        <w:t>,</w:t>
      </w:r>
      <w:r w:rsidR="00A15CD8">
        <w:t xml:space="preserve"> including regulation and business development</w:t>
      </w:r>
      <w:r w:rsidR="005651F4">
        <w:t xml:space="preserve"> expenses</w:t>
      </w:r>
      <w:r w:rsidR="00A15CD8">
        <w:t xml:space="preserve">. There was no option </w:t>
      </w:r>
      <w:r w:rsidR="005651F4">
        <w:t>but</w:t>
      </w:r>
      <w:r w:rsidR="00A15CD8">
        <w:t xml:space="preserve"> to use tot</w:t>
      </w:r>
      <w:r w:rsidR="00653B1B">
        <w:t xml:space="preserve">al expenses because </w:t>
      </w:r>
      <w:r w:rsidR="00A15CD8">
        <w:t>estimates of regulation expense</w:t>
      </w:r>
      <w:r w:rsidR="00074FC4">
        <w:t>s</w:t>
      </w:r>
      <w:r w:rsidR="001A55E0">
        <w:t xml:space="preserve"> are not available</w:t>
      </w:r>
      <w:r w:rsidR="00A15CD8">
        <w:t xml:space="preserve">. </w:t>
      </w:r>
      <w:r w:rsidR="000B097B">
        <w:t>If the Commission were attracted to a regression approach</w:t>
      </w:r>
      <w:r w:rsidR="00611DF1">
        <w:t>,</w:t>
      </w:r>
      <w:r w:rsidR="000B097B">
        <w:t xml:space="preserve"> it would need to </w:t>
      </w:r>
      <w:r w:rsidR="005651F4">
        <w:t>use regulation expenses only.</w:t>
      </w:r>
    </w:p>
    <w:p w:rsidR="00A15CD8" w:rsidRDefault="005651F4" w:rsidP="00A15CD8">
      <w:pPr>
        <w:pStyle w:val="CGCNumberedPara"/>
      </w:pPr>
      <w:r>
        <w:t>Given the issues we have identified with the initial regression approach developed by Western Australia, and our own analysis, we do not consider this a reliable way forward.</w:t>
      </w:r>
    </w:p>
    <w:p w:rsidR="00907093" w:rsidRDefault="00907093" w:rsidP="00FB5DDF">
      <w:pPr>
        <w:pStyle w:val="NoSpacing"/>
      </w:pPr>
    </w:p>
    <w:tbl>
      <w:tblPr>
        <w:tblW w:w="0" w:type="auto"/>
        <w:tblInd w:w="108" w:type="dxa"/>
        <w:shd w:val="clear" w:color="auto" w:fill="D9F3E6"/>
        <w:tblLook w:val="04A0" w:firstRow="1" w:lastRow="0" w:firstColumn="1" w:lastColumn="0" w:noHBand="0" w:noVBand="1"/>
      </w:tblPr>
      <w:tblGrid>
        <w:gridCol w:w="8931"/>
      </w:tblGrid>
      <w:tr w:rsidR="0052435E" w:rsidRPr="00E674AF" w:rsidTr="00A23C56">
        <w:tc>
          <w:tcPr>
            <w:tcW w:w="8931" w:type="dxa"/>
            <w:shd w:val="clear" w:color="auto" w:fill="D9F3E6"/>
          </w:tcPr>
          <w:p w:rsidR="0052435E" w:rsidRPr="00E674AF" w:rsidRDefault="0052435E" w:rsidP="00A23C56">
            <w:r w:rsidRPr="00B7517F">
              <w:t>Staff propose to recommend the Commission:</w:t>
            </w:r>
          </w:p>
          <w:p w:rsidR="0052435E" w:rsidRPr="00E674AF" w:rsidRDefault="005651F4" w:rsidP="00C935A5">
            <w:pPr>
              <w:pStyle w:val="CGCBulletlist"/>
              <w:numPr>
                <w:ilvl w:val="0"/>
                <w:numId w:val="1"/>
              </w:numPr>
              <w:tabs>
                <w:tab w:val="clear" w:pos="927"/>
                <w:tab w:val="clear" w:pos="1134"/>
              </w:tabs>
              <w:ind w:left="1134" w:hanging="567"/>
            </w:pPr>
            <w:proofErr w:type="gramStart"/>
            <w:r>
              <w:t>n</w:t>
            </w:r>
            <w:r w:rsidR="00846474">
              <w:t>ot</w:t>
            </w:r>
            <w:proofErr w:type="gramEnd"/>
            <w:r w:rsidR="00846474">
              <w:t xml:space="preserve"> use a regression approach to determine drivers and associated weights</w:t>
            </w:r>
            <w:r w:rsidR="00BE1677">
              <w:t xml:space="preserve"> </w:t>
            </w:r>
            <w:r w:rsidR="00C94B23">
              <w:t>due to the nature of the available data and initial regression results lacking statistical significance.</w:t>
            </w:r>
          </w:p>
        </w:tc>
      </w:tr>
    </w:tbl>
    <w:p w:rsidR="00FB5DDF" w:rsidRDefault="00FB5DDF" w:rsidP="00FB5DDF">
      <w:pPr>
        <w:pStyle w:val="NoSpacing"/>
      </w:pPr>
    </w:p>
    <w:p w:rsidR="00FB5DDF" w:rsidRDefault="00FB5DDF" w:rsidP="00FB5DDF">
      <w:pPr>
        <w:pStyle w:val="Heading4"/>
      </w:pPr>
      <w:bookmarkStart w:id="48" w:name="_Toc508121240"/>
      <w:bookmarkStart w:id="49" w:name="_Toc511660967"/>
      <w:r>
        <w:t>Planning and regulation for major infrastructure projects</w:t>
      </w:r>
      <w:bookmarkEnd w:id="48"/>
      <w:bookmarkEnd w:id="49"/>
    </w:p>
    <w:p w:rsidR="00FB5DDF" w:rsidRDefault="00FB5DDF" w:rsidP="00FB5DDF">
      <w:pPr>
        <w:pStyle w:val="CGCNumberedPara"/>
      </w:pPr>
      <w:r>
        <w:t>In the 2015 Review, an assessment of State spending on planning and regulation for major infrastructure projects was introduced. The assessment brought together expenses from a number of categories including Service</w:t>
      </w:r>
      <w:r w:rsidR="00BF0DA9">
        <w:t>s</w:t>
      </w:r>
      <w:r>
        <w:t xml:space="preserve"> to industry, </w:t>
      </w:r>
      <w:r w:rsidR="001A55E0">
        <w:t xml:space="preserve">Services to communities (for example, </w:t>
      </w:r>
      <w:r w:rsidR="005B2B3D">
        <w:t>community development and environmental protection expenses)</w:t>
      </w:r>
      <w:r>
        <w:t xml:space="preserve"> and </w:t>
      </w:r>
      <w:proofErr w:type="gramStart"/>
      <w:r>
        <w:t>Other</w:t>
      </w:r>
      <w:proofErr w:type="gramEnd"/>
      <w:r>
        <w:t xml:space="preserve"> expenses. The Commission accepted the conceptual case that States with high leve</w:t>
      </w:r>
      <w:r w:rsidR="005B2B3D">
        <w:t xml:space="preserve">ls of private sector investment, including for mining, </w:t>
      </w:r>
      <w:r>
        <w:t xml:space="preserve">incur higher planning and regulation costs. The disability applied to this spending was based on State shares of private non-dwelling construction expenditure. The assessment was material for Western Australia and the Northern Territory in the 2018 Update. (See </w:t>
      </w:r>
      <w:r>
        <w:fldChar w:fldCharType="begin"/>
      </w:r>
      <w:r>
        <w:instrText xml:space="preserve"> REF _Ref508013101 \h </w:instrText>
      </w:r>
      <w:r>
        <w:fldChar w:fldCharType="separate"/>
      </w:r>
      <w:r w:rsidR="00F3280B">
        <w:t xml:space="preserve">Table </w:t>
      </w:r>
      <w:r w:rsidR="00F3280B">
        <w:rPr>
          <w:noProof/>
        </w:rPr>
        <w:t>3</w:t>
      </w:r>
      <w:r>
        <w:fldChar w:fldCharType="end"/>
      </w:r>
      <w:r>
        <w:t>.)</w:t>
      </w:r>
    </w:p>
    <w:p w:rsidR="00FB5DDF" w:rsidRDefault="00FB5DDF" w:rsidP="00FB5DDF">
      <w:pPr>
        <w:pStyle w:val="Caption"/>
      </w:pPr>
      <w:bookmarkStart w:id="50" w:name="_Ref508013101"/>
      <w:r>
        <w:t xml:space="preserve">Table </w:t>
      </w:r>
      <w:fldSimple w:instr=" SEQ Table \* ARABIC ">
        <w:r w:rsidR="00F3280B">
          <w:rPr>
            <w:noProof/>
          </w:rPr>
          <w:t>3</w:t>
        </w:r>
      </w:fldSimple>
      <w:bookmarkEnd w:id="50"/>
      <w:r>
        <w:tab/>
        <w:t>Planning and regulation expenses for major infrastructure projects, materiality test, 2018 Update</w:t>
      </w:r>
    </w:p>
    <w:tbl>
      <w:tblPr>
        <w:tblW w:w="8960" w:type="dxa"/>
        <w:tblInd w:w="93" w:type="dxa"/>
        <w:tblLook w:val="04A0" w:firstRow="1" w:lastRow="0" w:firstColumn="1" w:lastColumn="0" w:noHBand="0" w:noVBand="1"/>
      </w:tblPr>
      <w:tblGrid>
        <w:gridCol w:w="1900"/>
        <w:gridCol w:w="820"/>
        <w:gridCol w:w="780"/>
        <w:gridCol w:w="740"/>
        <w:gridCol w:w="720"/>
        <w:gridCol w:w="780"/>
        <w:gridCol w:w="780"/>
        <w:gridCol w:w="740"/>
        <w:gridCol w:w="720"/>
        <w:gridCol w:w="980"/>
      </w:tblGrid>
      <w:tr w:rsidR="00FB5DDF" w:rsidRPr="00AA6D84" w:rsidTr="00A15CD8">
        <w:trPr>
          <w:trHeight w:val="379"/>
        </w:trPr>
        <w:tc>
          <w:tcPr>
            <w:tcW w:w="1900" w:type="dxa"/>
            <w:tcBorders>
              <w:top w:val="single" w:sz="4" w:space="0" w:color="auto"/>
              <w:left w:val="nil"/>
              <w:bottom w:val="single" w:sz="4" w:space="0" w:color="auto"/>
              <w:right w:val="nil"/>
            </w:tcBorders>
            <w:shd w:val="clear" w:color="auto" w:fill="auto"/>
            <w:noWrap/>
            <w:vAlign w:val="center"/>
            <w:hideMark/>
          </w:tcPr>
          <w:p w:rsidR="00FB5DDF" w:rsidRPr="00AA6D84" w:rsidRDefault="00FB5DDF" w:rsidP="00A15CD8">
            <w:pPr>
              <w:tabs>
                <w:tab w:val="clear" w:pos="567"/>
              </w:tabs>
              <w:spacing w:after="0" w:line="240" w:lineRule="auto"/>
              <w:jc w:val="right"/>
              <w:rPr>
                <w:rFonts w:ascii="Calibri" w:eastAsia="Times New Roman" w:hAnsi="Calibri" w:cs="Times New Roman"/>
                <w:color w:val="000000"/>
                <w:sz w:val="20"/>
                <w:szCs w:val="20"/>
                <w:lang w:eastAsia="en-AU"/>
              </w:rPr>
            </w:pPr>
            <w:bookmarkStart w:id="51" w:name="RANGE!A4:J6"/>
            <w:r w:rsidRPr="00AA6D84">
              <w:rPr>
                <w:rFonts w:ascii="Calibri" w:eastAsia="Times New Roman" w:hAnsi="Calibri" w:cs="Times New Roman"/>
                <w:color w:val="000000"/>
                <w:sz w:val="20"/>
                <w:szCs w:val="20"/>
                <w:lang w:eastAsia="en-AU"/>
              </w:rPr>
              <w:t> </w:t>
            </w:r>
            <w:bookmarkEnd w:id="51"/>
          </w:p>
        </w:tc>
        <w:tc>
          <w:tcPr>
            <w:tcW w:w="820" w:type="dxa"/>
            <w:tcBorders>
              <w:top w:val="single" w:sz="4" w:space="0" w:color="auto"/>
              <w:left w:val="nil"/>
              <w:bottom w:val="single" w:sz="4" w:space="0" w:color="auto"/>
              <w:right w:val="nil"/>
            </w:tcBorders>
            <w:shd w:val="clear" w:color="auto" w:fill="auto"/>
            <w:noWrap/>
            <w:vAlign w:val="center"/>
            <w:hideMark/>
          </w:tcPr>
          <w:p w:rsidR="00FB5DDF" w:rsidRPr="00AA6D84" w:rsidRDefault="00FB5DDF" w:rsidP="00A15CD8">
            <w:pPr>
              <w:tabs>
                <w:tab w:val="clear" w:pos="567"/>
              </w:tabs>
              <w:spacing w:after="0" w:line="240" w:lineRule="auto"/>
              <w:jc w:val="right"/>
              <w:rPr>
                <w:rFonts w:ascii="Calibri" w:eastAsia="Times New Roman" w:hAnsi="Calibri" w:cs="Times New Roman"/>
                <w:color w:val="000000"/>
                <w:sz w:val="20"/>
                <w:szCs w:val="20"/>
                <w:lang w:eastAsia="en-AU"/>
              </w:rPr>
            </w:pPr>
            <w:r w:rsidRPr="00AA6D84">
              <w:rPr>
                <w:rFonts w:ascii="Calibri" w:eastAsia="Times New Roman" w:hAnsi="Calibri" w:cs="Times New Roman"/>
                <w:color w:val="000000"/>
                <w:sz w:val="20"/>
                <w:szCs w:val="20"/>
                <w:lang w:eastAsia="en-AU"/>
              </w:rPr>
              <w:t>NSW</w:t>
            </w:r>
          </w:p>
        </w:tc>
        <w:tc>
          <w:tcPr>
            <w:tcW w:w="780" w:type="dxa"/>
            <w:tcBorders>
              <w:top w:val="single" w:sz="4" w:space="0" w:color="auto"/>
              <w:left w:val="nil"/>
              <w:bottom w:val="single" w:sz="4" w:space="0" w:color="auto"/>
              <w:right w:val="nil"/>
            </w:tcBorders>
            <w:shd w:val="clear" w:color="auto" w:fill="auto"/>
            <w:noWrap/>
            <w:vAlign w:val="center"/>
            <w:hideMark/>
          </w:tcPr>
          <w:p w:rsidR="00FB5DDF" w:rsidRPr="00AA6D84" w:rsidRDefault="00FB5DDF" w:rsidP="00A15CD8">
            <w:pPr>
              <w:tabs>
                <w:tab w:val="clear" w:pos="567"/>
              </w:tabs>
              <w:spacing w:after="0" w:line="240" w:lineRule="auto"/>
              <w:jc w:val="right"/>
              <w:rPr>
                <w:rFonts w:ascii="Calibri" w:eastAsia="Times New Roman" w:hAnsi="Calibri" w:cs="Times New Roman"/>
                <w:color w:val="000000"/>
                <w:sz w:val="20"/>
                <w:szCs w:val="20"/>
                <w:lang w:eastAsia="en-AU"/>
              </w:rPr>
            </w:pPr>
            <w:r w:rsidRPr="00AA6D84">
              <w:rPr>
                <w:rFonts w:ascii="Calibri" w:eastAsia="Times New Roman" w:hAnsi="Calibri" w:cs="Times New Roman"/>
                <w:color w:val="000000"/>
                <w:sz w:val="20"/>
                <w:szCs w:val="20"/>
                <w:lang w:eastAsia="en-AU"/>
              </w:rPr>
              <w:t>Vic</w:t>
            </w:r>
          </w:p>
        </w:tc>
        <w:tc>
          <w:tcPr>
            <w:tcW w:w="740" w:type="dxa"/>
            <w:tcBorders>
              <w:top w:val="single" w:sz="4" w:space="0" w:color="auto"/>
              <w:left w:val="nil"/>
              <w:bottom w:val="single" w:sz="4" w:space="0" w:color="auto"/>
              <w:right w:val="nil"/>
            </w:tcBorders>
            <w:shd w:val="clear" w:color="auto" w:fill="auto"/>
            <w:noWrap/>
            <w:vAlign w:val="center"/>
            <w:hideMark/>
          </w:tcPr>
          <w:p w:rsidR="00FB5DDF" w:rsidRPr="00AA6D84" w:rsidRDefault="00FB5DDF" w:rsidP="00A15CD8">
            <w:pPr>
              <w:tabs>
                <w:tab w:val="clear" w:pos="567"/>
              </w:tabs>
              <w:spacing w:after="0" w:line="240" w:lineRule="auto"/>
              <w:jc w:val="right"/>
              <w:rPr>
                <w:rFonts w:ascii="Calibri" w:eastAsia="Times New Roman" w:hAnsi="Calibri" w:cs="Times New Roman"/>
                <w:color w:val="000000"/>
                <w:sz w:val="20"/>
                <w:szCs w:val="20"/>
                <w:lang w:eastAsia="en-AU"/>
              </w:rPr>
            </w:pPr>
            <w:r w:rsidRPr="00AA6D84">
              <w:rPr>
                <w:rFonts w:ascii="Calibri" w:eastAsia="Times New Roman" w:hAnsi="Calibri" w:cs="Times New Roman"/>
                <w:color w:val="000000"/>
                <w:sz w:val="20"/>
                <w:szCs w:val="20"/>
                <w:lang w:eastAsia="en-AU"/>
              </w:rPr>
              <w:t>Qld</w:t>
            </w:r>
          </w:p>
        </w:tc>
        <w:tc>
          <w:tcPr>
            <w:tcW w:w="720" w:type="dxa"/>
            <w:tcBorders>
              <w:top w:val="single" w:sz="4" w:space="0" w:color="auto"/>
              <w:left w:val="nil"/>
              <w:bottom w:val="single" w:sz="4" w:space="0" w:color="auto"/>
              <w:right w:val="nil"/>
            </w:tcBorders>
            <w:shd w:val="clear" w:color="auto" w:fill="auto"/>
            <w:noWrap/>
            <w:vAlign w:val="center"/>
            <w:hideMark/>
          </w:tcPr>
          <w:p w:rsidR="00FB5DDF" w:rsidRPr="00AA6D84" w:rsidRDefault="00FB5DDF" w:rsidP="00A15CD8">
            <w:pPr>
              <w:tabs>
                <w:tab w:val="clear" w:pos="567"/>
              </w:tabs>
              <w:spacing w:after="0" w:line="240" w:lineRule="auto"/>
              <w:jc w:val="right"/>
              <w:rPr>
                <w:rFonts w:ascii="Calibri" w:eastAsia="Times New Roman" w:hAnsi="Calibri" w:cs="Times New Roman"/>
                <w:color w:val="000000"/>
                <w:sz w:val="20"/>
                <w:szCs w:val="20"/>
                <w:lang w:eastAsia="en-AU"/>
              </w:rPr>
            </w:pPr>
            <w:r w:rsidRPr="00AA6D84">
              <w:rPr>
                <w:rFonts w:ascii="Calibri" w:eastAsia="Times New Roman" w:hAnsi="Calibri" w:cs="Times New Roman"/>
                <w:color w:val="000000"/>
                <w:sz w:val="20"/>
                <w:szCs w:val="20"/>
                <w:lang w:eastAsia="en-AU"/>
              </w:rPr>
              <w:t>WA</w:t>
            </w:r>
          </w:p>
        </w:tc>
        <w:tc>
          <w:tcPr>
            <w:tcW w:w="780" w:type="dxa"/>
            <w:tcBorders>
              <w:top w:val="single" w:sz="4" w:space="0" w:color="auto"/>
              <w:left w:val="nil"/>
              <w:bottom w:val="single" w:sz="4" w:space="0" w:color="auto"/>
              <w:right w:val="nil"/>
            </w:tcBorders>
            <w:shd w:val="clear" w:color="auto" w:fill="auto"/>
            <w:noWrap/>
            <w:vAlign w:val="center"/>
            <w:hideMark/>
          </w:tcPr>
          <w:p w:rsidR="00FB5DDF" w:rsidRPr="00AA6D84" w:rsidRDefault="00FB5DDF" w:rsidP="00A15CD8">
            <w:pPr>
              <w:tabs>
                <w:tab w:val="clear" w:pos="567"/>
              </w:tabs>
              <w:spacing w:after="0" w:line="240" w:lineRule="auto"/>
              <w:jc w:val="right"/>
              <w:rPr>
                <w:rFonts w:ascii="Calibri" w:eastAsia="Times New Roman" w:hAnsi="Calibri" w:cs="Times New Roman"/>
                <w:color w:val="000000"/>
                <w:sz w:val="20"/>
                <w:szCs w:val="20"/>
                <w:lang w:eastAsia="en-AU"/>
              </w:rPr>
            </w:pPr>
            <w:r w:rsidRPr="00AA6D84">
              <w:rPr>
                <w:rFonts w:ascii="Calibri" w:eastAsia="Times New Roman" w:hAnsi="Calibri" w:cs="Times New Roman"/>
                <w:color w:val="000000"/>
                <w:sz w:val="20"/>
                <w:szCs w:val="20"/>
                <w:lang w:eastAsia="en-AU"/>
              </w:rPr>
              <w:t>SA</w:t>
            </w:r>
          </w:p>
        </w:tc>
        <w:tc>
          <w:tcPr>
            <w:tcW w:w="780" w:type="dxa"/>
            <w:tcBorders>
              <w:top w:val="single" w:sz="4" w:space="0" w:color="auto"/>
              <w:left w:val="nil"/>
              <w:bottom w:val="single" w:sz="4" w:space="0" w:color="auto"/>
              <w:right w:val="nil"/>
            </w:tcBorders>
            <w:shd w:val="clear" w:color="auto" w:fill="auto"/>
            <w:noWrap/>
            <w:vAlign w:val="center"/>
            <w:hideMark/>
          </w:tcPr>
          <w:p w:rsidR="00FB5DDF" w:rsidRPr="00AA6D84" w:rsidRDefault="00FB5DDF" w:rsidP="00A15CD8">
            <w:pPr>
              <w:tabs>
                <w:tab w:val="clear" w:pos="567"/>
              </w:tabs>
              <w:spacing w:after="0" w:line="240" w:lineRule="auto"/>
              <w:jc w:val="right"/>
              <w:rPr>
                <w:rFonts w:ascii="Calibri" w:eastAsia="Times New Roman" w:hAnsi="Calibri" w:cs="Times New Roman"/>
                <w:color w:val="000000"/>
                <w:sz w:val="20"/>
                <w:szCs w:val="20"/>
                <w:lang w:eastAsia="en-AU"/>
              </w:rPr>
            </w:pPr>
            <w:r w:rsidRPr="00AA6D84">
              <w:rPr>
                <w:rFonts w:ascii="Calibri" w:eastAsia="Times New Roman" w:hAnsi="Calibri" w:cs="Times New Roman"/>
                <w:color w:val="000000"/>
                <w:sz w:val="20"/>
                <w:szCs w:val="20"/>
                <w:lang w:eastAsia="en-AU"/>
              </w:rPr>
              <w:t>Tas</w:t>
            </w:r>
          </w:p>
        </w:tc>
        <w:tc>
          <w:tcPr>
            <w:tcW w:w="740" w:type="dxa"/>
            <w:tcBorders>
              <w:top w:val="single" w:sz="4" w:space="0" w:color="auto"/>
              <w:left w:val="nil"/>
              <w:bottom w:val="single" w:sz="4" w:space="0" w:color="auto"/>
              <w:right w:val="nil"/>
            </w:tcBorders>
            <w:shd w:val="clear" w:color="auto" w:fill="auto"/>
            <w:noWrap/>
            <w:vAlign w:val="center"/>
            <w:hideMark/>
          </w:tcPr>
          <w:p w:rsidR="00FB5DDF" w:rsidRPr="00AA6D84" w:rsidRDefault="00FB5DDF" w:rsidP="00A15CD8">
            <w:pPr>
              <w:tabs>
                <w:tab w:val="clear" w:pos="567"/>
              </w:tabs>
              <w:spacing w:after="0" w:line="240" w:lineRule="auto"/>
              <w:jc w:val="right"/>
              <w:rPr>
                <w:rFonts w:ascii="Calibri" w:eastAsia="Times New Roman" w:hAnsi="Calibri" w:cs="Times New Roman"/>
                <w:color w:val="000000"/>
                <w:sz w:val="20"/>
                <w:szCs w:val="20"/>
                <w:lang w:eastAsia="en-AU"/>
              </w:rPr>
            </w:pPr>
            <w:r w:rsidRPr="00AA6D84">
              <w:rPr>
                <w:rFonts w:ascii="Calibri" w:eastAsia="Times New Roman" w:hAnsi="Calibri" w:cs="Times New Roman"/>
                <w:color w:val="000000"/>
                <w:sz w:val="20"/>
                <w:szCs w:val="20"/>
                <w:lang w:eastAsia="en-AU"/>
              </w:rPr>
              <w:t>ACT</w:t>
            </w:r>
          </w:p>
        </w:tc>
        <w:tc>
          <w:tcPr>
            <w:tcW w:w="720" w:type="dxa"/>
            <w:tcBorders>
              <w:top w:val="single" w:sz="4" w:space="0" w:color="auto"/>
              <w:left w:val="nil"/>
              <w:bottom w:val="single" w:sz="4" w:space="0" w:color="auto"/>
              <w:right w:val="nil"/>
            </w:tcBorders>
            <w:shd w:val="clear" w:color="auto" w:fill="auto"/>
            <w:noWrap/>
            <w:vAlign w:val="center"/>
            <w:hideMark/>
          </w:tcPr>
          <w:p w:rsidR="00FB5DDF" w:rsidRPr="00AA6D84" w:rsidRDefault="00FB5DDF" w:rsidP="00A15CD8">
            <w:pPr>
              <w:tabs>
                <w:tab w:val="clear" w:pos="567"/>
              </w:tabs>
              <w:spacing w:after="0" w:line="240" w:lineRule="auto"/>
              <w:jc w:val="right"/>
              <w:rPr>
                <w:rFonts w:ascii="Calibri" w:eastAsia="Times New Roman" w:hAnsi="Calibri" w:cs="Times New Roman"/>
                <w:color w:val="000000"/>
                <w:sz w:val="20"/>
                <w:szCs w:val="20"/>
                <w:lang w:eastAsia="en-AU"/>
              </w:rPr>
            </w:pPr>
            <w:r w:rsidRPr="00AA6D84">
              <w:rPr>
                <w:rFonts w:ascii="Calibri" w:eastAsia="Times New Roman" w:hAnsi="Calibri" w:cs="Times New Roman"/>
                <w:color w:val="000000"/>
                <w:sz w:val="20"/>
                <w:szCs w:val="20"/>
                <w:lang w:eastAsia="en-AU"/>
              </w:rPr>
              <w:t>NT</w:t>
            </w:r>
          </w:p>
        </w:tc>
        <w:tc>
          <w:tcPr>
            <w:tcW w:w="980" w:type="dxa"/>
            <w:tcBorders>
              <w:top w:val="single" w:sz="4" w:space="0" w:color="auto"/>
              <w:left w:val="nil"/>
              <w:bottom w:val="single" w:sz="4" w:space="0" w:color="auto"/>
              <w:right w:val="nil"/>
            </w:tcBorders>
            <w:shd w:val="clear" w:color="auto" w:fill="auto"/>
            <w:noWrap/>
            <w:vAlign w:val="center"/>
            <w:hideMark/>
          </w:tcPr>
          <w:p w:rsidR="00FB5DDF" w:rsidRPr="00AA6D84" w:rsidRDefault="00FB5DDF" w:rsidP="00A15CD8">
            <w:pPr>
              <w:tabs>
                <w:tab w:val="clear" w:pos="567"/>
              </w:tabs>
              <w:spacing w:after="0" w:line="240" w:lineRule="auto"/>
              <w:jc w:val="right"/>
              <w:rPr>
                <w:rFonts w:ascii="Calibri" w:eastAsia="Times New Roman" w:hAnsi="Calibri" w:cs="Times New Roman"/>
                <w:color w:val="000000"/>
                <w:sz w:val="20"/>
                <w:szCs w:val="20"/>
                <w:lang w:eastAsia="en-AU"/>
              </w:rPr>
            </w:pPr>
            <w:r w:rsidRPr="00AA6D84">
              <w:rPr>
                <w:rFonts w:ascii="Calibri" w:eastAsia="Times New Roman" w:hAnsi="Calibri" w:cs="Times New Roman"/>
                <w:color w:val="000000"/>
                <w:sz w:val="20"/>
                <w:szCs w:val="20"/>
                <w:lang w:eastAsia="en-AU"/>
              </w:rPr>
              <w:t>Redist</w:t>
            </w:r>
          </w:p>
        </w:tc>
      </w:tr>
      <w:tr w:rsidR="00FB5DDF" w:rsidRPr="00AA6D84" w:rsidTr="00A15CD8">
        <w:trPr>
          <w:trHeight w:val="315"/>
        </w:trPr>
        <w:tc>
          <w:tcPr>
            <w:tcW w:w="1900" w:type="dxa"/>
            <w:tcBorders>
              <w:top w:val="nil"/>
              <w:left w:val="nil"/>
              <w:bottom w:val="nil"/>
              <w:right w:val="nil"/>
            </w:tcBorders>
            <w:shd w:val="clear" w:color="auto" w:fill="auto"/>
            <w:noWrap/>
            <w:vAlign w:val="bottom"/>
            <w:hideMark/>
          </w:tcPr>
          <w:p w:rsidR="00FB5DDF" w:rsidRPr="00AA6D84" w:rsidRDefault="00FB5DDF" w:rsidP="00A15CD8">
            <w:pPr>
              <w:tabs>
                <w:tab w:val="clear" w:pos="567"/>
              </w:tabs>
              <w:spacing w:after="0" w:line="240" w:lineRule="auto"/>
              <w:rPr>
                <w:rFonts w:ascii="Calibri" w:eastAsia="Times New Roman" w:hAnsi="Calibri" w:cs="Times New Roman"/>
                <w:color w:val="000000"/>
                <w:sz w:val="20"/>
                <w:szCs w:val="20"/>
                <w:lang w:eastAsia="en-AU"/>
              </w:rPr>
            </w:pPr>
            <w:r w:rsidRPr="00AA6D84">
              <w:rPr>
                <w:rFonts w:ascii="Calibri" w:eastAsia="Times New Roman" w:hAnsi="Calibri" w:cs="Times New Roman"/>
                <w:color w:val="000000"/>
                <w:sz w:val="20"/>
                <w:szCs w:val="20"/>
                <w:lang w:eastAsia="en-AU"/>
              </w:rPr>
              <w:t>$ million</w:t>
            </w:r>
          </w:p>
        </w:tc>
        <w:tc>
          <w:tcPr>
            <w:tcW w:w="820" w:type="dxa"/>
            <w:tcBorders>
              <w:top w:val="nil"/>
              <w:left w:val="nil"/>
              <w:bottom w:val="nil"/>
              <w:right w:val="nil"/>
            </w:tcBorders>
            <w:shd w:val="clear" w:color="auto" w:fill="auto"/>
            <w:noWrap/>
            <w:vAlign w:val="bottom"/>
            <w:hideMark/>
          </w:tcPr>
          <w:p w:rsidR="00FB5DDF" w:rsidRPr="00AA6D84" w:rsidRDefault="00FB5DDF" w:rsidP="00A15CD8">
            <w:pPr>
              <w:tabs>
                <w:tab w:val="clear" w:pos="567"/>
              </w:tabs>
              <w:spacing w:after="0" w:line="240" w:lineRule="auto"/>
              <w:jc w:val="right"/>
              <w:rPr>
                <w:rFonts w:ascii="Calibri" w:eastAsia="Times New Roman" w:hAnsi="Calibri" w:cs="Times New Roman"/>
                <w:color w:val="000000"/>
                <w:sz w:val="20"/>
                <w:szCs w:val="20"/>
                <w:lang w:eastAsia="en-AU"/>
              </w:rPr>
            </w:pPr>
            <w:r w:rsidRPr="00AA6D84">
              <w:rPr>
                <w:rFonts w:ascii="Calibri" w:eastAsia="Times New Roman" w:hAnsi="Calibri" w:cs="Times New Roman"/>
                <w:color w:val="000000"/>
                <w:sz w:val="20"/>
                <w:szCs w:val="20"/>
                <w:lang w:eastAsia="en-AU"/>
              </w:rPr>
              <w:t>-61</w:t>
            </w:r>
          </w:p>
        </w:tc>
        <w:tc>
          <w:tcPr>
            <w:tcW w:w="780" w:type="dxa"/>
            <w:tcBorders>
              <w:top w:val="nil"/>
              <w:left w:val="nil"/>
              <w:bottom w:val="nil"/>
              <w:right w:val="nil"/>
            </w:tcBorders>
            <w:shd w:val="clear" w:color="auto" w:fill="auto"/>
            <w:noWrap/>
            <w:vAlign w:val="bottom"/>
            <w:hideMark/>
          </w:tcPr>
          <w:p w:rsidR="00FB5DDF" w:rsidRPr="00AA6D84" w:rsidRDefault="00FB5DDF" w:rsidP="00A15CD8">
            <w:pPr>
              <w:tabs>
                <w:tab w:val="clear" w:pos="567"/>
              </w:tabs>
              <w:spacing w:after="0" w:line="240" w:lineRule="auto"/>
              <w:jc w:val="right"/>
              <w:rPr>
                <w:rFonts w:ascii="Calibri" w:eastAsia="Times New Roman" w:hAnsi="Calibri" w:cs="Times New Roman"/>
                <w:color w:val="000000"/>
                <w:sz w:val="20"/>
                <w:szCs w:val="20"/>
                <w:lang w:eastAsia="en-AU"/>
              </w:rPr>
            </w:pPr>
            <w:r w:rsidRPr="00AA6D84">
              <w:rPr>
                <w:rFonts w:ascii="Calibri" w:eastAsia="Times New Roman" w:hAnsi="Calibri" w:cs="Times New Roman"/>
                <w:color w:val="000000"/>
                <w:sz w:val="20"/>
                <w:szCs w:val="20"/>
                <w:lang w:eastAsia="en-AU"/>
              </w:rPr>
              <w:t>-43</w:t>
            </w:r>
          </w:p>
        </w:tc>
        <w:tc>
          <w:tcPr>
            <w:tcW w:w="740" w:type="dxa"/>
            <w:tcBorders>
              <w:top w:val="nil"/>
              <w:left w:val="nil"/>
              <w:bottom w:val="nil"/>
              <w:right w:val="nil"/>
            </w:tcBorders>
            <w:shd w:val="clear" w:color="auto" w:fill="auto"/>
            <w:noWrap/>
            <w:vAlign w:val="bottom"/>
            <w:hideMark/>
          </w:tcPr>
          <w:p w:rsidR="00FB5DDF" w:rsidRPr="00AA6D84" w:rsidRDefault="00FB5DDF" w:rsidP="00A15CD8">
            <w:pPr>
              <w:tabs>
                <w:tab w:val="clear" w:pos="567"/>
              </w:tabs>
              <w:spacing w:after="0" w:line="240" w:lineRule="auto"/>
              <w:jc w:val="right"/>
              <w:rPr>
                <w:rFonts w:ascii="Calibri" w:eastAsia="Times New Roman" w:hAnsi="Calibri" w:cs="Times New Roman"/>
                <w:color w:val="000000"/>
                <w:sz w:val="20"/>
                <w:szCs w:val="20"/>
                <w:lang w:eastAsia="en-AU"/>
              </w:rPr>
            </w:pPr>
            <w:r w:rsidRPr="00AA6D84">
              <w:rPr>
                <w:rFonts w:ascii="Calibri" w:eastAsia="Times New Roman" w:hAnsi="Calibri" w:cs="Times New Roman"/>
                <w:color w:val="000000"/>
                <w:sz w:val="20"/>
                <w:szCs w:val="20"/>
                <w:lang w:eastAsia="en-AU"/>
              </w:rPr>
              <w:t>3</w:t>
            </w:r>
          </w:p>
        </w:tc>
        <w:tc>
          <w:tcPr>
            <w:tcW w:w="720" w:type="dxa"/>
            <w:tcBorders>
              <w:top w:val="nil"/>
              <w:left w:val="nil"/>
              <w:bottom w:val="nil"/>
              <w:right w:val="nil"/>
            </w:tcBorders>
            <w:shd w:val="clear" w:color="auto" w:fill="auto"/>
            <w:noWrap/>
            <w:vAlign w:val="bottom"/>
            <w:hideMark/>
          </w:tcPr>
          <w:p w:rsidR="00FB5DDF" w:rsidRPr="00AA6D84" w:rsidRDefault="00FB5DDF" w:rsidP="00A15CD8">
            <w:pPr>
              <w:tabs>
                <w:tab w:val="clear" w:pos="567"/>
              </w:tabs>
              <w:spacing w:after="0" w:line="240" w:lineRule="auto"/>
              <w:jc w:val="right"/>
              <w:rPr>
                <w:rFonts w:ascii="Calibri" w:eastAsia="Times New Roman" w:hAnsi="Calibri" w:cs="Times New Roman"/>
                <w:color w:val="000000"/>
                <w:sz w:val="20"/>
                <w:szCs w:val="20"/>
                <w:lang w:eastAsia="en-AU"/>
              </w:rPr>
            </w:pPr>
            <w:r w:rsidRPr="00AA6D84">
              <w:rPr>
                <w:rFonts w:ascii="Calibri" w:eastAsia="Times New Roman" w:hAnsi="Calibri" w:cs="Times New Roman"/>
                <w:color w:val="000000"/>
                <w:sz w:val="20"/>
                <w:szCs w:val="20"/>
                <w:lang w:eastAsia="en-AU"/>
              </w:rPr>
              <w:t>95</w:t>
            </w:r>
          </w:p>
        </w:tc>
        <w:tc>
          <w:tcPr>
            <w:tcW w:w="780" w:type="dxa"/>
            <w:tcBorders>
              <w:top w:val="nil"/>
              <w:left w:val="nil"/>
              <w:bottom w:val="nil"/>
              <w:right w:val="nil"/>
            </w:tcBorders>
            <w:shd w:val="clear" w:color="auto" w:fill="auto"/>
            <w:noWrap/>
            <w:vAlign w:val="bottom"/>
            <w:hideMark/>
          </w:tcPr>
          <w:p w:rsidR="00FB5DDF" w:rsidRPr="00AA6D84" w:rsidRDefault="00FB5DDF" w:rsidP="00A15CD8">
            <w:pPr>
              <w:tabs>
                <w:tab w:val="clear" w:pos="567"/>
              </w:tabs>
              <w:spacing w:after="0" w:line="240" w:lineRule="auto"/>
              <w:jc w:val="right"/>
              <w:rPr>
                <w:rFonts w:ascii="Calibri" w:eastAsia="Times New Roman" w:hAnsi="Calibri" w:cs="Times New Roman"/>
                <w:color w:val="000000"/>
                <w:sz w:val="20"/>
                <w:szCs w:val="20"/>
                <w:lang w:eastAsia="en-AU"/>
              </w:rPr>
            </w:pPr>
            <w:r w:rsidRPr="00AA6D84">
              <w:rPr>
                <w:rFonts w:ascii="Calibri" w:eastAsia="Times New Roman" w:hAnsi="Calibri" w:cs="Times New Roman"/>
                <w:color w:val="000000"/>
                <w:sz w:val="20"/>
                <w:szCs w:val="20"/>
                <w:lang w:eastAsia="en-AU"/>
              </w:rPr>
              <w:t>-14</w:t>
            </w:r>
          </w:p>
        </w:tc>
        <w:tc>
          <w:tcPr>
            <w:tcW w:w="780" w:type="dxa"/>
            <w:tcBorders>
              <w:top w:val="nil"/>
              <w:left w:val="nil"/>
              <w:bottom w:val="nil"/>
              <w:right w:val="nil"/>
            </w:tcBorders>
            <w:shd w:val="clear" w:color="auto" w:fill="auto"/>
            <w:noWrap/>
            <w:vAlign w:val="bottom"/>
            <w:hideMark/>
          </w:tcPr>
          <w:p w:rsidR="00FB5DDF" w:rsidRPr="00AA6D84" w:rsidRDefault="00FB5DDF" w:rsidP="00A15CD8">
            <w:pPr>
              <w:tabs>
                <w:tab w:val="clear" w:pos="567"/>
              </w:tabs>
              <w:spacing w:after="0" w:line="240" w:lineRule="auto"/>
              <w:jc w:val="right"/>
              <w:rPr>
                <w:rFonts w:ascii="Calibri" w:eastAsia="Times New Roman" w:hAnsi="Calibri" w:cs="Times New Roman"/>
                <w:color w:val="000000"/>
                <w:sz w:val="20"/>
                <w:szCs w:val="20"/>
                <w:lang w:eastAsia="en-AU"/>
              </w:rPr>
            </w:pPr>
            <w:r w:rsidRPr="00AA6D84">
              <w:rPr>
                <w:rFonts w:ascii="Calibri" w:eastAsia="Times New Roman" w:hAnsi="Calibri" w:cs="Times New Roman"/>
                <w:color w:val="000000"/>
                <w:sz w:val="20"/>
                <w:szCs w:val="20"/>
                <w:lang w:eastAsia="en-AU"/>
              </w:rPr>
              <w:t>-6</w:t>
            </w:r>
          </w:p>
        </w:tc>
        <w:tc>
          <w:tcPr>
            <w:tcW w:w="740" w:type="dxa"/>
            <w:tcBorders>
              <w:top w:val="nil"/>
              <w:left w:val="nil"/>
              <w:bottom w:val="nil"/>
              <w:right w:val="nil"/>
            </w:tcBorders>
            <w:shd w:val="clear" w:color="auto" w:fill="auto"/>
            <w:noWrap/>
            <w:vAlign w:val="bottom"/>
            <w:hideMark/>
          </w:tcPr>
          <w:p w:rsidR="00FB5DDF" w:rsidRPr="00AA6D84" w:rsidRDefault="00FB5DDF" w:rsidP="00A15CD8">
            <w:pPr>
              <w:tabs>
                <w:tab w:val="clear" w:pos="567"/>
              </w:tabs>
              <w:spacing w:after="0" w:line="240" w:lineRule="auto"/>
              <w:jc w:val="right"/>
              <w:rPr>
                <w:rFonts w:ascii="Calibri" w:eastAsia="Times New Roman" w:hAnsi="Calibri" w:cs="Times New Roman"/>
                <w:color w:val="000000"/>
                <w:sz w:val="20"/>
                <w:szCs w:val="20"/>
                <w:lang w:eastAsia="en-AU"/>
              </w:rPr>
            </w:pPr>
            <w:r w:rsidRPr="00AA6D84">
              <w:rPr>
                <w:rFonts w:ascii="Calibri" w:eastAsia="Times New Roman" w:hAnsi="Calibri" w:cs="Times New Roman"/>
                <w:color w:val="000000"/>
                <w:sz w:val="20"/>
                <w:szCs w:val="20"/>
                <w:lang w:eastAsia="en-AU"/>
              </w:rPr>
              <w:t>-3</w:t>
            </w:r>
          </w:p>
        </w:tc>
        <w:tc>
          <w:tcPr>
            <w:tcW w:w="720" w:type="dxa"/>
            <w:tcBorders>
              <w:top w:val="nil"/>
              <w:left w:val="nil"/>
              <w:bottom w:val="nil"/>
              <w:right w:val="nil"/>
            </w:tcBorders>
            <w:shd w:val="clear" w:color="auto" w:fill="auto"/>
            <w:noWrap/>
            <w:vAlign w:val="bottom"/>
            <w:hideMark/>
          </w:tcPr>
          <w:p w:rsidR="00FB5DDF" w:rsidRPr="00AA6D84" w:rsidRDefault="00FB5DDF" w:rsidP="00A15CD8">
            <w:pPr>
              <w:tabs>
                <w:tab w:val="clear" w:pos="567"/>
              </w:tabs>
              <w:spacing w:after="0" w:line="240" w:lineRule="auto"/>
              <w:jc w:val="right"/>
              <w:rPr>
                <w:rFonts w:ascii="Calibri" w:eastAsia="Times New Roman" w:hAnsi="Calibri" w:cs="Times New Roman"/>
                <w:color w:val="000000"/>
                <w:sz w:val="20"/>
                <w:szCs w:val="20"/>
                <w:lang w:eastAsia="en-AU"/>
              </w:rPr>
            </w:pPr>
            <w:r w:rsidRPr="00AA6D84">
              <w:rPr>
                <w:rFonts w:ascii="Calibri" w:eastAsia="Times New Roman" w:hAnsi="Calibri" w:cs="Times New Roman"/>
                <w:color w:val="000000"/>
                <w:sz w:val="20"/>
                <w:szCs w:val="20"/>
                <w:lang w:eastAsia="en-AU"/>
              </w:rPr>
              <w:t>24</w:t>
            </w:r>
          </w:p>
        </w:tc>
        <w:tc>
          <w:tcPr>
            <w:tcW w:w="980" w:type="dxa"/>
            <w:tcBorders>
              <w:top w:val="nil"/>
              <w:left w:val="nil"/>
              <w:bottom w:val="nil"/>
              <w:right w:val="nil"/>
            </w:tcBorders>
            <w:shd w:val="clear" w:color="auto" w:fill="auto"/>
            <w:noWrap/>
            <w:vAlign w:val="bottom"/>
            <w:hideMark/>
          </w:tcPr>
          <w:p w:rsidR="00FB5DDF" w:rsidRPr="00AA6D84" w:rsidRDefault="00FB5DDF" w:rsidP="00A15CD8">
            <w:pPr>
              <w:tabs>
                <w:tab w:val="clear" w:pos="567"/>
              </w:tabs>
              <w:spacing w:after="0" w:line="240" w:lineRule="auto"/>
              <w:jc w:val="right"/>
              <w:rPr>
                <w:rFonts w:ascii="Calibri" w:eastAsia="Times New Roman" w:hAnsi="Calibri" w:cs="Times New Roman"/>
                <w:color w:val="000000"/>
                <w:sz w:val="20"/>
                <w:szCs w:val="20"/>
                <w:lang w:eastAsia="en-AU"/>
              </w:rPr>
            </w:pPr>
            <w:r w:rsidRPr="00AA6D84">
              <w:rPr>
                <w:rFonts w:ascii="Calibri" w:eastAsia="Times New Roman" w:hAnsi="Calibri" w:cs="Times New Roman"/>
                <w:color w:val="000000"/>
                <w:sz w:val="20"/>
                <w:szCs w:val="20"/>
                <w:lang w:eastAsia="en-AU"/>
              </w:rPr>
              <w:t>125</w:t>
            </w:r>
          </w:p>
        </w:tc>
      </w:tr>
      <w:tr w:rsidR="00FB5DDF" w:rsidRPr="00AA6D84" w:rsidTr="00A15CD8">
        <w:trPr>
          <w:trHeight w:val="315"/>
        </w:trPr>
        <w:tc>
          <w:tcPr>
            <w:tcW w:w="1900" w:type="dxa"/>
            <w:tcBorders>
              <w:top w:val="nil"/>
              <w:left w:val="nil"/>
              <w:bottom w:val="single" w:sz="4" w:space="0" w:color="auto"/>
              <w:right w:val="nil"/>
            </w:tcBorders>
            <w:shd w:val="clear" w:color="auto" w:fill="auto"/>
            <w:noWrap/>
            <w:vAlign w:val="bottom"/>
            <w:hideMark/>
          </w:tcPr>
          <w:p w:rsidR="00FB5DDF" w:rsidRPr="00AA6D84" w:rsidRDefault="00FB5DDF" w:rsidP="00A15CD8">
            <w:pPr>
              <w:tabs>
                <w:tab w:val="clear" w:pos="567"/>
              </w:tabs>
              <w:spacing w:after="0" w:line="240" w:lineRule="auto"/>
              <w:rPr>
                <w:rFonts w:ascii="Calibri" w:eastAsia="Times New Roman" w:hAnsi="Calibri" w:cs="Times New Roman"/>
                <w:color w:val="000000"/>
                <w:sz w:val="20"/>
                <w:szCs w:val="20"/>
                <w:lang w:eastAsia="en-AU"/>
              </w:rPr>
            </w:pPr>
            <w:r w:rsidRPr="00AA6D84">
              <w:rPr>
                <w:rFonts w:ascii="Calibri" w:eastAsia="Times New Roman" w:hAnsi="Calibri" w:cs="Times New Roman"/>
                <w:color w:val="000000"/>
                <w:sz w:val="20"/>
                <w:szCs w:val="20"/>
                <w:lang w:eastAsia="en-AU"/>
              </w:rPr>
              <w:t>$ per capita</w:t>
            </w:r>
          </w:p>
        </w:tc>
        <w:tc>
          <w:tcPr>
            <w:tcW w:w="820" w:type="dxa"/>
            <w:tcBorders>
              <w:top w:val="nil"/>
              <w:left w:val="nil"/>
              <w:bottom w:val="single" w:sz="4" w:space="0" w:color="auto"/>
              <w:right w:val="nil"/>
            </w:tcBorders>
            <w:shd w:val="clear" w:color="auto" w:fill="auto"/>
            <w:noWrap/>
            <w:vAlign w:val="bottom"/>
            <w:hideMark/>
          </w:tcPr>
          <w:p w:rsidR="00FB5DDF" w:rsidRPr="00AA6D84" w:rsidRDefault="00FB5DDF" w:rsidP="00A15CD8">
            <w:pPr>
              <w:tabs>
                <w:tab w:val="clear" w:pos="567"/>
              </w:tabs>
              <w:spacing w:after="0" w:line="240" w:lineRule="auto"/>
              <w:jc w:val="right"/>
              <w:rPr>
                <w:rFonts w:ascii="Calibri" w:eastAsia="Times New Roman" w:hAnsi="Calibri" w:cs="Times New Roman"/>
                <w:color w:val="000000"/>
                <w:sz w:val="20"/>
                <w:szCs w:val="20"/>
                <w:lang w:eastAsia="en-AU"/>
              </w:rPr>
            </w:pPr>
            <w:r w:rsidRPr="00AA6D84">
              <w:rPr>
                <w:rFonts w:ascii="Calibri" w:eastAsia="Times New Roman" w:hAnsi="Calibri" w:cs="Times New Roman"/>
                <w:color w:val="000000"/>
                <w:sz w:val="20"/>
                <w:szCs w:val="20"/>
                <w:lang w:eastAsia="en-AU"/>
              </w:rPr>
              <w:t>-8</w:t>
            </w:r>
          </w:p>
        </w:tc>
        <w:tc>
          <w:tcPr>
            <w:tcW w:w="780" w:type="dxa"/>
            <w:tcBorders>
              <w:top w:val="nil"/>
              <w:left w:val="nil"/>
              <w:bottom w:val="single" w:sz="4" w:space="0" w:color="auto"/>
              <w:right w:val="nil"/>
            </w:tcBorders>
            <w:shd w:val="clear" w:color="auto" w:fill="auto"/>
            <w:noWrap/>
            <w:vAlign w:val="bottom"/>
            <w:hideMark/>
          </w:tcPr>
          <w:p w:rsidR="00FB5DDF" w:rsidRPr="00AA6D84" w:rsidRDefault="00FB5DDF" w:rsidP="00A15CD8">
            <w:pPr>
              <w:tabs>
                <w:tab w:val="clear" w:pos="567"/>
              </w:tabs>
              <w:spacing w:after="0" w:line="240" w:lineRule="auto"/>
              <w:jc w:val="right"/>
              <w:rPr>
                <w:rFonts w:ascii="Calibri" w:eastAsia="Times New Roman" w:hAnsi="Calibri" w:cs="Times New Roman"/>
                <w:color w:val="000000"/>
                <w:sz w:val="20"/>
                <w:szCs w:val="20"/>
                <w:lang w:eastAsia="en-AU"/>
              </w:rPr>
            </w:pPr>
            <w:r w:rsidRPr="00AA6D84">
              <w:rPr>
                <w:rFonts w:ascii="Calibri" w:eastAsia="Times New Roman" w:hAnsi="Calibri" w:cs="Times New Roman"/>
                <w:color w:val="000000"/>
                <w:sz w:val="20"/>
                <w:szCs w:val="20"/>
                <w:lang w:eastAsia="en-AU"/>
              </w:rPr>
              <w:t>-7</w:t>
            </w:r>
          </w:p>
        </w:tc>
        <w:tc>
          <w:tcPr>
            <w:tcW w:w="740" w:type="dxa"/>
            <w:tcBorders>
              <w:top w:val="nil"/>
              <w:left w:val="nil"/>
              <w:bottom w:val="single" w:sz="4" w:space="0" w:color="auto"/>
              <w:right w:val="nil"/>
            </w:tcBorders>
            <w:shd w:val="clear" w:color="auto" w:fill="auto"/>
            <w:noWrap/>
            <w:vAlign w:val="bottom"/>
            <w:hideMark/>
          </w:tcPr>
          <w:p w:rsidR="00FB5DDF" w:rsidRPr="00AA6D84" w:rsidRDefault="00FB5DDF" w:rsidP="00A15CD8">
            <w:pPr>
              <w:tabs>
                <w:tab w:val="clear" w:pos="567"/>
              </w:tabs>
              <w:spacing w:after="0" w:line="240" w:lineRule="auto"/>
              <w:jc w:val="right"/>
              <w:rPr>
                <w:rFonts w:ascii="Calibri" w:eastAsia="Times New Roman" w:hAnsi="Calibri" w:cs="Times New Roman"/>
                <w:color w:val="000000"/>
                <w:sz w:val="20"/>
                <w:szCs w:val="20"/>
                <w:lang w:eastAsia="en-AU"/>
              </w:rPr>
            </w:pPr>
            <w:r w:rsidRPr="00AA6D84">
              <w:rPr>
                <w:rFonts w:ascii="Calibri" w:eastAsia="Times New Roman" w:hAnsi="Calibri" w:cs="Times New Roman"/>
                <w:color w:val="000000"/>
                <w:sz w:val="20"/>
                <w:szCs w:val="20"/>
                <w:lang w:eastAsia="en-AU"/>
              </w:rPr>
              <w:t>1</w:t>
            </w:r>
          </w:p>
        </w:tc>
        <w:tc>
          <w:tcPr>
            <w:tcW w:w="720" w:type="dxa"/>
            <w:tcBorders>
              <w:top w:val="nil"/>
              <w:left w:val="nil"/>
              <w:bottom w:val="single" w:sz="4" w:space="0" w:color="auto"/>
              <w:right w:val="nil"/>
            </w:tcBorders>
            <w:shd w:val="clear" w:color="auto" w:fill="auto"/>
            <w:noWrap/>
            <w:vAlign w:val="bottom"/>
            <w:hideMark/>
          </w:tcPr>
          <w:p w:rsidR="00FB5DDF" w:rsidRPr="00AA6D84" w:rsidRDefault="00FB5DDF" w:rsidP="00A15CD8">
            <w:pPr>
              <w:tabs>
                <w:tab w:val="clear" w:pos="567"/>
              </w:tabs>
              <w:spacing w:after="0" w:line="240" w:lineRule="auto"/>
              <w:jc w:val="right"/>
              <w:rPr>
                <w:rFonts w:ascii="Calibri" w:eastAsia="Times New Roman" w:hAnsi="Calibri" w:cs="Times New Roman"/>
                <w:color w:val="000000"/>
                <w:sz w:val="20"/>
                <w:szCs w:val="20"/>
                <w:lang w:eastAsia="en-AU"/>
              </w:rPr>
            </w:pPr>
            <w:r w:rsidRPr="00AA6D84">
              <w:rPr>
                <w:rFonts w:ascii="Calibri" w:eastAsia="Times New Roman" w:hAnsi="Calibri" w:cs="Times New Roman"/>
                <w:color w:val="000000"/>
                <w:sz w:val="20"/>
                <w:szCs w:val="20"/>
                <w:lang w:eastAsia="en-AU"/>
              </w:rPr>
              <w:t>36</w:t>
            </w:r>
          </w:p>
        </w:tc>
        <w:tc>
          <w:tcPr>
            <w:tcW w:w="780" w:type="dxa"/>
            <w:tcBorders>
              <w:top w:val="nil"/>
              <w:left w:val="nil"/>
              <w:bottom w:val="single" w:sz="4" w:space="0" w:color="auto"/>
              <w:right w:val="nil"/>
            </w:tcBorders>
            <w:shd w:val="clear" w:color="auto" w:fill="auto"/>
            <w:noWrap/>
            <w:vAlign w:val="bottom"/>
            <w:hideMark/>
          </w:tcPr>
          <w:p w:rsidR="00FB5DDF" w:rsidRPr="00AA6D84" w:rsidRDefault="00FB5DDF" w:rsidP="00A15CD8">
            <w:pPr>
              <w:tabs>
                <w:tab w:val="clear" w:pos="567"/>
              </w:tabs>
              <w:spacing w:after="0" w:line="240" w:lineRule="auto"/>
              <w:jc w:val="right"/>
              <w:rPr>
                <w:rFonts w:ascii="Calibri" w:eastAsia="Times New Roman" w:hAnsi="Calibri" w:cs="Times New Roman"/>
                <w:color w:val="000000"/>
                <w:sz w:val="20"/>
                <w:szCs w:val="20"/>
                <w:lang w:eastAsia="en-AU"/>
              </w:rPr>
            </w:pPr>
            <w:r w:rsidRPr="00AA6D84">
              <w:rPr>
                <w:rFonts w:ascii="Calibri" w:eastAsia="Times New Roman" w:hAnsi="Calibri" w:cs="Times New Roman"/>
                <w:color w:val="000000"/>
                <w:sz w:val="20"/>
                <w:szCs w:val="20"/>
                <w:lang w:eastAsia="en-AU"/>
              </w:rPr>
              <w:t>-8</w:t>
            </w:r>
          </w:p>
        </w:tc>
        <w:tc>
          <w:tcPr>
            <w:tcW w:w="780" w:type="dxa"/>
            <w:tcBorders>
              <w:top w:val="nil"/>
              <w:left w:val="nil"/>
              <w:bottom w:val="single" w:sz="4" w:space="0" w:color="auto"/>
              <w:right w:val="nil"/>
            </w:tcBorders>
            <w:shd w:val="clear" w:color="auto" w:fill="auto"/>
            <w:noWrap/>
            <w:vAlign w:val="bottom"/>
            <w:hideMark/>
          </w:tcPr>
          <w:p w:rsidR="00FB5DDF" w:rsidRPr="00AA6D84" w:rsidRDefault="00FB5DDF" w:rsidP="00A15CD8">
            <w:pPr>
              <w:tabs>
                <w:tab w:val="clear" w:pos="567"/>
              </w:tabs>
              <w:spacing w:after="0" w:line="240" w:lineRule="auto"/>
              <w:jc w:val="right"/>
              <w:rPr>
                <w:rFonts w:ascii="Calibri" w:eastAsia="Times New Roman" w:hAnsi="Calibri" w:cs="Times New Roman"/>
                <w:color w:val="000000"/>
                <w:sz w:val="20"/>
                <w:szCs w:val="20"/>
                <w:lang w:eastAsia="en-AU"/>
              </w:rPr>
            </w:pPr>
            <w:r w:rsidRPr="00AA6D84">
              <w:rPr>
                <w:rFonts w:ascii="Calibri" w:eastAsia="Times New Roman" w:hAnsi="Calibri" w:cs="Times New Roman"/>
                <w:color w:val="000000"/>
                <w:sz w:val="20"/>
                <w:szCs w:val="20"/>
                <w:lang w:eastAsia="en-AU"/>
              </w:rPr>
              <w:t>-11</w:t>
            </w:r>
          </w:p>
        </w:tc>
        <w:tc>
          <w:tcPr>
            <w:tcW w:w="740" w:type="dxa"/>
            <w:tcBorders>
              <w:top w:val="nil"/>
              <w:left w:val="nil"/>
              <w:bottom w:val="single" w:sz="4" w:space="0" w:color="auto"/>
              <w:right w:val="nil"/>
            </w:tcBorders>
            <w:shd w:val="clear" w:color="auto" w:fill="auto"/>
            <w:noWrap/>
            <w:vAlign w:val="bottom"/>
            <w:hideMark/>
          </w:tcPr>
          <w:p w:rsidR="00FB5DDF" w:rsidRPr="00AA6D84" w:rsidRDefault="00FB5DDF" w:rsidP="00A15CD8">
            <w:pPr>
              <w:tabs>
                <w:tab w:val="clear" w:pos="567"/>
              </w:tabs>
              <w:spacing w:after="0" w:line="240" w:lineRule="auto"/>
              <w:jc w:val="right"/>
              <w:rPr>
                <w:rFonts w:ascii="Calibri" w:eastAsia="Times New Roman" w:hAnsi="Calibri" w:cs="Times New Roman"/>
                <w:color w:val="000000"/>
                <w:sz w:val="20"/>
                <w:szCs w:val="20"/>
                <w:lang w:eastAsia="en-AU"/>
              </w:rPr>
            </w:pPr>
            <w:r w:rsidRPr="00AA6D84">
              <w:rPr>
                <w:rFonts w:ascii="Calibri" w:eastAsia="Times New Roman" w:hAnsi="Calibri" w:cs="Times New Roman"/>
                <w:color w:val="000000"/>
                <w:sz w:val="20"/>
                <w:szCs w:val="20"/>
                <w:lang w:eastAsia="en-AU"/>
              </w:rPr>
              <w:t>-6</w:t>
            </w:r>
          </w:p>
        </w:tc>
        <w:tc>
          <w:tcPr>
            <w:tcW w:w="720" w:type="dxa"/>
            <w:tcBorders>
              <w:top w:val="nil"/>
              <w:left w:val="nil"/>
              <w:bottom w:val="single" w:sz="4" w:space="0" w:color="auto"/>
              <w:right w:val="nil"/>
            </w:tcBorders>
            <w:shd w:val="clear" w:color="auto" w:fill="auto"/>
            <w:noWrap/>
            <w:vAlign w:val="bottom"/>
            <w:hideMark/>
          </w:tcPr>
          <w:p w:rsidR="00FB5DDF" w:rsidRPr="00AA6D84" w:rsidRDefault="00FB5DDF" w:rsidP="00A15CD8">
            <w:pPr>
              <w:tabs>
                <w:tab w:val="clear" w:pos="567"/>
              </w:tabs>
              <w:spacing w:after="0" w:line="240" w:lineRule="auto"/>
              <w:jc w:val="right"/>
              <w:rPr>
                <w:rFonts w:ascii="Calibri" w:eastAsia="Times New Roman" w:hAnsi="Calibri" w:cs="Times New Roman"/>
                <w:color w:val="000000"/>
                <w:sz w:val="20"/>
                <w:szCs w:val="20"/>
                <w:lang w:eastAsia="en-AU"/>
              </w:rPr>
            </w:pPr>
            <w:r w:rsidRPr="00AA6D84">
              <w:rPr>
                <w:rFonts w:ascii="Calibri" w:eastAsia="Times New Roman" w:hAnsi="Calibri" w:cs="Times New Roman"/>
                <w:color w:val="000000"/>
                <w:sz w:val="20"/>
                <w:szCs w:val="20"/>
                <w:lang w:eastAsia="en-AU"/>
              </w:rPr>
              <w:t>99</w:t>
            </w:r>
          </w:p>
        </w:tc>
        <w:tc>
          <w:tcPr>
            <w:tcW w:w="980" w:type="dxa"/>
            <w:tcBorders>
              <w:top w:val="nil"/>
              <w:left w:val="nil"/>
              <w:bottom w:val="single" w:sz="4" w:space="0" w:color="auto"/>
              <w:right w:val="nil"/>
            </w:tcBorders>
            <w:shd w:val="clear" w:color="auto" w:fill="auto"/>
            <w:noWrap/>
            <w:vAlign w:val="bottom"/>
            <w:hideMark/>
          </w:tcPr>
          <w:p w:rsidR="00FB5DDF" w:rsidRPr="00AA6D84" w:rsidRDefault="00FB5DDF" w:rsidP="00A15CD8">
            <w:pPr>
              <w:tabs>
                <w:tab w:val="clear" w:pos="567"/>
              </w:tabs>
              <w:spacing w:after="0" w:line="240" w:lineRule="auto"/>
              <w:jc w:val="right"/>
              <w:rPr>
                <w:rFonts w:ascii="Calibri" w:eastAsia="Times New Roman" w:hAnsi="Calibri" w:cs="Times New Roman"/>
                <w:color w:val="000000"/>
                <w:sz w:val="20"/>
                <w:szCs w:val="20"/>
                <w:lang w:eastAsia="en-AU"/>
              </w:rPr>
            </w:pPr>
            <w:r w:rsidRPr="00AA6D84">
              <w:rPr>
                <w:rFonts w:ascii="Calibri" w:eastAsia="Times New Roman" w:hAnsi="Calibri" w:cs="Times New Roman"/>
                <w:color w:val="000000"/>
                <w:sz w:val="20"/>
                <w:szCs w:val="20"/>
                <w:lang w:eastAsia="en-AU"/>
              </w:rPr>
              <w:t>5</w:t>
            </w:r>
          </w:p>
        </w:tc>
      </w:tr>
    </w:tbl>
    <w:p w:rsidR="00FB5DDF" w:rsidRDefault="00FB5DDF" w:rsidP="00FB5DDF">
      <w:pPr>
        <w:pStyle w:val="CGCTableFootnote"/>
      </w:pPr>
      <w:r>
        <w:t>Source:</w:t>
      </w:r>
      <w:r>
        <w:tab/>
        <w:t>Commission staff calculation based on the 2018 Update.</w:t>
      </w:r>
    </w:p>
    <w:p w:rsidR="00FB5DDF" w:rsidRDefault="00FB5DDF" w:rsidP="00FB5DDF">
      <w:pPr>
        <w:pStyle w:val="CGCNumberedPara"/>
      </w:pPr>
      <w:r>
        <w:t xml:space="preserve">To </w:t>
      </w:r>
      <w:r w:rsidR="00AA6D84">
        <w:t>develop</w:t>
      </w:r>
      <w:r>
        <w:t xml:space="preserve"> the assessment in the 2015 Review, the Commission collected data from States on net </w:t>
      </w:r>
      <w:r w:rsidR="005B2B3D">
        <w:t xml:space="preserve">planning and regulation </w:t>
      </w:r>
      <w:r>
        <w:t xml:space="preserve">expenses </w:t>
      </w:r>
      <w:r w:rsidR="005B2B3D">
        <w:t>for</w:t>
      </w:r>
      <w:r>
        <w:t xml:space="preserve"> 2010</w:t>
      </w:r>
      <w:r>
        <w:noBreakHyphen/>
        <w:t>11 to 2012</w:t>
      </w:r>
      <w:r>
        <w:noBreakHyphen/>
        <w:t>13. Since then average net expenses for those years have been indexed forward based on real growth in total private non</w:t>
      </w:r>
      <w:r>
        <w:noBreakHyphen/>
        <w:t xml:space="preserve">dwelling construction and the price index for State and local government final consumption expenditure. To continue making this assessment the Commission will need to update the current benchmark. A draft data request </w:t>
      </w:r>
      <w:r w:rsidR="005B2B3D">
        <w:t xml:space="preserve">to collect new data </w:t>
      </w:r>
      <w:r>
        <w:t>will be sent to States in May 2018 and a final request in September 2018.</w:t>
      </w:r>
    </w:p>
    <w:p w:rsidR="00FB5DDF" w:rsidRDefault="00FB5DDF" w:rsidP="00FB5DDF"/>
    <w:tbl>
      <w:tblPr>
        <w:tblStyle w:val="TableGrid"/>
        <w:tblW w:w="0" w:type="auto"/>
        <w:tblLook w:val="04A0" w:firstRow="1" w:lastRow="0" w:firstColumn="1" w:lastColumn="0" w:noHBand="0" w:noVBand="1"/>
      </w:tblPr>
      <w:tblGrid>
        <w:gridCol w:w="9167"/>
      </w:tblGrid>
      <w:tr w:rsidR="00FB5DDF" w:rsidTr="00A15CD8">
        <w:tc>
          <w:tcPr>
            <w:tcW w:w="9167" w:type="dxa"/>
            <w:tcBorders>
              <w:top w:val="nil"/>
              <w:left w:val="nil"/>
              <w:bottom w:val="nil"/>
              <w:right w:val="nil"/>
            </w:tcBorders>
            <w:shd w:val="clear" w:color="auto" w:fill="D9F3E6"/>
          </w:tcPr>
          <w:p w:rsidR="00FB5DDF" w:rsidRDefault="00FB5DDF" w:rsidP="00A15CD8">
            <w:r>
              <w:t>Staff propose to recommend the Commission:</w:t>
            </w:r>
          </w:p>
          <w:p w:rsidR="00FB5DDF" w:rsidRDefault="00FB5DDF" w:rsidP="00A15CD8">
            <w:pPr>
              <w:pStyle w:val="CGCBulletlist"/>
            </w:pPr>
            <w:r>
              <w:t>continue to assess p</w:t>
            </w:r>
            <w:r w:rsidRPr="00A67E4C">
              <w:t>lanning and regulation expenses for major infrastructure projects</w:t>
            </w:r>
            <w:r>
              <w:t xml:space="preserve"> in the Services to industry category using State shares of private non</w:t>
            </w:r>
            <w:r>
              <w:noBreakHyphen/>
              <w:t>dwelling construction expenditure as the disability</w:t>
            </w:r>
          </w:p>
          <w:p w:rsidR="00FB5DDF" w:rsidRDefault="00FB5DDF" w:rsidP="00A15CD8">
            <w:pPr>
              <w:pStyle w:val="CGCBulletlist"/>
            </w:pPr>
            <w:proofErr w:type="gramStart"/>
            <w:r>
              <w:t>collect</w:t>
            </w:r>
            <w:proofErr w:type="gramEnd"/>
            <w:r>
              <w:t xml:space="preserve"> data from States to update the current spending estimate.</w:t>
            </w:r>
          </w:p>
        </w:tc>
      </w:tr>
    </w:tbl>
    <w:p w:rsidR="00FB5DDF" w:rsidRPr="0051757E" w:rsidRDefault="00FB5DDF" w:rsidP="00FB5DDF"/>
    <w:p w:rsidR="00775B1E" w:rsidRDefault="00775B1E" w:rsidP="00B7517F">
      <w:pPr>
        <w:pStyle w:val="Heading4"/>
      </w:pPr>
      <w:bookmarkStart w:id="52" w:name="_Toc508121241"/>
      <w:bookmarkStart w:id="53" w:name="_Toc511660968"/>
      <w:r>
        <w:t>Other R&amp;D expenses</w:t>
      </w:r>
      <w:bookmarkEnd w:id="52"/>
      <w:bookmarkEnd w:id="53"/>
    </w:p>
    <w:p w:rsidR="00393C74" w:rsidRDefault="00B60D48" w:rsidP="00775B1E">
      <w:pPr>
        <w:pStyle w:val="CGCNumberedPara"/>
      </w:pPr>
      <w:proofErr w:type="gramStart"/>
      <w:r>
        <w:t xml:space="preserve">Staff </w:t>
      </w:r>
      <w:r w:rsidR="00963678">
        <w:t>have</w:t>
      </w:r>
      <w:proofErr w:type="gramEnd"/>
      <w:r w:rsidR="00963678">
        <w:t xml:space="preserve"> </w:t>
      </w:r>
      <w:r>
        <w:t>propose</w:t>
      </w:r>
      <w:r w:rsidR="004F1B1E">
        <w:t xml:space="preserve">d to continue </w:t>
      </w:r>
      <w:r>
        <w:t xml:space="preserve">assessing </w:t>
      </w:r>
      <w:r w:rsidR="005B2B3D">
        <w:t xml:space="preserve">industry </w:t>
      </w:r>
      <w:r>
        <w:t xml:space="preserve">R&amp;D expenses classified to the Services to industry category </w:t>
      </w:r>
      <w:r w:rsidR="004F1B1E">
        <w:t xml:space="preserve">on an </w:t>
      </w:r>
      <w:r>
        <w:t>EPC</w:t>
      </w:r>
      <w:r w:rsidR="004F1B1E">
        <w:t xml:space="preserve"> basis</w:t>
      </w:r>
      <w:r>
        <w:t>.</w:t>
      </w:r>
      <w:r w:rsidR="00185D8A">
        <w:rPr>
          <w:rStyle w:val="FootnoteReference"/>
        </w:rPr>
        <w:footnoteReference w:id="7"/>
      </w:r>
      <w:r>
        <w:t xml:space="preserve"> In the current GFS government purpose classification (GPC), </w:t>
      </w:r>
      <w:r w:rsidR="005B2B3D">
        <w:t xml:space="preserve">other </w:t>
      </w:r>
      <w:r w:rsidR="00DD312F">
        <w:t xml:space="preserve">R&amp;D </w:t>
      </w:r>
      <w:r w:rsidR="004F1B1E">
        <w:t>spending</w:t>
      </w:r>
      <w:r w:rsidR="00775B1E">
        <w:t xml:space="preserve"> </w:t>
      </w:r>
      <w:r>
        <w:t xml:space="preserve">is classified </w:t>
      </w:r>
      <w:r w:rsidR="00DD312F">
        <w:t xml:space="preserve">to </w:t>
      </w:r>
      <w:r w:rsidR="00393C74">
        <w:t xml:space="preserve">the relevant </w:t>
      </w:r>
      <w:r w:rsidR="00DD312F">
        <w:t>function</w:t>
      </w:r>
      <w:r w:rsidR="004F1B1E">
        <w:t xml:space="preserve"> </w:t>
      </w:r>
      <w:r w:rsidR="005B2B3D">
        <w:t>but</w:t>
      </w:r>
      <w:r w:rsidR="004F1B1E">
        <w:t xml:space="preserve"> it can</w:t>
      </w:r>
      <w:r w:rsidR="00393C74">
        <w:t xml:space="preserve">not </w:t>
      </w:r>
      <w:r w:rsidR="004F1B1E">
        <w:t>be separately identified</w:t>
      </w:r>
      <w:r w:rsidR="00393C74">
        <w:t xml:space="preserve">. </w:t>
      </w:r>
      <w:r w:rsidR="004F1B1E">
        <w:t xml:space="preserve">As a result, </w:t>
      </w:r>
      <w:r w:rsidR="00393C74">
        <w:t>category</w:t>
      </w:r>
      <w:r>
        <w:t xml:space="preserve"> disabilities are applied to </w:t>
      </w:r>
      <w:r w:rsidR="005B2B3D">
        <w:t>other</w:t>
      </w:r>
      <w:r>
        <w:t xml:space="preserve"> R&amp;D</w:t>
      </w:r>
      <w:r w:rsidR="00393C74">
        <w:t xml:space="preserve"> spending. This treatment is inconsistent with the Commission’s approach to industry R&amp;D</w:t>
      </w:r>
      <w:r w:rsidR="004F1B1E">
        <w:t xml:space="preserve"> but it has been the only practical approach.</w:t>
      </w:r>
    </w:p>
    <w:p w:rsidR="00775B1E" w:rsidRDefault="00DD312F" w:rsidP="00775B1E">
      <w:pPr>
        <w:pStyle w:val="CGCNumberedPara"/>
      </w:pPr>
      <w:r>
        <w:t xml:space="preserve">The new COFOG-A classification </w:t>
      </w:r>
      <w:r w:rsidR="00393C74">
        <w:t xml:space="preserve">separately identifies R&amp;D </w:t>
      </w:r>
      <w:r>
        <w:t xml:space="preserve">spending within each </w:t>
      </w:r>
      <w:r w:rsidR="00393C74">
        <w:t>2</w:t>
      </w:r>
      <w:r w:rsidR="00393C74">
        <w:noBreakHyphen/>
      </w:r>
      <w:r>
        <w:t>digit division</w:t>
      </w:r>
      <w:r w:rsidR="00F86C57">
        <w:t xml:space="preserve"> (for example, health and education)</w:t>
      </w:r>
      <w:r>
        <w:t>.</w:t>
      </w:r>
      <w:r w:rsidR="00393C74">
        <w:t xml:space="preserve"> </w:t>
      </w:r>
      <w:r w:rsidR="00837C22">
        <w:t xml:space="preserve">To be consistent, the Commission should include all R&amp;D </w:t>
      </w:r>
      <w:r w:rsidR="00832FAF">
        <w:t xml:space="preserve">expenses </w:t>
      </w:r>
      <w:r w:rsidR="00837C22">
        <w:t>in the business development component and assess the spending EPC.</w:t>
      </w:r>
      <w:r w:rsidR="00832FAF">
        <w:t xml:space="preserve"> </w:t>
      </w:r>
      <w:r w:rsidR="00823793">
        <w:t>For simplicity</w:t>
      </w:r>
      <w:r w:rsidR="00F86C57">
        <w:t xml:space="preserve"> reasons</w:t>
      </w:r>
      <w:r w:rsidR="00823793">
        <w:t xml:space="preserve">, </w:t>
      </w:r>
      <w:proofErr w:type="gramStart"/>
      <w:r w:rsidR="00823793">
        <w:t>s</w:t>
      </w:r>
      <w:r w:rsidR="00C53EA9">
        <w:t>taff</w:t>
      </w:r>
      <w:r w:rsidR="000B097B">
        <w:t xml:space="preserve"> are</w:t>
      </w:r>
      <w:proofErr w:type="gramEnd"/>
      <w:r w:rsidR="000B097B">
        <w:t xml:space="preserve"> </w:t>
      </w:r>
      <w:r w:rsidR="00823793">
        <w:t>not inclined to</w:t>
      </w:r>
      <w:r w:rsidR="000B097B">
        <w:t xml:space="preserve"> </w:t>
      </w:r>
      <w:r w:rsidR="00823793">
        <w:t>re</w:t>
      </w:r>
      <w:r w:rsidR="00C53EA9">
        <w:t xml:space="preserve">move </w:t>
      </w:r>
      <w:r w:rsidR="00F86C57">
        <w:t xml:space="preserve">the </w:t>
      </w:r>
      <w:r w:rsidR="000B097B">
        <w:t>3</w:t>
      </w:r>
      <w:r w:rsidR="000B097B">
        <w:noBreakHyphen/>
        <w:t xml:space="preserve">digit </w:t>
      </w:r>
      <w:r w:rsidR="00C53EA9">
        <w:t xml:space="preserve">R&amp;D groups from </w:t>
      </w:r>
      <w:r w:rsidR="00823793">
        <w:t>each function of government division</w:t>
      </w:r>
      <w:r w:rsidR="00F86C57">
        <w:t xml:space="preserve">. </w:t>
      </w:r>
      <w:r w:rsidR="00823793">
        <w:t xml:space="preserve">Nevertheless, we intend to </w:t>
      </w:r>
      <w:r w:rsidR="00F86C57">
        <w:t>test</w:t>
      </w:r>
      <w:r w:rsidR="00823793">
        <w:t xml:space="preserve"> the materiality of applying category disabilities to this spending when the new COFOG-A </w:t>
      </w:r>
      <w:r w:rsidR="00F86C57">
        <w:t>data become</w:t>
      </w:r>
      <w:r w:rsidR="00823793">
        <w:t xml:space="preserve"> available.</w:t>
      </w:r>
      <w:r w:rsidR="00185D8A">
        <w:rPr>
          <w:rStyle w:val="FootnoteReference"/>
        </w:rPr>
        <w:footnoteReference w:id="8"/>
      </w:r>
      <w:r w:rsidR="00F86C57">
        <w:t xml:space="preserve"> If it is material we are likely to recommend </w:t>
      </w:r>
      <w:r w:rsidR="004F1B1E">
        <w:t xml:space="preserve">that </w:t>
      </w:r>
      <w:r w:rsidR="00F86C57">
        <w:t xml:space="preserve">the Commission </w:t>
      </w:r>
      <w:r w:rsidR="007663B3">
        <w:t>include the expenses in Services to industry</w:t>
      </w:r>
      <w:r w:rsidR="004F1B1E">
        <w:t xml:space="preserve"> and assess it EPC.</w:t>
      </w:r>
    </w:p>
    <w:p w:rsidR="00E117A4" w:rsidRDefault="00E117A4" w:rsidP="00E117A4"/>
    <w:tbl>
      <w:tblPr>
        <w:tblStyle w:val="TableGrid"/>
        <w:tblW w:w="0" w:type="auto"/>
        <w:tblLook w:val="04A0" w:firstRow="1" w:lastRow="0" w:firstColumn="1" w:lastColumn="0" w:noHBand="0" w:noVBand="1"/>
      </w:tblPr>
      <w:tblGrid>
        <w:gridCol w:w="9167"/>
      </w:tblGrid>
      <w:tr w:rsidR="00837C22" w:rsidTr="00837C22">
        <w:tc>
          <w:tcPr>
            <w:tcW w:w="9167" w:type="dxa"/>
            <w:tcBorders>
              <w:top w:val="nil"/>
              <w:left w:val="nil"/>
              <w:bottom w:val="nil"/>
              <w:right w:val="nil"/>
            </w:tcBorders>
            <w:shd w:val="clear" w:color="auto" w:fill="D9F3E6"/>
          </w:tcPr>
          <w:p w:rsidR="00837C22" w:rsidRDefault="00184C33" w:rsidP="00837C22">
            <w:r>
              <w:br w:type="page"/>
            </w:r>
            <w:r w:rsidR="00837C22">
              <w:t>Staff propose to recommend the Commission:</w:t>
            </w:r>
          </w:p>
          <w:p w:rsidR="00837C22" w:rsidRDefault="00F86C57" w:rsidP="00F86C57">
            <w:pPr>
              <w:pStyle w:val="CGCBulletlist"/>
            </w:pPr>
            <w:proofErr w:type="gramStart"/>
            <w:r>
              <w:t>not</w:t>
            </w:r>
            <w:proofErr w:type="gramEnd"/>
            <w:r>
              <w:t xml:space="preserve"> remove </w:t>
            </w:r>
            <w:r w:rsidR="00837C22">
              <w:t>R&amp;D expenses identified in the new COFOG</w:t>
            </w:r>
            <w:r w:rsidR="00837C22">
              <w:noBreakHyphen/>
              <w:t xml:space="preserve">A classification </w:t>
            </w:r>
            <w:r>
              <w:t xml:space="preserve">from the relevant functions on simplicity grounds, unless it is material. </w:t>
            </w:r>
          </w:p>
        </w:tc>
      </w:tr>
    </w:tbl>
    <w:p w:rsidR="00837C22" w:rsidRPr="00775B1E" w:rsidRDefault="00837C22" w:rsidP="00837C22"/>
    <w:p w:rsidR="00E07621" w:rsidRDefault="00E07621" w:rsidP="00B7517F">
      <w:pPr>
        <w:pStyle w:val="Heading4"/>
      </w:pPr>
      <w:bookmarkStart w:id="54" w:name="_Toc508121242"/>
      <w:bookmarkStart w:id="55" w:name="_Toc511660969"/>
      <w:r>
        <w:t>User charges</w:t>
      </w:r>
      <w:bookmarkEnd w:id="54"/>
      <w:bookmarkEnd w:id="55"/>
    </w:p>
    <w:p w:rsidR="001529CA" w:rsidRDefault="001529CA" w:rsidP="00BD70C8">
      <w:pPr>
        <w:pStyle w:val="CGCNumberedPara"/>
      </w:pPr>
      <w:bookmarkStart w:id="56" w:name="_Ref508095717"/>
      <w:r>
        <w:t xml:space="preserve">User charges for this category are shown in </w:t>
      </w:r>
      <w:r w:rsidR="00EC2ED1">
        <w:fldChar w:fldCharType="begin"/>
      </w:r>
      <w:r w:rsidR="00EC2ED1">
        <w:instrText xml:space="preserve"> REF _Ref506460364 \h </w:instrText>
      </w:r>
      <w:r w:rsidR="00EC2ED1">
        <w:fldChar w:fldCharType="separate"/>
      </w:r>
      <w:r w:rsidR="00F3280B">
        <w:t xml:space="preserve">Table </w:t>
      </w:r>
      <w:r w:rsidR="00F3280B">
        <w:rPr>
          <w:noProof/>
        </w:rPr>
        <w:t>4</w:t>
      </w:r>
      <w:r w:rsidR="00EC2ED1">
        <w:fldChar w:fldCharType="end"/>
      </w:r>
      <w:r w:rsidR="00EC2ED1">
        <w:t>.</w:t>
      </w:r>
      <w:bookmarkEnd w:id="56"/>
    </w:p>
    <w:p w:rsidR="001529CA" w:rsidRDefault="001529CA" w:rsidP="001529CA">
      <w:pPr>
        <w:pStyle w:val="Caption"/>
      </w:pPr>
      <w:bookmarkStart w:id="57" w:name="_Ref506460364"/>
      <w:r>
        <w:t xml:space="preserve">Table </w:t>
      </w:r>
      <w:fldSimple w:instr=" SEQ Table \* ARABIC ">
        <w:r w:rsidR="00F3280B">
          <w:rPr>
            <w:noProof/>
          </w:rPr>
          <w:t>4</w:t>
        </w:r>
      </w:fldSimple>
      <w:bookmarkEnd w:id="57"/>
      <w:r>
        <w:tab/>
        <w:t>User charges by industry, Services to industry, 2015-16</w:t>
      </w:r>
    </w:p>
    <w:tbl>
      <w:tblPr>
        <w:tblW w:w="8940" w:type="dxa"/>
        <w:tblLayout w:type="fixed"/>
        <w:tblCellMar>
          <w:left w:w="0" w:type="dxa"/>
          <w:right w:w="0" w:type="dxa"/>
        </w:tblCellMar>
        <w:tblLook w:val="04A0" w:firstRow="1" w:lastRow="0" w:firstColumn="1" w:lastColumn="0" w:noHBand="0" w:noVBand="1"/>
      </w:tblPr>
      <w:tblGrid>
        <w:gridCol w:w="5920"/>
        <w:gridCol w:w="3020"/>
      </w:tblGrid>
      <w:tr w:rsidR="000371E2" w:rsidRPr="000371E2" w:rsidTr="000371E2">
        <w:trPr>
          <w:trHeight w:val="375"/>
        </w:trPr>
        <w:tc>
          <w:tcPr>
            <w:tcW w:w="5920" w:type="dxa"/>
            <w:tcBorders>
              <w:top w:val="single" w:sz="4" w:space="0" w:color="auto"/>
              <w:left w:val="nil"/>
              <w:bottom w:val="single" w:sz="4" w:space="0" w:color="auto"/>
              <w:right w:val="nil"/>
            </w:tcBorders>
            <w:shd w:val="clear" w:color="auto" w:fill="auto"/>
            <w:noWrap/>
            <w:vAlign w:val="center"/>
            <w:hideMark/>
          </w:tcPr>
          <w:p w:rsidR="000371E2" w:rsidRPr="000371E2" w:rsidRDefault="000371E2" w:rsidP="000371E2">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p>
        </w:tc>
        <w:tc>
          <w:tcPr>
            <w:tcW w:w="3020" w:type="dxa"/>
            <w:tcBorders>
              <w:top w:val="single" w:sz="4" w:space="0" w:color="auto"/>
              <w:left w:val="nil"/>
              <w:bottom w:val="single" w:sz="4" w:space="0" w:color="auto"/>
              <w:right w:val="nil"/>
            </w:tcBorders>
            <w:shd w:val="clear" w:color="auto" w:fill="auto"/>
            <w:noWrap/>
            <w:vAlign w:val="center"/>
            <w:hideMark/>
          </w:tcPr>
          <w:p w:rsidR="000371E2" w:rsidRPr="000371E2" w:rsidRDefault="000371E2" w:rsidP="000371E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0371E2">
              <w:rPr>
                <w:rFonts w:ascii="Calibri" w:eastAsia="Times New Roman" w:hAnsi="Calibri" w:cs="Times New Roman"/>
                <w:color w:val="000000"/>
                <w:sz w:val="20"/>
                <w:szCs w:val="20"/>
                <w:lang w:eastAsia="en-AU"/>
              </w:rPr>
              <w:t>User charges</w:t>
            </w:r>
          </w:p>
        </w:tc>
      </w:tr>
      <w:tr w:rsidR="000371E2" w:rsidRPr="000371E2" w:rsidTr="000371E2">
        <w:trPr>
          <w:trHeight w:val="259"/>
        </w:trPr>
        <w:tc>
          <w:tcPr>
            <w:tcW w:w="5920" w:type="dxa"/>
            <w:tcBorders>
              <w:top w:val="nil"/>
              <w:left w:val="nil"/>
              <w:bottom w:val="nil"/>
              <w:right w:val="nil"/>
            </w:tcBorders>
            <w:shd w:val="clear" w:color="auto" w:fill="auto"/>
            <w:noWrap/>
            <w:vAlign w:val="bottom"/>
            <w:hideMark/>
          </w:tcPr>
          <w:p w:rsidR="000371E2" w:rsidRPr="000371E2" w:rsidRDefault="000371E2" w:rsidP="000371E2">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p>
        </w:tc>
        <w:tc>
          <w:tcPr>
            <w:tcW w:w="3020" w:type="dxa"/>
            <w:tcBorders>
              <w:top w:val="nil"/>
              <w:left w:val="nil"/>
              <w:bottom w:val="nil"/>
              <w:right w:val="nil"/>
            </w:tcBorders>
            <w:shd w:val="clear" w:color="auto" w:fill="auto"/>
            <w:noWrap/>
            <w:vAlign w:val="bottom"/>
            <w:hideMark/>
          </w:tcPr>
          <w:p w:rsidR="000371E2" w:rsidRPr="000371E2" w:rsidRDefault="000371E2" w:rsidP="000371E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0371E2">
              <w:rPr>
                <w:rFonts w:ascii="Calibri" w:eastAsia="Times New Roman" w:hAnsi="Calibri" w:cs="Times New Roman"/>
                <w:color w:val="000000"/>
                <w:sz w:val="20"/>
                <w:szCs w:val="20"/>
                <w:lang w:eastAsia="en-AU"/>
              </w:rPr>
              <w:t>$m</w:t>
            </w:r>
          </w:p>
        </w:tc>
      </w:tr>
      <w:tr w:rsidR="000371E2" w:rsidRPr="000371E2" w:rsidTr="000371E2">
        <w:trPr>
          <w:trHeight w:val="315"/>
        </w:trPr>
        <w:tc>
          <w:tcPr>
            <w:tcW w:w="5920" w:type="dxa"/>
            <w:tcBorders>
              <w:top w:val="nil"/>
              <w:left w:val="nil"/>
              <w:bottom w:val="nil"/>
              <w:right w:val="nil"/>
            </w:tcBorders>
            <w:shd w:val="clear" w:color="auto" w:fill="auto"/>
            <w:noWrap/>
            <w:vAlign w:val="bottom"/>
            <w:hideMark/>
          </w:tcPr>
          <w:p w:rsidR="000371E2" w:rsidRPr="000371E2" w:rsidRDefault="000371E2" w:rsidP="000371E2">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0371E2">
              <w:rPr>
                <w:rFonts w:ascii="Calibri" w:eastAsia="Times New Roman" w:hAnsi="Calibri" w:cs="Times New Roman"/>
                <w:color w:val="000000"/>
                <w:sz w:val="20"/>
                <w:szCs w:val="20"/>
                <w:lang w:eastAsia="en-AU"/>
              </w:rPr>
              <w:t>Agriculture</w:t>
            </w:r>
          </w:p>
        </w:tc>
        <w:tc>
          <w:tcPr>
            <w:tcW w:w="3020" w:type="dxa"/>
            <w:tcBorders>
              <w:top w:val="nil"/>
              <w:left w:val="nil"/>
              <w:bottom w:val="nil"/>
              <w:right w:val="nil"/>
            </w:tcBorders>
            <w:shd w:val="clear" w:color="auto" w:fill="auto"/>
            <w:noWrap/>
            <w:vAlign w:val="bottom"/>
            <w:hideMark/>
          </w:tcPr>
          <w:p w:rsidR="000371E2" w:rsidRPr="000371E2" w:rsidRDefault="000371E2" w:rsidP="000371E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0371E2">
              <w:rPr>
                <w:rFonts w:ascii="Calibri" w:eastAsia="Times New Roman" w:hAnsi="Calibri" w:cs="Times New Roman"/>
                <w:color w:val="000000"/>
                <w:sz w:val="20"/>
                <w:szCs w:val="20"/>
                <w:lang w:eastAsia="en-AU"/>
              </w:rPr>
              <w:t>659</w:t>
            </w:r>
          </w:p>
        </w:tc>
      </w:tr>
      <w:tr w:rsidR="000371E2" w:rsidRPr="000371E2" w:rsidTr="000371E2">
        <w:trPr>
          <w:trHeight w:val="315"/>
        </w:trPr>
        <w:tc>
          <w:tcPr>
            <w:tcW w:w="5920" w:type="dxa"/>
            <w:tcBorders>
              <w:top w:val="nil"/>
              <w:left w:val="nil"/>
              <w:bottom w:val="nil"/>
              <w:right w:val="nil"/>
            </w:tcBorders>
            <w:shd w:val="clear" w:color="auto" w:fill="auto"/>
            <w:noWrap/>
            <w:vAlign w:val="bottom"/>
            <w:hideMark/>
          </w:tcPr>
          <w:p w:rsidR="000371E2" w:rsidRPr="000371E2" w:rsidRDefault="000371E2" w:rsidP="000371E2">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0371E2">
              <w:rPr>
                <w:rFonts w:ascii="Calibri" w:eastAsia="Times New Roman" w:hAnsi="Calibri" w:cs="Times New Roman"/>
                <w:color w:val="000000"/>
                <w:sz w:val="20"/>
                <w:szCs w:val="20"/>
                <w:lang w:eastAsia="en-AU"/>
              </w:rPr>
              <w:t>Mining and mineral resources other than fuels</w:t>
            </w:r>
          </w:p>
        </w:tc>
        <w:tc>
          <w:tcPr>
            <w:tcW w:w="3020" w:type="dxa"/>
            <w:tcBorders>
              <w:top w:val="nil"/>
              <w:left w:val="nil"/>
              <w:bottom w:val="nil"/>
              <w:right w:val="nil"/>
            </w:tcBorders>
            <w:shd w:val="clear" w:color="auto" w:fill="auto"/>
            <w:noWrap/>
            <w:vAlign w:val="bottom"/>
            <w:hideMark/>
          </w:tcPr>
          <w:p w:rsidR="000371E2" w:rsidRPr="000371E2" w:rsidRDefault="000371E2" w:rsidP="000371E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0371E2">
              <w:rPr>
                <w:rFonts w:ascii="Calibri" w:eastAsia="Times New Roman" w:hAnsi="Calibri" w:cs="Times New Roman"/>
                <w:color w:val="000000"/>
                <w:sz w:val="20"/>
                <w:szCs w:val="20"/>
                <w:lang w:eastAsia="en-AU"/>
              </w:rPr>
              <w:t>171</w:t>
            </w:r>
          </w:p>
        </w:tc>
      </w:tr>
      <w:tr w:rsidR="000371E2" w:rsidRPr="000371E2" w:rsidTr="000371E2">
        <w:trPr>
          <w:trHeight w:val="315"/>
        </w:trPr>
        <w:tc>
          <w:tcPr>
            <w:tcW w:w="5920" w:type="dxa"/>
            <w:tcBorders>
              <w:top w:val="nil"/>
              <w:left w:val="nil"/>
              <w:bottom w:val="nil"/>
              <w:right w:val="nil"/>
            </w:tcBorders>
            <w:shd w:val="clear" w:color="auto" w:fill="auto"/>
            <w:noWrap/>
            <w:vAlign w:val="bottom"/>
            <w:hideMark/>
          </w:tcPr>
          <w:p w:rsidR="000371E2" w:rsidRPr="000371E2" w:rsidRDefault="000371E2" w:rsidP="000371E2">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0371E2">
              <w:rPr>
                <w:rFonts w:ascii="Calibri" w:eastAsia="Times New Roman" w:hAnsi="Calibri" w:cs="Times New Roman"/>
                <w:color w:val="000000"/>
                <w:sz w:val="20"/>
                <w:szCs w:val="20"/>
                <w:lang w:eastAsia="en-AU"/>
              </w:rPr>
              <w:t>Other labour and employment affairs</w:t>
            </w:r>
          </w:p>
        </w:tc>
        <w:tc>
          <w:tcPr>
            <w:tcW w:w="3020" w:type="dxa"/>
            <w:tcBorders>
              <w:top w:val="nil"/>
              <w:left w:val="nil"/>
              <w:bottom w:val="nil"/>
              <w:right w:val="nil"/>
            </w:tcBorders>
            <w:shd w:val="clear" w:color="auto" w:fill="auto"/>
            <w:noWrap/>
            <w:vAlign w:val="bottom"/>
            <w:hideMark/>
          </w:tcPr>
          <w:p w:rsidR="000371E2" w:rsidRPr="000371E2" w:rsidRDefault="000371E2" w:rsidP="000371E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0371E2">
              <w:rPr>
                <w:rFonts w:ascii="Calibri" w:eastAsia="Times New Roman" w:hAnsi="Calibri" w:cs="Times New Roman"/>
                <w:color w:val="000000"/>
                <w:sz w:val="20"/>
                <w:szCs w:val="20"/>
                <w:lang w:eastAsia="en-AU"/>
              </w:rPr>
              <w:t>169</w:t>
            </w:r>
          </w:p>
        </w:tc>
      </w:tr>
      <w:tr w:rsidR="000371E2" w:rsidRPr="000371E2" w:rsidTr="000371E2">
        <w:trPr>
          <w:trHeight w:val="315"/>
        </w:trPr>
        <w:tc>
          <w:tcPr>
            <w:tcW w:w="5920" w:type="dxa"/>
            <w:tcBorders>
              <w:top w:val="nil"/>
              <w:left w:val="nil"/>
              <w:bottom w:val="nil"/>
              <w:right w:val="nil"/>
            </w:tcBorders>
            <w:shd w:val="clear" w:color="auto" w:fill="auto"/>
            <w:noWrap/>
            <w:vAlign w:val="bottom"/>
            <w:hideMark/>
          </w:tcPr>
          <w:p w:rsidR="000371E2" w:rsidRPr="000371E2" w:rsidRDefault="000371E2" w:rsidP="000371E2">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0371E2">
              <w:rPr>
                <w:rFonts w:ascii="Calibri" w:eastAsia="Times New Roman" w:hAnsi="Calibri" w:cs="Times New Roman"/>
                <w:color w:val="000000"/>
                <w:sz w:val="20"/>
                <w:szCs w:val="20"/>
                <w:lang w:eastAsia="en-AU"/>
              </w:rPr>
              <w:t>Construction</w:t>
            </w:r>
          </w:p>
        </w:tc>
        <w:tc>
          <w:tcPr>
            <w:tcW w:w="3020" w:type="dxa"/>
            <w:tcBorders>
              <w:top w:val="nil"/>
              <w:left w:val="nil"/>
              <w:bottom w:val="nil"/>
              <w:right w:val="nil"/>
            </w:tcBorders>
            <w:shd w:val="clear" w:color="auto" w:fill="auto"/>
            <w:noWrap/>
            <w:vAlign w:val="bottom"/>
            <w:hideMark/>
          </w:tcPr>
          <w:p w:rsidR="000371E2" w:rsidRPr="000371E2" w:rsidRDefault="000371E2" w:rsidP="000371E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0371E2">
              <w:rPr>
                <w:rFonts w:ascii="Calibri" w:eastAsia="Times New Roman" w:hAnsi="Calibri" w:cs="Times New Roman"/>
                <w:color w:val="000000"/>
                <w:sz w:val="20"/>
                <w:szCs w:val="20"/>
                <w:lang w:eastAsia="en-AU"/>
              </w:rPr>
              <w:t>163</w:t>
            </w:r>
          </w:p>
        </w:tc>
      </w:tr>
      <w:tr w:rsidR="000371E2" w:rsidRPr="000371E2" w:rsidTr="000371E2">
        <w:trPr>
          <w:trHeight w:val="315"/>
        </w:trPr>
        <w:tc>
          <w:tcPr>
            <w:tcW w:w="5920" w:type="dxa"/>
            <w:tcBorders>
              <w:top w:val="nil"/>
              <w:left w:val="nil"/>
              <w:bottom w:val="nil"/>
              <w:right w:val="nil"/>
            </w:tcBorders>
            <w:shd w:val="clear" w:color="auto" w:fill="auto"/>
            <w:noWrap/>
            <w:vAlign w:val="bottom"/>
            <w:hideMark/>
          </w:tcPr>
          <w:p w:rsidR="000371E2" w:rsidRPr="000371E2" w:rsidRDefault="000371E2" w:rsidP="000371E2">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0371E2">
              <w:rPr>
                <w:rFonts w:ascii="Calibri" w:eastAsia="Times New Roman" w:hAnsi="Calibri" w:cs="Times New Roman"/>
                <w:color w:val="000000"/>
                <w:sz w:val="20"/>
                <w:szCs w:val="20"/>
                <w:lang w:eastAsia="en-AU"/>
              </w:rPr>
              <w:t>Forestry, fishing and hunting</w:t>
            </w:r>
          </w:p>
        </w:tc>
        <w:tc>
          <w:tcPr>
            <w:tcW w:w="3020" w:type="dxa"/>
            <w:tcBorders>
              <w:top w:val="nil"/>
              <w:left w:val="nil"/>
              <w:bottom w:val="nil"/>
              <w:right w:val="nil"/>
            </w:tcBorders>
            <w:shd w:val="clear" w:color="auto" w:fill="auto"/>
            <w:noWrap/>
            <w:vAlign w:val="bottom"/>
            <w:hideMark/>
          </w:tcPr>
          <w:p w:rsidR="000371E2" w:rsidRPr="000371E2" w:rsidRDefault="000371E2" w:rsidP="000371E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0371E2">
              <w:rPr>
                <w:rFonts w:ascii="Calibri" w:eastAsia="Times New Roman" w:hAnsi="Calibri" w:cs="Times New Roman"/>
                <w:color w:val="000000"/>
                <w:sz w:val="20"/>
                <w:szCs w:val="20"/>
                <w:lang w:eastAsia="en-AU"/>
              </w:rPr>
              <w:t>132</w:t>
            </w:r>
          </w:p>
        </w:tc>
      </w:tr>
      <w:tr w:rsidR="000371E2" w:rsidRPr="000371E2" w:rsidTr="000371E2">
        <w:trPr>
          <w:trHeight w:val="315"/>
        </w:trPr>
        <w:tc>
          <w:tcPr>
            <w:tcW w:w="5920" w:type="dxa"/>
            <w:tcBorders>
              <w:top w:val="nil"/>
              <w:left w:val="nil"/>
              <w:bottom w:val="nil"/>
              <w:right w:val="nil"/>
            </w:tcBorders>
            <w:shd w:val="clear" w:color="auto" w:fill="auto"/>
            <w:noWrap/>
            <w:vAlign w:val="bottom"/>
            <w:hideMark/>
          </w:tcPr>
          <w:p w:rsidR="000371E2" w:rsidRPr="000371E2" w:rsidRDefault="000371E2" w:rsidP="000371E2">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0371E2">
              <w:rPr>
                <w:rFonts w:ascii="Calibri" w:eastAsia="Times New Roman" w:hAnsi="Calibri" w:cs="Times New Roman"/>
                <w:color w:val="000000"/>
                <w:sz w:val="20"/>
                <w:szCs w:val="20"/>
                <w:lang w:eastAsia="en-AU"/>
              </w:rPr>
              <w:t>Tourism and area promotion</w:t>
            </w:r>
          </w:p>
        </w:tc>
        <w:tc>
          <w:tcPr>
            <w:tcW w:w="3020" w:type="dxa"/>
            <w:tcBorders>
              <w:top w:val="nil"/>
              <w:left w:val="nil"/>
              <w:bottom w:val="nil"/>
              <w:right w:val="nil"/>
            </w:tcBorders>
            <w:shd w:val="clear" w:color="auto" w:fill="auto"/>
            <w:noWrap/>
            <w:vAlign w:val="bottom"/>
            <w:hideMark/>
          </w:tcPr>
          <w:p w:rsidR="000371E2" w:rsidRPr="000371E2" w:rsidRDefault="000371E2" w:rsidP="000371E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0371E2">
              <w:rPr>
                <w:rFonts w:ascii="Calibri" w:eastAsia="Times New Roman" w:hAnsi="Calibri" w:cs="Times New Roman"/>
                <w:color w:val="000000"/>
                <w:sz w:val="20"/>
                <w:szCs w:val="20"/>
                <w:lang w:eastAsia="en-AU"/>
              </w:rPr>
              <w:t>78</w:t>
            </w:r>
          </w:p>
        </w:tc>
      </w:tr>
      <w:tr w:rsidR="000371E2" w:rsidRPr="000371E2" w:rsidTr="000371E2">
        <w:trPr>
          <w:trHeight w:val="315"/>
        </w:trPr>
        <w:tc>
          <w:tcPr>
            <w:tcW w:w="5920" w:type="dxa"/>
            <w:tcBorders>
              <w:top w:val="nil"/>
              <w:left w:val="nil"/>
              <w:bottom w:val="nil"/>
              <w:right w:val="nil"/>
            </w:tcBorders>
            <w:shd w:val="clear" w:color="auto" w:fill="auto"/>
            <w:noWrap/>
            <w:vAlign w:val="bottom"/>
            <w:hideMark/>
          </w:tcPr>
          <w:p w:rsidR="000371E2" w:rsidRPr="000371E2" w:rsidRDefault="000371E2" w:rsidP="000371E2">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0371E2">
              <w:rPr>
                <w:rFonts w:ascii="Calibri" w:eastAsia="Times New Roman" w:hAnsi="Calibri" w:cs="Times New Roman"/>
                <w:color w:val="000000"/>
                <w:sz w:val="20"/>
                <w:szCs w:val="20"/>
                <w:lang w:eastAsia="en-AU"/>
              </w:rPr>
              <w:t>Other</w:t>
            </w:r>
          </w:p>
        </w:tc>
        <w:tc>
          <w:tcPr>
            <w:tcW w:w="3020" w:type="dxa"/>
            <w:tcBorders>
              <w:top w:val="nil"/>
              <w:left w:val="nil"/>
              <w:bottom w:val="nil"/>
              <w:right w:val="nil"/>
            </w:tcBorders>
            <w:shd w:val="clear" w:color="auto" w:fill="auto"/>
            <w:noWrap/>
            <w:vAlign w:val="bottom"/>
            <w:hideMark/>
          </w:tcPr>
          <w:p w:rsidR="000371E2" w:rsidRPr="000371E2" w:rsidRDefault="000371E2" w:rsidP="000371E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0371E2">
              <w:rPr>
                <w:rFonts w:ascii="Calibri" w:eastAsia="Times New Roman" w:hAnsi="Calibri" w:cs="Times New Roman"/>
                <w:color w:val="000000"/>
                <w:sz w:val="20"/>
                <w:szCs w:val="20"/>
                <w:lang w:eastAsia="en-AU"/>
              </w:rPr>
              <w:t>236</w:t>
            </w:r>
          </w:p>
        </w:tc>
      </w:tr>
      <w:tr w:rsidR="000371E2" w:rsidRPr="000371E2" w:rsidTr="000371E2">
        <w:trPr>
          <w:trHeight w:val="315"/>
        </w:trPr>
        <w:tc>
          <w:tcPr>
            <w:tcW w:w="5920" w:type="dxa"/>
            <w:tcBorders>
              <w:top w:val="nil"/>
              <w:left w:val="nil"/>
              <w:bottom w:val="single" w:sz="4" w:space="0" w:color="auto"/>
              <w:right w:val="nil"/>
            </w:tcBorders>
            <w:shd w:val="clear" w:color="auto" w:fill="auto"/>
            <w:noWrap/>
            <w:vAlign w:val="bottom"/>
            <w:hideMark/>
          </w:tcPr>
          <w:p w:rsidR="000371E2" w:rsidRPr="000371E2" w:rsidRDefault="000371E2" w:rsidP="000371E2">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0371E2">
              <w:rPr>
                <w:rFonts w:ascii="Calibri" w:eastAsia="Times New Roman" w:hAnsi="Calibri" w:cs="Times New Roman"/>
                <w:color w:val="000000"/>
                <w:sz w:val="20"/>
                <w:szCs w:val="20"/>
                <w:lang w:eastAsia="en-AU"/>
              </w:rPr>
              <w:t>Total</w:t>
            </w:r>
          </w:p>
        </w:tc>
        <w:tc>
          <w:tcPr>
            <w:tcW w:w="3020" w:type="dxa"/>
            <w:tcBorders>
              <w:top w:val="single" w:sz="4" w:space="0" w:color="auto"/>
              <w:left w:val="nil"/>
              <w:bottom w:val="single" w:sz="4" w:space="0" w:color="auto"/>
              <w:right w:val="nil"/>
            </w:tcBorders>
            <w:shd w:val="clear" w:color="auto" w:fill="auto"/>
            <w:noWrap/>
            <w:vAlign w:val="bottom"/>
            <w:hideMark/>
          </w:tcPr>
          <w:p w:rsidR="000371E2" w:rsidRPr="000371E2" w:rsidRDefault="000371E2" w:rsidP="000371E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0371E2">
              <w:rPr>
                <w:rFonts w:ascii="Calibri" w:eastAsia="Times New Roman" w:hAnsi="Calibri" w:cs="Times New Roman"/>
                <w:color w:val="000000"/>
                <w:sz w:val="20"/>
                <w:szCs w:val="20"/>
                <w:lang w:eastAsia="en-AU"/>
              </w:rPr>
              <w:t>1 609</w:t>
            </w:r>
          </w:p>
        </w:tc>
      </w:tr>
    </w:tbl>
    <w:p w:rsidR="0090048E" w:rsidRDefault="0090048E" w:rsidP="0090048E">
      <w:pPr>
        <w:pStyle w:val="CGCTableFootnote"/>
      </w:pPr>
      <w:r>
        <w:t>Source:</w:t>
      </w:r>
      <w:r>
        <w:tab/>
        <w:t>ABS GFS data</w:t>
      </w:r>
    </w:p>
    <w:p w:rsidR="0090048E" w:rsidRPr="00F63418" w:rsidRDefault="0090048E" w:rsidP="00987E41">
      <w:pPr>
        <w:pStyle w:val="NoSpacing"/>
      </w:pPr>
    </w:p>
    <w:p w:rsidR="00A9407A" w:rsidRDefault="00876F8D" w:rsidP="005B2F89">
      <w:pPr>
        <w:pStyle w:val="CGCNumberedPara"/>
      </w:pPr>
      <w:r>
        <w:t xml:space="preserve">The </w:t>
      </w:r>
      <w:r w:rsidR="003414F0">
        <w:t xml:space="preserve">current </w:t>
      </w:r>
      <w:r>
        <w:t>assessment nets off mining user charges</w:t>
      </w:r>
      <w:r w:rsidR="00460E93">
        <w:t xml:space="preserve"> which arise from regulatory function</w:t>
      </w:r>
      <w:r w:rsidR="00FF44E3">
        <w:t>s</w:t>
      </w:r>
      <w:r w:rsidR="00460E93">
        <w:t xml:space="preserve"> including mine safety and site rehabilitation</w:t>
      </w:r>
      <w:r>
        <w:t>. For the 2020 Review</w:t>
      </w:r>
      <w:r w:rsidR="000371E2">
        <w:t>,</w:t>
      </w:r>
      <w:r>
        <w:t xml:space="preserve"> </w:t>
      </w:r>
      <w:proofErr w:type="gramStart"/>
      <w:r>
        <w:t xml:space="preserve">staff </w:t>
      </w:r>
      <w:r w:rsidR="00D30A85">
        <w:t>are</w:t>
      </w:r>
      <w:proofErr w:type="gramEnd"/>
      <w:r w:rsidR="00D30A85">
        <w:t xml:space="preserve"> </w:t>
      </w:r>
      <w:r w:rsidR="00BD70C8">
        <w:t>propos</w:t>
      </w:r>
      <w:r w:rsidR="008450E0">
        <w:t>ing</w:t>
      </w:r>
      <w:r w:rsidR="00BD70C8">
        <w:t xml:space="preserve"> to </w:t>
      </w:r>
      <w:r w:rsidRPr="00BD70C8">
        <w:t>net</w:t>
      </w:r>
      <w:r>
        <w:t xml:space="preserve"> </w:t>
      </w:r>
      <w:r w:rsidR="00BD70C8" w:rsidRPr="00BD70C8">
        <w:t>off all user charges</w:t>
      </w:r>
      <w:r w:rsidR="005B2F89">
        <w:t>.</w:t>
      </w:r>
      <w:r w:rsidR="00785510">
        <w:t xml:space="preserve"> </w:t>
      </w:r>
      <w:r w:rsidR="005B2F89">
        <w:t>Our a</w:t>
      </w:r>
      <w:r>
        <w:t>nalysis of what States do</w:t>
      </w:r>
      <w:r w:rsidR="00EC2ED1">
        <w:t xml:space="preserve"> </w:t>
      </w:r>
      <w:r>
        <w:t>and GFS unit record data indicate</w:t>
      </w:r>
      <w:r w:rsidR="00FF44E3">
        <w:t>s</w:t>
      </w:r>
      <w:r>
        <w:t xml:space="preserve"> that most of the</w:t>
      </w:r>
      <w:r w:rsidR="00460E93">
        <w:t xml:space="preserve"> </w:t>
      </w:r>
      <w:r>
        <w:t xml:space="preserve">revenue </w:t>
      </w:r>
      <w:r w:rsidR="00F63418">
        <w:t>for the cat</w:t>
      </w:r>
      <w:r w:rsidR="00FC0203">
        <w:t xml:space="preserve">egory </w:t>
      </w:r>
      <w:r w:rsidR="00460E93">
        <w:t>relates to regulation</w:t>
      </w:r>
      <w:r w:rsidR="00A9407A">
        <w:t xml:space="preserve"> and not business development</w:t>
      </w:r>
      <w:r w:rsidR="00987E41">
        <w:t xml:space="preserve"> (for example, agricultural levies)</w:t>
      </w:r>
      <w:r w:rsidR="004F1B1E">
        <w:t xml:space="preserve">. </w:t>
      </w:r>
      <w:r w:rsidR="00A9407A">
        <w:t>States assessed as having higher regulation costs will have a greater capacity to raise revenue through fees and charges. The revenue and expenses could be assessed separately using the same disabilities but it is simpler to assess the net expense</w:t>
      </w:r>
      <w:r w:rsidR="004F1B1E">
        <w:t>s</w:t>
      </w:r>
      <w:r w:rsidR="00A9407A">
        <w:t>.</w:t>
      </w:r>
    </w:p>
    <w:p w:rsidR="005B2F89" w:rsidRDefault="00987E41" w:rsidP="005B2F89">
      <w:pPr>
        <w:pStyle w:val="CGCNumberedPara"/>
      </w:pPr>
      <w:bookmarkStart w:id="58" w:name="_Ref508095728"/>
      <w:r>
        <w:t xml:space="preserve">The only concern staff have with netting off all user charges is that they may include agricultural levies. </w:t>
      </w:r>
      <w:r w:rsidR="00A9407A">
        <w:t>I</w:t>
      </w:r>
      <w:r w:rsidR="00EB0C53">
        <w:t>n response to the draft data request for agriculture</w:t>
      </w:r>
      <w:r w:rsidR="005B2F89">
        <w:t>,</w:t>
      </w:r>
      <w:r w:rsidR="00EB0C53">
        <w:t xml:space="preserve"> South Australia said </w:t>
      </w:r>
      <w:r w:rsidR="005B2F89">
        <w:t xml:space="preserve">it administers </w:t>
      </w:r>
      <w:r w:rsidR="00EB0C53">
        <w:t>voluntary agricultural levies</w:t>
      </w:r>
      <w:r w:rsidR="005B2F89">
        <w:t xml:space="preserve"> o</w:t>
      </w:r>
      <w:r w:rsidR="00AA6D84">
        <w:t>n</w:t>
      </w:r>
      <w:r w:rsidR="005B2F89">
        <w:t xml:space="preserve"> behalf of the industry. The revenue and expenses associated with these levy schemes are recorded in </w:t>
      </w:r>
      <w:r w:rsidR="00F86C57">
        <w:t>the State budget</w:t>
      </w:r>
      <w:r w:rsidR="005B2F89">
        <w:t xml:space="preserve"> but </w:t>
      </w:r>
      <w:r w:rsidR="00184825">
        <w:t>they</w:t>
      </w:r>
      <w:r w:rsidR="00F86C57">
        <w:t xml:space="preserve"> </w:t>
      </w:r>
      <w:r w:rsidR="005B2F89">
        <w:t>have no effect o</w:t>
      </w:r>
      <w:r w:rsidR="00BF0DA9">
        <w:t>n</w:t>
      </w:r>
      <w:r w:rsidR="005B2F89">
        <w:t xml:space="preserve"> </w:t>
      </w:r>
      <w:r w:rsidR="004F1B1E">
        <w:t>its</w:t>
      </w:r>
      <w:r w:rsidR="005B2F89">
        <w:t xml:space="preserve"> fiscal capacities. </w:t>
      </w:r>
      <w:proofErr w:type="gramStart"/>
      <w:r w:rsidR="00785510">
        <w:t>Staff want</w:t>
      </w:r>
      <w:proofErr w:type="gramEnd"/>
      <w:r w:rsidR="00785510">
        <w:t xml:space="preserve"> to </w:t>
      </w:r>
      <w:r>
        <w:t>en</w:t>
      </w:r>
      <w:r w:rsidR="004F1B1E">
        <w:t xml:space="preserve">sure </w:t>
      </w:r>
      <w:r>
        <w:t xml:space="preserve">that State agricultural levies are not significant. </w:t>
      </w:r>
      <w:r w:rsidR="005B2F89">
        <w:t xml:space="preserve">The </w:t>
      </w:r>
      <w:r w:rsidR="0091080D">
        <w:t xml:space="preserve">agriculture </w:t>
      </w:r>
      <w:r w:rsidR="005B2F89">
        <w:t xml:space="preserve">data request will collect data on revenue and expenses </w:t>
      </w:r>
      <w:r w:rsidR="00A9407A">
        <w:t>for State administered</w:t>
      </w:r>
      <w:r w:rsidR="005B2F89">
        <w:t xml:space="preserve"> agricultural levy schemes. Th</w:t>
      </w:r>
      <w:r w:rsidR="00785510">
        <w:t>e</w:t>
      </w:r>
      <w:r w:rsidR="00F86C57">
        <w:t xml:space="preserve"> </w:t>
      </w:r>
      <w:r w:rsidR="00785510">
        <w:t xml:space="preserve">data </w:t>
      </w:r>
      <w:r w:rsidR="005B2F89">
        <w:t xml:space="preserve">will be used to determine if the </w:t>
      </w:r>
      <w:r w:rsidR="00785510">
        <w:t>amount</w:t>
      </w:r>
      <w:r w:rsidR="005B2F89">
        <w:t xml:space="preserve"> is material</w:t>
      </w:r>
      <w:r w:rsidR="00A9407A">
        <w:t>.</w:t>
      </w:r>
      <w:r w:rsidR="00785510">
        <w:rPr>
          <w:rStyle w:val="FootnoteReference"/>
        </w:rPr>
        <w:footnoteReference w:id="9"/>
      </w:r>
      <w:bookmarkEnd w:id="58"/>
    </w:p>
    <w:p w:rsidR="00A67E4C" w:rsidRDefault="00A67E4C" w:rsidP="0091080D">
      <w:pPr>
        <w:pStyle w:val="NoSpacing"/>
      </w:pPr>
    </w:p>
    <w:tbl>
      <w:tblPr>
        <w:tblStyle w:val="TableGrid"/>
        <w:tblW w:w="0" w:type="auto"/>
        <w:tblLook w:val="04A0" w:firstRow="1" w:lastRow="0" w:firstColumn="1" w:lastColumn="0" w:noHBand="0" w:noVBand="1"/>
      </w:tblPr>
      <w:tblGrid>
        <w:gridCol w:w="9167"/>
      </w:tblGrid>
      <w:tr w:rsidR="00FC0203" w:rsidTr="00FC0203">
        <w:tc>
          <w:tcPr>
            <w:tcW w:w="9167" w:type="dxa"/>
            <w:tcBorders>
              <w:top w:val="nil"/>
              <w:left w:val="nil"/>
              <w:bottom w:val="nil"/>
              <w:right w:val="nil"/>
            </w:tcBorders>
            <w:shd w:val="clear" w:color="auto" w:fill="D9F3E6"/>
          </w:tcPr>
          <w:p w:rsidR="00FC0203" w:rsidRDefault="00FC0203" w:rsidP="00FC0203">
            <w:r>
              <w:t>Staff propose to recommend the Commission:</w:t>
            </w:r>
          </w:p>
          <w:p w:rsidR="00A9407A" w:rsidRDefault="00FC0203" w:rsidP="000371E2">
            <w:pPr>
              <w:pStyle w:val="CGCBulletlist"/>
            </w:pPr>
            <w:r>
              <w:t xml:space="preserve">deduct all user charges from expenses because </w:t>
            </w:r>
            <w:r w:rsidR="000371E2">
              <w:t xml:space="preserve">most relate to regulation activities and </w:t>
            </w:r>
            <w:r>
              <w:t>the same disabilities apply to expenses</w:t>
            </w:r>
            <w:r w:rsidR="000371E2">
              <w:t xml:space="preserve"> and revenue</w:t>
            </w:r>
          </w:p>
          <w:p w:rsidR="00FC0203" w:rsidRDefault="00A9407A" w:rsidP="00987E41">
            <w:pPr>
              <w:pStyle w:val="CGCBulletlist"/>
            </w:pPr>
            <w:proofErr w:type="gramStart"/>
            <w:r>
              <w:t>collect</w:t>
            </w:r>
            <w:proofErr w:type="gramEnd"/>
            <w:r>
              <w:t xml:space="preserve"> data on State agricultural levies to </w:t>
            </w:r>
            <w:r w:rsidR="00987E41">
              <w:t>confirm</w:t>
            </w:r>
            <w:r>
              <w:t xml:space="preserve"> they are </w:t>
            </w:r>
            <w:r w:rsidR="00987E41">
              <w:t xml:space="preserve">not </w:t>
            </w:r>
            <w:r>
              <w:t>material.</w:t>
            </w:r>
          </w:p>
        </w:tc>
      </w:tr>
    </w:tbl>
    <w:p w:rsidR="00EC2ED1" w:rsidRDefault="00EC2ED1" w:rsidP="00FC0203"/>
    <w:p w:rsidR="0052435E" w:rsidRDefault="0052435E" w:rsidP="0052435E">
      <w:pPr>
        <w:pStyle w:val="Heading4"/>
      </w:pPr>
      <w:bookmarkStart w:id="59" w:name="_Toc508121243"/>
      <w:bookmarkStart w:id="60" w:name="_Toc511660970"/>
      <w:r>
        <w:t>Administrative scale assessment</w:t>
      </w:r>
      <w:bookmarkEnd w:id="59"/>
      <w:bookmarkEnd w:id="60"/>
    </w:p>
    <w:p w:rsidR="000E446F" w:rsidRDefault="00DC1662" w:rsidP="00DC1662">
      <w:pPr>
        <w:pStyle w:val="CGCNumberedPara"/>
      </w:pPr>
      <w:proofErr w:type="gramStart"/>
      <w:r>
        <w:t>Staff propose</w:t>
      </w:r>
      <w:proofErr w:type="gramEnd"/>
      <w:r>
        <w:t xml:space="preserve"> to retain the administrative scale </w:t>
      </w:r>
      <w:r w:rsidR="00F63418">
        <w:t xml:space="preserve">assessment for this category but the </w:t>
      </w:r>
      <w:r w:rsidR="003B466D">
        <w:t>costs</w:t>
      </w:r>
      <w:r w:rsidR="00F63418">
        <w:t xml:space="preserve"> will be </w:t>
      </w:r>
      <w:r w:rsidR="0089185A">
        <w:t xml:space="preserve">re-estimated </w:t>
      </w:r>
      <w:r w:rsidR="00F63418">
        <w:t>as part of the review.</w:t>
      </w:r>
      <w:r w:rsidR="003414F0">
        <w:rPr>
          <w:rStyle w:val="FootnoteReference"/>
        </w:rPr>
        <w:footnoteReference w:id="10"/>
      </w:r>
      <w:r w:rsidR="00F63418">
        <w:t xml:space="preserve"> The current </w:t>
      </w:r>
      <w:r w:rsidR="003B466D">
        <w:t>estimate of costs</w:t>
      </w:r>
      <w:r w:rsidR="00F63418">
        <w:t xml:space="preserve"> is reasonably significant </w:t>
      </w:r>
      <w:r w:rsidR="006560A5">
        <w:t>(</w:t>
      </w:r>
      <w:r w:rsidR="00D70F09">
        <w:t>$27 million per State</w:t>
      </w:r>
      <w:r w:rsidR="00184825">
        <w:t>)</w:t>
      </w:r>
      <w:r w:rsidR="003414F0">
        <w:rPr>
          <w:rStyle w:val="FootnoteReference"/>
        </w:rPr>
        <w:footnoteReference w:id="11"/>
      </w:r>
      <w:r w:rsidR="00D70F09">
        <w:t xml:space="preserve"> </w:t>
      </w:r>
      <w:r w:rsidR="005D044C">
        <w:t xml:space="preserve">because </w:t>
      </w:r>
      <w:r w:rsidR="006560A5">
        <w:t xml:space="preserve">there are a relatively large number of activities </w:t>
      </w:r>
      <w:r w:rsidR="000371E2">
        <w:t xml:space="preserve">all </w:t>
      </w:r>
      <w:r w:rsidR="005D044C">
        <w:t xml:space="preserve">States undertake </w:t>
      </w:r>
      <w:r w:rsidR="003B466D">
        <w:t xml:space="preserve">to </w:t>
      </w:r>
      <w:r w:rsidR="005D044C">
        <w:t xml:space="preserve">regulate and develop their </w:t>
      </w:r>
      <w:r w:rsidR="00D70F09">
        <w:t xml:space="preserve">businesses and </w:t>
      </w:r>
      <w:r w:rsidR="005D044C">
        <w:t xml:space="preserve">industries. </w:t>
      </w:r>
      <w:r w:rsidR="0051757E">
        <w:t>These include</w:t>
      </w:r>
      <w:r w:rsidR="005D044C">
        <w:t xml:space="preserve"> State and regional development</w:t>
      </w:r>
      <w:r w:rsidR="006560A5">
        <w:t>, investment and trade attraction, tourism promotion, biosecurity, mine safety, geological survey</w:t>
      </w:r>
      <w:r w:rsidR="003B466D">
        <w:t>s</w:t>
      </w:r>
      <w:r w:rsidR="006560A5">
        <w:t xml:space="preserve">, small business development and regulation, consumer protection and work safety. Since these activities are common to all States, the </w:t>
      </w:r>
      <w:r w:rsidR="003B466D">
        <w:t xml:space="preserve">per capita </w:t>
      </w:r>
      <w:r w:rsidR="000E446F">
        <w:t>costs of the less populous States are</w:t>
      </w:r>
      <w:r w:rsidR="006560A5">
        <w:t xml:space="preserve"> </w:t>
      </w:r>
      <w:r w:rsidR="003B466D">
        <w:t xml:space="preserve">relatively </w:t>
      </w:r>
      <w:r w:rsidR="006560A5">
        <w:t>high. The ACT</w:t>
      </w:r>
      <w:r w:rsidR="00A23C56">
        <w:t xml:space="preserve">’s costs are somewhat lower </w:t>
      </w:r>
      <w:r w:rsidR="006560A5">
        <w:t xml:space="preserve">as its city/State nature means it has virtually no agriculture and mining industries and thus no need to provide some services. </w:t>
      </w:r>
    </w:p>
    <w:p w:rsidR="0051757E" w:rsidRDefault="00D70F09" w:rsidP="00DC1662">
      <w:pPr>
        <w:pStyle w:val="CGCNumberedPara"/>
      </w:pPr>
      <w:r>
        <w:t>Initial analysi</w:t>
      </w:r>
      <w:r w:rsidR="000E446F">
        <w:t xml:space="preserve">s </w:t>
      </w:r>
      <w:r w:rsidR="0051757E">
        <w:t xml:space="preserve">for the 2020 Review </w:t>
      </w:r>
      <w:r w:rsidR="000E446F">
        <w:t xml:space="preserve">indicates the current administrative scale </w:t>
      </w:r>
      <w:r w:rsidR="003414F0">
        <w:t>estimate</w:t>
      </w:r>
      <w:r w:rsidR="000E446F">
        <w:t xml:space="preserve"> for the Services to industry category </w:t>
      </w:r>
      <w:r w:rsidR="003414F0">
        <w:t>is</w:t>
      </w:r>
      <w:r w:rsidR="000E446F">
        <w:t xml:space="preserve"> appropriate. States will ha</w:t>
      </w:r>
      <w:r w:rsidR="003414F0">
        <w:t>ve the opportunity to comment on</w:t>
      </w:r>
      <w:r w:rsidR="000E446F">
        <w:t xml:space="preserve"> the staff </w:t>
      </w:r>
      <w:r w:rsidR="00B92000">
        <w:t xml:space="preserve">approach and </w:t>
      </w:r>
      <w:r w:rsidR="000E446F">
        <w:t>estimates</w:t>
      </w:r>
      <w:r w:rsidR="00B92000">
        <w:t xml:space="preserve">. </w:t>
      </w:r>
      <w:r w:rsidR="00A23C56">
        <w:t xml:space="preserve">For more information about how </w:t>
      </w:r>
      <w:r w:rsidR="003414F0">
        <w:t>we</w:t>
      </w:r>
      <w:r w:rsidR="00A23C56">
        <w:t xml:space="preserve"> propose to re</w:t>
      </w:r>
      <w:r w:rsidR="003414F0">
        <w:noBreakHyphen/>
      </w:r>
      <w:r w:rsidR="00A23C56">
        <w:t>estimate administrative scale costs</w:t>
      </w:r>
      <w:r w:rsidR="00B92000">
        <w:t>,</w:t>
      </w:r>
      <w:r w:rsidR="00A23C56">
        <w:t xml:space="preserve"> see </w:t>
      </w:r>
      <w:r w:rsidR="005F1F16">
        <w:t>S</w:t>
      </w:r>
      <w:r w:rsidR="005D5412">
        <w:t xml:space="preserve">taff </w:t>
      </w:r>
      <w:r w:rsidR="005F1F16">
        <w:t>Draft Assessment P</w:t>
      </w:r>
      <w:r w:rsidR="005D5412">
        <w:t>aper</w:t>
      </w:r>
      <w:r w:rsidR="005F1F16">
        <w:t xml:space="preserve"> </w:t>
      </w:r>
      <w:r w:rsidR="00BB0125">
        <w:rPr>
          <w:i/>
        </w:rPr>
        <w:t>CGC 2018-01/24</w:t>
      </w:r>
      <w:r w:rsidR="005F1F16" w:rsidRPr="005F1F16">
        <w:rPr>
          <w:i/>
        </w:rPr>
        <w:t>-S, A</w:t>
      </w:r>
      <w:r w:rsidR="00A23C56" w:rsidRPr="005F1F16">
        <w:rPr>
          <w:i/>
        </w:rPr>
        <w:t>dminist</w:t>
      </w:r>
      <w:r w:rsidR="0051757E" w:rsidRPr="005F1F16">
        <w:rPr>
          <w:i/>
        </w:rPr>
        <w:t>rative scale</w:t>
      </w:r>
      <w:r w:rsidR="005F1F16">
        <w:t>.</w:t>
      </w:r>
    </w:p>
    <w:p w:rsidR="003B466D" w:rsidRDefault="00A23C56" w:rsidP="00DC1662">
      <w:pPr>
        <w:pStyle w:val="CGCNumberedPara"/>
      </w:pPr>
      <w:r>
        <w:t>Administrative scale costs</w:t>
      </w:r>
      <w:r w:rsidR="003414F0">
        <w:t xml:space="preserve"> for all categories, including S</w:t>
      </w:r>
      <w:r>
        <w:t xml:space="preserve">ervices to industry, are assessed in the </w:t>
      </w:r>
      <w:proofErr w:type="gramStart"/>
      <w:r>
        <w:t>Other</w:t>
      </w:r>
      <w:proofErr w:type="gramEnd"/>
      <w:r>
        <w:t xml:space="preserve"> expenses category.</w:t>
      </w:r>
    </w:p>
    <w:p w:rsidR="00E117A4" w:rsidRDefault="00E117A4" w:rsidP="00E117A4"/>
    <w:tbl>
      <w:tblPr>
        <w:tblStyle w:val="TableGrid"/>
        <w:tblW w:w="0" w:type="auto"/>
        <w:tblLook w:val="04A0" w:firstRow="1" w:lastRow="0" w:firstColumn="1" w:lastColumn="0" w:noHBand="0" w:noVBand="1"/>
      </w:tblPr>
      <w:tblGrid>
        <w:gridCol w:w="9167"/>
      </w:tblGrid>
      <w:tr w:rsidR="000E446F" w:rsidTr="000E446F">
        <w:tc>
          <w:tcPr>
            <w:tcW w:w="9167" w:type="dxa"/>
            <w:tcBorders>
              <w:top w:val="nil"/>
              <w:left w:val="nil"/>
              <w:bottom w:val="nil"/>
              <w:right w:val="nil"/>
            </w:tcBorders>
            <w:shd w:val="clear" w:color="auto" w:fill="D9F3E6"/>
          </w:tcPr>
          <w:p w:rsidR="000E446F" w:rsidRPr="00E674AF" w:rsidRDefault="00184C33" w:rsidP="000E446F">
            <w:r>
              <w:br w:type="page"/>
            </w:r>
            <w:r w:rsidR="000E446F" w:rsidRPr="00B7517F">
              <w:t>Staff propose to recommend the Commission:</w:t>
            </w:r>
          </w:p>
          <w:p w:rsidR="000E446F" w:rsidRDefault="00FC0203" w:rsidP="005F1F16">
            <w:pPr>
              <w:pStyle w:val="CGCBulletlist"/>
            </w:pPr>
            <w:proofErr w:type="gramStart"/>
            <w:r>
              <w:t>r</w:t>
            </w:r>
            <w:r w:rsidR="000E446F">
              <w:t>etain</w:t>
            </w:r>
            <w:proofErr w:type="gramEnd"/>
            <w:r w:rsidR="000E446F">
              <w:t xml:space="preserve"> the administrative scale assessment for the category but re-estimate the costs using the approach outlined in </w:t>
            </w:r>
            <w:r w:rsidR="005F1F16">
              <w:t>Staff D</w:t>
            </w:r>
            <w:r w:rsidR="000E446F">
              <w:t xml:space="preserve">raft </w:t>
            </w:r>
            <w:r w:rsidR="005F1F16">
              <w:t>Assessment P</w:t>
            </w:r>
            <w:r w:rsidR="000E446F">
              <w:t>aper</w:t>
            </w:r>
            <w:r w:rsidR="005F1F16">
              <w:t xml:space="preserve"> </w:t>
            </w:r>
            <w:r w:rsidR="005F1F16" w:rsidRPr="005F1F16">
              <w:rPr>
                <w:i/>
              </w:rPr>
              <w:t>CGC 2018</w:t>
            </w:r>
            <w:r w:rsidR="005F1F16" w:rsidRPr="005F1F16">
              <w:rPr>
                <w:i/>
              </w:rPr>
              <w:noBreakHyphen/>
              <w:t>01/25-S,</w:t>
            </w:r>
            <w:r w:rsidR="000E446F" w:rsidRPr="005F1F16">
              <w:rPr>
                <w:i/>
              </w:rPr>
              <w:t xml:space="preserve"> </w:t>
            </w:r>
            <w:r w:rsidR="005F1F16" w:rsidRPr="005F1F16">
              <w:rPr>
                <w:i/>
              </w:rPr>
              <w:t>A</w:t>
            </w:r>
            <w:r w:rsidR="000E446F" w:rsidRPr="005F1F16">
              <w:rPr>
                <w:i/>
              </w:rPr>
              <w:t>dministrative scale</w:t>
            </w:r>
            <w:r w:rsidR="000E446F">
              <w:t>.</w:t>
            </w:r>
          </w:p>
        </w:tc>
      </w:tr>
    </w:tbl>
    <w:p w:rsidR="00B7517F" w:rsidRDefault="00B7517F" w:rsidP="00FB6811">
      <w:pPr>
        <w:pStyle w:val="Heading3"/>
      </w:pPr>
      <w:bookmarkStart w:id="61" w:name="_Toc508121244"/>
      <w:bookmarkStart w:id="62" w:name="_Toc511660971"/>
      <w:r>
        <w:t>Conclusion and way forward</w:t>
      </w:r>
      <w:bookmarkEnd w:id="61"/>
      <w:bookmarkEnd w:id="62"/>
    </w:p>
    <w:p w:rsidR="00333737" w:rsidRDefault="00333737" w:rsidP="00333737">
      <w:pPr>
        <w:pStyle w:val="CGCNumberedPara"/>
        <w:numPr>
          <w:ilvl w:val="1"/>
          <w:numId w:val="3"/>
        </w:numPr>
      </w:pPr>
      <w:r>
        <w:t xml:space="preserve">There are unlikely to be </w:t>
      </w:r>
      <w:r w:rsidR="00C935A5">
        <w:t>significant changes to the approach to the S</w:t>
      </w:r>
      <w:r>
        <w:t>ervices to industry assessment in the 2020 Review</w:t>
      </w:r>
      <w:r w:rsidR="00611DF1">
        <w:t>.  H</w:t>
      </w:r>
      <w:r w:rsidR="007A2206">
        <w:t>owever, staff intend to:</w:t>
      </w:r>
    </w:p>
    <w:p w:rsidR="00333737" w:rsidRDefault="00C935A5" w:rsidP="00333737">
      <w:pPr>
        <w:pStyle w:val="CGCBulletlist"/>
        <w:numPr>
          <w:ilvl w:val="0"/>
          <w:numId w:val="1"/>
        </w:numPr>
        <w:tabs>
          <w:tab w:val="clear" w:pos="927"/>
        </w:tabs>
        <w:ind w:left="1134" w:hanging="567"/>
      </w:pPr>
      <w:r>
        <w:t xml:space="preserve">collect new data from States to split regulation and business development </w:t>
      </w:r>
      <w:r w:rsidR="00333737">
        <w:t>expenses</w:t>
      </w:r>
    </w:p>
    <w:p w:rsidR="00333737" w:rsidRDefault="00C935A5" w:rsidP="00333737">
      <w:pPr>
        <w:pStyle w:val="CGCBulletlist"/>
        <w:numPr>
          <w:ilvl w:val="0"/>
          <w:numId w:val="1"/>
        </w:numPr>
        <w:tabs>
          <w:tab w:val="clear" w:pos="927"/>
        </w:tabs>
        <w:ind w:left="1134" w:hanging="567"/>
      </w:pPr>
      <w:r>
        <w:t xml:space="preserve">consult with experts in State line agencies on the </w:t>
      </w:r>
      <w:r w:rsidR="001639A7">
        <w:t xml:space="preserve">cost </w:t>
      </w:r>
      <w:r>
        <w:t xml:space="preserve">drivers </w:t>
      </w:r>
      <w:r w:rsidR="001639A7">
        <w:t>for</w:t>
      </w:r>
      <w:r>
        <w:t xml:space="preserve"> regulation expenses</w:t>
      </w:r>
    </w:p>
    <w:p w:rsidR="00E55CE3" w:rsidRDefault="00333737" w:rsidP="00333737">
      <w:pPr>
        <w:pStyle w:val="CGCBulletlist"/>
        <w:numPr>
          <w:ilvl w:val="0"/>
          <w:numId w:val="1"/>
        </w:numPr>
        <w:tabs>
          <w:tab w:val="clear" w:pos="927"/>
        </w:tabs>
        <w:ind w:left="1134" w:hanging="567"/>
      </w:pPr>
      <w:r>
        <w:t xml:space="preserve">net off all user charges unless </w:t>
      </w:r>
      <w:r w:rsidR="00E55CE3">
        <w:t xml:space="preserve">States present </w:t>
      </w:r>
      <w:r w:rsidRPr="00BD70C8">
        <w:t>evidence that significant amounts relate to business development activities</w:t>
      </w:r>
      <w:r w:rsidR="00C935A5">
        <w:t xml:space="preserve"> including agricultural levies</w:t>
      </w:r>
    </w:p>
    <w:p w:rsidR="00E07621" w:rsidRPr="00E07621" w:rsidRDefault="00E55CE3" w:rsidP="00333737">
      <w:pPr>
        <w:pStyle w:val="CGCBulletlist"/>
        <w:numPr>
          <w:ilvl w:val="0"/>
          <w:numId w:val="1"/>
        </w:numPr>
        <w:tabs>
          <w:tab w:val="clear" w:pos="927"/>
        </w:tabs>
        <w:ind w:left="1134" w:hanging="567"/>
      </w:pPr>
      <w:proofErr w:type="gramStart"/>
      <w:r>
        <w:t>re-estimate</w:t>
      </w:r>
      <w:proofErr w:type="gramEnd"/>
      <w:r>
        <w:t xml:space="preserve"> administrative scale costs</w:t>
      </w:r>
      <w:r w:rsidR="00333737">
        <w:t>.</w:t>
      </w:r>
    </w:p>
    <w:p w:rsidR="00B7517F" w:rsidRDefault="00B7517F" w:rsidP="00B7517F">
      <w:pPr>
        <w:pStyle w:val="Heading5"/>
      </w:pPr>
      <w:r>
        <w:t>Proposed assessment structure</w:t>
      </w:r>
    </w:p>
    <w:p w:rsidR="00B7517F" w:rsidRDefault="00B7517F" w:rsidP="00B7517F">
      <w:pPr>
        <w:pStyle w:val="CGCNumberedPara"/>
      </w:pPr>
      <w:proofErr w:type="gramStart"/>
      <w:r>
        <w:t>Staff propose</w:t>
      </w:r>
      <w:proofErr w:type="gramEnd"/>
      <w:r>
        <w:t xml:space="preserve"> the following assessment structur</w:t>
      </w:r>
      <w:r w:rsidR="00C935A5">
        <w:t>e for this category in the 2020 </w:t>
      </w:r>
      <w:r>
        <w:t xml:space="preserve">Review. </w:t>
      </w:r>
    </w:p>
    <w:p w:rsidR="005F1F16" w:rsidRDefault="005F1F16" w:rsidP="00A23C56">
      <w:pPr>
        <w:pStyle w:val="CGCTableHeading"/>
      </w:pPr>
      <w:r>
        <w:br w:type="page"/>
      </w:r>
    </w:p>
    <w:p w:rsidR="00B7517F" w:rsidRDefault="00B7517F" w:rsidP="00A23C56">
      <w:pPr>
        <w:pStyle w:val="CGCTableHeading"/>
      </w:pPr>
      <w:r>
        <w:t xml:space="preserve">Table </w:t>
      </w:r>
      <w:fldSimple w:instr=" SEQ Table \* ARABIC ">
        <w:r w:rsidR="00F3280B">
          <w:rPr>
            <w:noProof/>
          </w:rPr>
          <w:t>5</w:t>
        </w:r>
      </w:fldSimple>
      <w:r>
        <w:tab/>
      </w:r>
      <w:r w:rsidRPr="00B7517F">
        <w:t xml:space="preserve">Proposed </w:t>
      </w:r>
      <w:r w:rsidR="00D57A1B">
        <w:t>Services to industry</w:t>
      </w:r>
      <w:r w:rsidRPr="00B7517F">
        <w:t xml:space="preserve"> category structure</w:t>
      </w:r>
    </w:p>
    <w:tbl>
      <w:tblPr>
        <w:tblW w:w="9074" w:type="dxa"/>
        <w:tblLayout w:type="fixed"/>
        <w:tblCellMar>
          <w:left w:w="0" w:type="dxa"/>
          <w:right w:w="0" w:type="dxa"/>
        </w:tblCellMar>
        <w:tblLook w:val="04A0" w:firstRow="1" w:lastRow="0" w:firstColumn="1" w:lastColumn="0" w:noHBand="0" w:noVBand="1"/>
      </w:tblPr>
      <w:tblGrid>
        <w:gridCol w:w="1424"/>
        <w:gridCol w:w="1162"/>
        <w:gridCol w:w="279"/>
        <w:gridCol w:w="1254"/>
        <w:gridCol w:w="279"/>
        <w:gridCol w:w="4676"/>
      </w:tblGrid>
      <w:tr w:rsidR="00B2600F" w:rsidRPr="00B2600F" w:rsidTr="00B2600F">
        <w:trPr>
          <w:trHeight w:val="555"/>
        </w:trPr>
        <w:tc>
          <w:tcPr>
            <w:tcW w:w="1424" w:type="dxa"/>
            <w:tcBorders>
              <w:top w:val="single" w:sz="4" w:space="0" w:color="auto"/>
              <w:left w:val="nil"/>
              <w:bottom w:val="single" w:sz="4" w:space="0" w:color="auto"/>
              <w:right w:val="nil"/>
            </w:tcBorders>
            <w:shd w:val="clear" w:color="auto" w:fill="auto"/>
            <w:vAlign w:val="center"/>
            <w:hideMark/>
          </w:tcPr>
          <w:p w:rsidR="00B2600F" w:rsidRPr="00B2600F" w:rsidRDefault="00B2600F" w:rsidP="00B2600F">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bookmarkStart w:id="63" w:name="RANGE!B2:G6"/>
            <w:r w:rsidRPr="00B2600F">
              <w:rPr>
                <w:rFonts w:ascii="Calibri" w:eastAsia="Times New Roman" w:hAnsi="Calibri" w:cstheme="minorHAnsi"/>
                <w:color w:val="000000"/>
                <w:sz w:val="20"/>
                <w:szCs w:val="20"/>
                <w:lang w:eastAsia="en-AU"/>
              </w:rPr>
              <w:t>Component</w:t>
            </w:r>
            <w:bookmarkEnd w:id="63"/>
          </w:p>
        </w:tc>
        <w:tc>
          <w:tcPr>
            <w:tcW w:w="1162" w:type="dxa"/>
            <w:tcBorders>
              <w:top w:val="single" w:sz="4" w:space="0" w:color="auto"/>
              <w:left w:val="nil"/>
              <w:bottom w:val="single" w:sz="4" w:space="0" w:color="auto"/>
              <w:right w:val="nil"/>
            </w:tcBorders>
            <w:shd w:val="clear" w:color="auto" w:fill="auto"/>
            <w:vAlign w:val="center"/>
            <w:hideMark/>
          </w:tcPr>
          <w:p w:rsidR="00B2600F" w:rsidRPr="00B2600F" w:rsidRDefault="00B2600F" w:rsidP="00B2600F">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2600F">
              <w:rPr>
                <w:rFonts w:ascii="Calibri" w:eastAsia="Times New Roman" w:hAnsi="Calibri" w:cs="Times New Roman"/>
                <w:color w:val="000000"/>
                <w:sz w:val="20"/>
                <w:szCs w:val="20"/>
                <w:lang w:eastAsia="en-AU"/>
              </w:rPr>
              <w:t>Component expense</w:t>
            </w:r>
          </w:p>
        </w:tc>
        <w:tc>
          <w:tcPr>
            <w:tcW w:w="279" w:type="dxa"/>
            <w:tcBorders>
              <w:top w:val="single" w:sz="4" w:space="0" w:color="auto"/>
              <w:left w:val="nil"/>
              <w:bottom w:val="single" w:sz="4" w:space="0" w:color="auto"/>
              <w:right w:val="nil"/>
            </w:tcBorders>
            <w:shd w:val="clear" w:color="auto" w:fill="auto"/>
            <w:vAlign w:val="center"/>
            <w:hideMark/>
          </w:tcPr>
          <w:p w:rsidR="00B2600F" w:rsidRPr="00B2600F" w:rsidRDefault="00B2600F" w:rsidP="00B2600F">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2600F">
              <w:rPr>
                <w:rFonts w:ascii="Calibri" w:eastAsia="Times New Roman" w:hAnsi="Calibri" w:cs="Times New Roman"/>
                <w:color w:val="000000"/>
                <w:sz w:val="20"/>
                <w:szCs w:val="20"/>
                <w:lang w:eastAsia="en-AU"/>
              </w:rPr>
              <w:t> </w:t>
            </w:r>
          </w:p>
        </w:tc>
        <w:tc>
          <w:tcPr>
            <w:tcW w:w="1254" w:type="dxa"/>
            <w:tcBorders>
              <w:top w:val="single" w:sz="4" w:space="0" w:color="auto"/>
              <w:left w:val="nil"/>
              <w:bottom w:val="single" w:sz="4" w:space="0" w:color="auto"/>
              <w:right w:val="nil"/>
            </w:tcBorders>
            <w:shd w:val="clear" w:color="auto" w:fill="auto"/>
            <w:vAlign w:val="center"/>
            <w:hideMark/>
          </w:tcPr>
          <w:p w:rsidR="00B2600F" w:rsidRPr="00B2600F" w:rsidRDefault="00B2600F" w:rsidP="00B2600F">
            <w:pPr>
              <w:keepNext/>
              <w:keepLines/>
              <w:tabs>
                <w:tab w:val="clear" w:pos="567"/>
              </w:tabs>
              <w:spacing w:after="0" w:line="240" w:lineRule="auto"/>
              <w:rPr>
                <w:rFonts w:ascii="Calibri" w:eastAsia="Times New Roman" w:hAnsi="Calibri" w:cs="Times New Roman"/>
                <w:color w:val="000000"/>
                <w:sz w:val="20"/>
                <w:szCs w:val="20"/>
                <w:lang w:eastAsia="en-AU"/>
              </w:rPr>
            </w:pPr>
            <w:r w:rsidRPr="00B2600F">
              <w:rPr>
                <w:rFonts w:ascii="Calibri" w:eastAsia="Times New Roman" w:hAnsi="Calibri" w:cstheme="minorHAnsi"/>
                <w:color w:val="000000"/>
                <w:sz w:val="20"/>
                <w:szCs w:val="20"/>
                <w:lang w:eastAsia="en-AU"/>
              </w:rPr>
              <w:t>Disability</w:t>
            </w:r>
          </w:p>
        </w:tc>
        <w:tc>
          <w:tcPr>
            <w:tcW w:w="279" w:type="dxa"/>
            <w:tcBorders>
              <w:top w:val="single" w:sz="4" w:space="0" w:color="auto"/>
              <w:left w:val="nil"/>
              <w:bottom w:val="single" w:sz="4" w:space="0" w:color="auto"/>
              <w:right w:val="nil"/>
            </w:tcBorders>
            <w:shd w:val="clear" w:color="auto" w:fill="auto"/>
            <w:vAlign w:val="center"/>
            <w:hideMark/>
          </w:tcPr>
          <w:p w:rsidR="00B2600F" w:rsidRPr="00B2600F" w:rsidRDefault="00B2600F" w:rsidP="00B2600F">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2600F">
              <w:rPr>
                <w:rFonts w:ascii="Calibri" w:eastAsia="Times New Roman" w:hAnsi="Calibri" w:cs="Times New Roman"/>
                <w:color w:val="000000"/>
                <w:sz w:val="20"/>
                <w:szCs w:val="20"/>
                <w:lang w:eastAsia="en-AU"/>
              </w:rPr>
              <w:t> </w:t>
            </w:r>
          </w:p>
        </w:tc>
        <w:tc>
          <w:tcPr>
            <w:tcW w:w="4676" w:type="dxa"/>
            <w:tcBorders>
              <w:top w:val="single" w:sz="4" w:space="0" w:color="auto"/>
              <w:left w:val="nil"/>
              <w:bottom w:val="single" w:sz="4" w:space="0" w:color="auto"/>
              <w:right w:val="nil"/>
            </w:tcBorders>
            <w:shd w:val="clear" w:color="auto" w:fill="auto"/>
            <w:vAlign w:val="center"/>
            <w:hideMark/>
          </w:tcPr>
          <w:p w:rsidR="00B2600F" w:rsidRPr="00B2600F" w:rsidRDefault="00B2600F" w:rsidP="00B2600F">
            <w:pPr>
              <w:keepNext/>
              <w:keepLines/>
              <w:tabs>
                <w:tab w:val="clear" w:pos="567"/>
              </w:tabs>
              <w:spacing w:after="0" w:line="240" w:lineRule="auto"/>
              <w:rPr>
                <w:rFonts w:ascii="Calibri" w:eastAsia="Times New Roman" w:hAnsi="Calibri" w:cs="Times New Roman"/>
                <w:color w:val="000000"/>
                <w:sz w:val="20"/>
                <w:szCs w:val="20"/>
                <w:lang w:eastAsia="en-AU"/>
              </w:rPr>
            </w:pPr>
            <w:r w:rsidRPr="00B2600F">
              <w:rPr>
                <w:rFonts w:ascii="Calibri" w:eastAsia="Times New Roman" w:hAnsi="Calibri" w:cstheme="minorHAnsi"/>
                <w:color w:val="000000"/>
                <w:sz w:val="20"/>
                <w:szCs w:val="20"/>
                <w:lang w:eastAsia="en-AU"/>
              </w:rPr>
              <w:t>Influence measured by disability</w:t>
            </w:r>
          </w:p>
        </w:tc>
      </w:tr>
      <w:tr w:rsidR="00B2600F" w:rsidRPr="00B2600F" w:rsidTr="00B2600F">
        <w:trPr>
          <w:trHeight w:val="259"/>
        </w:trPr>
        <w:tc>
          <w:tcPr>
            <w:tcW w:w="1424" w:type="dxa"/>
            <w:tcBorders>
              <w:top w:val="nil"/>
              <w:left w:val="nil"/>
              <w:bottom w:val="nil"/>
              <w:right w:val="nil"/>
            </w:tcBorders>
            <w:shd w:val="clear" w:color="auto" w:fill="auto"/>
            <w:noWrap/>
            <w:vAlign w:val="bottom"/>
            <w:hideMark/>
          </w:tcPr>
          <w:p w:rsidR="00B2600F" w:rsidRPr="00B2600F" w:rsidRDefault="00B2600F" w:rsidP="00B2600F">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B2600F">
              <w:rPr>
                <w:rFonts w:ascii="Calibri" w:eastAsia="Times New Roman" w:hAnsi="Calibri" w:cstheme="minorHAnsi"/>
                <w:color w:val="000000"/>
                <w:sz w:val="20"/>
                <w:szCs w:val="20"/>
                <w:lang w:eastAsia="en-AU"/>
              </w:rPr>
              <w:t> </w:t>
            </w:r>
          </w:p>
        </w:tc>
        <w:tc>
          <w:tcPr>
            <w:tcW w:w="1162" w:type="dxa"/>
            <w:tcBorders>
              <w:top w:val="nil"/>
              <w:left w:val="nil"/>
              <w:bottom w:val="nil"/>
              <w:right w:val="nil"/>
            </w:tcBorders>
            <w:shd w:val="clear" w:color="auto" w:fill="auto"/>
            <w:noWrap/>
            <w:vAlign w:val="bottom"/>
            <w:hideMark/>
          </w:tcPr>
          <w:p w:rsidR="00B2600F" w:rsidRPr="00B2600F" w:rsidRDefault="00B2600F" w:rsidP="00B2600F">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2600F">
              <w:rPr>
                <w:rFonts w:ascii="Calibri" w:eastAsia="Times New Roman" w:hAnsi="Calibri" w:cstheme="minorHAnsi"/>
                <w:color w:val="000000"/>
                <w:sz w:val="20"/>
                <w:szCs w:val="20"/>
                <w:lang w:eastAsia="en-AU"/>
              </w:rPr>
              <w:t>$m</w:t>
            </w:r>
          </w:p>
        </w:tc>
        <w:tc>
          <w:tcPr>
            <w:tcW w:w="279" w:type="dxa"/>
            <w:tcBorders>
              <w:top w:val="nil"/>
              <w:left w:val="nil"/>
              <w:bottom w:val="nil"/>
              <w:right w:val="nil"/>
            </w:tcBorders>
            <w:shd w:val="clear" w:color="auto" w:fill="auto"/>
            <w:noWrap/>
            <w:vAlign w:val="bottom"/>
            <w:hideMark/>
          </w:tcPr>
          <w:p w:rsidR="00B2600F" w:rsidRPr="00B2600F" w:rsidRDefault="00B2600F" w:rsidP="00B2600F">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2600F">
              <w:rPr>
                <w:rFonts w:ascii="Calibri" w:eastAsia="Times New Roman" w:hAnsi="Calibri" w:cs="Times New Roman"/>
                <w:color w:val="000000"/>
                <w:sz w:val="20"/>
                <w:szCs w:val="20"/>
                <w:lang w:eastAsia="en-AU"/>
              </w:rPr>
              <w:t> </w:t>
            </w:r>
          </w:p>
        </w:tc>
        <w:tc>
          <w:tcPr>
            <w:tcW w:w="1254" w:type="dxa"/>
            <w:tcBorders>
              <w:top w:val="nil"/>
              <w:left w:val="nil"/>
              <w:bottom w:val="nil"/>
              <w:right w:val="nil"/>
            </w:tcBorders>
            <w:shd w:val="clear" w:color="auto" w:fill="auto"/>
            <w:noWrap/>
            <w:vAlign w:val="bottom"/>
            <w:hideMark/>
          </w:tcPr>
          <w:p w:rsidR="00B2600F" w:rsidRPr="00B2600F" w:rsidRDefault="00B2600F" w:rsidP="00B2600F">
            <w:pPr>
              <w:keepNext/>
              <w:keepLines/>
              <w:tabs>
                <w:tab w:val="clear" w:pos="567"/>
              </w:tabs>
              <w:spacing w:after="0" w:line="240" w:lineRule="auto"/>
              <w:rPr>
                <w:rFonts w:ascii="Calibri" w:eastAsia="Times New Roman" w:hAnsi="Calibri" w:cs="Times New Roman"/>
                <w:color w:val="000000"/>
                <w:sz w:val="20"/>
                <w:szCs w:val="20"/>
                <w:lang w:eastAsia="en-AU"/>
              </w:rPr>
            </w:pPr>
            <w:r w:rsidRPr="00B2600F">
              <w:rPr>
                <w:rFonts w:ascii="Calibri" w:eastAsia="Times New Roman" w:hAnsi="Calibri" w:cs="Times New Roman"/>
                <w:color w:val="000000"/>
                <w:sz w:val="20"/>
                <w:szCs w:val="20"/>
                <w:lang w:eastAsia="en-AU"/>
              </w:rPr>
              <w:t> </w:t>
            </w:r>
          </w:p>
        </w:tc>
        <w:tc>
          <w:tcPr>
            <w:tcW w:w="279" w:type="dxa"/>
            <w:tcBorders>
              <w:top w:val="nil"/>
              <w:left w:val="nil"/>
              <w:bottom w:val="nil"/>
              <w:right w:val="nil"/>
            </w:tcBorders>
            <w:shd w:val="clear" w:color="auto" w:fill="auto"/>
            <w:noWrap/>
            <w:vAlign w:val="bottom"/>
            <w:hideMark/>
          </w:tcPr>
          <w:p w:rsidR="00B2600F" w:rsidRPr="00B2600F" w:rsidRDefault="00B2600F" w:rsidP="00B2600F">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2600F">
              <w:rPr>
                <w:rFonts w:ascii="Calibri" w:eastAsia="Times New Roman" w:hAnsi="Calibri" w:cs="Times New Roman"/>
                <w:color w:val="000000"/>
                <w:sz w:val="20"/>
                <w:szCs w:val="20"/>
                <w:lang w:eastAsia="en-AU"/>
              </w:rPr>
              <w:t> </w:t>
            </w:r>
          </w:p>
        </w:tc>
        <w:tc>
          <w:tcPr>
            <w:tcW w:w="4676" w:type="dxa"/>
            <w:tcBorders>
              <w:top w:val="nil"/>
              <w:left w:val="nil"/>
              <w:bottom w:val="nil"/>
              <w:right w:val="nil"/>
            </w:tcBorders>
            <w:shd w:val="clear" w:color="auto" w:fill="auto"/>
            <w:noWrap/>
            <w:vAlign w:val="bottom"/>
            <w:hideMark/>
          </w:tcPr>
          <w:p w:rsidR="00B2600F" w:rsidRPr="00B2600F" w:rsidRDefault="00B2600F" w:rsidP="00B2600F">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2600F">
              <w:rPr>
                <w:rFonts w:ascii="Calibri" w:eastAsia="Times New Roman" w:hAnsi="Calibri" w:cstheme="minorHAnsi"/>
                <w:color w:val="000000"/>
                <w:sz w:val="20"/>
                <w:szCs w:val="20"/>
                <w:lang w:eastAsia="en-AU"/>
              </w:rPr>
              <w:t> </w:t>
            </w:r>
          </w:p>
        </w:tc>
      </w:tr>
      <w:tr w:rsidR="00B2600F" w:rsidRPr="00B2600F" w:rsidTr="00B2600F">
        <w:trPr>
          <w:trHeight w:val="795"/>
        </w:trPr>
        <w:tc>
          <w:tcPr>
            <w:tcW w:w="1424" w:type="dxa"/>
            <w:tcBorders>
              <w:top w:val="nil"/>
              <w:left w:val="nil"/>
              <w:bottom w:val="single" w:sz="4" w:space="0" w:color="auto"/>
              <w:right w:val="nil"/>
            </w:tcBorders>
            <w:shd w:val="clear" w:color="auto" w:fill="auto"/>
            <w:hideMark/>
          </w:tcPr>
          <w:p w:rsidR="00B2600F" w:rsidRPr="00B2600F" w:rsidRDefault="00B2600F" w:rsidP="00B2600F">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B2600F">
              <w:rPr>
                <w:rFonts w:ascii="Calibri" w:eastAsia="Times New Roman" w:hAnsi="Calibri" w:cstheme="minorHAnsi"/>
                <w:color w:val="000000"/>
                <w:sz w:val="20"/>
                <w:szCs w:val="20"/>
                <w:lang w:eastAsia="en-AU"/>
              </w:rPr>
              <w:t>Agriculture regulation</w:t>
            </w:r>
            <w:r w:rsidR="00E7024E">
              <w:rPr>
                <w:rFonts w:ascii="Calibri" w:eastAsia="Times New Roman" w:hAnsi="Calibri" w:cstheme="minorHAnsi"/>
                <w:color w:val="000000"/>
                <w:sz w:val="20"/>
                <w:szCs w:val="20"/>
                <w:lang w:eastAsia="en-AU"/>
              </w:rPr>
              <w:t xml:space="preserve"> and support</w:t>
            </w:r>
          </w:p>
        </w:tc>
        <w:tc>
          <w:tcPr>
            <w:tcW w:w="1162" w:type="dxa"/>
            <w:tcBorders>
              <w:top w:val="nil"/>
              <w:left w:val="nil"/>
              <w:bottom w:val="single" w:sz="4" w:space="0" w:color="auto"/>
              <w:right w:val="nil"/>
            </w:tcBorders>
            <w:shd w:val="clear" w:color="auto" w:fill="auto"/>
            <w:hideMark/>
          </w:tcPr>
          <w:p w:rsidR="00B2600F" w:rsidRPr="00B2600F" w:rsidRDefault="00BD4ACF" w:rsidP="00B2600F">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heme="minorHAnsi"/>
                <w:color w:val="000000"/>
                <w:sz w:val="20"/>
                <w:szCs w:val="20"/>
                <w:lang w:eastAsia="en-AU"/>
              </w:rPr>
              <w:t>405</w:t>
            </w:r>
          </w:p>
        </w:tc>
        <w:tc>
          <w:tcPr>
            <w:tcW w:w="279" w:type="dxa"/>
            <w:tcBorders>
              <w:top w:val="nil"/>
              <w:left w:val="nil"/>
              <w:bottom w:val="single" w:sz="4" w:space="0" w:color="auto"/>
              <w:right w:val="nil"/>
            </w:tcBorders>
            <w:shd w:val="clear" w:color="auto" w:fill="auto"/>
            <w:vAlign w:val="bottom"/>
            <w:hideMark/>
          </w:tcPr>
          <w:p w:rsidR="00B2600F" w:rsidRPr="00B2600F" w:rsidRDefault="00B2600F" w:rsidP="00B2600F">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2600F">
              <w:rPr>
                <w:rFonts w:ascii="Calibri" w:eastAsia="Times New Roman" w:hAnsi="Calibri" w:cs="Times New Roman"/>
                <w:color w:val="000000"/>
                <w:sz w:val="20"/>
                <w:szCs w:val="20"/>
                <w:lang w:eastAsia="en-AU"/>
              </w:rPr>
              <w:t> </w:t>
            </w:r>
          </w:p>
        </w:tc>
        <w:tc>
          <w:tcPr>
            <w:tcW w:w="1254" w:type="dxa"/>
            <w:tcBorders>
              <w:top w:val="nil"/>
              <w:left w:val="nil"/>
              <w:bottom w:val="single" w:sz="4" w:space="0" w:color="auto"/>
              <w:right w:val="nil"/>
            </w:tcBorders>
            <w:shd w:val="clear" w:color="auto" w:fill="auto"/>
            <w:hideMark/>
          </w:tcPr>
          <w:p w:rsidR="00B2600F" w:rsidRPr="00B2600F" w:rsidRDefault="00B2600F" w:rsidP="00B2600F">
            <w:pPr>
              <w:keepNext/>
              <w:keepLines/>
              <w:tabs>
                <w:tab w:val="clear" w:pos="567"/>
              </w:tabs>
              <w:spacing w:after="0" w:line="240" w:lineRule="auto"/>
              <w:rPr>
                <w:rFonts w:ascii="Calibri" w:eastAsia="Times New Roman" w:hAnsi="Calibri" w:cs="Times New Roman"/>
                <w:color w:val="000000"/>
                <w:sz w:val="20"/>
                <w:szCs w:val="20"/>
                <w:lang w:eastAsia="en-AU"/>
              </w:rPr>
            </w:pPr>
            <w:r w:rsidRPr="00B2600F">
              <w:rPr>
                <w:rFonts w:ascii="Calibri" w:eastAsia="Times New Roman" w:hAnsi="Calibri" w:cstheme="minorHAnsi"/>
                <w:color w:val="000000"/>
                <w:sz w:val="20"/>
                <w:szCs w:val="20"/>
                <w:lang w:eastAsia="en-AU"/>
              </w:rPr>
              <w:t>Economic environment</w:t>
            </w:r>
          </w:p>
        </w:tc>
        <w:tc>
          <w:tcPr>
            <w:tcW w:w="279" w:type="dxa"/>
            <w:tcBorders>
              <w:top w:val="nil"/>
              <w:left w:val="nil"/>
              <w:bottom w:val="single" w:sz="4" w:space="0" w:color="auto"/>
              <w:right w:val="nil"/>
            </w:tcBorders>
            <w:shd w:val="clear" w:color="auto" w:fill="auto"/>
            <w:vAlign w:val="bottom"/>
            <w:hideMark/>
          </w:tcPr>
          <w:p w:rsidR="00B2600F" w:rsidRPr="00B2600F" w:rsidRDefault="00B2600F" w:rsidP="00B2600F">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2600F">
              <w:rPr>
                <w:rFonts w:ascii="Calibri" w:eastAsia="Times New Roman" w:hAnsi="Calibri" w:cs="Times New Roman"/>
                <w:color w:val="000000"/>
                <w:sz w:val="20"/>
                <w:szCs w:val="20"/>
                <w:lang w:eastAsia="en-AU"/>
              </w:rPr>
              <w:t> </w:t>
            </w:r>
          </w:p>
        </w:tc>
        <w:tc>
          <w:tcPr>
            <w:tcW w:w="4676" w:type="dxa"/>
            <w:tcBorders>
              <w:top w:val="nil"/>
              <w:left w:val="nil"/>
              <w:bottom w:val="single" w:sz="4" w:space="0" w:color="auto"/>
              <w:right w:val="nil"/>
            </w:tcBorders>
            <w:shd w:val="clear" w:color="auto" w:fill="auto"/>
            <w:hideMark/>
          </w:tcPr>
          <w:p w:rsidR="00B2600F" w:rsidRPr="00B2600F" w:rsidRDefault="00B2600F" w:rsidP="00023122">
            <w:pPr>
              <w:keepNext/>
              <w:keepLines/>
              <w:tabs>
                <w:tab w:val="clear" w:pos="567"/>
              </w:tabs>
              <w:spacing w:after="0" w:line="240" w:lineRule="auto"/>
              <w:rPr>
                <w:rFonts w:ascii="Calibri" w:eastAsia="Times New Roman" w:hAnsi="Calibri" w:cs="Times New Roman"/>
                <w:color w:val="000000"/>
                <w:sz w:val="20"/>
                <w:szCs w:val="20"/>
                <w:lang w:eastAsia="en-AU"/>
              </w:rPr>
            </w:pPr>
            <w:r w:rsidRPr="00B2600F">
              <w:rPr>
                <w:rFonts w:ascii="Calibri" w:eastAsia="Times New Roman" w:hAnsi="Calibri" w:cstheme="minorHAnsi"/>
                <w:color w:val="000000"/>
                <w:sz w:val="20"/>
                <w:szCs w:val="20"/>
                <w:lang w:eastAsia="en-AU"/>
              </w:rPr>
              <w:t>Recognises the additional cost of providing regulatory services to the agricultural sector is determined</w:t>
            </w:r>
            <w:r w:rsidR="005153C2">
              <w:rPr>
                <w:rFonts w:ascii="Calibri" w:eastAsia="Times New Roman" w:hAnsi="Calibri" w:cstheme="minorHAnsi"/>
                <w:color w:val="000000"/>
                <w:sz w:val="20"/>
                <w:szCs w:val="20"/>
                <w:lang w:eastAsia="en-AU"/>
              </w:rPr>
              <w:t xml:space="preserve"> by the number of businesses</w:t>
            </w:r>
            <w:r w:rsidRPr="00B2600F">
              <w:rPr>
                <w:rFonts w:ascii="Calibri" w:eastAsia="Times New Roman" w:hAnsi="Calibri" w:cstheme="minorHAnsi"/>
                <w:color w:val="000000"/>
                <w:sz w:val="20"/>
                <w:szCs w:val="20"/>
                <w:lang w:eastAsia="en-AU"/>
              </w:rPr>
              <w:t xml:space="preserve"> </w:t>
            </w:r>
            <w:r w:rsidR="00023122">
              <w:rPr>
                <w:rFonts w:ascii="Calibri" w:eastAsia="Times New Roman" w:hAnsi="Calibri" w:cstheme="minorHAnsi"/>
                <w:color w:val="000000"/>
                <w:sz w:val="20"/>
                <w:szCs w:val="20"/>
                <w:lang w:eastAsia="en-AU"/>
              </w:rPr>
              <w:t xml:space="preserve">and the </w:t>
            </w:r>
            <w:r w:rsidRPr="00B2600F">
              <w:rPr>
                <w:rFonts w:ascii="Calibri" w:eastAsia="Times New Roman" w:hAnsi="Calibri" w:cstheme="minorHAnsi"/>
                <w:color w:val="000000"/>
                <w:sz w:val="20"/>
                <w:szCs w:val="20"/>
                <w:lang w:eastAsia="en-AU"/>
              </w:rPr>
              <w:t>size of the sector.</w:t>
            </w:r>
          </w:p>
        </w:tc>
      </w:tr>
      <w:tr w:rsidR="00B2600F" w:rsidRPr="00B2600F" w:rsidTr="00B2600F">
        <w:trPr>
          <w:trHeight w:val="1035"/>
        </w:trPr>
        <w:tc>
          <w:tcPr>
            <w:tcW w:w="1424" w:type="dxa"/>
            <w:tcBorders>
              <w:top w:val="nil"/>
              <w:left w:val="nil"/>
              <w:bottom w:val="single" w:sz="4" w:space="0" w:color="auto"/>
              <w:right w:val="nil"/>
            </w:tcBorders>
            <w:shd w:val="clear" w:color="auto" w:fill="auto"/>
            <w:hideMark/>
          </w:tcPr>
          <w:p w:rsidR="00B2600F" w:rsidRPr="00B2600F" w:rsidRDefault="00B2600F" w:rsidP="00B2600F">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B2600F">
              <w:rPr>
                <w:rFonts w:ascii="Calibri" w:eastAsia="Times New Roman" w:hAnsi="Calibri" w:cstheme="minorHAnsi"/>
                <w:color w:val="000000"/>
                <w:sz w:val="20"/>
                <w:szCs w:val="20"/>
                <w:lang w:eastAsia="en-AU"/>
              </w:rPr>
              <w:t>Other industries regulation</w:t>
            </w:r>
            <w:r w:rsidR="00E7024E">
              <w:rPr>
                <w:rFonts w:ascii="Calibri" w:eastAsia="Times New Roman" w:hAnsi="Calibri" w:cstheme="minorHAnsi"/>
                <w:color w:val="000000"/>
                <w:sz w:val="20"/>
                <w:szCs w:val="20"/>
                <w:lang w:eastAsia="en-AU"/>
              </w:rPr>
              <w:t xml:space="preserve"> and support</w:t>
            </w:r>
          </w:p>
        </w:tc>
        <w:tc>
          <w:tcPr>
            <w:tcW w:w="1162" w:type="dxa"/>
            <w:tcBorders>
              <w:top w:val="nil"/>
              <w:left w:val="nil"/>
              <w:bottom w:val="single" w:sz="4" w:space="0" w:color="auto"/>
              <w:right w:val="nil"/>
            </w:tcBorders>
            <w:shd w:val="clear" w:color="auto" w:fill="auto"/>
            <w:hideMark/>
          </w:tcPr>
          <w:p w:rsidR="00B2600F" w:rsidRPr="00B2600F" w:rsidRDefault="00EB0C53" w:rsidP="00874F1B">
            <w:pPr>
              <w:keepNext/>
              <w:keepLines/>
              <w:tabs>
                <w:tab w:val="clear" w:pos="567"/>
                <w:tab w:val="center" w:pos="581"/>
                <w:tab w:val="right" w:pos="1162"/>
              </w:tabs>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heme="minorHAnsi"/>
                <w:color w:val="000000"/>
                <w:sz w:val="20"/>
                <w:szCs w:val="20"/>
                <w:lang w:eastAsia="en-AU"/>
              </w:rPr>
              <w:t>512</w:t>
            </w:r>
          </w:p>
        </w:tc>
        <w:tc>
          <w:tcPr>
            <w:tcW w:w="279" w:type="dxa"/>
            <w:tcBorders>
              <w:top w:val="nil"/>
              <w:left w:val="nil"/>
              <w:bottom w:val="single" w:sz="4" w:space="0" w:color="auto"/>
              <w:right w:val="nil"/>
            </w:tcBorders>
            <w:shd w:val="clear" w:color="auto" w:fill="auto"/>
            <w:vAlign w:val="bottom"/>
            <w:hideMark/>
          </w:tcPr>
          <w:p w:rsidR="00B2600F" w:rsidRPr="00B2600F" w:rsidRDefault="00B2600F" w:rsidP="00B2600F">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2600F">
              <w:rPr>
                <w:rFonts w:ascii="Calibri" w:eastAsia="Times New Roman" w:hAnsi="Calibri" w:cs="Times New Roman"/>
                <w:color w:val="000000"/>
                <w:sz w:val="20"/>
                <w:szCs w:val="20"/>
                <w:lang w:eastAsia="en-AU"/>
              </w:rPr>
              <w:t> </w:t>
            </w:r>
          </w:p>
        </w:tc>
        <w:tc>
          <w:tcPr>
            <w:tcW w:w="1254" w:type="dxa"/>
            <w:tcBorders>
              <w:top w:val="nil"/>
              <w:left w:val="nil"/>
              <w:bottom w:val="single" w:sz="4" w:space="0" w:color="auto"/>
              <w:right w:val="nil"/>
            </w:tcBorders>
            <w:shd w:val="clear" w:color="auto" w:fill="auto"/>
            <w:hideMark/>
          </w:tcPr>
          <w:p w:rsidR="00B2600F" w:rsidRPr="00B2600F" w:rsidRDefault="00B2600F" w:rsidP="00B2600F">
            <w:pPr>
              <w:keepNext/>
              <w:keepLines/>
              <w:tabs>
                <w:tab w:val="clear" w:pos="567"/>
              </w:tabs>
              <w:spacing w:after="0" w:line="240" w:lineRule="auto"/>
              <w:rPr>
                <w:rFonts w:ascii="Calibri" w:eastAsia="Times New Roman" w:hAnsi="Calibri" w:cs="Times New Roman"/>
                <w:color w:val="000000"/>
                <w:sz w:val="20"/>
                <w:szCs w:val="20"/>
                <w:lang w:eastAsia="en-AU"/>
              </w:rPr>
            </w:pPr>
            <w:r w:rsidRPr="00B2600F">
              <w:rPr>
                <w:rFonts w:ascii="Calibri" w:eastAsia="Times New Roman" w:hAnsi="Calibri" w:cstheme="minorHAnsi"/>
                <w:color w:val="000000"/>
                <w:sz w:val="20"/>
                <w:szCs w:val="20"/>
                <w:lang w:eastAsia="en-AU"/>
              </w:rPr>
              <w:t>Economic environment</w:t>
            </w:r>
          </w:p>
        </w:tc>
        <w:tc>
          <w:tcPr>
            <w:tcW w:w="279" w:type="dxa"/>
            <w:tcBorders>
              <w:top w:val="nil"/>
              <w:left w:val="nil"/>
              <w:bottom w:val="single" w:sz="4" w:space="0" w:color="auto"/>
              <w:right w:val="nil"/>
            </w:tcBorders>
            <w:shd w:val="clear" w:color="auto" w:fill="auto"/>
            <w:vAlign w:val="bottom"/>
            <w:hideMark/>
          </w:tcPr>
          <w:p w:rsidR="00B2600F" w:rsidRPr="00B2600F" w:rsidRDefault="00B2600F" w:rsidP="00B2600F">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2600F">
              <w:rPr>
                <w:rFonts w:ascii="Calibri" w:eastAsia="Times New Roman" w:hAnsi="Calibri" w:cs="Times New Roman"/>
                <w:color w:val="000000"/>
                <w:sz w:val="20"/>
                <w:szCs w:val="20"/>
                <w:lang w:eastAsia="en-AU"/>
              </w:rPr>
              <w:t> </w:t>
            </w:r>
          </w:p>
        </w:tc>
        <w:tc>
          <w:tcPr>
            <w:tcW w:w="4676" w:type="dxa"/>
            <w:tcBorders>
              <w:top w:val="nil"/>
              <w:left w:val="nil"/>
              <w:bottom w:val="single" w:sz="4" w:space="0" w:color="auto"/>
              <w:right w:val="nil"/>
            </w:tcBorders>
            <w:shd w:val="clear" w:color="auto" w:fill="auto"/>
            <w:hideMark/>
          </w:tcPr>
          <w:p w:rsidR="00B2600F" w:rsidRPr="00B2600F" w:rsidRDefault="00B2600F" w:rsidP="005153C2">
            <w:pPr>
              <w:keepNext/>
              <w:keepLines/>
              <w:tabs>
                <w:tab w:val="clear" w:pos="567"/>
              </w:tabs>
              <w:spacing w:after="0" w:line="240" w:lineRule="auto"/>
              <w:rPr>
                <w:rFonts w:ascii="Calibri" w:eastAsia="Times New Roman" w:hAnsi="Calibri" w:cs="Times New Roman"/>
                <w:color w:val="000000"/>
                <w:sz w:val="20"/>
                <w:szCs w:val="20"/>
                <w:lang w:eastAsia="en-AU"/>
              </w:rPr>
            </w:pPr>
            <w:r w:rsidRPr="00B2600F">
              <w:rPr>
                <w:rFonts w:ascii="Calibri" w:eastAsia="Times New Roman" w:hAnsi="Calibri" w:cs="Times New Roman"/>
                <w:color w:val="000000"/>
                <w:sz w:val="20"/>
                <w:szCs w:val="20"/>
                <w:lang w:eastAsia="en-AU"/>
              </w:rPr>
              <w:t xml:space="preserve">Recognises the additional costs of providing regulatory services to other industries </w:t>
            </w:r>
            <w:r w:rsidR="00874F1B">
              <w:rPr>
                <w:rFonts w:ascii="Calibri" w:eastAsia="Times New Roman" w:hAnsi="Calibri" w:cs="Times New Roman"/>
                <w:color w:val="000000"/>
                <w:sz w:val="20"/>
                <w:szCs w:val="20"/>
                <w:lang w:eastAsia="en-AU"/>
              </w:rPr>
              <w:t xml:space="preserve">and the community </w:t>
            </w:r>
            <w:r w:rsidRPr="00B2600F">
              <w:rPr>
                <w:rFonts w:ascii="Calibri" w:eastAsia="Times New Roman" w:hAnsi="Calibri" w:cs="Times New Roman"/>
                <w:color w:val="000000"/>
                <w:sz w:val="20"/>
                <w:szCs w:val="20"/>
                <w:lang w:eastAsia="en-AU"/>
              </w:rPr>
              <w:t>are determined by the level of activity in the non-farm sector, level of private non</w:t>
            </w:r>
            <w:r w:rsidR="005153C2">
              <w:rPr>
                <w:rFonts w:ascii="Calibri" w:eastAsia="Times New Roman" w:hAnsi="Calibri" w:cs="Times New Roman"/>
                <w:color w:val="000000"/>
                <w:sz w:val="20"/>
                <w:szCs w:val="20"/>
                <w:lang w:eastAsia="en-AU"/>
              </w:rPr>
              <w:noBreakHyphen/>
            </w:r>
            <w:r w:rsidRPr="00B2600F">
              <w:rPr>
                <w:rFonts w:ascii="Calibri" w:eastAsia="Times New Roman" w:hAnsi="Calibri" w:cs="Times New Roman"/>
                <w:color w:val="000000"/>
                <w:sz w:val="20"/>
                <w:szCs w:val="20"/>
                <w:lang w:eastAsia="en-AU"/>
              </w:rPr>
              <w:t>dwelling construction and population.</w:t>
            </w:r>
          </w:p>
        </w:tc>
      </w:tr>
      <w:tr w:rsidR="00B2600F" w:rsidRPr="00B2600F" w:rsidTr="00B2600F">
        <w:trPr>
          <w:trHeight w:val="510"/>
        </w:trPr>
        <w:tc>
          <w:tcPr>
            <w:tcW w:w="1424" w:type="dxa"/>
            <w:tcBorders>
              <w:top w:val="nil"/>
              <w:left w:val="nil"/>
              <w:bottom w:val="single" w:sz="4" w:space="0" w:color="auto"/>
              <w:right w:val="nil"/>
            </w:tcBorders>
            <w:shd w:val="clear" w:color="auto" w:fill="auto"/>
            <w:hideMark/>
          </w:tcPr>
          <w:p w:rsidR="00B2600F" w:rsidRPr="00B2600F" w:rsidRDefault="00B2600F" w:rsidP="00B2600F">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B2600F">
              <w:rPr>
                <w:rFonts w:ascii="Calibri" w:eastAsia="Times New Roman" w:hAnsi="Calibri" w:cstheme="minorHAnsi"/>
                <w:color w:val="000000"/>
                <w:sz w:val="20"/>
                <w:szCs w:val="20"/>
                <w:lang w:eastAsia="en-AU"/>
              </w:rPr>
              <w:t>Business development</w:t>
            </w:r>
          </w:p>
        </w:tc>
        <w:tc>
          <w:tcPr>
            <w:tcW w:w="1162" w:type="dxa"/>
            <w:tcBorders>
              <w:top w:val="nil"/>
              <w:left w:val="nil"/>
              <w:bottom w:val="single" w:sz="4" w:space="0" w:color="auto"/>
              <w:right w:val="nil"/>
            </w:tcBorders>
            <w:shd w:val="clear" w:color="auto" w:fill="auto"/>
            <w:hideMark/>
          </w:tcPr>
          <w:p w:rsidR="00B2600F" w:rsidRPr="00B2600F" w:rsidRDefault="00B2600F" w:rsidP="00B2600F">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2600F">
              <w:rPr>
                <w:rFonts w:ascii="Calibri" w:eastAsia="Times New Roman" w:hAnsi="Calibri" w:cstheme="minorHAnsi"/>
                <w:color w:val="000000"/>
                <w:sz w:val="20"/>
                <w:szCs w:val="20"/>
                <w:lang w:eastAsia="en-AU"/>
              </w:rPr>
              <w:t>3 721</w:t>
            </w:r>
          </w:p>
        </w:tc>
        <w:tc>
          <w:tcPr>
            <w:tcW w:w="279" w:type="dxa"/>
            <w:tcBorders>
              <w:top w:val="nil"/>
              <w:left w:val="nil"/>
              <w:bottom w:val="single" w:sz="4" w:space="0" w:color="auto"/>
              <w:right w:val="nil"/>
            </w:tcBorders>
            <w:shd w:val="clear" w:color="auto" w:fill="auto"/>
            <w:vAlign w:val="bottom"/>
            <w:hideMark/>
          </w:tcPr>
          <w:p w:rsidR="00B2600F" w:rsidRPr="00B2600F" w:rsidRDefault="00B2600F" w:rsidP="00B2600F">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2600F">
              <w:rPr>
                <w:rFonts w:ascii="Calibri" w:eastAsia="Times New Roman" w:hAnsi="Calibri" w:cs="Times New Roman"/>
                <w:color w:val="000000"/>
                <w:sz w:val="20"/>
                <w:szCs w:val="20"/>
                <w:lang w:eastAsia="en-AU"/>
              </w:rPr>
              <w:t> </w:t>
            </w:r>
          </w:p>
        </w:tc>
        <w:tc>
          <w:tcPr>
            <w:tcW w:w="1254" w:type="dxa"/>
            <w:tcBorders>
              <w:top w:val="nil"/>
              <w:left w:val="nil"/>
              <w:bottom w:val="single" w:sz="4" w:space="0" w:color="auto"/>
              <w:right w:val="nil"/>
            </w:tcBorders>
            <w:shd w:val="clear" w:color="auto" w:fill="auto"/>
            <w:hideMark/>
          </w:tcPr>
          <w:p w:rsidR="00B2600F" w:rsidRPr="00B2600F" w:rsidRDefault="00B2600F" w:rsidP="00B2600F">
            <w:pPr>
              <w:keepNext/>
              <w:keepLines/>
              <w:tabs>
                <w:tab w:val="clear" w:pos="567"/>
              </w:tabs>
              <w:spacing w:after="0" w:line="240" w:lineRule="auto"/>
              <w:rPr>
                <w:rFonts w:ascii="Calibri" w:eastAsia="Times New Roman" w:hAnsi="Calibri" w:cs="Times New Roman"/>
                <w:color w:val="000000"/>
                <w:sz w:val="20"/>
                <w:szCs w:val="20"/>
                <w:lang w:eastAsia="en-AU"/>
              </w:rPr>
            </w:pPr>
            <w:r w:rsidRPr="00B2600F">
              <w:rPr>
                <w:rFonts w:ascii="Calibri" w:eastAsia="Times New Roman" w:hAnsi="Calibri" w:cstheme="minorHAnsi"/>
                <w:color w:val="000000"/>
                <w:sz w:val="20"/>
                <w:szCs w:val="20"/>
                <w:lang w:eastAsia="en-AU"/>
              </w:rPr>
              <w:t>EPC</w:t>
            </w:r>
          </w:p>
        </w:tc>
        <w:tc>
          <w:tcPr>
            <w:tcW w:w="279" w:type="dxa"/>
            <w:tcBorders>
              <w:top w:val="nil"/>
              <w:left w:val="nil"/>
              <w:bottom w:val="single" w:sz="4" w:space="0" w:color="auto"/>
              <w:right w:val="nil"/>
            </w:tcBorders>
            <w:shd w:val="clear" w:color="auto" w:fill="auto"/>
            <w:vAlign w:val="bottom"/>
            <w:hideMark/>
          </w:tcPr>
          <w:p w:rsidR="00B2600F" w:rsidRPr="00B2600F" w:rsidRDefault="00B2600F" w:rsidP="00B2600F">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B2600F">
              <w:rPr>
                <w:rFonts w:ascii="Calibri" w:eastAsia="Times New Roman" w:hAnsi="Calibri" w:cs="Times New Roman"/>
                <w:color w:val="000000"/>
                <w:sz w:val="20"/>
                <w:szCs w:val="20"/>
                <w:lang w:eastAsia="en-AU"/>
              </w:rPr>
              <w:t> </w:t>
            </w:r>
          </w:p>
        </w:tc>
        <w:tc>
          <w:tcPr>
            <w:tcW w:w="4676" w:type="dxa"/>
            <w:tcBorders>
              <w:top w:val="nil"/>
              <w:left w:val="nil"/>
              <w:bottom w:val="single" w:sz="4" w:space="0" w:color="auto"/>
              <w:right w:val="nil"/>
            </w:tcBorders>
            <w:shd w:val="clear" w:color="auto" w:fill="auto"/>
            <w:hideMark/>
          </w:tcPr>
          <w:p w:rsidR="00B2600F" w:rsidRPr="00B2600F" w:rsidRDefault="00B2600F" w:rsidP="00B2600F">
            <w:pPr>
              <w:keepNext/>
              <w:keepLines/>
              <w:tabs>
                <w:tab w:val="clear" w:pos="567"/>
              </w:tabs>
              <w:spacing w:after="0" w:line="240" w:lineRule="auto"/>
              <w:rPr>
                <w:rFonts w:ascii="Calibri" w:eastAsia="Times New Roman" w:hAnsi="Calibri" w:cs="Times New Roman"/>
                <w:color w:val="000000"/>
                <w:sz w:val="20"/>
                <w:szCs w:val="20"/>
                <w:lang w:eastAsia="en-AU"/>
              </w:rPr>
            </w:pPr>
            <w:r w:rsidRPr="00B2600F">
              <w:rPr>
                <w:rFonts w:ascii="Calibri" w:eastAsia="Times New Roman" w:hAnsi="Calibri" w:cs="Times New Roman"/>
                <w:color w:val="000000"/>
                <w:sz w:val="20"/>
                <w:szCs w:val="20"/>
                <w:lang w:eastAsia="en-AU"/>
              </w:rPr>
              <w:t>Business development expenses for all industries are assessed on an equal per capita (EPC) basis.</w:t>
            </w:r>
          </w:p>
        </w:tc>
      </w:tr>
    </w:tbl>
    <w:p w:rsidR="00EB0C53" w:rsidRDefault="00EB0C53" w:rsidP="00A23C56">
      <w:pPr>
        <w:pStyle w:val="CGCTableFootnote"/>
      </w:pPr>
      <w:r>
        <w:t>Note</w:t>
      </w:r>
      <w:r w:rsidR="00731BA5">
        <w:t>s</w:t>
      </w:r>
      <w:r>
        <w:t>:</w:t>
      </w:r>
      <w:r>
        <w:tab/>
      </w:r>
      <w:r w:rsidR="001639A7">
        <w:t>Regulation c</w:t>
      </w:r>
      <w:r>
        <w:t>omponent expenses are shown net of user charges.</w:t>
      </w:r>
    </w:p>
    <w:p w:rsidR="00731BA5" w:rsidRPr="00731BA5" w:rsidRDefault="00731BA5" w:rsidP="00731BA5">
      <w:pPr>
        <w:pStyle w:val="CGCTableFootnote"/>
      </w:pPr>
      <w:r>
        <w:tab/>
        <w:t>Wage costs are applied to all components and regional costs are applied to the regulation components.</w:t>
      </w:r>
    </w:p>
    <w:p w:rsidR="00184C33" w:rsidRDefault="00023122" w:rsidP="00E117A4">
      <w:pPr>
        <w:pStyle w:val="CGCTableFootnote"/>
        <w:rPr>
          <w:rFonts w:eastAsiaTheme="majorEastAsia" w:cstheme="majorBidi"/>
          <w:b/>
          <w:i/>
          <w:color w:val="2C8558"/>
          <w:sz w:val="28"/>
        </w:rPr>
      </w:pPr>
      <w:r>
        <w:t>Source:</w:t>
      </w:r>
      <w:r>
        <w:tab/>
      </w:r>
      <w:r w:rsidR="00E7024E">
        <w:t>Staff Proposal</w:t>
      </w:r>
      <w:r>
        <w:t>.</w:t>
      </w:r>
    </w:p>
    <w:p w:rsidR="00E07621" w:rsidRDefault="00E07621" w:rsidP="00E07621">
      <w:pPr>
        <w:pStyle w:val="Heading5"/>
      </w:pPr>
      <w:r>
        <w:t xml:space="preserve">Data </w:t>
      </w:r>
      <w:r w:rsidR="00827DBF">
        <w:t>and</w:t>
      </w:r>
      <w:r>
        <w:t xml:space="preserve"> information sought from States</w:t>
      </w:r>
    </w:p>
    <w:bookmarkEnd w:id="6"/>
    <w:bookmarkEnd w:id="7"/>
    <w:bookmarkEnd w:id="8"/>
    <w:bookmarkEnd w:id="9"/>
    <w:bookmarkEnd w:id="10"/>
    <w:bookmarkEnd w:id="11"/>
    <w:bookmarkEnd w:id="12"/>
    <w:bookmarkEnd w:id="13"/>
    <w:p w:rsidR="00E07621" w:rsidRDefault="00C935A5" w:rsidP="00E45D85">
      <w:pPr>
        <w:pStyle w:val="CGCNumberedPara"/>
      </w:pPr>
      <w:r>
        <w:fldChar w:fldCharType="begin"/>
      </w:r>
      <w:r>
        <w:instrText xml:space="preserve"> REF _Ref508094333 \h </w:instrText>
      </w:r>
      <w:r>
        <w:fldChar w:fldCharType="separate"/>
      </w:r>
      <w:r w:rsidR="00F3280B">
        <w:t xml:space="preserve">Table </w:t>
      </w:r>
      <w:r w:rsidR="00F3280B">
        <w:rPr>
          <w:noProof/>
        </w:rPr>
        <w:t>6</w:t>
      </w:r>
      <w:r>
        <w:fldChar w:fldCharType="end"/>
      </w:r>
      <w:r>
        <w:t xml:space="preserve"> </w:t>
      </w:r>
      <w:r w:rsidR="00E45D85" w:rsidRPr="00424151">
        <w:t>shows the data and other information being sought from States to assist with the development of this assessment</w:t>
      </w:r>
      <w:r w:rsidR="00E45D85">
        <w:t>.</w:t>
      </w:r>
    </w:p>
    <w:p w:rsidR="00E45D85" w:rsidRDefault="00C935A5" w:rsidP="00C935A5">
      <w:pPr>
        <w:pStyle w:val="Caption"/>
      </w:pPr>
      <w:bookmarkStart w:id="64" w:name="_Ref508094333"/>
      <w:r>
        <w:t xml:space="preserve">Table </w:t>
      </w:r>
      <w:fldSimple w:instr=" SEQ Table \* ARABIC ">
        <w:r w:rsidR="00F3280B">
          <w:rPr>
            <w:noProof/>
          </w:rPr>
          <w:t>6</w:t>
        </w:r>
      </w:fldSimple>
      <w:bookmarkEnd w:id="64"/>
      <w:r w:rsidR="00E45D85">
        <w:tab/>
        <w:t>Data and information sought from States</w:t>
      </w:r>
    </w:p>
    <w:tbl>
      <w:tblPr>
        <w:tblW w:w="8980" w:type="dxa"/>
        <w:tblLayout w:type="fixed"/>
        <w:tblCellMar>
          <w:left w:w="0" w:type="dxa"/>
          <w:right w:w="0" w:type="dxa"/>
        </w:tblCellMar>
        <w:tblLook w:val="04A0" w:firstRow="1" w:lastRow="0" w:firstColumn="1" w:lastColumn="0" w:noHBand="0" w:noVBand="1"/>
      </w:tblPr>
      <w:tblGrid>
        <w:gridCol w:w="2222"/>
        <w:gridCol w:w="3185"/>
        <w:gridCol w:w="3573"/>
      </w:tblGrid>
      <w:tr w:rsidR="00693E5C" w:rsidRPr="00502956" w:rsidTr="00A15CD8">
        <w:trPr>
          <w:trHeight w:val="375"/>
        </w:trPr>
        <w:tc>
          <w:tcPr>
            <w:tcW w:w="2222" w:type="dxa"/>
            <w:tcBorders>
              <w:top w:val="single" w:sz="4" w:space="0" w:color="auto"/>
              <w:left w:val="nil"/>
              <w:bottom w:val="single" w:sz="4" w:space="0" w:color="auto"/>
              <w:right w:val="nil"/>
            </w:tcBorders>
            <w:shd w:val="clear" w:color="auto" w:fill="auto"/>
            <w:vAlign w:val="center"/>
            <w:hideMark/>
          </w:tcPr>
          <w:p w:rsidR="00693E5C" w:rsidRPr="00502956" w:rsidRDefault="00693E5C" w:rsidP="00425669">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bookmarkStart w:id="65" w:name="RANGE!A1:C5"/>
            <w:r w:rsidRPr="00502956">
              <w:rPr>
                <w:rFonts w:ascii="Calibri" w:eastAsia="Times New Roman" w:hAnsi="Calibri" w:cs="Times New Roman"/>
                <w:color w:val="000000"/>
                <w:sz w:val="20"/>
                <w:szCs w:val="20"/>
                <w:lang w:eastAsia="en-AU"/>
              </w:rPr>
              <w:t>Component</w:t>
            </w:r>
            <w:bookmarkEnd w:id="65"/>
          </w:p>
        </w:tc>
        <w:tc>
          <w:tcPr>
            <w:tcW w:w="3185" w:type="dxa"/>
            <w:tcBorders>
              <w:top w:val="single" w:sz="4" w:space="0" w:color="auto"/>
              <w:left w:val="nil"/>
              <w:bottom w:val="single" w:sz="4" w:space="0" w:color="auto"/>
              <w:right w:val="nil"/>
            </w:tcBorders>
            <w:shd w:val="clear" w:color="auto" w:fill="auto"/>
            <w:vAlign w:val="center"/>
            <w:hideMark/>
          </w:tcPr>
          <w:p w:rsidR="00693E5C" w:rsidRPr="00502956" w:rsidRDefault="00693E5C" w:rsidP="00425669">
            <w:pPr>
              <w:keepNext/>
              <w:keepLines/>
              <w:tabs>
                <w:tab w:val="clear" w:pos="567"/>
              </w:tabs>
              <w:spacing w:after="0" w:line="240" w:lineRule="auto"/>
              <w:rPr>
                <w:rFonts w:ascii="Calibri" w:eastAsia="Times New Roman" w:hAnsi="Calibri" w:cs="Times New Roman"/>
                <w:color w:val="000000"/>
                <w:sz w:val="20"/>
                <w:szCs w:val="20"/>
                <w:lang w:eastAsia="en-AU"/>
              </w:rPr>
            </w:pPr>
            <w:r w:rsidRPr="00502956">
              <w:rPr>
                <w:rFonts w:ascii="Calibri" w:eastAsia="Times New Roman" w:hAnsi="Calibri" w:cs="Times New Roman"/>
                <w:color w:val="000000"/>
                <w:sz w:val="20"/>
                <w:szCs w:val="20"/>
                <w:lang w:eastAsia="en-AU"/>
              </w:rPr>
              <w:t>Data requested</w:t>
            </w:r>
          </w:p>
        </w:tc>
        <w:tc>
          <w:tcPr>
            <w:tcW w:w="3573" w:type="dxa"/>
            <w:tcBorders>
              <w:top w:val="single" w:sz="4" w:space="0" w:color="auto"/>
              <w:left w:val="nil"/>
              <w:bottom w:val="single" w:sz="4" w:space="0" w:color="auto"/>
              <w:right w:val="nil"/>
            </w:tcBorders>
            <w:shd w:val="clear" w:color="auto" w:fill="auto"/>
            <w:vAlign w:val="center"/>
            <w:hideMark/>
          </w:tcPr>
          <w:p w:rsidR="00693E5C" w:rsidRPr="00502956" w:rsidRDefault="00693E5C" w:rsidP="00425669">
            <w:pPr>
              <w:keepNext/>
              <w:keepLines/>
              <w:tabs>
                <w:tab w:val="clear" w:pos="567"/>
              </w:tabs>
              <w:spacing w:after="0" w:line="240" w:lineRule="auto"/>
              <w:rPr>
                <w:rFonts w:ascii="Calibri" w:eastAsia="Times New Roman" w:hAnsi="Calibri" w:cs="Times New Roman"/>
                <w:color w:val="000000"/>
                <w:sz w:val="20"/>
                <w:szCs w:val="20"/>
                <w:lang w:eastAsia="en-AU"/>
              </w:rPr>
            </w:pPr>
            <w:r w:rsidRPr="00502956">
              <w:rPr>
                <w:rFonts w:ascii="Calibri" w:eastAsia="Times New Roman" w:hAnsi="Calibri" w:cs="Times New Roman"/>
                <w:color w:val="000000"/>
                <w:sz w:val="20"/>
                <w:szCs w:val="20"/>
                <w:lang w:eastAsia="en-AU"/>
              </w:rPr>
              <w:t>Status</w:t>
            </w:r>
            <w:r>
              <w:rPr>
                <w:rFonts w:ascii="Calibri" w:eastAsia="Times New Roman" w:hAnsi="Calibri" w:cs="Times New Roman"/>
                <w:color w:val="000000"/>
                <w:sz w:val="20"/>
                <w:szCs w:val="20"/>
                <w:lang w:eastAsia="en-AU"/>
              </w:rPr>
              <w:t xml:space="preserve"> and timing</w:t>
            </w:r>
          </w:p>
        </w:tc>
      </w:tr>
      <w:tr w:rsidR="00693E5C" w:rsidRPr="00502956" w:rsidTr="00A15CD8">
        <w:trPr>
          <w:trHeight w:val="315"/>
        </w:trPr>
        <w:tc>
          <w:tcPr>
            <w:tcW w:w="2222" w:type="dxa"/>
            <w:tcBorders>
              <w:top w:val="nil"/>
              <w:left w:val="nil"/>
              <w:bottom w:val="nil"/>
              <w:right w:val="nil"/>
            </w:tcBorders>
            <w:shd w:val="clear" w:color="auto" w:fill="auto"/>
            <w:hideMark/>
          </w:tcPr>
          <w:p w:rsidR="00693E5C" w:rsidRPr="00502956" w:rsidRDefault="00693E5C" w:rsidP="00425669">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Agriculture</w:t>
            </w:r>
            <w:r w:rsidR="001639A7">
              <w:rPr>
                <w:rFonts w:ascii="Calibri" w:eastAsia="Times New Roman" w:hAnsi="Calibri" w:cs="Times New Roman"/>
                <w:color w:val="000000"/>
                <w:sz w:val="20"/>
                <w:szCs w:val="20"/>
                <w:lang w:eastAsia="en-AU"/>
              </w:rPr>
              <w:t xml:space="preserve"> regulation</w:t>
            </w:r>
          </w:p>
        </w:tc>
        <w:tc>
          <w:tcPr>
            <w:tcW w:w="3185" w:type="dxa"/>
            <w:tcBorders>
              <w:top w:val="nil"/>
              <w:left w:val="nil"/>
              <w:bottom w:val="nil"/>
              <w:right w:val="nil"/>
            </w:tcBorders>
            <w:shd w:val="clear" w:color="auto" w:fill="auto"/>
            <w:hideMark/>
          </w:tcPr>
          <w:p w:rsidR="00693E5C" w:rsidRPr="00502956" w:rsidRDefault="00C935A5" w:rsidP="00E97BD6">
            <w:pPr>
              <w:keepNext/>
              <w:keepLines/>
              <w:tabs>
                <w:tab w:val="clear" w:pos="567"/>
              </w:tabs>
              <w:spacing w:after="0" w:line="240" w:lineRule="auto"/>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 xml:space="preserve">A data request will be sent to States seeking information about State spending on business development to support the agriculture industry, </w:t>
            </w:r>
            <w:r w:rsidR="00693E5C">
              <w:rPr>
                <w:rFonts w:ascii="Calibri" w:eastAsia="Times New Roman" w:hAnsi="Calibri" w:cs="Times New Roman"/>
                <w:color w:val="000000"/>
                <w:sz w:val="20"/>
                <w:szCs w:val="20"/>
                <w:lang w:eastAsia="en-AU"/>
              </w:rPr>
              <w:t xml:space="preserve">and views on drivers of </w:t>
            </w:r>
            <w:r>
              <w:rPr>
                <w:rFonts w:ascii="Calibri" w:eastAsia="Times New Roman" w:hAnsi="Calibri" w:cs="Times New Roman"/>
                <w:color w:val="000000"/>
                <w:sz w:val="20"/>
                <w:szCs w:val="20"/>
                <w:lang w:eastAsia="en-AU"/>
              </w:rPr>
              <w:t xml:space="preserve">agriculture </w:t>
            </w:r>
            <w:r w:rsidR="00693E5C">
              <w:rPr>
                <w:rFonts w:ascii="Calibri" w:eastAsia="Times New Roman" w:hAnsi="Calibri" w:cs="Times New Roman"/>
                <w:color w:val="000000"/>
                <w:sz w:val="20"/>
                <w:szCs w:val="20"/>
                <w:lang w:eastAsia="en-AU"/>
              </w:rPr>
              <w:t>regulation expenses</w:t>
            </w:r>
            <w:r w:rsidR="00E97BD6">
              <w:rPr>
                <w:rFonts w:ascii="Calibri" w:eastAsia="Times New Roman" w:hAnsi="Calibri" w:cs="Times New Roman"/>
                <w:color w:val="000000"/>
                <w:sz w:val="20"/>
                <w:szCs w:val="20"/>
                <w:lang w:eastAsia="en-AU"/>
              </w:rPr>
              <w:t>.</w:t>
            </w:r>
          </w:p>
        </w:tc>
        <w:tc>
          <w:tcPr>
            <w:tcW w:w="3573" w:type="dxa"/>
            <w:tcBorders>
              <w:top w:val="nil"/>
              <w:left w:val="nil"/>
              <w:bottom w:val="nil"/>
              <w:right w:val="nil"/>
            </w:tcBorders>
            <w:shd w:val="clear" w:color="auto" w:fill="auto"/>
            <w:hideMark/>
          </w:tcPr>
          <w:p w:rsidR="00F64713" w:rsidRDefault="00F64713" w:rsidP="00F64713">
            <w:pPr>
              <w:keepNext/>
              <w:keepLines/>
              <w:tabs>
                <w:tab w:val="clear" w:pos="567"/>
              </w:tabs>
              <w:spacing w:after="0" w:line="240" w:lineRule="auto"/>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 xml:space="preserve">Draft data request </w:t>
            </w:r>
            <w:r w:rsidR="00693E5C">
              <w:rPr>
                <w:rFonts w:ascii="Calibri" w:eastAsia="Times New Roman" w:hAnsi="Calibri" w:cs="Times New Roman"/>
                <w:color w:val="000000"/>
                <w:sz w:val="20"/>
                <w:szCs w:val="20"/>
                <w:lang w:eastAsia="en-AU"/>
              </w:rPr>
              <w:t>sent in 25 October</w:t>
            </w:r>
            <w:r>
              <w:rPr>
                <w:rFonts w:ascii="Calibri" w:eastAsia="Times New Roman" w:hAnsi="Calibri" w:cs="Times New Roman"/>
                <w:color w:val="000000"/>
                <w:sz w:val="20"/>
                <w:szCs w:val="20"/>
                <w:lang w:eastAsia="en-AU"/>
              </w:rPr>
              <w:t xml:space="preserve"> 2017</w:t>
            </w:r>
            <w:r w:rsidR="00693E5C">
              <w:rPr>
                <w:rFonts w:ascii="Calibri" w:eastAsia="Times New Roman" w:hAnsi="Calibri" w:cs="Times New Roman"/>
                <w:color w:val="000000"/>
                <w:sz w:val="20"/>
                <w:szCs w:val="20"/>
                <w:lang w:eastAsia="en-AU"/>
              </w:rPr>
              <w:t>; responses received from 6 States</w:t>
            </w:r>
            <w:r>
              <w:rPr>
                <w:rFonts w:ascii="Calibri" w:eastAsia="Times New Roman" w:hAnsi="Calibri" w:cs="Times New Roman"/>
                <w:color w:val="000000"/>
                <w:sz w:val="20"/>
                <w:szCs w:val="20"/>
                <w:lang w:eastAsia="en-AU"/>
              </w:rPr>
              <w:t>.</w:t>
            </w:r>
          </w:p>
          <w:p w:rsidR="00693E5C" w:rsidRPr="00502956" w:rsidRDefault="001639A7" w:rsidP="00FB6811">
            <w:pPr>
              <w:keepNext/>
              <w:keepLines/>
              <w:tabs>
                <w:tab w:val="clear" w:pos="567"/>
              </w:tabs>
              <w:spacing w:after="0" w:line="240" w:lineRule="auto"/>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Given we are making significant changes to the original data request based on State feedback, a s</w:t>
            </w:r>
            <w:r w:rsidR="00F64713">
              <w:rPr>
                <w:rFonts w:ascii="Calibri" w:eastAsia="Times New Roman" w:hAnsi="Calibri" w:cs="Times New Roman"/>
                <w:color w:val="000000"/>
                <w:sz w:val="20"/>
                <w:szCs w:val="20"/>
                <w:lang w:eastAsia="en-AU"/>
              </w:rPr>
              <w:t>econd dr</w:t>
            </w:r>
            <w:r>
              <w:rPr>
                <w:rFonts w:ascii="Calibri" w:eastAsia="Times New Roman" w:hAnsi="Calibri" w:cs="Times New Roman"/>
                <w:color w:val="000000"/>
                <w:sz w:val="20"/>
                <w:szCs w:val="20"/>
                <w:lang w:eastAsia="en-AU"/>
              </w:rPr>
              <w:t xml:space="preserve">aft request </w:t>
            </w:r>
            <w:r w:rsidR="005F1F16">
              <w:rPr>
                <w:rFonts w:ascii="Calibri" w:eastAsia="Times New Roman" w:hAnsi="Calibri" w:cs="Times New Roman"/>
                <w:color w:val="000000"/>
                <w:sz w:val="20"/>
                <w:szCs w:val="20"/>
                <w:lang w:eastAsia="en-AU"/>
              </w:rPr>
              <w:t>will</w:t>
            </w:r>
            <w:r>
              <w:rPr>
                <w:rFonts w:ascii="Calibri" w:eastAsia="Times New Roman" w:hAnsi="Calibri" w:cs="Times New Roman"/>
                <w:color w:val="000000"/>
                <w:sz w:val="20"/>
                <w:szCs w:val="20"/>
                <w:lang w:eastAsia="en-AU"/>
              </w:rPr>
              <w:t xml:space="preserve"> be sent May 2018.</w:t>
            </w:r>
            <w:r w:rsidR="00E97BD6">
              <w:rPr>
                <w:rFonts w:ascii="Calibri" w:eastAsia="Times New Roman" w:hAnsi="Calibri" w:cs="Times New Roman"/>
                <w:color w:val="000000"/>
                <w:sz w:val="20"/>
                <w:szCs w:val="20"/>
                <w:lang w:eastAsia="en-AU"/>
              </w:rPr>
              <w:t xml:space="preserve"> </w:t>
            </w:r>
            <w:r w:rsidR="005F1F16">
              <w:rPr>
                <w:rFonts w:ascii="Calibri" w:eastAsia="Times New Roman" w:hAnsi="Calibri" w:cs="Times New Roman"/>
                <w:color w:val="000000"/>
                <w:sz w:val="20"/>
                <w:szCs w:val="20"/>
                <w:lang w:eastAsia="en-AU"/>
              </w:rPr>
              <w:t>A f</w:t>
            </w:r>
            <w:r w:rsidR="00693E5C">
              <w:rPr>
                <w:rFonts w:ascii="Calibri" w:eastAsia="Times New Roman" w:hAnsi="Calibri" w:cs="Times New Roman"/>
                <w:color w:val="000000"/>
                <w:sz w:val="20"/>
                <w:szCs w:val="20"/>
                <w:lang w:eastAsia="en-AU"/>
              </w:rPr>
              <w:t>inal request seeking data for 2015</w:t>
            </w:r>
            <w:r w:rsidR="00693E5C">
              <w:rPr>
                <w:rFonts w:ascii="Calibri" w:eastAsia="Times New Roman" w:hAnsi="Calibri" w:cs="Times New Roman"/>
                <w:color w:val="000000"/>
                <w:sz w:val="20"/>
                <w:szCs w:val="20"/>
                <w:lang w:eastAsia="en-AU"/>
              </w:rPr>
              <w:noBreakHyphen/>
              <w:t>16 to 2017</w:t>
            </w:r>
            <w:r w:rsidR="00693E5C">
              <w:rPr>
                <w:rFonts w:ascii="Calibri" w:eastAsia="Times New Roman" w:hAnsi="Calibri" w:cs="Times New Roman"/>
                <w:color w:val="000000"/>
                <w:sz w:val="20"/>
                <w:szCs w:val="20"/>
                <w:lang w:eastAsia="en-AU"/>
              </w:rPr>
              <w:noBreakHyphen/>
              <w:t xml:space="preserve">18 will be sent </w:t>
            </w:r>
            <w:r w:rsidR="00F64713">
              <w:rPr>
                <w:rFonts w:ascii="Calibri" w:eastAsia="Times New Roman" w:hAnsi="Calibri" w:cs="Times New Roman"/>
                <w:color w:val="000000"/>
                <w:sz w:val="20"/>
                <w:szCs w:val="20"/>
                <w:lang w:eastAsia="en-AU"/>
              </w:rPr>
              <w:t xml:space="preserve">in </w:t>
            </w:r>
            <w:r w:rsidR="00FB6811">
              <w:rPr>
                <w:rFonts w:ascii="Calibri" w:eastAsia="Times New Roman" w:hAnsi="Calibri" w:cs="Times New Roman"/>
                <w:color w:val="000000"/>
                <w:sz w:val="20"/>
                <w:szCs w:val="20"/>
                <w:lang w:eastAsia="en-AU"/>
              </w:rPr>
              <w:t>August</w:t>
            </w:r>
            <w:r w:rsidR="00F64713">
              <w:rPr>
                <w:rFonts w:ascii="Calibri" w:eastAsia="Times New Roman" w:hAnsi="Calibri" w:cs="Times New Roman"/>
                <w:color w:val="000000"/>
                <w:sz w:val="20"/>
                <w:szCs w:val="20"/>
                <w:lang w:eastAsia="en-AU"/>
              </w:rPr>
              <w:t xml:space="preserve"> 2018.</w:t>
            </w:r>
          </w:p>
        </w:tc>
      </w:tr>
      <w:tr w:rsidR="00693E5C" w:rsidRPr="00502956" w:rsidTr="00F86C57">
        <w:trPr>
          <w:trHeight w:val="555"/>
        </w:trPr>
        <w:tc>
          <w:tcPr>
            <w:tcW w:w="2222" w:type="dxa"/>
            <w:tcBorders>
              <w:top w:val="nil"/>
              <w:left w:val="nil"/>
              <w:right w:val="nil"/>
            </w:tcBorders>
            <w:shd w:val="clear" w:color="auto" w:fill="auto"/>
          </w:tcPr>
          <w:p w:rsidR="00693E5C" w:rsidRDefault="00693E5C" w:rsidP="00425669">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Other Industries</w:t>
            </w:r>
            <w:r w:rsidR="001639A7">
              <w:rPr>
                <w:rFonts w:ascii="Calibri" w:eastAsia="Times New Roman" w:hAnsi="Calibri" w:cs="Times New Roman"/>
                <w:color w:val="000000"/>
                <w:sz w:val="20"/>
                <w:szCs w:val="20"/>
                <w:lang w:eastAsia="en-AU"/>
              </w:rPr>
              <w:t xml:space="preserve"> regulation</w:t>
            </w:r>
          </w:p>
        </w:tc>
        <w:tc>
          <w:tcPr>
            <w:tcW w:w="3185" w:type="dxa"/>
            <w:tcBorders>
              <w:top w:val="nil"/>
              <w:left w:val="nil"/>
              <w:right w:val="nil"/>
            </w:tcBorders>
            <w:shd w:val="clear" w:color="auto" w:fill="auto"/>
          </w:tcPr>
          <w:p w:rsidR="00693E5C" w:rsidRPr="00502956" w:rsidRDefault="001639A7" w:rsidP="00E97BD6">
            <w:pPr>
              <w:keepNext/>
              <w:keepLines/>
              <w:tabs>
                <w:tab w:val="clear" w:pos="567"/>
              </w:tabs>
              <w:spacing w:after="0" w:line="240" w:lineRule="auto"/>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 xml:space="preserve">A data request will be sent to States seeking information about State spending on business development to support other industries, </w:t>
            </w:r>
            <w:r w:rsidR="00693E5C">
              <w:rPr>
                <w:rFonts w:ascii="Calibri" w:eastAsia="Times New Roman" w:hAnsi="Calibri" w:cs="Times New Roman"/>
                <w:color w:val="000000"/>
                <w:sz w:val="20"/>
                <w:szCs w:val="20"/>
                <w:lang w:eastAsia="en-AU"/>
              </w:rPr>
              <w:t xml:space="preserve">and views on </w:t>
            </w:r>
            <w:r>
              <w:rPr>
                <w:rFonts w:ascii="Calibri" w:eastAsia="Times New Roman" w:hAnsi="Calibri" w:cs="Times New Roman"/>
                <w:color w:val="000000"/>
                <w:sz w:val="20"/>
                <w:szCs w:val="20"/>
                <w:lang w:eastAsia="en-AU"/>
              </w:rPr>
              <w:t xml:space="preserve">the </w:t>
            </w:r>
            <w:r w:rsidR="00693E5C">
              <w:rPr>
                <w:rFonts w:ascii="Calibri" w:eastAsia="Times New Roman" w:hAnsi="Calibri" w:cs="Times New Roman"/>
                <w:color w:val="000000"/>
                <w:sz w:val="20"/>
                <w:szCs w:val="20"/>
                <w:lang w:eastAsia="en-AU"/>
              </w:rPr>
              <w:t xml:space="preserve">drivers of </w:t>
            </w:r>
            <w:r>
              <w:rPr>
                <w:rFonts w:ascii="Calibri" w:eastAsia="Times New Roman" w:hAnsi="Calibri" w:cs="Times New Roman"/>
                <w:color w:val="000000"/>
                <w:sz w:val="20"/>
                <w:szCs w:val="20"/>
                <w:lang w:eastAsia="en-AU"/>
              </w:rPr>
              <w:t xml:space="preserve">other industry </w:t>
            </w:r>
            <w:r w:rsidR="00693E5C">
              <w:rPr>
                <w:rFonts w:ascii="Calibri" w:eastAsia="Times New Roman" w:hAnsi="Calibri" w:cs="Times New Roman"/>
                <w:color w:val="000000"/>
                <w:sz w:val="20"/>
                <w:szCs w:val="20"/>
                <w:lang w:eastAsia="en-AU"/>
              </w:rPr>
              <w:t>regulation expenses</w:t>
            </w:r>
            <w:r w:rsidR="00E97BD6">
              <w:rPr>
                <w:rFonts w:ascii="Calibri" w:eastAsia="Times New Roman" w:hAnsi="Calibri" w:cs="Times New Roman"/>
                <w:color w:val="000000"/>
                <w:sz w:val="20"/>
                <w:szCs w:val="20"/>
                <w:lang w:eastAsia="en-AU"/>
              </w:rPr>
              <w:t>.</w:t>
            </w:r>
          </w:p>
        </w:tc>
        <w:tc>
          <w:tcPr>
            <w:tcW w:w="3573" w:type="dxa"/>
            <w:tcBorders>
              <w:top w:val="nil"/>
              <w:left w:val="nil"/>
              <w:right w:val="nil"/>
            </w:tcBorders>
            <w:shd w:val="clear" w:color="auto" w:fill="auto"/>
          </w:tcPr>
          <w:p w:rsidR="001639A7" w:rsidRDefault="00693E5C" w:rsidP="001639A7">
            <w:pPr>
              <w:keepNext/>
              <w:keepLines/>
              <w:tabs>
                <w:tab w:val="clear" w:pos="567"/>
              </w:tabs>
              <w:spacing w:after="0" w:line="240" w:lineRule="auto"/>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 xml:space="preserve">Draft data request </w:t>
            </w:r>
            <w:r w:rsidR="001639A7">
              <w:rPr>
                <w:rFonts w:ascii="Calibri" w:eastAsia="Times New Roman" w:hAnsi="Calibri" w:cs="Times New Roman"/>
                <w:color w:val="000000"/>
                <w:sz w:val="20"/>
                <w:szCs w:val="20"/>
                <w:lang w:eastAsia="en-AU"/>
              </w:rPr>
              <w:t>will be sent in May 2018.</w:t>
            </w:r>
          </w:p>
          <w:p w:rsidR="00693E5C" w:rsidRPr="001639A7" w:rsidRDefault="005F1F16" w:rsidP="00FB6811">
            <w:pPr>
              <w:keepNext/>
              <w:keepLines/>
              <w:tabs>
                <w:tab w:val="clear" w:pos="567"/>
              </w:tabs>
              <w:spacing w:after="0" w:line="240" w:lineRule="auto"/>
              <w:rPr>
                <w:rFonts w:ascii="Calibri" w:eastAsia="Times New Roman" w:hAnsi="Calibri" w:cs="Times New Roman"/>
                <w:sz w:val="20"/>
                <w:szCs w:val="20"/>
                <w:lang w:eastAsia="en-AU"/>
              </w:rPr>
            </w:pPr>
            <w:r>
              <w:rPr>
                <w:rFonts w:ascii="Calibri" w:eastAsia="Times New Roman" w:hAnsi="Calibri" w:cs="Times New Roman"/>
                <w:color w:val="000000"/>
                <w:sz w:val="20"/>
                <w:szCs w:val="20"/>
                <w:lang w:eastAsia="en-AU"/>
              </w:rPr>
              <w:t>A f</w:t>
            </w:r>
            <w:r w:rsidR="001639A7">
              <w:rPr>
                <w:rFonts w:ascii="Calibri" w:eastAsia="Times New Roman" w:hAnsi="Calibri" w:cs="Times New Roman"/>
                <w:color w:val="000000"/>
                <w:sz w:val="20"/>
                <w:szCs w:val="20"/>
                <w:lang w:eastAsia="en-AU"/>
              </w:rPr>
              <w:t>inal request seeking data for 2015</w:t>
            </w:r>
            <w:r w:rsidR="001639A7">
              <w:rPr>
                <w:rFonts w:ascii="Calibri" w:eastAsia="Times New Roman" w:hAnsi="Calibri" w:cs="Times New Roman"/>
                <w:color w:val="000000"/>
                <w:sz w:val="20"/>
                <w:szCs w:val="20"/>
                <w:lang w:eastAsia="en-AU"/>
              </w:rPr>
              <w:noBreakHyphen/>
              <w:t>16 to 2017</w:t>
            </w:r>
            <w:r w:rsidR="001639A7">
              <w:rPr>
                <w:rFonts w:ascii="Calibri" w:eastAsia="Times New Roman" w:hAnsi="Calibri" w:cs="Times New Roman"/>
                <w:color w:val="000000"/>
                <w:sz w:val="20"/>
                <w:szCs w:val="20"/>
                <w:lang w:eastAsia="en-AU"/>
              </w:rPr>
              <w:noBreakHyphen/>
              <w:t xml:space="preserve">18 will be sent in </w:t>
            </w:r>
            <w:r w:rsidR="00FB6811">
              <w:rPr>
                <w:rFonts w:ascii="Calibri" w:eastAsia="Times New Roman" w:hAnsi="Calibri" w:cs="Times New Roman"/>
                <w:color w:val="000000"/>
                <w:sz w:val="20"/>
                <w:szCs w:val="20"/>
                <w:lang w:eastAsia="en-AU"/>
              </w:rPr>
              <w:t>August</w:t>
            </w:r>
            <w:r w:rsidR="001639A7">
              <w:rPr>
                <w:rFonts w:ascii="Calibri" w:eastAsia="Times New Roman" w:hAnsi="Calibri" w:cs="Times New Roman"/>
                <w:color w:val="000000"/>
                <w:sz w:val="20"/>
                <w:szCs w:val="20"/>
                <w:lang w:eastAsia="en-AU"/>
              </w:rPr>
              <w:t xml:space="preserve"> 2018.</w:t>
            </w:r>
          </w:p>
        </w:tc>
      </w:tr>
      <w:tr w:rsidR="00693E5C" w:rsidRPr="00502956" w:rsidTr="00F86C57">
        <w:trPr>
          <w:trHeight w:val="555"/>
        </w:trPr>
        <w:tc>
          <w:tcPr>
            <w:tcW w:w="2222" w:type="dxa"/>
            <w:tcBorders>
              <w:top w:val="nil"/>
              <w:left w:val="nil"/>
              <w:bottom w:val="single" w:sz="4" w:space="0" w:color="auto"/>
              <w:right w:val="nil"/>
            </w:tcBorders>
            <w:shd w:val="clear" w:color="auto" w:fill="auto"/>
            <w:hideMark/>
          </w:tcPr>
          <w:p w:rsidR="00693E5C" w:rsidRPr="00502956" w:rsidRDefault="00693E5C" w:rsidP="00425669">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Other Industries</w:t>
            </w:r>
            <w:r w:rsidR="001639A7">
              <w:rPr>
                <w:rFonts w:ascii="Calibri" w:eastAsia="Times New Roman" w:hAnsi="Calibri" w:cs="Times New Roman"/>
                <w:color w:val="000000"/>
                <w:sz w:val="20"/>
                <w:szCs w:val="20"/>
                <w:lang w:eastAsia="en-AU"/>
              </w:rPr>
              <w:t xml:space="preserve"> regulation</w:t>
            </w:r>
          </w:p>
        </w:tc>
        <w:tc>
          <w:tcPr>
            <w:tcW w:w="3185" w:type="dxa"/>
            <w:tcBorders>
              <w:top w:val="nil"/>
              <w:left w:val="nil"/>
              <w:bottom w:val="single" w:sz="4" w:space="0" w:color="auto"/>
              <w:right w:val="nil"/>
            </w:tcBorders>
            <w:shd w:val="clear" w:color="auto" w:fill="auto"/>
            <w:hideMark/>
          </w:tcPr>
          <w:p w:rsidR="00693E5C" w:rsidRPr="00502956" w:rsidRDefault="001639A7" w:rsidP="00E97BD6">
            <w:pPr>
              <w:keepNext/>
              <w:keepLines/>
              <w:tabs>
                <w:tab w:val="clear" w:pos="567"/>
              </w:tabs>
              <w:spacing w:after="0" w:line="240" w:lineRule="auto"/>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A data request will be sent to States seeking e</w:t>
            </w:r>
            <w:r w:rsidR="00693E5C">
              <w:rPr>
                <w:rFonts w:ascii="Calibri" w:eastAsia="Times New Roman" w:hAnsi="Calibri" w:cs="Times New Roman"/>
                <w:color w:val="000000"/>
                <w:sz w:val="20"/>
                <w:szCs w:val="20"/>
                <w:lang w:eastAsia="en-AU"/>
              </w:rPr>
              <w:t>xpenses for planning and regulation of major infrastructure projects</w:t>
            </w:r>
            <w:r w:rsidR="00E97BD6">
              <w:rPr>
                <w:rFonts w:ascii="Calibri" w:eastAsia="Times New Roman" w:hAnsi="Calibri" w:cs="Times New Roman"/>
                <w:color w:val="000000"/>
                <w:sz w:val="20"/>
                <w:szCs w:val="20"/>
                <w:lang w:eastAsia="en-AU"/>
              </w:rPr>
              <w:t>.</w:t>
            </w:r>
          </w:p>
        </w:tc>
        <w:tc>
          <w:tcPr>
            <w:tcW w:w="3573" w:type="dxa"/>
            <w:tcBorders>
              <w:top w:val="nil"/>
              <w:left w:val="nil"/>
              <w:bottom w:val="single" w:sz="4" w:space="0" w:color="auto"/>
              <w:right w:val="nil"/>
            </w:tcBorders>
            <w:shd w:val="clear" w:color="auto" w:fill="auto"/>
            <w:hideMark/>
          </w:tcPr>
          <w:p w:rsidR="001639A7" w:rsidRDefault="001639A7" w:rsidP="001639A7">
            <w:pPr>
              <w:keepNext/>
              <w:keepLines/>
              <w:tabs>
                <w:tab w:val="clear" w:pos="567"/>
              </w:tabs>
              <w:spacing w:after="0" w:line="240" w:lineRule="auto"/>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Draft data request will be sent in May 2018.</w:t>
            </w:r>
          </w:p>
          <w:p w:rsidR="00693E5C" w:rsidRPr="00502956" w:rsidRDefault="005F1F16" w:rsidP="00FB6811">
            <w:pPr>
              <w:keepNext/>
              <w:keepLines/>
              <w:tabs>
                <w:tab w:val="clear" w:pos="567"/>
              </w:tabs>
              <w:spacing w:after="0" w:line="240" w:lineRule="auto"/>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A f</w:t>
            </w:r>
            <w:r w:rsidR="001639A7">
              <w:rPr>
                <w:rFonts w:ascii="Calibri" w:eastAsia="Times New Roman" w:hAnsi="Calibri" w:cs="Times New Roman"/>
                <w:color w:val="000000"/>
                <w:sz w:val="20"/>
                <w:szCs w:val="20"/>
                <w:lang w:eastAsia="en-AU"/>
              </w:rPr>
              <w:t>inal request seeking data for 2015</w:t>
            </w:r>
            <w:r w:rsidR="001639A7">
              <w:rPr>
                <w:rFonts w:ascii="Calibri" w:eastAsia="Times New Roman" w:hAnsi="Calibri" w:cs="Times New Roman"/>
                <w:color w:val="000000"/>
                <w:sz w:val="20"/>
                <w:szCs w:val="20"/>
                <w:lang w:eastAsia="en-AU"/>
              </w:rPr>
              <w:noBreakHyphen/>
              <w:t>16 to 2017</w:t>
            </w:r>
            <w:r w:rsidR="001639A7">
              <w:rPr>
                <w:rFonts w:ascii="Calibri" w:eastAsia="Times New Roman" w:hAnsi="Calibri" w:cs="Times New Roman"/>
                <w:color w:val="000000"/>
                <w:sz w:val="20"/>
                <w:szCs w:val="20"/>
                <w:lang w:eastAsia="en-AU"/>
              </w:rPr>
              <w:noBreakHyphen/>
              <w:t xml:space="preserve">18 will be sent in </w:t>
            </w:r>
            <w:r w:rsidR="00FB6811">
              <w:rPr>
                <w:rFonts w:ascii="Calibri" w:eastAsia="Times New Roman" w:hAnsi="Calibri" w:cs="Times New Roman"/>
                <w:color w:val="000000"/>
                <w:sz w:val="20"/>
                <w:szCs w:val="20"/>
                <w:lang w:eastAsia="en-AU"/>
              </w:rPr>
              <w:t>August</w:t>
            </w:r>
            <w:r w:rsidR="001639A7">
              <w:rPr>
                <w:rFonts w:ascii="Calibri" w:eastAsia="Times New Roman" w:hAnsi="Calibri" w:cs="Times New Roman"/>
                <w:color w:val="000000"/>
                <w:sz w:val="20"/>
                <w:szCs w:val="20"/>
                <w:lang w:eastAsia="en-AU"/>
              </w:rPr>
              <w:t xml:space="preserve"> 2018.</w:t>
            </w:r>
          </w:p>
        </w:tc>
      </w:tr>
    </w:tbl>
    <w:p w:rsidR="00E45D85" w:rsidRDefault="00E45D85" w:rsidP="00E45D85">
      <w:pPr>
        <w:pStyle w:val="CGCTableHeading"/>
        <w:ind w:left="0" w:firstLine="0"/>
      </w:pPr>
    </w:p>
    <w:sectPr w:rsidR="00E45D85" w:rsidSect="00B7517F">
      <w:footerReference w:type="default" r:id="rId19"/>
      <w:footerReference w:type="first" r:id="rId20"/>
      <w:pgSz w:w="11899" w:h="16838" w:code="9"/>
      <w:pgMar w:top="1701" w:right="1474" w:bottom="1701" w:left="1474" w:header="709" w:footer="709" w:gutter="0"/>
      <w:pgNumType w:start="1"/>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B31" w:rsidRDefault="00F73B31">
      <w:r>
        <w:separator/>
      </w:r>
    </w:p>
  </w:endnote>
  <w:endnote w:type="continuationSeparator" w:id="0">
    <w:p w:rsidR="00F73B31" w:rsidRDefault="00F7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B31" w:rsidRPr="00875C0F" w:rsidRDefault="00F73B31" w:rsidP="00A23C56">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807996343"/>
      <w:docPartObj>
        <w:docPartGallery w:val="Page Numbers (Bottom of Page)"/>
        <w:docPartUnique/>
      </w:docPartObj>
    </w:sdtPr>
    <w:sdtEndPr/>
    <w:sdtContent>
      <w:p w:rsidR="00F73B31" w:rsidRDefault="00F73B31" w:rsidP="008A2240">
        <w:pPr>
          <w:pStyle w:val="Footer"/>
        </w:pPr>
      </w:p>
      <w:p w:rsidR="00F73B31" w:rsidRPr="00875C0F" w:rsidRDefault="003731D6" w:rsidP="00A23C56">
        <w:pPr>
          <w:pStyle w:val="Footer"/>
          <w:rPr>
            <w:sz w:val="20"/>
            <w:szCs w:val="20"/>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7996344"/>
      <w:docPartObj>
        <w:docPartGallery w:val="Page Numbers (Bottom of Page)"/>
        <w:docPartUnique/>
      </w:docPartObj>
    </w:sdtPr>
    <w:sdtEndPr/>
    <w:sdtContent>
      <w:p w:rsidR="00F73B31" w:rsidRPr="00875C0F" w:rsidRDefault="003731D6" w:rsidP="00A23C56">
        <w:pPr>
          <w:pStyle w:val="Footer"/>
          <w:jc w:val="right"/>
        </w:pP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9435158"/>
      <w:docPartObj>
        <w:docPartGallery w:val="Page Numbers (Bottom of Page)"/>
        <w:docPartUnique/>
      </w:docPartObj>
    </w:sdtPr>
    <w:sdtEndPr/>
    <w:sdtContent>
      <w:p w:rsidR="00F73B31" w:rsidRPr="00875C0F" w:rsidRDefault="003731D6" w:rsidP="00A23C56">
        <w:pPr>
          <w:pStyle w:val="Footer"/>
          <w:jc w:val="right"/>
        </w:pP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B31" w:rsidRPr="0011178C" w:rsidRDefault="00F73B31" w:rsidP="003929D2">
    <w:pPr>
      <w:pStyle w:val="Footer"/>
      <w:jc w:val="right"/>
    </w:pPr>
    <w:r>
      <w:fldChar w:fldCharType="begin"/>
    </w:r>
    <w:r>
      <w:instrText xml:space="preserve"> PAGE  \* Arabic  \* MERGEFORMAT </w:instrText>
    </w:r>
    <w:r>
      <w:fldChar w:fldCharType="separate"/>
    </w:r>
    <w:r w:rsidR="003731D6">
      <w:rPr>
        <w:noProof/>
      </w:rPr>
      <w:t>15</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B31" w:rsidRPr="007E487F" w:rsidRDefault="00F73B31" w:rsidP="00DC0F02">
    <w:pPr>
      <w:pStyle w:val="Footer"/>
      <w:tabs>
        <w:tab w:val="right" w:pos="8931"/>
      </w:tabs>
      <w:rPr>
        <w:sz w:val="20"/>
        <w:szCs w:val="20"/>
      </w:rPr>
    </w:pPr>
    <w:r>
      <w:rPr>
        <w:sz w:val="20"/>
        <w:szCs w:val="20"/>
      </w:rPr>
      <w:tab/>
    </w:r>
    <w:r>
      <w:rPr>
        <w:sz w:val="20"/>
        <w:szCs w:val="20"/>
      </w:rPr>
      <w:tab/>
    </w:r>
    <w:r>
      <w:fldChar w:fldCharType="begin"/>
    </w:r>
    <w:r>
      <w:instrText xml:space="preserve"> PAGE   \* MERGEFORMAT </w:instrText>
    </w:r>
    <w:r>
      <w:fldChar w:fldCharType="separate"/>
    </w:r>
    <w:r w:rsidR="003731D6">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B31" w:rsidRDefault="00F73B31">
      <w:r>
        <w:separator/>
      </w:r>
    </w:p>
  </w:footnote>
  <w:footnote w:type="continuationSeparator" w:id="0">
    <w:p w:rsidR="00F73B31" w:rsidRDefault="00F73B31">
      <w:r>
        <w:continuationSeparator/>
      </w:r>
    </w:p>
  </w:footnote>
  <w:footnote w:id="1">
    <w:p w:rsidR="00F73B31" w:rsidRDefault="00F73B31">
      <w:pPr>
        <w:pStyle w:val="FootnoteText"/>
      </w:pPr>
      <w:r>
        <w:rPr>
          <w:rStyle w:val="FootnoteReference"/>
        </w:rPr>
        <w:footnoteRef/>
      </w:r>
      <w:r>
        <w:t xml:space="preserve"> </w:t>
      </w:r>
      <w:r>
        <w:tab/>
        <w:t>This only includes R&amp;D for industries classified to Classification of Functions of Government — Australia (COFOG-A) division 04 — Economic Affairs.</w:t>
      </w:r>
    </w:p>
  </w:footnote>
  <w:footnote w:id="2">
    <w:p w:rsidR="00F73B31" w:rsidRDefault="00F73B31">
      <w:pPr>
        <w:pStyle w:val="FootnoteText"/>
      </w:pPr>
      <w:r>
        <w:rPr>
          <w:rStyle w:val="FootnoteReference"/>
        </w:rPr>
        <w:footnoteRef/>
      </w:r>
      <w:r>
        <w:t xml:space="preserve"> </w:t>
      </w:r>
      <w:r>
        <w:tab/>
      </w:r>
      <w:r w:rsidRPr="00FF7CE5">
        <w:t xml:space="preserve">The new Classification of the Functions of Government – Australia (COFOG-A) includes </w:t>
      </w:r>
      <w:r>
        <w:t xml:space="preserve">most services to industry expenses </w:t>
      </w:r>
      <w:r w:rsidRPr="00FF7CE5">
        <w:t>in the Economic Affairs division (04) which includes expenses on specific industries (for example, agriculture, minin</w:t>
      </w:r>
      <w:r>
        <w:t xml:space="preserve">g, manufacturing, construction, fuel and </w:t>
      </w:r>
      <w:r w:rsidRPr="00FF7CE5">
        <w:t>energy</w:t>
      </w:r>
      <w:r>
        <w:t xml:space="preserve">) and </w:t>
      </w:r>
      <w:r w:rsidRPr="00FF7CE5">
        <w:t>employm</w:t>
      </w:r>
      <w:r>
        <w:t>ent and general economic affairs</w:t>
      </w:r>
      <w:r w:rsidRPr="00FF7CE5">
        <w:t>.</w:t>
      </w:r>
    </w:p>
  </w:footnote>
  <w:footnote w:id="3">
    <w:p w:rsidR="00F73B31" w:rsidRDefault="00F73B31" w:rsidP="00161FB5">
      <w:pPr>
        <w:pStyle w:val="FootnoteText"/>
      </w:pPr>
      <w:r>
        <w:rPr>
          <w:rStyle w:val="FootnoteReference"/>
        </w:rPr>
        <w:footnoteRef/>
      </w:r>
      <w:r>
        <w:t xml:space="preserve"> </w:t>
      </w:r>
      <w:r>
        <w:tab/>
        <w:t xml:space="preserve">See </w:t>
      </w:r>
      <w:r w:rsidR="00CE6DF7">
        <w:t xml:space="preserve">Staff Research Paper </w:t>
      </w:r>
      <w:r w:rsidR="00CE6DF7" w:rsidRPr="00CE6DF7">
        <w:rPr>
          <w:i/>
        </w:rPr>
        <w:t xml:space="preserve">CGC </w:t>
      </w:r>
      <w:r w:rsidRPr="00CE6DF7">
        <w:rPr>
          <w:i/>
        </w:rPr>
        <w:t xml:space="preserve">– </w:t>
      </w:r>
      <w:r w:rsidR="00CE6DF7" w:rsidRPr="00CE6DF7">
        <w:rPr>
          <w:i/>
        </w:rPr>
        <w:t xml:space="preserve">2016-36 What States Do </w:t>
      </w:r>
      <w:r w:rsidR="00CE6DF7">
        <w:rPr>
          <w:i/>
        </w:rPr>
        <w:t>–</w:t>
      </w:r>
      <w:r w:rsidR="00CE6DF7" w:rsidRPr="00CE6DF7">
        <w:rPr>
          <w:i/>
        </w:rPr>
        <w:t xml:space="preserve"> Agriculture</w:t>
      </w:r>
      <w:r>
        <w:t>.</w:t>
      </w:r>
    </w:p>
  </w:footnote>
  <w:footnote w:id="4">
    <w:p w:rsidR="00F73B31" w:rsidRDefault="00F73B31">
      <w:pPr>
        <w:pStyle w:val="FootnoteText"/>
      </w:pPr>
      <w:r>
        <w:rPr>
          <w:rStyle w:val="FootnoteReference"/>
        </w:rPr>
        <w:footnoteRef/>
      </w:r>
      <w:r>
        <w:t xml:space="preserve"> </w:t>
      </w:r>
      <w:r>
        <w:tab/>
        <w:t xml:space="preserve">For more information see the </w:t>
      </w:r>
      <w:r w:rsidRPr="00160FE0">
        <w:rPr>
          <w:i/>
        </w:rPr>
        <w:t>Initial estimates administrative scale costs for Services to industry, agriculture and resources.</w:t>
      </w:r>
    </w:p>
  </w:footnote>
  <w:footnote w:id="5">
    <w:p w:rsidR="00F73B31" w:rsidRDefault="00F73B31">
      <w:pPr>
        <w:pStyle w:val="FootnoteText"/>
      </w:pPr>
      <w:r>
        <w:rPr>
          <w:rStyle w:val="FootnoteReference"/>
        </w:rPr>
        <w:footnoteRef/>
      </w:r>
      <w:r>
        <w:t xml:space="preserve"> </w:t>
      </w:r>
      <w:r>
        <w:tab/>
        <w:t>The prime example is consumer protection services.</w:t>
      </w:r>
    </w:p>
  </w:footnote>
  <w:footnote w:id="6">
    <w:p w:rsidR="00F73B31" w:rsidRDefault="00F73B31" w:rsidP="00230EC8">
      <w:pPr>
        <w:pStyle w:val="FootnoteText"/>
      </w:pPr>
      <w:r>
        <w:rPr>
          <w:rStyle w:val="FootnoteReference"/>
        </w:rPr>
        <w:footnoteRef/>
      </w:r>
      <w:r>
        <w:t xml:space="preserve"> </w:t>
      </w:r>
      <w:r>
        <w:tab/>
        <w:t>The assessment only distinguishes between agriculture and other industries.</w:t>
      </w:r>
    </w:p>
  </w:footnote>
  <w:footnote w:id="7">
    <w:p w:rsidR="00F73B31" w:rsidRDefault="00F73B31">
      <w:pPr>
        <w:pStyle w:val="FootnoteText"/>
      </w:pPr>
      <w:r>
        <w:rPr>
          <w:rStyle w:val="FootnoteReference"/>
        </w:rPr>
        <w:footnoteRef/>
      </w:r>
      <w:r>
        <w:t xml:space="preserve"> </w:t>
      </w:r>
      <w:r>
        <w:tab/>
        <w:t>These expenses are included in the 3-digit COFOG-A group 047</w:t>
      </w:r>
      <w:r>
        <w:noBreakHyphen/>
        <w:t>R&amp;D economic affairs.</w:t>
      </w:r>
    </w:p>
  </w:footnote>
  <w:footnote w:id="8">
    <w:p w:rsidR="00F73B31" w:rsidRDefault="00F73B31">
      <w:pPr>
        <w:pStyle w:val="FootnoteText"/>
      </w:pPr>
      <w:r>
        <w:rPr>
          <w:rStyle w:val="FootnoteReference"/>
        </w:rPr>
        <w:footnoteRef/>
      </w:r>
      <w:r>
        <w:t xml:space="preserve"> </w:t>
      </w:r>
      <w:r>
        <w:tab/>
        <w:t xml:space="preserve">The following 3-digit COFOG-A groups include R&amp;D spending: </w:t>
      </w:r>
      <w:r w:rsidRPr="00185D8A">
        <w:t>015 — R&amp;D - general public services, 023 – R&amp;D – defence, 035 — R&amp;D - public order and safety, 055 – R&amp;D - environmental protections, 065 – R&amp;D - housing and community amenities, 077 – R&amp;D – health, 085 – R&amp;D - recreation, culture and religion, 096 – R&amp;D – education, 107 – R&amp;D - social pr</w:t>
      </w:r>
      <w:r>
        <w:t>otection and 118 – R&amp;D – transport.</w:t>
      </w:r>
    </w:p>
  </w:footnote>
  <w:footnote w:id="9">
    <w:p w:rsidR="00F73B31" w:rsidRDefault="00F73B31">
      <w:pPr>
        <w:pStyle w:val="FootnoteText"/>
      </w:pPr>
      <w:r>
        <w:rPr>
          <w:rStyle w:val="FootnoteReference"/>
        </w:rPr>
        <w:footnoteRef/>
      </w:r>
      <w:r>
        <w:t xml:space="preserve"> </w:t>
      </w:r>
      <w:r>
        <w:tab/>
        <w:t>According to GFS, agriculture levies should be recorded as agricultural production taxes. We have checked State unit record data and there is no revenue reported in the relevant taxes classification. Therefore, we have assumed that any levies are being recorded as user charges.</w:t>
      </w:r>
    </w:p>
  </w:footnote>
  <w:footnote w:id="10">
    <w:p w:rsidR="00F73B31" w:rsidRDefault="00F73B31" w:rsidP="003414F0">
      <w:pPr>
        <w:pStyle w:val="FootnoteText"/>
      </w:pPr>
      <w:r>
        <w:rPr>
          <w:rStyle w:val="FootnoteReference"/>
        </w:rPr>
        <w:footnoteRef/>
      </w:r>
      <w:r>
        <w:t xml:space="preserve"> </w:t>
      </w:r>
      <w:r>
        <w:tab/>
        <w:t xml:space="preserve">Administrative scale costs refer to the fixed cost which does not vary with service populations. For a further explanation of this concept see </w:t>
      </w:r>
      <w:r w:rsidR="005D5412">
        <w:t>Staff Draft A</w:t>
      </w:r>
      <w:r>
        <w:t xml:space="preserve">ssessment </w:t>
      </w:r>
      <w:r w:rsidR="005D5412">
        <w:t>P</w:t>
      </w:r>
      <w:r>
        <w:t>aper</w:t>
      </w:r>
      <w:r w:rsidR="005D5412">
        <w:t xml:space="preserve"> </w:t>
      </w:r>
      <w:r w:rsidR="00BB0125">
        <w:rPr>
          <w:i/>
        </w:rPr>
        <w:t>CGC 2018-01/24</w:t>
      </w:r>
      <w:r w:rsidR="005D5412" w:rsidRPr="005F1F16">
        <w:rPr>
          <w:i/>
        </w:rPr>
        <w:t>-S, A</w:t>
      </w:r>
      <w:r w:rsidR="005F1F16" w:rsidRPr="005F1F16">
        <w:rPr>
          <w:i/>
        </w:rPr>
        <w:t>dministrative scale</w:t>
      </w:r>
      <w:r w:rsidR="005F1F16">
        <w:t>.</w:t>
      </w:r>
    </w:p>
  </w:footnote>
  <w:footnote w:id="11">
    <w:p w:rsidR="00F73B31" w:rsidRDefault="00F73B31" w:rsidP="003414F0">
      <w:pPr>
        <w:pStyle w:val="FootnoteText"/>
      </w:pPr>
      <w:r>
        <w:rPr>
          <w:rStyle w:val="FootnoteReference"/>
        </w:rPr>
        <w:footnoteRef/>
      </w:r>
      <w:r>
        <w:t xml:space="preserve"> </w:t>
      </w:r>
      <w:r>
        <w:tab/>
        <w:t>This represents 9% of total administrative scale costs but the category accounts for only 2% of total expenses. The allowance for the ACT is less because it has virtually no agriculture or mining industries.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B31" w:rsidRDefault="00F73B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B31" w:rsidRDefault="00F73B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679"/>
    <w:multiLevelType w:val="multilevel"/>
    <w:tmpl w:val="87ECD5DE"/>
    <w:lvl w:ilvl="0">
      <w:start w:val="1"/>
      <w:numFmt w:val="lowerRoman"/>
      <w:lvlText w:val="(%1)"/>
      <w:lvlJc w:val="right"/>
      <w:pPr>
        <w:tabs>
          <w:tab w:val="num" w:pos="1701"/>
        </w:tabs>
        <w:ind w:left="1701"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53D7BB4"/>
    <w:multiLevelType w:val="multilevel"/>
    <w:tmpl w:val="410E2C24"/>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nsid w:val="16C95DEC"/>
    <w:multiLevelType w:val="multilevel"/>
    <w:tmpl w:val="09E854DC"/>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1C66C66"/>
    <w:multiLevelType w:val="multilevel"/>
    <w:tmpl w:val="5B74CF8C"/>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5">
    <w:nsid w:val="317A6023"/>
    <w:multiLevelType w:val="hybridMultilevel"/>
    <w:tmpl w:val="1262912E"/>
    <w:lvl w:ilvl="0" w:tplc="9B9083DC">
      <w:start w:val="1"/>
      <w:numFmt w:val="lowerRoman"/>
      <w:pStyle w:val="CGCNumeralList"/>
      <w:lvlText w:val="%1"/>
      <w:lvlJc w:val="left"/>
      <w:pPr>
        <w:ind w:left="206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CB5609"/>
    <w:multiLevelType w:val="hybridMultilevel"/>
    <w:tmpl w:val="24484DBE"/>
    <w:lvl w:ilvl="0" w:tplc="A1CEF810">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D0A6680"/>
    <w:multiLevelType w:val="multilevel"/>
    <w:tmpl w:val="646E338E"/>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FE32354"/>
    <w:multiLevelType w:val="hybridMultilevel"/>
    <w:tmpl w:val="7D6053A6"/>
    <w:lvl w:ilvl="0" w:tplc="5FE44A6C">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CDF4199"/>
    <w:multiLevelType w:val="hybridMultilevel"/>
    <w:tmpl w:val="99062688"/>
    <w:lvl w:ilvl="0" w:tplc="F3F48994">
      <w:start w:val="1"/>
      <w:numFmt w:val="bullet"/>
      <w:pStyle w:val="CGCQuotationBullet"/>
      <w:lvlText w:val=""/>
      <w:lvlJc w:val="left"/>
      <w:pPr>
        <w:tabs>
          <w:tab w:val="num" w:pos="1701"/>
        </w:tabs>
        <w:ind w:left="1701"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5D124923"/>
    <w:multiLevelType w:val="multilevel"/>
    <w:tmpl w:val="DA6AC07E"/>
    <w:lvl w:ilvl="0">
      <w:start w:val="1"/>
      <w:numFmt w:val="bullet"/>
      <w:lvlText w:val=""/>
      <w:lvlJc w:val="left"/>
      <w:pPr>
        <w:tabs>
          <w:tab w:val="num" w:pos="1627"/>
        </w:tabs>
        <w:ind w:left="1627"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5F120A6F"/>
    <w:multiLevelType w:val="multilevel"/>
    <w:tmpl w:val="EC6A24FE"/>
    <w:lvl w:ilvl="0">
      <w:start w:val="1"/>
      <w:numFmt w:val="bullet"/>
      <w:lvlText w:val=""/>
      <w:lvlJc w:val="left"/>
      <w:pPr>
        <w:tabs>
          <w:tab w:val="num" w:pos="927"/>
        </w:tabs>
        <w:ind w:left="1134"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60FE42A7"/>
    <w:multiLevelType w:val="hybridMultilevel"/>
    <w:tmpl w:val="E4B8FB9A"/>
    <w:lvl w:ilvl="0" w:tplc="18EA3C62">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9552687"/>
    <w:multiLevelType w:val="multilevel"/>
    <w:tmpl w:val="76E0CFF8"/>
    <w:lvl w:ilvl="0">
      <w:start w:val="1"/>
      <w:numFmt w:val="bullet"/>
      <w:lvlText w:val=""/>
      <w:lvlJc w:val="left"/>
      <w:pPr>
        <w:tabs>
          <w:tab w:val="num" w:pos="1503"/>
        </w:tabs>
        <w:ind w:left="171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6D517EA6"/>
    <w:multiLevelType w:val="multilevel"/>
    <w:tmpl w:val="C99CD92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15">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5"/>
  </w:num>
  <w:num w:numId="3">
    <w:abstractNumId w:val="1"/>
  </w:num>
  <w:num w:numId="4">
    <w:abstractNumId w:val="15"/>
  </w:num>
  <w:num w:numId="5">
    <w:abstractNumId w:val="15"/>
  </w:num>
  <w:num w:numId="6">
    <w:abstractNumId w:val="4"/>
  </w:num>
  <w:num w:numId="7">
    <w:abstractNumId w:val="4"/>
  </w:num>
  <w:num w:numId="8">
    <w:abstractNumId w:val="4"/>
  </w:num>
  <w:num w:numId="9">
    <w:abstractNumId w:val="4"/>
  </w:num>
  <w:num w:numId="10">
    <w:abstractNumId w:val="14"/>
  </w:num>
  <w:num w:numId="11">
    <w:abstractNumId w:val="5"/>
  </w:num>
  <w:num w:numId="12">
    <w:abstractNumId w:val="1"/>
  </w:num>
  <w:num w:numId="13">
    <w:abstractNumId w:val="15"/>
  </w:num>
  <w:num w:numId="14">
    <w:abstractNumId w:val="4"/>
  </w:num>
  <w:num w:numId="15">
    <w:abstractNumId w:val="4"/>
  </w:num>
  <w:num w:numId="16">
    <w:abstractNumId w:val="4"/>
  </w:num>
  <w:num w:numId="17">
    <w:abstractNumId w:val="4"/>
  </w:num>
  <w:num w:numId="18">
    <w:abstractNumId w:val="0"/>
  </w:num>
  <w:num w:numId="19">
    <w:abstractNumId w:val="9"/>
  </w:num>
  <w:num w:numId="20">
    <w:abstractNumId w:val="10"/>
  </w:num>
  <w:num w:numId="21">
    <w:abstractNumId w:val="2"/>
  </w:num>
  <w:num w:numId="22">
    <w:abstractNumId w:val="7"/>
  </w:num>
  <w:num w:numId="23">
    <w:abstractNumId w:val="13"/>
  </w:num>
  <w:num w:numId="24">
    <w:abstractNumId w:val="3"/>
  </w:num>
  <w:num w:numId="25">
    <w:abstractNumId w:val="11"/>
  </w:num>
  <w:num w:numId="26">
    <w:abstractNumId w:val="1"/>
  </w:num>
  <w:num w:numId="27">
    <w:abstractNumId w:val="8"/>
  </w:num>
  <w:num w:numId="28">
    <w:abstractNumId w:val="12"/>
  </w:num>
  <w:num w:numId="29">
    <w:abstractNumId w:val="6"/>
  </w:num>
  <w:num w:numId="30">
    <w:abstractNumId w:val="5"/>
    <w:lvlOverride w:ilvl="0">
      <w:startOverride w:val="1"/>
    </w:lvlOverride>
  </w:num>
  <w:num w:numId="31">
    <w:abstractNumId w:val="14"/>
  </w:num>
  <w:num w:numId="32">
    <w:abstractNumId w:val="1"/>
  </w:num>
  <w:num w:numId="33">
    <w:abstractNumId w:val="5"/>
  </w:num>
  <w:num w:numId="34">
    <w:abstractNumId w:val="15"/>
  </w:num>
  <w:num w:numId="35">
    <w:abstractNumId w:val="9"/>
  </w:num>
  <w:num w:numId="36">
    <w:abstractNumId w:val="14"/>
  </w:num>
  <w:num w:numId="37">
    <w:abstractNumId w:val="1"/>
  </w:num>
  <w:num w:numId="38">
    <w:abstractNumId w:val="5"/>
  </w:num>
  <w:num w:numId="39">
    <w:abstractNumId w:val="15"/>
  </w:num>
  <w:num w:numId="40">
    <w:abstractNumId w:val="9"/>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displayVertic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306"/>
    <w:rsid w:val="000018F1"/>
    <w:rsid w:val="0001577C"/>
    <w:rsid w:val="00016FE0"/>
    <w:rsid w:val="00022EA9"/>
    <w:rsid w:val="00023122"/>
    <w:rsid w:val="00024745"/>
    <w:rsid w:val="00032F41"/>
    <w:rsid w:val="000371E2"/>
    <w:rsid w:val="00040765"/>
    <w:rsid w:val="0004123E"/>
    <w:rsid w:val="00041748"/>
    <w:rsid w:val="00041E84"/>
    <w:rsid w:val="000424EA"/>
    <w:rsid w:val="0004664D"/>
    <w:rsid w:val="00053B12"/>
    <w:rsid w:val="00056373"/>
    <w:rsid w:val="00061111"/>
    <w:rsid w:val="000624BB"/>
    <w:rsid w:val="000648E8"/>
    <w:rsid w:val="00074FC1"/>
    <w:rsid w:val="00074FC4"/>
    <w:rsid w:val="00083D09"/>
    <w:rsid w:val="00093796"/>
    <w:rsid w:val="00096CA9"/>
    <w:rsid w:val="000A3898"/>
    <w:rsid w:val="000A52A1"/>
    <w:rsid w:val="000B0030"/>
    <w:rsid w:val="000B097B"/>
    <w:rsid w:val="000B2942"/>
    <w:rsid w:val="000B3557"/>
    <w:rsid w:val="000B64E3"/>
    <w:rsid w:val="000C459F"/>
    <w:rsid w:val="000D1354"/>
    <w:rsid w:val="000D1568"/>
    <w:rsid w:val="000D5EF5"/>
    <w:rsid w:val="000D7811"/>
    <w:rsid w:val="000D7C54"/>
    <w:rsid w:val="000E0210"/>
    <w:rsid w:val="000E0CEA"/>
    <w:rsid w:val="000E446F"/>
    <w:rsid w:val="000E6AA5"/>
    <w:rsid w:val="000E7F56"/>
    <w:rsid w:val="000F1CDA"/>
    <w:rsid w:val="001039C2"/>
    <w:rsid w:val="001040AD"/>
    <w:rsid w:val="001053BD"/>
    <w:rsid w:val="0011178C"/>
    <w:rsid w:val="00112CF0"/>
    <w:rsid w:val="001211AB"/>
    <w:rsid w:val="001218B8"/>
    <w:rsid w:val="00124ED1"/>
    <w:rsid w:val="001313C7"/>
    <w:rsid w:val="00134594"/>
    <w:rsid w:val="00135B96"/>
    <w:rsid w:val="00136497"/>
    <w:rsid w:val="00141BD1"/>
    <w:rsid w:val="001441DA"/>
    <w:rsid w:val="00146F0F"/>
    <w:rsid w:val="00147115"/>
    <w:rsid w:val="001477CE"/>
    <w:rsid w:val="001525C5"/>
    <w:rsid w:val="001529CA"/>
    <w:rsid w:val="00160FE0"/>
    <w:rsid w:val="00161FB5"/>
    <w:rsid w:val="001639A7"/>
    <w:rsid w:val="0016723A"/>
    <w:rsid w:val="00170DC9"/>
    <w:rsid w:val="00171A05"/>
    <w:rsid w:val="00172F3A"/>
    <w:rsid w:val="00173002"/>
    <w:rsid w:val="001730FD"/>
    <w:rsid w:val="00173798"/>
    <w:rsid w:val="00173BE6"/>
    <w:rsid w:val="00173CC5"/>
    <w:rsid w:val="00173E72"/>
    <w:rsid w:val="001807C0"/>
    <w:rsid w:val="001811DE"/>
    <w:rsid w:val="00184825"/>
    <w:rsid w:val="00184C33"/>
    <w:rsid w:val="001858E3"/>
    <w:rsid w:val="00185D8A"/>
    <w:rsid w:val="00187145"/>
    <w:rsid w:val="001933D2"/>
    <w:rsid w:val="00196EDC"/>
    <w:rsid w:val="00197B21"/>
    <w:rsid w:val="001A197C"/>
    <w:rsid w:val="001A4336"/>
    <w:rsid w:val="001A55E0"/>
    <w:rsid w:val="001A6E8C"/>
    <w:rsid w:val="001B0110"/>
    <w:rsid w:val="001B3048"/>
    <w:rsid w:val="001B68B1"/>
    <w:rsid w:val="001B696E"/>
    <w:rsid w:val="001B6A56"/>
    <w:rsid w:val="001C469B"/>
    <w:rsid w:val="001C6A71"/>
    <w:rsid w:val="001C78A6"/>
    <w:rsid w:val="001D638B"/>
    <w:rsid w:val="001D6DFA"/>
    <w:rsid w:val="001E5573"/>
    <w:rsid w:val="001E6180"/>
    <w:rsid w:val="001E66B4"/>
    <w:rsid w:val="001E674B"/>
    <w:rsid w:val="001E68FC"/>
    <w:rsid w:val="001E72B6"/>
    <w:rsid w:val="001F4F5A"/>
    <w:rsid w:val="00204026"/>
    <w:rsid w:val="00212948"/>
    <w:rsid w:val="00217839"/>
    <w:rsid w:val="00223995"/>
    <w:rsid w:val="00224038"/>
    <w:rsid w:val="00225A3B"/>
    <w:rsid w:val="0022614E"/>
    <w:rsid w:val="0023081D"/>
    <w:rsid w:val="00230EC8"/>
    <w:rsid w:val="0023329C"/>
    <w:rsid w:val="00236DC0"/>
    <w:rsid w:val="002373A2"/>
    <w:rsid w:val="00242517"/>
    <w:rsid w:val="0024260B"/>
    <w:rsid w:val="0024401F"/>
    <w:rsid w:val="0024569B"/>
    <w:rsid w:val="00255B5A"/>
    <w:rsid w:val="002671A2"/>
    <w:rsid w:val="00267496"/>
    <w:rsid w:val="002703AD"/>
    <w:rsid w:val="00275AD0"/>
    <w:rsid w:val="00275B68"/>
    <w:rsid w:val="00281279"/>
    <w:rsid w:val="002845EA"/>
    <w:rsid w:val="00284E58"/>
    <w:rsid w:val="00286EBE"/>
    <w:rsid w:val="00295B70"/>
    <w:rsid w:val="002A2A08"/>
    <w:rsid w:val="002A2D93"/>
    <w:rsid w:val="002A3360"/>
    <w:rsid w:val="002A4E42"/>
    <w:rsid w:val="002A77C3"/>
    <w:rsid w:val="002B10B0"/>
    <w:rsid w:val="002B169C"/>
    <w:rsid w:val="002B6EFD"/>
    <w:rsid w:val="002B6F33"/>
    <w:rsid w:val="002B79F0"/>
    <w:rsid w:val="002B7F3E"/>
    <w:rsid w:val="002C1D9C"/>
    <w:rsid w:val="002C366F"/>
    <w:rsid w:val="002C4CA9"/>
    <w:rsid w:val="002D2270"/>
    <w:rsid w:val="002E25A8"/>
    <w:rsid w:val="002E747A"/>
    <w:rsid w:val="002F04DE"/>
    <w:rsid w:val="002F1CD3"/>
    <w:rsid w:val="002F6E28"/>
    <w:rsid w:val="002F7E68"/>
    <w:rsid w:val="00302E5E"/>
    <w:rsid w:val="003049FB"/>
    <w:rsid w:val="00305111"/>
    <w:rsid w:val="00307DEF"/>
    <w:rsid w:val="00310073"/>
    <w:rsid w:val="00311D33"/>
    <w:rsid w:val="00312AC6"/>
    <w:rsid w:val="00313664"/>
    <w:rsid w:val="00314F90"/>
    <w:rsid w:val="0033102E"/>
    <w:rsid w:val="00331401"/>
    <w:rsid w:val="00333234"/>
    <w:rsid w:val="00333737"/>
    <w:rsid w:val="00335ED1"/>
    <w:rsid w:val="00336DAB"/>
    <w:rsid w:val="00337EF8"/>
    <w:rsid w:val="003414F0"/>
    <w:rsid w:val="00342A60"/>
    <w:rsid w:val="0034379D"/>
    <w:rsid w:val="0034646D"/>
    <w:rsid w:val="00347BE5"/>
    <w:rsid w:val="003522E0"/>
    <w:rsid w:val="0035267F"/>
    <w:rsid w:val="0035580D"/>
    <w:rsid w:val="003639FB"/>
    <w:rsid w:val="00363BF7"/>
    <w:rsid w:val="003731D6"/>
    <w:rsid w:val="003770B8"/>
    <w:rsid w:val="00382AE5"/>
    <w:rsid w:val="003929D2"/>
    <w:rsid w:val="00393A29"/>
    <w:rsid w:val="00393C74"/>
    <w:rsid w:val="00393E3E"/>
    <w:rsid w:val="00393FA5"/>
    <w:rsid w:val="003A27BB"/>
    <w:rsid w:val="003A4A6F"/>
    <w:rsid w:val="003B466D"/>
    <w:rsid w:val="003B673D"/>
    <w:rsid w:val="003C2577"/>
    <w:rsid w:val="003C4448"/>
    <w:rsid w:val="003C457F"/>
    <w:rsid w:val="003C7E89"/>
    <w:rsid w:val="003D22D2"/>
    <w:rsid w:val="003D23C1"/>
    <w:rsid w:val="003D3D91"/>
    <w:rsid w:val="003D4708"/>
    <w:rsid w:val="003D477A"/>
    <w:rsid w:val="003E6615"/>
    <w:rsid w:val="003E79F9"/>
    <w:rsid w:val="003F12E9"/>
    <w:rsid w:val="003F59F4"/>
    <w:rsid w:val="00400770"/>
    <w:rsid w:val="0040477F"/>
    <w:rsid w:val="00404DCD"/>
    <w:rsid w:val="004077D6"/>
    <w:rsid w:val="004121E7"/>
    <w:rsid w:val="00414E51"/>
    <w:rsid w:val="00420DC1"/>
    <w:rsid w:val="00420F04"/>
    <w:rsid w:val="00423099"/>
    <w:rsid w:val="00423B99"/>
    <w:rsid w:val="00424E79"/>
    <w:rsid w:val="004252A7"/>
    <w:rsid w:val="00425414"/>
    <w:rsid w:val="00425669"/>
    <w:rsid w:val="0042661C"/>
    <w:rsid w:val="00426CED"/>
    <w:rsid w:val="004274B3"/>
    <w:rsid w:val="004377C0"/>
    <w:rsid w:val="00443EC1"/>
    <w:rsid w:val="00444DEC"/>
    <w:rsid w:val="00444FB2"/>
    <w:rsid w:val="00446C77"/>
    <w:rsid w:val="00451C5B"/>
    <w:rsid w:val="00452C01"/>
    <w:rsid w:val="00453264"/>
    <w:rsid w:val="00453FBC"/>
    <w:rsid w:val="00460E93"/>
    <w:rsid w:val="00462B54"/>
    <w:rsid w:val="00463064"/>
    <w:rsid w:val="00463BBD"/>
    <w:rsid w:val="00472461"/>
    <w:rsid w:val="004809B8"/>
    <w:rsid w:val="00481CEF"/>
    <w:rsid w:val="004821B9"/>
    <w:rsid w:val="0048476C"/>
    <w:rsid w:val="00485C2C"/>
    <w:rsid w:val="00491D88"/>
    <w:rsid w:val="00495C86"/>
    <w:rsid w:val="0049605C"/>
    <w:rsid w:val="004965F7"/>
    <w:rsid w:val="004A7048"/>
    <w:rsid w:val="004B0A0A"/>
    <w:rsid w:val="004B1C4B"/>
    <w:rsid w:val="004B2838"/>
    <w:rsid w:val="004B60CB"/>
    <w:rsid w:val="004C1CB5"/>
    <w:rsid w:val="004C5CE3"/>
    <w:rsid w:val="004D3F9B"/>
    <w:rsid w:val="004E769A"/>
    <w:rsid w:val="004F1B1E"/>
    <w:rsid w:val="00500ACD"/>
    <w:rsid w:val="00504061"/>
    <w:rsid w:val="00505BAE"/>
    <w:rsid w:val="00506956"/>
    <w:rsid w:val="00514E39"/>
    <w:rsid w:val="00515380"/>
    <w:rsid w:val="005153C2"/>
    <w:rsid w:val="00515C10"/>
    <w:rsid w:val="005163D2"/>
    <w:rsid w:val="0051757E"/>
    <w:rsid w:val="005176CA"/>
    <w:rsid w:val="005240E3"/>
    <w:rsid w:val="0052435E"/>
    <w:rsid w:val="00530AD8"/>
    <w:rsid w:val="00532D10"/>
    <w:rsid w:val="0053759E"/>
    <w:rsid w:val="00537A77"/>
    <w:rsid w:val="00540512"/>
    <w:rsid w:val="00541A14"/>
    <w:rsid w:val="00543F9C"/>
    <w:rsid w:val="00546D39"/>
    <w:rsid w:val="00550E84"/>
    <w:rsid w:val="00551368"/>
    <w:rsid w:val="00551756"/>
    <w:rsid w:val="005577B0"/>
    <w:rsid w:val="00560AEE"/>
    <w:rsid w:val="00562084"/>
    <w:rsid w:val="005651F4"/>
    <w:rsid w:val="00567389"/>
    <w:rsid w:val="00570EED"/>
    <w:rsid w:val="005716FC"/>
    <w:rsid w:val="00571C79"/>
    <w:rsid w:val="00575DEF"/>
    <w:rsid w:val="005774D1"/>
    <w:rsid w:val="00583A33"/>
    <w:rsid w:val="005867D2"/>
    <w:rsid w:val="00592B45"/>
    <w:rsid w:val="005963CC"/>
    <w:rsid w:val="00596E19"/>
    <w:rsid w:val="005A066D"/>
    <w:rsid w:val="005A241E"/>
    <w:rsid w:val="005A5904"/>
    <w:rsid w:val="005A6FED"/>
    <w:rsid w:val="005B1BC4"/>
    <w:rsid w:val="005B2B3D"/>
    <w:rsid w:val="005B2F89"/>
    <w:rsid w:val="005B6894"/>
    <w:rsid w:val="005B7121"/>
    <w:rsid w:val="005C13B2"/>
    <w:rsid w:val="005C2383"/>
    <w:rsid w:val="005C27E3"/>
    <w:rsid w:val="005C37CB"/>
    <w:rsid w:val="005C459C"/>
    <w:rsid w:val="005D044C"/>
    <w:rsid w:val="005D1A9F"/>
    <w:rsid w:val="005D52FA"/>
    <w:rsid w:val="005D5412"/>
    <w:rsid w:val="005E266F"/>
    <w:rsid w:val="005E5734"/>
    <w:rsid w:val="005E73CE"/>
    <w:rsid w:val="005F07DC"/>
    <w:rsid w:val="005F08E3"/>
    <w:rsid w:val="005F1F16"/>
    <w:rsid w:val="005F2A2A"/>
    <w:rsid w:val="005F3912"/>
    <w:rsid w:val="005F64FB"/>
    <w:rsid w:val="00601D86"/>
    <w:rsid w:val="0060251E"/>
    <w:rsid w:val="00602DDE"/>
    <w:rsid w:val="00611737"/>
    <w:rsid w:val="00611DF1"/>
    <w:rsid w:val="00614DE8"/>
    <w:rsid w:val="00622388"/>
    <w:rsid w:val="00622669"/>
    <w:rsid w:val="00622FE1"/>
    <w:rsid w:val="00625CE5"/>
    <w:rsid w:val="00627EDC"/>
    <w:rsid w:val="00635027"/>
    <w:rsid w:val="00644A7B"/>
    <w:rsid w:val="00644E9E"/>
    <w:rsid w:val="00653B1B"/>
    <w:rsid w:val="006556D9"/>
    <w:rsid w:val="006560A5"/>
    <w:rsid w:val="00661C46"/>
    <w:rsid w:val="00665216"/>
    <w:rsid w:val="006652D3"/>
    <w:rsid w:val="00667CF3"/>
    <w:rsid w:val="006769C4"/>
    <w:rsid w:val="00677627"/>
    <w:rsid w:val="00677BD5"/>
    <w:rsid w:val="0068025E"/>
    <w:rsid w:val="00685D70"/>
    <w:rsid w:val="0068747C"/>
    <w:rsid w:val="00690574"/>
    <w:rsid w:val="00693C87"/>
    <w:rsid w:val="00693E5C"/>
    <w:rsid w:val="006A05C7"/>
    <w:rsid w:val="006A3528"/>
    <w:rsid w:val="006A607B"/>
    <w:rsid w:val="006A6E27"/>
    <w:rsid w:val="006A72B0"/>
    <w:rsid w:val="006B3E4C"/>
    <w:rsid w:val="006B3E4D"/>
    <w:rsid w:val="006B4FCC"/>
    <w:rsid w:val="006C52B9"/>
    <w:rsid w:val="006D1DFE"/>
    <w:rsid w:val="006E6BC2"/>
    <w:rsid w:val="006E77BB"/>
    <w:rsid w:val="006F1F32"/>
    <w:rsid w:val="0070150E"/>
    <w:rsid w:val="00704880"/>
    <w:rsid w:val="00705DB8"/>
    <w:rsid w:val="007122C0"/>
    <w:rsid w:val="00713225"/>
    <w:rsid w:val="00723903"/>
    <w:rsid w:val="0072512A"/>
    <w:rsid w:val="00731BA5"/>
    <w:rsid w:val="00731EE6"/>
    <w:rsid w:val="007342F8"/>
    <w:rsid w:val="007355A6"/>
    <w:rsid w:val="00740A71"/>
    <w:rsid w:val="00741E33"/>
    <w:rsid w:val="007477C5"/>
    <w:rsid w:val="00747938"/>
    <w:rsid w:val="007527E9"/>
    <w:rsid w:val="00756A0C"/>
    <w:rsid w:val="00762803"/>
    <w:rsid w:val="007629C6"/>
    <w:rsid w:val="00762AFB"/>
    <w:rsid w:val="00765BA8"/>
    <w:rsid w:val="00766007"/>
    <w:rsid w:val="007663B3"/>
    <w:rsid w:val="00770A26"/>
    <w:rsid w:val="00771401"/>
    <w:rsid w:val="00771468"/>
    <w:rsid w:val="00775B1E"/>
    <w:rsid w:val="00776596"/>
    <w:rsid w:val="00785510"/>
    <w:rsid w:val="0079415F"/>
    <w:rsid w:val="007A1364"/>
    <w:rsid w:val="007A2206"/>
    <w:rsid w:val="007A24A0"/>
    <w:rsid w:val="007A460B"/>
    <w:rsid w:val="007A4AB2"/>
    <w:rsid w:val="007A5E68"/>
    <w:rsid w:val="007B1BF7"/>
    <w:rsid w:val="007B2E60"/>
    <w:rsid w:val="007C252B"/>
    <w:rsid w:val="007C404B"/>
    <w:rsid w:val="007C4BAE"/>
    <w:rsid w:val="007C6F2E"/>
    <w:rsid w:val="007D1D3B"/>
    <w:rsid w:val="007D5960"/>
    <w:rsid w:val="007D5E4E"/>
    <w:rsid w:val="007E114E"/>
    <w:rsid w:val="007E487F"/>
    <w:rsid w:val="007E4B2D"/>
    <w:rsid w:val="007E587D"/>
    <w:rsid w:val="007E6757"/>
    <w:rsid w:val="007E71E9"/>
    <w:rsid w:val="007F1873"/>
    <w:rsid w:val="007F1D06"/>
    <w:rsid w:val="008010D7"/>
    <w:rsid w:val="00803443"/>
    <w:rsid w:val="00804648"/>
    <w:rsid w:val="0080680D"/>
    <w:rsid w:val="00812C05"/>
    <w:rsid w:val="0081322A"/>
    <w:rsid w:val="008162AB"/>
    <w:rsid w:val="00820F73"/>
    <w:rsid w:val="00823793"/>
    <w:rsid w:val="00827DBF"/>
    <w:rsid w:val="00832FAF"/>
    <w:rsid w:val="00837C22"/>
    <w:rsid w:val="00840062"/>
    <w:rsid w:val="00843E6F"/>
    <w:rsid w:val="008450E0"/>
    <w:rsid w:val="0084594C"/>
    <w:rsid w:val="00846474"/>
    <w:rsid w:val="00846E4A"/>
    <w:rsid w:val="00851668"/>
    <w:rsid w:val="00851AF5"/>
    <w:rsid w:val="00851FB5"/>
    <w:rsid w:val="00854DAA"/>
    <w:rsid w:val="008647DE"/>
    <w:rsid w:val="00864B95"/>
    <w:rsid w:val="00865688"/>
    <w:rsid w:val="008705BD"/>
    <w:rsid w:val="00874F1B"/>
    <w:rsid w:val="00876F8D"/>
    <w:rsid w:val="008800D3"/>
    <w:rsid w:val="008837DB"/>
    <w:rsid w:val="00886CDD"/>
    <w:rsid w:val="0088799F"/>
    <w:rsid w:val="0089185A"/>
    <w:rsid w:val="0089214D"/>
    <w:rsid w:val="00893C0D"/>
    <w:rsid w:val="008A20DA"/>
    <w:rsid w:val="008A2240"/>
    <w:rsid w:val="008B5C8F"/>
    <w:rsid w:val="008B5F16"/>
    <w:rsid w:val="008B7722"/>
    <w:rsid w:val="008C0E5C"/>
    <w:rsid w:val="008C2FE8"/>
    <w:rsid w:val="008C435C"/>
    <w:rsid w:val="008C6FFF"/>
    <w:rsid w:val="008D348B"/>
    <w:rsid w:val="008E2BE4"/>
    <w:rsid w:val="008E6B4E"/>
    <w:rsid w:val="008E7970"/>
    <w:rsid w:val="008E7C34"/>
    <w:rsid w:val="008F0571"/>
    <w:rsid w:val="008F0C36"/>
    <w:rsid w:val="008F2724"/>
    <w:rsid w:val="008F377B"/>
    <w:rsid w:val="008F4B67"/>
    <w:rsid w:val="008F56A6"/>
    <w:rsid w:val="0090048E"/>
    <w:rsid w:val="00907093"/>
    <w:rsid w:val="0091074A"/>
    <w:rsid w:val="0091080D"/>
    <w:rsid w:val="00915512"/>
    <w:rsid w:val="00915669"/>
    <w:rsid w:val="009233CC"/>
    <w:rsid w:val="009240D8"/>
    <w:rsid w:val="0092523D"/>
    <w:rsid w:val="00930C7C"/>
    <w:rsid w:val="009360D7"/>
    <w:rsid w:val="009362C9"/>
    <w:rsid w:val="00942387"/>
    <w:rsid w:val="0094626F"/>
    <w:rsid w:val="009462D2"/>
    <w:rsid w:val="00962896"/>
    <w:rsid w:val="00963678"/>
    <w:rsid w:val="009652D5"/>
    <w:rsid w:val="009677F8"/>
    <w:rsid w:val="00971146"/>
    <w:rsid w:val="00972A9A"/>
    <w:rsid w:val="00973DA4"/>
    <w:rsid w:val="0097440A"/>
    <w:rsid w:val="00987E41"/>
    <w:rsid w:val="00991234"/>
    <w:rsid w:val="00991675"/>
    <w:rsid w:val="00992008"/>
    <w:rsid w:val="00996409"/>
    <w:rsid w:val="00996D00"/>
    <w:rsid w:val="009A03DC"/>
    <w:rsid w:val="009A6CF3"/>
    <w:rsid w:val="009B3074"/>
    <w:rsid w:val="009B43BF"/>
    <w:rsid w:val="009B4A2D"/>
    <w:rsid w:val="009B5A07"/>
    <w:rsid w:val="009C1E0B"/>
    <w:rsid w:val="009C536A"/>
    <w:rsid w:val="009C6CE4"/>
    <w:rsid w:val="009D46CB"/>
    <w:rsid w:val="009D545A"/>
    <w:rsid w:val="009D6D44"/>
    <w:rsid w:val="009E22FA"/>
    <w:rsid w:val="009E4744"/>
    <w:rsid w:val="009E4EC9"/>
    <w:rsid w:val="009E5D5A"/>
    <w:rsid w:val="009F2262"/>
    <w:rsid w:val="009F3B38"/>
    <w:rsid w:val="009F4ADA"/>
    <w:rsid w:val="009F6A0D"/>
    <w:rsid w:val="00A07991"/>
    <w:rsid w:val="00A10CDE"/>
    <w:rsid w:val="00A15CD8"/>
    <w:rsid w:val="00A1680D"/>
    <w:rsid w:val="00A17A66"/>
    <w:rsid w:val="00A23AB0"/>
    <w:rsid w:val="00A23C56"/>
    <w:rsid w:val="00A266C5"/>
    <w:rsid w:val="00A309C6"/>
    <w:rsid w:val="00A32E1D"/>
    <w:rsid w:val="00A32E4E"/>
    <w:rsid w:val="00A37A32"/>
    <w:rsid w:val="00A505DE"/>
    <w:rsid w:val="00A5327C"/>
    <w:rsid w:val="00A5721C"/>
    <w:rsid w:val="00A6006E"/>
    <w:rsid w:val="00A67913"/>
    <w:rsid w:val="00A67E4C"/>
    <w:rsid w:val="00A72797"/>
    <w:rsid w:val="00A807D5"/>
    <w:rsid w:val="00A81A94"/>
    <w:rsid w:val="00A84F5F"/>
    <w:rsid w:val="00A85D0F"/>
    <w:rsid w:val="00A86F9C"/>
    <w:rsid w:val="00A87294"/>
    <w:rsid w:val="00A9407A"/>
    <w:rsid w:val="00A95466"/>
    <w:rsid w:val="00A9681E"/>
    <w:rsid w:val="00AA007A"/>
    <w:rsid w:val="00AA35B4"/>
    <w:rsid w:val="00AA6D84"/>
    <w:rsid w:val="00AB073E"/>
    <w:rsid w:val="00AB1A13"/>
    <w:rsid w:val="00AB4E9F"/>
    <w:rsid w:val="00AC210F"/>
    <w:rsid w:val="00AC319E"/>
    <w:rsid w:val="00AD27E4"/>
    <w:rsid w:val="00AE3A1E"/>
    <w:rsid w:val="00AE5173"/>
    <w:rsid w:val="00AE734F"/>
    <w:rsid w:val="00AF04E8"/>
    <w:rsid w:val="00AF11B3"/>
    <w:rsid w:val="00AF2656"/>
    <w:rsid w:val="00AF6110"/>
    <w:rsid w:val="00AF6AC6"/>
    <w:rsid w:val="00B00611"/>
    <w:rsid w:val="00B04354"/>
    <w:rsid w:val="00B17994"/>
    <w:rsid w:val="00B249FC"/>
    <w:rsid w:val="00B24D9D"/>
    <w:rsid w:val="00B24FB0"/>
    <w:rsid w:val="00B2600F"/>
    <w:rsid w:val="00B317E7"/>
    <w:rsid w:val="00B33A57"/>
    <w:rsid w:val="00B34083"/>
    <w:rsid w:val="00B37728"/>
    <w:rsid w:val="00B45C64"/>
    <w:rsid w:val="00B46A32"/>
    <w:rsid w:val="00B46B29"/>
    <w:rsid w:val="00B53547"/>
    <w:rsid w:val="00B53597"/>
    <w:rsid w:val="00B552CE"/>
    <w:rsid w:val="00B55D3E"/>
    <w:rsid w:val="00B60D48"/>
    <w:rsid w:val="00B62590"/>
    <w:rsid w:val="00B6729F"/>
    <w:rsid w:val="00B706E2"/>
    <w:rsid w:val="00B7517F"/>
    <w:rsid w:val="00B8201D"/>
    <w:rsid w:val="00B82627"/>
    <w:rsid w:val="00B840F3"/>
    <w:rsid w:val="00B8688C"/>
    <w:rsid w:val="00B90AA7"/>
    <w:rsid w:val="00B916DA"/>
    <w:rsid w:val="00B92000"/>
    <w:rsid w:val="00B94335"/>
    <w:rsid w:val="00B948AB"/>
    <w:rsid w:val="00B95D56"/>
    <w:rsid w:val="00BA38F6"/>
    <w:rsid w:val="00BA4E2E"/>
    <w:rsid w:val="00BA65E5"/>
    <w:rsid w:val="00BA6CE2"/>
    <w:rsid w:val="00BB0125"/>
    <w:rsid w:val="00BB09DF"/>
    <w:rsid w:val="00BB3FC5"/>
    <w:rsid w:val="00BC2B3B"/>
    <w:rsid w:val="00BC4579"/>
    <w:rsid w:val="00BD3AD0"/>
    <w:rsid w:val="00BD3D24"/>
    <w:rsid w:val="00BD47D5"/>
    <w:rsid w:val="00BD4ACF"/>
    <w:rsid w:val="00BD70C8"/>
    <w:rsid w:val="00BE1677"/>
    <w:rsid w:val="00BE418D"/>
    <w:rsid w:val="00BF0DA9"/>
    <w:rsid w:val="00BF1BE0"/>
    <w:rsid w:val="00C0018A"/>
    <w:rsid w:val="00C00905"/>
    <w:rsid w:val="00C035B5"/>
    <w:rsid w:val="00C06B69"/>
    <w:rsid w:val="00C11ABD"/>
    <w:rsid w:val="00C14FB2"/>
    <w:rsid w:val="00C169F6"/>
    <w:rsid w:val="00C176AC"/>
    <w:rsid w:val="00C21EF9"/>
    <w:rsid w:val="00C222F7"/>
    <w:rsid w:val="00C24839"/>
    <w:rsid w:val="00C27C23"/>
    <w:rsid w:val="00C31C84"/>
    <w:rsid w:val="00C41551"/>
    <w:rsid w:val="00C41C84"/>
    <w:rsid w:val="00C53EA9"/>
    <w:rsid w:val="00C554D4"/>
    <w:rsid w:val="00C61B02"/>
    <w:rsid w:val="00C61F1C"/>
    <w:rsid w:val="00C626A9"/>
    <w:rsid w:val="00C719A2"/>
    <w:rsid w:val="00C72165"/>
    <w:rsid w:val="00C83041"/>
    <w:rsid w:val="00C83690"/>
    <w:rsid w:val="00C906CB"/>
    <w:rsid w:val="00C90B42"/>
    <w:rsid w:val="00C935A5"/>
    <w:rsid w:val="00C9475D"/>
    <w:rsid w:val="00C94B23"/>
    <w:rsid w:val="00C95056"/>
    <w:rsid w:val="00C951FD"/>
    <w:rsid w:val="00CA3946"/>
    <w:rsid w:val="00CA7F28"/>
    <w:rsid w:val="00CB0768"/>
    <w:rsid w:val="00CB131F"/>
    <w:rsid w:val="00CB4DCD"/>
    <w:rsid w:val="00CB4F2D"/>
    <w:rsid w:val="00CC1690"/>
    <w:rsid w:val="00CC37B2"/>
    <w:rsid w:val="00CC665A"/>
    <w:rsid w:val="00CD2873"/>
    <w:rsid w:val="00CE04A0"/>
    <w:rsid w:val="00CE34DC"/>
    <w:rsid w:val="00CE4017"/>
    <w:rsid w:val="00CE40CD"/>
    <w:rsid w:val="00CE607E"/>
    <w:rsid w:val="00CE6DF7"/>
    <w:rsid w:val="00CF4D92"/>
    <w:rsid w:val="00CF6736"/>
    <w:rsid w:val="00D01B3F"/>
    <w:rsid w:val="00D07FB4"/>
    <w:rsid w:val="00D21FA8"/>
    <w:rsid w:val="00D236B7"/>
    <w:rsid w:val="00D23E48"/>
    <w:rsid w:val="00D244BE"/>
    <w:rsid w:val="00D30A85"/>
    <w:rsid w:val="00D354D2"/>
    <w:rsid w:val="00D43096"/>
    <w:rsid w:val="00D43578"/>
    <w:rsid w:val="00D46AB2"/>
    <w:rsid w:val="00D47815"/>
    <w:rsid w:val="00D57A1B"/>
    <w:rsid w:val="00D656EB"/>
    <w:rsid w:val="00D70F09"/>
    <w:rsid w:val="00D771FD"/>
    <w:rsid w:val="00D7796D"/>
    <w:rsid w:val="00D8042B"/>
    <w:rsid w:val="00D81B18"/>
    <w:rsid w:val="00D83541"/>
    <w:rsid w:val="00D93A16"/>
    <w:rsid w:val="00D94342"/>
    <w:rsid w:val="00D9496D"/>
    <w:rsid w:val="00DA0768"/>
    <w:rsid w:val="00DA09BB"/>
    <w:rsid w:val="00DA161A"/>
    <w:rsid w:val="00DA17AD"/>
    <w:rsid w:val="00DA30AE"/>
    <w:rsid w:val="00DA346A"/>
    <w:rsid w:val="00DA514E"/>
    <w:rsid w:val="00DA5A94"/>
    <w:rsid w:val="00DB2355"/>
    <w:rsid w:val="00DB38B0"/>
    <w:rsid w:val="00DB3BB4"/>
    <w:rsid w:val="00DC0F02"/>
    <w:rsid w:val="00DC0F8D"/>
    <w:rsid w:val="00DC1662"/>
    <w:rsid w:val="00DC2284"/>
    <w:rsid w:val="00DC3CA4"/>
    <w:rsid w:val="00DD07F5"/>
    <w:rsid w:val="00DD312F"/>
    <w:rsid w:val="00DE1C0E"/>
    <w:rsid w:val="00DE4578"/>
    <w:rsid w:val="00DE69AC"/>
    <w:rsid w:val="00DF04DB"/>
    <w:rsid w:val="00DF04EE"/>
    <w:rsid w:val="00DF224B"/>
    <w:rsid w:val="00DF3E35"/>
    <w:rsid w:val="00E03ED5"/>
    <w:rsid w:val="00E06243"/>
    <w:rsid w:val="00E07169"/>
    <w:rsid w:val="00E07621"/>
    <w:rsid w:val="00E117A4"/>
    <w:rsid w:val="00E162A4"/>
    <w:rsid w:val="00E1688C"/>
    <w:rsid w:val="00E17E69"/>
    <w:rsid w:val="00E22665"/>
    <w:rsid w:val="00E30499"/>
    <w:rsid w:val="00E30B51"/>
    <w:rsid w:val="00E324BB"/>
    <w:rsid w:val="00E348BA"/>
    <w:rsid w:val="00E34A34"/>
    <w:rsid w:val="00E377E8"/>
    <w:rsid w:val="00E378DF"/>
    <w:rsid w:val="00E4120D"/>
    <w:rsid w:val="00E42394"/>
    <w:rsid w:val="00E43464"/>
    <w:rsid w:val="00E437BB"/>
    <w:rsid w:val="00E45D85"/>
    <w:rsid w:val="00E47A69"/>
    <w:rsid w:val="00E55CE3"/>
    <w:rsid w:val="00E571BB"/>
    <w:rsid w:val="00E60329"/>
    <w:rsid w:val="00E7024E"/>
    <w:rsid w:val="00E74435"/>
    <w:rsid w:val="00E758AD"/>
    <w:rsid w:val="00E77D4E"/>
    <w:rsid w:val="00E8659F"/>
    <w:rsid w:val="00E86C75"/>
    <w:rsid w:val="00E91860"/>
    <w:rsid w:val="00E954B7"/>
    <w:rsid w:val="00E958C9"/>
    <w:rsid w:val="00E95FA3"/>
    <w:rsid w:val="00E96981"/>
    <w:rsid w:val="00E96FDB"/>
    <w:rsid w:val="00E97BD6"/>
    <w:rsid w:val="00EA107B"/>
    <w:rsid w:val="00EA22E6"/>
    <w:rsid w:val="00EA2483"/>
    <w:rsid w:val="00EA30F7"/>
    <w:rsid w:val="00EB0C53"/>
    <w:rsid w:val="00EB4A21"/>
    <w:rsid w:val="00EB6D31"/>
    <w:rsid w:val="00EB73BB"/>
    <w:rsid w:val="00EC06CC"/>
    <w:rsid w:val="00EC16F1"/>
    <w:rsid w:val="00EC2ED1"/>
    <w:rsid w:val="00EC379C"/>
    <w:rsid w:val="00ED05D6"/>
    <w:rsid w:val="00ED0B2D"/>
    <w:rsid w:val="00ED0C6F"/>
    <w:rsid w:val="00ED2FCC"/>
    <w:rsid w:val="00ED5D3F"/>
    <w:rsid w:val="00EE5F75"/>
    <w:rsid w:val="00EF2722"/>
    <w:rsid w:val="00EF6805"/>
    <w:rsid w:val="00F00508"/>
    <w:rsid w:val="00F01E52"/>
    <w:rsid w:val="00F042DC"/>
    <w:rsid w:val="00F04309"/>
    <w:rsid w:val="00F046D9"/>
    <w:rsid w:val="00F07099"/>
    <w:rsid w:val="00F105EA"/>
    <w:rsid w:val="00F11117"/>
    <w:rsid w:val="00F12541"/>
    <w:rsid w:val="00F17982"/>
    <w:rsid w:val="00F22035"/>
    <w:rsid w:val="00F22D18"/>
    <w:rsid w:val="00F3280B"/>
    <w:rsid w:val="00F36C87"/>
    <w:rsid w:val="00F468FB"/>
    <w:rsid w:val="00F46927"/>
    <w:rsid w:val="00F4720B"/>
    <w:rsid w:val="00F533CE"/>
    <w:rsid w:val="00F55854"/>
    <w:rsid w:val="00F56813"/>
    <w:rsid w:val="00F63418"/>
    <w:rsid w:val="00F64713"/>
    <w:rsid w:val="00F70110"/>
    <w:rsid w:val="00F711DA"/>
    <w:rsid w:val="00F72C93"/>
    <w:rsid w:val="00F73B31"/>
    <w:rsid w:val="00F774C8"/>
    <w:rsid w:val="00F80A88"/>
    <w:rsid w:val="00F823F5"/>
    <w:rsid w:val="00F83306"/>
    <w:rsid w:val="00F86C57"/>
    <w:rsid w:val="00F9170D"/>
    <w:rsid w:val="00F94368"/>
    <w:rsid w:val="00F9494C"/>
    <w:rsid w:val="00FA15C8"/>
    <w:rsid w:val="00FA2D86"/>
    <w:rsid w:val="00FA348C"/>
    <w:rsid w:val="00FA7698"/>
    <w:rsid w:val="00FB0AD8"/>
    <w:rsid w:val="00FB4DBB"/>
    <w:rsid w:val="00FB5DDF"/>
    <w:rsid w:val="00FB5F8A"/>
    <w:rsid w:val="00FB6811"/>
    <w:rsid w:val="00FC0203"/>
    <w:rsid w:val="00FD3ED0"/>
    <w:rsid w:val="00FE2C17"/>
    <w:rsid w:val="00FE6C7F"/>
    <w:rsid w:val="00FF072F"/>
    <w:rsid w:val="00FF0E2B"/>
    <w:rsid w:val="00FF23E7"/>
    <w:rsid w:val="00FF44E3"/>
    <w:rsid w:val="00FF7C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toc 1" w:uiPriority="39"/>
    <w:lsdException w:name="toc 3" w:uiPriority="39"/>
    <w:lsdException w:name="toc 4" w:uiPriority="39"/>
    <w:lsdException w:name="footnote text" w:qFormat="1"/>
    <w:lsdException w:name="footer" w:uiPriority="99"/>
    <w:lsdException w:name="Default Paragraph Font" w:uiPriority="1"/>
    <w:lsdException w:name="Hyperlink"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532D10"/>
    <w:pPr>
      <w:tabs>
        <w:tab w:val="left" w:pos="567"/>
      </w:tabs>
      <w:spacing w:after="80" w:line="320" w:lineRule="atLeast"/>
    </w:pPr>
    <w:rPr>
      <w:sz w:val="24"/>
    </w:rPr>
  </w:style>
  <w:style w:type="paragraph" w:styleId="Heading1">
    <w:name w:val="heading 1"/>
    <w:basedOn w:val="Normal"/>
    <w:next w:val="Heading2"/>
    <w:link w:val="Heading1Char"/>
    <w:qFormat/>
    <w:rsid w:val="00622669"/>
    <w:pPr>
      <w:keepNext/>
      <w:widowControl w:val="0"/>
      <w:pBdr>
        <w:bottom w:val="single" w:sz="4" w:space="1" w:color="auto"/>
      </w:pBdr>
      <w:spacing w:before="800" w:after="0" w:line="240" w:lineRule="auto"/>
      <w:outlineLvl w:val="0"/>
    </w:pPr>
    <w:rPr>
      <w:rFonts w:eastAsiaTheme="majorEastAsia" w:cstheme="majorBidi"/>
      <w:b/>
      <w:bCs/>
      <w:caps/>
      <w:color w:val="2C8558"/>
      <w:sz w:val="40"/>
      <w:szCs w:val="28"/>
    </w:rPr>
  </w:style>
  <w:style w:type="paragraph" w:styleId="Heading2">
    <w:name w:val="heading 2"/>
    <w:basedOn w:val="Normal"/>
    <w:next w:val="Heading3"/>
    <w:link w:val="Heading2Char"/>
    <w:uiPriority w:val="9"/>
    <w:qFormat/>
    <w:rsid w:val="00622669"/>
    <w:pPr>
      <w:keepNext/>
      <w:widowControl w:val="0"/>
      <w:spacing w:before="100" w:after="720" w:line="240" w:lineRule="auto"/>
      <w:outlineLvl w:val="1"/>
    </w:pPr>
    <w:rPr>
      <w:rFonts w:eastAsiaTheme="majorEastAsia" w:cstheme="majorBidi"/>
      <w:b/>
      <w:bCs/>
      <w:caps/>
      <w:color w:val="2C8558"/>
      <w:sz w:val="40"/>
      <w:szCs w:val="26"/>
    </w:rPr>
  </w:style>
  <w:style w:type="paragraph" w:styleId="Heading3">
    <w:name w:val="heading 3"/>
    <w:basedOn w:val="Normal"/>
    <w:next w:val="Heading4"/>
    <w:link w:val="Heading3Char"/>
    <w:uiPriority w:val="9"/>
    <w:qFormat/>
    <w:rsid w:val="00622669"/>
    <w:pPr>
      <w:keepNext/>
      <w:widowControl w:val="0"/>
      <w:spacing w:before="600" w:after="200" w:line="240" w:lineRule="auto"/>
      <w:outlineLvl w:val="2"/>
    </w:pPr>
    <w:rPr>
      <w:rFonts w:eastAsiaTheme="majorEastAsia" w:cstheme="majorBidi"/>
      <w:b/>
      <w:bCs/>
      <w:caps/>
      <w:color w:val="2C8558"/>
      <w:sz w:val="32"/>
    </w:rPr>
  </w:style>
  <w:style w:type="paragraph" w:styleId="Heading4">
    <w:name w:val="heading 4"/>
    <w:basedOn w:val="Normal"/>
    <w:next w:val="Heading5"/>
    <w:link w:val="Heading4Char"/>
    <w:uiPriority w:val="9"/>
    <w:qFormat/>
    <w:rsid w:val="00622669"/>
    <w:pPr>
      <w:keepNext/>
      <w:widowControl w:val="0"/>
      <w:spacing w:before="300" w:after="40" w:line="240" w:lineRule="auto"/>
      <w:outlineLvl w:val="3"/>
    </w:pPr>
    <w:rPr>
      <w:rFonts w:eastAsiaTheme="majorEastAsia" w:cstheme="majorBidi"/>
      <w:b/>
      <w:bCs/>
      <w:iCs/>
      <w:color w:val="2C8558"/>
      <w:sz w:val="32"/>
    </w:rPr>
  </w:style>
  <w:style w:type="paragraph" w:styleId="Heading5">
    <w:name w:val="heading 5"/>
    <w:basedOn w:val="Normal"/>
    <w:next w:val="Heading6"/>
    <w:link w:val="Heading5Char"/>
    <w:uiPriority w:val="9"/>
    <w:qFormat/>
    <w:rsid w:val="00622669"/>
    <w:pPr>
      <w:keepNext/>
      <w:tabs>
        <w:tab w:val="clear" w:pos="567"/>
      </w:tabs>
      <w:spacing w:before="300" w:after="40" w:line="240" w:lineRule="auto"/>
      <w:outlineLvl w:val="4"/>
    </w:pPr>
    <w:rPr>
      <w:rFonts w:eastAsiaTheme="majorEastAsia" w:cstheme="majorBidi"/>
      <w:b/>
      <w:i/>
      <w:color w:val="2C8558"/>
      <w:sz w:val="28"/>
    </w:rPr>
  </w:style>
  <w:style w:type="paragraph" w:styleId="Heading6">
    <w:name w:val="heading 6"/>
    <w:basedOn w:val="Normal"/>
    <w:next w:val="Normal"/>
    <w:link w:val="Heading6Char"/>
    <w:uiPriority w:val="9"/>
    <w:qFormat/>
    <w:rsid w:val="00622669"/>
    <w:pPr>
      <w:keepNext/>
      <w:keepLines/>
      <w:spacing w:before="120"/>
      <w:outlineLvl w:val="5"/>
    </w:pPr>
    <w:rPr>
      <w:rFonts w:eastAsiaTheme="majorEastAsia" w:cstheme="majorBidi"/>
      <w:b/>
      <w:i/>
      <w:iCs/>
      <w:color w:val="2C8558"/>
      <w:sz w:val="28"/>
    </w:rPr>
  </w:style>
  <w:style w:type="paragraph" w:styleId="Heading7">
    <w:name w:val="heading 7"/>
    <w:basedOn w:val="Normal"/>
    <w:next w:val="Normal"/>
    <w:link w:val="Heading7Char"/>
    <w:uiPriority w:val="9"/>
    <w:semiHidden/>
    <w:rsid w:val="006226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7"/>
      </w:numPr>
      <w:spacing w:before="240" w:after="60"/>
      <w:outlineLvl w:val="7"/>
    </w:pPr>
    <w:rPr>
      <w:rFonts w:ascii="Arial" w:hAnsi="Arial"/>
      <w:i/>
      <w:sz w:val="20"/>
      <w:szCs w:val="20"/>
    </w:rPr>
  </w:style>
  <w:style w:type="paragraph" w:styleId="Heading9">
    <w:name w:val="heading 9"/>
    <w:aliases w:val="Heading 9 (Do not use),(Subsubsection Nos)"/>
    <w:basedOn w:val="Normal"/>
    <w:next w:val="Normal"/>
    <w:semiHidden/>
    <w:rsid w:val="00765BA8"/>
    <w:pPr>
      <w:numPr>
        <w:ilvl w:val="8"/>
        <w:numId w:val="17"/>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622669"/>
    <w:pPr>
      <w:spacing w:after="0" w:line="240" w:lineRule="auto"/>
    </w:pPr>
    <w:rPr>
      <w:rFonts w:ascii="Tahoma" w:hAnsi="Tahoma" w:cs="Tahoma"/>
      <w:sz w:val="16"/>
      <w:szCs w:val="16"/>
    </w:rPr>
  </w:style>
  <w:style w:type="paragraph" w:styleId="Caption">
    <w:name w:val="caption"/>
    <w:basedOn w:val="Normal"/>
    <w:next w:val="Normal"/>
    <w:link w:val="CaptionChar"/>
    <w:rsid w:val="00622669"/>
    <w:pPr>
      <w:keepNext/>
      <w:keepLines/>
      <w:tabs>
        <w:tab w:val="clear" w:pos="567"/>
        <w:tab w:val="left" w:pos="1418"/>
      </w:tabs>
      <w:spacing w:before="240" w:after="120" w:line="240" w:lineRule="auto"/>
      <w:ind w:left="1418" w:hanging="1418"/>
    </w:pPr>
    <w:rPr>
      <w:b/>
      <w:bCs/>
      <w:szCs w:val="20"/>
    </w:rPr>
  </w:style>
  <w:style w:type="paragraph" w:customStyle="1" w:styleId="CGCBulletlist">
    <w:name w:val="CGC Bullet list"/>
    <w:aliases w:val="CGC List 1"/>
    <w:basedOn w:val="Normal"/>
    <w:link w:val="CGCBulletlistCharChar"/>
    <w:qFormat/>
    <w:rsid w:val="00DC0F02"/>
    <w:pPr>
      <w:numPr>
        <w:numId w:val="36"/>
      </w:numPr>
      <w:tabs>
        <w:tab w:val="clear" w:pos="567"/>
        <w:tab w:val="clear" w:pos="927"/>
        <w:tab w:val="left" w:pos="1134"/>
      </w:tabs>
      <w:spacing w:before="80" w:line="300" w:lineRule="atLeast"/>
      <w:ind w:left="1134" w:hanging="567"/>
    </w:pPr>
    <w:rPr>
      <w:szCs w:val="20"/>
    </w:rPr>
  </w:style>
  <w:style w:type="paragraph" w:customStyle="1" w:styleId="CGCNumeralList">
    <w:name w:val="CGC Numeral List"/>
    <w:aliases w:val="CGC List 3"/>
    <w:basedOn w:val="Normal"/>
    <w:qFormat/>
    <w:rsid w:val="00622669"/>
    <w:pPr>
      <w:numPr>
        <w:numId w:val="38"/>
      </w:numPr>
      <w:tabs>
        <w:tab w:val="clear" w:pos="567"/>
      </w:tabs>
      <w:spacing w:line="300" w:lineRule="atLeast"/>
    </w:pPr>
    <w:rPr>
      <w:szCs w:val="20"/>
    </w:rPr>
  </w:style>
  <w:style w:type="paragraph" w:customStyle="1" w:styleId="CGCNumberedPara">
    <w:name w:val="CGC Numbered Para"/>
    <w:aliases w:val="CGC Para No"/>
    <w:basedOn w:val="Normal"/>
    <w:link w:val="CGCParaNoChar"/>
    <w:qFormat/>
    <w:rsid w:val="00622669"/>
    <w:pPr>
      <w:numPr>
        <w:ilvl w:val="1"/>
        <w:numId w:val="37"/>
      </w:numPr>
      <w:spacing w:before="120"/>
    </w:pPr>
    <w:rPr>
      <w:szCs w:val="24"/>
    </w:rPr>
  </w:style>
  <w:style w:type="paragraph" w:customStyle="1" w:styleId="CGCQuotation">
    <w:name w:val="CGC Quotation"/>
    <w:basedOn w:val="Normal"/>
    <w:next w:val="CGCNumberedPara"/>
    <w:rsid w:val="00622669"/>
    <w:pPr>
      <w:tabs>
        <w:tab w:val="clear" w:pos="567"/>
      </w:tabs>
      <w:spacing w:before="120" w:after="120" w:line="240" w:lineRule="auto"/>
      <w:ind w:left="1134" w:right="1134"/>
    </w:pPr>
    <w:rPr>
      <w:sz w:val="22"/>
      <w:szCs w:val="24"/>
    </w:rPr>
  </w:style>
  <w:style w:type="paragraph" w:customStyle="1" w:styleId="CGCSubbulletlist">
    <w:name w:val="CGC Sub bullet list"/>
    <w:aliases w:val="CGC List 2"/>
    <w:basedOn w:val="Normal"/>
    <w:qFormat/>
    <w:rsid w:val="00C21EF9"/>
    <w:pPr>
      <w:numPr>
        <w:numId w:val="39"/>
      </w:numPr>
      <w:tabs>
        <w:tab w:val="clear" w:pos="567"/>
        <w:tab w:val="clear" w:pos="927"/>
        <w:tab w:val="left" w:pos="1701"/>
      </w:tabs>
      <w:spacing w:line="300" w:lineRule="atLeast"/>
      <w:ind w:left="1701" w:hanging="567"/>
    </w:pPr>
    <w:rPr>
      <w:szCs w:val="20"/>
    </w:rPr>
  </w:style>
  <w:style w:type="paragraph" w:customStyle="1" w:styleId="CGCQuotationBullet">
    <w:name w:val="CGC Quotation Bullet"/>
    <w:basedOn w:val="CGCSubbulletlist"/>
    <w:rsid w:val="00622669"/>
    <w:pPr>
      <w:numPr>
        <w:numId w:val="40"/>
      </w:numPr>
      <w:ind w:right="1134"/>
    </w:pPr>
    <w:rPr>
      <w:sz w:val="22"/>
    </w:rPr>
  </w:style>
  <w:style w:type="paragraph" w:customStyle="1" w:styleId="CGCTableFootnote">
    <w:name w:val="CGC Table Footnote"/>
    <w:basedOn w:val="CGCNumberedPara"/>
    <w:next w:val="NoSpacing"/>
    <w:qFormat/>
    <w:rsid w:val="00622669"/>
    <w:pPr>
      <w:numPr>
        <w:ilvl w:val="0"/>
        <w:numId w:val="0"/>
      </w:numPr>
      <w:tabs>
        <w:tab w:val="left" w:pos="851"/>
      </w:tabs>
      <w:spacing w:before="0" w:after="0" w:line="240" w:lineRule="auto"/>
      <w:ind w:left="851" w:hanging="851"/>
    </w:pPr>
    <w:rPr>
      <w:sz w:val="20"/>
    </w:rPr>
  </w:style>
  <w:style w:type="paragraph" w:customStyle="1" w:styleId="CGCTableHeading">
    <w:name w:val="CGC Table Heading"/>
    <w:basedOn w:val="Normal"/>
    <w:next w:val="Normal"/>
    <w:qFormat/>
    <w:rsid w:val="00622669"/>
    <w:pPr>
      <w:keepNext/>
      <w:keepLines/>
      <w:tabs>
        <w:tab w:val="clear" w:pos="567"/>
        <w:tab w:val="left" w:pos="1420"/>
      </w:tabs>
      <w:spacing w:before="240" w:after="120" w:line="240" w:lineRule="auto"/>
      <w:ind w:left="1418" w:hanging="1418"/>
    </w:pPr>
    <w:rPr>
      <w:b/>
      <w:szCs w:val="20"/>
    </w:rPr>
  </w:style>
  <w:style w:type="paragraph" w:customStyle="1" w:styleId="TableRowNormal">
    <w:name w:val="TableRowNormal"/>
    <w:basedOn w:val="Normal"/>
    <w:rsid w:val="00765BA8"/>
    <w:pPr>
      <w:keepNext/>
      <w:keepLines/>
      <w:tabs>
        <w:tab w:val="left" w:pos="475"/>
        <w:tab w:val="left" w:pos="1440"/>
        <w:tab w:val="left" w:pos="2160"/>
        <w:tab w:val="left" w:pos="2880"/>
      </w:tabs>
      <w:spacing w:before="60" w:after="60" w:line="200" w:lineRule="atLeast"/>
      <w:ind w:left="144" w:hanging="144"/>
      <w:jc w:val="right"/>
    </w:pPr>
    <w:rPr>
      <w:sz w:val="20"/>
      <w:szCs w:val="20"/>
    </w:rPr>
  </w:style>
  <w:style w:type="paragraph" w:customStyle="1" w:styleId="CGCTableStub">
    <w:name w:val="CGC Table Stub"/>
    <w:basedOn w:val="Normal"/>
    <w:rsid w:val="00622669"/>
    <w:pPr>
      <w:keepNext/>
      <w:keepLines/>
      <w:tabs>
        <w:tab w:val="left" w:pos="284"/>
      </w:tabs>
      <w:spacing w:before="60" w:after="60" w:line="200" w:lineRule="atLeast"/>
    </w:pPr>
    <w:rPr>
      <w:sz w:val="20"/>
      <w:szCs w:val="20"/>
    </w:rPr>
  </w:style>
  <w:style w:type="character" w:styleId="CommentReference">
    <w:name w:val="annotation reference"/>
    <w:basedOn w:val="DefaultParagraphFont"/>
    <w:rsid w:val="00765BA8"/>
    <w:rPr>
      <w:sz w:val="16"/>
      <w:szCs w:val="16"/>
    </w:rPr>
  </w:style>
  <w:style w:type="paragraph" w:styleId="CommentText">
    <w:name w:val="annotation text"/>
    <w:basedOn w:val="Normal"/>
    <w:rsid w:val="00765BA8"/>
    <w:rPr>
      <w:sz w:val="20"/>
      <w:szCs w:val="20"/>
    </w:rPr>
  </w:style>
  <w:style w:type="paragraph" w:styleId="CommentSubject">
    <w:name w:val="annotation subject"/>
    <w:basedOn w:val="CommentText"/>
    <w:next w:val="CommentText"/>
    <w:rsid w:val="00765BA8"/>
    <w:rPr>
      <w:b/>
      <w:bCs/>
    </w:rPr>
  </w:style>
  <w:style w:type="paragraph" w:styleId="DocumentMap">
    <w:name w:val="Document Map"/>
    <w:basedOn w:val="Normal"/>
    <w:rsid w:val="00765BA8"/>
    <w:pPr>
      <w:shd w:val="clear" w:color="auto" w:fill="000080"/>
    </w:pPr>
    <w:rPr>
      <w:rFonts w:ascii="Tahoma" w:hAnsi="Tahoma" w:cs="Tahoma"/>
      <w:sz w:val="20"/>
      <w:szCs w:val="20"/>
    </w:rPr>
  </w:style>
  <w:style w:type="character" w:styleId="EndnoteReference">
    <w:name w:val="endnote reference"/>
    <w:basedOn w:val="DefaultParagraphFont"/>
    <w:rsid w:val="00765BA8"/>
    <w:rPr>
      <w:vertAlign w:val="superscript"/>
    </w:rPr>
  </w:style>
  <w:style w:type="paragraph" w:styleId="EndnoteText">
    <w:name w:val="endnote text"/>
    <w:basedOn w:val="Normal"/>
    <w:rsid w:val="00765BA8"/>
    <w:rPr>
      <w:sz w:val="20"/>
      <w:szCs w:val="20"/>
    </w:rPr>
  </w:style>
  <w:style w:type="paragraph" w:styleId="Footer">
    <w:name w:val="footer"/>
    <w:basedOn w:val="Normal"/>
    <w:link w:val="FooterChar"/>
    <w:uiPriority w:val="99"/>
    <w:unhideWhenUsed/>
    <w:rsid w:val="00622669"/>
    <w:pPr>
      <w:tabs>
        <w:tab w:val="clear" w:pos="567"/>
        <w:tab w:val="center" w:pos="4513"/>
        <w:tab w:val="right" w:pos="9026"/>
      </w:tabs>
      <w:spacing w:after="0" w:line="240" w:lineRule="auto"/>
    </w:pPr>
  </w:style>
  <w:style w:type="character" w:styleId="FootnoteReference">
    <w:name w:val="footnote reference"/>
    <w:basedOn w:val="DefaultParagraphFont"/>
    <w:rsid w:val="00765BA8"/>
    <w:rPr>
      <w:vertAlign w:val="superscript"/>
    </w:rPr>
  </w:style>
  <w:style w:type="paragraph" w:styleId="FootnoteText">
    <w:name w:val="footnote text"/>
    <w:basedOn w:val="Normal"/>
    <w:link w:val="FootnoteTextChar"/>
    <w:qFormat/>
    <w:rsid w:val="00622669"/>
    <w:pPr>
      <w:spacing w:after="0" w:line="240" w:lineRule="auto"/>
      <w:ind w:left="567" w:hanging="567"/>
    </w:pPr>
    <w:rPr>
      <w:sz w:val="20"/>
      <w:szCs w:val="20"/>
    </w:rPr>
  </w:style>
  <w:style w:type="paragraph" w:styleId="Header">
    <w:name w:val="header"/>
    <w:basedOn w:val="Normal"/>
    <w:link w:val="HeaderChar"/>
    <w:unhideWhenUsed/>
    <w:rsid w:val="00622669"/>
    <w:pPr>
      <w:tabs>
        <w:tab w:val="clear" w:pos="567"/>
        <w:tab w:val="center" w:pos="4513"/>
        <w:tab w:val="right" w:pos="9026"/>
      </w:tabs>
      <w:spacing w:after="0" w:line="240" w:lineRule="auto"/>
    </w:pPr>
  </w:style>
  <w:style w:type="character" w:styleId="Hyperlink">
    <w:name w:val="Hyperlink"/>
    <w:basedOn w:val="DefaultParagraphFont"/>
    <w:uiPriority w:val="99"/>
    <w:rsid w:val="00765BA8"/>
    <w:rPr>
      <w:color w:val="0000FF"/>
      <w:u w:val="single"/>
    </w:rPr>
  </w:style>
  <w:style w:type="paragraph" w:styleId="Index1">
    <w:name w:val="index 1"/>
    <w:basedOn w:val="Normal"/>
    <w:rsid w:val="00212948"/>
  </w:style>
  <w:style w:type="paragraph" w:styleId="Index2">
    <w:name w:val="index 2"/>
    <w:basedOn w:val="Normal"/>
    <w:next w:val="Index1"/>
    <w:rsid w:val="00212948"/>
    <w:pPr>
      <w:ind w:left="284"/>
    </w:pPr>
  </w:style>
  <w:style w:type="paragraph" w:styleId="Index3">
    <w:name w:val="index 3"/>
    <w:basedOn w:val="Normal"/>
    <w:next w:val="Index1"/>
    <w:rsid w:val="00212948"/>
    <w:pPr>
      <w:ind w:left="567"/>
    </w:pPr>
  </w:style>
  <w:style w:type="paragraph" w:styleId="Index4">
    <w:name w:val="index 4"/>
    <w:basedOn w:val="Normal"/>
    <w:next w:val="Normal"/>
    <w:rsid w:val="00765BA8"/>
    <w:pPr>
      <w:ind w:left="880" w:hanging="220"/>
    </w:pPr>
  </w:style>
  <w:style w:type="paragraph" w:styleId="Index5">
    <w:name w:val="index 5"/>
    <w:basedOn w:val="Normal"/>
    <w:next w:val="Normal"/>
    <w:rsid w:val="00765BA8"/>
    <w:pPr>
      <w:ind w:left="1100" w:hanging="220"/>
    </w:pPr>
  </w:style>
  <w:style w:type="paragraph" w:styleId="Index6">
    <w:name w:val="index 6"/>
    <w:basedOn w:val="Normal"/>
    <w:next w:val="Normal"/>
    <w:rsid w:val="00765BA8"/>
    <w:pPr>
      <w:ind w:left="1320" w:hanging="220"/>
    </w:pPr>
  </w:style>
  <w:style w:type="paragraph" w:styleId="Index7">
    <w:name w:val="index 7"/>
    <w:basedOn w:val="Normal"/>
    <w:next w:val="Normal"/>
    <w:rsid w:val="00765BA8"/>
    <w:pPr>
      <w:ind w:left="1540" w:hanging="220"/>
    </w:pPr>
  </w:style>
  <w:style w:type="paragraph" w:styleId="Index8">
    <w:name w:val="index 8"/>
    <w:basedOn w:val="Normal"/>
    <w:next w:val="Normal"/>
    <w:rsid w:val="00765BA8"/>
    <w:pPr>
      <w:ind w:left="1760" w:hanging="220"/>
    </w:pPr>
  </w:style>
  <w:style w:type="paragraph" w:styleId="Index9">
    <w:name w:val="index 9"/>
    <w:basedOn w:val="Normal"/>
    <w:next w:val="Normal"/>
    <w:rsid w:val="00765BA8"/>
    <w:pPr>
      <w:ind w:left="1980" w:hanging="220"/>
    </w:pPr>
  </w:style>
  <w:style w:type="paragraph" w:styleId="IndexHeading">
    <w:name w:val="index heading"/>
    <w:basedOn w:val="Normal"/>
    <w:next w:val="Index1"/>
    <w:rsid w:val="00765BA8"/>
  </w:style>
  <w:style w:type="paragraph" w:styleId="List">
    <w:name w:val="List"/>
    <w:basedOn w:val="Normal"/>
    <w:rsid w:val="003A27BB"/>
    <w:pPr>
      <w:spacing w:line="300" w:lineRule="atLeast"/>
    </w:pPr>
  </w:style>
  <w:style w:type="paragraph" w:styleId="MacroText">
    <w:name w:val="macro"/>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765BA8"/>
  </w:style>
  <w:style w:type="paragraph" w:customStyle="1" w:styleId="Single">
    <w:name w:val="Single"/>
    <w:basedOn w:val="Normal"/>
    <w:next w:val="CGCNumberedPara"/>
    <w:rsid w:val="00765BA8"/>
    <w:pPr>
      <w:spacing w:after="0" w:line="240" w:lineRule="auto"/>
    </w:pPr>
  </w:style>
  <w:style w:type="table" w:styleId="TableGrid">
    <w:name w:val="Table Grid"/>
    <w:basedOn w:val="TableNormal"/>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765BA8"/>
    <w:pPr>
      <w:tabs>
        <w:tab w:val="clear" w:pos="567"/>
      </w:tabs>
      <w:ind w:left="220" w:hanging="220"/>
    </w:pPr>
  </w:style>
  <w:style w:type="paragraph" w:styleId="TableofFigures">
    <w:name w:val="table of figures"/>
    <w:basedOn w:val="Normal"/>
    <w:next w:val="Normal"/>
    <w:rsid w:val="00765BA8"/>
    <w:pPr>
      <w:tabs>
        <w:tab w:val="clear" w:pos="567"/>
      </w:tabs>
    </w:pPr>
  </w:style>
  <w:style w:type="paragraph" w:customStyle="1" w:styleId="TableColHeadings">
    <w:name w:val="TableColHeadings"/>
    <w:basedOn w:val="Normal"/>
    <w:rsid w:val="00765BA8"/>
    <w:pPr>
      <w:keepNext/>
      <w:keepLines/>
      <w:tabs>
        <w:tab w:val="left" w:pos="475"/>
        <w:tab w:val="left" w:pos="1440"/>
        <w:tab w:val="left" w:pos="2160"/>
        <w:tab w:val="left" w:pos="2880"/>
      </w:tabs>
      <w:spacing w:before="60" w:after="60" w:line="240" w:lineRule="auto"/>
      <w:jc w:val="right"/>
    </w:pPr>
    <w:rPr>
      <w:sz w:val="20"/>
      <w:szCs w:val="20"/>
    </w:rPr>
  </w:style>
  <w:style w:type="paragraph" w:customStyle="1" w:styleId="TableRowUnits">
    <w:name w:val="TableRowUnits"/>
    <w:basedOn w:val="Normal"/>
    <w:rsid w:val="00765BA8"/>
    <w:pPr>
      <w:keepNext/>
      <w:keepLines/>
      <w:tabs>
        <w:tab w:val="left" w:pos="475"/>
        <w:tab w:val="left" w:pos="1440"/>
        <w:tab w:val="left" w:pos="2160"/>
        <w:tab w:val="left" w:pos="2880"/>
      </w:tabs>
      <w:spacing w:after="0" w:line="240" w:lineRule="auto"/>
      <w:jc w:val="right"/>
    </w:pPr>
    <w:rPr>
      <w:sz w:val="20"/>
      <w:szCs w:val="20"/>
    </w:rPr>
  </w:style>
  <w:style w:type="paragraph" w:styleId="TOAHeading">
    <w:name w:val="toa heading"/>
    <w:basedOn w:val="Normal"/>
    <w:next w:val="Normal"/>
    <w:rsid w:val="003A27BB"/>
    <w:pPr>
      <w:spacing w:before="120"/>
    </w:pPr>
    <w:rPr>
      <w:rFonts w:cs="Arial"/>
      <w:b/>
      <w:bCs/>
    </w:rPr>
  </w:style>
  <w:style w:type="paragraph" w:styleId="TOC1">
    <w:name w:val="toc 1"/>
    <w:basedOn w:val="Normal"/>
    <w:next w:val="Normal"/>
    <w:uiPriority w:val="39"/>
    <w:rsid w:val="00996409"/>
    <w:pPr>
      <w:tabs>
        <w:tab w:val="clear" w:pos="567"/>
        <w:tab w:val="right" w:pos="8942"/>
      </w:tabs>
      <w:spacing w:before="120" w:after="120"/>
    </w:pPr>
    <w:rPr>
      <w:b/>
      <w:bCs/>
      <w:caps/>
      <w:szCs w:val="20"/>
    </w:rPr>
  </w:style>
  <w:style w:type="paragraph" w:styleId="TOC2">
    <w:name w:val="toc 2"/>
    <w:basedOn w:val="Normal"/>
    <w:next w:val="Normal"/>
    <w:rsid w:val="00DE1C0E"/>
    <w:pPr>
      <w:tabs>
        <w:tab w:val="clear" w:pos="567"/>
        <w:tab w:val="right" w:pos="8942"/>
      </w:tabs>
      <w:spacing w:after="0"/>
      <w:ind w:left="284"/>
    </w:pPr>
    <w:rPr>
      <w:szCs w:val="20"/>
    </w:rPr>
  </w:style>
  <w:style w:type="paragraph" w:styleId="TOC3">
    <w:name w:val="toc 3"/>
    <w:basedOn w:val="Normal"/>
    <w:next w:val="Normal"/>
    <w:uiPriority w:val="39"/>
    <w:rsid w:val="00DE1C0E"/>
    <w:pPr>
      <w:tabs>
        <w:tab w:val="clear" w:pos="567"/>
        <w:tab w:val="right" w:pos="8942"/>
      </w:tabs>
      <w:spacing w:after="0"/>
      <w:ind w:left="567"/>
    </w:pPr>
    <w:rPr>
      <w:iCs/>
    </w:rPr>
  </w:style>
  <w:style w:type="paragraph" w:styleId="TOC4">
    <w:name w:val="toc 4"/>
    <w:basedOn w:val="Normal"/>
    <w:next w:val="Normal"/>
    <w:uiPriority w:val="39"/>
    <w:rsid w:val="00996409"/>
    <w:pPr>
      <w:tabs>
        <w:tab w:val="clear" w:pos="567"/>
        <w:tab w:val="right" w:pos="8942"/>
      </w:tabs>
      <w:spacing w:after="0"/>
      <w:ind w:left="1134"/>
    </w:pPr>
  </w:style>
  <w:style w:type="paragraph" w:styleId="TOC5">
    <w:name w:val="toc 5"/>
    <w:basedOn w:val="Normal"/>
    <w:next w:val="Normal"/>
    <w:rsid w:val="00765BA8"/>
    <w:pPr>
      <w:tabs>
        <w:tab w:val="clear" w:pos="567"/>
      </w:tabs>
      <w:spacing w:after="0"/>
      <w:ind w:left="1701"/>
    </w:pPr>
    <w:rPr>
      <w:sz w:val="18"/>
      <w:szCs w:val="18"/>
    </w:rPr>
  </w:style>
  <w:style w:type="paragraph" w:styleId="TOC6">
    <w:name w:val="toc 6"/>
    <w:basedOn w:val="Normal"/>
    <w:next w:val="Normal"/>
    <w:rsid w:val="00765BA8"/>
    <w:pPr>
      <w:tabs>
        <w:tab w:val="clear" w:pos="567"/>
      </w:tabs>
      <w:spacing w:after="0"/>
      <w:ind w:left="1100"/>
    </w:pPr>
    <w:rPr>
      <w:sz w:val="18"/>
      <w:szCs w:val="18"/>
    </w:rPr>
  </w:style>
  <w:style w:type="paragraph" w:styleId="TOC7">
    <w:name w:val="toc 7"/>
    <w:basedOn w:val="Normal"/>
    <w:next w:val="Normal"/>
    <w:rsid w:val="00765BA8"/>
    <w:pPr>
      <w:tabs>
        <w:tab w:val="clear" w:pos="567"/>
      </w:tabs>
      <w:spacing w:after="0"/>
      <w:ind w:left="1320"/>
    </w:pPr>
    <w:rPr>
      <w:sz w:val="18"/>
      <w:szCs w:val="18"/>
    </w:rPr>
  </w:style>
  <w:style w:type="paragraph" w:styleId="TOC8">
    <w:name w:val="toc 8"/>
    <w:basedOn w:val="Normal"/>
    <w:next w:val="Normal"/>
    <w:rsid w:val="00765BA8"/>
    <w:pPr>
      <w:tabs>
        <w:tab w:val="clear" w:pos="567"/>
      </w:tabs>
      <w:spacing w:after="0"/>
      <w:ind w:left="1540"/>
    </w:pPr>
    <w:rPr>
      <w:sz w:val="18"/>
      <w:szCs w:val="18"/>
    </w:rPr>
  </w:style>
  <w:style w:type="paragraph" w:styleId="TOC9">
    <w:name w:val="toc 9"/>
    <w:basedOn w:val="Normal"/>
    <w:next w:val="Normal"/>
    <w:rsid w:val="00765BA8"/>
    <w:pPr>
      <w:tabs>
        <w:tab w:val="clear" w:pos="567"/>
      </w:tabs>
      <w:spacing w:after="0"/>
      <w:ind w:left="1760"/>
    </w:pPr>
    <w:rPr>
      <w:sz w:val="18"/>
      <w:szCs w:val="18"/>
    </w:rPr>
  </w:style>
  <w:style w:type="character" w:customStyle="1" w:styleId="Heading1Char">
    <w:name w:val="Heading 1 Char"/>
    <w:basedOn w:val="DefaultParagraphFont"/>
    <w:link w:val="Heading1"/>
    <w:rsid w:val="00622669"/>
    <w:rPr>
      <w:rFonts w:eastAsiaTheme="majorEastAsia" w:cstheme="majorBidi"/>
      <w:b/>
      <w:bCs/>
      <w:caps/>
      <w:color w:val="2C8558"/>
      <w:sz w:val="40"/>
      <w:szCs w:val="28"/>
    </w:rPr>
  </w:style>
  <w:style w:type="character" w:customStyle="1" w:styleId="Heading2Char">
    <w:name w:val="Heading 2 Char"/>
    <w:basedOn w:val="DefaultParagraphFont"/>
    <w:link w:val="Heading2"/>
    <w:uiPriority w:val="9"/>
    <w:rsid w:val="00622669"/>
    <w:rPr>
      <w:rFonts w:eastAsiaTheme="majorEastAsia" w:cstheme="majorBidi"/>
      <w:b/>
      <w:bCs/>
      <w:caps/>
      <w:color w:val="2C8558"/>
      <w:sz w:val="40"/>
      <w:szCs w:val="26"/>
    </w:rPr>
  </w:style>
  <w:style w:type="character" w:customStyle="1" w:styleId="Heading3Char">
    <w:name w:val="Heading 3 Char"/>
    <w:basedOn w:val="DefaultParagraphFont"/>
    <w:link w:val="Heading3"/>
    <w:uiPriority w:val="9"/>
    <w:rsid w:val="00622669"/>
    <w:rPr>
      <w:rFonts w:eastAsiaTheme="majorEastAsia" w:cstheme="majorBidi"/>
      <w:b/>
      <w:bCs/>
      <w:caps/>
      <w:color w:val="2C8558"/>
      <w:sz w:val="32"/>
    </w:rPr>
  </w:style>
  <w:style w:type="character" w:customStyle="1" w:styleId="Heading4Char">
    <w:name w:val="Heading 4 Char"/>
    <w:basedOn w:val="DefaultParagraphFont"/>
    <w:link w:val="Heading4"/>
    <w:uiPriority w:val="9"/>
    <w:rsid w:val="00622669"/>
    <w:rPr>
      <w:rFonts w:eastAsiaTheme="majorEastAsia" w:cstheme="majorBidi"/>
      <w:b/>
      <w:bCs/>
      <w:iCs/>
      <w:color w:val="2C8558"/>
      <w:sz w:val="32"/>
    </w:rPr>
  </w:style>
  <w:style w:type="character" w:customStyle="1" w:styleId="Heading5Char">
    <w:name w:val="Heading 5 Char"/>
    <w:basedOn w:val="DefaultParagraphFont"/>
    <w:link w:val="Heading5"/>
    <w:uiPriority w:val="9"/>
    <w:rsid w:val="00622669"/>
    <w:rPr>
      <w:rFonts w:eastAsiaTheme="majorEastAsia" w:cstheme="majorBidi"/>
      <w:b/>
      <w:i/>
      <w:color w:val="2C8558"/>
      <w:sz w:val="28"/>
    </w:rPr>
  </w:style>
  <w:style w:type="paragraph" w:styleId="NoSpacing">
    <w:name w:val="No Spacing"/>
    <w:link w:val="NoSpacingChar"/>
    <w:uiPriority w:val="1"/>
    <w:qFormat/>
    <w:rsid w:val="00622669"/>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F9170D"/>
    <w:rPr>
      <w:sz w:val="24"/>
    </w:rPr>
  </w:style>
  <w:style w:type="paragraph" w:styleId="ListParagraph">
    <w:name w:val="List Paragraph"/>
    <w:basedOn w:val="Normal"/>
    <w:uiPriority w:val="34"/>
    <w:qFormat/>
    <w:rsid w:val="00622669"/>
    <w:pPr>
      <w:tabs>
        <w:tab w:val="clear" w:pos="567"/>
      </w:tabs>
      <w:spacing w:line="300" w:lineRule="atLeast"/>
      <w:ind w:left="1134"/>
    </w:pPr>
    <w:rPr>
      <w:szCs w:val="24"/>
    </w:rPr>
  </w:style>
  <w:style w:type="paragraph" w:styleId="TOCHeading">
    <w:name w:val="TOC Heading"/>
    <w:basedOn w:val="Heading1"/>
    <w:next w:val="Normal"/>
    <w:uiPriority w:val="39"/>
    <w:semiHidden/>
    <w:unhideWhenUsed/>
    <w:qFormat/>
    <w:rsid w:val="00F9170D"/>
    <w:pPr>
      <w:keepLines/>
      <w:pBdr>
        <w:bottom w:val="none" w:sz="0" w:space="0" w:color="auto"/>
      </w:pBdr>
      <w:spacing w:before="480" w:line="320" w:lineRule="atLeast"/>
      <w:outlineLvl w:val="9"/>
    </w:pPr>
    <w:rPr>
      <w:rFonts w:asciiTheme="majorHAnsi" w:hAnsiTheme="majorHAnsi"/>
      <w:caps w:val="0"/>
      <w:color w:val="365F91" w:themeColor="accent1" w:themeShade="BF"/>
      <w:sz w:val="28"/>
    </w:rPr>
  </w:style>
  <w:style w:type="character" w:customStyle="1" w:styleId="FooterChar">
    <w:name w:val="Footer Char"/>
    <w:basedOn w:val="DefaultParagraphFont"/>
    <w:link w:val="Footer"/>
    <w:uiPriority w:val="99"/>
    <w:rsid w:val="00622669"/>
    <w:rPr>
      <w:sz w:val="24"/>
    </w:rPr>
  </w:style>
  <w:style w:type="character" w:customStyle="1" w:styleId="HeaderChar">
    <w:name w:val="Header Char"/>
    <w:basedOn w:val="DefaultParagraphFont"/>
    <w:link w:val="Header"/>
    <w:rsid w:val="00622669"/>
    <w:rPr>
      <w:sz w:val="24"/>
    </w:rPr>
  </w:style>
  <w:style w:type="paragraph" w:customStyle="1" w:styleId="CGCDataCaption">
    <w:name w:val="CGC Data Caption"/>
    <w:basedOn w:val="CGCTableFootnote"/>
    <w:next w:val="NoSpacing"/>
    <w:link w:val="DataCaptionChar"/>
    <w:qFormat/>
    <w:rsid w:val="00622669"/>
  </w:style>
  <w:style w:type="character" w:customStyle="1" w:styleId="CaptionChar">
    <w:name w:val="Caption Char"/>
    <w:basedOn w:val="DefaultParagraphFont"/>
    <w:link w:val="Caption"/>
    <w:rsid w:val="00622669"/>
    <w:rPr>
      <w:b/>
      <w:bCs/>
      <w:sz w:val="24"/>
      <w:szCs w:val="20"/>
    </w:rPr>
  </w:style>
  <w:style w:type="character" w:customStyle="1" w:styleId="DataCaptionChar">
    <w:name w:val="Data Caption Char"/>
    <w:basedOn w:val="DefaultParagraphFont"/>
    <w:link w:val="CGCDataCaption"/>
    <w:rsid w:val="00622669"/>
    <w:rPr>
      <w:sz w:val="20"/>
      <w:szCs w:val="24"/>
    </w:rPr>
  </w:style>
  <w:style w:type="character" w:customStyle="1" w:styleId="BalloonTextChar">
    <w:name w:val="Balloon Text Char"/>
    <w:basedOn w:val="DefaultParagraphFont"/>
    <w:link w:val="BalloonText"/>
    <w:uiPriority w:val="99"/>
    <w:rsid w:val="00622669"/>
    <w:rPr>
      <w:rFonts w:ascii="Tahoma" w:hAnsi="Tahoma" w:cs="Tahoma"/>
      <w:sz w:val="16"/>
      <w:szCs w:val="16"/>
    </w:rPr>
  </w:style>
  <w:style w:type="character" w:customStyle="1" w:styleId="FootnoteTextChar">
    <w:name w:val="Footnote Text Char"/>
    <w:basedOn w:val="DefaultParagraphFont"/>
    <w:link w:val="FootnoteText"/>
    <w:rsid w:val="00622669"/>
    <w:rPr>
      <w:sz w:val="20"/>
      <w:szCs w:val="20"/>
    </w:rPr>
  </w:style>
  <w:style w:type="character" w:customStyle="1" w:styleId="Heading6Char">
    <w:name w:val="Heading 6 Char"/>
    <w:basedOn w:val="DefaultParagraphFont"/>
    <w:link w:val="Heading6"/>
    <w:uiPriority w:val="9"/>
    <w:rsid w:val="00622669"/>
    <w:rPr>
      <w:rFonts w:eastAsiaTheme="majorEastAsia" w:cstheme="majorBidi"/>
      <w:b/>
      <w:i/>
      <w:iCs/>
      <w:color w:val="2C8558"/>
      <w:sz w:val="28"/>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character" w:customStyle="1" w:styleId="CGCBulletlistCharChar">
    <w:name w:val="CGC Bullet list Char Char"/>
    <w:basedOn w:val="DefaultParagraphFont"/>
    <w:link w:val="CGCBulletlist"/>
    <w:rsid w:val="00E42394"/>
    <w:rPr>
      <w:sz w:val="24"/>
      <w:szCs w:val="20"/>
    </w:rPr>
  </w:style>
  <w:style w:type="character" w:customStyle="1" w:styleId="CGCParaNoChar">
    <w:name w:val="CGC Para No Char"/>
    <w:aliases w:val="CGC Numbered Para Char"/>
    <w:basedOn w:val="DefaultParagraphFont"/>
    <w:link w:val="CGCNumberedPara"/>
    <w:rsid w:val="00E42394"/>
    <w:rPr>
      <w:sz w:val="24"/>
      <w:szCs w:val="24"/>
    </w:rPr>
  </w:style>
  <w:style w:type="character" w:customStyle="1" w:styleId="CGCBulletlistChar">
    <w:name w:val="CGC Bullet list Char"/>
    <w:aliases w:val="CGC List 1 Char,CGC Bullet list Char1"/>
    <w:basedOn w:val="DefaultParagraphFont"/>
    <w:locked/>
    <w:rsid w:val="00426CED"/>
    <w:rPr>
      <w:sz w:val="24"/>
      <w:szCs w:val="20"/>
    </w:rPr>
  </w:style>
  <w:style w:type="paragraph" w:customStyle="1" w:styleId="Default">
    <w:name w:val="Default"/>
    <w:rsid w:val="00446C77"/>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toc 1" w:uiPriority="39"/>
    <w:lsdException w:name="toc 3" w:uiPriority="39"/>
    <w:lsdException w:name="toc 4" w:uiPriority="39"/>
    <w:lsdException w:name="footnote text" w:qFormat="1"/>
    <w:lsdException w:name="footer" w:uiPriority="99"/>
    <w:lsdException w:name="Default Paragraph Font" w:uiPriority="1"/>
    <w:lsdException w:name="Hyperlink"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532D10"/>
    <w:pPr>
      <w:tabs>
        <w:tab w:val="left" w:pos="567"/>
      </w:tabs>
      <w:spacing w:after="80" w:line="320" w:lineRule="atLeast"/>
    </w:pPr>
    <w:rPr>
      <w:sz w:val="24"/>
    </w:rPr>
  </w:style>
  <w:style w:type="paragraph" w:styleId="Heading1">
    <w:name w:val="heading 1"/>
    <w:basedOn w:val="Normal"/>
    <w:next w:val="Heading2"/>
    <w:link w:val="Heading1Char"/>
    <w:qFormat/>
    <w:rsid w:val="00622669"/>
    <w:pPr>
      <w:keepNext/>
      <w:widowControl w:val="0"/>
      <w:pBdr>
        <w:bottom w:val="single" w:sz="4" w:space="1" w:color="auto"/>
      </w:pBdr>
      <w:spacing w:before="800" w:after="0" w:line="240" w:lineRule="auto"/>
      <w:outlineLvl w:val="0"/>
    </w:pPr>
    <w:rPr>
      <w:rFonts w:eastAsiaTheme="majorEastAsia" w:cstheme="majorBidi"/>
      <w:b/>
      <w:bCs/>
      <w:caps/>
      <w:color w:val="2C8558"/>
      <w:sz w:val="40"/>
      <w:szCs w:val="28"/>
    </w:rPr>
  </w:style>
  <w:style w:type="paragraph" w:styleId="Heading2">
    <w:name w:val="heading 2"/>
    <w:basedOn w:val="Normal"/>
    <w:next w:val="Heading3"/>
    <w:link w:val="Heading2Char"/>
    <w:uiPriority w:val="9"/>
    <w:qFormat/>
    <w:rsid w:val="00622669"/>
    <w:pPr>
      <w:keepNext/>
      <w:widowControl w:val="0"/>
      <w:spacing w:before="100" w:after="720" w:line="240" w:lineRule="auto"/>
      <w:outlineLvl w:val="1"/>
    </w:pPr>
    <w:rPr>
      <w:rFonts w:eastAsiaTheme="majorEastAsia" w:cstheme="majorBidi"/>
      <w:b/>
      <w:bCs/>
      <w:caps/>
      <w:color w:val="2C8558"/>
      <w:sz w:val="40"/>
      <w:szCs w:val="26"/>
    </w:rPr>
  </w:style>
  <w:style w:type="paragraph" w:styleId="Heading3">
    <w:name w:val="heading 3"/>
    <w:basedOn w:val="Normal"/>
    <w:next w:val="Heading4"/>
    <w:link w:val="Heading3Char"/>
    <w:uiPriority w:val="9"/>
    <w:qFormat/>
    <w:rsid w:val="00622669"/>
    <w:pPr>
      <w:keepNext/>
      <w:widowControl w:val="0"/>
      <w:spacing w:before="600" w:after="200" w:line="240" w:lineRule="auto"/>
      <w:outlineLvl w:val="2"/>
    </w:pPr>
    <w:rPr>
      <w:rFonts w:eastAsiaTheme="majorEastAsia" w:cstheme="majorBidi"/>
      <w:b/>
      <w:bCs/>
      <w:caps/>
      <w:color w:val="2C8558"/>
      <w:sz w:val="32"/>
    </w:rPr>
  </w:style>
  <w:style w:type="paragraph" w:styleId="Heading4">
    <w:name w:val="heading 4"/>
    <w:basedOn w:val="Normal"/>
    <w:next w:val="Heading5"/>
    <w:link w:val="Heading4Char"/>
    <w:uiPriority w:val="9"/>
    <w:qFormat/>
    <w:rsid w:val="00622669"/>
    <w:pPr>
      <w:keepNext/>
      <w:widowControl w:val="0"/>
      <w:spacing w:before="300" w:after="40" w:line="240" w:lineRule="auto"/>
      <w:outlineLvl w:val="3"/>
    </w:pPr>
    <w:rPr>
      <w:rFonts w:eastAsiaTheme="majorEastAsia" w:cstheme="majorBidi"/>
      <w:b/>
      <w:bCs/>
      <w:iCs/>
      <w:color w:val="2C8558"/>
      <w:sz w:val="32"/>
    </w:rPr>
  </w:style>
  <w:style w:type="paragraph" w:styleId="Heading5">
    <w:name w:val="heading 5"/>
    <w:basedOn w:val="Normal"/>
    <w:next w:val="Heading6"/>
    <w:link w:val="Heading5Char"/>
    <w:uiPriority w:val="9"/>
    <w:qFormat/>
    <w:rsid w:val="00622669"/>
    <w:pPr>
      <w:keepNext/>
      <w:tabs>
        <w:tab w:val="clear" w:pos="567"/>
      </w:tabs>
      <w:spacing w:before="300" w:after="40" w:line="240" w:lineRule="auto"/>
      <w:outlineLvl w:val="4"/>
    </w:pPr>
    <w:rPr>
      <w:rFonts w:eastAsiaTheme="majorEastAsia" w:cstheme="majorBidi"/>
      <w:b/>
      <w:i/>
      <w:color w:val="2C8558"/>
      <w:sz w:val="28"/>
    </w:rPr>
  </w:style>
  <w:style w:type="paragraph" w:styleId="Heading6">
    <w:name w:val="heading 6"/>
    <w:basedOn w:val="Normal"/>
    <w:next w:val="Normal"/>
    <w:link w:val="Heading6Char"/>
    <w:uiPriority w:val="9"/>
    <w:qFormat/>
    <w:rsid w:val="00622669"/>
    <w:pPr>
      <w:keepNext/>
      <w:keepLines/>
      <w:spacing w:before="120"/>
      <w:outlineLvl w:val="5"/>
    </w:pPr>
    <w:rPr>
      <w:rFonts w:eastAsiaTheme="majorEastAsia" w:cstheme="majorBidi"/>
      <w:b/>
      <w:i/>
      <w:iCs/>
      <w:color w:val="2C8558"/>
      <w:sz w:val="28"/>
    </w:rPr>
  </w:style>
  <w:style w:type="paragraph" w:styleId="Heading7">
    <w:name w:val="heading 7"/>
    <w:basedOn w:val="Normal"/>
    <w:next w:val="Normal"/>
    <w:link w:val="Heading7Char"/>
    <w:uiPriority w:val="9"/>
    <w:semiHidden/>
    <w:rsid w:val="006226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7"/>
      </w:numPr>
      <w:spacing w:before="240" w:after="60"/>
      <w:outlineLvl w:val="7"/>
    </w:pPr>
    <w:rPr>
      <w:rFonts w:ascii="Arial" w:hAnsi="Arial"/>
      <w:i/>
      <w:sz w:val="20"/>
      <w:szCs w:val="20"/>
    </w:rPr>
  </w:style>
  <w:style w:type="paragraph" w:styleId="Heading9">
    <w:name w:val="heading 9"/>
    <w:aliases w:val="Heading 9 (Do not use),(Subsubsection Nos)"/>
    <w:basedOn w:val="Normal"/>
    <w:next w:val="Normal"/>
    <w:semiHidden/>
    <w:rsid w:val="00765BA8"/>
    <w:pPr>
      <w:numPr>
        <w:ilvl w:val="8"/>
        <w:numId w:val="17"/>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622669"/>
    <w:pPr>
      <w:spacing w:after="0" w:line="240" w:lineRule="auto"/>
    </w:pPr>
    <w:rPr>
      <w:rFonts w:ascii="Tahoma" w:hAnsi="Tahoma" w:cs="Tahoma"/>
      <w:sz w:val="16"/>
      <w:szCs w:val="16"/>
    </w:rPr>
  </w:style>
  <w:style w:type="paragraph" w:styleId="Caption">
    <w:name w:val="caption"/>
    <w:basedOn w:val="Normal"/>
    <w:next w:val="Normal"/>
    <w:link w:val="CaptionChar"/>
    <w:rsid w:val="00622669"/>
    <w:pPr>
      <w:keepNext/>
      <w:keepLines/>
      <w:tabs>
        <w:tab w:val="clear" w:pos="567"/>
        <w:tab w:val="left" w:pos="1418"/>
      </w:tabs>
      <w:spacing w:before="240" w:after="120" w:line="240" w:lineRule="auto"/>
      <w:ind w:left="1418" w:hanging="1418"/>
    </w:pPr>
    <w:rPr>
      <w:b/>
      <w:bCs/>
      <w:szCs w:val="20"/>
    </w:rPr>
  </w:style>
  <w:style w:type="paragraph" w:customStyle="1" w:styleId="CGCBulletlist">
    <w:name w:val="CGC Bullet list"/>
    <w:aliases w:val="CGC List 1"/>
    <w:basedOn w:val="Normal"/>
    <w:link w:val="CGCBulletlistCharChar"/>
    <w:qFormat/>
    <w:rsid w:val="00DC0F02"/>
    <w:pPr>
      <w:numPr>
        <w:numId w:val="36"/>
      </w:numPr>
      <w:tabs>
        <w:tab w:val="clear" w:pos="567"/>
        <w:tab w:val="clear" w:pos="927"/>
        <w:tab w:val="left" w:pos="1134"/>
      </w:tabs>
      <w:spacing w:before="80" w:line="300" w:lineRule="atLeast"/>
      <w:ind w:left="1134" w:hanging="567"/>
    </w:pPr>
    <w:rPr>
      <w:szCs w:val="20"/>
    </w:rPr>
  </w:style>
  <w:style w:type="paragraph" w:customStyle="1" w:styleId="CGCNumeralList">
    <w:name w:val="CGC Numeral List"/>
    <w:aliases w:val="CGC List 3"/>
    <w:basedOn w:val="Normal"/>
    <w:qFormat/>
    <w:rsid w:val="00622669"/>
    <w:pPr>
      <w:numPr>
        <w:numId w:val="38"/>
      </w:numPr>
      <w:tabs>
        <w:tab w:val="clear" w:pos="567"/>
      </w:tabs>
      <w:spacing w:line="300" w:lineRule="atLeast"/>
    </w:pPr>
    <w:rPr>
      <w:szCs w:val="20"/>
    </w:rPr>
  </w:style>
  <w:style w:type="paragraph" w:customStyle="1" w:styleId="CGCNumberedPara">
    <w:name w:val="CGC Numbered Para"/>
    <w:aliases w:val="CGC Para No"/>
    <w:basedOn w:val="Normal"/>
    <w:link w:val="CGCParaNoChar"/>
    <w:qFormat/>
    <w:rsid w:val="00622669"/>
    <w:pPr>
      <w:numPr>
        <w:ilvl w:val="1"/>
        <w:numId w:val="37"/>
      </w:numPr>
      <w:spacing w:before="120"/>
    </w:pPr>
    <w:rPr>
      <w:szCs w:val="24"/>
    </w:rPr>
  </w:style>
  <w:style w:type="paragraph" w:customStyle="1" w:styleId="CGCQuotation">
    <w:name w:val="CGC Quotation"/>
    <w:basedOn w:val="Normal"/>
    <w:next w:val="CGCNumberedPara"/>
    <w:rsid w:val="00622669"/>
    <w:pPr>
      <w:tabs>
        <w:tab w:val="clear" w:pos="567"/>
      </w:tabs>
      <w:spacing w:before="120" w:after="120" w:line="240" w:lineRule="auto"/>
      <w:ind w:left="1134" w:right="1134"/>
    </w:pPr>
    <w:rPr>
      <w:sz w:val="22"/>
      <w:szCs w:val="24"/>
    </w:rPr>
  </w:style>
  <w:style w:type="paragraph" w:customStyle="1" w:styleId="CGCSubbulletlist">
    <w:name w:val="CGC Sub bullet list"/>
    <w:aliases w:val="CGC List 2"/>
    <w:basedOn w:val="Normal"/>
    <w:qFormat/>
    <w:rsid w:val="00C21EF9"/>
    <w:pPr>
      <w:numPr>
        <w:numId w:val="39"/>
      </w:numPr>
      <w:tabs>
        <w:tab w:val="clear" w:pos="567"/>
        <w:tab w:val="clear" w:pos="927"/>
        <w:tab w:val="left" w:pos="1701"/>
      </w:tabs>
      <w:spacing w:line="300" w:lineRule="atLeast"/>
      <w:ind w:left="1701" w:hanging="567"/>
    </w:pPr>
    <w:rPr>
      <w:szCs w:val="20"/>
    </w:rPr>
  </w:style>
  <w:style w:type="paragraph" w:customStyle="1" w:styleId="CGCQuotationBullet">
    <w:name w:val="CGC Quotation Bullet"/>
    <w:basedOn w:val="CGCSubbulletlist"/>
    <w:rsid w:val="00622669"/>
    <w:pPr>
      <w:numPr>
        <w:numId w:val="40"/>
      </w:numPr>
      <w:ind w:right="1134"/>
    </w:pPr>
    <w:rPr>
      <w:sz w:val="22"/>
    </w:rPr>
  </w:style>
  <w:style w:type="paragraph" w:customStyle="1" w:styleId="CGCTableFootnote">
    <w:name w:val="CGC Table Footnote"/>
    <w:basedOn w:val="CGCNumberedPara"/>
    <w:next w:val="NoSpacing"/>
    <w:qFormat/>
    <w:rsid w:val="00622669"/>
    <w:pPr>
      <w:numPr>
        <w:ilvl w:val="0"/>
        <w:numId w:val="0"/>
      </w:numPr>
      <w:tabs>
        <w:tab w:val="left" w:pos="851"/>
      </w:tabs>
      <w:spacing w:before="0" w:after="0" w:line="240" w:lineRule="auto"/>
      <w:ind w:left="851" w:hanging="851"/>
    </w:pPr>
    <w:rPr>
      <w:sz w:val="20"/>
    </w:rPr>
  </w:style>
  <w:style w:type="paragraph" w:customStyle="1" w:styleId="CGCTableHeading">
    <w:name w:val="CGC Table Heading"/>
    <w:basedOn w:val="Normal"/>
    <w:next w:val="Normal"/>
    <w:qFormat/>
    <w:rsid w:val="00622669"/>
    <w:pPr>
      <w:keepNext/>
      <w:keepLines/>
      <w:tabs>
        <w:tab w:val="clear" w:pos="567"/>
        <w:tab w:val="left" w:pos="1420"/>
      </w:tabs>
      <w:spacing w:before="240" w:after="120" w:line="240" w:lineRule="auto"/>
      <w:ind w:left="1418" w:hanging="1418"/>
    </w:pPr>
    <w:rPr>
      <w:b/>
      <w:szCs w:val="20"/>
    </w:rPr>
  </w:style>
  <w:style w:type="paragraph" w:customStyle="1" w:styleId="TableRowNormal">
    <w:name w:val="TableRowNormal"/>
    <w:basedOn w:val="Normal"/>
    <w:rsid w:val="00765BA8"/>
    <w:pPr>
      <w:keepNext/>
      <w:keepLines/>
      <w:tabs>
        <w:tab w:val="left" w:pos="475"/>
        <w:tab w:val="left" w:pos="1440"/>
        <w:tab w:val="left" w:pos="2160"/>
        <w:tab w:val="left" w:pos="2880"/>
      </w:tabs>
      <w:spacing w:before="60" w:after="60" w:line="200" w:lineRule="atLeast"/>
      <w:ind w:left="144" w:hanging="144"/>
      <w:jc w:val="right"/>
    </w:pPr>
    <w:rPr>
      <w:sz w:val="20"/>
      <w:szCs w:val="20"/>
    </w:rPr>
  </w:style>
  <w:style w:type="paragraph" w:customStyle="1" w:styleId="CGCTableStub">
    <w:name w:val="CGC Table Stub"/>
    <w:basedOn w:val="Normal"/>
    <w:rsid w:val="00622669"/>
    <w:pPr>
      <w:keepNext/>
      <w:keepLines/>
      <w:tabs>
        <w:tab w:val="left" w:pos="284"/>
      </w:tabs>
      <w:spacing w:before="60" w:after="60" w:line="200" w:lineRule="atLeast"/>
    </w:pPr>
    <w:rPr>
      <w:sz w:val="20"/>
      <w:szCs w:val="20"/>
    </w:rPr>
  </w:style>
  <w:style w:type="character" w:styleId="CommentReference">
    <w:name w:val="annotation reference"/>
    <w:basedOn w:val="DefaultParagraphFont"/>
    <w:rsid w:val="00765BA8"/>
    <w:rPr>
      <w:sz w:val="16"/>
      <w:szCs w:val="16"/>
    </w:rPr>
  </w:style>
  <w:style w:type="paragraph" w:styleId="CommentText">
    <w:name w:val="annotation text"/>
    <w:basedOn w:val="Normal"/>
    <w:rsid w:val="00765BA8"/>
    <w:rPr>
      <w:sz w:val="20"/>
      <w:szCs w:val="20"/>
    </w:rPr>
  </w:style>
  <w:style w:type="paragraph" w:styleId="CommentSubject">
    <w:name w:val="annotation subject"/>
    <w:basedOn w:val="CommentText"/>
    <w:next w:val="CommentText"/>
    <w:rsid w:val="00765BA8"/>
    <w:rPr>
      <w:b/>
      <w:bCs/>
    </w:rPr>
  </w:style>
  <w:style w:type="paragraph" w:styleId="DocumentMap">
    <w:name w:val="Document Map"/>
    <w:basedOn w:val="Normal"/>
    <w:rsid w:val="00765BA8"/>
    <w:pPr>
      <w:shd w:val="clear" w:color="auto" w:fill="000080"/>
    </w:pPr>
    <w:rPr>
      <w:rFonts w:ascii="Tahoma" w:hAnsi="Tahoma" w:cs="Tahoma"/>
      <w:sz w:val="20"/>
      <w:szCs w:val="20"/>
    </w:rPr>
  </w:style>
  <w:style w:type="character" w:styleId="EndnoteReference">
    <w:name w:val="endnote reference"/>
    <w:basedOn w:val="DefaultParagraphFont"/>
    <w:rsid w:val="00765BA8"/>
    <w:rPr>
      <w:vertAlign w:val="superscript"/>
    </w:rPr>
  </w:style>
  <w:style w:type="paragraph" w:styleId="EndnoteText">
    <w:name w:val="endnote text"/>
    <w:basedOn w:val="Normal"/>
    <w:rsid w:val="00765BA8"/>
    <w:rPr>
      <w:sz w:val="20"/>
      <w:szCs w:val="20"/>
    </w:rPr>
  </w:style>
  <w:style w:type="paragraph" w:styleId="Footer">
    <w:name w:val="footer"/>
    <w:basedOn w:val="Normal"/>
    <w:link w:val="FooterChar"/>
    <w:uiPriority w:val="99"/>
    <w:unhideWhenUsed/>
    <w:rsid w:val="00622669"/>
    <w:pPr>
      <w:tabs>
        <w:tab w:val="clear" w:pos="567"/>
        <w:tab w:val="center" w:pos="4513"/>
        <w:tab w:val="right" w:pos="9026"/>
      </w:tabs>
      <w:spacing w:after="0" w:line="240" w:lineRule="auto"/>
    </w:pPr>
  </w:style>
  <w:style w:type="character" w:styleId="FootnoteReference">
    <w:name w:val="footnote reference"/>
    <w:basedOn w:val="DefaultParagraphFont"/>
    <w:rsid w:val="00765BA8"/>
    <w:rPr>
      <w:vertAlign w:val="superscript"/>
    </w:rPr>
  </w:style>
  <w:style w:type="paragraph" w:styleId="FootnoteText">
    <w:name w:val="footnote text"/>
    <w:basedOn w:val="Normal"/>
    <w:link w:val="FootnoteTextChar"/>
    <w:qFormat/>
    <w:rsid w:val="00622669"/>
    <w:pPr>
      <w:spacing w:after="0" w:line="240" w:lineRule="auto"/>
      <w:ind w:left="567" w:hanging="567"/>
    </w:pPr>
    <w:rPr>
      <w:sz w:val="20"/>
      <w:szCs w:val="20"/>
    </w:rPr>
  </w:style>
  <w:style w:type="paragraph" w:styleId="Header">
    <w:name w:val="header"/>
    <w:basedOn w:val="Normal"/>
    <w:link w:val="HeaderChar"/>
    <w:unhideWhenUsed/>
    <w:rsid w:val="00622669"/>
    <w:pPr>
      <w:tabs>
        <w:tab w:val="clear" w:pos="567"/>
        <w:tab w:val="center" w:pos="4513"/>
        <w:tab w:val="right" w:pos="9026"/>
      </w:tabs>
      <w:spacing w:after="0" w:line="240" w:lineRule="auto"/>
    </w:pPr>
  </w:style>
  <w:style w:type="character" w:styleId="Hyperlink">
    <w:name w:val="Hyperlink"/>
    <w:basedOn w:val="DefaultParagraphFont"/>
    <w:uiPriority w:val="99"/>
    <w:rsid w:val="00765BA8"/>
    <w:rPr>
      <w:color w:val="0000FF"/>
      <w:u w:val="single"/>
    </w:rPr>
  </w:style>
  <w:style w:type="paragraph" w:styleId="Index1">
    <w:name w:val="index 1"/>
    <w:basedOn w:val="Normal"/>
    <w:rsid w:val="00212948"/>
  </w:style>
  <w:style w:type="paragraph" w:styleId="Index2">
    <w:name w:val="index 2"/>
    <w:basedOn w:val="Normal"/>
    <w:next w:val="Index1"/>
    <w:rsid w:val="00212948"/>
    <w:pPr>
      <w:ind w:left="284"/>
    </w:pPr>
  </w:style>
  <w:style w:type="paragraph" w:styleId="Index3">
    <w:name w:val="index 3"/>
    <w:basedOn w:val="Normal"/>
    <w:next w:val="Index1"/>
    <w:rsid w:val="00212948"/>
    <w:pPr>
      <w:ind w:left="567"/>
    </w:pPr>
  </w:style>
  <w:style w:type="paragraph" w:styleId="Index4">
    <w:name w:val="index 4"/>
    <w:basedOn w:val="Normal"/>
    <w:next w:val="Normal"/>
    <w:rsid w:val="00765BA8"/>
    <w:pPr>
      <w:ind w:left="880" w:hanging="220"/>
    </w:pPr>
  </w:style>
  <w:style w:type="paragraph" w:styleId="Index5">
    <w:name w:val="index 5"/>
    <w:basedOn w:val="Normal"/>
    <w:next w:val="Normal"/>
    <w:rsid w:val="00765BA8"/>
    <w:pPr>
      <w:ind w:left="1100" w:hanging="220"/>
    </w:pPr>
  </w:style>
  <w:style w:type="paragraph" w:styleId="Index6">
    <w:name w:val="index 6"/>
    <w:basedOn w:val="Normal"/>
    <w:next w:val="Normal"/>
    <w:rsid w:val="00765BA8"/>
    <w:pPr>
      <w:ind w:left="1320" w:hanging="220"/>
    </w:pPr>
  </w:style>
  <w:style w:type="paragraph" w:styleId="Index7">
    <w:name w:val="index 7"/>
    <w:basedOn w:val="Normal"/>
    <w:next w:val="Normal"/>
    <w:rsid w:val="00765BA8"/>
    <w:pPr>
      <w:ind w:left="1540" w:hanging="220"/>
    </w:pPr>
  </w:style>
  <w:style w:type="paragraph" w:styleId="Index8">
    <w:name w:val="index 8"/>
    <w:basedOn w:val="Normal"/>
    <w:next w:val="Normal"/>
    <w:rsid w:val="00765BA8"/>
    <w:pPr>
      <w:ind w:left="1760" w:hanging="220"/>
    </w:pPr>
  </w:style>
  <w:style w:type="paragraph" w:styleId="Index9">
    <w:name w:val="index 9"/>
    <w:basedOn w:val="Normal"/>
    <w:next w:val="Normal"/>
    <w:rsid w:val="00765BA8"/>
    <w:pPr>
      <w:ind w:left="1980" w:hanging="220"/>
    </w:pPr>
  </w:style>
  <w:style w:type="paragraph" w:styleId="IndexHeading">
    <w:name w:val="index heading"/>
    <w:basedOn w:val="Normal"/>
    <w:next w:val="Index1"/>
    <w:rsid w:val="00765BA8"/>
  </w:style>
  <w:style w:type="paragraph" w:styleId="List">
    <w:name w:val="List"/>
    <w:basedOn w:val="Normal"/>
    <w:rsid w:val="003A27BB"/>
    <w:pPr>
      <w:spacing w:line="300" w:lineRule="atLeast"/>
    </w:pPr>
  </w:style>
  <w:style w:type="paragraph" w:styleId="MacroText">
    <w:name w:val="macro"/>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765BA8"/>
  </w:style>
  <w:style w:type="paragraph" w:customStyle="1" w:styleId="Single">
    <w:name w:val="Single"/>
    <w:basedOn w:val="Normal"/>
    <w:next w:val="CGCNumberedPara"/>
    <w:rsid w:val="00765BA8"/>
    <w:pPr>
      <w:spacing w:after="0" w:line="240" w:lineRule="auto"/>
    </w:pPr>
  </w:style>
  <w:style w:type="table" w:styleId="TableGrid">
    <w:name w:val="Table Grid"/>
    <w:basedOn w:val="TableNormal"/>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765BA8"/>
    <w:pPr>
      <w:tabs>
        <w:tab w:val="clear" w:pos="567"/>
      </w:tabs>
      <w:ind w:left="220" w:hanging="220"/>
    </w:pPr>
  </w:style>
  <w:style w:type="paragraph" w:styleId="TableofFigures">
    <w:name w:val="table of figures"/>
    <w:basedOn w:val="Normal"/>
    <w:next w:val="Normal"/>
    <w:rsid w:val="00765BA8"/>
    <w:pPr>
      <w:tabs>
        <w:tab w:val="clear" w:pos="567"/>
      </w:tabs>
    </w:pPr>
  </w:style>
  <w:style w:type="paragraph" w:customStyle="1" w:styleId="TableColHeadings">
    <w:name w:val="TableColHeadings"/>
    <w:basedOn w:val="Normal"/>
    <w:rsid w:val="00765BA8"/>
    <w:pPr>
      <w:keepNext/>
      <w:keepLines/>
      <w:tabs>
        <w:tab w:val="left" w:pos="475"/>
        <w:tab w:val="left" w:pos="1440"/>
        <w:tab w:val="left" w:pos="2160"/>
        <w:tab w:val="left" w:pos="2880"/>
      </w:tabs>
      <w:spacing w:before="60" w:after="60" w:line="240" w:lineRule="auto"/>
      <w:jc w:val="right"/>
    </w:pPr>
    <w:rPr>
      <w:sz w:val="20"/>
      <w:szCs w:val="20"/>
    </w:rPr>
  </w:style>
  <w:style w:type="paragraph" w:customStyle="1" w:styleId="TableRowUnits">
    <w:name w:val="TableRowUnits"/>
    <w:basedOn w:val="Normal"/>
    <w:rsid w:val="00765BA8"/>
    <w:pPr>
      <w:keepNext/>
      <w:keepLines/>
      <w:tabs>
        <w:tab w:val="left" w:pos="475"/>
        <w:tab w:val="left" w:pos="1440"/>
        <w:tab w:val="left" w:pos="2160"/>
        <w:tab w:val="left" w:pos="2880"/>
      </w:tabs>
      <w:spacing w:after="0" w:line="240" w:lineRule="auto"/>
      <w:jc w:val="right"/>
    </w:pPr>
    <w:rPr>
      <w:sz w:val="20"/>
      <w:szCs w:val="20"/>
    </w:rPr>
  </w:style>
  <w:style w:type="paragraph" w:styleId="TOAHeading">
    <w:name w:val="toa heading"/>
    <w:basedOn w:val="Normal"/>
    <w:next w:val="Normal"/>
    <w:rsid w:val="003A27BB"/>
    <w:pPr>
      <w:spacing w:before="120"/>
    </w:pPr>
    <w:rPr>
      <w:rFonts w:cs="Arial"/>
      <w:b/>
      <w:bCs/>
    </w:rPr>
  </w:style>
  <w:style w:type="paragraph" w:styleId="TOC1">
    <w:name w:val="toc 1"/>
    <w:basedOn w:val="Normal"/>
    <w:next w:val="Normal"/>
    <w:uiPriority w:val="39"/>
    <w:rsid w:val="00996409"/>
    <w:pPr>
      <w:tabs>
        <w:tab w:val="clear" w:pos="567"/>
        <w:tab w:val="right" w:pos="8942"/>
      </w:tabs>
      <w:spacing w:before="120" w:after="120"/>
    </w:pPr>
    <w:rPr>
      <w:b/>
      <w:bCs/>
      <w:caps/>
      <w:szCs w:val="20"/>
    </w:rPr>
  </w:style>
  <w:style w:type="paragraph" w:styleId="TOC2">
    <w:name w:val="toc 2"/>
    <w:basedOn w:val="Normal"/>
    <w:next w:val="Normal"/>
    <w:rsid w:val="00DE1C0E"/>
    <w:pPr>
      <w:tabs>
        <w:tab w:val="clear" w:pos="567"/>
        <w:tab w:val="right" w:pos="8942"/>
      </w:tabs>
      <w:spacing w:after="0"/>
      <w:ind w:left="284"/>
    </w:pPr>
    <w:rPr>
      <w:szCs w:val="20"/>
    </w:rPr>
  </w:style>
  <w:style w:type="paragraph" w:styleId="TOC3">
    <w:name w:val="toc 3"/>
    <w:basedOn w:val="Normal"/>
    <w:next w:val="Normal"/>
    <w:uiPriority w:val="39"/>
    <w:rsid w:val="00DE1C0E"/>
    <w:pPr>
      <w:tabs>
        <w:tab w:val="clear" w:pos="567"/>
        <w:tab w:val="right" w:pos="8942"/>
      </w:tabs>
      <w:spacing w:after="0"/>
      <w:ind w:left="567"/>
    </w:pPr>
    <w:rPr>
      <w:iCs/>
    </w:rPr>
  </w:style>
  <w:style w:type="paragraph" w:styleId="TOC4">
    <w:name w:val="toc 4"/>
    <w:basedOn w:val="Normal"/>
    <w:next w:val="Normal"/>
    <w:uiPriority w:val="39"/>
    <w:rsid w:val="00996409"/>
    <w:pPr>
      <w:tabs>
        <w:tab w:val="clear" w:pos="567"/>
        <w:tab w:val="right" w:pos="8942"/>
      </w:tabs>
      <w:spacing w:after="0"/>
      <w:ind w:left="1134"/>
    </w:pPr>
  </w:style>
  <w:style w:type="paragraph" w:styleId="TOC5">
    <w:name w:val="toc 5"/>
    <w:basedOn w:val="Normal"/>
    <w:next w:val="Normal"/>
    <w:rsid w:val="00765BA8"/>
    <w:pPr>
      <w:tabs>
        <w:tab w:val="clear" w:pos="567"/>
      </w:tabs>
      <w:spacing w:after="0"/>
      <w:ind w:left="1701"/>
    </w:pPr>
    <w:rPr>
      <w:sz w:val="18"/>
      <w:szCs w:val="18"/>
    </w:rPr>
  </w:style>
  <w:style w:type="paragraph" w:styleId="TOC6">
    <w:name w:val="toc 6"/>
    <w:basedOn w:val="Normal"/>
    <w:next w:val="Normal"/>
    <w:rsid w:val="00765BA8"/>
    <w:pPr>
      <w:tabs>
        <w:tab w:val="clear" w:pos="567"/>
      </w:tabs>
      <w:spacing w:after="0"/>
      <w:ind w:left="1100"/>
    </w:pPr>
    <w:rPr>
      <w:sz w:val="18"/>
      <w:szCs w:val="18"/>
    </w:rPr>
  </w:style>
  <w:style w:type="paragraph" w:styleId="TOC7">
    <w:name w:val="toc 7"/>
    <w:basedOn w:val="Normal"/>
    <w:next w:val="Normal"/>
    <w:rsid w:val="00765BA8"/>
    <w:pPr>
      <w:tabs>
        <w:tab w:val="clear" w:pos="567"/>
      </w:tabs>
      <w:spacing w:after="0"/>
      <w:ind w:left="1320"/>
    </w:pPr>
    <w:rPr>
      <w:sz w:val="18"/>
      <w:szCs w:val="18"/>
    </w:rPr>
  </w:style>
  <w:style w:type="paragraph" w:styleId="TOC8">
    <w:name w:val="toc 8"/>
    <w:basedOn w:val="Normal"/>
    <w:next w:val="Normal"/>
    <w:rsid w:val="00765BA8"/>
    <w:pPr>
      <w:tabs>
        <w:tab w:val="clear" w:pos="567"/>
      </w:tabs>
      <w:spacing w:after="0"/>
      <w:ind w:left="1540"/>
    </w:pPr>
    <w:rPr>
      <w:sz w:val="18"/>
      <w:szCs w:val="18"/>
    </w:rPr>
  </w:style>
  <w:style w:type="paragraph" w:styleId="TOC9">
    <w:name w:val="toc 9"/>
    <w:basedOn w:val="Normal"/>
    <w:next w:val="Normal"/>
    <w:rsid w:val="00765BA8"/>
    <w:pPr>
      <w:tabs>
        <w:tab w:val="clear" w:pos="567"/>
      </w:tabs>
      <w:spacing w:after="0"/>
      <w:ind w:left="1760"/>
    </w:pPr>
    <w:rPr>
      <w:sz w:val="18"/>
      <w:szCs w:val="18"/>
    </w:rPr>
  </w:style>
  <w:style w:type="character" w:customStyle="1" w:styleId="Heading1Char">
    <w:name w:val="Heading 1 Char"/>
    <w:basedOn w:val="DefaultParagraphFont"/>
    <w:link w:val="Heading1"/>
    <w:rsid w:val="00622669"/>
    <w:rPr>
      <w:rFonts w:eastAsiaTheme="majorEastAsia" w:cstheme="majorBidi"/>
      <w:b/>
      <w:bCs/>
      <w:caps/>
      <w:color w:val="2C8558"/>
      <w:sz w:val="40"/>
      <w:szCs w:val="28"/>
    </w:rPr>
  </w:style>
  <w:style w:type="character" w:customStyle="1" w:styleId="Heading2Char">
    <w:name w:val="Heading 2 Char"/>
    <w:basedOn w:val="DefaultParagraphFont"/>
    <w:link w:val="Heading2"/>
    <w:uiPriority w:val="9"/>
    <w:rsid w:val="00622669"/>
    <w:rPr>
      <w:rFonts w:eastAsiaTheme="majorEastAsia" w:cstheme="majorBidi"/>
      <w:b/>
      <w:bCs/>
      <w:caps/>
      <w:color w:val="2C8558"/>
      <w:sz w:val="40"/>
      <w:szCs w:val="26"/>
    </w:rPr>
  </w:style>
  <w:style w:type="character" w:customStyle="1" w:styleId="Heading3Char">
    <w:name w:val="Heading 3 Char"/>
    <w:basedOn w:val="DefaultParagraphFont"/>
    <w:link w:val="Heading3"/>
    <w:uiPriority w:val="9"/>
    <w:rsid w:val="00622669"/>
    <w:rPr>
      <w:rFonts w:eastAsiaTheme="majorEastAsia" w:cstheme="majorBidi"/>
      <w:b/>
      <w:bCs/>
      <w:caps/>
      <w:color w:val="2C8558"/>
      <w:sz w:val="32"/>
    </w:rPr>
  </w:style>
  <w:style w:type="character" w:customStyle="1" w:styleId="Heading4Char">
    <w:name w:val="Heading 4 Char"/>
    <w:basedOn w:val="DefaultParagraphFont"/>
    <w:link w:val="Heading4"/>
    <w:uiPriority w:val="9"/>
    <w:rsid w:val="00622669"/>
    <w:rPr>
      <w:rFonts w:eastAsiaTheme="majorEastAsia" w:cstheme="majorBidi"/>
      <w:b/>
      <w:bCs/>
      <w:iCs/>
      <w:color w:val="2C8558"/>
      <w:sz w:val="32"/>
    </w:rPr>
  </w:style>
  <w:style w:type="character" w:customStyle="1" w:styleId="Heading5Char">
    <w:name w:val="Heading 5 Char"/>
    <w:basedOn w:val="DefaultParagraphFont"/>
    <w:link w:val="Heading5"/>
    <w:uiPriority w:val="9"/>
    <w:rsid w:val="00622669"/>
    <w:rPr>
      <w:rFonts w:eastAsiaTheme="majorEastAsia" w:cstheme="majorBidi"/>
      <w:b/>
      <w:i/>
      <w:color w:val="2C8558"/>
      <w:sz w:val="28"/>
    </w:rPr>
  </w:style>
  <w:style w:type="paragraph" w:styleId="NoSpacing">
    <w:name w:val="No Spacing"/>
    <w:link w:val="NoSpacingChar"/>
    <w:uiPriority w:val="1"/>
    <w:qFormat/>
    <w:rsid w:val="00622669"/>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F9170D"/>
    <w:rPr>
      <w:sz w:val="24"/>
    </w:rPr>
  </w:style>
  <w:style w:type="paragraph" w:styleId="ListParagraph">
    <w:name w:val="List Paragraph"/>
    <w:basedOn w:val="Normal"/>
    <w:uiPriority w:val="34"/>
    <w:qFormat/>
    <w:rsid w:val="00622669"/>
    <w:pPr>
      <w:tabs>
        <w:tab w:val="clear" w:pos="567"/>
      </w:tabs>
      <w:spacing w:line="300" w:lineRule="atLeast"/>
      <w:ind w:left="1134"/>
    </w:pPr>
    <w:rPr>
      <w:szCs w:val="24"/>
    </w:rPr>
  </w:style>
  <w:style w:type="paragraph" w:styleId="TOCHeading">
    <w:name w:val="TOC Heading"/>
    <w:basedOn w:val="Heading1"/>
    <w:next w:val="Normal"/>
    <w:uiPriority w:val="39"/>
    <w:semiHidden/>
    <w:unhideWhenUsed/>
    <w:qFormat/>
    <w:rsid w:val="00F9170D"/>
    <w:pPr>
      <w:keepLines/>
      <w:pBdr>
        <w:bottom w:val="none" w:sz="0" w:space="0" w:color="auto"/>
      </w:pBdr>
      <w:spacing w:before="480" w:line="320" w:lineRule="atLeast"/>
      <w:outlineLvl w:val="9"/>
    </w:pPr>
    <w:rPr>
      <w:rFonts w:asciiTheme="majorHAnsi" w:hAnsiTheme="majorHAnsi"/>
      <w:caps w:val="0"/>
      <w:color w:val="365F91" w:themeColor="accent1" w:themeShade="BF"/>
      <w:sz w:val="28"/>
    </w:rPr>
  </w:style>
  <w:style w:type="character" w:customStyle="1" w:styleId="FooterChar">
    <w:name w:val="Footer Char"/>
    <w:basedOn w:val="DefaultParagraphFont"/>
    <w:link w:val="Footer"/>
    <w:uiPriority w:val="99"/>
    <w:rsid w:val="00622669"/>
    <w:rPr>
      <w:sz w:val="24"/>
    </w:rPr>
  </w:style>
  <w:style w:type="character" w:customStyle="1" w:styleId="HeaderChar">
    <w:name w:val="Header Char"/>
    <w:basedOn w:val="DefaultParagraphFont"/>
    <w:link w:val="Header"/>
    <w:rsid w:val="00622669"/>
    <w:rPr>
      <w:sz w:val="24"/>
    </w:rPr>
  </w:style>
  <w:style w:type="paragraph" w:customStyle="1" w:styleId="CGCDataCaption">
    <w:name w:val="CGC Data Caption"/>
    <w:basedOn w:val="CGCTableFootnote"/>
    <w:next w:val="NoSpacing"/>
    <w:link w:val="DataCaptionChar"/>
    <w:qFormat/>
    <w:rsid w:val="00622669"/>
  </w:style>
  <w:style w:type="character" w:customStyle="1" w:styleId="CaptionChar">
    <w:name w:val="Caption Char"/>
    <w:basedOn w:val="DefaultParagraphFont"/>
    <w:link w:val="Caption"/>
    <w:rsid w:val="00622669"/>
    <w:rPr>
      <w:b/>
      <w:bCs/>
      <w:sz w:val="24"/>
      <w:szCs w:val="20"/>
    </w:rPr>
  </w:style>
  <w:style w:type="character" w:customStyle="1" w:styleId="DataCaptionChar">
    <w:name w:val="Data Caption Char"/>
    <w:basedOn w:val="DefaultParagraphFont"/>
    <w:link w:val="CGCDataCaption"/>
    <w:rsid w:val="00622669"/>
    <w:rPr>
      <w:sz w:val="20"/>
      <w:szCs w:val="24"/>
    </w:rPr>
  </w:style>
  <w:style w:type="character" w:customStyle="1" w:styleId="BalloonTextChar">
    <w:name w:val="Balloon Text Char"/>
    <w:basedOn w:val="DefaultParagraphFont"/>
    <w:link w:val="BalloonText"/>
    <w:uiPriority w:val="99"/>
    <w:rsid w:val="00622669"/>
    <w:rPr>
      <w:rFonts w:ascii="Tahoma" w:hAnsi="Tahoma" w:cs="Tahoma"/>
      <w:sz w:val="16"/>
      <w:szCs w:val="16"/>
    </w:rPr>
  </w:style>
  <w:style w:type="character" w:customStyle="1" w:styleId="FootnoteTextChar">
    <w:name w:val="Footnote Text Char"/>
    <w:basedOn w:val="DefaultParagraphFont"/>
    <w:link w:val="FootnoteText"/>
    <w:rsid w:val="00622669"/>
    <w:rPr>
      <w:sz w:val="20"/>
      <w:szCs w:val="20"/>
    </w:rPr>
  </w:style>
  <w:style w:type="character" w:customStyle="1" w:styleId="Heading6Char">
    <w:name w:val="Heading 6 Char"/>
    <w:basedOn w:val="DefaultParagraphFont"/>
    <w:link w:val="Heading6"/>
    <w:uiPriority w:val="9"/>
    <w:rsid w:val="00622669"/>
    <w:rPr>
      <w:rFonts w:eastAsiaTheme="majorEastAsia" w:cstheme="majorBidi"/>
      <w:b/>
      <w:i/>
      <w:iCs/>
      <w:color w:val="2C8558"/>
      <w:sz w:val="28"/>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character" w:customStyle="1" w:styleId="CGCBulletlistCharChar">
    <w:name w:val="CGC Bullet list Char Char"/>
    <w:basedOn w:val="DefaultParagraphFont"/>
    <w:link w:val="CGCBulletlist"/>
    <w:rsid w:val="00E42394"/>
    <w:rPr>
      <w:sz w:val="24"/>
      <w:szCs w:val="20"/>
    </w:rPr>
  </w:style>
  <w:style w:type="character" w:customStyle="1" w:styleId="CGCParaNoChar">
    <w:name w:val="CGC Para No Char"/>
    <w:aliases w:val="CGC Numbered Para Char"/>
    <w:basedOn w:val="DefaultParagraphFont"/>
    <w:link w:val="CGCNumberedPara"/>
    <w:rsid w:val="00E42394"/>
    <w:rPr>
      <w:sz w:val="24"/>
      <w:szCs w:val="24"/>
    </w:rPr>
  </w:style>
  <w:style w:type="character" w:customStyle="1" w:styleId="CGCBulletlistChar">
    <w:name w:val="CGC Bullet list Char"/>
    <w:aliases w:val="CGC List 1 Char,CGC Bullet list Char1"/>
    <w:basedOn w:val="DefaultParagraphFont"/>
    <w:locked/>
    <w:rsid w:val="00426CED"/>
    <w:rPr>
      <w:sz w:val="24"/>
      <w:szCs w:val="20"/>
    </w:rPr>
  </w:style>
  <w:style w:type="paragraph" w:customStyle="1" w:styleId="Default">
    <w:name w:val="Default"/>
    <w:rsid w:val="00446C7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26080">
      <w:bodyDiv w:val="1"/>
      <w:marLeft w:val="0"/>
      <w:marRight w:val="0"/>
      <w:marTop w:val="0"/>
      <w:marBottom w:val="0"/>
      <w:divBdr>
        <w:top w:val="none" w:sz="0" w:space="0" w:color="auto"/>
        <w:left w:val="none" w:sz="0" w:space="0" w:color="auto"/>
        <w:bottom w:val="none" w:sz="0" w:space="0" w:color="auto"/>
        <w:right w:val="none" w:sz="0" w:space="0" w:color="auto"/>
      </w:divBdr>
    </w:div>
    <w:div w:id="84234578">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676661028">
      <w:bodyDiv w:val="1"/>
      <w:marLeft w:val="0"/>
      <w:marRight w:val="0"/>
      <w:marTop w:val="0"/>
      <w:marBottom w:val="0"/>
      <w:divBdr>
        <w:top w:val="none" w:sz="0" w:space="0" w:color="auto"/>
        <w:left w:val="none" w:sz="0" w:space="0" w:color="auto"/>
        <w:bottom w:val="none" w:sz="0" w:space="0" w:color="auto"/>
        <w:right w:val="none" w:sz="0" w:space="0" w:color="auto"/>
      </w:divBdr>
    </w:div>
    <w:div w:id="814109421">
      <w:bodyDiv w:val="1"/>
      <w:marLeft w:val="0"/>
      <w:marRight w:val="0"/>
      <w:marTop w:val="0"/>
      <w:marBottom w:val="0"/>
      <w:divBdr>
        <w:top w:val="none" w:sz="0" w:space="0" w:color="auto"/>
        <w:left w:val="none" w:sz="0" w:space="0" w:color="auto"/>
        <w:bottom w:val="none" w:sz="0" w:space="0" w:color="auto"/>
        <w:right w:val="none" w:sz="0" w:space="0" w:color="auto"/>
      </w:divBdr>
    </w:div>
    <w:div w:id="907418274">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143279142">
      <w:bodyDiv w:val="1"/>
      <w:marLeft w:val="0"/>
      <w:marRight w:val="0"/>
      <w:marTop w:val="0"/>
      <w:marBottom w:val="0"/>
      <w:divBdr>
        <w:top w:val="none" w:sz="0" w:space="0" w:color="auto"/>
        <w:left w:val="none" w:sz="0" w:space="0" w:color="auto"/>
        <w:bottom w:val="none" w:sz="0" w:space="0" w:color="auto"/>
        <w:right w:val="none" w:sz="0" w:space="0" w:color="auto"/>
      </w:divBdr>
    </w:div>
    <w:div w:id="1368481871">
      <w:bodyDiv w:val="1"/>
      <w:marLeft w:val="0"/>
      <w:marRight w:val="0"/>
      <w:marTop w:val="0"/>
      <w:marBottom w:val="0"/>
      <w:divBdr>
        <w:top w:val="none" w:sz="0" w:space="0" w:color="auto"/>
        <w:left w:val="none" w:sz="0" w:space="0" w:color="auto"/>
        <w:bottom w:val="none" w:sz="0" w:space="0" w:color="auto"/>
        <w:right w:val="none" w:sz="0" w:space="0" w:color="auto"/>
      </w:divBdr>
    </w:div>
    <w:div w:id="1409226734">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548251061">
      <w:bodyDiv w:val="1"/>
      <w:marLeft w:val="0"/>
      <w:marRight w:val="0"/>
      <w:marTop w:val="0"/>
      <w:marBottom w:val="0"/>
      <w:divBdr>
        <w:top w:val="none" w:sz="0" w:space="0" w:color="auto"/>
        <w:left w:val="none" w:sz="0" w:space="0" w:color="auto"/>
        <w:bottom w:val="none" w:sz="0" w:space="0" w:color="auto"/>
        <w:right w:val="none" w:sz="0" w:space="0" w:color="auto"/>
      </w:divBdr>
    </w:div>
    <w:div w:id="1622565923">
      <w:bodyDiv w:val="1"/>
      <w:marLeft w:val="0"/>
      <w:marRight w:val="0"/>
      <w:marTop w:val="0"/>
      <w:marBottom w:val="0"/>
      <w:divBdr>
        <w:top w:val="none" w:sz="0" w:space="0" w:color="auto"/>
        <w:left w:val="none" w:sz="0" w:space="0" w:color="auto"/>
        <w:bottom w:val="none" w:sz="0" w:space="0" w:color="auto"/>
        <w:right w:val="none" w:sz="0" w:space="0" w:color="auto"/>
      </w:divBdr>
    </w:div>
    <w:div w:id="1676028444">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1786344123">
      <w:bodyDiv w:val="1"/>
      <w:marLeft w:val="0"/>
      <w:marRight w:val="0"/>
      <w:marTop w:val="0"/>
      <w:marBottom w:val="0"/>
      <w:divBdr>
        <w:top w:val="none" w:sz="0" w:space="0" w:color="auto"/>
        <w:left w:val="none" w:sz="0" w:space="0" w:color="auto"/>
        <w:bottom w:val="none" w:sz="0" w:space="0" w:color="auto"/>
        <w:right w:val="none" w:sz="0" w:space="0" w:color="auto"/>
      </w:divBdr>
    </w:div>
    <w:div w:id="1838953898">
      <w:bodyDiv w:val="1"/>
      <w:marLeft w:val="0"/>
      <w:marRight w:val="0"/>
      <w:marTop w:val="0"/>
      <w:marBottom w:val="0"/>
      <w:divBdr>
        <w:top w:val="none" w:sz="0" w:space="0" w:color="auto"/>
        <w:left w:val="none" w:sz="0" w:space="0" w:color="auto"/>
        <w:bottom w:val="none" w:sz="0" w:space="0" w:color="auto"/>
        <w:right w:val="none" w:sz="0" w:space="0" w:color="auto"/>
      </w:divBdr>
    </w:div>
    <w:div w:id="2055763914">
      <w:bodyDiv w:val="1"/>
      <w:marLeft w:val="0"/>
      <w:marRight w:val="0"/>
      <w:marTop w:val="0"/>
      <w:marBottom w:val="0"/>
      <w:divBdr>
        <w:top w:val="none" w:sz="0" w:space="0" w:color="auto"/>
        <w:left w:val="none" w:sz="0" w:space="0" w:color="auto"/>
        <w:bottom w:val="none" w:sz="0" w:space="0" w:color="auto"/>
        <w:right w:val="none" w:sz="0" w:space="0" w:color="auto"/>
      </w:divBdr>
    </w:div>
    <w:div w:id="206506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reativecommons.org/licenses/by/3.0" TargetMode="External"/><Relationship Id="rId18" Type="http://schemas.openxmlformats.org/officeDocument/2006/relationships/image" Target="media/image3.emf"/><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ecretary@cgc.gov.a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4882</Words>
  <Characters>29036</Characters>
  <Application>Microsoft Office Word</Application>
  <DocSecurity>0</DocSecurity>
  <Lines>241</Lines>
  <Paragraphs>67</Paragraphs>
  <ScaleCrop>false</ScaleCrop>
  <Company/>
  <LinksUpToDate>false</LinksUpToDate>
  <CharactersWithSpaces>33851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2018-04-18T02:33:00Z</dcterms:created>
  <dcterms:modified xsi:type="dcterms:W3CDTF">2018-04-18T02:33:00Z</dcterms:modified>
</cp:coreProperties>
</file>