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659" w:rsidRPr="00970E6D" w:rsidRDefault="000A3659" w:rsidP="000A3659">
      <w:pPr>
        <w:tabs>
          <w:tab w:val="clear" w:pos="567"/>
        </w:tabs>
        <w:jc w:val="center"/>
        <w:rPr>
          <w:b/>
          <w:bCs/>
        </w:rPr>
      </w:pPr>
      <w:bookmarkStart w:id="0" w:name="_Toc106707725"/>
      <w:bookmarkStart w:id="1" w:name="_Toc155675935"/>
      <w:bookmarkStart w:id="2" w:name="_Toc174415770"/>
      <w:bookmarkStart w:id="3" w:name="_Toc174415844"/>
      <w:bookmarkStart w:id="4" w:name="_Toc174415935"/>
      <w:bookmarkStart w:id="5" w:name="_Toc174416620"/>
      <w:bookmarkStart w:id="6" w:name="_Toc174416662"/>
      <w:bookmarkStart w:id="7" w:name="_Toc174416675"/>
      <w:bookmarkStart w:id="8" w:name="_GoBack"/>
      <w:bookmarkEnd w:id="8"/>
      <w:r w:rsidRPr="00970E6D">
        <w:rPr>
          <w:noProof/>
          <w:lang w:eastAsia="en-AU"/>
        </w:rPr>
        <w:drawing>
          <wp:inline distT="0" distB="0" distL="0" distR="0" wp14:anchorId="65717A9E" wp14:editId="4D79E108">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8"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0A3659" w:rsidRPr="00970E6D" w:rsidRDefault="000A3659" w:rsidP="000A3659">
      <w:pPr>
        <w:tabs>
          <w:tab w:val="clear" w:pos="567"/>
        </w:tabs>
        <w:jc w:val="center"/>
        <w:rPr>
          <w:b/>
          <w:sz w:val="40"/>
          <w:szCs w:val="40"/>
        </w:rPr>
      </w:pPr>
    </w:p>
    <w:p w:rsidR="000A3659" w:rsidRPr="00970E6D" w:rsidRDefault="000A3659" w:rsidP="000A3659">
      <w:pPr>
        <w:tabs>
          <w:tab w:val="clear" w:pos="567"/>
        </w:tabs>
        <w:jc w:val="center"/>
        <w:rPr>
          <w:b/>
          <w:sz w:val="40"/>
          <w:szCs w:val="40"/>
        </w:rPr>
      </w:pPr>
    </w:p>
    <w:p w:rsidR="000A3659" w:rsidRPr="00970E6D" w:rsidRDefault="000A3659" w:rsidP="000A3659">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rsidR="000A3659" w:rsidRPr="00970E6D" w:rsidRDefault="000A3659" w:rsidP="000A3659">
      <w:pPr>
        <w:tabs>
          <w:tab w:val="clear" w:pos="567"/>
        </w:tabs>
        <w:jc w:val="center"/>
        <w:rPr>
          <w:b/>
          <w:sz w:val="40"/>
          <w:szCs w:val="40"/>
        </w:rPr>
      </w:pPr>
    </w:p>
    <w:p w:rsidR="000A3659" w:rsidRPr="00970E6D" w:rsidRDefault="000A3659" w:rsidP="000A3659">
      <w:pPr>
        <w:tabs>
          <w:tab w:val="clear" w:pos="567"/>
        </w:tabs>
        <w:jc w:val="center"/>
        <w:rPr>
          <w:b/>
          <w:sz w:val="40"/>
          <w:szCs w:val="40"/>
        </w:rPr>
      </w:pPr>
    </w:p>
    <w:p w:rsidR="000A3659" w:rsidRPr="00970E6D" w:rsidRDefault="000A3659" w:rsidP="000A3659">
      <w:pPr>
        <w:tabs>
          <w:tab w:val="clear" w:pos="567"/>
        </w:tabs>
        <w:jc w:val="center"/>
        <w:rPr>
          <w:b/>
          <w:sz w:val="40"/>
          <w:szCs w:val="40"/>
        </w:rPr>
      </w:pPr>
    </w:p>
    <w:p w:rsidR="000A3659" w:rsidRPr="00970E6D" w:rsidRDefault="000A3659" w:rsidP="000A3659">
      <w:pPr>
        <w:tabs>
          <w:tab w:val="clear" w:pos="567"/>
        </w:tabs>
        <w:jc w:val="center"/>
        <w:rPr>
          <w:b/>
          <w:sz w:val="40"/>
          <w:szCs w:val="40"/>
        </w:rPr>
      </w:pPr>
    </w:p>
    <w:p w:rsidR="000A3659" w:rsidRPr="00970E6D" w:rsidRDefault="000A3659" w:rsidP="000A3659">
      <w:pPr>
        <w:tabs>
          <w:tab w:val="clear" w:pos="567"/>
        </w:tabs>
        <w:jc w:val="center"/>
        <w:rPr>
          <w:bCs/>
          <w:sz w:val="40"/>
          <w:szCs w:val="40"/>
        </w:rPr>
      </w:pPr>
      <w:r>
        <w:rPr>
          <w:b/>
          <w:sz w:val="40"/>
          <w:szCs w:val="40"/>
        </w:rPr>
        <w:t>OTHER EXPENSES</w:t>
      </w:r>
    </w:p>
    <w:p w:rsidR="000A3659" w:rsidRPr="00970E6D" w:rsidRDefault="000A3659" w:rsidP="000A3659">
      <w:pPr>
        <w:tabs>
          <w:tab w:val="clear" w:pos="567"/>
        </w:tabs>
        <w:jc w:val="center"/>
        <w:rPr>
          <w:b/>
          <w:sz w:val="40"/>
          <w:szCs w:val="40"/>
        </w:rPr>
      </w:pPr>
    </w:p>
    <w:p w:rsidR="000A3659" w:rsidRPr="00970E6D" w:rsidRDefault="000A3659" w:rsidP="000A3659">
      <w:pPr>
        <w:tabs>
          <w:tab w:val="clear" w:pos="567"/>
        </w:tabs>
        <w:jc w:val="center"/>
        <w:rPr>
          <w:b/>
          <w:sz w:val="40"/>
          <w:szCs w:val="40"/>
        </w:rPr>
      </w:pPr>
    </w:p>
    <w:p w:rsidR="000A3659" w:rsidRPr="00970E6D" w:rsidRDefault="000A3659" w:rsidP="000A3659">
      <w:pPr>
        <w:tabs>
          <w:tab w:val="clear" w:pos="567"/>
        </w:tabs>
        <w:jc w:val="center"/>
        <w:rPr>
          <w:b/>
          <w:sz w:val="40"/>
          <w:szCs w:val="40"/>
        </w:rPr>
      </w:pPr>
    </w:p>
    <w:p w:rsidR="000A3659" w:rsidRPr="00970E6D" w:rsidRDefault="000A3659" w:rsidP="000A3659">
      <w:pPr>
        <w:tabs>
          <w:tab w:val="clear" w:pos="567"/>
        </w:tabs>
        <w:jc w:val="center"/>
        <w:rPr>
          <w:b/>
          <w:sz w:val="40"/>
          <w:szCs w:val="40"/>
        </w:rPr>
      </w:pPr>
    </w:p>
    <w:p w:rsidR="000A3659" w:rsidRPr="00970E6D" w:rsidRDefault="002E102D" w:rsidP="000A3659">
      <w:pPr>
        <w:tabs>
          <w:tab w:val="clear" w:pos="567"/>
        </w:tabs>
        <w:jc w:val="center"/>
        <w:rPr>
          <w:b/>
          <w:sz w:val="40"/>
          <w:szCs w:val="40"/>
        </w:rPr>
      </w:pPr>
      <w:r>
        <w:rPr>
          <w:b/>
          <w:sz w:val="40"/>
          <w:szCs w:val="40"/>
        </w:rPr>
        <w:t xml:space="preserve">STAFF </w:t>
      </w:r>
      <w:r w:rsidR="000A3659">
        <w:rPr>
          <w:b/>
          <w:sz w:val="40"/>
          <w:szCs w:val="40"/>
        </w:rPr>
        <w:t>DRAFT ASSESSMENT PAPER</w:t>
      </w:r>
      <w:r w:rsidR="000A3659">
        <w:rPr>
          <w:b/>
          <w:sz w:val="40"/>
          <w:szCs w:val="40"/>
        </w:rPr>
        <w:br/>
        <w:t>CGC 20</w:t>
      </w:r>
      <w:r w:rsidR="000A3659" w:rsidRPr="00970E6D">
        <w:rPr>
          <w:b/>
          <w:sz w:val="40"/>
          <w:szCs w:val="40"/>
        </w:rPr>
        <w:t>1</w:t>
      </w:r>
      <w:r w:rsidR="000A3659">
        <w:rPr>
          <w:b/>
          <w:sz w:val="40"/>
          <w:szCs w:val="40"/>
        </w:rPr>
        <w:t>8-2</w:t>
      </w:r>
      <w:r w:rsidR="0097318D">
        <w:rPr>
          <w:b/>
          <w:sz w:val="40"/>
          <w:szCs w:val="40"/>
        </w:rPr>
        <w:t>0</w:t>
      </w:r>
      <w:r w:rsidR="000A3659">
        <w:rPr>
          <w:b/>
          <w:sz w:val="40"/>
          <w:szCs w:val="40"/>
        </w:rPr>
        <w:t>-S</w:t>
      </w:r>
    </w:p>
    <w:p w:rsidR="000A3659" w:rsidRPr="00970E6D" w:rsidRDefault="000A3659" w:rsidP="000A3659">
      <w:pPr>
        <w:tabs>
          <w:tab w:val="clear" w:pos="567"/>
        </w:tabs>
        <w:jc w:val="center"/>
        <w:rPr>
          <w:b/>
          <w:sz w:val="40"/>
          <w:szCs w:val="40"/>
        </w:rPr>
      </w:pPr>
    </w:p>
    <w:p w:rsidR="000A3659" w:rsidRPr="00970E6D" w:rsidRDefault="000A3659" w:rsidP="000A3659">
      <w:pPr>
        <w:tabs>
          <w:tab w:val="clear" w:pos="567"/>
        </w:tabs>
        <w:jc w:val="center"/>
        <w:rPr>
          <w:b/>
          <w:sz w:val="40"/>
          <w:szCs w:val="40"/>
        </w:rPr>
      </w:pPr>
    </w:p>
    <w:p w:rsidR="000A3659" w:rsidRPr="00970E6D" w:rsidRDefault="000A3659" w:rsidP="000A3659">
      <w:pPr>
        <w:tabs>
          <w:tab w:val="clear" w:pos="567"/>
        </w:tabs>
        <w:jc w:val="center"/>
        <w:rPr>
          <w:sz w:val="40"/>
          <w:szCs w:val="40"/>
        </w:rPr>
      </w:pPr>
    </w:p>
    <w:p w:rsidR="000A3659" w:rsidRPr="00970E6D" w:rsidRDefault="000A3659" w:rsidP="000A3659">
      <w:pPr>
        <w:tabs>
          <w:tab w:val="clear" w:pos="567"/>
        </w:tabs>
        <w:jc w:val="right"/>
        <w:rPr>
          <w:b/>
          <w:sz w:val="28"/>
          <w:szCs w:val="28"/>
        </w:rPr>
      </w:pPr>
      <w:r>
        <w:rPr>
          <w:b/>
          <w:sz w:val="28"/>
          <w:szCs w:val="28"/>
        </w:rPr>
        <w:t>APRIL 2018</w:t>
      </w:r>
    </w:p>
    <w:p w:rsidR="00AC5EA8" w:rsidRDefault="00AC5EA8" w:rsidP="00EF7649">
      <w:pPr>
        <w:pStyle w:val="NoSpacing"/>
      </w:pPr>
    </w:p>
    <w:p w:rsidR="005760CF" w:rsidRDefault="005760CF" w:rsidP="00EF7649">
      <w:pPr>
        <w:pStyle w:val="NoSpacing"/>
      </w:pPr>
    </w:p>
    <w:p w:rsidR="005760CF" w:rsidRDefault="005760CF" w:rsidP="00EF7649">
      <w:pPr>
        <w:pStyle w:val="NoSpacing"/>
      </w:pPr>
    </w:p>
    <w:p w:rsidR="005760CF" w:rsidRDefault="005760CF" w:rsidP="00EF7649">
      <w:pPr>
        <w:pStyle w:val="NoSpacing"/>
      </w:pPr>
    </w:p>
    <w:p w:rsidR="005760CF" w:rsidRDefault="005760CF" w:rsidP="00EF7649">
      <w:pPr>
        <w:pStyle w:val="NoSpacing"/>
      </w:pPr>
    </w:p>
    <w:p w:rsidR="00EF7649" w:rsidRDefault="00EF7649" w:rsidP="00EF7649">
      <w:pPr>
        <w:pStyle w:val="NoSpacing"/>
      </w:pPr>
    </w:p>
    <w:p w:rsidR="00EF7649" w:rsidRDefault="00EF7649" w:rsidP="00EF7649">
      <w:pPr>
        <w:pStyle w:val="NoSpacing"/>
      </w:pPr>
    </w:p>
    <w:p w:rsidR="00EF7649" w:rsidRDefault="00EF7649" w:rsidP="00EF7649">
      <w:pPr>
        <w:pStyle w:val="NoSpacing"/>
      </w:pPr>
    </w:p>
    <w:p w:rsidR="00EF7649" w:rsidRDefault="00EF7649" w:rsidP="00EF7649">
      <w:pPr>
        <w:pStyle w:val="NoSpacing"/>
      </w:pPr>
    </w:p>
    <w:p w:rsidR="00EF7649" w:rsidRDefault="00EF7649" w:rsidP="00EF7649">
      <w:pPr>
        <w:pStyle w:val="NoSpacing"/>
      </w:pPr>
    </w:p>
    <w:p w:rsidR="00EF7649" w:rsidRDefault="00EF7649" w:rsidP="00EF7649">
      <w:pPr>
        <w:pStyle w:val="NoSpacing"/>
      </w:pPr>
    </w:p>
    <w:p w:rsidR="00EF7649" w:rsidRDefault="00EF7649" w:rsidP="00EF7649">
      <w:pPr>
        <w:pStyle w:val="NoSpacing"/>
      </w:pPr>
    </w:p>
    <w:p w:rsidR="00EF7649" w:rsidRDefault="00EF7649" w:rsidP="00EF7649">
      <w:pPr>
        <w:pStyle w:val="NoSpacing"/>
      </w:pPr>
    </w:p>
    <w:p w:rsidR="00EF7649" w:rsidRDefault="00EF7649" w:rsidP="00EF7649">
      <w:pPr>
        <w:pStyle w:val="NoSpacing"/>
      </w:pPr>
    </w:p>
    <w:p w:rsidR="00EF7649" w:rsidRDefault="00EF7649" w:rsidP="00EF7649">
      <w:pPr>
        <w:pStyle w:val="NoSpacing"/>
      </w:pPr>
    </w:p>
    <w:p w:rsidR="00EF7649" w:rsidRDefault="00EF7649" w:rsidP="00EF7649">
      <w:pPr>
        <w:pStyle w:val="NoSpacing"/>
      </w:pPr>
    </w:p>
    <w:p w:rsidR="005760CF" w:rsidRDefault="005760CF" w:rsidP="00EF7649">
      <w:pPr>
        <w:pStyle w:val="NoSpacing"/>
      </w:pPr>
    </w:p>
    <w:p w:rsidR="005760CF" w:rsidRDefault="005760CF" w:rsidP="00EF7649">
      <w:pPr>
        <w:pStyle w:val="NoSpacing"/>
      </w:pPr>
    </w:p>
    <w:p w:rsidR="005760CF" w:rsidRDefault="005760CF" w:rsidP="00EF7649">
      <w:pPr>
        <w:pStyle w:val="NoSpacing"/>
      </w:pPr>
    </w:p>
    <w:p w:rsidR="005760CF" w:rsidRDefault="005760CF" w:rsidP="00EF7649">
      <w:pPr>
        <w:pStyle w:val="NoSpacing"/>
      </w:pPr>
    </w:p>
    <w:p w:rsidR="005760CF" w:rsidRDefault="005760CF" w:rsidP="00EF7649">
      <w:pPr>
        <w:pStyle w:val="NoSpacing"/>
      </w:pPr>
    </w:p>
    <w:p w:rsidR="005760CF" w:rsidRDefault="005760CF" w:rsidP="00EF7649">
      <w:pPr>
        <w:pStyle w:val="NoSpacing"/>
      </w:pPr>
    </w:p>
    <w:p w:rsidR="00C15F57" w:rsidRDefault="00C15F57" w:rsidP="00EF7649">
      <w:pPr>
        <w:pStyle w:val="NoSpacing"/>
      </w:pPr>
    </w:p>
    <w:p w:rsidR="00C15F57" w:rsidRDefault="00C15F57" w:rsidP="00EF7649">
      <w:pPr>
        <w:pStyle w:val="NoSpacing"/>
      </w:pPr>
    </w:p>
    <w:p w:rsidR="00C15F57" w:rsidRDefault="00C15F57" w:rsidP="00EF7649">
      <w:pPr>
        <w:pStyle w:val="NoSpacing"/>
      </w:pPr>
    </w:p>
    <w:p w:rsidR="005760CF" w:rsidRDefault="005760CF" w:rsidP="00EF7649">
      <w:pPr>
        <w:pStyle w:val="NoSpacing"/>
      </w:pPr>
    </w:p>
    <w:p w:rsidR="005760CF" w:rsidRDefault="005760CF" w:rsidP="00EF7649">
      <w:pPr>
        <w:pStyle w:val="NoSpacing"/>
      </w:pPr>
    </w:p>
    <w:tbl>
      <w:tblPr>
        <w:tblStyle w:val="TableGrid"/>
        <w:tblW w:w="5000" w:type="pct"/>
        <w:tblLook w:val="01E0" w:firstRow="1" w:lastRow="1" w:firstColumn="1" w:lastColumn="1" w:noHBand="0" w:noVBand="0"/>
      </w:tblPr>
      <w:tblGrid>
        <w:gridCol w:w="2943"/>
        <w:gridCol w:w="6224"/>
      </w:tblGrid>
      <w:tr w:rsidR="005760CF" w:rsidRPr="006F1F32" w:rsidTr="00FB1C4D">
        <w:tc>
          <w:tcPr>
            <w:tcW w:w="1605" w:type="pct"/>
            <w:tcBorders>
              <w:top w:val="single" w:sz="4" w:space="0" w:color="auto"/>
              <w:left w:val="single" w:sz="4" w:space="0" w:color="auto"/>
              <w:bottom w:val="single" w:sz="4" w:space="0" w:color="auto"/>
              <w:right w:val="single" w:sz="4" w:space="0" w:color="auto"/>
            </w:tcBorders>
          </w:tcPr>
          <w:p w:rsidR="005760CF" w:rsidRPr="00970E6D" w:rsidRDefault="005760CF" w:rsidP="00FB1C4D">
            <w:pPr>
              <w:tabs>
                <w:tab w:val="clear" w:pos="567"/>
              </w:tabs>
            </w:pPr>
            <w:r w:rsidRPr="00970E6D">
              <w:t>Paper issued</w:t>
            </w:r>
          </w:p>
        </w:tc>
        <w:tc>
          <w:tcPr>
            <w:tcW w:w="3395" w:type="pct"/>
            <w:tcBorders>
              <w:top w:val="single" w:sz="4" w:space="0" w:color="auto"/>
              <w:left w:val="single" w:sz="4" w:space="0" w:color="auto"/>
              <w:bottom w:val="single" w:sz="4" w:space="0" w:color="auto"/>
              <w:right w:val="single" w:sz="4" w:space="0" w:color="auto"/>
            </w:tcBorders>
          </w:tcPr>
          <w:p w:rsidR="005760CF" w:rsidRPr="006F1F32" w:rsidRDefault="005760CF" w:rsidP="00FB1C4D">
            <w:pPr>
              <w:tabs>
                <w:tab w:val="clear" w:pos="567"/>
              </w:tabs>
              <w:rPr>
                <w:highlight w:val="yellow"/>
              </w:rPr>
            </w:pPr>
            <w:r w:rsidRPr="005760CF">
              <w:t>20 April 2018</w:t>
            </w:r>
          </w:p>
        </w:tc>
      </w:tr>
      <w:tr w:rsidR="005760CF" w:rsidRPr="006F1F32" w:rsidTr="00FB1C4D">
        <w:tc>
          <w:tcPr>
            <w:tcW w:w="1605" w:type="pct"/>
            <w:tcBorders>
              <w:top w:val="single" w:sz="4" w:space="0" w:color="auto"/>
              <w:left w:val="single" w:sz="4" w:space="0" w:color="auto"/>
              <w:bottom w:val="single" w:sz="4" w:space="0" w:color="auto"/>
              <w:right w:val="single" w:sz="4" w:space="0" w:color="auto"/>
            </w:tcBorders>
          </w:tcPr>
          <w:p w:rsidR="005760CF" w:rsidRPr="00970E6D" w:rsidRDefault="005760CF" w:rsidP="00FB1C4D">
            <w:pPr>
              <w:tabs>
                <w:tab w:val="clear" w:pos="567"/>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rsidR="005760CF" w:rsidRPr="006F1F32" w:rsidRDefault="005760CF" w:rsidP="005760CF">
            <w:pPr>
              <w:tabs>
                <w:tab w:val="clear" w:pos="567"/>
              </w:tabs>
              <w:rPr>
                <w:highlight w:val="yellow"/>
              </w:rPr>
            </w:pPr>
            <w:r>
              <w:t>Anli Chin</w:t>
            </w:r>
            <w:r w:rsidRPr="00420DC1">
              <w:t xml:space="preserve">, 02 6229 </w:t>
            </w:r>
            <w:r>
              <w:t>8845</w:t>
            </w:r>
            <w:r w:rsidRPr="00420DC1">
              <w:t xml:space="preserve">, </w:t>
            </w:r>
            <w:r>
              <w:t>anli.chin</w:t>
            </w:r>
            <w:r w:rsidRPr="00420DC1">
              <w:t>@cgc.gov.au</w:t>
            </w:r>
          </w:p>
        </w:tc>
      </w:tr>
      <w:tr w:rsidR="005760CF" w:rsidRPr="00970E6D" w:rsidTr="00FB1C4D">
        <w:tc>
          <w:tcPr>
            <w:tcW w:w="1605" w:type="pct"/>
            <w:tcBorders>
              <w:top w:val="single" w:sz="4" w:space="0" w:color="auto"/>
              <w:left w:val="single" w:sz="4" w:space="0" w:color="auto"/>
              <w:bottom w:val="single" w:sz="4" w:space="0" w:color="auto"/>
              <w:right w:val="single" w:sz="4" w:space="0" w:color="auto"/>
            </w:tcBorders>
          </w:tcPr>
          <w:p w:rsidR="005760CF" w:rsidRPr="00970E6D" w:rsidRDefault="005760CF" w:rsidP="00FB1C4D">
            <w:pPr>
              <w:tabs>
                <w:tab w:val="clear" w:pos="567"/>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rsidR="005760CF" w:rsidRDefault="005760CF" w:rsidP="00FB1C4D">
            <w:pPr>
              <w:tabs>
                <w:tab w:val="clear" w:pos="567"/>
              </w:tabs>
            </w:pPr>
            <w:r w:rsidRPr="005760CF">
              <w:t>31 August 2018</w:t>
            </w:r>
          </w:p>
          <w:p w:rsidR="005760CF" w:rsidRDefault="005760CF" w:rsidP="00FB1C4D">
            <w:pPr>
              <w:tabs>
                <w:tab w:val="clear" w:pos="567"/>
              </w:tabs>
            </w:pPr>
            <w:r w:rsidRPr="00970E6D">
              <w:t xml:space="preserve">Submissions should be emailed in Word format to </w:t>
            </w:r>
            <w:hyperlink r:id="rId9" w:history="1">
              <w:r w:rsidRPr="00970E6D">
                <w:rPr>
                  <w:rStyle w:val="Hyperlink"/>
                </w:rPr>
                <w:t>secretary@cgc.gov.au</w:t>
              </w:r>
            </w:hyperlink>
            <w:r w:rsidRPr="00970E6D">
              <w:t xml:space="preserve"> .</w:t>
            </w:r>
          </w:p>
          <w:p w:rsidR="005760CF" w:rsidRPr="00970E6D" w:rsidRDefault="005760CF" w:rsidP="00FB1C4D">
            <w:pPr>
              <w:tabs>
                <w:tab w:val="clear" w:pos="567"/>
              </w:tabs>
            </w:pPr>
            <w:r>
              <w:t xml:space="preserve">Submissions of more than 10 pages in length should include a summary section. </w:t>
            </w:r>
          </w:p>
        </w:tc>
      </w:tr>
      <w:tr w:rsidR="005760CF" w:rsidRPr="00970E6D" w:rsidTr="00FB1C4D">
        <w:tc>
          <w:tcPr>
            <w:tcW w:w="1605" w:type="pct"/>
            <w:tcBorders>
              <w:top w:val="single" w:sz="4" w:space="0" w:color="auto"/>
              <w:left w:val="single" w:sz="4" w:space="0" w:color="auto"/>
              <w:bottom w:val="single" w:sz="4" w:space="0" w:color="auto"/>
              <w:right w:val="single" w:sz="4" w:space="0" w:color="auto"/>
            </w:tcBorders>
          </w:tcPr>
          <w:p w:rsidR="005760CF" w:rsidRPr="00970E6D" w:rsidRDefault="005760CF" w:rsidP="00FB1C4D">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5760CF" w:rsidRPr="00CF1294" w:rsidRDefault="005760CF" w:rsidP="00FB1C4D">
            <w:pPr>
              <w:tabs>
                <w:tab w:val="clear" w:pos="567"/>
              </w:tabs>
            </w:pPr>
            <w:r>
              <w:t>It is the C</w:t>
            </w:r>
            <w:r w:rsidRPr="00CF1294">
              <w:t xml:space="preserve">ommission’s normal practice to make State submissions available on its website under the CC BY licence, allowing free use of content by third parties. </w:t>
            </w:r>
          </w:p>
          <w:p w:rsidR="005760CF" w:rsidRPr="00CF1294" w:rsidRDefault="005760CF" w:rsidP="00FB1C4D">
            <w:pPr>
              <w:tabs>
                <w:tab w:val="clear" w:pos="567"/>
              </w:tabs>
            </w:pPr>
            <w:r w:rsidRPr="00CF1294">
              <w:rPr>
                <w:noProof/>
                <w:lang w:eastAsia="en-AU"/>
              </w:rPr>
              <w:drawing>
                <wp:inline distT="0" distB="0" distL="0" distR="0" wp14:anchorId="57BABD62" wp14:editId="32002B66">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0"/>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5760CF" w:rsidRPr="00CF1294" w:rsidRDefault="005760CF" w:rsidP="00FB1C4D">
            <w:pPr>
              <w:tabs>
                <w:tab w:val="clear" w:pos="567"/>
              </w:tabs>
            </w:pPr>
            <w:r w:rsidRPr="00CF1294">
              <w:t xml:space="preserve">Further information on the CC BY licence can be found </w:t>
            </w:r>
            <w:r w:rsidRPr="00EC79CF">
              <w:t xml:space="preserve">on the </w:t>
            </w:r>
            <w:hyperlink r:id="rId11" w:history="1">
              <w:r w:rsidRPr="00841145">
                <w:rPr>
                  <w:rStyle w:val="Hyperlink"/>
                </w:rPr>
                <w:t>Creative Commons website</w:t>
              </w:r>
            </w:hyperlink>
            <w:r w:rsidRPr="00EC79CF">
              <w:t xml:space="preserve"> </w:t>
            </w:r>
            <w:r>
              <w:t>(</w:t>
            </w:r>
            <w:r w:rsidRPr="00841145">
              <w:t>http://creativecommons.org</w:t>
            </w:r>
            <w:r>
              <w:t>).</w:t>
            </w:r>
            <w:r w:rsidRPr="00CF1294">
              <w:t xml:space="preserve"> </w:t>
            </w:r>
          </w:p>
          <w:p w:rsidR="005760CF" w:rsidRPr="00970E6D" w:rsidRDefault="005760CF" w:rsidP="00FB1C4D">
            <w:pPr>
              <w:tabs>
                <w:tab w:val="clear" w:pos="567"/>
              </w:tabs>
            </w:pPr>
            <w:r w:rsidRPr="00CF1294">
              <w:t>Confidential material contained in submissions must be clearly identified or included in separate attachment/s, and details provided in the covering email. Identified confidential materia</w:t>
            </w:r>
            <w:r w:rsidR="00FE7BA0">
              <w:t>l will not be published on the C</w:t>
            </w:r>
            <w:r w:rsidRPr="00CF1294">
              <w:t>ommission’s website.</w:t>
            </w:r>
          </w:p>
        </w:tc>
      </w:tr>
    </w:tbl>
    <w:p w:rsidR="00EF7649" w:rsidRDefault="00EF7649" w:rsidP="00EF7649">
      <w:pPr>
        <w:sectPr w:rsidR="00EF7649" w:rsidSect="00B7517F">
          <w:footerReference w:type="default" r:id="rId12"/>
          <w:footerReference w:type="first" r:id="rId13"/>
          <w:pgSz w:w="11899" w:h="16838" w:code="9"/>
          <w:pgMar w:top="1701" w:right="1474" w:bottom="1701" w:left="1474" w:header="709" w:footer="709" w:gutter="0"/>
          <w:pgNumType w:start="1"/>
          <w:cols w:space="708"/>
          <w:titlePg/>
          <w:docGrid w:linePitch="299"/>
        </w:sectPr>
      </w:pPr>
    </w:p>
    <w:p w:rsidR="00EF7649" w:rsidRDefault="00EF7649" w:rsidP="00594729">
      <w:pPr>
        <w:pStyle w:val="Heading1"/>
      </w:pPr>
      <w:bookmarkStart w:id="9" w:name="_Toc510091834"/>
      <w:bookmarkStart w:id="10" w:name="_Toc510091923"/>
      <w:bookmarkStart w:id="11" w:name="_Toc510795481"/>
      <w:bookmarkStart w:id="12" w:name="_Toc511394433"/>
      <w:r>
        <w:lastRenderedPageBreak/>
        <w:t>Contents</w:t>
      </w:r>
      <w:bookmarkEnd w:id="9"/>
      <w:bookmarkEnd w:id="10"/>
      <w:bookmarkEnd w:id="11"/>
      <w:bookmarkEnd w:id="12"/>
    </w:p>
    <w:p w:rsidR="00594729" w:rsidRDefault="00594729" w:rsidP="00594729"/>
    <w:p w:rsidR="00594729" w:rsidRPr="00594729" w:rsidRDefault="00594729" w:rsidP="00594729"/>
    <w:p w:rsidR="00A85482" w:rsidRDefault="00A85482" w:rsidP="00A85482">
      <w:pPr>
        <w:pStyle w:val="TOC1"/>
        <w:rPr>
          <w:rFonts w:eastAsiaTheme="minorEastAsia"/>
          <w:b w:val="0"/>
          <w:bCs w:val="0"/>
          <w:caps w:val="0"/>
          <w:noProof/>
          <w:sz w:val="22"/>
          <w:szCs w:val="22"/>
          <w:lang w:eastAsia="en-AU"/>
        </w:rPr>
      </w:pPr>
      <w:r>
        <w:fldChar w:fldCharType="begin"/>
      </w:r>
      <w:r>
        <w:instrText xml:space="preserve"> TOC \f \h \z \u \t "Heading 2,1,Heading 3,1,Heading 4,3" </w:instrText>
      </w:r>
      <w:r>
        <w:fldChar w:fldCharType="separate"/>
      </w:r>
      <w:hyperlink w:anchor="_Toc511394433" w:history="1"/>
      <w:hyperlink w:anchor="_Toc511394434" w:history="1">
        <w:r w:rsidRPr="004E6DA3">
          <w:rPr>
            <w:rStyle w:val="Hyperlink"/>
            <w:noProof/>
          </w:rPr>
          <w:t>Other Expenses</w:t>
        </w:r>
        <w:r>
          <w:rPr>
            <w:noProof/>
            <w:webHidden/>
          </w:rPr>
          <w:tab/>
        </w:r>
        <w:r>
          <w:rPr>
            <w:noProof/>
            <w:webHidden/>
          </w:rPr>
          <w:fldChar w:fldCharType="begin"/>
        </w:r>
        <w:r>
          <w:rPr>
            <w:noProof/>
            <w:webHidden/>
          </w:rPr>
          <w:instrText xml:space="preserve"> PAGEREF _Toc511394434 \h </w:instrText>
        </w:r>
        <w:r>
          <w:rPr>
            <w:noProof/>
            <w:webHidden/>
          </w:rPr>
        </w:r>
        <w:r>
          <w:rPr>
            <w:noProof/>
            <w:webHidden/>
          </w:rPr>
          <w:fldChar w:fldCharType="separate"/>
        </w:r>
        <w:r>
          <w:rPr>
            <w:noProof/>
            <w:webHidden/>
          </w:rPr>
          <w:t>1</w:t>
        </w:r>
        <w:r>
          <w:rPr>
            <w:noProof/>
            <w:webHidden/>
          </w:rPr>
          <w:fldChar w:fldCharType="end"/>
        </w:r>
      </w:hyperlink>
    </w:p>
    <w:p w:rsidR="00A85482" w:rsidRDefault="00C10DE7" w:rsidP="00A85482">
      <w:pPr>
        <w:pStyle w:val="TOC1"/>
        <w:rPr>
          <w:rFonts w:eastAsiaTheme="minorEastAsia"/>
          <w:b w:val="0"/>
          <w:bCs w:val="0"/>
          <w:caps w:val="0"/>
          <w:noProof/>
          <w:sz w:val="22"/>
          <w:szCs w:val="22"/>
          <w:lang w:eastAsia="en-AU"/>
        </w:rPr>
      </w:pPr>
      <w:hyperlink w:anchor="_Toc511394435" w:history="1">
        <w:r w:rsidR="00A85482" w:rsidRPr="004E6DA3">
          <w:rPr>
            <w:rStyle w:val="Hyperlink"/>
            <w:noProof/>
          </w:rPr>
          <w:t>2015 Review approach</w:t>
        </w:r>
        <w:r w:rsidR="00A85482">
          <w:rPr>
            <w:noProof/>
            <w:webHidden/>
          </w:rPr>
          <w:tab/>
        </w:r>
        <w:r w:rsidR="00A85482">
          <w:rPr>
            <w:noProof/>
            <w:webHidden/>
          </w:rPr>
          <w:fldChar w:fldCharType="begin"/>
        </w:r>
        <w:r w:rsidR="00A85482">
          <w:rPr>
            <w:noProof/>
            <w:webHidden/>
          </w:rPr>
          <w:instrText xml:space="preserve"> PAGEREF _Toc511394435 \h </w:instrText>
        </w:r>
        <w:r w:rsidR="00A85482">
          <w:rPr>
            <w:noProof/>
            <w:webHidden/>
          </w:rPr>
        </w:r>
        <w:r w:rsidR="00A85482">
          <w:rPr>
            <w:noProof/>
            <w:webHidden/>
          </w:rPr>
          <w:fldChar w:fldCharType="separate"/>
        </w:r>
        <w:r w:rsidR="00A85482">
          <w:rPr>
            <w:noProof/>
            <w:webHidden/>
          </w:rPr>
          <w:t>1</w:t>
        </w:r>
        <w:r w:rsidR="00A85482">
          <w:rPr>
            <w:noProof/>
            <w:webHidden/>
          </w:rPr>
          <w:fldChar w:fldCharType="end"/>
        </w:r>
      </w:hyperlink>
    </w:p>
    <w:p w:rsidR="00A85482" w:rsidRDefault="00C10DE7" w:rsidP="00A85482">
      <w:pPr>
        <w:pStyle w:val="TOC3"/>
        <w:rPr>
          <w:rFonts w:eastAsiaTheme="minorEastAsia"/>
          <w:iCs w:val="0"/>
          <w:noProof/>
          <w:sz w:val="22"/>
          <w:lang w:eastAsia="en-AU"/>
        </w:rPr>
      </w:pPr>
      <w:hyperlink w:anchor="_Toc511394436" w:history="1">
        <w:r w:rsidR="00A85482" w:rsidRPr="004E6DA3">
          <w:rPr>
            <w:rStyle w:val="Hyperlink"/>
            <w:noProof/>
          </w:rPr>
          <w:t>Services included in this category</w:t>
        </w:r>
        <w:r w:rsidR="00A85482">
          <w:rPr>
            <w:noProof/>
            <w:webHidden/>
          </w:rPr>
          <w:tab/>
        </w:r>
        <w:r w:rsidR="00A85482">
          <w:rPr>
            <w:noProof/>
            <w:webHidden/>
          </w:rPr>
          <w:fldChar w:fldCharType="begin"/>
        </w:r>
        <w:r w:rsidR="00A85482">
          <w:rPr>
            <w:noProof/>
            <w:webHidden/>
          </w:rPr>
          <w:instrText xml:space="preserve"> PAGEREF _Toc511394436 \h </w:instrText>
        </w:r>
        <w:r w:rsidR="00A85482">
          <w:rPr>
            <w:noProof/>
            <w:webHidden/>
          </w:rPr>
        </w:r>
        <w:r w:rsidR="00A85482">
          <w:rPr>
            <w:noProof/>
            <w:webHidden/>
          </w:rPr>
          <w:fldChar w:fldCharType="separate"/>
        </w:r>
        <w:r w:rsidR="00A85482">
          <w:rPr>
            <w:noProof/>
            <w:webHidden/>
          </w:rPr>
          <w:t>1</w:t>
        </w:r>
        <w:r w:rsidR="00A85482">
          <w:rPr>
            <w:noProof/>
            <w:webHidden/>
          </w:rPr>
          <w:fldChar w:fldCharType="end"/>
        </w:r>
      </w:hyperlink>
    </w:p>
    <w:p w:rsidR="00A85482" w:rsidRDefault="00C10DE7" w:rsidP="00A85482">
      <w:pPr>
        <w:pStyle w:val="TOC3"/>
        <w:rPr>
          <w:rFonts w:eastAsiaTheme="minorEastAsia"/>
          <w:iCs w:val="0"/>
          <w:noProof/>
          <w:sz w:val="22"/>
          <w:lang w:eastAsia="en-AU"/>
        </w:rPr>
      </w:pPr>
      <w:hyperlink w:anchor="_Toc511394437" w:history="1">
        <w:r w:rsidR="00A85482" w:rsidRPr="004E6DA3">
          <w:rPr>
            <w:rStyle w:val="Hyperlink"/>
            <w:noProof/>
          </w:rPr>
          <w:t>Category and component expenses</w:t>
        </w:r>
        <w:r w:rsidR="00A85482">
          <w:rPr>
            <w:noProof/>
            <w:webHidden/>
          </w:rPr>
          <w:tab/>
        </w:r>
        <w:r w:rsidR="00A85482">
          <w:rPr>
            <w:noProof/>
            <w:webHidden/>
          </w:rPr>
          <w:fldChar w:fldCharType="begin"/>
        </w:r>
        <w:r w:rsidR="00A85482">
          <w:rPr>
            <w:noProof/>
            <w:webHidden/>
          </w:rPr>
          <w:instrText xml:space="preserve"> PAGEREF _Toc511394437 \h </w:instrText>
        </w:r>
        <w:r w:rsidR="00A85482">
          <w:rPr>
            <w:noProof/>
            <w:webHidden/>
          </w:rPr>
        </w:r>
        <w:r w:rsidR="00A85482">
          <w:rPr>
            <w:noProof/>
            <w:webHidden/>
          </w:rPr>
          <w:fldChar w:fldCharType="separate"/>
        </w:r>
        <w:r w:rsidR="00A85482">
          <w:rPr>
            <w:noProof/>
            <w:webHidden/>
          </w:rPr>
          <w:t>2</w:t>
        </w:r>
        <w:r w:rsidR="00A85482">
          <w:rPr>
            <w:noProof/>
            <w:webHidden/>
          </w:rPr>
          <w:fldChar w:fldCharType="end"/>
        </w:r>
      </w:hyperlink>
    </w:p>
    <w:p w:rsidR="00A85482" w:rsidRDefault="00C10DE7" w:rsidP="00A85482">
      <w:pPr>
        <w:pStyle w:val="TOC3"/>
        <w:rPr>
          <w:rFonts w:eastAsiaTheme="minorEastAsia"/>
          <w:iCs w:val="0"/>
          <w:noProof/>
          <w:sz w:val="22"/>
          <w:lang w:eastAsia="en-AU"/>
        </w:rPr>
      </w:pPr>
      <w:hyperlink w:anchor="_Toc511394438" w:history="1">
        <w:r w:rsidR="00A85482" w:rsidRPr="004E6DA3">
          <w:rPr>
            <w:rStyle w:val="Hyperlink"/>
            <w:noProof/>
          </w:rPr>
          <w:t>Data sources and assessment methods</w:t>
        </w:r>
        <w:r w:rsidR="00A85482">
          <w:rPr>
            <w:noProof/>
            <w:webHidden/>
          </w:rPr>
          <w:tab/>
        </w:r>
        <w:r w:rsidR="00A85482">
          <w:rPr>
            <w:noProof/>
            <w:webHidden/>
          </w:rPr>
          <w:fldChar w:fldCharType="begin"/>
        </w:r>
        <w:r w:rsidR="00A85482">
          <w:rPr>
            <w:noProof/>
            <w:webHidden/>
          </w:rPr>
          <w:instrText xml:space="preserve"> PAGEREF _Toc511394438 \h </w:instrText>
        </w:r>
        <w:r w:rsidR="00A85482">
          <w:rPr>
            <w:noProof/>
            <w:webHidden/>
          </w:rPr>
        </w:r>
        <w:r w:rsidR="00A85482">
          <w:rPr>
            <w:noProof/>
            <w:webHidden/>
          </w:rPr>
          <w:fldChar w:fldCharType="separate"/>
        </w:r>
        <w:r w:rsidR="00A85482">
          <w:rPr>
            <w:noProof/>
            <w:webHidden/>
          </w:rPr>
          <w:t>2</w:t>
        </w:r>
        <w:r w:rsidR="00A85482">
          <w:rPr>
            <w:noProof/>
            <w:webHidden/>
          </w:rPr>
          <w:fldChar w:fldCharType="end"/>
        </w:r>
      </w:hyperlink>
    </w:p>
    <w:p w:rsidR="00A85482" w:rsidRDefault="00C10DE7" w:rsidP="00A85482">
      <w:pPr>
        <w:pStyle w:val="TOC1"/>
        <w:rPr>
          <w:rFonts w:eastAsiaTheme="minorEastAsia"/>
          <w:b w:val="0"/>
          <w:bCs w:val="0"/>
          <w:caps w:val="0"/>
          <w:noProof/>
          <w:sz w:val="22"/>
          <w:szCs w:val="22"/>
          <w:lang w:eastAsia="en-AU"/>
        </w:rPr>
      </w:pPr>
      <w:hyperlink w:anchor="_Toc511394439" w:history="1">
        <w:r w:rsidR="00A85482" w:rsidRPr="004E6DA3">
          <w:rPr>
            <w:rStyle w:val="Hyperlink"/>
            <w:noProof/>
          </w:rPr>
          <w:t>Issues and analysis</w:t>
        </w:r>
        <w:r w:rsidR="00A85482">
          <w:rPr>
            <w:noProof/>
            <w:webHidden/>
          </w:rPr>
          <w:tab/>
        </w:r>
        <w:r w:rsidR="00A85482">
          <w:rPr>
            <w:noProof/>
            <w:webHidden/>
          </w:rPr>
          <w:fldChar w:fldCharType="begin"/>
        </w:r>
        <w:r w:rsidR="00A85482">
          <w:rPr>
            <w:noProof/>
            <w:webHidden/>
          </w:rPr>
          <w:instrText xml:space="preserve"> PAGEREF _Toc511394439 \h </w:instrText>
        </w:r>
        <w:r w:rsidR="00A85482">
          <w:rPr>
            <w:noProof/>
            <w:webHidden/>
          </w:rPr>
        </w:r>
        <w:r w:rsidR="00A85482">
          <w:rPr>
            <w:noProof/>
            <w:webHidden/>
          </w:rPr>
          <w:fldChar w:fldCharType="separate"/>
        </w:r>
        <w:r w:rsidR="00A85482">
          <w:rPr>
            <w:noProof/>
            <w:webHidden/>
          </w:rPr>
          <w:t>4</w:t>
        </w:r>
        <w:r w:rsidR="00A85482">
          <w:rPr>
            <w:noProof/>
            <w:webHidden/>
          </w:rPr>
          <w:fldChar w:fldCharType="end"/>
        </w:r>
      </w:hyperlink>
    </w:p>
    <w:p w:rsidR="00A85482" w:rsidRDefault="00C10DE7" w:rsidP="00A85482">
      <w:pPr>
        <w:pStyle w:val="TOC3"/>
        <w:rPr>
          <w:rFonts w:eastAsiaTheme="minorEastAsia"/>
          <w:iCs w:val="0"/>
          <w:noProof/>
          <w:sz w:val="22"/>
          <w:lang w:eastAsia="en-AU"/>
        </w:rPr>
      </w:pPr>
      <w:hyperlink w:anchor="_Toc511394440" w:history="1">
        <w:r w:rsidR="00A85482" w:rsidRPr="004E6DA3">
          <w:rPr>
            <w:rStyle w:val="Hyperlink"/>
            <w:noProof/>
          </w:rPr>
          <w:t>Natural disaster relief</w:t>
        </w:r>
        <w:r w:rsidR="00A85482">
          <w:rPr>
            <w:noProof/>
            <w:webHidden/>
          </w:rPr>
          <w:tab/>
        </w:r>
        <w:r w:rsidR="00A85482">
          <w:rPr>
            <w:noProof/>
            <w:webHidden/>
          </w:rPr>
          <w:fldChar w:fldCharType="begin"/>
        </w:r>
        <w:r w:rsidR="00A85482">
          <w:rPr>
            <w:noProof/>
            <w:webHidden/>
          </w:rPr>
          <w:instrText xml:space="preserve"> PAGEREF _Toc511394440 \h </w:instrText>
        </w:r>
        <w:r w:rsidR="00A85482">
          <w:rPr>
            <w:noProof/>
            <w:webHidden/>
          </w:rPr>
        </w:r>
        <w:r w:rsidR="00A85482">
          <w:rPr>
            <w:noProof/>
            <w:webHidden/>
          </w:rPr>
          <w:fldChar w:fldCharType="separate"/>
        </w:r>
        <w:r w:rsidR="00A85482">
          <w:rPr>
            <w:noProof/>
            <w:webHidden/>
          </w:rPr>
          <w:t>4</w:t>
        </w:r>
        <w:r w:rsidR="00A85482">
          <w:rPr>
            <w:noProof/>
            <w:webHidden/>
          </w:rPr>
          <w:fldChar w:fldCharType="end"/>
        </w:r>
      </w:hyperlink>
    </w:p>
    <w:p w:rsidR="00A85482" w:rsidRDefault="00C10DE7" w:rsidP="00A85482">
      <w:pPr>
        <w:pStyle w:val="TOC3"/>
        <w:rPr>
          <w:rFonts w:eastAsiaTheme="minorEastAsia"/>
          <w:iCs w:val="0"/>
          <w:noProof/>
          <w:sz w:val="22"/>
          <w:lang w:eastAsia="en-AU"/>
        </w:rPr>
      </w:pPr>
      <w:hyperlink w:anchor="_Toc511394441" w:history="1">
        <w:r w:rsidR="00A85482" w:rsidRPr="004E6DA3">
          <w:rPr>
            <w:rStyle w:val="Hyperlink"/>
            <w:noProof/>
          </w:rPr>
          <w:t>Capital grants to local government for community amenities</w:t>
        </w:r>
        <w:r w:rsidR="00A85482">
          <w:rPr>
            <w:noProof/>
            <w:webHidden/>
          </w:rPr>
          <w:tab/>
        </w:r>
        <w:r w:rsidR="00A85482">
          <w:rPr>
            <w:noProof/>
            <w:webHidden/>
          </w:rPr>
          <w:fldChar w:fldCharType="begin"/>
        </w:r>
        <w:r w:rsidR="00A85482">
          <w:rPr>
            <w:noProof/>
            <w:webHidden/>
          </w:rPr>
          <w:instrText xml:space="preserve"> PAGEREF _Toc511394441 \h </w:instrText>
        </w:r>
        <w:r w:rsidR="00A85482">
          <w:rPr>
            <w:noProof/>
            <w:webHidden/>
          </w:rPr>
        </w:r>
        <w:r w:rsidR="00A85482">
          <w:rPr>
            <w:noProof/>
            <w:webHidden/>
          </w:rPr>
          <w:fldChar w:fldCharType="separate"/>
        </w:r>
        <w:r w:rsidR="00A85482">
          <w:rPr>
            <w:noProof/>
            <w:webHidden/>
          </w:rPr>
          <w:t>8</w:t>
        </w:r>
        <w:r w:rsidR="00A85482">
          <w:rPr>
            <w:noProof/>
            <w:webHidden/>
          </w:rPr>
          <w:fldChar w:fldCharType="end"/>
        </w:r>
      </w:hyperlink>
    </w:p>
    <w:p w:rsidR="00A85482" w:rsidRDefault="00C10DE7" w:rsidP="00A85482">
      <w:pPr>
        <w:pStyle w:val="TOC3"/>
        <w:rPr>
          <w:rFonts w:eastAsiaTheme="minorEastAsia"/>
          <w:iCs w:val="0"/>
          <w:noProof/>
          <w:sz w:val="22"/>
          <w:lang w:eastAsia="en-AU"/>
        </w:rPr>
      </w:pPr>
      <w:hyperlink w:anchor="_Toc511394442" w:history="1">
        <w:r w:rsidR="00A85482" w:rsidRPr="004E6DA3">
          <w:rPr>
            <w:rStyle w:val="Hyperlink"/>
            <w:noProof/>
          </w:rPr>
          <w:t>National parks and wildlife services</w:t>
        </w:r>
        <w:r w:rsidR="00A85482">
          <w:rPr>
            <w:noProof/>
            <w:webHidden/>
          </w:rPr>
          <w:tab/>
        </w:r>
        <w:r w:rsidR="00A85482">
          <w:rPr>
            <w:noProof/>
            <w:webHidden/>
          </w:rPr>
          <w:fldChar w:fldCharType="begin"/>
        </w:r>
        <w:r w:rsidR="00A85482">
          <w:rPr>
            <w:noProof/>
            <w:webHidden/>
          </w:rPr>
          <w:instrText xml:space="preserve"> PAGEREF _Toc511394442 \h </w:instrText>
        </w:r>
        <w:r w:rsidR="00A85482">
          <w:rPr>
            <w:noProof/>
            <w:webHidden/>
          </w:rPr>
        </w:r>
        <w:r w:rsidR="00A85482">
          <w:rPr>
            <w:noProof/>
            <w:webHidden/>
          </w:rPr>
          <w:fldChar w:fldCharType="separate"/>
        </w:r>
        <w:r w:rsidR="00A85482">
          <w:rPr>
            <w:noProof/>
            <w:webHidden/>
          </w:rPr>
          <w:t>9</w:t>
        </w:r>
        <w:r w:rsidR="00A85482">
          <w:rPr>
            <w:noProof/>
            <w:webHidden/>
          </w:rPr>
          <w:fldChar w:fldCharType="end"/>
        </w:r>
      </w:hyperlink>
    </w:p>
    <w:p w:rsidR="00A85482" w:rsidRDefault="00C10DE7" w:rsidP="00A85482">
      <w:pPr>
        <w:pStyle w:val="TOC3"/>
        <w:rPr>
          <w:rFonts w:eastAsiaTheme="minorEastAsia"/>
          <w:iCs w:val="0"/>
          <w:noProof/>
          <w:sz w:val="22"/>
          <w:lang w:eastAsia="en-AU"/>
        </w:rPr>
      </w:pPr>
      <w:hyperlink w:anchor="_Toc511394443" w:history="1">
        <w:r w:rsidR="00A85482" w:rsidRPr="004E6DA3">
          <w:rPr>
            <w:rStyle w:val="Hyperlink"/>
            <w:noProof/>
          </w:rPr>
          <w:t>Cross-border expenses</w:t>
        </w:r>
        <w:r w:rsidR="00A85482">
          <w:rPr>
            <w:noProof/>
            <w:webHidden/>
          </w:rPr>
          <w:tab/>
        </w:r>
        <w:r w:rsidR="00A85482">
          <w:rPr>
            <w:noProof/>
            <w:webHidden/>
          </w:rPr>
          <w:fldChar w:fldCharType="begin"/>
        </w:r>
        <w:r w:rsidR="00A85482">
          <w:rPr>
            <w:noProof/>
            <w:webHidden/>
          </w:rPr>
          <w:instrText xml:space="preserve"> PAGEREF _Toc511394443 \h </w:instrText>
        </w:r>
        <w:r w:rsidR="00A85482">
          <w:rPr>
            <w:noProof/>
            <w:webHidden/>
          </w:rPr>
        </w:r>
        <w:r w:rsidR="00A85482">
          <w:rPr>
            <w:noProof/>
            <w:webHidden/>
          </w:rPr>
          <w:fldChar w:fldCharType="separate"/>
        </w:r>
        <w:r w:rsidR="00A85482">
          <w:rPr>
            <w:noProof/>
            <w:webHidden/>
          </w:rPr>
          <w:t>10</w:t>
        </w:r>
        <w:r w:rsidR="00A85482">
          <w:rPr>
            <w:noProof/>
            <w:webHidden/>
          </w:rPr>
          <w:fldChar w:fldCharType="end"/>
        </w:r>
      </w:hyperlink>
    </w:p>
    <w:p w:rsidR="00A85482" w:rsidRDefault="00C10DE7" w:rsidP="00A85482">
      <w:pPr>
        <w:pStyle w:val="TOC3"/>
        <w:rPr>
          <w:rFonts w:eastAsiaTheme="minorEastAsia"/>
          <w:iCs w:val="0"/>
          <w:noProof/>
          <w:sz w:val="22"/>
          <w:lang w:eastAsia="en-AU"/>
        </w:rPr>
      </w:pPr>
      <w:hyperlink w:anchor="_Toc511394444" w:history="1">
        <w:r w:rsidR="00A85482" w:rsidRPr="004E6DA3">
          <w:rPr>
            <w:rStyle w:val="Hyperlink"/>
            <w:noProof/>
          </w:rPr>
          <w:t>Administrative scale</w:t>
        </w:r>
        <w:r w:rsidR="00A85482">
          <w:rPr>
            <w:noProof/>
            <w:webHidden/>
          </w:rPr>
          <w:tab/>
        </w:r>
        <w:r w:rsidR="00A85482">
          <w:rPr>
            <w:noProof/>
            <w:webHidden/>
          </w:rPr>
          <w:fldChar w:fldCharType="begin"/>
        </w:r>
        <w:r w:rsidR="00A85482">
          <w:rPr>
            <w:noProof/>
            <w:webHidden/>
          </w:rPr>
          <w:instrText xml:space="preserve"> PAGEREF _Toc511394444 \h </w:instrText>
        </w:r>
        <w:r w:rsidR="00A85482">
          <w:rPr>
            <w:noProof/>
            <w:webHidden/>
          </w:rPr>
        </w:r>
        <w:r w:rsidR="00A85482">
          <w:rPr>
            <w:noProof/>
            <w:webHidden/>
          </w:rPr>
          <w:fldChar w:fldCharType="separate"/>
        </w:r>
        <w:r w:rsidR="00A85482">
          <w:rPr>
            <w:noProof/>
            <w:webHidden/>
          </w:rPr>
          <w:t>10</w:t>
        </w:r>
        <w:r w:rsidR="00A85482">
          <w:rPr>
            <w:noProof/>
            <w:webHidden/>
          </w:rPr>
          <w:fldChar w:fldCharType="end"/>
        </w:r>
      </w:hyperlink>
    </w:p>
    <w:p w:rsidR="00A85482" w:rsidRDefault="00C10DE7" w:rsidP="00A85482">
      <w:pPr>
        <w:pStyle w:val="TOC3"/>
        <w:rPr>
          <w:rFonts w:eastAsiaTheme="minorEastAsia"/>
          <w:iCs w:val="0"/>
          <w:noProof/>
          <w:sz w:val="22"/>
          <w:lang w:eastAsia="en-AU"/>
        </w:rPr>
      </w:pPr>
      <w:hyperlink w:anchor="_Toc511394445" w:history="1">
        <w:r w:rsidR="00A85482" w:rsidRPr="004E6DA3">
          <w:rPr>
            <w:rStyle w:val="Hyperlink"/>
            <w:noProof/>
          </w:rPr>
          <w:t>Other issues including location</w:t>
        </w:r>
        <w:r w:rsidR="00A85482">
          <w:rPr>
            <w:noProof/>
            <w:webHidden/>
          </w:rPr>
          <w:tab/>
        </w:r>
        <w:r w:rsidR="00A85482">
          <w:rPr>
            <w:noProof/>
            <w:webHidden/>
          </w:rPr>
          <w:fldChar w:fldCharType="begin"/>
        </w:r>
        <w:r w:rsidR="00A85482">
          <w:rPr>
            <w:noProof/>
            <w:webHidden/>
          </w:rPr>
          <w:instrText xml:space="preserve"> PAGEREF _Toc511394445 \h </w:instrText>
        </w:r>
        <w:r w:rsidR="00A85482">
          <w:rPr>
            <w:noProof/>
            <w:webHidden/>
          </w:rPr>
        </w:r>
        <w:r w:rsidR="00A85482">
          <w:rPr>
            <w:noProof/>
            <w:webHidden/>
          </w:rPr>
          <w:fldChar w:fldCharType="separate"/>
        </w:r>
        <w:r w:rsidR="00A85482">
          <w:rPr>
            <w:noProof/>
            <w:webHidden/>
          </w:rPr>
          <w:t>10</w:t>
        </w:r>
        <w:r w:rsidR="00A85482">
          <w:rPr>
            <w:noProof/>
            <w:webHidden/>
          </w:rPr>
          <w:fldChar w:fldCharType="end"/>
        </w:r>
      </w:hyperlink>
    </w:p>
    <w:p w:rsidR="00A85482" w:rsidRDefault="00C10DE7" w:rsidP="00A85482">
      <w:pPr>
        <w:pStyle w:val="TOC3"/>
        <w:rPr>
          <w:rFonts w:eastAsiaTheme="minorEastAsia"/>
          <w:iCs w:val="0"/>
          <w:noProof/>
          <w:sz w:val="22"/>
          <w:lang w:eastAsia="en-AU"/>
        </w:rPr>
      </w:pPr>
      <w:hyperlink w:anchor="_Toc511394446" w:history="1">
        <w:r w:rsidR="00A85482" w:rsidRPr="004E6DA3">
          <w:rPr>
            <w:rStyle w:val="Hyperlink"/>
            <w:noProof/>
          </w:rPr>
          <w:t>User charges</w:t>
        </w:r>
        <w:r w:rsidR="00A85482">
          <w:rPr>
            <w:noProof/>
            <w:webHidden/>
          </w:rPr>
          <w:tab/>
        </w:r>
        <w:r w:rsidR="00A85482">
          <w:rPr>
            <w:noProof/>
            <w:webHidden/>
          </w:rPr>
          <w:fldChar w:fldCharType="begin"/>
        </w:r>
        <w:r w:rsidR="00A85482">
          <w:rPr>
            <w:noProof/>
            <w:webHidden/>
          </w:rPr>
          <w:instrText xml:space="preserve"> PAGEREF _Toc511394446 \h </w:instrText>
        </w:r>
        <w:r w:rsidR="00A85482">
          <w:rPr>
            <w:noProof/>
            <w:webHidden/>
          </w:rPr>
        </w:r>
        <w:r w:rsidR="00A85482">
          <w:rPr>
            <w:noProof/>
            <w:webHidden/>
          </w:rPr>
          <w:fldChar w:fldCharType="separate"/>
        </w:r>
        <w:r w:rsidR="00A85482">
          <w:rPr>
            <w:noProof/>
            <w:webHidden/>
          </w:rPr>
          <w:t>11</w:t>
        </w:r>
        <w:r w:rsidR="00A85482">
          <w:rPr>
            <w:noProof/>
            <w:webHidden/>
          </w:rPr>
          <w:fldChar w:fldCharType="end"/>
        </w:r>
      </w:hyperlink>
    </w:p>
    <w:p w:rsidR="00A85482" w:rsidRDefault="00C10DE7" w:rsidP="00A85482">
      <w:pPr>
        <w:pStyle w:val="TOC1"/>
        <w:rPr>
          <w:rFonts w:eastAsiaTheme="minorEastAsia"/>
          <w:b w:val="0"/>
          <w:bCs w:val="0"/>
          <w:caps w:val="0"/>
          <w:noProof/>
          <w:sz w:val="22"/>
          <w:szCs w:val="22"/>
          <w:lang w:eastAsia="en-AU"/>
        </w:rPr>
      </w:pPr>
      <w:hyperlink w:anchor="_Toc511394447" w:history="1">
        <w:r w:rsidR="00A85482" w:rsidRPr="004E6DA3">
          <w:rPr>
            <w:rStyle w:val="Hyperlink"/>
            <w:noProof/>
          </w:rPr>
          <w:t>Conclusion and way forward</w:t>
        </w:r>
        <w:r w:rsidR="00A85482">
          <w:rPr>
            <w:noProof/>
            <w:webHidden/>
          </w:rPr>
          <w:tab/>
        </w:r>
        <w:r w:rsidR="00A85482">
          <w:rPr>
            <w:noProof/>
            <w:webHidden/>
          </w:rPr>
          <w:fldChar w:fldCharType="begin"/>
        </w:r>
        <w:r w:rsidR="00A85482">
          <w:rPr>
            <w:noProof/>
            <w:webHidden/>
          </w:rPr>
          <w:instrText xml:space="preserve"> PAGEREF _Toc511394447 \h </w:instrText>
        </w:r>
        <w:r w:rsidR="00A85482">
          <w:rPr>
            <w:noProof/>
            <w:webHidden/>
          </w:rPr>
        </w:r>
        <w:r w:rsidR="00A85482">
          <w:rPr>
            <w:noProof/>
            <w:webHidden/>
          </w:rPr>
          <w:fldChar w:fldCharType="separate"/>
        </w:r>
        <w:r w:rsidR="00A85482">
          <w:rPr>
            <w:noProof/>
            <w:webHidden/>
          </w:rPr>
          <w:t>11</w:t>
        </w:r>
        <w:r w:rsidR="00A85482">
          <w:rPr>
            <w:noProof/>
            <w:webHidden/>
          </w:rPr>
          <w:fldChar w:fldCharType="end"/>
        </w:r>
      </w:hyperlink>
    </w:p>
    <w:p w:rsidR="00A85482" w:rsidRDefault="00C10DE7" w:rsidP="00A85482">
      <w:pPr>
        <w:pStyle w:val="TOC3"/>
        <w:rPr>
          <w:rFonts w:eastAsiaTheme="minorEastAsia"/>
          <w:iCs w:val="0"/>
          <w:noProof/>
          <w:sz w:val="22"/>
          <w:lang w:eastAsia="en-AU"/>
        </w:rPr>
      </w:pPr>
      <w:hyperlink w:anchor="_Toc511394448" w:history="1">
        <w:r w:rsidR="00A85482" w:rsidRPr="004E6DA3">
          <w:rPr>
            <w:rStyle w:val="Hyperlink"/>
            <w:noProof/>
          </w:rPr>
          <w:t>Proposed assessment structure</w:t>
        </w:r>
        <w:r w:rsidR="00A85482">
          <w:rPr>
            <w:noProof/>
            <w:webHidden/>
          </w:rPr>
          <w:tab/>
        </w:r>
        <w:r w:rsidR="00A85482">
          <w:rPr>
            <w:noProof/>
            <w:webHidden/>
          </w:rPr>
          <w:fldChar w:fldCharType="begin"/>
        </w:r>
        <w:r w:rsidR="00A85482">
          <w:rPr>
            <w:noProof/>
            <w:webHidden/>
          </w:rPr>
          <w:instrText xml:space="preserve"> PAGEREF _Toc511394448 \h </w:instrText>
        </w:r>
        <w:r w:rsidR="00A85482">
          <w:rPr>
            <w:noProof/>
            <w:webHidden/>
          </w:rPr>
        </w:r>
        <w:r w:rsidR="00A85482">
          <w:rPr>
            <w:noProof/>
            <w:webHidden/>
          </w:rPr>
          <w:fldChar w:fldCharType="separate"/>
        </w:r>
        <w:r w:rsidR="00A85482">
          <w:rPr>
            <w:noProof/>
            <w:webHidden/>
          </w:rPr>
          <w:t>12</w:t>
        </w:r>
        <w:r w:rsidR="00A85482">
          <w:rPr>
            <w:noProof/>
            <w:webHidden/>
          </w:rPr>
          <w:fldChar w:fldCharType="end"/>
        </w:r>
      </w:hyperlink>
    </w:p>
    <w:p w:rsidR="00A85482" w:rsidRDefault="00C10DE7" w:rsidP="00A85482">
      <w:pPr>
        <w:pStyle w:val="TOC3"/>
        <w:rPr>
          <w:rFonts w:eastAsiaTheme="minorEastAsia"/>
          <w:iCs w:val="0"/>
          <w:noProof/>
          <w:sz w:val="22"/>
          <w:lang w:eastAsia="en-AU"/>
        </w:rPr>
      </w:pPr>
      <w:hyperlink w:anchor="_Toc511394449" w:history="1">
        <w:r w:rsidR="00A85482" w:rsidRPr="004E6DA3">
          <w:rPr>
            <w:rStyle w:val="Hyperlink"/>
            <w:noProof/>
          </w:rPr>
          <w:t>Information sought from States</w:t>
        </w:r>
        <w:r w:rsidR="00A85482">
          <w:rPr>
            <w:noProof/>
            <w:webHidden/>
          </w:rPr>
          <w:tab/>
        </w:r>
        <w:r w:rsidR="00A85482">
          <w:rPr>
            <w:noProof/>
            <w:webHidden/>
          </w:rPr>
          <w:fldChar w:fldCharType="begin"/>
        </w:r>
        <w:r w:rsidR="00A85482">
          <w:rPr>
            <w:noProof/>
            <w:webHidden/>
          </w:rPr>
          <w:instrText xml:space="preserve"> PAGEREF _Toc511394449 \h </w:instrText>
        </w:r>
        <w:r w:rsidR="00A85482">
          <w:rPr>
            <w:noProof/>
            <w:webHidden/>
          </w:rPr>
        </w:r>
        <w:r w:rsidR="00A85482">
          <w:rPr>
            <w:noProof/>
            <w:webHidden/>
          </w:rPr>
          <w:fldChar w:fldCharType="separate"/>
        </w:r>
        <w:r w:rsidR="00A85482">
          <w:rPr>
            <w:noProof/>
            <w:webHidden/>
          </w:rPr>
          <w:t>12</w:t>
        </w:r>
        <w:r w:rsidR="00A85482">
          <w:rPr>
            <w:noProof/>
            <w:webHidden/>
          </w:rPr>
          <w:fldChar w:fldCharType="end"/>
        </w:r>
      </w:hyperlink>
    </w:p>
    <w:p w:rsidR="00EF7649" w:rsidRPr="00EF7649" w:rsidRDefault="00A85482" w:rsidP="00EF7649">
      <w:r>
        <w:fldChar w:fldCharType="end"/>
      </w:r>
    </w:p>
    <w:p w:rsidR="00EF7649" w:rsidRDefault="00EF7649" w:rsidP="00A85482">
      <w:pPr>
        <w:pStyle w:val="NoSpacing"/>
        <w:sectPr w:rsidR="00EF7649" w:rsidSect="00B7517F">
          <w:footerReference w:type="first" r:id="rId14"/>
          <w:pgSz w:w="11899" w:h="16838" w:code="9"/>
          <w:pgMar w:top="1701" w:right="1474" w:bottom="1701" w:left="1474" w:header="709" w:footer="709" w:gutter="0"/>
          <w:pgNumType w:start="1"/>
          <w:cols w:space="708"/>
          <w:titlePg/>
          <w:docGrid w:linePitch="299"/>
        </w:sectPr>
      </w:pPr>
    </w:p>
    <w:p w:rsidR="00367755" w:rsidRDefault="00367755" w:rsidP="00367755">
      <w:pPr>
        <w:pStyle w:val="Heading2"/>
      </w:pPr>
      <w:bookmarkStart w:id="13" w:name="_Toc510091835"/>
      <w:bookmarkStart w:id="14" w:name="_Toc510091924"/>
      <w:bookmarkStart w:id="15" w:name="_Toc510795482"/>
      <w:bookmarkStart w:id="16" w:name="_Toc511394434"/>
      <w:r>
        <w:t>Other Expenses</w:t>
      </w:r>
      <w:bookmarkEnd w:id="13"/>
      <w:bookmarkEnd w:id="14"/>
      <w:bookmarkEnd w:id="15"/>
      <w:bookmarkEnd w:id="16"/>
    </w:p>
    <w:p w:rsidR="00484265" w:rsidRPr="00484265" w:rsidRDefault="00484265" w:rsidP="00484265">
      <w:pPr>
        <w:pStyle w:val="CGCNumberedPara"/>
      </w:pPr>
      <w:bookmarkStart w:id="17" w:name="_Toc510091836"/>
      <w:r w:rsidRPr="00484265">
        <w:t xml:space="preserve">The paper provides the Commission staff proposals for the assessment of </w:t>
      </w:r>
      <w:r w:rsidR="00A227C9">
        <w:t>Other </w:t>
      </w:r>
      <w:r w:rsidRPr="00484265">
        <w:t>expenses</w:t>
      </w:r>
      <w:r>
        <w:t xml:space="preserve"> </w:t>
      </w:r>
      <w:r w:rsidRPr="00484265">
        <w:t>for the 2020 Review.</w:t>
      </w:r>
    </w:p>
    <w:p w:rsidR="00F83306" w:rsidRPr="005C1BDA" w:rsidRDefault="00F83306" w:rsidP="005C1BDA">
      <w:pPr>
        <w:pStyle w:val="Heading3"/>
      </w:pPr>
      <w:bookmarkStart w:id="18" w:name="_Toc510795483"/>
      <w:bookmarkStart w:id="19" w:name="_Toc511394435"/>
      <w:r w:rsidRPr="005C1BDA">
        <w:t xml:space="preserve">2015 </w:t>
      </w:r>
      <w:r w:rsidR="005C1BDA" w:rsidRPr="005C1BDA">
        <w:t>Review approach</w:t>
      </w:r>
      <w:bookmarkEnd w:id="17"/>
      <w:bookmarkEnd w:id="18"/>
      <w:bookmarkEnd w:id="19"/>
    </w:p>
    <w:p w:rsidR="00C42DD2" w:rsidRDefault="00C42DD2" w:rsidP="00C42DD2">
      <w:pPr>
        <w:pStyle w:val="Heading4"/>
      </w:pPr>
      <w:bookmarkStart w:id="20" w:name="_Toc510795484"/>
      <w:bookmarkStart w:id="21" w:name="_Toc511394436"/>
      <w:r w:rsidRPr="002132CC">
        <w:t>Services</w:t>
      </w:r>
      <w:r>
        <w:t xml:space="preserve"> </w:t>
      </w:r>
      <w:r w:rsidRPr="002132CC">
        <w:t>included in this category</w:t>
      </w:r>
      <w:bookmarkEnd w:id="20"/>
      <w:bookmarkEnd w:id="21"/>
    </w:p>
    <w:p w:rsidR="001E6B8E" w:rsidRPr="00F46B46" w:rsidRDefault="001E6B8E" w:rsidP="0097318D">
      <w:pPr>
        <w:pStyle w:val="CGCNumberedPara"/>
      </w:pPr>
      <w:r w:rsidRPr="00F46B46">
        <w:t>The O</w:t>
      </w:r>
      <w:r w:rsidR="005E1D4F">
        <w:t>ther expenses category comprise</w:t>
      </w:r>
      <w:r w:rsidR="002C244F">
        <w:t>s</w:t>
      </w:r>
      <w:r w:rsidRPr="00F46B46">
        <w:t xml:space="preserve"> </w:t>
      </w:r>
      <w:r w:rsidR="00FE76C6">
        <w:t>expenses</w:t>
      </w:r>
      <w:r w:rsidRPr="00F46B46">
        <w:t xml:space="preserve"> not separately assessed in other</w:t>
      </w:r>
      <w:r w:rsidR="005E1D4F">
        <w:t xml:space="preserve"> expense categories. It include</w:t>
      </w:r>
      <w:r w:rsidR="002C244F">
        <w:t>s</w:t>
      </w:r>
      <w:r w:rsidRPr="00F46B46">
        <w:t>:</w:t>
      </w:r>
    </w:p>
    <w:p w:rsidR="001E6B8E" w:rsidRPr="00F46B46" w:rsidRDefault="001E6B8E" w:rsidP="001E6B8E">
      <w:pPr>
        <w:pStyle w:val="CGCBulletlist"/>
        <w:numPr>
          <w:ilvl w:val="0"/>
          <w:numId w:val="1"/>
        </w:numPr>
        <w:tabs>
          <w:tab w:val="clear" w:pos="927"/>
        </w:tabs>
        <w:ind w:left="1134" w:hanging="567"/>
      </w:pPr>
      <w:r w:rsidRPr="00F46B46">
        <w:t xml:space="preserve">general public services — </w:t>
      </w:r>
      <w:r w:rsidR="00EE635B">
        <w:t xml:space="preserve">expenses for </w:t>
      </w:r>
      <w:r w:rsidR="00B86B0F">
        <w:t>executive and legislative functions</w:t>
      </w:r>
      <w:r w:rsidR="002C244F">
        <w:t>,</w:t>
      </w:r>
      <w:r w:rsidR="006E6DCF">
        <w:t xml:space="preserve"> and</w:t>
      </w:r>
      <w:r w:rsidR="00EE635B">
        <w:t xml:space="preserve"> administration of treasury</w:t>
      </w:r>
      <w:r w:rsidR="00E34D1A">
        <w:t xml:space="preserve">, </w:t>
      </w:r>
      <w:r w:rsidR="00EE635B">
        <w:t xml:space="preserve">finance and other </w:t>
      </w:r>
      <w:r w:rsidRPr="00F46B46">
        <w:t>centrally provided services</w:t>
      </w:r>
      <w:r w:rsidR="00EE635B">
        <w:t xml:space="preserve"> not connected to particular functions</w:t>
      </w:r>
    </w:p>
    <w:p w:rsidR="001E6B8E" w:rsidRPr="00F46B46" w:rsidRDefault="001E6B8E" w:rsidP="001E6B8E">
      <w:pPr>
        <w:pStyle w:val="CGCBulletlist"/>
        <w:numPr>
          <w:ilvl w:val="0"/>
          <w:numId w:val="1"/>
        </w:numPr>
        <w:tabs>
          <w:tab w:val="clear" w:pos="927"/>
        </w:tabs>
        <w:ind w:left="1134" w:hanging="567"/>
      </w:pPr>
      <w:r w:rsidRPr="00F46B46">
        <w:t xml:space="preserve">other services not assessed elsewhere — expenses for recreation, culture and </w:t>
      </w:r>
      <w:r w:rsidR="00E34D1A">
        <w:t>religion</w:t>
      </w:r>
      <w:r w:rsidR="008215DB">
        <w:t xml:space="preserve"> </w:t>
      </w:r>
      <w:r w:rsidRPr="00F46B46">
        <w:t>(such as librar</w:t>
      </w:r>
      <w:r w:rsidR="008215DB">
        <w:t>y</w:t>
      </w:r>
      <w:r w:rsidR="002C244F">
        <w:t xml:space="preserve"> and</w:t>
      </w:r>
      <w:r w:rsidRPr="00F46B46">
        <w:t xml:space="preserve"> national park</w:t>
      </w:r>
      <w:r w:rsidR="008215DB">
        <w:t xml:space="preserve"> services</w:t>
      </w:r>
      <w:r w:rsidRPr="00F46B46">
        <w:t xml:space="preserve">), public safety services other than those provided by police (such as emergency services and fire protection), </w:t>
      </w:r>
      <w:r w:rsidR="009661A7">
        <w:t xml:space="preserve">and </w:t>
      </w:r>
      <w:r w:rsidR="001859D6">
        <w:t>support for local government services which cannot be allocated to a specific function</w:t>
      </w:r>
    </w:p>
    <w:p w:rsidR="001E6B8E" w:rsidRPr="00F46B46" w:rsidRDefault="001859D6" w:rsidP="001E6B8E">
      <w:pPr>
        <w:pStyle w:val="CGCBulletlist"/>
        <w:numPr>
          <w:ilvl w:val="0"/>
          <w:numId w:val="1"/>
        </w:numPr>
        <w:tabs>
          <w:tab w:val="clear" w:pos="927"/>
        </w:tabs>
        <w:ind w:left="1134" w:hanging="567"/>
      </w:pPr>
      <w:r>
        <w:t>miscellaneous</w:t>
      </w:r>
      <w:r w:rsidRPr="00F46B46">
        <w:t xml:space="preserve"> </w:t>
      </w:r>
      <w:r w:rsidR="001E6B8E" w:rsidRPr="00F46B46">
        <w:t>purposes and transactions — public debt transactions and general purpose inter</w:t>
      </w:r>
      <w:r w:rsidR="001E6B8E" w:rsidRPr="00F46B46">
        <w:noBreakHyphen/>
        <w:t>government transactions that cannot be allocated to other purposes</w:t>
      </w:r>
    </w:p>
    <w:p w:rsidR="001E6B8E" w:rsidRPr="00F46B46" w:rsidRDefault="001E6B8E" w:rsidP="002C244F">
      <w:pPr>
        <w:pStyle w:val="CGCBulletlist"/>
        <w:numPr>
          <w:ilvl w:val="0"/>
          <w:numId w:val="1"/>
        </w:numPr>
        <w:tabs>
          <w:tab w:val="clear" w:pos="927"/>
        </w:tabs>
        <w:ind w:left="1134" w:hanging="567"/>
      </w:pPr>
      <w:r w:rsidRPr="00F46B46">
        <w:t>natural disaster relief</w:t>
      </w:r>
      <w:r w:rsidR="0078335D">
        <w:t xml:space="preserve"> expenses</w:t>
      </w:r>
      <w:r w:rsidR="001859D6">
        <w:t>.</w:t>
      </w:r>
      <w:r w:rsidRPr="00F46B46">
        <w:t xml:space="preserve"> </w:t>
      </w:r>
    </w:p>
    <w:p w:rsidR="001E6B8E" w:rsidRPr="00F46B46" w:rsidRDefault="005E1D4F" w:rsidP="001E6B8E">
      <w:pPr>
        <w:pStyle w:val="CGCNumberedPara"/>
        <w:numPr>
          <w:ilvl w:val="1"/>
          <w:numId w:val="3"/>
        </w:numPr>
      </w:pPr>
      <w:r>
        <w:t xml:space="preserve">Associated user charges </w:t>
      </w:r>
      <w:r w:rsidR="009661A7">
        <w:t>are</w:t>
      </w:r>
      <w:r w:rsidR="001E6B8E" w:rsidRPr="00F46B46">
        <w:t xml:space="preserve"> included in the Other revenue category and assessed equal per capita (EPC)</w:t>
      </w:r>
      <w:r w:rsidR="00A708C3">
        <w:t>.</w:t>
      </w:r>
    </w:p>
    <w:p w:rsidR="001E6B8E" w:rsidRPr="00F46B46" w:rsidRDefault="003342CF" w:rsidP="001E6B8E">
      <w:pPr>
        <w:pStyle w:val="CGCNumberedPara"/>
        <w:numPr>
          <w:ilvl w:val="1"/>
          <w:numId w:val="3"/>
        </w:numPr>
      </w:pPr>
      <w:r>
        <w:t>The</w:t>
      </w:r>
      <w:r w:rsidR="001E6B8E">
        <w:t xml:space="preserve"> category also </w:t>
      </w:r>
      <w:r w:rsidR="009661A7">
        <w:t>includes</w:t>
      </w:r>
      <w:r w:rsidR="001E6B8E">
        <w:t xml:space="preserve"> </w:t>
      </w:r>
      <w:r w:rsidR="002B085A">
        <w:t>a location adjustment</w:t>
      </w:r>
      <w:r w:rsidR="00D81ED7">
        <w:t>,</w:t>
      </w:r>
      <w:r w:rsidR="002B085A">
        <w:t xml:space="preserve"> recognising differences in regional costs faced by cities of similar remoteness, as well as </w:t>
      </w:r>
      <w:r w:rsidR="001E6B8E" w:rsidRPr="00F46B46">
        <w:t>expenses relating to:</w:t>
      </w:r>
    </w:p>
    <w:p w:rsidR="001E6B8E" w:rsidRPr="00F46B46" w:rsidRDefault="001E6B8E" w:rsidP="001E6B8E">
      <w:pPr>
        <w:pStyle w:val="CGCBulletlist"/>
        <w:numPr>
          <w:ilvl w:val="0"/>
          <w:numId w:val="1"/>
        </w:numPr>
        <w:tabs>
          <w:tab w:val="clear" w:pos="927"/>
        </w:tabs>
        <w:ind w:left="1134" w:hanging="567"/>
      </w:pPr>
      <w:r w:rsidRPr="00F46B46">
        <w:t>all administrative scale allowances</w:t>
      </w:r>
    </w:p>
    <w:p w:rsidR="001E6B8E" w:rsidRDefault="001E6B8E" w:rsidP="001E6B8E">
      <w:pPr>
        <w:pStyle w:val="CGCBulletlist"/>
        <w:numPr>
          <w:ilvl w:val="0"/>
          <w:numId w:val="1"/>
        </w:numPr>
        <w:tabs>
          <w:tab w:val="clear" w:pos="927"/>
        </w:tabs>
        <w:ind w:left="1134" w:hanging="567"/>
      </w:pPr>
      <w:r w:rsidRPr="00F46B46">
        <w:t>all native title and land rights allowances</w:t>
      </w:r>
    </w:p>
    <w:p w:rsidR="001E6B8E" w:rsidRPr="00F46B46" w:rsidRDefault="001E6B8E" w:rsidP="001E6B8E">
      <w:pPr>
        <w:pStyle w:val="CGCBulletlist"/>
        <w:numPr>
          <w:ilvl w:val="0"/>
          <w:numId w:val="1"/>
        </w:numPr>
        <w:tabs>
          <w:tab w:val="clear" w:pos="927"/>
        </w:tabs>
        <w:ind w:left="1134" w:hanging="567"/>
      </w:pPr>
      <w:r w:rsidRPr="00F46B46">
        <w:t>national capital allowances except those relating to police</w:t>
      </w:r>
      <w:r w:rsidR="002B085A">
        <w:t>.</w:t>
      </w:r>
    </w:p>
    <w:p w:rsidR="001E6B8E" w:rsidRDefault="001E6B8E" w:rsidP="00D12A96">
      <w:pPr>
        <w:pStyle w:val="CGCNumberedPara"/>
      </w:pPr>
      <w:r>
        <w:t>A</w:t>
      </w:r>
      <w:r w:rsidRPr="00F46B46">
        <w:t xml:space="preserve">dministrative scale expenses </w:t>
      </w:r>
      <w:r>
        <w:t xml:space="preserve">are discussed in </w:t>
      </w:r>
      <w:r w:rsidR="00EE135A">
        <w:t xml:space="preserve">the </w:t>
      </w:r>
      <w:r w:rsidR="008D3404">
        <w:t>Staff Draft Assessment P</w:t>
      </w:r>
      <w:r w:rsidR="00A708C3">
        <w:t xml:space="preserve">aper </w:t>
      </w:r>
      <w:r w:rsidR="00AC5EA8">
        <w:rPr>
          <w:i/>
        </w:rPr>
        <w:t>CG</w:t>
      </w:r>
      <w:r w:rsidR="008D3404">
        <w:rPr>
          <w:i/>
        </w:rPr>
        <w:t>C 2018-01/</w:t>
      </w:r>
      <w:r w:rsidR="00AC5EA8">
        <w:rPr>
          <w:i/>
        </w:rPr>
        <w:t>24</w:t>
      </w:r>
      <w:r w:rsidR="00A708C3" w:rsidRPr="0062504C">
        <w:rPr>
          <w:i/>
        </w:rPr>
        <w:t>-S</w:t>
      </w:r>
      <w:r w:rsidR="008D3404">
        <w:rPr>
          <w:i/>
        </w:rPr>
        <w:t>, Administrative scale</w:t>
      </w:r>
      <w:r w:rsidRPr="00F46B46">
        <w:t xml:space="preserve">. </w:t>
      </w:r>
      <w:r>
        <w:t>N</w:t>
      </w:r>
      <w:r w:rsidR="0078335D">
        <w:t>ative title and land rights</w:t>
      </w:r>
      <w:r w:rsidRPr="00F46B46">
        <w:t xml:space="preserve"> and national capital expenses are </w:t>
      </w:r>
      <w:r>
        <w:t xml:space="preserve">discussed </w:t>
      </w:r>
      <w:r w:rsidRPr="00F46B46">
        <w:t>in</w:t>
      </w:r>
      <w:r w:rsidR="008D3404">
        <w:t xml:space="preserve"> Staff Draft Assessment Paper</w:t>
      </w:r>
      <w:r w:rsidRPr="00F46B46">
        <w:t xml:space="preserve"> </w:t>
      </w:r>
      <w:r w:rsidR="00AC5EA8">
        <w:rPr>
          <w:i/>
        </w:rPr>
        <w:t>CGC 2018-01/25</w:t>
      </w:r>
      <w:r w:rsidR="00A708C3" w:rsidRPr="0062504C">
        <w:rPr>
          <w:i/>
        </w:rPr>
        <w:t>-S</w:t>
      </w:r>
      <w:r w:rsidR="008D3404">
        <w:rPr>
          <w:i/>
        </w:rPr>
        <w:t>, Other disabilities</w:t>
      </w:r>
      <w:r w:rsidRPr="00F46B46">
        <w:t xml:space="preserve">. </w:t>
      </w:r>
      <w:r w:rsidR="00E21A7A">
        <w:t>The location adjustmen</w:t>
      </w:r>
      <w:r w:rsidR="00DC0E6B">
        <w:t xml:space="preserve">t is discussed in </w:t>
      </w:r>
      <w:r w:rsidR="008D3404">
        <w:t xml:space="preserve">Staff Draft Assessment Paper </w:t>
      </w:r>
      <w:r w:rsidR="005712DC">
        <w:t xml:space="preserve">CGC </w:t>
      </w:r>
      <w:r w:rsidR="00AC5EA8">
        <w:rPr>
          <w:i/>
        </w:rPr>
        <w:t>2018-01/23</w:t>
      </w:r>
      <w:r w:rsidR="005712DC" w:rsidRPr="0062504C">
        <w:rPr>
          <w:i/>
        </w:rPr>
        <w:t>-S</w:t>
      </w:r>
      <w:r w:rsidR="008D3404">
        <w:rPr>
          <w:i/>
        </w:rPr>
        <w:t xml:space="preserve">, </w:t>
      </w:r>
      <w:r w:rsidR="00D12A96" w:rsidRPr="00D12A96">
        <w:rPr>
          <w:i/>
        </w:rPr>
        <w:t>Geography used by the Commission</w:t>
      </w:r>
      <w:r w:rsidR="00E21A7A">
        <w:t>.</w:t>
      </w:r>
    </w:p>
    <w:p w:rsidR="00C42DD2" w:rsidRDefault="00C42DD2" w:rsidP="00C42DD2">
      <w:pPr>
        <w:pStyle w:val="Heading4"/>
      </w:pPr>
      <w:bookmarkStart w:id="22" w:name="_Toc510795485"/>
      <w:bookmarkStart w:id="23" w:name="_Toc511394437"/>
      <w:r w:rsidRPr="00C3140C">
        <w:t>Category and component expenses</w:t>
      </w:r>
      <w:bookmarkEnd w:id="22"/>
      <w:bookmarkEnd w:id="23"/>
    </w:p>
    <w:p w:rsidR="003E1453" w:rsidRPr="00F46B46" w:rsidRDefault="003E1453" w:rsidP="003E1453">
      <w:pPr>
        <w:pStyle w:val="CGCNumberedPara"/>
      </w:pPr>
      <w:r>
        <w:fldChar w:fldCharType="begin"/>
      </w:r>
      <w:r>
        <w:instrText xml:space="preserve"> REF _Ref495590503 \h </w:instrText>
      </w:r>
      <w:r>
        <w:fldChar w:fldCharType="separate"/>
      </w:r>
      <w:r w:rsidR="00F85E11">
        <w:t xml:space="preserve">Table </w:t>
      </w:r>
      <w:r w:rsidR="00F85E11">
        <w:rPr>
          <w:noProof/>
        </w:rPr>
        <w:t>1</w:t>
      </w:r>
      <w:r>
        <w:fldChar w:fldCharType="end"/>
      </w:r>
      <w:r>
        <w:t xml:space="preserve"> shows State actual expenses in 201</w:t>
      </w:r>
      <w:r w:rsidR="0078335D">
        <w:t>6</w:t>
      </w:r>
      <w:r>
        <w:t>-</w:t>
      </w:r>
      <w:r w:rsidRPr="003E1453">
        <w:t>1</w:t>
      </w:r>
      <w:r w:rsidR="0078335D">
        <w:t>7</w:t>
      </w:r>
      <w:r w:rsidRPr="003E1453">
        <w:t xml:space="preserve"> disaggregated by </w:t>
      </w:r>
      <w:r w:rsidR="0078335D">
        <w:t>component.</w:t>
      </w:r>
    </w:p>
    <w:p w:rsidR="00F83306" w:rsidRDefault="00F83306" w:rsidP="003E1453">
      <w:pPr>
        <w:pStyle w:val="CGCTableHeading"/>
      </w:pPr>
      <w:bookmarkStart w:id="24" w:name="_Ref495590503"/>
      <w:r>
        <w:t xml:space="preserve">Table </w:t>
      </w:r>
      <w:fldSimple w:instr=" SEQ Table \* ARABIC ">
        <w:r w:rsidR="00F85E11">
          <w:rPr>
            <w:noProof/>
          </w:rPr>
          <w:t>1</w:t>
        </w:r>
      </w:fldSimple>
      <w:bookmarkEnd w:id="24"/>
      <w:r>
        <w:tab/>
      </w:r>
      <w:r w:rsidRPr="00F83306">
        <w:t>Category expenses</w:t>
      </w:r>
      <w:r w:rsidR="003E1453">
        <w:t xml:space="preserve"> </w:t>
      </w:r>
      <w:r w:rsidRPr="00F83306">
        <w:t xml:space="preserve">by </w:t>
      </w:r>
      <w:r w:rsidR="0078335D">
        <w:t>component</w:t>
      </w:r>
      <w:r w:rsidRPr="00F83306">
        <w:t>, 201</w:t>
      </w:r>
      <w:r w:rsidR="00BA1161">
        <w:t>6</w:t>
      </w:r>
      <w:r w:rsidRPr="00F83306">
        <w:t>-1</w:t>
      </w:r>
      <w:r w:rsidR="00BA1161">
        <w:t>7</w:t>
      </w:r>
    </w:p>
    <w:tbl>
      <w:tblPr>
        <w:tblW w:w="9029" w:type="dxa"/>
        <w:tblLayout w:type="fixed"/>
        <w:tblCellMar>
          <w:left w:w="0" w:type="dxa"/>
          <w:right w:w="0" w:type="dxa"/>
        </w:tblCellMar>
        <w:tblLook w:val="04A0" w:firstRow="1" w:lastRow="0" w:firstColumn="1" w:lastColumn="0" w:noHBand="0" w:noVBand="1"/>
      </w:tblPr>
      <w:tblGrid>
        <w:gridCol w:w="5720"/>
        <w:gridCol w:w="809"/>
        <w:gridCol w:w="2500"/>
      </w:tblGrid>
      <w:tr w:rsidR="00BA1161" w:rsidRPr="00040ABB" w:rsidTr="00BA1161">
        <w:trPr>
          <w:trHeight w:val="375"/>
        </w:trPr>
        <w:tc>
          <w:tcPr>
            <w:tcW w:w="5720" w:type="dxa"/>
            <w:tcBorders>
              <w:top w:val="single" w:sz="4" w:space="0" w:color="auto"/>
              <w:left w:val="nil"/>
              <w:bottom w:val="single" w:sz="4" w:space="0" w:color="auto"/>
              <w:right w:val="nil"/>
            </w:tcBorders>
            <w:shd w:val="clear" w:color="auto" w:fill="auto"/>
            <w:vAlign w:val="center"/>
            <w:hideMark/>
          </w:tcPr>
          <w:p w:rsidR="00BA1161" w:rsidRPr="00040ABB" w:rsidRDefault="00BA1161" w:rsidP="00BA1161">
            <w:pPr>
              <w:keepNext/>
              <w:keepLines/>
              <w:tabs>
                <w:tab w:val="clear" w:pos="567"/>
              </w:tabs>
              <w:spacing w:after="0" w:line="240" w:lineRule="auto"/>
              <w:ind w:left="193" w:hanging="142"/>
              <w:rPr>
                <w:rFonts w:ascii="Calibri" w:eastAsia="Times New Roman" w:hAnsi="Calibri" w:cs="Times New Roman"/>
                <w:sz w:val="20"/>
                <w:szCs w:val="18"/>
                <w:lang w:eastAsia="en-AU"/>
              </w:rPr>
            </w:pPr>
            <w:bookmarkStart w:id="25" w:name="RANGE!A5:C14"/>
            <w:r w:rsidRPr="00040ABB">
              <w:rPr>
                <w:rFonts w:ascii="Calibri" w:eastAsia="Times New Roman" w:hAnsi="Calibri" w:cs="Times New Roman"/>
                <w:sz w:val="20"/>
                <w:szCs w:val="18"/>
                <w:lang w:eastAsia="en-AU"/>
              </w:rPr>
              <w:t>Component</w:t>
            </w:r>
            <w:bookmarkEnd w:id="25"/>
          </w:p>
        </w:tc>
        <w:tc>
          <w:tcPr>
            <w:tcW w:w="809" w:type="dxa"/>
            <w:tcBorders>
              <w:top w:val="single" w:sz="4" w:space="0" w:color="auto"/>
              <w:left w:val="nil"/>
              <w:bottom w:val="single" w:sz="4" w:space="0" w:color="auto"/>
              <w:right w:val="nil"/>
            </w:tcBorders>
            <w:shd w:val="clear" w:color="auto" w:fill="auto"/>
            <w:vAlign w:val="center"/>
            <w:hideMark/>
          </w:tcPr>
          <w:p w:rsidR="00BA1161" w:rsidRPr="00040ABB" w:rsidRDefault="00BA1161" w:rsidP="00BA1161">
            <w:pPr>
              <w:keepNext/>
              <w:keepLines/>
              <w:tabs>
                <w:tab w:val="clear" w:pos="567"/>
              </w:tabs>
              <w:spacing w:after="0" w:line="240" w:lineRule="auto"/>
              <w:jc w:val="right"/>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Amount</w:t>
            </w:r>
          </w:p>
        </w:tc>
        <w:tc>
          <w:tcPr>
            <w:tcW w:w="2500" w:type="dxa"/>
            <w:tcBorders>
              <w:top w:val="single" w:sz="4" w:space="0" w:color="auto"/>
              <w:left w:val="nil"/>
              <w:bottom w:val="single" w:sz="4" w:space="0" w:color="auto"/>
              <w:right w:val="nil"/>
            </w:tcBorders>
            <w:shd w:val="clear" w:color="auto" w:fill="auto"/>
            <w:vAlign w:val="center"/>
            <w:hideMark/>
          </w:tcPr>
          <w:p w:rsidR="00BA1161" w:rsidRPr="00040ABB" w:rsidRDefault="00BA1161" w:rsidP="00BA1161">
            <w:pPr>
              <w:keepNext/>
              <w:keepLines/>
              <w:tabs>
                <w:tab w:val="clear" w:pos="567"/>
              </w:tabs>
              <w:spacing w:after="0" w:line="240" w:lineRule="auto"/>
              <w:jc w:val="right"/>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Proportion of total expenses</w:t>
            </w:r>
          </w:p>
        </w:tc>
      </w:tr>
      <w:tr w:rsidR="00BA1161" w:rsidRPr="00040ABB" w:rsidTr="00BA1161">
        <w:trPr>
          <w:trHeight w:val="255"/>
        </w:trPr>
        <w:tc>
          <w:tcPr>
            <w:tcW w:w="5720" w:type="dxa"/>
            <w:tcBorders>
              <w:top w:val="nil"/>
              <w:left w:val="nil"/>
              <w:bottom w:val="nil"/>
              <w:right w:val="nil"/>
            </w:tcBorders>
            <w:shd w:val="clear" w:color="auto" w:fill="auto"/>
            <w:noWrap/>
            <w:vAlign w:val="bottom"/>
            <w:hideMark/>
          </w:tcPr>
          <w:p w:rsidR="00BA1161" w:rsidRPr="00040ABB" w:rsidRDefault="00BA1161" w:rsidP="00BA1161">
            <w:pPr>
              <w:keepNext/>
              <w:keepLines/>
              <w:tabs>
                <w:tab w:val="clear" w:pos="567"/>
              </w:tabs>
              <w:spacing w:after="0" w:line="240" w:lineRule="auto"/>
              <w:ind w:left="193" w:hanging="142"/>
              <w:jc w:val="right"/>
              <w:rPr>
                <w:rFonts w:ascii="Calibri" w:eastAsia="Times New Roman" w:hAnsi="Calibri" w:cs="Times New Roman"/>
                <w:sz w:val="20"/>
                <w:szCs w:val="18"/>
                <w:lang w:eastAsia="en-AU"/>
              </w:rPr>
            </w:pPr>
          </w:p>
        </w:tc>
        <w:tc>
          <w:tcPr>
            <w:tcW w:w="809" w:type="dxa"/>
            <w:tcBorders>
              <w:top w:val="nil"/>
              <w:left w:val="nil"/>
              <w:bottom w:val="nil"/>
              <w:right w:val="nil"/>
            </w:tcBorders>
            <w:shd w:val="clear" w:color="auto" w:fill="auto"/>
            <w:noWrap/>
            <w:vAlign w:val="bottom"/>
            <w:hideMark/>
          </w:tcPr>
          <w:p w:rsidR="00BA1161" w:rsidRPr="00040ABB" w:rsidRDefault="00BA1161" w:rsidP="00BA1161">
            <w:pPr>
              <w:keepNext/>
              <w:keepLines/>
              <w:tabs>
                <w:tab w:val="clear" w:pos="567"/>
              </w:tabs>
              <w:spacing w:after="0" w:line="240" w:lineRule="auto"/>
              <w:jc w:val="right"/>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$m</w:t>
            </w:r>
          </w:p>
        </w:tc>
        <w:tc>
          <w:tcPr>
            <w:tcW w:w="2500" w:type="dxa"/>
            <w:tcBorders>
              <w:top w:val="nil"/>
              <w:left w:val="nil"/>
              <w:bottom w:val="nil"/>
              <w:right w:val="nil"/>
            </w:tcBorders>
            <w:shd w:val="clear" w:color="auto" w:fill="auto"/>
            <w:noWrap/>
            <w:vAlign w:val="bottom"/>
            <w:hideMark/>
          </w:tcPr>
          <w:p w:rsidR="00BA1161" w:rsidRPr="00040ABB" w:rsidRDefault="00BA1161" w:rsidP="00BA1161">
            <w:pPr>
              <w:keepNext/>
              <w:keepLines/>
              <w:tabs>
                <w:tab w:val="clear" w:pos="567"/>
              </w:tabs>
              <w:spacing w:after="0" w:line="240" w:lineRule="auto"/>
              <w:jc w:val="right"/>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w:t>
            </w:r>
          </w:p>
        </w:tc>
      </w:tr>
      <w:tr w:rsidR="00BA1161" w:rsidRPr="00040ABB" w:rsidTr="00BA1161">
        <w:trPr>
          <w:trHeight w:val="315"/>
        </w:trPr>
        <w:tc>
          <w:tcPr>
            <w:tcW w:w="5720" w:type="dxa"/>
            <w:tcBorders>
              <w:top w:val="nil"/>
              <w:left w:val="nil"/>
              <w:bottom w:val="nil"/>
              <w:right w:val="nil"/>
            </w:tcBorders>
            <w:shd w:val="clear" w:color="auto" w:fill="auto"/>
            <w:vAlign w:val="bottom"/>
            <w:hideMark/>
          </w:tcPr>
          <w:p w:rsidR="00BA1161" w:rsidRPr="00040ABB" w:rsidRDefault="00BA1161" w:rsidP="00BA1161">
            <w:pPr>
              <w:keepNext/>
              <w:keepLines/>
              <w:tabs>
                <w:tab w:val="clear" w:pos="567"/>
              </w:tabs>
              <w:spacing w:after="0" w:line="240" w:lineRule="auto"/>
              <w:ind w:left="193" w:hanging="142"/>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Service expenses</w:t>
            </w:r>
          </w:p>
        </w:tc>
        <w:tc>
          <w:tcPr>
            <w:tcW w:w="809" w:type="dxa"/>
            <w:tcBorders>
              <w:top w:val="nil"/>
              <w:left w:val="nil"/>
              <w:bottom w:val="nil"/>
              <w:right w:val="nil"/>
            </w:tcBorders>
            <w:shd w:val="clear" w:color="auto" w:fill="auto"/>
            <w:vAlign w:val="bottom"/>
            <w:hideMark/>
          </w:tcPr>
          <w:p w:rsidR="00BA1161" w:rsidRPr="00040ABB" w:rsidRDefault="00BA1161" w:rsidP="00BA1161">
            <w:pPr>
              <w:keepNext/>
              <w:keepLines/>
              <w:tabs>
                <w:tab w:val="clear" w:pos="567"/>
              </w:tabs>
              <w:spacing w:after="0" w:line="240" w:lineRule="auto"/>
              <w:jc w:val="right"/>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 xml:space="preserve"> 28 034</w:t>
            </w:r>
          </w:p>
        </w:tc>
        <w:tc>
          <w:tcPr>
            <w:tcW w:w="2500" w:type="dxa"/>
            <w:tcBorders>
              <w:top w:val="nil"/>
              <w:left w:val="nil"/>
              <w:bottom w:val="nil"/>
              <w:right w:val="nil"/>
            </w:tcBorders>
            <w:shd w:val="clear" w:color="auto" w:fill="auto"/>
            <w:vAlign w:val="bottom"/>
            <w:hideMark/>
          </w:tcPr>
          <w:p w:rsidR="00BA1161" w:rsidRPr="00040ABB" w:rsidRDefault="00BA1161" w:rsidP="00BA1161">
            <w:pPr>
              <w:keepNext/>
              <w:keepLines/>
              <w:tabs>
                <w:tab w:val="clear" w:pos="567"/>
              </w:tabs>
              <w:spacing w:after="0" w:line="240" w:lineRule="auto"/>
              <w:jc w:val="right"/>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90.9</w:t>
            </w:r>
          </w:p>
        </w:tc>
      </w:tr>
      <w:tr w:rsidR="00BA1161" w:rsidRPr="00040ABB" w:rsidTr="00BA1161">
        <w:trPr>
          <w:trHeight w:val="315"/>
        </w:trPr>
        <w:tc>
          <w:tcPr>
            <w:tcW w:w="5720" w:type="dxa"/>
            <w:tcBorders>
              <w:top w:val="nil"/>
              <w:left w:val="nil"/>
              <w:bottom w:val="nil"/>
              <w:right w:val="nil"/>
            </w:tcBorders>
            <w:shd w:val="clear" w:color="auto" w:fill="auto"/>
            <w:vAlign w:val="bottom"/>
            <w:hideMark/>
          </w:tcPr>
          <w:p w:rsidR="00BA1161" w:rsidRPr="00040ABB" w:rsidRDefault="00BA1161" w:rsidP="00BA1161">
            <w:pPr>
              <w:keepNext/>
              <w:keepLines/>
              <w:tabs>
                <w:tab w:val="clear" w:pos="567"/>
              </w:tabs>
              <w:spacing w:after="0" w:line="240" w:lineRule="auto"/>
              <w:ind w:left="193" w:hanging="142"/>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 xml:space="preserve">Natural disaster relief </w:t>
            </w:r>
          </w:p>
        </w:tc>
        <w:tc>
          <w:tcPr>
            <w:tcW w:w="809" w:type="dxa"/>
            <w:tcBorders>
              <w:top w:val="nil"/>
              <w:left w:val="nil"/>
              <w:bottom w:val="nil"/>
              <w:right w:val="nil"/>
            </w:tcBorders>
            <w:shd w:val="clear" w:color="auto" w:fill="auto"/>
            <w:vAlign w:val="bottom"/>
            <w:hideMark/>
          </w:tcPr>
          <w:p w:rsidR="00BA1161" w:rsidRPr="00040ABB" w:rsidRDefault="002B150A" w:rsidP="00BA1161">
            <w:pPr>
              <w:keepNext/>
              <w:keepLines/>
              <w:tabs>
                <w:tab w:val="clear" w:pos="567"/>
              </w:tabs>
              <w:spacing w:after="0" w:line="240" w:lineRule="auto"/>
              <w:jc w:val="right"/>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 xml:space="preserve"> </w:t>
            </w:r>
            <w:r w:rsidR="00BA1161" w:rsidRPr="00040ABB">
              <w:rPr>
                <w:rFonts w:ascii="Calibri" w:eastAsia="Times New Roman" w:hAnsi="Calibri" w:cs="Times New Roman"/>
                <w:sz w:val="20"/>
                <w:szCs w:val="18"/>
                <w:lang w:eastAsia="en-AU"/>
              </w:rPr>
              <w:t>483</w:t>
            </w:r>
          </w:p>
        </w:tc>
        <w:tc>
          <w:tcPr>
            <w:tcW w:w="2500" w:type="dxa"/>
            <w:tcBorders>
              <w:top w:val="nil"/>
              <w:left w:val="nil"/>
              <w:bottom w:val="nil"/>
              <w:right w:val="nil"/>
            </w:tcBorders>
            <w:shd w:val="clear" w:color="auto" w:fill="auto"/>
            <w:vAlign w:val="bottom"/>
            <w:hideMark/>
          </w:tcPr>
          <w:p w:rsidR="00BA1161" w:rsidRPr="00040ABB" w:rsidRDefault="00BA1161" w:rsidP="00BA1161">
            <w:pPr>
              <w:keepNext/>
              <w:keepLines/>
              <w:tabs>
                <w:tab w:val="clear" w:pos="567"/>
              </w:tabs>
              <w:spacing w:after="0" w:line="240" w:lineRule="auto"/>
              <w:jc w:val="right"/>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1.6</w:t>
            </w:r>
          </w:p>
        </w:tc>
      </w:tr>
      <w:tr w:rsidR="00BA1161" w:rsidRPr="00040ABB" w:rsidTr="00BA1161">
        <w:trPr>
          <w:trHeight w:val="315"/>
        </w:trPr>
        <w:tc>
          <w:tcPr>
            <w:tcW w:w="5720" w:type="dxa"/>
            <w:tcBorders>
              <w:top w:val="nil"/>
              <w:left w:val="nil"/>
              <w:bottom w:val="nil"/>
              <w:right w:val="nil"/>
            </w:tcBorders>
            <w:shd w:val="clear" w:color="auto" w:fill="auto"/>
            <w:vAlign w:val="bottom"/>
            <w:hideMark/>
          </w:tcPr>
          <w:p w:rsidR="00BA1161" w:rsidRPr="00040ABB" w:rsidRDefault="00BA1161" w:rsidP="00BA1161">
            <w:pPr>
              <w:keepNext/>
              <w:keepLines/>
              <w:tabs>
                <w:tab w:val="clear" w:pos="567"/>
              </w:tabs>
              <w:spacing w:after="0" w:line="240" w:lineRule="auto"/>
              <w:ind w:left="193" w:hanging="142"/>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Capital grants to local governments</w:t>
            </w:r>
          </w:p>
        </w:tc>
        <w:tc>
          <w:tcPr>
            <w:tcW w:w="809" w:type="dxa"/>
            <w:tcBorders>
              <w:top w:val="nil"/>
              <w:left w:val="nil"/>
              <w:bottom w:val="nil"/>
              <w:right w:val="nil"/>
            </w:tcBorders>
            <w:shd w:val="clear" w:color="auto" w:fill="auto"/>
            <w:vAlign w:val="bottom"/>
            <w:hideMark/>
          </w:tcPr>
          <w:p w:rsidR="00BA1161" w:rsidRPr="00040ABB" w:rsidRDefault="002B150A" w:rsidP="00BA1161">
            <w:pPr>
              <w:keepNext/>
              <w:keepLines/>
              <w:tabs>
                <w:tab w:val="clear" w:pos="567"/>
              </w:tabs>
              <w:spacing w:after="0" w:line="240" w:lineRule="auto"/>
              <w:jc w:val="right"/>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 xml:space="preserve"> </w:t>
            </w:r>
            <w:r w:rsidR="00BA1161" w:rsidRPr="00040ABB">
              <w:rPr>
                <w:rFonts w:ascii="Calibri" w:eastAsia="Times New Roman" w:hAnsi="Calibri" w:cs="Times New Roman"/>
                <w:sz w:val="20"/>
                <w:szCs w:val="18"/>
                <w:lang w:eastAsia="en-AU"/>
              </w:rPr>
              <w:t>61</w:t>
            </w:r>
          </w:p>
        </w:tc>
        <w:tc>
          <w:tcPr>
            <w:tcW w:w="2500" w:type="dxa"/>
            <w:tcBorders>
              <w:top w:val="nil"/>
              <w:left w:val="nil"/>
              <w:bottom w:val="nil"/>
              <w:right w:val="nil"/>
            </w:tcBorders>
            <w:shd w:val="clear" w:color="auto" w:fill="auto"/>
            <w:vAlign w:val="bottom"/>
            <w:hideMark/>
          </w:tcPr>
          <w:p w:rsidR="00BA1161" w:rsidRPr="00040ABB" w:rsidRDefault="00BA1161" w:rsidP="00BA1161">
            <w:pPr>
              <w:keepNext/>
              <w:keepLines/>
              <w:tabs>
                <w:tab w:val="clear" w:pos="567"/>
              </w:tabs>
              <w:spacing w:after="0" w:line="240" w:lineRule="auto"/>
              <w:jc w:val="right"/>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0.2</w:t>
            </w:r>
          </w:p>
        </w:tc>
      </w:tr>
      <w:tr w:rsidR="00BA1161" w:rsidRPr="00040ABB" w:rsidTr="00BA1161">
        <w:trPr>
          <w:trHeight w:val="315"/>
        </w:trPr>
        <w:tc>
          <w:tcPr>
            <w:tcW w:w="5720" w:type="dxa"/>
            <w:tcBorders>
              <w:top w:val="nil"/>
              <w:left w:val="nil"/>
              <w:bottom w:val="nil"/>
              <w:right w:val="nil"/>
            </w:tcBorders>
            <w:shd w:val="clear" w:color="auto" w:fill="auto"/>
            <w:vAlign w:val="bottom"/>
            <w:hideMark/>
          </w:tcPr>
          <w:p w:rsidR="00BA1161" w:rsidRPr="00040ABB" w:rsidRDefault="00BA1161" w:rsidP="00BA1161">
            <w:pPr>
              <w:keepNext/>
              <w:keepLines/>
              <w:tabs>
                <w:tab w:val="clear" w:pos="567"/>
              </w:tabs>
              <w:spacing w:after="0" w:line="240" w:lineRule="auto"/>
              <w:ind w:left="193" w:hanging="142"/>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Other assessments:</w:t>
            </w:r>
          </w:p>
        </w:tc>
        <w:tc>
          <w:tcPr>
            <w:tcW w:w="809" w:type="dxa"/>
            <w:tcBorders>
              <w:top w:val="nil"/>
              <w:left w:val="nil"/>
              <w:bottom w:val="nil"/>
              <w:right w:val="nil"/>
            </w:tcBorders>
            <w:shd w:val="clear" w:color="auto" w:fill="auto"/>
            <w:noWrap/>
            <w:vAlign w:val="bottom"/>
            <w:hideMark/>
          </w:tcPr>
          <w:p w:rsidR="00BA1161" w:rsidRPr="00040ABB" w:rsidRDefault="00BA1161" w:rsidP="00BA1161">
            <w:pPr>
              <w:keepNext/>
              <w:keepLines/>
              <w:tabs>
                <w:tab w:val="clear" w:pos="567"/>
              </w:tabs>
              <w:spacing w:after="0" w:line="240" w:lineRule="auto"/>
              <w:rPr>
                <w:rFonts w:ascii="Calibri" w:eastAsia="Times New Roman" w:hAnsi="Calibri" w:cs="Times New Roman"/>
                <w:sz w:val="20"/>
                <w:szCs w:val="18"/>
                <w:lang w:eastAsia="en-AU"/>
              </w:rPr>
            </w:pPr>
          </w:p>
        </w:tc>
        <w:tc>
          <w:tcPr>
            <w:tcW w:w="2500" w:type="dxa"/>
            <w:tcBorders>
              <w:top w:val="nil"/>
              <w:left w:val="nil"/>
              <w:bottom w:val="nil"/>
              <w:right w:val="nil"/>
            </w:tcBorders>
            <w:shd w:val="clear" w:color="auto" w:fill="auto"/>
            <w:noWrap/>
            <w:vAlign w:val="bottom"/>
            <w:hideMark/>
          </w:tcPr>
          <w:p w:rsidR="00BA1161" w:rsidRPr="00040ABB" w:rsidRDefault="00BA1161" w:rsidP="00BA1161">
            <w:pPr>
              <w:keepNext/>
              <w:keepLines/>
              <w:tabs>
                <w:tab w:val="clear" w:pos="567"/>
              </w:tabs>
              <w:spacing w:after="0" w:line="240" w:lineRule="auto"/>
              <w:rPr>
                <w:rFonts w:ascii="Calibri" w:eastAsia="Times New Roman" w:hAnsi="Calibri" w:cs="Times New Roman"/>
                <w:sz w:val="20"/>
                <w:szCs w:val="18"/>
                <w:lang w:eastAsia="en-AU"/>
              </w:rPr>
            </w:pPr>
          </w:p>
        </w:tc>
      </w:tr>
      <w:tr w:rsidR="00BA1161" w:rsidRPr="00040ABB" w:rsidTr="00BA1161">
        <w:trPr>
          <w:trHeight w:val="315"/>
        </w:trPr>
        <w:tc>
          <w:tcPr>
            <w:tcW w:w="5720" w:type="dxa"/>
            <w:tcBorders>
              <w:top w:val="nil"/>
              <w:left w:val="nil"/>
              <w:bottom w:val="nil"/>
              <w:right w:val="nil"/>
            </w:tcBorders>
            <w:shd w:val="clear" w:color="auto" w:fill="auto"/>
            <w:vAlign w:val="bottom"/>
            <w:hideMark/>
          </w:tcPr>
          <w:p w:rsidR="00BA1161" w:rsidRPr="00040ABB" w:rsidRDefault="00BA1161" w:rsidP="00040ABB">
            <w:pPr>
              <w:keepNext/>
              <w:keepLines/>
              <w:tabs>
                <w:tab w:val="clear" w:pos="567"/>
              </w:tabs>
              <w:spacing w:after="0" w:line="240" w:lineRule="auto"/>
              <w:ind w:left="193" w:firstLineChars="100" w:firstLine="200"/>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Administrative scale (all categories)</w:t>
            </w:r>
          </w:p>
        </w:tc>
        <w:tc>
          <w:tcPr>
            <w:tcW w:w="809" w:type="dxa"/>
            <w:tcBorders>
              <w:top w:val="nil"/>
              <w:left w:val="nil"/>
              <w:bottom w:val="nil"/>
              <w:right w:val="nil"/>
            </w:tcBorders>
            <w:shd w:val="clear" w:color="auto" w:fill="auto"/>
            <w:vAlign w:val="bottom"/>
            <w:hideMark/>
          </w:tcPr>
          <w:p w:rsidR="00BA1161" w:rsidRPr="00040ABB" w:rsidRDefault="00BA1161" w:rsidP="00BA1161">
            <w:pPr>
              <w:keepNext/>
              <w:keepLines/>
              <w:tabs>
                <w:tab w:val="clear" w:pos="567"/>
              </w:tabs>
              <w:spacing w:after="0" w:line="240" w:lineRule="auto"/>
              <w:jc w:val="right"/>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 xml:space="preserve"> 2 073</w:t>
            </w:r>
          </w:p>
        </w:tc>
        <w:tc>
          <w:tcPr>
            <w:tcW w:w="2500" w:type="dxa"/>
            <w:tcBorders>
              <w:top w:val="nil"/>
              <w:left w:val="nil"/>
              <w:bottom w:val="nil"/>
              <w:right w:val="nil"/>
            </w:tcBorders>
            <w:shd w:val="clear" w:color="auto" w:fill="auto"/>
            <w:vAlign w:val="bottom"/>
            <w:hideMark/>
          </w:tcPr>
          <w:p w:rsidR="00BA1161" w:rsidRPr="00040ABB" w:rsidRDefault="00BA1161" w:rsidP="00BA1161">
            <w:pPr>
              <w:keepNext/>
              <w:keepLines/>
              <w:tabs>
                <w:tab w:val="clear" w:pos="567"/>
              </w:tabs>
              <w:spacing w:after="0" w:line="240" w:lineRule="auto"/>
              <w:jc w:val="right"/>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6.7</w:t>
            </w:r>
          </w:p>
        </w:tc>
      </w:tr>
      <w:tr w:rsidR="00BA1161" w:rsidRPr="00040ABB" w:rsidTr="00BA1161">
        <w:trPr>
          <w:trHeight w:val="315"/>
        </w:trPr>
        <w:tc>
          <w:tcPr>
            <w:tcW w:w="5720" w:type="dxa"/>
            <w:tcBorders>
              <w:top w:val="nil"/>
              <w:left w:val="nil"/>
              <w:bottom w:val="nil"/>
              <w:right w:val="nil"/>
            </w:tcBorders>
            <w:shd w:val="clear" w:color="auto" w:fill="auto"/>
            <w:vAlign w:val="bottom"/>
            <w:hideMark/>
          </w:tcPr>
          <w:p w:rsidR="00BA1161" w:rsidRPr="00040ABB" w:rsidRDefault="00BA1161" w:rsidP="00040ABB">
            <w:pPr>
              <w:keepNext/>
              <w:keepLines/>
              <w:tabs>
                <w:tab w:val="clear" w:pos="567"/>
              </w:tabs>
              <w:spacing w:after="0" w:line="240" w:lineRule="auto"/>
              <w:ind w:left="193" w:firstLineChars="100" w:firstLine="200"/>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Native title and land rights</w:t>
            </w:r>
          </w:p>
        </w:tc>
        <w:tc>
          <w:tcPr>
            <w:tcW w:w="809" w:type="dxa"/>
            <w:tcBorders>
              <w:top w:val="nil"/>
              <w:left w:val="nil"/>
              <w:bottom w:val="nil"/>
              <w:right w:val="nil"/>
            </w:tcBorders>
            <w:shd w:val="clear" w:color="auto" w:fill="auto"/>
            <w:vAlign w:val="bottom"/>
            <w:hideMark/>
          </w:tcPr>
          <w:p w:rsidR="00BA1161" w:rsidRPr="00040ABB" w:rsidRDefault="002B150A" w:rsidP="00BA1161">
            <w:pPr>
              <w:keepNext/>
              <w:keepLines/>
              <w:tabs>
                <w:tab w:val="clear" w:pos="567"/>
              </w:tabs>
              <w:spacing w:after="0" w:line="240" w:lineRule="auto"/>
              <w:jc w:val="right"/>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 xml:space="preserve"> </w:t>
            </w:r>
            <w:r w:rsidR="00BA1161" w:rsidRPr="00040ABB">
              <w:rPr>
                <w:rFonts w:ascii="Calibri" w:eastAsia="Times New Roman" w:hAnsi="Calibri" w:cs="Times New Roman"/>
                <w:sz w:val="20"/>
                <w:szCs w:val="18"/>
                <w:lang w:eastAsia="en-AU"/>
              </w:rPr>
              <w:t>176</w:t>
            </w:r>
          </w:p>
        </w:tc>
        <w:tc>
          <w:tcPr>
            <w:tcW w:w="2500" w:type="dxa"/>
            <w:tcBorders>
              <w:top w:val="nil"/>
              <w:left w:val="nil"/>
              <w:bottom w:val="nil"/>
              <w:right w:val="nil"/>
            </w:tcBorders>
            <w:shd w:val="clear" w:color="auto" w:fill="auto"/>
            <w:vAlign w:val="bottom"/>
            <w:hideMark/>
          </w:tcPr>
          <w:p w:rsidR="00BA1161" w:rsidRPr="00040ABB" w:rsidRDefault="00BA1161" w:rsidP="00BA1161">
            <w:pPr>
              <w:keepNext/>
              <w:keepLines/>
              <w:tabs>
                <w:tab w:val="clear" w:pos="567"/>
              </w:tabs>
              <w:spacing w:after="0" w:line="240" w:lineRule="auto"/>
              <w:jc w:val="right"/>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0.6</w:t>
            </w:r>
          </w:p>
        </w:tc>
      </w:tr>
      <w:tr w:rsidR="00BA1161" w:rsidRPr="00040ABB" w:rsidTr="00BA1161">
        <w:trPr>
          <w:trHeight w:val="315"/>
        </w:trPr>
        <w:tc>
          <w:tcPr>
            <w:tcW w:w="5720" w:type="dxa"/>
            <w:tcBorders>
              <w:top w:val="nil"/>
              <w:left w:val="nil"/>
              <w:bottom w:val="nil"/>
              <w:right w:val="nil"/>
            </w:tcBorders>
            <w:shd w:val="clear" w:color="auto" w:fill="auto"/>
            <w:vAlign w:val="bottom"/>
            <w:hideMark/>
          </w:tcPr>
          <w:p w:rsidR="00BA1161" w:rsidRPr="00040ABB" w:rsidRDefault="00BA1161" w:rsidP="00040ABB">
            <w:pPr>
              <w:keepNext/>
              <w:keepLines/>
              <w:tabs>
                <w:tab w:val="clear" w:pos="567"/>
              </w:tabs>
              <w:spacing w:after="0" w:line="240" w:lineRule="auto"/>
              <w:ind w:left="193" w:firstLineChars="100" w:firstLine="200"/>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National capital</w:t>
            </w:r>
          </w:p>
        </w:tc>
        <w:tc>
          <w:tcPr>
            <w:tcW w:w="809" w:type="dxa"/>
            <w:tcBorders>
              <w:top w:val="nil"/>
              <w:left w:val="nil"/>
              <w:bottom w:val="nil"/>
              <w:right w:val="nil"/>
            </w:tcBorders>
            <w:shd w:val="clear" w:color="auto" w:fill="auto"/>
            <w:noWrap/>
            <w:vAlign w:val="bottom"/>
            <w:hideMark/>
          </w:tcPr>
          <w:p w:rsidR="00BA1161" w:rsidRPr="00040ABB" w:rsidRDefault="002B150A" w:rsidP="00BA1161">
            <w:pPr>
              <w:keepNext/>
              <w:keepLines/>
              <w:tabs>
                <w:tab w:val="clear" w:pos="567"/>
              </w:tabs>
              <w:spacing w:after="0" w:line="240" w:lineRule="auto"/>
              <w:jc w:val="right"/>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 xml:space="preserve"> </w:t>
            </w:r>
            <w:r w:rsidR="00BA1161" w:rsidRPr="00040ABB">
              <w:rPr>
                <w:rFonts w:ascii="Calibri" w:eastAsia="Times New Roman" w:hAnsi="Calibri" w:cs="Times New Roman"/>
                <w:sz w:val="20"/>
                <w:szCs w:val="18"/>
                <w:lang w:eastAsia="en-AU"/>
              </w:rPr>
              <w:t>21</w:t>
            </w:r>
          </w:p>
        </w:tc>
        <w:tc>
          <w:tcPr>
            <w:tcW w:w="2500" w:type="dxa"/>
            <w:tcBorders>
              <w:top w:val="nil"/>
              <w:left w:val="nil"/>
              <w:bottom w:val="nil"/>
              <w:right w:val="nil"/>
            </w:tcBorders>
            <w:shd w:val="clear" w:color="auto" w:fill="auto"/>
            <w:vAlign w:val="bottom"/>
            <w:hideMark/>
          </w:tcPr>
          <w:p w:rsidR="00BA1161" w:rsidRPr="00040ABB" w:rsidRDefault="00BA1161" w:rsidP="00BA1161">
            <w:pPr>
              <w:keepNext/>
              <w:keepLines/>
              <w:tabs>
                <w:tab w:val="clear" w:pos="567"/>
              </w:tabs>
              <w:spacing w:after="0" w:line="240" w:lineRule="auto"/>
              <w:jc w:val="right"/>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0.1</w:t>
            </w:r>
          </w:p>
        </w:tc>
      </w:tr>
      <w:tr w:rsidR="00BA1161" w:rsidRPr="00040ABB" w:rsidTr="00BA1161">
        <w:trPr>
          <w:trHeight w:val="315"/>
        </w:trPr>
        <w:tc>
          <w:tcPr>
            <w:tcW w:w="5720" w:type="dxa"/>
            <w:tcBorders>
              <w:top w:val="nil"/>
              <w:left w:val="nil"/>
              <w:bottom w:val="single" w:sz="4" w:space="0" w:color="auto"/>
              <w:right w:val="nil"/>
            </w:tcBorders>
            <w:shd w:val="clear" w:color="auto" w:fill="auto"/>
            <w:noWrap/>
            <w:vAlign w:val="bottom"/>
            <w:hideMark/>
          </w:tcPr>
          <w:p w:rsidR="00BA1161" w:rsidRPr="00040ABB" w:rsidRDefault="00BA1161" w:rsidP="00BA1161">
            <w:pPr>
              <w:keepNext/>
              <w:keepLines/>
              <w:tabs>
                <w:tab w:val="clear" w:pos="567"/>
              </w:tabs>
              <w:spacing w:after="0" w:line="240" w:lineRule="auto"/>
              <w:ind w:left="193" w:hanging="142"/>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Total</w:t>
            </w:r>
          </w:p>
        </w:tc>
        <w:tc>
          <w:tcPr>
            <w:tcW w:w="809" w:type="dxa"/>
            <w:tcBorders>
              <w:top w:val="single" w:sz="4" w:space="0" w:color="auto"/>
              <w:left w:val="nil"/>
              <w:bottom w:val="single" w:sz="4" w:space="0" w:color="auto"/>
              <w:right w:val="nil"/>
            </w:tcBorders>
            <w:shd w:val="clear" w:color="auto" w:fill="auto"/>
            <w:noWrap/>
            <w:vAlign w:val="bottom"/>
            <w:hideMark/>
          </w:tcPr>
          <w:p w:rsidR="00BA1161" w:rsidRPr="00040ABB" w:rsidRDefault="00BA1161" w:rsidP="00BA1161">
            <w:pPr>
              <w:keepNext/>
              <w:keepLines/>
              <w:tabs>
                <w:tab w:val="clear" w:pos="567"/>
              </w:tabs>
              <w:spacing w:after="0" w:line="240" w:lineRule="auto"/>
              <w:jc w:val="right"/>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 xml:space="preserve"> 30 848</w:t>
            </w:r>
          </w:p>
        </w:tc>
        <w:tc>
          <w:tcPr>
            <w:tcW w:w="2500" w:type="dxa"/>
            <w:tcBorders>
              <w:top w:val="single" w:sz="4" w:space="0" w:color="auto"/>
              <w:left w:val="nil"/>
              <w:bottom w:val="single" w:sz="4" w:space="0" w:color="auto"/>
              <w:right w:val="nil"/>
            </w:tcBorders>
            <w:shd w:val="clear" w:color="auto" w:fill="auto"/>
            <w:noWrap/>
            <w:vAlign w:val="bottom"/>
            <w:hideMark/>
          </w:tcPr>
          <w:p w:rsidR="00BA1161" w:rsidRPr="00040ABB" w:rsidRDefault="00BA1161" w:rsidP="00BA1161">
            <w:pPr>
              <w:keepNext/>
              <w:keepLines/>
              <w:tabs>
                <w:tab w:val="clear" w:pos="567"/>
              </w:tabs>
              <w:spacing w:after="0" w:line="240" w:lineRule="auto"/>
              <w:jc w:val="right"/>
              <w:rPr>
                <w:rFonts w:ascii="Calibri" w:eastAsia="Times New Roman" w:hAnsi="Calibri" w:cs="Times New Roman"/>
                <w:sz w:val="20"/>
                <w:szCs w:val="18"/>
                <w:lang w:eastAsia="en-AU"/>
              </w:rPr>
            </w:pPr>
            <w:r w:rsidRPr="00040ABB">
              <w:rPr>
                <w:rFonts w:ascii="Calibri" w:eastAsia="Times New Roman" w:hAnsi="Calibri" w:cs="Times New Roman"/>
                <w:sz w:val="20"/>
                <w:szCs w:val="18"/>
                <w:lang w:eastAsia="en-AU"/>
              </w:rPr>
              <w:t>100.0</w:t>
            </w:r>
          </w:p>
        </w:tc>
      </w:tr>
    </w:tbl>
    <w:p w:rsidR="00957A15" w:rsidRDefault="00957A15" w:rsidP="003E1453">
      <w:pPr>
        <w:pStyle w:val="CGCTableFootnote"/>
        <w:keepNext/>
        <w:keepLines/>
      </w:pPr>
      <w:r>
        <w:t>Note:</w:t>
      </w:r>
      <w:r>
        <w:tab/>
        <w:t>The other assessments component also</w:t>
      </w:r>
      <w:r w:rsidR="009661A7">
        <w:t xml:space="preserve"> includes</w:t>
      </w:r>
      <w:r w:rsidR="00CF557A">
        <w:t xml:space="preserve"> a location adjustment, which</w:t>
      </w:r>
      <w:r>
        <w:t xml:space="preserve"> </w:t>
      </w:r>
      <w:r w:rsidR="009661A7">
        <w:t>has</w:t>
      </w:r>
      <w:r w:rsidR="000E201B">
        <w:t xml:space="preserve"> a net zero effect on </w:t>
      </w:r>
      <w:r w:rsidR="00333EB7">
        <w:t xml:space="preserve">total State </w:t>
      </w:r>
      <w:r w:rsidR="000E201B">
        <w:t>expenses</w:t>
      </w:r>
      <w:r>
        <w:t>.</w:t>
      </w:r>
    </w:p>
    <w:p w:rsidR="00F83306" w:rsidRDefault="00F83306" w:rsidP="003E1453">
      <w:pPr>
        <w:pStyle w:val="CGCTableFootnote"/>
        <w:keepNext/>
        <w:keepLines/>
      </w:pPr>
      <w:r>
        <w:t>Source:</w:t>
      </w:r>
      <w:r>
        <w:tab/>
      </w:r>
      <w:r w:rsidR="00263A75">
        <w:t>Commission calculation.</w:t>
      </w:r>
    </w:p>
    <w:p w:rsidR="00045D82" w:rsidRPr="00B775F7" w:rsidRDefault="00045D82" w:rsidP="00045D82">
      <w:pPr>
        <w:pStyle w:val="Heading4"/>
        <w:rPr>
          <w:rStyle w:val="Heading6Char"/>
          <w:b/>
          <w:i w:val="0"/>
          <w:iCs/>
          <w:sz w:val="32"/>
        </w:rPr>
      </w:pPr>
      <w:bookmarkStart w:id="26" w:name="_Toc510091837"/>
      <w:bookmarkStart w:id="27" w:name="_Toc510795486"/>
      <w:bookmarkStart w:id="28" w:name="_Toc511394438"/>
      <w:r w:rsidRPr="00B775F7">
        <w:rPr>
          <w:rStyle w:val="Heading6Char"/>
          <w:b/>
          <w:i w:val="0"/>
          <w:iCs/>
          <w:sz w:val="32"/>
        </w:rPr>
        <w:t>Data sources and assessment methods</w:t>
      </w:r>
      <w:bookmarkEnd w:id="26"/>
      <w:bookmarkEnd w:id="27"/>
      <w:bookmarkEnd w:id="28"/>
    </w:p>
    <w:p w:rsidR="00993C76" w:rsidRPr="00993C76" w:rsidRDefault="006E6DCF" w:rsidP="00831565">
      <w:pPr>
        <w:pStyle w:val="CGCNumberedPara"/>
        <w:rPr>
          <w:rStyle w:val="Heading6Char"/>
          <w:rFonts w:eastAsiaTheme="minorHAnsi" w:cstheme="minorBidi"/>
          <w:b w:val="0"/>
          <w:i w:val="0"/>
          <w:iCs w:val="0"/>
          <w:color w:val="auto"/>
          <w:sz w:val="20"/>
          <w:szCs w:val="22"/>
        </w:rPr>
      </w:pPr>
      <w:r>
        <w:rPr>
          <w:rStyle w:val="Heading6Char"/>
          <w:rFonts w:eastAsiaTheme="minorHAnsi" w:cstheme="minorBidi"/>
          <w:b w:val="0"/>
          <w:i w:val="0"/>
          <w:iCs w:val="0"/>
          <w:color w:val="auto"/>
          <w:sz w:val="24"/>
        </w:rPr>
        <w:t>The majority of expenses in this category are classified to the s</w:t>
      </w:r>
      <w:r w:rsidR="00AA4C75">
        <w:rPr>
          <w:rStyle w:val="Heading6Char"/>
          <w:rFonts w:eastAsiaTheme="minorHAnsi" w:cstheme="minorBidi"/>
          <w:b w:val="0"/>
          <w:i w:val="0"/>
          <w:iCs w:val="0"/>
          <w:color w:val="auto"/>
          <w:sz w:val="24"/>
        </w:rPr>
        <w:t>ervice expenses</w:t>
      </w:r>
      <w:r>
        <w:rPr>
          <w:rStyle w:val="Heading6Char"/>
          <w:rFonts w:eastAsiaTheme="minorHAnsi" w:cstheme="minorBidi"/>
          <w:b w:val="0"/>
          <w:i w:val="0"/>
          <w:iCs w:val="0"/>
          <w:color w:val="auto"/>
          <w:sz w:val="24"/>
        </w:rPr>
        <w:t xml:space="preserve"> component and, apart from location disabilities, are assessed on an equal per capita (EP</w:t>
      </w:r>
      <w:r w:rsidR="002F62C2">
        <w:rPr>
          <w:rStyle w:val="Heading6Char"/>
          <w:rFonts w:eastAsiaTheme="minorHAnsi" w:cstheme="minorBidi"/>
          <w:b w:val="0"/>
          <w:i w:val="0"/>
          <w:iCs w:val="0"/>
          <w:color w:val="auto"/>
          <w:sz w:val="24"/>
        </w:rPr>
        <w:t xml:space="preserve">C) basis. </w:t>
      </w:r>
      <w:r w:rsidR="0078335D">
        <w:rPr>
          <w:rStyle w:val="Heading6Char"/>
          <w:rFonts w:eastAsiaTheme="minorHAnsi" w:cstheme="minorBidi"/>
          <w:b w:val="0"/>
          <w:i w:val="0"/>
          <w:iCs w:val="0"/>
          <w:color w:val="auto"/>
          <w:sz w:val="24"/>
        </w:rPr>
        <w:t>Capital grants to local government are assessed using population growth based on ABS estimated resident population. O</w:t>
      </w:r>
      <w:r w:rsidR="002F62C2">
        <w:rPr>
          <w:rStyle w:val="Heading6Char"/>
          <w:rFonts w:eastAsiaTheme="minorHAnsi" w:cstheme="minorBidi"/>
          <w:b w:val="0"/>
          <w:i w:val="0"/>
          <w:iCs w:val="0"/>
          <w:color w:val="auto"/>
          <w:sz w:val="24"/>
        </w:rPr>
        <w:t xml:space="preserve">ther assessments, including </w:t>
      </w:r>
      <w:r w:rsidR="000A3659">
        <w:rPr>
          <w:rStyle w:val="Heading6Char"/>
          <w:rFonts w:eastAsiaTheme="minorHAnsi" w:cstheme="minorBidi"/>
          <w:b w:val="0"/>
          <w:i w:val="0"/>
          <w:iCs w:val="0"/>
          <w:color w:val="auto"/>
          <w:sz w:val="24"/>
        </w:rPr>
        <w:t xml:space="preserve">the </w:t>
      </w:r>
      <w:r w:rsidR="002F62C2">
        <w:rPr>
          <w:rStyle w:val="Heading6Char"/>
          <w:rFonts w:eastAsiaTheme="minorHAnsi" w:cstheme="minorBidi"/>
          <w:b w:val="0"/>
          <w:i w:val="0"/>
          <w:iCs w:val="0"/>
          <w:color w:val="auto"/>
          <w:sz w:val="24"/>
        </w:rPr>
        <w:t>administrative scale</w:t>
      </w:r>
      <w:r w:rsidR="000A3659">
        <w:rPr>
          <w:rStyle w:val="Heading6Char"/>
          <w:rFonts w:eastAsiaTheme="minorHAnsi" w:cstheme="minorBidi"/>
          <w:b w:val="0"/>
          <w:i w:val="0"/>
          <w:iCs w:val="0"/>
          <w:color w:val="auto"/>
          <w:sz w:val="24"/>
        </w:rPr>
        <w:t xml:space="preserve"> allowance for all categories</w:t>
      </w:r>
      <w:r w:rsidR="002F62C2">
        <w:rPr>
          <w:rStyle w:val="Heading6Char"/>
          <w:rFonts w:eastAsiaTheme="minorHAnsi" w:cstheme="minorBidi"/>
          <w:b w:val="0"/>
          <w:i w:val="0"/>
          <w:iCs w:val="0"/>
          <w:color w:val="auto"/>
          <w:sz w:val="24"/>
        </w:rPr>
        <w:t>, natural disaster relief, cross</w:t>
      </w:r>
      <w:r w:rsidR="002F62C2">
        <w:rPr>
          <w:rStyle w:val="Heading6Char"/>
          <w:rFonts w:eastAsiaTheme="minorHAnsi" w:cstheme="minorBidi"/>
          <w:b w:val="0"/>
          <w:i w:val="0"/>
          <w:iCs w:val="0"/>
          <w:color w:val="auto"/>
          <w:sz w:val="24"/>
        </w:rPr>
        <w:noBreakHyphen/>
        <w:t xml:space="preserve">border, national capital and native title and land rights, </w:t>
      </w:r>
      <w:r w:rsidR="0078335D">
        <w:rPr>
          <w:rStyle w:val="Heading6Char"/>
          <w:rFonts w:eastAsiaTheme="minorHAnsi" w:cstheme="minorBidi"/>
          <w:b w:val="0"/>
          <w:i w:val="0"/>
          <w:iCs w:val="0"/>
          <w:color w:val="auto"/>
          <w:sz w:val="24"/>
        </w:rPr>
        <w:t>are based</w:t>
      </w:r>
      <w:r w:rsidR="002F62C2">
        <w:rPr>
          <w:rStyle w:val="Heading6Char"/>
          <w:rFonts w:eastAsiaTheme="minorHAnsi" w:cstheme="minorBidi"/>
          <w:b w:val="0"/>
          <w:i w:val="0"/>
          <w:iCs w:val="0"/>
          <w:color w:val="auto"/>
          <w:sz w:val="24"/>
        </w:rPr>
        <w:t xml:space="preserve"> on State provided data</w:t>
      </w:r>
      <w:r w:rsidR="0078335D">
        <w:rPr>
          <w:rStyle w:val="Heading6Char"/>
          <w:rFonts w:eastAsiaTheme="minorHAnsi" w:cstheme="minorBidi"/>
          <w:b w:val="0"/>
          <w:i w:val="0"/>
          <w:iCs w:val="0"/>
          <w:color w:val="auto"/>
          <w:sz w:val="24"/>
        </w:rPr>
        <w:t xml:space="preserve"> or Commission estimates</w:t>
      </w:r>
      <w:r w:rsidR="002F62C2">
        <w:rPr>
          <w:rStyle w:val="Heading6Char"/>
          <w:rFonts w:eastAsiaTheme="minorHAnsi" w:cstheme="minorBidi"/>
          <w:b w:val="0"/>
          <w:i w:val="0"/>
          <w:iCs w:val="0"/>
          <w:color w:val="auto"/>
          <w:sz w:val="24"/>
        </w:rPr>
        <w:t>.</w:t>
      </w:r>
      <w:r w:rsidR="002B150A">
        <w:rPr>
          <w:rStyle w:val="Heading6Char"/>
          <w:rFonts w:eastAsiaTheme="minorHAnsi" w:cstheme="minorBidi"/>
          <w:b w:val="0"/>
          <w:i w:val="0"/>
          <w:iCs w:val="0"/>
          <w:color w:val="auto"/>
          <w:sz w:val="24"/>
        </w:rPr>
        <w:t xml:space="preserve"> </w:t>
      </w:r>
    </w:p>
    <w:p w:rsidR="00831565" w:rsidRPr="00831565" w:rsidRDefault="00BD61C3" w:rsidP="00831565">
      <w:pPr>
        <w:pStyle w:val="Heading5"/>
        <w:rPr>
          <w:rStyle w:val="Heading6Char"/>
          <w:b/>
          <w:i/>
          <w:iCs w:val="0"/>
        </w:rPr>
      </w:pPr>
      <w:r w:rsidRPr="00831565">
        <w:rPr>
          <w:rStyle w:val="Heading6Char"/>
          <w:b/>
          <w:i/>
          <w:iCs w:val="0"/>
        </w:rPr>
        <w:t xml:space="preserve">Service expenses </w:t>
      </w:r>
      <w:r w:rsidR="009661A7">
        <w:rPr>
          <w:rStyle w:val="Heading6Char"/>
          <w:b/>
          <w:i/>
          <w:iCs w:val="0"/>
        </w:rPr>
        <w:t>assessment</w:t>
      </w:r>
    </w:p>
    <w:p w:rsidR="007373C4" w:rsidRDefault="00F7148B" w:rsidP="007436AD">
      <w:pPr>
        <w:pStyle w:val="CGCNumberedPara"/>
      </w:pPr>
      <w:r>
        <w:t xml:space="preserve">The </w:t>
      </w:r>
      <w:r w:rsidR="00831565">
        <w:t xml:space="preserve">service expenses </w:t>
      </w:r>
      <w:r>
        <w:t>assessment recognise</w:t>
      </w:r>
      <w:r w:rsidR="005712DC">
        <w:t>s</w:t>
      </w:r>
      <w:r>
        <w:t xml:space="preserve"> </w:t>
      </w:r>
      <w:r w:rsidR="00E10F5A">
        <w:t>that the need for spending on services covered by this component largely reflects State</w:t>
      </w:r>
      <w:r>
        <w:t xml:space="preserve"> population shares. </w:t>
      </w:r>
      <w:r w:rsidR="007373C4">
        <w:t>A cross</w:t>
      </w:r>
      <w:r w:rsidR="007373C4">
        <w:noBreakHyphen/>
        <w:t xml:space="preserve">border disability </w:t>
      </w:r>
      <w:r w:rsidR="005712DC">
        <w:t xml:space="preserve">is </w:t>
      </w:r>
      <w:r w:rsidR="007373C4">
        <w:t xml:space="preserve">assessed </w:t>
      </w:r>
      <w:r w:rsidR="00E10F5A">
        <w:t>to recognise that the</w:t>
      </w:r>
      <w:r w:rsidR="007373C4">
        <w:t xml:space="preserve"> </w:t>
      </w:r>
      <w:proofErr w:type="spellStart"/>
      <w:r w:rsidR="007373C4" w:rsidRPr="00F46B46">
        <w:t>ACT</w:t>
      </w:r>
      <w:r w:rsidR="00E10F5A">
        <w:t>’s</w:t>
      </w:r>
      <w:proofErr w:type="spellEnd"/>
      <w:r w:rsidR="00E10F5A">
        <w:t xml:space="preserve"> costs </w:t>
      </w:r>
      <w:r w:rsidR="0078335D">
        <w:t>for</w:t>
      </w:r>
      <w:r w:rsidR="007373C4" w:rsidRPr="00F46B46">
        <w:t xml:space="preserve"> library, sports grounds and other cultural and recreational services</w:t>
      </w:r>
      <w:r w:rsidR="00EF6729">
        <w:t xml:space="preserve"> </w:t>
      </w:r>
      <w:r w:rsidR="00E10F5A">
        <w:t xml:space="preserve">are higher </w:t>
      </w:r>
      <w:r w:rsidR="00EF6729">
        <w:t>due to the use of these services by New South Wales residents.</w:t>
      </w:r>
      <w:r w:rsidR="000E201B">
        <w:t xml:space="preserve"> Wage costs and regional costs effects </w:t>
      </w:r>
      <w:r w:rsidR="005712DC">
        <w:t xml:space="preserve">are </w:t>
      </w:r>
      <w:r w:rsidR="000E201B">
        <w:t>applied to e</w:t>
      </w:r>
      <w:r w:rsidR="000E201B" w:rsidRPr="00F46B46">
        <w:t>xpenses on recreation, culture, national parks, communications and pipelines, and public safety services</w:t>
      </w:r>
      <w:r w:rsidR="00F96A45">
        <w:t>; and</w:t>
      </w:r>
      <w:r w:rsidR="003342CF">
        <w:t xml:space="preserve"> to</w:t>
      </w:r>
      <w:r w:rsidR="00784CD5">
        <w:t xml:space="preserve"> </w:t>
      </w:r>
      <w:r w:rsidR="000E201B">
        <w:t xml:space="preserve">half of the expenses </w:t>
      </w:r>
      <w:r w:rsidR="000E201B" w:rsidRPr="00F46B46">
        <w:t>for general public services, intergovernmental transactions and other purposes</w:t>
      </w:r>
      <w:r w:rsidR="00DD6E15">
        <w:t>.</w:t>
      </w:r>
    </w:p>
    <w:p w:rsidR="00831565" w:rsidRPr="00831565" w:rsidRDefault="007373C4" w:rsidP="00831565">
      <w:pPr>
        <w:pStyle w:val="Heading5"/>
        <w:rPr>
          <w:rStyle w:val="Heading6Char"/>
          <w:b/>
          <w:i/>
          <w:iCs w:val="0"/>
        </w:rPr>
      </w:pPr>
      <w:r w:rsidRPr="00831565">
        <w:rPr>
          <w:rStyle w:val="Heading6Char"/>
          <w:b/>
          <w:i/>
          <w:iCs w:val="0"/>
        </w:rPr>
        <w:t>Natural disaster relief</w:t>
      </w:r>
    </w:p>
    <w:p w:rsidR="00BD61C3" w:rsidRPr="007373C4" w:rsidRDefault="00831565" w:rsidP="007373C4">
      <w:pPr>
        <w:pStyle w:val="CGCNumberedPara"/>
        <w:rPr>
          <w:rStyle w:val="Heading6Char"/>
          <w:rFonts w:eastAsiaTheme="minorHAnsi" w:cstheme="minorBidi"/>
          <w:b w:val="0"/>
          <w:i w:val="0"/>
          <w:iCs w:val="0"/>
          <w:color w:val="auto"/>
          <w:sz w:val="24"/>
        </w:rPr>
      </w:pPr>
      <w:r>
        <w:t>Natural disaster relief</w:t>
      </w:r>
      <w:r w:rsidR="00A21ED9">
        <w:t xml:space="preserve"> expenses</w:t>
      </w:r>
      <w:r>
        <w:t xml:space="preserve"> </w:t>
      </w:r>
      <w:r w:rsidR="00E10F5A">
        <w:t>include</w:t>
      </w:r>
      <w:r w:rsidR="009661A7">
        <w:t xml:space="preserve"> </w:t>
      </w:r>
      <w:r w:rsidR="00E10F5A">
        <w:t xml:space="preserve">State net out of pocket expenses </w:t>
      </w:r>
      <w:r w:rsidR="00AA4C75">
        <w:t>under the Natural Disasters Relief and Recovery Arrangements (</w:t>
      </w:r>
      <w:proofErr w:type="spellStart"/>
      <w:r w:rsidR="00AA4C75">
        <w:t>NDRRA</w:t>
      </w:r>
      <w:proofErr w:type="spellEnd"/>
      <w:r w:rsidR="00AA4C75">
        <w:t>) framework</w:t>
      </w:r>
      <w:r>
        <w:t xml:space="preserve">. They </w:t>
      </w:r>
      <w:r w:rsidR="005712DC">
        <w:t xml:space="preserve">are </w:t>
      </w:r>
      <w:r w:rsidR="00C644AC">
        <w:t xml:space="preserve">assessed on an </w:t>
      </w:r>
      <w:r w:rsidR="00C644AC" w:rsidRPr="00F46B46">
        <w:t xml:space="preserve">actual per capita (APC) basis because </w:t>
      </w:r>
      <w:r w:rsidR="006D1A03">
        <w:t>the Comm</w:t>
      </w:r>
      <w:r w:rsidR="00AA4C75">
        <w:t>i</w:t>
      </w:r>
      <w:r w:rsidR="006D1A03">
        <w:t>ssion</w:t>
      </w:r>
      <w:r w:rsidR="006D1A03" w:rsidRPr="00F46B46">
        <w:t xml:space="preserve"> </w:t>
      </w:r>
      <w:r w:rsidR="00C644AC" w:rsidRPr="00F46B46">
        <w:t>consider</w:t>
      </w:r>
      <w:r w:rsidR="00C644AC">
        <w:t>ed</w:t>
      </w:r>
      <w:r w:rsidR="00C644AC" w:rsidRPr="00F46B46">
        <w:t xml:space="preserve"> that the State expenses </w:t>
      </w:r>
      <w:r w:rsidR="00C644AC">
        <w:t xml:space="preserve">were </w:t>
      </w:r>
      <w:r w:rsidR="00C644AC" w:rsidRPr="00F46B46">
        <w:t xml:space="preserve">not policy influenced and </w:t>
      </w:r>
      <w:r w:rsidR="00C644AC">
        <w:t xml:space="preserve">were </w:t>
      </w:r>
      <w:r w:rsidR="00C644AC" w:rsidRPr="00F46B46">
        <w:t>sufficiently comparable to make a reliable assessment.</w:t>
      </w:r>
      <w:r w:rsidR="00BD61C3">
        <w:t xml:space="preserve"> </w:t>
      </w:r>
    </w:p>
    <w:p w:rsidR="00A21ED9" w:rsidRPr="00A21ED9" w:rsidRDefault="007373C4" w:rsidP="00A21ED9">
      <w:pPr>
        <w:pStyle w:val="Heading5"/>
      </w:pPr>
      <w:r w:rsidRPr="00A21ED9">
        <w:rPr>
          <w:rStyle w:val="Heading6Char"/>
          <w:b/>
          <w:i/>
          <w:iCs w:val="0"/>
        </w:rPr>
        <w:t>Capital grants to local governments</w:t>
      </w:r>
    </w:p>
    <w:p w:rsidR="00EF6729" w:rsidRDefault="00EF6729" w:rsidP="00A21ED9">
      <w:pPr>
        <w:pStyle w:val="CGCNumberedPara"/>
      </w:pPr>
      <w:r>
        <w:t>Th</w:t>
      </w:r>
      <w:r w:rsidR="00A21ED9">
        <w:t>e</w:t>
      </w:r>
      <w:r w:rsidR="005712DC">
        <w:t xml:space="preserve"> </w:t>
      </w:r>
      <w:r>
        <w:t xml:space="preserve">assessment </w:t>
      </w:r>
      <w:r w:rsidR="00A21ED9">
        <w:t>of c</w:t>
      </w:r>
      <w:r w:rsidR="00A21ED9" w:rsidRPr="00A21ED9">
        <w:t>apital grants to local governments</w:t>
      </w:r>
      <w:r w:rsidR="00A21ED9">
        <w:t xml:space="preserve"> </w:t>
      </w:r>
      <w:r>
        <w:t>recognise</w:t>
      </w:r>
      <w:r w:rsidR="005712DC">
        <w:t>s</w:t>
      </w:r>
      <w:r>
        <w:t xml:space="preserve"> the impact of State population growth on</w:t>
      </w:r>
      <w:r w:rsidR="008D62A5">
        <w:t xml:space="preserve"> </w:t>
      </w:r>
      <w:r w:rsidR="00F56023">
        <w:t>the level of support for</w:t>
      </w:r>
      <w:r>
        <w:t xml:space="preserve"> local government </w:t>
      </w:r>
      <w:r w:rsidR="00F56023">
        <w:t>for cultural and recreation facilities and communit</w:t>
      </w:r>
      <w:r w:rsidR="000B79B4">
        <w:t>y</w:t>
      </w:r>
      <w:r w:rsidR="00F56023">
        <w:t xml:space="preserve"> amenities</w:t>
      </w:r>
      <w:r>
        <w:t>.</w:t>
      </w:r>
    </w:p>
    <w:p w:rsidR="00C13E58" w:rsidRPr="00C13E58" w:rsidRDefault="007373C4" w:rsidP="00C13E58">
      <w:pPr>
        <w:pStyle w:val="Heading5"/>
      </w:pPr>
      <w:r w:rsidRPr="00C13E58">
        <w:rPr>
          <w:rStyle w:val="Heading6Char"/>
          <w:b/>
          <w:i/>
          <w:iCs w:val="0"/>
        </w:rPr>
        <w:t>Other assessments</w:t>
      </w:r>
    </w:p>
    <w:p w:rsidR="007373C4" w:rsidRDefault="00394222" w:rsidP="007373C4">
      <w:pPr>
        <w:pStyle w:val="CGCNumberedPara"/>
      </w:pPr>
      <w:r>
        <w:t>The</w:t>
      </w:r>
      <w:r w:rsidR="00D81ED7">
        <w:t xml:space="preserve"> Administrative scale, Native title and land rights and</w:t>
      </w:r>
      <w:r w:rsidR="008D62A5">
        <w:t xml:space="preserve"> </w:t>
      </w:r>
      <w:r w:rsidR="00D81ED7">
        <w:t>National capital</w:t>
      </w:r>
      <w:r>
        <w:t xml:space="preserve"> assessments</w:t>
      </w:r>
      <w:r w:rsidR="00D81ED7">
        <w:t>, along with the location adjustment,</w:t>
      </w:r>
      <w:r>
        <w:t xml:space="preserve"> are discussed in their respective </w:t>
      </w:r>
      <w:r w:rsidR="00CB63DB">
        <w:t>draft assessment paper</w:t>
      </w:r>
      <w:r w:rsidR="005712DC">
        <w:t>s.</w:t>
      </w:r>
    </w:p>
    <w:p w:rsidR="00FF4688" w:rsidRDefault="00FF4688" w:rsidP="00831565">
      <w:pPr>
        <w:pStyle w:val="Heading5"/>
      </w:pPr>
      <w:bookmarkStart w:id="29" w:name="_Toc510091838"/>
      <w:r>
        <w:t>Investment and depreciation</w:t>
      </w:r>
      <w:bookmarkEnd w:id="29"/>
    </w:p>
    <w:p w:rsidR="00FF4688" w:rsidRDefault="00AD3292" w:rsidP="00FF4688">
      <w:pPr>
        <w:pStyle w:val="CGCNumberedPara"/>
      </w:pPr>
      <w:r>
        <w:t>Other expenses accounted for 10% of total State assets in 2016</w:t>
      </w:r>
      <w:r>
        <w:noBreakHyphen/>
        <w:t xml:space="preserve">17. </w:t>
      </w:r>
      <w:r w:rsidR="00786BFF">
        <w:t>For most categories, t</w:t>
      </w:r>
      <w:r>
        <w:t>he</w:t>
      </w:r>
      <w:r w:rsidR="00F37529">
        <w:t xml:space="preserve"> infrastructure assessments use</w:t>
      </w:r>
      <w:r>
        <w:t xml:space="preserve"> </w:t>
      </w:r>
      <w:r w:rsidR="00F37529">
        <w:t xml:space="preserve">expense weighted </w:t>
      </w:r>
      <w:r>
        <w:t xml:space="preserve">service use </w:t>
      </w:r>
      <w:r w:rsidR="00F37529">
        <w:t xml:space="preserve">disabilities </w:t>
      </w:r>
      <w:r>
        <w:t xml:space="preserve">to calculate a </w:t>
      </w:r>
      <w:r w:rsidR="00786BFF">
        <w:t xml:space="preserve">category specific </w:t>
      </w:r>
      <w:r>
        <w:t>capital stock disability</w:t>
      </w:r>
      <w:r w:rsidR="00786BFF">
        <w:t xml:space="preserve"> factor</w:t>
      </w:r>
      <w:r w:rsidR="00F37529">
        <w:t xml:space="preserve">. </w:t>
      </w:r>
      <w:r>
        <w:t>The only service use disability included in the capital stock calculations for Other expenses is cross-border service use. Interstate differences in wage levels, the price of materials and other unavoidable factors affecting the cost of infrastructure are also taken into account.</w:t>
      </w:r>
      <w:r w:rsidR="006F0BF8">
        <w:t xml:space="preserve"> </w:t>
      </w:r>
    </w:p>
    <w:p w:rsidR="006F0BF8" w:rsidRPr="00FF4688" w:rsidRDefault="006F0BF8" w:rsidP="00FF4688">
      <w:pPr>
        <w:pStyle w:val="CGCNumberedPara"/>
      </w:pPr>
      <w:r>
        <w:t xml:space="preserve">In addition, the </w:t>
      </w:r>
      <w:r w:rsidR="00786BFF">
        <w:t>I</w:t>
      </w:r>
      <w:r>
        <w:t xml:space="preserve">nvestment assessment recognises the impact of differences </w:t>
      </w:r>
      <w:r w:rsidR="00D12A96">
        <w:t xml:space="preserve">in population growth </w:t>
      </w:r>
      <w:r>
        <w:t>between States on the need for infrastructure.</w:t>
      </w:r>
    </w:p>
    <w:p w:rsidR="00972126" w:rsidRDefault="00972126" w:rsidP="00831565">
      <w:pPr>
        <w:pStyle w:val="Heading5"/>
      </w:pPr>
      <w:bookmarkStart w:id="30" w:name="_Toc510091839"/>
      <w:r>
        <w:t xml:space="preserve">GST </w:t>
      </w:r>
      <w:r w:rsidR="005712DC">
        <w:t>re</w:t>
      </w:r>
      <w:r>
        <w:t>distribution</w:t>
      </w:r>
      <w:bookmarkEnd w:id="30"/>
    </w:p>
    <w:p w:rsidR="00E62B1C" w:rsidRPr="00E62B1C" w:rsidRDefault="00E62B1C" w:rsidP="00E62B1C">
      <w:pPr>
        <w:pStyle w:val="CGCNumberedPara"/>
      </w:pPr>
      <w:r>
        <w:t xml:space="preserve">In the 2018 Update, the category redistributed $1 224 million primarily to </w:t>
      </w:r>
      <w:r w:rsidR="00A97E60">
        <w:t xml:space="preserve">Tasmania, ACT and the </w:t>
      </w:r>
      <w:r>
        <w:t>Northern Terri</w:t>
      </w:r>
      <w:r w:rsidR="00FB1C4D">
        <w:t>tory</w:t>
      </w:r>
      <w:r w:rsidR="00A97E60">
        <w:t>.</w:t>
      </w:r>
      <w:r w:rsidR="00FB1C4D">
        <w:t xml:space="preserve"> Most o</w:t>
      </w:r>
      <w:r w:rsidR="00040ABB">
        <w:t>f the redistribution wa</w:t>
      </w:r>
      <w:r>
        <w:t>s due to the administrative scale</w:t>
      </w:r>
      <w:r w:rsidR="001A7186">
        <w:t xml:space="preserve"> and natural disasters assessments</w:t>
      </w:r>
      <w:r>
        <w:t>.</w:t>
      </w:r>
      <w:r w:rsidR="001A7186">
        <w:t xml:space="preserve"> </w:t>
      </w:r>
      <w:r w:rsidR="001A7186">
        <w:fldChar w:fldCharType="begin"/>
      </w:r>
      <w:r w:rsidR="001A7186">
        <w:instrText xml:space="preserve"> REF _Ref510085315 \h </w:instrText>
      </w:r>
      <w:r w:rsidR="001A7186">
        <w:fldChar w:fldCharType="separate"/>
      </w:r>
      <w:r w:rsidR="00F85E11">
        <w:t xml:space="preserve">Table </w:t>
      </w:r>
      <w:r w:rsidR="00F85E11">
        <w:rPr>
          <w:noProof/>
        </w:rPr>
        <w:t>2</w:t>
      </w:r>
      <w:r w:rsidR="001A7186">
        <w:fldChar w:fldCharType="end"/>
      </w:r>
      <w:r w:rsidR="001A7186">
        <w:t xml:space="preserve"> shows the effect of the Other expenses category on the GST redistribution in the 2018 Update.</w:t>
      </w:r>
    </w:p>
    <w:p w:rsidR="00E62B1C" w:rsidRPr="00E62B1C" w:rsidRDefault="00E62B1C" w:rsidP="00A4556F">
      <w:pPr>
        <w:pStyle w:val="Caption"/>
      </w:pPr>
      <w:bookmarkStart w:id="31" w:name="_Ref510085315"/>
      <w:r>
        <w:t xml:space="preserve">Table </w:t>
      </w:r>
      <w:fldSimple w:instr=" SEQ Table \* ARABIC ">
        <w:r w:rsidR="00F85E11">
          <w:rPr>
            <w:noProof/>
          </w:rPr>
          <w:t>2</w:t>
        </w:r>
      </w:fldSimple>
      <w:bookmarkEnd w:id="31"/>
      <w:r>
        <w:tab/>
        <w:t>GST redistribution due to Other expenses, 2018 Update</w:t>
      </w:r>
    </w:p>
    <w:tbl>
      <w:tblPr>
        <w:tblW w:w="8940" w:type="dxa"/>
        <w:tblInd w:w="93" w:type="dxa"/>
        <w:tblLook w:val="04A0" w:firstRow="1" w:lastRow="0" w:firstColumn="1" w:lastColumn="0" w:noHBand="0" w:noVBand="1"/>
      </w:tblPr>
      <w:tblGrid>
        <w:gridCol w:w="3000"/>
        <w:gridCol w:w="660"/>
        <w:gridCol w:w="660"/>
        <w:gridCol w:w="660"/>
        <w:gridCol w:w="660"/>
        <w:gridCol w:w="660"/>
        <w:gridCol w:w="660"/>
        <w:gridCol w:w="660"/>
        <w:gridCol w:w="660"/>
        <w:gridCol w:w="721"/>
      </w:tblGrid>
      <w:tr w:rsidR="00E62B1C" w:rsidRPr="00040ABB" w:rsidTr="00E62B1C">
        <w:trPr>
          <w:trHeight w:val="375"/>
        </w:trPr>
        <w:tc>
          <w:tcPr>
            <w:tcW w:w="3000" w:type="dxa"/>
            <w:tcBorders>
              <w:top w:val="single" w:sz="4" w:space="0" w:color="auto"/>
              <w:left w:val="nil"/>
              <w:bottom w:val="single" w:sz="4" w:space="0" w:color="auto"/>
              <w:right w:val="nil"/>
            </w:tcBorders>
            <w:shd w:val="clear" w:color="auto" w:fill="auto"/>
            <w:noWrap/>
            <w:vAlign w:val="center"/>
            <w:hideMark/>
          </w:tcPr>
          <w:p w:rsidR="00E62B1C" w:rsidRPr="00040ABB" w:rsidRDefault="00E62B1C" w:rsidP="00A4556F">
            <w:pPr>
              <w:keepNext/>
              <w:keepLines/>
              <w:tabs>
                <w:tab w:val="clear" w:pos="567"/>
              </w:tabs>
              <w:spacing w:after="0" w:line="240" w:lineRule="auto"/>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 </w:t>
            </w:r>
          </w:p>
        </w:tc>
        <w:tc>
          <w:tcPr>
            <w:tcW w:w="660" w:type="dxa"/>
            <w:tcBorders>
              <w:top w:val="single" w:sz="4" w:space="0" w:color="auto"/>
              <w:left w:val="nil"/>
              <w:bottom w:val="single" w:sz="4" w:space="0" w:color="auto"/>
              <w:right w:val="nil"/>
            </w:tcBorders>
            <w:shd w:val="clear" w:color="auto" w:fill="auto"/>
            <w:noWrap/>
            <w:vAlign w:val="center"/>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NSW</w:t>
            </w:r>
          </w:p>
        </w:tc>
        <w:tc>
          <w:tcPr>
            <w:tcW w:w="660" w:type="dxa"/>
            <w:tcBorders>
              <w:top w:val="single" w:sz="4" w:space="0" w:color="auto"/>
              <w:left w:val="nil"/>
              <w:bottom w:val="single" w:sz="4" w:space="0" w:color="auto"/>
              <w:right w:val="nil"/>
            </w:tcBorders>
            <w:shd w:val="clear" w:color="auto" w:fill="auto"/>
            <w:noWrap/>
            <w:vAlign w:val="center"/>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Vic</w:t>
            </w:r>
          </w:p>
        </w:tc>
        <w:tc>
          <w:tcPr>
            <w:tcW w:w="660" w:type="dxa"/>
            <w:tcBorders>
              <w:top w:val="single" w:sz="4" w:space="0" w:color="auto"/>
              <w:left w:val="nil"/>
              <w:bottom w:val="single" w:sz="4" w:space="0" w:color="auto"/>
              <w:right w:val="nil"/>
            </w:tcBorders>
            <w:shd w:val="clear" w:color="auto" w:fill="auto"/>
            <w:noWrap/>
            <w:vAlign w:val="center"/>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Qld</w:t>
            </w:r>
          </w:p>
        </w:tc>
        <w:tc>
          <w:tcPr>
            <w:tcW w:w="660" w:type="dxa"/>
            <w:tcBorders>
              <w:top w:val="single" w:sz="4" w:space="0" w:color="auto"/>
              <w:left w:val="nil"/>
              <w:bottom w:val="single" w:sz="4" w:space="0" w:color="auto"/>
              <w:right w:val="nil"/>
            </w:tcBorders>
            <w:shd w:val="clear" w:color="auto" w:fill="auto"/>
            <w:noWrap/>
            <w:vAlign w:val="center"/>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WA</w:t>
            </w:r>
          </w:p>
        </w:tc>
        <w:tc>
          <w:tcPr>
            <w:tcW w:w="660" w:type="dxa"/>
            <w:tcBorders>
              <w:top w:val="single" w:sz="4" w:space="0" w:color="auto"/>
              <w:left w:val="nil"/>
              <w:bottom w:val="single" w:sz="4" w:space="0" w:color="auto"/>
              <w:right w:val="nil"/>
            </w:tcBorders>
            <w:shd w:val="clear" w:color="auto" w:fill="auto"/>
            <w:noWrap/>
            <w:vAlign w:val="center"/>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SA</w:t>
            </w:r>
          </w:p>
        </w:tc>
        <w:tc>
          <w:tcPr>
            <w:tcW w:w="660" w:type="dxa"/>
            <w:tcBorders>
              <w:top w:val="single" w:sz="4" w:space="0" w:color="auto"/>
              <w:left w:val="nil"/>
              <w:bottom w:val="single" w:sz="4" w:space="0" w:color="auto"/>
              <w:right w:val="nil"/>
            </w:tcBorders>
            <w:shd w:val="clear" w:color="auto" w:fill="auto"/>
            <w:noWrap/>
            <w:vAlign w:val="center"/>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040ABB">
              <w:rPr>
                <w:rFonts w:ascii="Calibri" w:eastAsia="Times New Roman" w:hAnsi="Calibri" w:cs="Times New Roman"/>
                <w:sz w:val="20"/>
                <w:szCs w:val="20"/>
                <w:lang w:eastAsia="en-AU"/>
              </w:rPr>
              <w:t>Tas</w:t>
            </w:r>
            <w:proofErr w:type="spellEnd"/>
          </w:p>
        </w:tc>
        <w:tc>
          <w:tcPr>
            <w:tcW w:w="660" w:type="dxa"/>
            <w:tcBorders>
              <w:top w:val="single" w:sz="4" w:space="0" w:color="auto"/>
              <w:left w:val="nil"/>
              <w:bottom w:val="single" w:sz="4" w:space="0" w:color="auto"/>
              <w:right w:val="nil"/>
            </w:tcBorders>
            <w:shd w:val="clear" w:color="auto" w:fill="auto"/>
            <w:noWrap/>
            <w:vAlign w:val="center"/>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ACT</w:t>
            </w:r>
          </w:p>
        </w:tc>
        <w:tc>
          <w:tcPr>
            <w:tcW w:w="660" w:type="dxa"/>
            <w:tcBorders>
              <w:top w:val="single" w:sz="4" w:space="0" w:color="auto"/>
              <w:left w:val="nil"/>
              <w:bottom w:val="single" w:sz="4" w:space="0" w:color="auto"/>
              <w:right w:val="nil"/>
            </w:tcBorders>
            <w:shd w:val="clear" w:color="auto" w:fill="auto"/>
            <w:noWrap/>
            <w:vAlign w:val="center"/>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NT</w:t>
            </w:r>
          </w:p>
        </w:tc>
        <w:tc>
          <w:tcPr>
            <w:tcW w:w="660" w:type="dxa"/>
            <w:tcBorders>
              <w:top w:val="single" w:sz="4" w:space="0" w:color="auto"/>
              <w:left w:val="nil"/>
              <w:bottom w:val="single" w:sz="4" w:space="0" w:color="auto"/>
              <w:right w:val="nil"/>
            </w:tcBorders>
            <w:shd w:val="clear" w:color="auto" w:fill="auto"/>
            <w:noWrap/>
            <w:vAlign w:val="center"/>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040ABB">
              <w:rPr>
                <w:rFonts w:ascii="Calibri" w:eastAsia="Times New Roman" w:hAnsi="Calibri" w:cs="Times New Roman"/>
                <w:sz w:val="20"/>
                <w:szCs w:val="20"/>
                <w:lang w:eastAsia="en-AU"/>
              </w:rPr>
              <w:t>Redist</w:t>
            </w:r>
            <w:proofErr w:type="spellEnd"/>
          </w:p>
        </w:tc>
      </w:tr>
      <w:tr w:rsidR="00E62B1C" w:rsidRPr="00040ABB" w:rsidTr="00E62B1C">
        <w:trPr>
          <w:trHeight w:val="255"/>
        </w:trPr>
        <w:tc>
          <w:tcPr>
            <w:tcW w:w="300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rPr>
                <w:rFonts w:ascii="Calibri" w:eastAsia="Times New Roman" w:hAnsi="Calibri" w:cs="Times New Roman"/>
                <w:sz w:val="20"/>
                <w:szCs w:val="20"/>
                <w:lang w:eastAsia="en-AU"/>
              </w:rPr>
            </w:pP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$m</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$m</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$m</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$m</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$m</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$m</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$m</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$m</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$m</w:t>
            </w:r>
          </w:p>
        </w:tc>
      </w:tr>
      <w:tr w:rsidR="00E62B1C" w:rsidRPr="00040ABB" w:rsidTr="00E62B1C">
        <w:trPr>
          <w:trHeight w:val="315"/>
        </w:trPr>
        <w:tc>
          <w:tcPr>
            <w:tcW w:w="300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Aggregate administrative scale</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-448</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-305</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-174</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57</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118</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219</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252</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281</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928</w:t>
            </w:r>
          </w:p>
        </w:tc>
      </w:tr>
      <w:tr w:rsidR="00E62B1C" w:rsidRPr="00040ABB" w:rsidTr="00E62B1C">
        <w:trPr>
          <w:trHeight w:val="315"/>
        </w:trPr>
        <w:tc>
          <w:tcPr>
            <w:tcW w:w="300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Natural disaster relief</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-84</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-151</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273</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-7</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-28</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7</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-6</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-5</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280</w:t>
            </w:r>
          </w:p>
        </w:tc>
      </w:tr>
      <w:tr w:rsidR="00E62B1C" w:rsidRPr="00040ABB" w:rsidTr="00E62B1C">
        <w:trPr>
          <w:trHeight w:val="315"/>
        </w:trPr>
        <w:tc>
          <w:tcPr>
            <w:tcW w:w="300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Native title and land rights</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-55</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-43</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9</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60</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3</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-4</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-3</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34</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106</w:t>
            </w:r>
          </w:p>
        </w:tc>
      </w:tr>
      <w:tr w:rsidR="00E62B1C" w:rsidRPr="00040ABB" w:rsidTr="00E62B1C">
        <w:trPr>
          <w:trHeight w:val="315"/>
        </w:trPr>
        <w:tc>
          <w:tcPr>
            <w:tcW w:w="300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National capital</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-8</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-6</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-5</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-3</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-2</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-1</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24</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0</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24</w:t>
            </w:r>
          </w:p>
        </w:tc>
      </w:tr>
      <w:tr w:rsidR="00E62B1C" w:rsidRPr="00040ABB" w:rsidTr="00E62B1C">
        <w:trPr>
          <w:trHeight w:val="315"/>
        </w:trPr>
        <w:tc>
          <w:tcPr>
            <w:tcW w:w="300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Regional costs</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-49</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-56</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37</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17</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8</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17</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-7</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33</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111</w:t>
            </w:r>
          </w:p>
        </w:tc>
      </w:tr>
      <w:tr w:rsidR="00E62B1C" w:rsidRPr="00040ABB" w:rsidTr="00E62B1C">
        <w:trPr>
          <w:trHeight w:val="315"/>
        </w:trPr>
        <w:tc>
          <w:tcPr>
            <w:tcW w:w="300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Location adjustment</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-10</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-7</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-6</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91</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-2</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-41</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41</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-67</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132</w:t>
            </w:r>
          </w:p>
        </w:tc>
      </w:tr>
      <w:tr w:rsidR="00E62B1C" w:rsidRPr="00040ABB" w:rsidTr="00E62B1C">
        <w:trPr>
          <w:trHeight w:val="315"/>
        </w:trPr>
        <w:tc>
          <w:tcPr>
            <w:tcW w:w="300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Wages</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6</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-15</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-9</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27</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-9</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-7</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4</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3</w:t>
            </w:r>
          </w:p>
        </w:tc>
        <w:tc>
          <w:tcPr>
            <w:tcW w:w="660" w:type="dxa"/>
            <w:tcBorders>
              <w:top w:val="nil"/>
              <w:left w:val="nil"/>
              <w:bottom w:val="nil"/>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40</w:t>
            </w:r>
          </w:p>
        </w:tc>
      </w:tr>
      <w:tr w:rsidR="00E62B1C" w:rsidRPr="00040ABB" w:rsidTr="00E62B1C">
        <w:trPr>
          <w:trHeight w:val="315"/>
        </w:trPr>
        <w:tc>
          <w:tcPr>
            <w:tcW w:w="3000" w:type="dxa"/>
            <w:tcBorders>
              <w:top w:val="nil"/>
              <w:left w:val="nil"/>
              <w:bottom w:val="single" w:sz="4" w:space="0" w:color="auto"/>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Total</w:t>
            </w:r>
          </w:p>
        </w:tc>
        <w:tc>
          <w:tcPr>
            <w:tcW w:w="660" w:type="dxa"/>
            <w:tcBorders>
              <w:top w:val="single" w:sz="4" w:space="0" w:color="auto"/>
              <w:left w:val="nil"/>
              <w:bottom w:val="single" w:sz="4" w:space="0" w:color="auto"/>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-653</w:t>
            </w:r>
          </w:p>
        </w:tc>
        <w:tc>
          <w:tcPr>
            <w:tcW w:w="660" w:type="dxa"/>
            <w:tcBorders>
              <w:top w:val="single" w:sz="4" w:space="0" w:color="auto"/>
              <w:left w:val="nil"/>
              <w:bottom w:val="single" w:sz="4" w:space="0" w:color="auto"/>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-571</w:t>
            </w:r>
          </w:p>
        </w:tc>
        <w:tc>
          <w:tcPr>
            <w:tcW w:w="660" w:type="dxa"/>
            <w:tcBorders>
              <w:top w:val="single" w:sz="4" w:space="0" w:color="auto"/>
              <w:left w:val="nil"/>
              <w:bottom w:val="single" w:sz="4" w:space="0" w:color="auto"/>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123</w:t>
            </w:r>
          </w:p>
        </w:tc>
        <w:tc>
          <w:tcPr>
            <w:tcW w:w="660" w:type="dxa"/>
            <w:tcBorders>
              <w:top w:val="single" w:sz="4" w:space="0" w:color="auto"/>
              <w:left w:val="nil"/>
              <w:bottom w:val="single" w:sz="4" w:space="0" w:color="auto"/>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239</w:t>
            </w:r>
          </w:p>
        </w:tc>
        <w:tc>
          <w:tcPr>
            <w:tcW w:w="660" w:type="dxa"/>
            <w:tcBorders>
              <w:top w:val="single" w:sz="4" w:space="0" w:color="auto"/>
              <w:left w:val="nil"/>
              <w:bottom w:val="single" w:sz="4" w:space="0" w:color="auto"/>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84</w:t>
            </w:r>
          </w:p>
        </w:tc>
        <w:tc>
          <w:tcPr>
            <w:tcW w:w="660" w:type="dxa"/>
            <w:tcBorders>
              <w:top w:val="single" w:sz="4" w:space="0" w:color="auto"/>
              <w:left w:val="nil"/>
              <w:bottom w:val="single" w:sz="4" w:space="0" w:color="auto"/>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188</w:t>
            </w:r>
          </w:p>
        </w:tc>
        <w:tc>
          <w:tcPr>
            <w:tcW w:w="660" w:type="dxa"/>
            <w:tcBorders>
              <w:top w:val="single" w:sz="4" w:space="0" w:color="auto"/>
              <w:left w:val="nil"/>
              <w:bottom w:val="single" w:sz="4" w:space="0" w:color="auto"/>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310</w:t>
            </w:r>
          </w:p>
        </w:tc>
        <w:tc>
          <w:tcPr>
            <w:tcW w:w="660" w:type="dxa"/>
            <w:tcBorders>
              <w:top w:val="single" w:sz="4" w:space="0" w:color="auto"/>
              <w:left w:val="nil"/>
              <w:bottom w:val="single" w:sz="4" w:space="0" w:color="auto"/>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280</w:t>
            </w:r>
          </w:p>
        </w:tc>
        <w:tc>
          <w:tcPr>
            <w:tcW w:w="660" w:type="dxa"/>
            <w:tcBorders>
              <w:top w:val="single" w:sz="4" w:space="0" w:color="auto"/>
              <w:left w:val="nil"/>
              <w:bottom w:val="single" w:sz="4" w:space="0" w:color="auto"/>
              <w:right w:val="nil"/>
            </w:tcBorders>
            <w:shd w:val="clear" w:color="auto" w:fill="auto"/>
            <w:noWrap/>
            <w:vAlign w:val="bottom"/>
            <w:hideMark/>
          </w:tcPr>
          <w:p w:rsidR="00E62B1C" w:rsidRPr="00040ABB" w:rsidRDefault="00E62B1C" w:rsidP="00A4556F">
            <w:pPr>
              <w:keepNext/>
              <w:keepLines/>
              <w:tabs>
                <w:tab w:val="clear" w:pos="567"/>
              </w:tabs>
              <w:spacing w:after="0" w:line="240" w:lineRule="auto"/>
              <w:jc w:val="right"/>
              <w:rPr>
                <w:rFonts w:ascii="Calibri" w:eastAsia="Times New Roman" w:hAnsi="Calibri" w:cs="Times New Roman"/>
                <w:sz w:val="20"/>
                <w:szCs w:val="20"/>
                <w:lang w:eastAsia="en-AU"/>
              </w:rPr>
            </w:pPr>
            <w:r w:rsidRPr="00040ABB">
              <w:rPr>
                <w:rFonts w:ascii="Calibri" w:eastAsia="Times New Roman" w:hAnsi="Calibri" w:cs="Times New Roman"/>
                <w:sz w:val="20"/>
                <w:szCs w:val="20"/>
                <w:lang w:eastAsia="en-AU"/>
              </w:rPr>
              <w:t>1 224</w:t>
            </w:r>
          </w:p>
        </w:tc>
      </w:tr>
    </w:tbl>
    <w:p w:rsidR="00972126" w:rsidRPr="00054FA3" w:rsidRDefault="00E62B1C" w:rsidP="00A4556F">
      <w:pPr>
        <w:pStyle w:val="CGCTableFootnote"/>
        <w:keepNext/>
        <w:keepLines/>
      </w:pPr>
      <w:r w:rsidRPr="00054FA3">
        <w:t>Source:</w:t>
      </w:r>
      <w:r w:rsidRPr="00054FA3">
        <w:tab/>
        <w:t>Commission calculation, 2018 Update.</w:t>
      </w:r>
    </w:p>
    <w:p w:rsidR="00F83306" w:rsidRPr="005C1BDA" w:rsidRDefault="005C1BDA" w:rsidP="005C1BDA">
      <w:pPr>
        <w:pStyle w:val="Heading3"/>
      </w:pPr>
      <w:bookmarkStart w:id="32" w:name="_Toc510091840"/>
      <w:bookmarkStart w:id="33" w:name="_Toc510795487"/>
      <w:bookmarkStart w:id="34" w:name="_Toc511394439"/>
      <w:r w:rsidRPr="00054FA3">
        <w:t>Issues and analysis</w:t>
      </w:r>
      <w:bookmarkEnd w:id="32"/>
      <w:bookmarkEnd w:id="33"/>
      <w:bookmarkEnd w:id="34"/>
    </w:p>
    <w:p w:rsidR="00045D82" w:rsidRDefault="006F0BF8" w:rsidP="00045D82">
      <w:pPr>
        <w:pStyle w:val="CGCNumberedPara"/>
      </w:pPr>
      <w:r>
        <w:t>S</w:t>
      </w:r>
      <w:r w:rsidR="00B47FC0">
        <w:t>taff consider that assessments for much of the Other expenses category will be similar to the previous review. The main issues to be considered are:</w:t>
      </w:r>
    </w:p>
    <w:p w:rsidR="00B47FC0" w:rsidRDefault="003B085A" w:rsidP="00B47FC0">
      <w:pPr>
        <w:pStyle w:val="CGCBulletlist"/>
      </w:pPr>
      <w:r>
        <w:t>whether natural disaster relief expenses are sufficiently comparable to warrant an APC assessment</w:t>
      </w:r>
    </w:p>
    <w:p w:rsidR="00B04124" w:rsidRDefault="00B04124" w:rsidP="00B47FC0">
      <w:pPr>
        <w:pStyle w:val="CGCBulletlist"/>
      </w:pPr>
      <w:r>
        <w:t>how to treat natural disaster mitigation spending</w:t>
      </w:r>
    </w:p>
    <w:p w:rsidR="0082619F" w:rsidRDefault="00B47FC0" w:rsidP="00B47FC0">
      <w:pPr>
        <w:pStyle w:val="CGCBulletlist"/>
      </w:pPr>
      <w:r>
        <w:t>whether to continue assessing capital grants to local governments</w:t>
      </w:r>
    </w:p>
    <w:p w:rsidR="00B47FC0" w:rsidRDefault="0082619F" w:rsidP="00B47FC0">
      <w:pPr>
        <w:pStyle w:val="CGCBulletlist"/>
      </w:pPr>
      <w:r>
        <w:t>whether to assess expenses for national parks and wildlife services</w:t>
      </w:r>
      <w:r w:rsidR="00B47FC0">
        <w:t>.</w:t>
      </w:r>
    </w:p>
    <w:p w:rsidR="00B47FC0" w:rsidRDefault="00B47FC0" w:rsidP="00B47FC0">
      <w:pPr>
        <w:pStyle w:val="CGCNumberedPara"/>
      </w:pPr>
      <w:r>
        <w:t>Assessment issues for</w:t>
      </w:r>
      <w:r w:rsidR="00394222">
        <w:t xml:space="preserve"> the other assessment component</w:t>
      </w:r>
      <w:r w:rsidR="00722682">
        <w:t>s</w:t>
      </w:r>
      <w:r>
        <w:t xml:space="preserve"> are discussed in their respective </w:t>
      </w:r>
      <w:r w:rsidR="002B150A">
        <w:t xml:space="preserve">draft assessment </w:t>
      </w:r>
      <w:r w:rsidR="00FF4688">
        <w:t>papers</w:t>
      </w:r>
      <w:r>
        <w:t>.</w:t>
      </w:r>
    </w:p>
    <w:p w:rsidR="00F501A9" w:rsidRDefault="00FF4688" w:rsidP="0052379E">
      <w:pPr>
        <w:pStyle w:val="Heading4"/>
        <w:tabs>
          <w:tab w:val="left" w:pos="4125"/>
        </w:tabs>
      </w:pPr>
      <w:bookmarkStart w:id="35" w:name="_Toc510091841"/>
      <w:bookmarkStart w:id="36" w:name="_Toc510795488"/>
      <w:bookmarkStart w:id="37" w:name="_Toc511394440"/>
      <w:r>
        <w:t>N</w:t>
      </w:r>
      <w:r w:rsidR="00F501A9">
        <w:t>atural disaster</w:t>
      </w:r>
      <w:r>
        <w:t xml:space="preserve"> </w:t>
      </w:r>
      <w:bookmarkEnd w:id="35"/>
      <w:r w:rsidR="002B150A">
        <w:t>relief</w:t>
      </w:r>
      <w:bookmarkEnd w:id="36"/>
      <w:bookmarkEnd w:id="37"/>
    </w:p>
    <w:p w:rsidR="00054FA3" w:rsidRPr="00054FA3" w:rsidRDefault="00054FA3" w:rsidP="00054FA3">
      <w:pPr>
        <w:pStyle w:val="CGCNumberedPara"/>
      </w:pPr>
      <w:r>
        <w:t>Total n</w:t>
      </w:r>
      <w:r w:rsidRPr="00054FA3">
        <w:t>et natural disaster relief expenses und</w:t>
      </w:r>
      <w:r>
        <w:t xml:space="preserve">er the </w:t>
      </w:r>
      <w:proofErr w:type="spellStart"/>
      <w:r>
        <w:t>NDRRA</w:t>
      </w:r>
      <w:proofErr w:type="spellEnd"/>
      <w:r>
        <w:t xml:space="preserve"> framework were $483</w:t>
      </w:r>
      <w:r w:rsidR="00F85E11">
        <w:t> </w:t>
      </w:r>
      <w:r>
        <w:t>million</w:t>
      </w:r>
      <w:r w:rsidR="00F85E11">
        <w:t xml:space="preserve"> in 2016-17</w:t>
      </w:r>
      <w:r w:rsidRPr="00054FA3">
        <w:t>.</w:t>
      </w:r>
      <w:r w:rsidR="00264C2B">
        <w:rPr>
          <w:rStyle w:val="FootnoteReference"/>
        </w:rPr>
        <w:footnoteReference w:id="1"/>
      </w:r>
      <w:r w:rsidRPr="00054FA3">
        <w:t xml:space="preserve"> These expenses tend to be very</w:t>
      </w:r>
      <w:r>
        <w:t xml:space="preserve"> volatile. For example, in 2013-</w:t>
      </w:r>
      <w:r w:rsidRPr="00054FA3">
        <w:t>14 natural disaster</w:t>
      </w:r>
      <w:r w:rsidR="002F063A">
        <w:t xml:space="preserve"> relief</w:t>
      </w:r>
      <w:r w:rsidRPr="00054FA3">
        <w:t xml:space="preserve"> expenses were $1.7 billion.</w:t>
      </w:r>
    </w:p>
    <w:p w:rsidR="006576DF" w:rsidRDefault="006576DF" w:rsidP="006576DF">
      <w:pPr>
        <w:pStyle w:val="CGCNumberedPara"/>
      </w:pPr>
      <w:r>
        <w:t xml:space="preserve">The current methodology assesses States’ net expenses for natural disaster relief under the </w:t>
      </w:r>
      <w:proofErr w:type="spellStart"/>
      <w:r>
        <w:t>NDRRA</w:t>
      </w:r>
      <w:proofErr w:type="spellEnd"/>
      <w:r w:rsidR="002B150A">
        <w:t xml:space="preserve"> </w:t>
      </w:r>
      <w:r>
        <w:t xml:space="preserve">framework on an </w:t>
      </w:r>
      <w:r w:rsidR="00394222">
        <w:t>APC</w:t>
      </w:r>
      <w:r>
        <w:t xml:space="preserve"> basis because the Commission considers that differences between the States under the framework are not subject to significant policy influences.</w:t>
      </w:r>
    </w:p>
    <w:p w:rsidR="00F507E5" w:rsidRDefault="006576DF" w:rsidP="00870E8A">
      <w:pPr>
        <w:pStyle w:val="CGCNumberedPara"/>
      </w:pPr>
      <w:r>
        <w:t xml:space="preserve">A new agreement, the </w:t>
      </w:r>
      <w:proofErr w:type="spellStart"/>
      <w:r w:rsidRPr="006A3FBB">
        <w:rPr>
          <w:i/>
        </w:rPr>
        <w:t>NDRRA</w:t>
      </w:r>
      <w:proofErr w:type="spellEnd"/>
      <w:r w:rsidRPr="006A3FBB">
        <w:rPr>
          <w:i/>
        </w:rPr>
        <w:t xml:space="preserve"> Determination 2017</w:t>
      </w:r>
      <w:r w:rsidR="003342CF">
        <w:t>,</w:t>
      </w:r>
      <w:r>
        <w:t xml:space="preserve"> applies from 1 July 2017 and replaces the </w:t>
      </w:r>
      <w:proofErr w:type="spellStart"/>
      <w:r w:rsidRPr="006A3FBB">
        <w:rPr>
          <w:i/>
        </w:rPr>
        <w:t>NDRRA</w:t>
      </w:r>
      <w:proofErr w:type="spellEnd"/>
      <w:r w:rsidRPr="006A3FBB">
        <w:rPr>
          <w:i/>
        </w:rPr>
        <w:t xml:space="preserve"> Determination 2012 (version 2)</w:t>
      </w:r>
      <w:r>
        <w:t>.</w:t>
      </w:r>
      <w:r w:rsidR="00FB62CC">
        <w:rPr>
          <w:rStyle w:val="FootnoteReference"/>
        </w:rPr>
        <w:footnoteReference w:id="2"/>
      </w:r>
      <w:r>
        <w:t xml:space="preserve"> </w:t>
      </w:r>
      <w:r w:rsidR="00BA397E">
        <w:t xml:space="preserve">The new determination </w:t>
      </w:r>
      <w:r w:rsidR="001A7186">
        <w:t>will affect</w:t>
      </w:r>
      <w:r w:rsidR="00BA397E">
        <w:t xml:space="preserve"> assessments for the 2019 Update and beyond. </w:t>
      </w:r>
      <w:r w:rsidR="000B79B4">
        <w:t>T</w:t>
      </w:r>
      <w:r w:rsidR="00870E8A">
        <w:t xml:space="preserve">here </w:t>
      </w:r>
      <w:r w:rsidR="000B79B4">
        <w:t>appear to be</w:t>
      </w:r>
      <w:r w:rsidR="008D62A5">
        <w:t xml:space="preserve"> </w:t>
      </w:r>
      <w:r w:rsidR="00870E8A">
        <w:t xml:space="preserve">no significant changes in the </w:t>
      </w:r>
      <w:proofErr w:type="spellStart"/>
      <w:r w:rsidR="00870E8A" w:rsidRPr="006A3FBB">
        <w:rPr>
          <w:i/>
        </w:rPr>
        <w:t>NDRRA</w:t>
      </w:r>
      <w:proofErr w:type="spellEnd"/>
      <w:r w:rsidR="00870E8A" w:rsidRPr="006A3FBB">
        <w:rPr>
          <w:i/>
        </w:rPr>
        <w:t xml:space="preserve"> Determination 2017</w:t>
      </w:r>
      <w:r w:rsidR="00870E8A">
        <w:t xml:space="preserve"> </w:t>
      </w:r>
      <w:r w:rsidR="0018373C">
        <w:t>that would preclude an APC assessment.</w:t>
      </w:r>
    </w:p>
    <w:p w:rsidR="00395701" w:rsidRDefault="00F507E5" w:rsidP="00727316">
      <w:pPr>
        <w:pStyle w:val="CGCNumberedPara"/>
      </w:pPr>
      <w:r>
        <w:t>Emergency Management Australia (</w:t>
      </w:r>
      <w:proofErr w:type="spellStart"/>
      <w:r>
        <w:t>EMA</w:t>
      </w:r>
      <w:proofErr w:type="spellEnd"/>
      <w:r>
        <w:t xml:space="preserve">) has been reviewing State </w:t>
      </w:r>
      <w:proofErr w:type="spellStart"/>
      <w:r>
        <w:t>NDRRA</w:t>
      </w:r>
      <w:proofErr w:type="spellEnd"/>
      <w:r>
        <w:t xml:space="preserve"> expenditure claims in the wake of an </w:t>
      </w:r>
      <w:r w:rsidRPr="007F3C24">
        <w:t xml:space="preserve">Australian National Audit Office </w:t>
      </w:r>
      <w:r w:rsidRPr="00DC21C5">
        <w:t>audit report</w:t>
      </w:r>
      <w:r>
        <w:t xml:space="preserve">. </w:t>
      </w:r>
      <w:proofErr w:type="spellStart"/>
      <w:r w:rsidR="00727316" w:rsidRPr="00727316">
        <w:t>EMA’s</w:t>
      </w:r>
      <w:proofErr w:type="spellEnd"/>
      <w:r w:rsidR="00727316" w:rsidRPr="00727316">
        <w:t xml:space="preserve"> assurance activities are complete for Queensland, South Australia, Tasmania and</w:t>
      </w:r>
      <w:r w:rsidR="00727316">
        <w:t xml:space="preserve"> the ACT,</w:t>
      </w:r>
      <w:r w:rsidR="00727316" w:rsidRPr="00727316">
        <w:t xml:space="preserve"> and ongoing for other States.</w:t>
      </w:r>
      <w:r w:rsidR="00727316">
        <w:t xml:space="preserve"> </w:t>
      </w:r>
      <w:r>
        <w:t xml:space="preserve">The assurance activities allow for greater confidence that States’ reported claims are comparable and eligible under the </w:t>
      </w:r>
      <w:proofErr w:type="spellStart"/>
      <w:r>
        <w:t>NDRRA</w:t>
      </w:r>
      <w:proofErr w:type="spellEnd"/>
      <w:r>
        <w:t xml:space="preserve"> framework. Additional clauses regarding States’ evi</w:t>
      </w:r>
      <w:r w:rsidR="001A7186">
        <w:t xml:space="preserve">dentiary requirements have </w:t>
      </w:r>
      <w:r>
        <w:t xml:space="preserve">been added to the </w:t>
      </w:r>
      <w:proofErr w:type="spellStart"/>
      <w:r w:rsidRPr="00727316">
        <w:rPr>
          <w:i/>
        </w:rPr>
        <w:t>NDRRA</w:t>
      </w:r>
      <w:proofErr w:type="spellEnd"/>
      <w:r w:rsidRPr="00727316">
        <w:rPr>
          <w:i/>
        </w:rPr>
        <w:t xml:space="preserve"> Determination 2017</w:t>
      </w:r>
      <w:r>
        <w:t xml:space="preserve"> to ensure ease of assurance processes and greater accountability going forward.</w:t>
      </w:r>
      <w:r w:rsidR="005B3FE0">
        <w:t xml:space="preserve"> </w:t>
      </w:r>
    </w:p>
    <w:p w:rsidR="00F501A9" w:rsidRDefault="00395701" w:rsidP="00870E8A">
      <w:pPr>
        <w:pStyle w:val="CGCNumberedPara"/>
      </w:pPr>
      <w:r>
        <w:t>Since this is an APC assessment, t</w:t>
      </w:r>
      <w:r w:rsidR="005B3FE0">
        <w:t xml:space="preserve">he Commission </w:t>
      </w:r>
      <w:r>
        <w:t xml:space="preserve">has measures in place to </w:t>
      </w:r>
      <w:r w:rsidR="002171CB">
        <w:t>ensure</w:t>
      </w:r>
      <w:r>
        <w:t xml:space="preserve"> State reported </w:t>
      </w:r>
      <w:proofErr w:type="spellStart"/>
      <w:r>
        <w:t>NDRRA</w:t>
      </w:r>
      <w:proofErr w:type="spellEnd"/>
      <w:r>
        <w:t xml:space="preserve"> expenditure and assistance data</w:t>
      </w:r>
      <w:r w:rsidR="002171CB">
        <w:t xml:space="preserve"> are accurate</w:t>
      </w:r>
      <w:r>
        <w:t xml:space="preserve">. </w:t>
      </w:r>
      <w:r w:rsidR="002171CB">
        <w:t>The Commission</w:t>
      </w:r>
      <w:r>
        <w:t xml:space="preserve"> collects data from </w:t>
      </w:r>
      <w:proofErr w:type="spellStart"/>
      <w:r w:rsidR="005B3FE0">
        <w:t>EMA</w:t>
      </w:r>
      <w:proofErr w:type="spellEnd"/>
      <w:r w:rsidR="005B3FE0">
        <w:t xml:space="preserve"> to validate State </w:t>
      </w:r>
      <w:r w:rsidR="008B49CE">
        <w:t>estimates,</w:t>
      </w:r>
      <w:r>
        <w:t xml:space="preserve"> although </w:t>
      </w:r>
      <w:proofErr w:type="spellStart"/>
      <w:r>
        <w:t>EMA</w:t>
      </w:r>
      <w:proofErr w:type="spellEnd"/>
      <w:r>
        <w:t xml:space="preserve"> data are not available until 12 months after the end of the reference period. The Commission also uses the </w:t>
      </w:r>
      <w:r w:rsidR="002171CB">
        <w:t>threshold</w:t>
      </w:r>
      <w:r w:rsidR="00021E13">
        <w:t>s</w:t>
      </w:r>
      <w:r w:rsidR="002171CB">
        <w:t xml:space="preserve"> and reimbursement </w:t>
      </w:r>
      <w:r w:rsidR="006F0BF8">
        <w:t xml:space="preserve">allowances </w:t>
      </w:r>
      <w:r>
        <w:t xml:space="preserve">in the determination to confirm </w:t>
      </w:r>
      <w:r w:rsidR="00021E13">
        <w:t xml:space="preserve">the accuracy of </w:t>
      </w:r>
      <w:r>
        <w:t xml:space="preserve">State reported </w:t>
      </w:r>
      <w:proofErr w:type="spellStart"/>
      <w:r>
        <w:t>NDRRA</w:t>
      </w:r>
      <w:proofErr w:type="spellEnd"/>
      <w:r>
        <w:t xml:space="preserve"> assistance estimates.</w:t>
      </w:r>
      <w:r w:rsidR="002171CB">
        <w:t xml:space="preserve"> In addition, any</w:t>
      </w:r>
      <w:r>
        <w:t xml:space="preserve"> material revisions to State data are</w:t>
      </w:r>
      <w:r w:rsidR="002171CB">
        <w:t xml:space="preserve"> immediately corrected to ensure the correct net expenses are included in the assessment for three inquiries.</w:t>
      </w:r>
      <w:r w:rsidR="005911D7">
        <w:rPr>
          <w:rStyle w:val="FootnoteReference"/>
        </w:rPr>
        <w:footnoteReference w:id="3"/>
      </w:r>
      <w:r w:rsidR="002B150A">
        <w:t xml:space="preserve"> </w:t>
      </w:r>
    </w:p>
    <w:p w:rsidR="00F02DCF" w:rsidRPr="00F42A3A" w:rsidRDefault="00514927" w:rsidP="00B51BC8">
      <w:pPr>
        <w:pStyle w:val="CGCNumberedPara"/>
        <w:numPr>
          <w:ilvl w:val="1"/>
          <w:numId w:val="3"/>
        </w:numPr>
      </w:pPr>
      <w:r>
        <w:t xml:space="preserve">Most States agree that the assessment of natural disaster relief expenses should be based on eligible </w:t>
      </w:r>
      <w:proofErr w:type="spellStart"/>
      <w:r>
        <w:t>NDRRA</w:t>
      </w:r>
      <w:proofErr w:type="spellEnd"/>
      <w:r>
        <w:t xml:space="preserve"> expenditure net of Commonwealth assistance. The ACT </w:t>
      </w:r>
      <w:r w:rsidR="00523422">
        <w:t xml:space="preserve">has </w:t>
      </w:r>
      <w:r>
        <w:t>said there are p</w:t>
      </w:r>
      <w:r w:rsidRPr="00F42A3A">
        <w:t xml:space="preserve">olicy differences between States in relation to insurance and natural disaster mitigation measures and expenses should be assessed on an equal per capita basis. </w:t>
      </w:r>
      <w:r w:rsidR="00F507E5">
        <w:t xml:space="preserve">Staff consider that the </w:t>
      </w:r>
      <w:proofErr w:type="spellStart"/>
      <w:r w:rsidR="00F507E5" w:rsidRPr="006A3FBB">
        <w:rPr>
          <w:i/>
        </w:rPr>
        <w:t>NDRRA</w:t>
      </w:r>
      <w:proofErr w:type="spellEnd"/>
      <w:r w:rsidR="00F507E5" w:rsidRPr="006A3FBB">
        <w:rPr>
          <w:i/>
        </w:rPr>
        <w:t xml:space="preserve"> Determination 2017</w:t>
      </w:r>
      <w:r w:rsidR="00F507E5">
        <w:t xml:space="preserve"> includes sufficient safeguards to prevent significantly different insurance and mitigation measures between States. </w:t>
      </w:r>
      <w:r w:rsidRPr="00F42A3A">
        <w:t>These issues are addressed below.</w:t>
      </w:r>
    </w:p>
    <w:p w:rsidR="00514927" w:rsidRDefault="00514927" w:rsidP="006A3FBB">
      <w:pPr>
        <w:pStyle w:val="Heading5"/>
        <w:tabs>
          <w:tab w:val="left" w:pos="3345"/>
        </w:tabs>
      </w:pPr>
      <w:r>
        <w:t>Insurance</w:t>
      </w:r>
    </w:p>
    <w:p w:rsidR="00514927" w:rsidRDefault="00B51BC8" w:rsidP="00514927">
      <w:pPr>
        <w:pStyle w:val="CGCNumberedPara"/>
        <w:numPr>
          <w:ilvl w:val="1"/>
          <w:numId w:val="3"/>
        </w:numPr>
      </w:pPr>
      <w:r>
        <w:t xml:space="preserve">The Commission investigated policy differences between States in relation to insurance in the 2013 Update. It </w:t>
      </w:r>
      <w:r w:rsidR="005911D7">
        <w:t>observed</w:t>
      </w:r>
      <w:r>
        <w:t xml:space="preserve"> there </w:t>
      </w:r>
      <w:r w:rsidR="005911D7">
        <w:t>were</w:t>
      </w:r>
      <w:r>
        <w:t xml:space="preserve"> policy differences, and that Tasmania and the Northern Territory did not have adequate insurance coverage.</w:t>
      </w:r>
      <w:r>
        <w:rPr>
          <w:rStyle w:val="FootnoteReference"/>
        </w:rPr>
        <w:footnoteReference w:id="4"/>
      </w:r>
      <w:r>
        <w:t xml:space="preserve"> The Commission </w:t>
      </w:r>
      <w:r w:rsidR="00514927">
        <w:t>concluded there was no way to reliably</w:t>
      </w:r>
      <w:r>
        <w:t xml:space="preserve"> </w:t>
      </w:r>
      <w:r w:rsidR="00021E13">
        <w:t xml:space="preserve">estimate </w:t>
      </w:r>
      <w:r>
        <w:t>an adjustment</w:t>
      </w:r>
      <w:r w:rsidR="00AA4C75">
        <w:t xml:space="preserve"> to the data for Tasmania and the Northern Territory</w:t>
      </w:r>
      <w:r w:rsidR="00021E13">
        <w:t xml:space="preserve"> to address these policy differences</w:t>
      </w:r>
      <w:r w:rsidR="00514927">
        <w:t>. Furthermore, the impact of making the adjustment was unlikely to be material.</w:t>
      </w:r>
      <w:r w:rsidR="00514927">
        <w:rPr>
          <w:rStyle w:val="FootnoteReference"/>
        </w:rPr>
        <w:footnoteReference w:id="5"/>
      </w:r>
      <w:r w:rsidR="00514927">
        <w:t xml:space="preserve"> </w:t>
      </w:r>
    </w:p>
    <w:p w:rsidR="00783A1D" w:rsidRDefault="00783A1D" w:rsidP="00783A1D">
      <w:pPr>
        <w:pStyle w:val="CGCNumberedPara"/>
        <w:numPr>
          <w:ilvl w:val="1"/>
          <w:numId w:val="3"/>
        </w:numPr>
      </w:pPr>
      <w:r>
        <w:t xml:space="preserve">A </w:t>
      </w:r>
      <w:r w:rsidR="00AA4C75">
        <w:t xml:space="preserve">2014 </w:t>
      </w:r>
      <w:r>
        <w:t>Productivity Commission inquiry found that State and local governments generally had adequate insurance arrangements for most of their non</w:t>
      </w:r>
      <w:r>
        <w:noBreakHyphen/>
        <w:t>road assets.</w:t>
      </w:r>
      <w:r>
        <w:rPr>
          <w:rStyle w:val="FootnoteReference"/>
        </w:rPr>
        <w:footnoteReference w:id="6"/>
      </w:r>
      <w:r>
        <w:t xml:space="preserve"> However, the inquiry also found that funding under the </w:t>
      </w:r>
      <w:proofErr w:type="spellStart"/>
      <w:r>
        <w:t>NDRRA</w:t>
      </w:r>
      <w:proofErr w:type="spellEnd"/>
      <w:r>
        <w:t xml:space="preserve"> and elsewhere likely reduces States’ incentives to obtain adequate insurance.</w:t>
      </w:r>
      <w:r>
        <w:rPr>
          <w:rStyle w:val="FootnoteReference"/>
        </w:rPr>
        <w:footnoteReference w:id="7"/>
      </w:r>
      <w:r w:rsidR="000E1F39">
        <w:t xml:space="preserve"> </w:t>
      </w:r>
    </w:p>
    <w:p w:rsidR="00F158A4" w:rsidRDefault="00021E13" w:rsidP="00F13C25">
      <w:pPr>
        <w:pStyle w:val="CGCNumberedPara"/>
      </w:pPr>
      <w:r>
        <w:t>Recognising the incentive</w:t>
      </w:r>
      <w:r w:rsidR="002D3A23">
        <w:t>s</w:t>
      </w:r>
      <w:r>
        <w:t xml:space="preserve"> for States to under-insure, s</w:t>
      </w:r>
      <w:r w:rsidR="00DC68D4" w:rsidRPr="00DC68D4">
        <w:t xml:space="preserve">ection 4.5 of the </w:t>
      </w:r>
      <w:r>
        <w:t xml:space="preserve">latest </w:t>
      </w:r>
      <w:proofErr w:type="spellStart"/>
      <w:r w:rsidR="00B471B4" w:rsidRPr="00021E13">
        <w:t>NDRRA</w:t>
      </w:r>
      <w:proofErr w:type="spellEnd"/>
      <w:r w:rsidR="00025D70" w:rsidRPr="00021E13">
        <w:t xml:space="preserve"> </w:t>
      </w:r>
      <w:r w:rsidRPr="00021E13">
        <w:t>d</w:t>
      </w:r>
      <w:r w:rsidR="00025D70" w:rsidRPr="00021E13">
        <w:t>etermination</w:t>
      </w:r>
      <w:r w:rsidR="002B150A">
        <w:t xml:space="preserve"> </w:t>
      </w:r>
      <w:r w:rsidR="00B471B4">
        <w:t>requires S</w:t>
      </w:r>
      <w:r w:rsidR="00DC68D4" w:rsidRPr="00DC68D4">
        <w:t>tates to have adequate capital or access to capital to fund liabilities or infrastructure losses,</w:t>
      </w:r>
      <w:r w:rsidR="00B471B4">
        <w:t xml:space="preserve"> which may include via commercial insurance/re</w:t>
      </w:r>
      <w:r w:rsidR="00A97E60">
        <w:noBreakHyphen/>
      </w:r>
      <w:r w:rsidR="00B471B4">
        <w:t xml:space="preserve">insurance, prior to being granted access to Commonwealth </w:t>
      </w:r>
      <w:r w:rsidR="00AA4C75">
        <w:t>assistance</w:t>
      </w:r>
      <w:r w:rsidR="00B471B4">
        <w:t xml:space="preserve">. States are also required </w:t>
      </w:r>
      <w:r w:rsidR="00DC68D4" w:rsidRPr="00DC68D4">
        <w:t>to proactively explore a range of insurance options in the market place and assess available options on a cost benefit basis.</w:t>
      </w:r>
      <w:r w:rsidR="00DC68D4">
        <w:rPr>
          <w:rStyle w:val="FootnoteReference"/>
        </w:rPr>
        <w:footnoteReference w:id="8"/>
      </w:r>
      <w:r w:rsidR="0018373C">
        <w:t xml:space="preserve"> </w:t>
      </w:r>
    </w:p>
    <w:p w:rsidR="00DC68D4" w:rsidRDefault="00F507E5" w:rsidP="00F13C25">
      <w:pPr>
        <w:pStyle w:val="CGCNumberedPara"/>
      </w:pPr>
      <w:r>
        <w:t>Staff consider</w:t>
      </w:r>
      <w:r w:rsidR="00B51BC8">
        <w:t xml:space="preserve"> </w:t>
      </w:r>
      <w:r w:rsidR="00F70CFC">
        <w:t xml:space="preserve">that </w:t>
      </w:r>
      <w:r w:rsidR="00AA4C75">
        <w:t xml:space="preserve">despite </w:t>
      </w:r>
      <w:r w:rsidR="00F70CFC">
        <w:t>some policy differences in the level of insurance coverage between States</w:t>
      </w:r>
      <w:r w:rsidR="002F7C33">
        <w:t>,</w:t>
      </w:r>
      <w:r w:rsidR="00F70CFC">
        <w:t xml:space="preserve"> the Commonwealth </w:t>
      </w:r>
      <w:r w:rsidR="00F158A4">
        <w:t>requires</w:t>
      </w:r>
      <w:r w:rsidR="000E1F39">
        <w:t xml:space="preserve"> State governments to have adequate arrangements in place to be eligible</w:t>
      </w:r>
      <w:r w:rsidR="00F70CFC">
        <w:t xml:space="preserve"> </w:t>
      </w:r>
      <w:r w:rsidR="000E1F39">
        <w:t xml:space="preserve">for Commonwealth </w:t>
      </w:r>
      <w:proofErr w:type="spellStart"/>
      <w:r w:rsidR="000E1F39">
        <w:t>NDRRA</w:t>
      </w:r>
      <w:proofErr w:type="spellEnd"/>
      <w:r w:rsidR="000E1F39">
        <w:t xml:space="preserve"> assistance. The Commonwealth is best placed to decide if State arrangements are sufficient to satisfy the requirements of the </w:t>
      </w:r>
      <w:r w:rsidR="00F158A4">
        <w:t>d</w:t>
      </w:r>
      <w:r w:rsidR="000E1F39">
        <w:t>etermination</w:t>
      </w:r>
      <w:r w:rsidR="00F70CFC">
        <w:t xml:space="preserve"> and to receive Commonwealth assistance</w:t>
      </w:r>
      <w:r w:rsidR="00F158A4">
        <w:t>.</w:t>
      </w:r>
      <w:r w:rsidR="00F70CFC">
        <w:t xml:space="preserve"> Given the common framework applied by the Commonwealth</w:t>
      </w:r>
      <w:r w:rsidR="005911D7">
        <w:t>,</w:t>
      </w:r>
      <w:r w:rsidR="00F70CFC">
        <w:t xml:space="preserve"> and no evidence of significant policy differences, </w:t>
      </w:r>
      <w:r w:rsidR="00F158A4">
        <w:t xml:space="preserve">staff </w:t>
      </w:r>
      <w:r w:rsidR="00B51BC8">
        <w:t xml:space="preserve">consider </w:t>
      </w:r>
      <w:r w:rsidR="00F158A4">
        <w:t xml:space="preserve">these expenses </w:t>
      </w:r>
      <w:r w:rsidR="002F7C33">
        <w:t xml:space="preserve">should </w:t>
      </w:r>
      <w:r w:rsidR="00F158A4">
        <w:t>continue to be assessed on an APC basis.</w:t>
      </w:r>
    </w:p>
    <w:p w:rsidR="0018373C" w:rsidRPr="00DC68D4" w:rsidRDefault="0018373C" w:rsidP="00523422">
      <w:pPr>
        <w:pStyle w:val="Heading5"/>
      </w:pPr>
      <w:r>
        <w:t>Mitigation</w:t>
      </w:r>
    </w:p>
    <w:p w:rsidR="00AA4C75" w:rsidRDefault="00AA4C75" w:rsidP="00F13C25">
      <w:pPr>
        <w:pStyle w:val="CGCNumberedPara"/>
      </w:pPr>
      <w:r>
        <w:t>New South Wales has noted that mitigation spending is treated differently in the expense assessments compared to natural disaster relief spending, which may also lessen incentives for mitigation spending. Mitigation expenses are assessed on an EPC basis.</w:t>
      </w:r>
    </w:p>
    <w:p w:rsidR="00160F57" w:rsidRDefault="00B471B4" w:rsidP="00870E8A">
      <w:pPr>
        <w:pStyle w:val="CGCNumberedPara"/>
      </w:pPr>
      <w:r>
        <w:t xml:space="preserve">In order to be eligible for funding through the </w:t>
      </w:r>
      <w:proofErr w:type="spellStart"/>
      <w:r>
        <w:t>NDRRA</w:t>
      </w:r>
      <w:proofErr w:type="spellEnd"/>
      <w:r>
        <w:t>, S</w:t>
      </w:r>
      <w:r w:rsidRPr="006D6B36">
        <w:t>tate</w:t>
      </w:r>
      <w:r>
        <w:t>s are required to</w:t>
      </w:r>
      <w:r w:rsidRPr="006D6B36">
        <w:t xml:space="preserve"> develop and implement natural disaster mitigation strategies in respect of likely or recurring disasters</w:t>
      </w:r>
      <w:r>
        <w:t xml:space="preserve">. </w:t>
      </w:r>
      <w:r w:rsidR="00160F57">
        <w:t>The Productivity Commission inquiry on Natural Disaster Funding Arrangements estimated that mitigation expenses across all levels of government wa</w:t>
      </w:r>
      <w:r w:rsidR="00160F57" w:rsidRPr="003465CC">
        <w:t>s likely to be below optimal level</w:t>
      </w:r>
      <w:r w:rsidR="00160F57">
        <w:t>s</w:t>
      </w:r>
      <w:r w:rsidR="00160F57" w:rsidRPr="003465CC">
        <w:t>, given the i</w:t>
      </w:r>
      <w:r w:rsidR="00160F57">
        <w:t xml:space="preserve">ncentives created by the </w:t>
      </w:r>
      <w:proofErr w:type="spellStart"/>
      <w:r w:rsidR="00160F57">
        <w:t>NDRRA</w:t>
      </w:r>
      <w:proofErr w:type="spellEnd"/>
      <w:r w:rsidR="00160F57">
        <w:t xml:space="preserve"> arrangements</w:t>
      </w:r>
      <w:r w:rsidR="00160F57" w:rsidRPr="003465CC">
        <w:t xml:space="preserve">. However, </w:t>
      </w:r>
      <w:r w:rsidR="00160F57">
        <w:t xml:space="preserve">the inquiry was not able to determine </w:t>
      </w:r>
      <w:r w:rsidR="00160F57" w:rsidRPr="003465CC">
        <w:t>the extent of the underinvestment</w:t>
      </w:r>
      <w:r w:rsidR="00160F57">
        <w:t xml:space="preserve"> in mitigation</w:t>
      </w:r>
      <w:r w:rsidR="00160F57" w:rsidRPr="003465CC">
        <w:t>.</w:t>
      </w:r>
      <w:r w:rsidR="00160F57">
        <w:rPr>
          <w:rStyle w:val="FootnoteReference"/>
        </w:rPr>
        <w:footnoteReference w:id="9"/>
      </w:r>
    </w:p>
    <w:p w:rsidR="004A5D54" w:rsidRDefault="00160F57" w:rsidP="00870E8A">
      <w:pPr>
        <w:pStyle w:val="CGCNumberedPara"/>
      </w:pPr>
      <w:r>
        <w:t>Staff consider there is no practical alternative to the current EPC assessment of mitigation expenses</w:t>
      </w:r>
      <w:r w:rsidR="00D52D9F">
        <w:t xml:space="preserve">. An APC assessment would not be appropriate because there is considerable scope for State policies to affect the level of spending despite the </w:t>
      </w:r>
      <w:proofErr w:type="spellStart"/>
      <w:r w:rsidR="00D52D9F">
        <w:t>NDRRA</w:t>
      </w:r>
      <w:proofErr w:type="spellEnd"/>
      <w:r w:rsidR="00D52D9F">
        <w:t xml:space="preserve"> requirement that all States have adequate mitigation strategies in place.</w:t>
      </w:r>
      <w:r w:rsidR="002B150A">
        <w:t xml:space="preserve"> </w:t>
      </w:r>
      <w:r w:rsidR="00D52D9F">
        <w:t xml:space="preserve">A differential assessment based on a policy neutral driver would appear to be impractical because </w:t>
      </w:r>
      <w:r w:rsidR="00775A0F">
        <w:t xml:space="preserve">it is difficult to identify the relevant spending </w:t>
      </w:r>
      <w:r w:rsidR="00F507E5">
        <w:t>in State budgets</w:t>
      </w:r>
      <w:r w:rsidR="00D52D9F">
        <w:t>. Furthermore, it is not clear what policy neutral measure of need would be applied.</w:t>
      </w:r>
      <w:r w:rsidR="002B150A">
        <w:t xml:space="preserve"> </w:t>
      </w:r>
      <w:r w:rsidR="00601C0B">
        <w:t xml:space="preserve">Actuarial studies may provide some indication of differential susceptibility to natural disasters and the need for mitigation measures. </w:t>
      </w:r>
      <w:r w:rsidR="00E77D07">
        <w:t xml:space="preserve">However, </w:t>
      </w:r>
      <w:r w:rsidR="00A74330">
        <w:t xml:space="preserve">any indicator is likely to be affected by </w:t>
      </w:r>
      <w:r w:rsidR="00601C0B">
        <w:t xml:space="preserve">differences </w:t>
      </w:r>
      <w:r w:rsidR="00F507E5">
        <w:t xml:space="preserve">between States </w:t>
      </w:r>
      <w:r w:rsidR="00601C0B">
        <w:t>in insurance coverage</w:t>
      </w:r>
      <w:r w:rsidR="00F507E5">
        <w:t xml:space="preserve"> </w:t>
      </w:r>
      <w:r w:rsidR="00D52D9F">
        <w:t xml:space="preserve">as well as differences in </w:t>
      </w:r>
      <w:r w:rsidR="00157B5A">
        <w:t>planning and zoning policies.</w:t>
      </w:r>
      <w:r>
        <w:t xml:space="preserve"> Due to these difficulties, staff propose not to make an assessment for mitigation spending.</w:t>
      </w:r>
    </w:p>
    <w:p w:rsidR="0076486D" w:rsidRDefault="00811D67" w:rsidP="0076486D">
      <w:pPr>
        <w:pStyle w:val="Heading5"/>
      </w:pPr>
      <w:r>
        <w:t>Measurement issues</w:t>
      </w:r>
    </w:p>
    <w:p w:rsidR="00910A3E" w:rsidRDefault="00910A3E" w:rsidP="00F13C25">
      <w:pPr>
        <w:pStyle w:val="CGCNumberedPara"/>
      </w:pPr>
      <w:r>
        <w:t xml:space="preserve">There are two </w:t>
      </w:r>
      <w:r w:rsidR="00DB7D32">
        <w:t xml:space="preserve">practical </w:t>
      </w:r>
      <w:r>
        <w:t>issu</w:t>
      </w:r>
      <w:r w:rsidR="001B6D93">
        <w:t xml:space="preserve">es affecting </w:t>
      </w:r>
      <w:r w:rsidR="00DB7D32">
        <w:t xml:space="preserve">the measurement of State </w:t>
      </w:r>
      <w:proofErr w:type="spellStart"/>
      <w:r w:rsidR="001B6D93">
        <w:t>NDRRA</w:t>
      </w:r>
      <w:proofErr w:type="spellEnd"/>
      <w:r w:rsidR="001B6D93">
        <w:t xml:space="preserve"> net expenses. The first relates to the classification of natural disaster relief expenses in </w:t>
      </w:r>
      <w:r w:rsidR="00DD0F28">
        <w:t>Government Finance Statistics (</w:t>
      </w:r>
      <w:r w:rsidR="001B6D93">
        <w:t>GFS</w:t>
      </w:r>
      <w:r w:rsidR="00DD0F28">
        <w:t>)</w:t>
      </w:r>
      <w:r w:rsidR="001B6D93">
        <w:t xml:space="preserve">, and the second to the treatment of local government net </w:t>
      </w:r>
      <w:r w:rsidR="002171CB">
        <w:t xml:space="preserve">natural disaster </w:t>
      </w:r>
      <w:r w:rsidR="001B6D93">
        <w:t>expenses.</w:t>
      </w:r>
      <w:r w:rsidR="00CE1C14">
        <w:t xml:space="preserve"> </w:t>
      </w:r>
    </w:p>
    <w:p w:rsidR="00CE1C14" w:rsidRDefault="002171CB" w:rsidP="002D3A23">
      <w:pPr>
        <w:pStyle w:val="CGCNumberedPara"/>
      </w:pPr>
      <w:r>
        <w:t xml:space="preserve">In GFS, </w:t>
      </w:r>
      <w:r w:rsidR="00CE1C14">
        <w:t>l</w:t>
      </w:r>
      <w:r w:rsidR="006B5E24">
        <w:t>ong</w:t>
      </w:r>
      <w:r w:rsidR="00811D67">
        <w:noBreakHyphen/>
      </w:r>
      <w:r w:rsidR="006B5E24">
        <w:t xml:space="preserve">term </w:t>
      </w:r>
      <w:r w:rsidR="00DB7D32">
        <w:t xml:space="preserve">natural disaster </w:t>
      </w:r>
      <w:r w:rsidR="006B5E24">
        <w:t xml:space="preserve">reconstruction </w:t>
      </w:r>
      <w:r w:rsidR="00811D67">
        <w:t xml:space="preserve">expenses </w:t>
      </w:r>
      <w:r w:rsidR="006B5E24">
        <w:t>are classified to the relevant function</w:t>
      </w:r>
      <w:r w:rsidR="00811D67">
        <w:t xml:space="preserve"> (for example, roads</w:t>
      </w:r>
      <w:r w:rsidR="00DB7D32">
        <w:t xml:space="preserve"> capital expenditure</w:t>
      </w:r>
      <w:r w:rsidR="00811D67">
        <w:t>)</w:t>
      </w:r>
      <w:r w:rsidR="006B5E24">
        <w:t xml:space="preserve">. </w:t>
      </w:r>
      <w:r w:rsidR="00811D67">
        <w:t>T</w:t>
      </w:r>
      <w:r w:rsidR="00956D2F">
        <w:t>o avoid the same expenses being assessed twice</w:t>
      </w:r>
      <w:r w:rsidR="00DB7D32">
        <w:t xml:space="preserve"> (for example, in </w:t>
      </w:r>
      <w:r w:rsidR="001C7E85">
        <w:t>the natural disaster relief</w:t>
      </w:r>
      <w:r w:rsidR="00811D67">
        <w:t xml:space="preserve"> assessment and roads assessment</w:t>
      </w:r>
      <w:r w:rsidR="002D3A23">
        <w:t>s</w:t>
      </w:r>
      <w:r w:rsidR="00811D67">
        <w:t xml:space="preserve">), staff </w:t>
      </w:r>
      <w:r w:rsidR="002D3A23">
        <w:t xml:space="preserve">reclassify </w:t>
      </w:r>
      <w:r w:rsidR="00811D67">
        <w:t xml:space="preserve">roads expenditure related to </w:t>
      </w:r>
      <w:r w:rsidR="00D12A96">
        <w:t>natural disasters from the R</w:t>
      </w:r>
      <w:r w:rsidR="00811D67">
        <w:t>oads categor</w:t>
      </w:r>
      <w:r w:rsidR="00D12A96">
        <w:t>y</w:t>
      </w:r>
      <w:r w:rsidR="002D3A23">
        <w:t xml:space="preserve"> to Other expenses</w:t>
      </w:r>
      <w:r w:rsidR="00956D2F">
        <w:t>.</w:t>
      </w:r>
    </w:p>
    <w:p w:rsidR="0076486D" w:rsidRDefault="0084521C" w:rsidP="002D3A23">
      <w:pPr>
        <w:pStyle w:val="CGCNumberedPara"/>
      </w:pPr>
      <w:r>
        <w:t xml:space="preserve">Staff have recently become aware that </w:t>
      </w:r>
      <w:r w:rsidR="002D3A23">
        <w:t xml:space="preserve">there may be potential for </w:t>
      </w:r>
      <w:r>
        <w:t>State</w:t>
      </w:r>
      <w:r w:rsidR="00CE2B93">
        <w:t xml:space="preserve">s </w:t>
      </w:r>
      <w:r w:rsidR="002D3A23">
        <w:t xml:space="preserve">to include </w:t>
      </w:r>
      <w:r w:rsidR="00CE2B93">
        <w:t xml:space="preserve">net </w:t>
      </w:r>
      <w:r w:rsidR="00160F57">
        <w:t xml:space="preserve">costs incurred by local governments </w:t>
      </w:r>
      <w:r w:rsidR="00A6630E">
        <w:t>following a natural disaster event</w:t>
      </w:r>
      <w:r w:rsidR="00DB7D32">
        <w:t xml:space="preserve"> in the</w:t>
      </w:r>
      <w:r w:rsidR="003F22CF">
        <w:t xml:space="preserve"> net expenses</w:t>
      </w:r>
      <w:r w:rsidR="002D3A23">
        <w:t xml:space="preserve"> reported to the Commission</w:t>
      </w:r>
      <w:r w:rsidR="00A6630E">
        <w:t xml:space="preserve">. </w:t>
      </w:r>
      <w:r w:rsidR="00DB7D32">
        <w:t>O</w:t>
      </w:r>
      <w:r w:rsidR="007575C5">
        <w:t>ut of pocket expenses</w:t>
      </w:r>
      <w:r w:rsidR="00CE2B93">
        <w:t xml:space="preserve"> </w:t>
      </w:r>
      <w:r w:rsidR="007575C5">
        <w:t>funded from</w:t>
      </w:r>
      <w:r w:rsidR="00A6630E">
        <w:t xml:space="preserve"> </w:t>
      </w:r>
      <w:r w:rsidR="00CE2B93">
        <w:t>local government revenue</w:t>
      </w:r>
      <w:r w:rsidR="007575C5">
        <w:t xml:space="preserve"> </w:t>
      </w:r>
      <w:r w:rsidR="00A6630E">
        <w:t>should not be included in the expenses reported by States</w:t>
      </w:r>
      <w:r w:rsidR="00DB7D32">
        <w:t xml:space="preserve"> because they do not affect State fiscal capacities</w:t>
      </w:r>
      <w:r w:rsidR="00A6630E">
        <w:t xml:space="preserve">. </w:t>
      </w:r>
      <w:r w:rsidR="00D963D8">
        <w:t xml:space="preserve">In addition, any </w:t>
      </w:r>
      <w:proofErr w:type="spellStart"/>
      <w:r w:rsidR="00D963D8">
        <w:t>NDRRA</w:t>
      </w:r>
      <w:proofErr w:type="spellEnd"/>
      <w:r w:rsidR="00D963D8">
        <w:t xml:space="preserve"> assistance payments </w:t>
      </w:r>
      <w:r w:rsidR="00DB7D32">
        <w:t xml:space="preserve">which pass </w:t>
      </w:r>
      <w:r w:rsidR="00D963D8">
        <w:t>through the</w:t>
      </w:r>
      <w:r w:rsidR="00DB7D32">
        <w:t xml:space="preserve"> States to local government</w:t>
      </w:r>
      <w:r w:rsidR="006A3FBB">
        <w:t xml:space="preserve"> should be</w:t>
      </w:r>
      <w:r w:rsidR="00D963D8">
        <w:t xml:space="preserve"> excluded from category expenses.</w:t>
      </w:r>
      <w:r w:rsidR="008C090B">
        <w:t xml:space="preserve"> </w:t>
      </w:r>
      <w:r w:rsidR="00B204AB">
        <w:t xml:space="preserve">Being aware of the potential for local government net costs and through payments to affect expenses, staff have processes in place to </w:t>
      </w:r>
      <w:r w:rsidR="00FE2636">
        <w:t xml:space="preserve">ensure </w:t>
      </w:r>
      <w:r w:rsidR="00D12A96">
        <w:t>these are both excluded</w:t>
      </w:r>
      <w:r w:rsidR="006A3FBB">
        <w:t>.</w:t>
      </w:r>
      <w:r w:rsidR="00A6630E">
        <w:t xml:space="preserve"> </w:t>
      </w:r>
    </w:p>
    <w:tbl>
      <w:tblPr>
        <w:tblW w:w="0" w:type="auto"/>
        <w:tblInd w:w="108" w:type="dxa"/>
        <w:shd w:val="clear" w:color="auto" w:fill="D9F3E6"/>
        <w:tblLook w:val="04A0" w:firstRow="1" w:lastRow="0" w:firstColumn="1" w:lastColumn="0" w:noHBand="0" w:noVBand="1"/>
      </w:tblPr>
      <w:tblGrid>
        <w:gridCol w:w="8931"/>
      </w:tblGrid>
      <w:tr w:rsidR="00811964" w:rsidRPr="00E674AF" w:rsidTr="00CE2B93">
        <w:tc>
          <w:tcPr>
            <w:tcW w:w="8931" w:type="dxa"/>
            <w:shd w:val="clear" w:color="auto" w:fill="D9F3E6"/>
          </w:tcPr>
          <w:p w:rsidR="00811964" w:rsidRPr="00E674AF" w:rsidRDefault="00811964" w:rsidP="002F7C33">
            <w:pPr>
              <w:keepNext/>
              <w:keepLines/>
            </w:pPr>
            <w:r w:rsidRPr="00B7517F">
              <w:t>Staff propose to recommend the Commission:</w:t>
            </w:r>
          </w:p>
          <w:p w:rsidR="00040F48" w:rsidRDefault="00811964" w:rsidP="002F7C33">
            <w:pPr>
              <w:pStyle w:val="CGCBulletlist"/>
              <w:keepNext/>
              <w:keepLines/>
            </w:pPr>
            <w:r>
              <w:t>continue to assess n</w:t>
            </w:r>
            <w:r w:rsidRPr="00811964">
              <w:t>atural disaster relief expenses</w:t>
            </w:r>
            <w:r>
              <w:t xml:space="preserve"> on an APC basis</w:t>
            </w:r>
          </w:p>
          <w:p w:rsidR="00811964" w:rsidRDefault="00040F48" w:rsidP="008D57A6">
            <w:pPr>
              <w:pStyle w:val="CGCBulletlist"/>
              <w:keepNext/>
              <w:keepLines/>
            </w:pPr>
            <w:r>
              <w:t>not make an assessment for natural disaster mitigation expenses, due to the difficulty in obtaining</w:t>
            </w:r>
            <w:r w:rsidR="00355DE8">
              <w:t xml:space="preserve"> </w:t>
            </w:r>
            <w:r>
              <w:t>expense data</w:t>
            </w:r>
            <w:r w:rsidR="00F70CFC">
              <w:t xml:space="preserve"> and identifying a reliable d</w:t>
            </w:r>
            <w:r w:rsidR="00DB7D32">
              <w:t>river</w:t>
            </w:r>
          </w:p>
          <w:p w:rsidR="0005282D" w:rsidRDefault="0005282D" w:rsidP="0005282D">
            <w:pPr>
              <w:pStyle w:val="CGCBulletlist"/>
              <w:keepNext/>
              <w:keepLines/>
            </w:pPr>
            <w:r>
              <w:t xml:space="preserve">continue to make adjustments to the adjusted budget to </w:t>
            </w:r>
            <w:r w:rsidR="003F22CF">
              <w:t>ensure</w:t>
            </w:r>
            <w:r w:rsidR="00693C2D">
              <w:t>:</w:t>
            </w:r>
            <w:r w:rsidR="003F22CF">
              <w:t xml:space="preserve"> </w:t>
            </w:r>
          </w:p>
          <w:p w:rsidR="0005282D" w:rsidRDefault="0005282D" w:rsidP="0005282D">
            <w:pPr>
              <w:pStyle w:val="CGCSubbulletlist"/>
            </w:pPr>
            <w:r>
              <w:t xml:space="preserve">natural disaster </w:t>
            </w:r>
            <w:r w:rsidR="00693C2D">
              <w:t>relief expenses</w:t>
            </w:r>
            <w:r>
              <w:t xml:space="preserve"> under the </w:t>
            </w:r>
            <w:proofErr w:type="spellStart"/>
            <w:r>
              <w:t>NDRRA</w:t>
            </w:r>
            <w:proofErr w:type="spellEnd"/>
            <w:r>
              <w:t xml:space="preserve"> framework </w:t>
            </w:r>
            <w:r w:rsidR="00693C2D">
              <w:t xml:space="preserve">are </w:t>
            </w:r>
            <w:r>
              <w:t>only assessed once</w:t>
            </w:r>
          </w:p>
          <w:p w:rsidR="0076486D" w:rsidRDefault="003F22CF" w:rsidP="0005282D">
            <w:pPr>
              <w:pStyle w:val="CGCSubbulletlist"/>
            </w:pPr>
            <w:r>
              <w:t xml:space="preserve">net </w:t>
            </w:r>
            <w:r w:rsidR="006D75C1">
              <w:t xml:space="preserve">natural disaster </w:t>
            </w:r>
            <w:r w:rsidR="00693C2D">
              <w:t xml:space="preserve">relief </w:t>
            </w:r>
            <w:r w:rsidR="0005282D">
              <w:t>expenses</w:t>
            </w:r>
            <w:r>
              <w:t xml:space="preserve"> funded from local government revenue are not included in the assessment</w:t>
            </w:r>
            <w:r w:rsidR="00DB7D32">
              <w:t xml:space="preserve"> because they do not affect a State’s fiscal capacity</w:t>
            </w:r>
          </w:p>
          <w:p w:rsidR="003F22CF" w:rsidRPr="00E674AF" w:rsidRDefault="003F22CF" w:rsidP="006D75C1">
            <w:pPr>
              <w:pStyle w:val="CGCSubbulletlist"/>
            </w:pPr>
            <w:r>
              <w:t xml:space="preserve">Commonwealth </w:t>
            </w:r>
            <w:proofErr w:type="spellStart"/>
            <w:r>
              <w:t>NDRRA</w:t>
            </w:r>
            <w:proofErr w:type="spellEnd"/>
            <w:r>
              <w:t xml:space="preserve"> assistance payments through State</w:t>
            </w:r>
            <w:r w:rsidR="0005282D">
              <w:t>s</w:t>
            </w:r>
            <w:r>
              <w:t xml:space="preserve"> to local government </w:t>
            </w:r>
            <w:r w:rsidR="00B204AB">
              <w:t xml:space="preserve">(for example, for roads) </w:t>
            </w:r>
            <w:r>
              <w:t>are not included in category expenses</w:t>
            </w:r>
            <w:r w:rsidR="006D75C1">
              <w:t>.</w:t>
            </w:r>
          </w:p>
        </w:tc>
      </w:tr>
    </w:tbl>
    <w:p w:rsidR="00F83306" w:rsidRDefault="00F501A9" w:rsidP="00F83306">
      <w:pPr>
        <w:pStyle w:val="Heading4"/>
      </w:pPr>
      <w:bookmarkStart w:id="38" w:name="_Toc510091842"/>
      <w:bookmarkStart w:id="39" w:name="_Toc510795489"/>
      <w:bookmarkStart w:id="40" w:name="_Toc511394441"/>
      <w:r>
        <w:t>Capital grants to local government for community amenities</w:t>
      </w:r>
      <w:bookmarkEnd w:id="38"/>
      <w:bookmarkEnd w:id="39"/>
      <w:bookmarkEnd w:id="40"/>
    </w:p>
    <w:p w:rsidR="00BA397E" w:rsidRDefault="00BA397E" w:rsidP="00CB1DB3">
      <w:pPr>
        <w:pStyle w:val="CGCNumberedPara"/>
        <w:tabs>
          <w:tab w:val="left" w:pos="3261"/>
        </w:tabs>
      </w:pPr>
      <w:r>
        <w:t>The c</w:t>
      </w:r>
      <w:r w:rsidRPr="00BA397E">
        <w:t xml:space="preserve">apital grants to local governments component was </w:t>
      </w:r>
      <w:r>
        <w:t xml:space="preserve">introduced </w:t>
      </w:r>
      <w:r w:rsidR="00B204AB">
        <w:t>in</w:t>
      </w:r>
      <w:r>
        <w:t xml:space="preserve"> the </w:t>
      </w:r>
      <w:r w:rsidRPr="00BA397E">
        <w:t>2015</w:t>
      </w:r>
      <w:r w:rsidR="00CB7C85">
        <w:t> </w:t>
      </w:r>
      <w:r w:rsidRPr="00BA397E">
        <w:t>Review</w:t>
      </w:r>
      <w:r>
        <w:t xml:space="preserve"> </w:t>
      </w:r>
      <w:r w:rsidRPr="00BA397E">
        <w:t xml:space="preserve">to recognise the need for </w:t>
      </w:r>
      <w:r w:rsidR="000B79B4">
        <w:t xml:space="preserve">State </w:t>
      </w:r>
      <w:r w:rsidRPr="00BA397E">
        <w:t xml:space="preserve">support </w:t>
      </w:r>
      <w:r w:rsidR="000B79B4">
        <w:t>to</w:t>
      </w:r>
      <w:r w:rsidR="000B79B4" w:rsidRPr="00BA397E">
        <w:t xml:space="preserve"> </w:t>
      </w:r>
      <w:r w:rsidRPr="00BA397E">
        <w:t xml:space="preserve">local government </w:t>
      </w:r>
      <w:r w:rsidR="000B79B4">
        <w:t xml:space="preserve">for cultural and recreation facilities and community </w:t>
      </w:r>
      <w:r w:rsidRPr="00BA397E">
        <w:t>amenities</w:t>
      </w:r>
      <w:r>
        <w:t>. The a</w:t>
      </w:r>
      <w:r w:rsidRPr="00BA397E">
        <w:t xml:space="preserve">ssessment used population growth as </w:t>
      </w:r>
      <w:r w:rsidR="000B79B4">
        <w:t>the</w:t>
      </w:r>
      <w:r w:rsidR="000B79B4" w:rsidRPr="00BA397E">
        <w:t xml:space="preserve"> </w:t>
      </w:r>
      <w:r w:rsidRPr="00BA397E">
        <w:t xml:space="preserve">disability, </w:t>
      </w:r>
      <w:r>
        <w:t xml:space="preserve">as </w:t>
      </w:r>
      <w:r w:rsidR="000B79B4">
        <w:t xml:space="preserve">the Commission </w:t>
      </w:r>
      <w:r w:rsidR="006158F9">
        <w:t>expected</w:t>
      </w:r>
      <w:r>
        <w:t xml:space="preserve"> that </w:t>
      </w:r>
      <w:r w:rsidRPr="00BA397E">
        <w:t xml:space="preserve">States with above average population growth </w:t>
      </w:r>
      <w:r>
        <w:t xml:space="preserve">would </w:t>
      </w:r>
      <w:r w:rsidR="000B79B4">
        <w:t xml:space="preserve">incur </w:t>
      </w:r>
      <w:r w:rsidRPr="00BA397E">
        <w:t>higher costs</w:t>
      </w:r>
      <w:r>
        <w:t>.</w:t>
      </w:r>
      <w:r w:rsidR="0061445D">
        <w:t xml:space="preserve"> The assessment was not material by itself. However, it was included as the assessment of population growth in total was material. In the 2018 Update, the component did not redistribute more than $3 per capita for any State. Actual component expenses for 2016</w:t>
      </w:r>
      <w:r w:rsidR="0061445D">
        <w:noBreakHyphen/>
        <w:t xml:space="preserve">17 are shown in </w:t>
      </w:r>
      <w:r w:rsidR="0061445D">
        <w:fldChar w:fldCharType="begin"/>
      </w:r>
      <w:r w:rsidR="0061445D">
        <w:instrText xml:space="preserve"> REF _Ref496787510 \h </w:instrText>
      </w:r>
      <w:r w:rsidR="0061445D">
        <w:fldChar w:fldCharType="separate"/>
      </w:r>
      <w:r w:rsidR="00F85E11">
        <w:t xml:space="preserve">Table </w:t>
      </w:r>
      <w:r w:rsidR="00F85E11">
        <w:rPr>
          <w:noProof/>
        </w:rPr>
        <w:t>4</w:t>
      </w:r>
      <w:r w:rsidR="0061445D">
        <w:fldChar w:fldCharType="end"/>
      </w:r>
      <w:r w:rsidR="0061445D">
        <w:t>.</w:t>
      </w:r>
    </w:p>
    <w:p w:rsidR="008E1820" w:rsidRDefault="00BC758A" w:rsidP="008E1820">
      <w:pPr>
        <w:pStyle w:val="CGCTableHeading"/>
        <w:ind w:left="0" w:firstLine="0"/>
      </w:pPr>
      <w:bookmarkStart w:id="41" w:name="_Ref496787510"/>
      <w:r>
        <w:t xml:space="preserve">Table </w:t>
      </w:r>
      <w:fldSimple w:instr=" SEQ Table \* ARABIC ">
        <w:r w:rsidR="00F85E11">
          <w:rPr>
            <w:noProof/>
          </w:rPr>
          <w:t>4</w:t>
        </w:r>
      </w:fldSimple>
      <w:bookmarkEnd w:id="41"/>
      <w:r w:rsidR="008E1820">
        <w:tab/>
      </w:r>
      <w:r w:rsidR="008E1820" w:rsidRPr="007D4274">
        <w:t>Capital grants to local government, actual expenses</w:t>
      </w:r>
      <w:r w:rsidR="008E1820">
        <w:t>, 2</w:t>
      </w:r>
      <w:r>
        <w:t>016</w:t>
      </w:r>
      <w:r w:rsidR="008E1820">
        <w:t>-1</w:t>
      </w:r>
      <w:r>
        <w:t>7</w:t>
      </w:r>
    </w:p>
    <w:tbl>
      <w:tblPr>
        <w:tblW w:w="8940" w:type="dxa"/>
        <w:tblInd w:w="93" w:type="dxa"/>
        <w:tblLook w:val="04A0" w:firstRow="1" w:lastRow="0" w:firstColumn="1" w:lastColumn="0" w:noHBand="0" w:noVBand="1"/>
      </w:tblPr>
      <w:tblGrid>
        <w:gridCol w:w="1380"/>
        <w:gridCol w:w="840"/>
        <w:gridCol w:w="840"/>
        <w:gridCol w:w="840"/>
        <w:gridCol w:w="840"/>
        <w:gridCol w:w="840"/>
        <w:gridCol w:w="840"/>
        <w:gridCol w:w="840"/>
        <w:gridCol w:w="840"/>
        <w:gridCol w:w="840"/>
      </w:tblGrid>
      <w:tr w:rsidR="0061445D" w:rsidRPr="0061445D" w:rsidTr="0061445D">
        <w:trPr>
          <w:trHeight w:val="375"/>
        </w:trPr>
        <w:tc>
          <w:tcPr>
            <w:tcW w:w="1380" w:type="dxa"/>
            <w:tcBorders>
              <w:top w:val="single" w:sz="4" w:space="0" w:color="auto"/>
              <w:left w:val="nil"/>
              <w:bottom w:val="single" w:sz="4" w:space="0" w:color="auto"/>
              <w:right w:val="nil"/>
            </w:tcBorders>
            <w:shd w:val="clear" w:color="auto" w:fill="auto"/>
            <w:noWrap/>
            <w:vAlign w:val="bottom"/>
            <w:hideMark/>
          </w:tcPr>
          <w:p w:rsidR="0061445D" w:rsidRPr="0061445D" w:rsidRDefault="0061445D" w:rsidP="0061445D">
            <w:pPr>
              <w:tabs>
                <w:tab w:val="clear" w:pos="567"/>
              </w:tabs>
              <w:spacing w:after="0" w:line="240" w:lineRule="auto"/>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 </w:t>
            </w:r>
          </w:p>
        </w:tc>
        <w:tc>
          <w:tcPr>
            <w:tcW w:w="840" w:type="dxa"/>
            <w:tcBorders>
              <w:top w:val="single" w:sz="4" w:space="0" w:color="auto"/>
              <w:left w:val="nil"/>
              <w:bottom w:val="single" w:sz="4" w:space="0" w:color="auto"/>
              <w:right w:val="nil"/>
            </w:tcBorders>
            <w:shd w:val="clear" w:color="auto" w:fill="auto"/>
            <w:noWrap/>
            <w:vAlign w:val="center"/>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NSW</w:t>
            </w:r>
          </w:p>
        </w:tc>
        <w:tc>
          <w:tcPr>
            <w:tcW w:w="840" w:type="dxa"/>
            <w:tcBorders>
              <w:top w:val="single" w:sz="4" w:space="0" w:color="auto"/>
              <w:left w:val="nil"/>
              <w:bottom w:val="single" w:sz="4" w:space="0" w:color="auto"/>
              <w:right w:val="nil"/>
            </w:tcBorders>
            <w:shd w:val="clear" w:color="auto" w:fill="auto"/>
            <w:noWrap/>
            <w:vAlign w:val="center"/>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Vic</w:t>
            </w:r>
          </w:p>
        </w:tc>
        <w:tc>
          <w:tcPr>
            <w:tcW w:w="840" w:type="dxa"/>
            <w:tcBorders>
              <w:top w:val="single" w:sz="4" w:space="0" w:color="auto"/>
              <w:left w:val="nil"/>
              <w:bottom w:val="single" w:sz="4" w:space="0" w:color="auto"/>
              <w:right w:val="nil"/>
            </w:tcBorders>
            <w:shd w:val="clear" w:color="auto" w:fill="auto"/>
            <w:noWrap/>
            <w:vAlign w:val="center"/>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Qld</w:t>
            </w:r>
          </w:p>
        </w:tc>
        <w:tc>
          <w:tcPr>
            <w:tcW w:w="840" w:type="dxa"/>
            <w:tcBorders>
              <w:top w:val="single" w:sz="4" w:space="0" w:color="auto"/>
              <w:left w:val="nil"/>
              <w:bottom w:val="single" w:sz="4" w:space="0" w:color="auto"/>
              <w:right w:val="nil"/>
            </w:tcBorders>
            <w:shd w:val="clear" w:color="auto" w:fill="auto"/>
            <w:noWrap/>
            <w:vAlign w:val="center"/>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WA</w:t>
            </w:r>
          </w:p>
        </w:tc>
        <w:tc>
          <w:tcPr>
            <w:tcW w:w="840" w:type="dxa"/>
            <w:tcBorders>
              <w:top w:val="single" w:sz="4" w:space="0" w:color="auto"/>
              <w:left w:val="nil"/>
              <w:bottom w:val="single" w:sz="4" w:space="0" w:color="auto"/>
              <w:right w:val="nil"/>
            </w:tcBorders>
            <w:shd w:val="clear" w:color="auto" w:fill="auto"/>
            <w:noWrap/>
            <w:vAlign w:val="center"/>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SA</w:t>
            </w:r>
          </w:p>
        </w:tc>
        <w:tc>
          <w:tcPr>
            <w:tcW w:w="840" w:type="dxa"/>
            <w:tcBorders>
              <w:top w:val="single" w:sz="4" w:space="0" w:color="auto"/>
              <w:left w:val="nil"/>
              <w:bottom w:val="single" w:sz="4" w:space="0" w:color="auto"/>
              <w:right w:val="nil"/>
            </w:tcBorders>
            <w:shd w:val="clear" w:color="auto" w:fill="auto"/>
            <w:noWrap/>
            <w:vAlign w:val="center"/>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proofErr w:type="spellStart"/>
            <w:r w:rsidRPr="0061445D">
              <w:rPr>
                <w:rFonts w:ascii="Calibri" w:eastAsia="Times New Roman" w:hAnsi="Calibri" w:cs="Times New Roman"/>
                <w:sz w:val="18"/>
                <w:szCs w:val="18"/>
                <w:lang w:eastAsia="en-AU"/>
              </w:rPr>
              <w:t>Tas</w:t>
            </w:r>
            <w:proofErr w:type="spellEnd"/>
          </w:p>
        </w:tc>
        <w:tc>
          <w:tcPr>
            <w:tcW w:w="840" w:type="dxa"/>
            <w:tcBorders>
              <w:top w:val="single" w:sz="4" w:space="0" w:color="auto"/>
              <w:left w:val="nil"/>
              <w:bottom w:val="single" w:sz="4" w:space="0" w:color="auto"/>
              <w:right w:val="nil"/>
            </w:tcBorders>
            <w:shd w:val="clear" w:color="auto" w:fill="auto"/>
            <w:noWrap/>
            <w:vAlign w:val="center"/>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ACT</w:t>
            </w:r>
          </w:p>
        </w:tc>
        <w:tc>
          <w:tcPr>
            <w:tcW w:w="840" w:type="dxa"/>
            <w:tcBorders>
              <w:top w:val="single" w:sz="4" w:space="0" w:color="auto"/>
              <w:left w:val="nil"/>
              <w:bottom w:val="single" w:sz="4" w:space="0" w:color="auto"/>
              <w:right w:val="nil"/>
            </w:tcBorders>
            <w:shd w:val="clear" w:color="auto" w:fill="auto"/>
            <w:noWrap/>
            <w:vAlign w:val="center"/>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NT</w:t>
            </w:r>
          </w:p>
        </w:tc>
        <w:tc>
          <w:tcPr>
            <w:tcW w:w="840" w:type="dxa"/>
            <w:tcBorders>
              <w:top w:val="single" w:sz="4" w:space="0" w:color="auto"/>
              <w:left w:val="nil"/>
              <w:bottom w:val="single" w:sz="4" w:space="0" w:color="auto"/>
              <w:right w:val="nil"/>
            </w:tcBorders>
            <w:shd w:val="clear" w:color="auto" w:fill="auto"/>
            <w:noWrap/>
            <w:vAlign w:val="center"/>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Total</w:t>
            </w:r>
          </w:p>
        </w:tc>
      </w:tr>
      <w:tr w:rsidR="0061445D" w:rsidRPr="0061445D" w:rsidTr="0061445D">
        <w:trPr>
          <w:trHeight w:val="315"/>
        </w:trPr>
        <w:tc>
          <w:tcPr>
            <w:tcW w:w="1380" w:type="dxa"/>
            <w:tcBorders>
              <w:top w:val="nil"/>
              <w:left w:val="nil"/>
              <w:bottom w:val="nil"/>
              <w:right w:val="nil"/>
            </w:tcBorders>
            <w:shd w:val="clear" w:color="auto" w:fill="auto"/>
            <w:noWrap/>
            <w:vAlign w:val="bottom"/>
            <w:hideMark/>
          </w:tcPr>
          <w:p w:rsidR="0061445D" w:rsidRPr="0061445D" w:rsidRDefault="0061445D" w:rsidP="0061445D">
            <w:pPr>
              <w:tabs>
                <w:tab w:val="clear" w:pos="567"/>
              </w:tabs>
              <w:spacing w:after="0" w:line="240" w:lineRule="auto"/>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 million</w:t>
            </w:r>
          </w:p>
        </w:tc>
        <w:tc>
          <w:tcPr>
            <w:tcW w:w="840" w:type="dxa"/>
            <w:tcBorders>
              <w:top w:val="nil"/>
              <w:left w:val="nil"/>
              <w:bottom w:val="nil"/>
              <w:right w:val="nil"/>
            </w:tcBorders>
            <w:shd w:val="clear" w:color="auto" w:fill="auto"/>
            <w:noWrap/>
            <w:vAlign w:val="bottom"/>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3</w:t>
            </w:r>
          </w:p>
        </w:tc>
        <w:tc>
          <w:tcPr>
            <w:tcW w:w="840" w:type="dxa"/>
            <w:tcBorders>
              <w:top w:val="nil"/>
              <w:left w:val="nil"/>
              <w:bottom w:val="nil"/>
              <w:right w:val="nil"/>
            </w:tcBorders>
            <w:shd w:val="clear" w:color="auto" w:fill="auto"/>
            <w:noWrap/>
            <w:vAlign w:val="bottom"/>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0</w:t>
            </w:r>
          </w:p>
        </w:tc>
        <w:tc>
          <w:tcPr>
            <w:tcW w:w="840" w:type="dxa"/>
            <w:tcBorders>
              <w:top w:val="nil"/>
              <w:left w:val="nil"/>
              <w:bottom w:val="nil"/>
              <w:right w:val="nil"/>
            </w:tcBorders>
            <w:shd w:val="clear" w:color="auto" w:fill="auto"/>
            <w:noWrap/>
            <w:vAlign w:val="bottom"/>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21</w:t>
            </w:r>
          </w:p>
        </w:tc>
        <w:tc>
          <w:tcPr>
            <w:tcW w:w="840" w:type="dxa"/>
            <w:tcBorders>
              <w:top w:val="nil"/>
              <w:left w:val="nil"/>
              <w:bottom w:val="nil"/>
              <w:right w:val="nil"/>
            </w:tcBorders>
            <w:shd w:val="clear" w:color="auto" w:fill="auto"/>
            <w:noWrap/>
            <w:vAlign w:val="bottom"/>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30</w:t>
            </w:r>
          </w:p>
        </w:tc>
        <w:tc>
          <w:tcPr>
            <w:tcW w:w="840" w:type="dxa"/>
            <w:tcBorders>
              <w:top w:val="nil"/>
              <w:left w:val="nil"/>
              <w:bottom w:val="nil"/>
              <w:right w:val="nil"/>
            </w:tcBorders>
            <w:shd w:val="clear" w:color="auto" w:fill="auto"/>
            <w:noWrap/>
            <w:vAlign w:val="bottom"/>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0</w:t>
            </w:r>
          </w:p>
        </w:tc>
        <w:tc>
          <w:tcPr>
            <w:tcW w:w="840" w:type="dxa"/>
            <w:tcBorders>
              <w:top w:val="nil"/>
              <w:left w:val="nil"/>
              <w:bottom w:val="nil"/>
              <w:right w:val="nil"/>
            </w:tcBorders>
            <w:shd w:val="clear" w:color="auto" w:fill="auto"/>
            <w:noWrap/>
            <w:vAlign w:val="bottom"/>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0</w:t>
            </w:r>
          </w:p>
        </w:tc>
        <w:tc>
          <w:tcPr>
            <w:tcW w:w="840" w:type="dxa"/>
            <w:tcBorders>
              <w:top w:val="nil"/>
              <w:left w:val="nil"/>
              <w:bottom w:val="nil"/>
              <w:right w:val="nil"/>
            </w:tcBorders>
            <w:shd w:val="clear" w:color="auto" w:fill="auto"/>
            <w:noWrap/>
            <w:vAlign w:val="bottom"/>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0</w:t>
            </w:r>
          </w:p>
        </w:tc>
        <w:tc>
          <w:tcPr>
            <w:tcW w:w="840" w:type="dxa"/>
            <w:tcBorders>
              <w:top w:val="nil"/>
              <w:left w:val="nil"/>
              <w:bottom w:val="nil"/>
              <w:right w:val="nil"/>
            </w:tcBorders>
            <w:shd w:val="clear" w:color="auto" w:fill="auto"/>
            <w:noWrap/>
            <w:vAlign w:val="bottom"/>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7</w:t>
            </w:r>
          </w:p>
        </w:tc>
        <w:tc>
          <w:tcPr>
            <w:tcW w:w="840" w:type="dxa"/>
            <w:tcBorders>
              <w:top w:val="nil"/>
              <w:left w:val="nil"/>
              <w:bottom w:val="nil"/>
              <w:right w:val="nil"/>
            </w:tcBorders>
            <w:shd w:val="clear" w:color="auto" w:fill="auto"/>
            <w:noWrap/>
            <w:vAlign w:val="bottom"/>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61</w:t>
            </w:r>
          </w:p>
        </w:tc>
      </w:tr>
      <w:tr w:rsidR="0061445D" w:rsidRPr="0061445D" w:rsidTr="0061445D">
        <w:trPr>
          <w:trHeight w:val="315"/>
        </w:trPr>
        <w:tc>
          <w:tcPr>
            <w:tcW w:w="1380" w:type="dxa"/>
            <w:tcBorders>
              <w:top w:val="nil"/>
              <w:left w:val="nil"/>
              <w:bottom w:val="single" w:sz="4" w:space="0" w:color="auto"/>
              <w:right w:val="nil"/>
            </w:tcBorders>
            <w:shd w:val="clear" w:color="auto" w:fill="auto"/>
            <w:noWrap/>
            <w:vAlign w:val="bottom"/>
            <w:hideMark/>
          </w:tcPr>
          <w:p w:rsidR="0061445D" w:rsidRPr="0061445D" w:rsidRDefault="0061445D" w:rsidP="0061445D">
            <w:pPr>
              <w:tabs>
                <w:tab w:val="clear" w:pos="567"/>
              </w:tabs>
              <w:spacing w:after="0" w:line="240" w:lineRule="auto"/>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 per capita</w:t>
            </w:r>
          </w:p>
        </w:tc>
        <w:tc>
          <w:tcPr>
            <w:tcW w:w="840" w:type="dxa"/>
            <w:tcBorders>
              <w:top w:val="nil"/>
              <w:left w:val="nil"/>
              <w:bottom w:val="single" w:sz="4" w:space="0" w:color="auto"/>
              <w:right w:val="nil"/>
            </w:tcBorders>
            <w:shd w:val="clear" w:color="auto" w:fill="auto"/>
            <w:noWrap/>
            <w:vAlign w:val="bottom"/>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0</w:t>
            </w:r>
          </w:p>
        </w:tc>
        <w:tc>
          <w:tcPr>
            <w:tcW w:w="840" w:type="dxa"/>
            <w:tcBorders>
              <w:top w:val="nil"/>
              <w:left w:val="nil"/>
              <w:bottom w:val="single" w:sz="4" w:space="0" w:color="auto"/>
              <w:right w:val="nil"/>
            </w:tcBorders>
            <w:shd w:val="clear" w:color="auto" w:fill="auto"/>
            <w:noWrap/>
            <w:vAlign w:val="bottom"/>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0</w:t>
            </w:r>
          </w:p>
        </w:tc>
        <w:tc>
          <w:tcPr>
            <w:tcW w:w="840" w:type="dxa"/>
            <w:tcBorders>
              <w:top w:val="nil"/>
              <w:left w:val="nil"/>
              <w:bottom w:val="single" w:sz="4" w:space="0" w:color="auto"/>
              <w:right w:val="nil"/>
            </w:tcBorders>
            <w:shd w:val="clear" w:color="auto" w:fill="auto"/>
            <w:noWrap/>
            <w:vAlign w:val="bottom"/>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4</w:t>
            </w:r>
          </w:p>
        </w:tc>
        <w:tc>
          <w:tcPr>
            <w:tcW w:w="840" w:type="dxa"/>
            <w:tcBorders>
              <w:top w:val="nil"/>
              <w:left w:val="nil"/>
              <w:bottom w:val="single" w:sz="4" w:space="0" w:color="auto"/>
              <w:right w:val="nil"/>
            </w:tcBorders>
            <w:shd w:val="clear" w:color="auto" w:fill="auto"/>
            <w:noWrap/>
            <w:vAlign w:val="bottom"/>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11</w:t>
            </w:r>
          </w:p>
        </w:tc>
        <w:tc>
          <w:tcPr>
            <w:tcW w:w="840" w:type="dxa"/>
            <w:tcBorders>
              <w:top w:val="nil"/>
              <w:left w:val="nil"/>
              <w:bottom w:val="single" w:sz="4" w:space="0" w:color="auto"/>
              <w:right w:val="nil"/>
            </w:tcBorders>
            <w:shd w:val="clear" w:color="auto" w:fill="auto"/>
            <w:noWrap/>
            <w:vAlign w:val="bottom"/>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0</w:t>
            </w:r>
          </w:p>
        </w:tc>
        <w:tc>
          <w:tcPr>
            <w:tcW w:w="840" w:type="dxa"/>
            <w:tcBorders>
              <w:top w:val="nil"/>
              <w:left w:val="nil"/>
              <w:bottom w:val="single" w:sz="4" w:space="0" w:color="auto"/>
              <w:right w:val="nil"/>
            </w:tcBorders>
            <w:shd w:val="clear" w:color="auto" w:fill="auto"/>
            <w:noWrap/>
            <w:vAlign w:val="bottom"/>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0</w:t>
            </w:r>
          </w:p>
        </w:tc>
        <w:tc>
          <w:tcPr>
            <w:tcW w:w="840" w:type="dxa"/>
            <w:tcBorders>
              <w:top w:val="nil"/>
              <w:left w:val="nil"/>
              <w:bottom w:val="single" w:sz="4" w:space="0" w:color="auto"/>
              <w:right w:val="nil"/>
            </w:tcBorders>
            <w:shd w:val="clear" w:color="auto" w:fill="auto"/>
            <w:noWrap/>
            <w:vAlign w:val="bottom"/>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0</w:t>
            </w:r>
          </w:p>
        </w:tc>
        <w:tc>
          <w:tcPr>
            <w:tcW w:w="840" w:type="dxa"/>
            <w:tcBorders>
              <w:top w:val="nil"/>
              <w:left w:val="nil"/>
              <w:bottom w:val="single" w:sz="4" w:space="0" w:color="auto"/>
              <w:right w:val="nil"/>
            </w:tcBorders>
            <w:shd w:val="clear" w:color="auto" w:fill="auto"/>
            <w:noWrap/>
            <w:vAlign w:val="bottom"/>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29</w:t>
            </w:r>
          </w:p>
        </w:tc>
        <w:tc>
          <w:tcPr>
            <w:tcW w:w="840" w:type="dxa"/>
            <w:tcBorders>
              <w:top w:val="nil"/>
              <w:left w:val="nil"/>
              <w:bottom w:val="single" w:sz="4" w:space="0" w:color="auto"/>
              <w:right w:val="nil"/>
            </w:tcBorders>
            <w:shd w:val="clear" w:color="auto" w:fill="auto"/>
            <w:noWrap/>
            <w:vAlign w:val="bottom"/>
            <w:hideMark/>
          </w:tcPr>
          <w:p w:rsidR="0061445D" w:rsidRPr="0061445D" w:rsidRDefault="0061445D" w:rsidP="0061445D">
            <w:pPr>
              <w:tabs>
                <w:tab w:val="clear" w:pos="567"/>
              </w:tabs>
              <w:spacing w:after="0" w:line="240" w:lineRule="auto"/>
              <w:jc w:val="right"/>
              <w:rPr>
                <w:rFonts w:ascii="Calibri" w:eastAsia="Times New Roman" w:hAnsi="Calibri" w:cs="Times New Roman"/>
                <w:sz w:val="18"/>
                <w:szCs w:val="18"/>
                <w:lang w:eastAsia="en-AU"/>
              </w:rPr>
            </w:pPr>
            <w:r w:rsidRPr="0061445D">
              <w:rPr>
                <w:rFonts w:ascii="Calibri" w:eastAsia="Times New Roman" w:hAnsi="Calibri" w:cs="Times New Roman"/>
                <w:sz w:val="18"/>
                <w:szCs w:val="18"/>
                <w:lang w:eastAsia="en-AU"/>
              </w:rPr>
              <w:t>2</w:t>
            </w:r>
          </w:p>
        </w:tc>
      </w:tr>
    </w:tbl>
    <w:p w:rsidR="008E1820" w:rsidRDefault="008E1820" w:rsidP="008E1820">
      <w:pPr>
        <w:pStyle w:val="CGCTableFootnote"/>
        <w:keepNext/>
        <w:keepLines/>
        <w:ind w:left="0" w:firstLine="0"/>
      </w:pPr>
      <w:r>
        <w:t>Source:</w:t>
      </w:r>
      <w:r>
        <w:tab/>
        <w:t>Commission calculation</w:t>
      </w:r>
      <w:r w:rsidR="00656E18">
        <w:t>,</w:t>
      </w:r>
      <w:r>
        <w:t xml:space="preserve"> </w:t>
      </w:r>
      <w:r w:rsidR="00BC758A">
        <w:t>2018</w:t>
      </w:r>
      <w:r>
        <w:t xml:space="preserve"> Update.</w:t>
      </w:r>
    </w:p>
    <w:p w:rsidR="00944167" w:rsidRDefault="00944167" w:rsidP="00944167">
      <w:pPr>
        <w:pStyle w:val="CGCNumberedPara"/>
      </w:pPr>
      <w:r>
        <w:t>During the 2015 Review, only Queensland, Western Australia and the Northern Territory supported this</w:t>
      </w:r>
      <w:r w:rsidR="00357A5C">
        <w:t>, or a similar</w:t>
      </w:r>
      <w:r w:rsidR="00E4473E">
        <w:t xml:space="preserve"> </w:t>
      </w:r>
      <w:r>
        <w:t>assessment</w:t>
      </w:r>
      <w:r w:rsidR="00357A5C">
        <w:t>,</w:t>
      </w:r>
      <w:r>
        <w:t xml:space="preserve"> as part of an assessment of mining-related expenditure. </w:t>
      </w:r>
      <w:r w:rsidR="0061445D">
        <w:t>These are the only Stat</w:t>
      </w:r>
      <w:r w:rsidR="00410FDC">
        <w:t xml:space="preserve">es with above average expenses </w:t>
      </w:r>
      <w:r w:rsidR="0061445D">
        <w:t>(</w:t>
      </w:r>
      <w:r w:rsidR="0061445D">
        <w:fldChar w:fldCharType="begin"/>
      </w:r>
      <w:r w:rsidR="0061445D">
        <w:instrText xml:space="preserve"> REF _Ref496787510 \h </w:instrText>
      </w:r>
      <w:r w:rsidR="0061445D">
        <w:fldChar w:fldCharType="separate"/>
      </w:r>
      <w:r w:rsidR="00F85E11">
        <w:t xml:space="preserve">Table </w:t>
      </w:r>
      <w:r w:rsidR="00F85E11">
        <w:rPr>
          <w:noProof/>
        </w:rPr>
        <w:t>4</w:t>
      </w:r>
      <w:r w:rsidR="0061445D">
        <w:fldChar w:fldCharType="end"/>
      </w:r>
      <w:r w:rsidR="0061445D">
        <w:t>)</w:t>
      </w:r>
      <w:r w:rsidR="00410FDC">
        <w:t>.</w:t>
      </w:r>
    </w:p>
    <w:p w:rsidR="007D4274" w:rsidRDefault="00896343" w:rsidP="00F13C25">
      <w:pPr>
        <w:pStyle w:val="CGCNumberedPara"/>
      </w:pPr>
      <w:r>
        <w:t xml:space="preserve">Since the 2015 Review, staff </w:t>
      </w:r>
      <w:r w:rsidR="00E4473E">
        <w:t xml:space="preserve">have reconsidered whether </w:t>
      </w:r>
      <w:r>
        <w:t xml:space="preserve">population growth </w:t>
      </w:r>
      <w:r w:rsidR="00E4473E">
        <w:t>is</w:t>
      </w:r>
      <w:r>
        <w:t xml:space="preserve"> the main factor driving expenses</w:t>
      </w:r>
      <w:r w:rsidR="000F2042">
        <w:t xml:space="preserve"> for this component. </w:t>
      </w:r>
      <w:r w:rsidR="000432BA">
        <w:t>Our analys</w:t>
      </w:r>
      <w:r w:rsidR="003342CF">
        <w:t>is indicates</w:t>
      </w:r>
      <w:r w:rsidR="000F2042">
        <w:t xml:space="preserve"> </w:t>
      </w:r>
      <w:r w:rsidR="00B56AA9">
        <w:t xml:space="preserve">the grants </w:t>
      </w:r>
      <w:r w:rsidR="00523422">
        <w:t>are generally</w:t>
      </w:r>
      <w:r w:rsidR="008D171A">
        <w:t xml:space="preserve"> part of </w:t>
      </w:r>
      <w:r w:rsidR="00B56AA9">
        <w:t>regional economic development</w:t>
      </w:r>
      <w:r w:rsidR="008D171A">
        <w:t xml:space="preserve"> programs and it is not apparent </w:t>
      </w:r>
      <w:r w:rsidR="000432BA">
        <w:t xml:space="preserve">how </w:t>
      </w:r>
      <w:r w:rsidR="008D171A">
        <w:t xml:space="preserve">States </w:t>
      </w:r>
      <w:r w:rsidR="000432BA">
        <w:t xml:space="preserve">determine their level of </w:t>
      </w:r>
      <w:r w:rsidR="008D171A">
        <w:t>support fo</w:t>
      </w:r>
      <w:r w:rsidR="00BC758A">
        <w:t xml:space="preserve">r </w:t>
      </w:r>
      <w:r w:rsidR="0061445D">
        <w:t>these programs</w:t>
      </w:r>
      <w:r w:rsidR="00BC758A">
        <w:t>.</w:t>
      </w:r>
    </w:p>
    <w:p w:rsidR="00081F85" w:rsidRDefault="00CB1DB3" w:rsidP="00F13C25">
      <w:pPr>
        <w:pStyle w:val="CGCNumberedPara"/>
      </w:pPr>
      <w:r>
        <w:t>Some of the s</w:t>
      </w:r>
      <w:r w:rsidR="009D2475">
        <w:t xml:space="preserve">pending in </w:t>
      </w:r>
      <w:r w:rsidR="00081F85">
        <w:t xml:space="preserve">Queensland </w:t>
      </w:r>
      <w:r w:rsidR="009D2475">
        <w:t xml:space="preserve">occurs under </w:t>
      </w:r>
      <w:r w:rsidR="00081F85" w:rsidRPr="00081F85">
        <w:t>Building our Regions</w:t>
      </w:r>
      <w:r w:rsidR="00081F85">
        <w:t>,</w:t>
      </w:r>
      <w:r w:rsidR="00081F85" w:rsidRPr="00081F85">
        <w:t xml:space="preserve"> </w:t>
      </w:r>
      <w:r w:rsidR="00081F85">
        <w:t>a</w:t>
      </w:r>
      <w:r w:rsidR="0005282D">
        <w:t>n</w:t>
      </w:r>
      <w:r w:rsidR="00081F85">
        <w:t xml:space="preserve"> </w:t>
      </w:r>
      <w:r w:rsidR="00081F85" w:rsidRPr="00081F85">
        <w:t xml:space="preserve">infrastructure program for local government projects. The </w:t>
      </w:r>
      <w:r w:rsidR="008147AB">
        <w:t xml:space="preserve">program is designed </w:t>
      </w:r>
      <w:r w:rsidR="00081F85" w:rsidRPr="00081F85">
        <w:t xml:space="preserve">to provide funding for critical infrastructure in regional areas of the </w:t>
      </w:r>
      <w:r w:rsidR="000432BA">
        <w:t>S</w:t>
      </w:r>
      <w:r w:rsidR="00081F85" w:rsidRPr="00081F85">
        <w:t>tate, while also generating jobs, fostering economic development and improving the liveability of regional communities.</w:t>
      </w:r>
      <w:r w:rsidR="00081F85">
        <w:rPr>
          <w:rStyle w:val="FootnoteReference"/>
        </w:rPr>
        <w:footnoteReference w:id="10"/>
      </w:r>
    </w:p>
    <w:p w:rsidR="00F1617F" w:rsidRDefault="00F1617F" w:rsidP="003D1E9F">
      <w:pPr>
        <w:pStyle w:val="CGCNumberedPara"/>
      </w:pPr>
      <w:r>
        <w:t xml:space="preserve">Western Australia </w:t>
      </w:r>
      <w:r w:rsidR="008147AB">
        <w:t>provides similar programs</w:t>
      </w:r>
      <w:r w:rsidR="003D1E9F">
        <w:t xml:space="preserve"> through the Royalties for Regions</w:t>
      </w:r>
      <w:r w:rsidR="0061445D">
        <w:t>’</w:t>
      </w:r>
      <w:r w:rsidR="003D1E9F">
        <w:t xml:space="preserve"> funds including the </w:t>
      </w:r>
      <w:r>
        <w:t>Country Local Government Fund</w:t>
      </w:r>
      <w:r w:rsidR="003D1E9F">
        <w:t>,</w:t>
      </w:r>
      <w:r w:rsidR="00B92510">
        <w:t xml:space="preserve"> </w:t>
      </w:r>
      <w:r w:rsidR="00AF79A4">
        <w:t>the Regional Community Services Fund and the Regional Infrastructure and Headworks Fund</w:t>
      </w:r>
      <w:r w:rsidR="003D1E9F">
        <w:t>.</w:t>
      </w:r>
      <w:r w:rsidR="003D1E9F">
        <w:rPr>
          <w:rStyle w:val="FootnoteReference"/>
        </w:rPr>
        <w:footnoteReference w:id="11"/>
      </w:r>
      <w:r w:rsidR="00AF79A4">
        <w:t xml:space="preserve"> </w:t>
      </w:r>
    </w:p>
    <w:p w:rsidR="00D102E0" w:rsidRDefault="008147AB" w:rsidP="00F13C25">
      <w:pPr>
        <w:pStyle w:val="CGCNumberedPara"/>
      </w:pPr>
      <w:r>
        <w:t>Staff consider that p</w:t>
      </w:r>
      <w:r w:rsidR="008D171A">
        <w:t xml:space="preserve">opulation growth may be a factor </w:t>
      </w:r>
      <w:r>
        <w:t xml:space="preserve">in determining the level of funding provided to local governments in regional areas, </w:t>
      </w:r>
      <w:r w:rsidR="008D171A">
        <w:t xml:space="preserve">but </w:t>
      </w:r>
      <w:r>
        <w:t xml:space="preserve">that </w:t>
      </w:r>
      <w:r w:rsidR="00945023">
        <w:t>employment</w:t>
      </w:r>
      <w:r w:rsidR="008D171A">
        <w:t xml:space="preserve"> creation</w:t>
      </w:r>
      <w:r w:rsidR="00945023">
        <w:t xml:space="preserve"> or the weaknesses of local government revenue bases linked to population decline may also influence State spending.</w:t>
      </w:r>
      <w:r w:rsidR="009D2475">
        <w:t xml:space="preserve"> </w:t>
      </w:r>
      <w:r w:rsidR="00896343">
        <w:t xml:space="preserve">As the drivers of expenses for this component are unclear, staff </w:t>
      </w:r>
      <w:r w:rsidR="00D102E0">
        <w:t>recommend ceasing the assessment.</w:t>
      </w:r>
    </w:p>
    <w:tbl>
      <w:tblPr>
        <w:tblW w:w="0" w:type="auto"/>
        <w:tblInd w:w="108" w:type="dxa"/>
        <w:shd w:val="clear" w:color="auto" w:fill="D9F3E6"/>
        <w:tblLook w:val="04A0" w:firstRow="1" w:lastRow="0" w:firstColumn="1" w:lastColumn="0" w:noHBand="0" w:noVBand="1"/>
      </w:tblPr>
      <w:tblGrid>
        <w:gridCol w:w="8931"/>
      </w:tblGrid>
      <w:tr w:rsidR="00B7517F" w:rsidRPr="00E674AF" w:rsidTr="00CE2B93">
        <w:tc>
          <w:tcPr>
            <w:tcW w:w="8931" w:type="dxa"/>
            <w:shd w:val="clear" w:color="auto" w:fill="D9F3E6"/>
          </w:tcPr>
          <w:p w:rsidR="00B7517F" w:rsidRPr="00E674AF" w:rsidRDefault="00B7517F" w:rsidP="00CE2B93">
            <w:r w:rsidRPr="00B7517F">
              <w:t>Staff propose to recommend the Commission:</w:t>
            </w:r>
          </w:p>
          <w:p w:rsidR="00B7517F" w:rsidRPr="00E674AF" w:rsidRDefault="008F0689" w:rsidP="00F96A45">
            <w:pPr>
              <w:pStyle w:val="CGCBulletlist"/>
              <w:numPr>
                <w:ilvl w:val="0"/>
                <w:numId w:val="1"/>
              </w:numPr>
              <w:tabs>
                <w:tab w:val="clear" w:pos="927"/>
                <w:tab w:val="clear" w:pos="1134"/>
              </w:tabs>
              <w:ind w:left="1134" w:hanging="567"/>
            </w:pPr>
            <w:r>
              <w:t>cease assessing the capital grants to local governments for community amenities component</w:t>
            </w:r>
            <w:r w:rsidR="00C032D5">
              <w:t xml:space="preserve"> because the driver of this </w:t>
            </w:r>
            <w:r w:rsidR="00071A90">
              <w:t>s</w:t>
            </w:r>
            <w:r w:rsidR="00C032D5">
              <w:t>pending is unclear</w:t>
            </w:r>
            <w:r>
              <w:t>.</w:t>
            </w:r>
          </w:p>
        </w:tc>
      </w:tr>
    </w:tbl>
    <w:p w:rsidR="00D90574" w:rsidRPr="00CB0F4E" w:rsidRDefault="00D90574" w:rsidP="005C1BDA">
      <w:pPr>
        <w:pStyle w:val="Heading4"/>
      </w:pPr>
      <w:bookmarkStart w:id="42" w:name="_Toc510091843"/>
      <w:bookmarkStart w:id="43" w:name="_Toc510795490"/>
      <w:bookmarkStart w:id="44" w:name="_Toc511394442"/>
      <w:r w:rsidRPr="00CB0F4E">
        <w:t>National parks and wildlife services</w:t>
      </w:r>
      <w:bookmarkEnd w:id="42"/>
      <w:bookmarkEnd w:id="43"/>
      <w:bookmarkEnd w:id="44"/>
    </w:p>
    <w:p w:rsidR="00D90574" w:rsidRDefault="00D90574" w:rsidP="00D90574">
      <w:pPr>
        <w:pStyle w:val="CGCNumberedPara"/>
        <w:numPr>
          <w:ilvl w:val="1"/>
          <w:numId w:val="3"/>
        </w:numPr>
      </w:pPr>
      <w:r>
        <w:t xml:space="preserve">During the 2015 Review, we </w:t>
      </w:r>
      <w:r w:rsidR="00430A46">
        <w:t>investigated an assessment of n</w:t>
      </w:r>
      <w:r w:rsidRPr="00CB0F4E">
        <w:t xml:space="preserve">ational parks and wildlife expenses. </w:t>
      </w:r>
      <w:r>
        <w:t>At that time we found that</w:t>
      </w:r>
      <w:r w:rsidRPr="00CB0F4E">
        <w:t xml:space="preserve"> despite national guidelines on the establishment of designated protected areas, significant differences remain between the States in</w:t>
      </w:r>
      <w:r w:rsidR="00430A46">
        <w:t xml:space="preserve"> the</w:t>
      </w:r>
      <w:r w:rsidRPr="00CB0F4E">
        <w:t xml:space="preserve"> numbers of parks and areas protected. The historical development of protected areas will continue to mean that some States will have considerably larger proportions of their jurisdictions protected. While it is difficult to attribute all these differences to State policies, undoubtedly, these have had a major impact. The Commonwealth also has had a major influence on the size of areas protected, particularly in Tasmania and the ACT. </w:t>
      </w:r>
    </w:p>
    <w:p w:rsidR="00DD0F28" w:rsidRDefault="00DD0F28" w:rsidP="006554CC">
      <w:pPr>
        <w:pStyle w:val="CGCNumberedPara"/>
        <w:numPr>
          <w:ilvl w:val="1"/>
          <w:numId w:val="3"/>
        </w:numPr>
      </w:pPr>
      <w:r>
        <w:t xml:space="preserve">Expenses for national park and wildlife services were around $1 billion in 2016-17. Under the ABS </w:t>
      </w:r>
      <w:r w:rsidRPr="00DF22F6">
        <w:rPr>
          <w:i/>
        </w:rPr>
        <w:t>Australian System of</w:t>
      </w:r>
      <w:r>
        <w:rPr>
          <w:i/>
        </w:rPr>
        <w:t xml:space="preserve"> </w:t>
      </w:r>
      <w:r w:rsidRPr="00DF22F6">
        <w:rPr>
          <w:i/>
        </w:rPr>
        <w:t>Government Finance</w:t>
      </w:r>
      <w:r>
        <w:rPr>
          <w:i/>
        </w:rPr>
        <w:t xml:space="preserve"> </w:t>
      </w:r>
      <w:r w:rsidRPr="00DF22F6">
        <w:rPr>
          <w:i/>
        </w:rPr>
        <w:t>Statistics: Concepts,</w:t>
      </w:r>
      <w:r>
        <w:rPr>
          <w:i/>
        </w:rPr>
        <w:t xml:space="preserve"> </w:t>
      </w:r>
      <w:r w:rsidRPr="00DF22F6">
        <w:rPr>
          <w:i/>
        </w:rPr>
        <w:t>Sources and Methods</w:t>
      </w:r>
      <w:r>
        <w:rPr>
          <w:i/>
        </w:rPr>
        <w:t xml:space="preserve">, 2015, </w:t>
      </w:r>
      <w:r>
        <w:t xml:space="preserve">which will come into effect during the 2019 Update, national park and wildlife services will </w:t>
      </w:r>
      <w:r w:rsidR="00834434">
        <w:t>no longer be a separate expense</w:t>
      </w:r>
      <w:r>
        <w:t xml:space="preserve"> </w:t>
      </w:r>
      <w:r w:rsidR="00834434">
        <w:t xml:space="preserve">classification </w:t>
      </w:r>
      <w:r w:rsidR="00C80A1D">
        <w:t xml:space="preserve">and </w:t>
      </w:r>
      <w:r>
        <w:t xml:space="preserve">will </w:t>
      </w:r>
      <w:r w:rsidR="00834434">
        <w:t xml:space="preserve">instead </w:t>
      </w:r>
      <w:r>
        <w:t>be combined with other environmental protection expenses.</w:t>
      </w:r>
      <w:r>
        <w:rPr>
          <w:rStyle w:val="FootnoteReference"/>
        </w:rPr>
        <w:footnoteReference w:id="12"/>
      </w:r>
    </w:p>
    <w:p w:rsidR="006554CC" w:rsidRDefault="00D90574" w:rsidP="006554CC">
      <w:pPr>
        <w:pStyle w:val="CGCNumberedPara"/>
        <w:numPr>
          <w:ilvl w:val="1"/>
          <w:numId w:val="3"/>
        </w:numPr>
      </w:pPr>
      <w:r>
        <w:t xml:space="preserve">At this time we do not propose developing an assessment for </w:t>
      </w:r>
      <w:r w:rsidRPr="00CB0F4E">
        <w:t>national parks and wildlife services</w:t>
      </w:r>
      <w:r>
        <w:t>,</w:t>
      </w:r>
      <w:r w:rsidRPr="00CB0F4E">
        <w:t xml:space="preserve"> given the uncertainties surrounding the policy influences on the number and size of national parks and the difficulty in obtaining reliable data to measure relative cost influences. </w:t>
      </w:r>
      <w:r w:rsidR="00DD0F28">
        <w:t xml:space="preserve">In addition, the new GFS classification will not </w:t>
      </w:r>
      <w:r w:rsidR="00B204AB">
        <w:t>separately identify</w:t>
      </w:r>
      <w:r w:rsidR="00DD0F28">
        <w:t xml:space="preserve"> these expenses</w:t>
      </w:r>
      <w:r w:rsidR="00B204AB">
        <w:t>.</w:t>
      </w:r>
    </w:p>
    <w:tbl>
      <w:tblPr>
        <w:tblW w:w="0" w:type="auto"/>
        <w:tblInd w:w="108" w:type="dxa"/>
        <w:shd w:val="clear" w:color="auto" w:fill="D9F3E6"/>
        <w:tblLook w:val="04A0" w:firstRow="1" w:lastRow="0" w:firstColumn="1" w:lastColumn="0" w:noHBand="0" w:noVBand="1"/>
      </w:tblPr>
      <w:tblGrid>
        <w:gridCol w:w="8931"/>
      </w:tblGrid>
      <w:tr w:rsidR="006554CC" w:rsidRPr="00E674AF" w:rsidTr="00CE2B93">
        <w:tc>
          <w:tcPr>
            <w:tcW w:w="8931" w:type="dxa"/>
            <w:shd w:val="clear" w:color="auto" w:fill="D9F3E6"/>
          </w:tcPr>
          <w:p w:rsidR="006554CC" w:rsidRPr="00E674AF" w:rsidRDefault="006554CC" w:rsidP="006554CC">
            <w:r w:rsidRPr="00B7517F">
              <w:t>Staff propose to recommend the Commission:</w:t>
            </w:r>
          </w:p>
          <w:p w:rsidR="006554CC" w:rsidRPr="00E674AF" w:rsidRDefault="006554CC" w:rsidP="006554CC">
            <w:pPr>
              <w:pStyle w:val="CGCBulletlist"/>
            </w:pPr>
            <w:r>
              <w:t>not assess national parks and wildlife services, due to uncertainties surrounding the policy influences and difficulty in obtaining reliable data to measure cost influences</w:t>
            </w:r>
            <w:r w:rsidR="00474996">
              <w:t xml:space="preserve"> and expenses</w:t>
            </w:r>
            <w:r>
              <w:t>.</w:t>
            </w:r>
          </w:p>
        </w:tc>
      </w:tr>
    </w:tbl>
    <w:p w:rsidR="008961BE" w:rsidRDefault="008961BE" w:rsidP="008961BE">
      <w:pPr>
        <w:pStyle w:val="Heading4"/>
      </w:pPr>
      <w:bookmarkStart w:id="45" w:name="_Toc510091844"/>
      <w:bookmarkStart w:id="46" w:name="_Toc510795491"/>
      <w:bookmarkStart w:id="47" w:name="_Toc511394443"/>
      <w:r>
        <w:t>Cross-border expenses</w:t>
      </w:r>
      <w:bookmarkEnd w:id="45"/>
      <w:bookmarkEnd w:id="46"/>
      <w:bookmarkEnd w:id="47"/>
    </w:p>
    <w:p w:rsidR="00ED6ACE" w:rsidRDefault="008961BE" w:rsidP="0062504C">
      <w:pPr>
        <w:pStyle w:val="CGCNumberedPara"/>
      </w:pPr>
      <w:r>
        <w:t xml:space="preserve">The </w:t>
      </w:r>
      <w:r w:rsidR="00430A46">
        <w:t>cross-border</w:t>
      </w:r>
      <w:r>
        <w:t xml:space="preserve"> assessment is being reviewed as a whole</w:t>
      </w:r>
      <w:r w:rsidR="00945023">
        <w:t xml:space="preserve">. </w:t>
      </w:r>
      <w:r w:rsidR="005A60FC">
        <w:t>Previously, t</w:t>
      </w:r>
      <w:r w:rsidR="00945023">
        <w:t>he cross</w:t>
      </w:r>
      <w:r w:rsidR="0062504C">
        <w:noBreakHyphen/>
      </w:r>
      <w:r w:rsidR="00945023">
        <w:t xml:space="preserve">border </w:t>
      </w:r>
      <w:r>
        <w:t xml:space="preserve">adjustment </w:t>
      </w:r>
      <w:r w:rsidR="00945023">
        <w:t xml:space="preserve">in this category </w:t>
      </w:r>
      <w:r w:rsidR="005A60FC">
        <w:t xml:space="preserve">was </w:t>
      </w:r>
      <w:r>
        <w:t xml:space="preserve">intended </w:t>
      </w:r>
      <w:r w:rsidR="008D171A">
        <w:t xml:space="preserve">to </w:t>
      </w:r>
      <w:r>
        <w:t xml:space="preserve">reflect the increased expenses for the </w:t>
      </w:r>
      <w:r w:rsidRPr="00F46B46">
        <w:t xml:space="preserve">ACT </w:t>
      </w:r>
      <w:r w:rsidR="008D171A">
        <w:t xml:space="preserve">to provide </w:t>
      </w:r>
      <w:r w:rsidRPr="00F46B46">
        <w:t xml:space="preserve">library, sports grounds and other cultural and recreational services </w:t>
      </w:r>
      <w:r w:rsidR="00945023">
        <w:t>to</w:t>
      </w:r>
      <w:r w:rsidRPr="00F46B46">
        <w:t xml:space="preserve"> New</w:t>
      </w:r>
      <w:r w:rsidR="00342F6F">
        <w:t> </w:t>
      </w:r>
      <w:r w:rsidRPr="00F46B46">
        <w:t>South Wales residents.</w:t>
      </w:r>
      <w:r w:rsidR="006C16C3">
        <w:t xml:space="preserve"> Staff </w:t>
      </w:r>
      <w:r w:rsidR="00656E18">
        <w:t>propose</w:t>
      </w:r>
      <w:r w:rsidR="005A60FC">
        <w:t xml:space="preserve"> </w:t>
      </w:r>
      <w:r w:rsidR="006C16C3">
        <w:t xml:space="preserve">not </w:t>
      </w:r>
      <w:r w:rsidR="005A60FC">
        <w:t>to assess a cross</w:t>
      </w:r>
      <w:r w:rsidR="005A60FC">
        <w:noBreakHyphen/>
        <w:t>border disability for these services unless the ACT is able to</w:t>
      </w:r>
      <w:r>
        <w:t xml:space="preserve"> provide current data to substantiate </w:t>
      </w:r>
      <w:r w:rsidR="005A60FC">
        <w:t xml:space="preserve">an assessment. </w:t>
      </w:r>
      <w:r>
        <w:t xml:space="preserve">For further information, refer to </w:t>
      </w:r>
      <w:r w:rsidR="0020120B">
        <w:t xml:space="preserve">Staff Draft Assessment Paper </w:t>
      </w:r>
      <w:r w:rsidR="005A60FC" w:rsidRPr="00AC5EA8">
        <w:rPr>
          <w:i/>
        </w:rPr>
        <w:t>CGC</w:t>
      </w:r>
      <w:r w:rsidR="0062504C" w:rsidRPr="00AC5EA8">
        <w:rPr>
          <w:i/>
        </w:rPr>
        <w:t> </w:t>
      </w:r>
      <w:r w:rsidR="005A60FC" w:rsidRPr="00AC5EA8">
        <w:rPr>
          <w:i/>
        </w:rPr>
        <w:t>2018</w:t>
      </w:r>
      <w:r w:rsidR="0062504C" w:rsidRPr="00AC5EA8">
        <w:rPr>
          <w:i/>
        </w:rPr>
        <w:noBreakHyphen/>
      </w:r>
      <w:r w:rsidR="005A60FC" w:rsidRPr="00AC5EA8">
        <w:rPr>
          <w:i/>
        </w:rPr>
        <w:t>01/2</w:t>
      </w:r>
      <w:r w:rsidR="00AC5EA8" w:rsidRPr="00AC5EA8">
        <w:rPr>
          <w:i/>
        </w:rPr>
        <w:t>5</w:t>
      </w:r>
      <w:r w:rsidR="005A60FC" w:rsidRPr="00AC5EA8">
        <w:rPr>
          <w:i/>
        </w:rPr>
        <w:t>-S</w:t>
      </w:r>
      <w:r w:rsidR="00656E18">
        <w:rPr>
          <w:i/>
        </w:rPr>
        <w:t xml:space="preserve">, </w:t>
      </w:r>
      <w:r w:rsidR="005A60FC" w:rsidRPr="00AC5EA8">
        <w:rPr>
          <w:i/>
        </w:rPr>
        <w:t>Other disabilities</w:t>
      </w:r>
      <w:r w:rsidR="005A60FC">
        <w:t xml:space="preserve">. </w:t>
      </w:r>
    </w:p>
    <w:tbl>
      <w:tblPr>
        <w:tblStyle w:val="TableGrid"/>
        <w:tblW w:w="0" w:type="auto"/>
        <w:tblLook w:val="04A0" w:firstRow="1" w:lastRow="0" w:firstColumn="1" w:lastColumn="0" w:noHBand="0" w:noVBand="1"/>
      </w:tblPr>
      <w:tblGrid>
        <w:gridCol w:w="9167"/>
      </w:tblGrid>
      <w:tr w:rsidR="00A4511A" w:rsidTr="00A4511A">
        <w:tc>
          <w:tcPr>
            <w:tcW w:w="9167" w:type="dxa"/>
            <w:tcBorders>
              <w:top w:val="nil"/>
              <w:left w:val="nil"/>
              <w:bottom w:val="nil"/>
              <w:right w:val="nil"/>
            </w:tcBorders>
            <w:shd w:val="clear" w:color="auto" w:fill="D9F3E6"/>
          </w:tcPr>
          <w:p w:rsidR="00A4511A" w:rsidRPr="00E674AF" w:rsidRDefault="00A4511A" w:rsidP="00A4511A">
            <w:pPr>
              <w:pStyle w:val="ListParagraph"/>
              <w:ind w:left="0"/>
            </w:pPr>
            <w:r w:rsidRPr="00B7517F">
              <w:t>Staff propose to recommend the Commission:</w:t>
            </w:r>
          </w:p>
          <w:p w:rsidR="00A4511A" w:rsidRDefault="00A4511A" w:rsidP="00A4511A">
            <w:pPr>
              <w:pStyle w:val="CGCBulletlist"/>
            </w:pPr>
            <w:r>
              <w:t xml:space="preserve">not </w:t>
            </w:r>
            <w:r w:rsidRPr="006C16C3">
              <w:t xml:space="preserve">assess a </w:t>
            </w:r>
            <w:r>
              <w:t>cross-border</w:t>
            </w:r>
            <w:r w:rsidRPr="006C16C3">
              <w:t xml:space="preserve"> disability for library, sports grounds and other cultural and recreational services provided to New South Wales residents unless the ACT is able to provide current data to substantiate an assessment</w:t>
            </w:r>
            <w:r>
              <w:t>.</w:t>
            </w:r>
          </w:p>
        </w:tc>
      </w:tr>
    </w:tbl>
    <w:p w:rsidR="003550FB" w:rsidRDefault="003550FB" w:rsidP="003550FB">
      <w:pPr>
        <w:pStyle w:val="Heading4"/>
      </w:pPr>
      <w:bookmarkStart w:id="48" w:name="_Toc510091845"/>
      <w:bookmarkStart w:id="49" w:name="_Toc510795492"/>
      <w:bookmarkStart w:id="50" w:name="_Toc511394444"/>
      <w:r>
        <w:t>Administrative scale</w:t>
      </w:r>
      <w:bookmarkEnd w:id="48"/>
      <w:bookmarkEnd w:id="49"/>
      <w:bookmarkEnd w:id="50"/>
    </w:p>
    <w:p w:rsidR="003550FB" w:rsidRPr="00E674AF" w:rsidRDefault="009B272B" w:rsidP="0086718A">
      <w:pPr>
        <w:pStyle w:val="CGCNumberedPara"/>
      </w:pPr>
      <w:r>
        <w:t xml:space="preserve">Staff </w:t>
      </w:r>
      <w:r w:rsidR="008F696E">
        <w:t>are seeking</w:t>
      </w:r>
      <w:r w:rsidR="00DA4AA5">
        <w:t xml:space="preserve"> advice from States on whether administrative scale ex</w:t>
      </w:r>
      <w:r w:rsidR="00342F6F">
        <w:t>penses should be included as</w:t>
      </w:r>
      <w:r w:rsidR="00DA4AA5">
        <w:t xml:space="preserve"> a component of the Other expenses category or separately iden</w:t>
      </w:r>
      <w:r>
        <w:t xml:space="preserve">tified in each expense category, before making a recommendation to the Commission. </w:t>
      </w:r>
      <w:r w:rsidR="003550FB">
        <w:t>For further information, refer to</w:t>
      </w:r>
      <w:r w:rsidR="00E86442">
        <w:t xml:space="preserve"> Staff Draft Assessment Paper</w:t>
      </w:r>
      <w:r w:rsidR="003550FB">
        <w:t xml:space="preserve"> </w:t>
      </w:r>
      <w:r w:rsidR="00AC5EA8">
        <w:rPr>
          <w:i/>
        </w:rPr>
        <w:t>CGC 2018-01/24</w:t>
      </w:r>
      <w:r w:rsidR="005A60FC" w:rsidRPr="0062504C">
        <w:rPr>
          <w:i/>
        </w:rPr>
        <w:t>-S</w:t>
      </w:r>
      <w:r w:rsidR="00656E18">
        <w:rPr>
          <w:i/>
        </w:rPr>
        <w:t>,</w:t>
      </w:r>
      <w:r w:rsidR="005A60FC" w:rsidRPr="0062504C">
        <w:rPr>
          <w:i/>
        </w:rPr>
        <w:t xml:space="preserve"> </w:t>
      </w:r>
      <w:r w:rsidR="003550FB" w:rsidRPr="0062504C">
        <w:rPr>
          <w:i/>
        </w:rPr>
        <w:t>Administrative scale</w:t>
      </w:r>
      <w:r w:rsidR="00342F6F">
        <w:t>.</w:t>
      </w:r>
    </w:p>
    <w:p w:rsidR="00E330D1" w:rsidRDefault="006808E7" w:rsidP="00E330D1">
      <w:pPr>
        <w:pStyle w:val="Heading4"/>
      </w:pPr>
      <w:bookmarkStart w:id="51" w:name="_Toc510091846"/>
      <w:bookmarkStart w:id="52" w:name="_Toc510795493"/>
      <w:bookmarkStart w:id="53" w:name="_Toc511394445"/>
      <w:r>
        <w:t xml:space="preserve">Other </w:t>
      </w:r>
      <w:r w:rsidR="0062504C">
        <w:t>issues</w:t>
      </w:r>
      <w:r>
        <w:t xml:space="preserve"> including location</w:t>
      </w:r>
      <w:bookmarkEnd w:id="51"/>
      <w:bookmarkEnd w:id="52"/>
      <w:bookmarkEnd w:id="53"/>
    </w:p>
    <w:p w:rsidR="006808E7" w:rsidRDefault="006808E7" w:rsidP="00AE655E">
      <w:pPr>
        <w:pStyle w:val="CGCNumberedPara"/>
        <w:numPr>
          <w:ilvl w:val="1"/>
          <w:numId w:val="3"/>
        </w:numPr>
      </w:pPr>
      <w:r>
        <w:t>Proposals have been made in other draft assessment papers to include additional e</w:t>
      </w:r>
      <w:r w:rsidR="0062504C">
        <w:t>xpenses in this category if the Commission</w:t>
      </w:r>
      <w:r>
        <w:t xml:space="preserve"> </w:t>
      </w:r>
      <w:r w:rsidR="0062504C">
        <w:t>continues to assess them</w:t>
      </w:r>
      <w:r>
        <w:t xml:space="preserve"> </w:t>
      </w:r>
      <w:r w:rsidR="0099615A">
        <w:t xml:space="preserve">EPC. </w:t>
      </w:r>
      <w:r w:rsidR="008F696E">
        <w:t xml:space="preserve">This would </w:t>
      </w:r>
      <w:r w:rsidR="00573F25">
        <w:t xml:space="preserve">bring together most of the expenses which are assessed EPC and </w:t>
      </w:r>
      <w:r w:rsidR="008F696E">
        <w:t xml:space="preserve">simplify the presentation </w:t>
      </w:r>
      <w:r w:rsidR="0062504C">
        <w:t xml:space="preserve">of </w:t>
      </w:r>
      <w:r w:rsidR="0052379E">
        <w:t xml:space="preserve">functional </w:t>
      </w:r>
      <w:r w:rsidR="00573F25">
        <w:t>categories</w:t>
      </w:r>
      <w:r w:rsidR="00AE655E">
        <w:t>.</w:t>
      </w:r>
      <w:r w:rsidR="0099615A">
        <w:t xml:space="preserve"> </w:t>
      </w:r>
    </w:p>
    <w:p w:rsidR="00DD6E15" w:rsidRDefault="00C032D5" w:rsidP="008F696E">
      <w:pPr>
        <w:pStyle w:val="CGCNumberedPara"/>
        <w:numPr>
          <w:ilvl w:val="1"/>
          <w:numId w:val="3"/>
        </w:numPr>
      </w:pPr>
      <w:r>
        <w:t>We propose to continue</w:t>
      </w:r>
      <w:r w:rsidR="00945023">
        <w:t xml:space="preserve"> </w:t>
      </w:r>
      <w:r w:rsidR="00E330D1">
        <w:t>applying the r</w:t>
      </w:r>
      <w:r w:rsidR="00E330D1" w:rsidRPr="00F46B46">
        <w:t>egional costs and wage costs disabilities</w:t>
      </w:r>
      <w:r w:rsidR="006808E7">
        <w:t xml:space="preserve"> </w:t>
      </w:r>
      <w:r w:rsidR="00E330D1" w:rsidRPr="00F46B46">
        <w:t xml:space="preserve">to expenses </w:t>
      </w:r>
      <w:r w:rsidR="002B150A">
        <w:t xml:space="preserve">where it is appropriate. </w:t>
      </w:r>
      <w:r w:rsidR="0099615A">
        <w:t xml:space="preserve">We do not </w:t>
      </w:r>
      <w:r w:rsidR="00AE655E">
        <w:t xml:space="preserve">expect to recommend </w:t>
      </w:r>
      <w:r w:rsidR="0099615A">
        <w:t xml:space="preserve">any </w:t>
      </w:r>
      <w:r w:rsidR="00AE655E">
        <w:t>changes to current treatments, either for expenses currently included in Other expenses, or for expenses staff are proposing to include in Other expenses.</w:t>
      </w:r>
    </w:p>
    <w:p w:rsidR="00573F25" w:rsidRDefault="00573F25" w:rsidP="00573F25">
      <w:pPr>
        <w:pStyle w:val="CGCNumberedPara"/>
      </w:pPr>
      <w:r>
        <w:t xml:space="preserve">Staff </w:t>
      </w:r>
      <w:r w:rsidR="005B58A2">
        <w:t>propose</w:t>
      </w:r>
      <w:r>
        <w:t xml:space="preserve"> to retain the location adjustment in the 2020 Review. See </w:t>
      </w:r>
      <w:r w:rsidR="00EE135A">
        <w:t xml:space="preserve">Staff </w:t>
      </w:r>
      <w:r w:rsidR="008D3404">
        <w:t>Draft Assessment</w:t>
      </w:r>
      <w:r w:rsidR="00EE135A">
        <w:t xml:space="preserve"> Paper </w:t>
      </w:r>
      <w:r w:rsidR="00EE135A">
        <w:rPr>
          <w:i/>
        </w:rPr>
        <w:t>CGC 2018-01/23-S,</w:t>
      </w:r>
      <w:r w:rsidRPr="00573F25">
        <w:rPr>
          <w:i/>
        </w:rPr>
        <w:t xml:space="preserve"> </w:t>
      </w:r>
      <w:r w:rsidR="00D12A96">
        <w:rPr>
          <w:i/>
        </w:rPr>
        <w:t>Geography used by the Commission</w:t>
      </w:r>
      <w:r>
        <w:rPr>
          <w:i/>
        </w:rPr>
        <w:t xml:space="preserve"> </w:t>
      </w:r>
      <w:r w:rsidRPr="00573F25">
        <w:t>for details.</w:t>
      </w:r>
    </w:p>
    <w:tbl>
      <w:tblPr>
        <w:tblW w:w="0" w:type="auto"/>
        <w:tblInd w:w="108" w:type="dxa"/>
        <w:shd w:val="clear" w:color="auto" w:fill="D9F3E6"/>
        <w:tblLook w:val="04A0" w:firstRow="1" w:lastRow="0" w:firstColumn="1" w:lastColumn="0" w:noHBand="0" w:noVBand="1"/>
      </w:tblPr>
      <w:tblGrid>
        <w:gridCol w:w="8931"/>
      </w:tblGrid>
      <w:tr w:rsidR="004D4694" w:rsidRPr="00E674AF" w:rsidTr="00CE2B93">
        <w:tc>
          <w:tcPr>
            <w:tcW w:w="8931" w:type="dxa"/>
            <w:shd w:val="clear" w:color="auto" w:fill="D9F3E6"/>
          </w:tcPr>
          <w:p w:rsidR="004D4694" w:rsidRPr="00E674AF" w:rsidRDefault="004D4694" w:rsidP="00B817FF">
            <w:pPr>
              <w:widowControl w:val="0"/>
            </w:pPr>
            <w:r w:rsidRPr="00B7517F">
              <w:t>Staff propose to recommend the Commission:</w:t>
            </w:r>
          </w:p>
          <w:p w:rsidR="006808E7" w:rsidRDefault="008F696E" w:rsidP="006808E7">
            <w:pPr>
              <w:pStyle w:val="CGCBulletlist"/>
              <w:widowControl w:val="0"/>
              <w:numPr>
                <w:ilvl w:val="0"/>
                <w:numId w:val="1"/>
              </w:numPr>
              <w:tabs>
                <w:tab w:val="clear" w:pos="927"/>
                <w:tab w:val="clear" w:pos="1134"/>
              </w:tabs>
              <w:ind w:left="1134" w:hanging="567"/>
            </w:pPr>
            <w:r>
              <w:t xml:space="preserve">include </w:t>
            </w:r>
            <w:r w:rsidR="00AE655E">
              <w:t xml:space="preserve">most </w:t>
            </w:r>
            <w:r>
              <w:t xml:space="preserve">State expenses which are assessed EPC in this category </w:t>
            </w:r>
          </w:p>
          <w:p w:rsidR="004D4694" w:rsidRPr="00E674AF" w:rsidRDefault="004D4694" w:rsidP="00AE655E">
            <w:pPr>
              <w:pStyle w:val="CGCBulletlist"/>
              <w:widowControl w:val="0"/>
              <w:numPr>
                <w:ilvl w:val="0"/>
                <w:numId w:val="1"/>
              </w:numPr>
              <w:tabs>
                <w:tab w:val="clear" w:pos="927"/>
                <w:tab w:val="clear" w:pos="1134"/>
              </w:tabs>
              <w:ind w:left="1134" w:hanging="567"/>
            </w:pPr>
            <w:r>
              <w:t xml:space="preserve">continue to apply location disabilities </w:t>
            </w:r>
            <w:r w:rsidR="00DF5D03">
              <w:t xml:space="preserve">to </w:t>
            </w:r>
            <w:r w:rsidR="002B150A">
              <w:t xml:space="preserve">the </w:t>
            </w:r>
            <w:r w:rsidR="00573F25">
              <w:t xml:space="preserve">same </w:t>
            </w:r>
            <w:r w:rsidRPr="00F46B46">
              <w:t>expenses</w:t>
            </w:r>
            <w:r w:rsidR="002B150A">
              <w:t xml:space="preserve"> as the 2015 </w:t>
            </w:r>
            <w:r w:rsidR="00573F25">
              <w:t>Review</w:t>
            </w:r>
            <w:r w:rsidR="008F696E">
              <w:t>.</w:t>
            </w:r>
          </w:p>
        </w:tc>
      </w:tr>
    </w:tbl>
    <w:p w:rsidR="00A87581" w:rsidRDefault="00A87581" w:rsidP="0086718A">
      <w:pPr>
        <w:pStyle w:val="Heading4"/>
      </w:pPr>
      <w:bookmarkStart w:id="54" w:name="_Toc510091847"/>
      <w:bookmarkStart w:id="55" w:name="_Toc510795494"/>
      <w:bookmarkStart w:id="56" w:name="_Toc511394446"/>
      <w:r>
        <w:t>User charges</w:t>
      </w:r>
      <w:bookmarkEnd w:id="54"/>
      <w:bookmarkEnd w:id="55"/>
      <w:bookmarkEnd w:id="56"/>
    </w:p>
    <w:p w:rsidR="00E50995" w:rsidRDefault="00E50995" w:rsidP="00E50995">
      <w:pPr>
        <w:pStyle w:val="CGCNumberedPara"/>
      </w:pPr>
      <w:r>
        <w:t>User charges for the category were $</w:t>
      </w:r>
      <w:r w:rsidR="000764D1">
        <w:t>2.8</w:t>
      </w:r>
      <w:r>
        <w:t> </w:t>
      </w:r>
      <w:r w:rsidR="000764D1">
        <w:t>billion in 2015-16 or 9</w:t>
      </w:r>
      <w:r>
        <w:t xml:space="preserve">% of service expenses. Most user charges were recorded in </w:t>
      </w:r>
      <w:r w:rsidR="00A26405">
        <w:t xml:space="preserve">the </w:t>
      </w:r>
      <w:r>
        <w:t>other general public services and recreation and culture classifications. In the 2015 Review</w:t>
      </w:r>
      <w:r w:rsidR="00A26405">
        <w:t>,</w:t>
      </w:r>
      <w:r>
        <w:t xml:space="preserve"> these user charges were assessed EPC in the Other revenue category. </w:t>
      </w:r>
    </w:p>
    <w:p w:rsidR="00A87581" w:rsidRPr="00A87581" w:rsidRDefault="00E50995" w:rsidP="00E50995">
      <w:pPr>
        <w:pStyle w:val="CGCNumberedPara"/>
      </w:pPr>
      <w:r>
        <w:t xml:space="preserve">User charges for the category relate to a number of different activities all of which are assessed EPC. There is no basis </w:t>
      </w:r>
      <w:r w:rsidR="005B58A2">
        <w:t>to conclude</w:t>
      </w:r>
      <w:r>
        <w:t xml:space="preserve"> that States’ capacities to raise revenue from these activities are affected by anything other than population. Sta</w:t>
      </w:r>
      <w:r w:rsidR="00A26405">
        <w:t>ff propose to continue assessing</w:t>
      </w:r>
      <w:r>
        <w:t xml:space="preserve"> this revenue EPC. It is simpler to </w:t>
      </w:r>
      <w:r w:rsidR="00A26405">
        <w:t xml:space="preserve">do this </w:t>
      </w:r>
      <w:r>
        <w:t xml:space="preserve">in the Other revenue category. </w:t>
      </w:r>
    </w:p>
    <w:p w:rsidR="00B7517F" w:rsidRDefault="00B7517F" w:rsidP="00CB7731">
      <w:pPr>
        <w:pStyle w:val="Heading3"/>
      </w:pPr>
      <w:bookmarkStart w:id="57" w:name="_Toc510091848"/>
      <w:bookmarkStart w:id="58" w:name="_Toc510795495"/>
      <w:bookmarkStart w:id="59" w:name="_Toc511394447"/>
      <w:r>
        <w:t>Conclusion and way forward</w:t>
      </w:r>
      <w:bookmarkEnd w:id="57"/>
      <w:bookmarkEnd w:id="58"/>
      <w:bookmarkEnd w:id="59"/>
    </w:p>
    <w:p w:rsidR="009302F9" w:rsidRDefault="00407CA6" w:rsidP="008D353E">
      <w:pPr>
        <w:pStyle w:val="CGCNumberedPara"/>
      </w:pPr>
      <w:r>
        <w:t>The Other expenses category remains a residual category for ex</w:t>
      </w:r>
      <w:r w:rsidR="008D353E">
        <w:t xml:space="preserve">penses not elsewhere assessed. There are </w:t>
      </w:r>
      <w:r w:rsidR="009302F9">
        <w:t xml:space="preserve">unlikely to </w:t>
      </w:r>
      <w:r w:rsidR="008D353E">
        <w:t xml:space="preserve">be any </w:t>
      </w:r>
      <w:r>
        <w:t>significant</w:t>
      </w:r>
      <w:r w:rsidR="009302F9">
        <w:t xml:space="preserve"> changes to </w:t>
      </w:r>
      <w:r w:rsidR="008D353E">
        <w:t>most of the components.</w:t>
      </w:r>
    </w:p>
    <w:p w:rsidR="008D353E" w:rsidRDefault="008D353E" w:rsidP="008D353E">
      <w:pPr>
        <w:pStyle w:val="CGCBulletlist"/>
      </w:pPr>
      <w:r>
        <w:t xml:space="preserve">Staff </w:t>
      </w:r>
      <w:r w:rsidR="005B58A2">
        <w:t xml:space="preserve">recommend </w:t>
      </w:r>
      <w:r w:rsidR="00CB1DB3">
        <w:t xml:space="preserve">the APC assessment of net natural disaster relief expenses </w:t>
      </w:r>
      <w:r w:rsidR="00523422">
        <w:t xml:space="preserve">under the </w:t>
      </w:r>
      <w:proofErr w:type="spellStart"/>
      <w:r w:rsidR="00523422">
        <w:t>NDRRA</w:t>
      </w:r>
      <w:proofErr w:type="spellEnd"/>
      <w:r w:rsidR="00523422">
        <w:t xml:space="preserve"> </w:t>
      </w:r>
      <w:r w:rsidR="00CB1DB3">
        <w:t xml:space="preserve">be retained, but </w:t>
      </w:r>
      <w:r>
        <w:t xml:space="preserve">will continue to monitor the status of the </w:t>
      </w:r>
      <w:proofErr w:type="spellStart"/>
      <w:r w:rsidRPr="00936195">
        <w:rPr>
          <w:i/>
        </w:rPr>
        <w:t>NDRRA</w:t>
      </w:r>
      <w:proofErr w:type="spellEnd"/>
      <w:r w:rsidRPr="00936195">
        <w:rPr>
          <w:i/>
        </w:rPr>
        <w:t xml:space="preserve"> Determination 2017</w:t>
      </w:r>
      <w:r w:rsidR="00523422">
        <w:t xml:space="preserve"> as it is implemented by the Commonwealth</w:t>
      </w:r>
      <w:r w:rsidR="00D762D8">
        <w:t>.</w:t>
      </w:r>
    </w:p>
    <w:p w:rsidR="008D353E" w:rsidRDefault="005B58A2" w:rsidP="008D353E">
      <w:pPr>
        <w:pStyle w:val="CGCBulletlist"/>
      </w:pPr>
      <w:r>
        <w:t>Staff propose</w:t>
      </w:r>
      <w:r w:rsidR="00C446C0">
        <w:t xml:space="preserve"> to</w:t>
      </w:r>
      <w:r w:rsidR="009712B3">
        <w:t xml:space="preserve"> remov</w:t>
      </w:r>
      <w:r w:rsidR="00C446C0">
        <w:t>e</w:t>
      </w:r>
      <w:r w:rsidR="009712B3">
        <w:t xml:space="preserve"> the capital grants to local governments </w:t>
      </w:r>
      <w:r w:rsidR="00BF4080">
        <w:t>assessment</w:t>
      </w:r>
      <w:r w:rsidR="00D762D8">
        <w:t>.</w:t>
      </w:r>
    </w:p>
    <w:p w:rsidR="00C446C0" w:rsidRDefault="006C16C3" w:rsidP="0086718A">
      <w:pPr>
        <w:pStyle w:val="CGCBulletlist"/>
      </w:pPr>
      <w:r>
        <w:t>Sta</w:t>
      </w:r>
      <w:r w:rsidR="00430A46">
        <w:t xml:space="preserve">ff </w:t>
      </w:r>
      <w:r w:rsidR="005B58A2">
        <w:t>propose</w:t>
      </w:r>
      <w:r w:rsidR="00430A46">
        <w:t xml:space="preserve"> not to assess</w:t>
      </w:r>
      <w:r>
        <w:t xml:space="preserve"> cross</w:t>
      </w:r>
      <w:r>
        <w:noBreakHyphen/>
        <w:t xml:space="preserve">border </w:t>
      </w:r>
      <w:r w:rsidR="00C446C0">
        <w:t>and national capital disabilities</w:t>
      </w:r>
      <w:r>
        <w:t xml:space="preserve"> unless the ACT is able to provide current data to substantiate an assessment</w:t>
      </w:r>
      <w:r w:rsidR="00D762D8">
        <w:t>.</w:t>
      </w:r>
    </w:p>
    <w:p w:rsidR="009302F9" w:rsidRPr="009302F9" w:rsidRDefault="008F696E" w:rsidP="0086718A">
      <w:pPr>
        <w:pStyle w:val="CGCBulletlist"/>
      </w:pPr>
      <w:r>
        <w:t xml:space="preserve">States may </w:t>
      </w:r>
      <w:r w:rsidR="00430A46">
        <w:t>wish</w:t>
      </w:r>
      <w:r>
        <w:t xml:space="preserve"> to comment on the proposal to include the majority of expenses which are assessed EPC in the Other expenses </w:t>
      </w:r>
      <w:r w:rsidR="006C16C3">
        <w:t>category</w:t>
      </w:r>
      <w:r w:rsidR="00430A46">
        <w:t>,</w:t>
      </w:r>
      <w:r w:rsidR="00ED6ACE">
        <w:t xml:space="preserve"> and whether this presentational change would be useful.</w:t>
      </w:r>
    </w:p>
    <w:p w:rsidR="00B7517F" w:rsidRDefault="00B7517F" w:rsidP="00CB7731">
      <w:pPr>
        <w:pStyle w:val="Heading4"/>
      </w:pPr>
      <w:bookmarkStart w:id="60" w:name="_Toc510795496"/>
      <w:bookmarkStart w:id="61" w:name="_Toc511394448"/>
      <w:r>
        <w:t>Proposed assessment structure</w:t>
      </w:r>
      <w:bookmarkEnd w:id="60"/>
      <w:bookmarkEnd w:id="61"/>
    </w:p>
    <w:p w:rsidR="00B7517F" w:rsidRDefault="00B7517F" w:rsidP="00B7517F">
      <w:pPr>
        <w:pStyle w:val="CGCNumberedPara"/>
      </w:pPr>
      <w:r>
        <w:t>Staff propose the following assessment structur</w:t>
      </w:r>
      <w:r w:rsidR="009712B3">
        <w:t>e for this category in the 2020 </w:t>
      </w:r>
      <w:r>
        <w:t>Review</w:t>
      </w:r>
      <w:r w:rsidR="00430A46">
        <w:t xml:space="preserve"> (</w:t>
      </w:r>
      <w:r w:rsidR="00357A5C">
        <w:fldChar w:fldCharType="begin"/>
      </w:r>
      <w:r w:rsidR="00357A5C">
        <w:instrText xml:space="preserve"> REF _Ref498003424 \h </w:instrText>
      </w:r>
      <w:r w:rsidR="00357A5C">
        <w:fldChar w:fldCharType="separate"/>
      </w:r>
      <w:r w:rsidR="00F85E11">
        <w:t xml:space="preserve">Table </w:t>
      </w:r>
      <w:r w:rsidR="00F85E11">
        <w:rPr>
          <w:noProof/>
        </w:rPr>
        <w:t>6</w:t>
      </w:r>
      <w:r w:rsidR="00357A5C">
        <w:fldChar w:fldCharType="end"/>
      </w:r>
      <w:r w:rsidR="00357A5C">
        <w:t>)</w:t>
      </w:r>
      <w:r>
        <w:t xml:space="preserve">. </w:t>
      </w:r>
    </w:p>
    <w:p w:rsidR="00B7517F" w:rsidRDefault="00B7517F" w:rsidP="002D237F">
      <w:pPr>
        <w:pStyle w:val="CGCTableHeading"/>
      </w:pPr>
      <w:bookmarkStart w:id="62" w:name="_Ref498003424"/>
      <w:r>
        <w:t xml:space="preserve">Table </w:t>
      </w:r>
      <w:fldSimple w:instr=" SEQ Table \* ARABIC ">
        <w:r w:rsidR="00F85E11">
          <w:rPr>
            <w:noProof/>
          </w:rPr>
          <w:t>6</w:t>
        </w:r>
      </w:fldSimple>
      <w:bookmarkEnd w:id="62"/>
      <w:r>
        <w:tab/>
      </w:r>
      <w:r w:rsidR="0068422F">
        <w:t>Proposed Other expenses</w:t>
      </w:r>
      <w:r w:rsidRPr="00B7517F">
        <w:t xml:space="preserve"> category structure</w:t>
      </w:r>
    </w:p>
    <w:tbl>
      <w:tblPr>
        <w:tblW w:w="8940" w:type="dxa"/>
        <w:tblLayout w:type="fixed"/>
        <w:tblCellMar>
          <w:left w:w="0" w:type="dxa"/>
          <w:right w:w="0" w:type="dxa"/>
        </w:tblCellMar>
        <w:tblLook w:val="04A0" w:firstRow="1" w:lastRow="0" w:firstColumn="1" w:lastColumn="0" w:noHBand="0" w:noVBand="1"/>
      </w:tblPr>
      <w:tblGrid>
        <w:gridCol w:w="2080"/>
        <w:gridCol w:w="2380"/>
        <w:gridCol w:w="4480"/>
      </w:tblGrid>
      <w:tr w:rsidR="0068422F" w:rsidRPr="0068422F" w:rsidTr="002E7487">
        <w:trPr>
          <w:trHeight w:val="426"/>
        </w:trPr>
        <w:tc>
          <w:tcPr>
            <w:tcW w:w="2080" w:type="dxa"/>
            <w:tcBorders>
              <w:top w:val="single" w:sz="4" w:space="0" w:color="auto"/>
              <w:left w:val="nil"/>
              <w:bottom w:val="single" w:sz="4" w:space="0" w:color="auto"/>
              <w:right w:val="nil"/>
            </w:tcBorders>
            <w:shd w:val="clear" w:color="auto" w:fill="auto"/>
            <w:vAlign w:val="center"/>
            <w:hideMark/>
          </w:tcPr>
          <w:p w:rsidR="0068422F" w:rsidRPr="0068422F" w:rsidRDefault="0068422F" w:rsidP="002E7487">
            <w:pPr>
              <w:keepNext/>
              <w:keepLines/>
              <w:tabs>
                <w:tab w:val="clear" w:pos="567"/>
              </w:tabs>
              <w:spacing w:after="0" w:line="240" w:lineRule="auto"/>
              <w:ind w:left="193" w:hanging="142"/>
              <w:rPr>
                <w:rFonts w:ascii="Calibri" w:eastAsia="Times New Roman" w:hAnsi="Calibri" w:cs="Times New Roman"/>
                <w:sz w:val="20"/>
                <w:szCs w:val="20"/>
                <w:lang w:eastAsia="en-AU"/>
              </w:rPr>
            </w:pPr>
            <w:bookmarkStart w:id="63" w:name="RANGE!A10:C15"/>
            <w:r w:rsidRPr="0068422F">
              <w:rPr>
                <w:rFonts w:ascii="Calibri" w:eastAsia="Times New Roman" w:hAnsi="Calibri" w:cs="Times New Roman"/>
                <w:sz w:val="20"/>
                <w:szCs w:val="20"/>
                <w:lang w:eastAsia="en-AU"/>
              </w:rPr>
              <w:t>Component</w:t>
            </w:r>
            <w:bookmarkEnd w:id="63"/>
          </w:p>
        </w:tc>
        <w:tc>
          <w:tcPr>
            <w:tcW w:w="2380" w:type="dxa"/>
            <w:tcBorders>
              <w:top w:val="single" w:sz="4" w:space="0" w:color="auto"/>
              <w:left w:val="nil"/>
              <w:bottom w:val="single" w:sz="4" w:space="0" w:color="auto"/>
              <w:right w:val="nil"/>
            </w:tcBorders>
            <w:shd w:val="clear" w:color="auto" w:fill="auto"/>
            <w:vAlign w:val="center"/>
            <w:hideMark/>
          </w:tcPr>
          <w:p w:rsidR="0068422F" w:rsidRPr="0068422F" w:rsidRDefault="0068422F" w:rsidP="002D237F">
            <w:pPr>
              <w:keepNext/>
              <w:keepLines/>
              <w:tabs>
                <w:tab w:val="clear" w:pos="567"/>
              </w:tabs>
              <w:spacing w:after="0" w:line="240" w:lineRule="auto"/>
              <w:rPr>
                <w:rFonts w:ascii="Calibri" w:eastAsia="Times New Roman" w:hAnsi="Calibri" w:cs="Times New Roman"/>
                <w:sz w:val="20"/>
                <w:szCs w:val="20"/>
                <w:lang w:eastAsia="en-AU"/>
              </w:rPr>
            </w:pPr>
            <w:r w:rsidRPr="0068422F">
              <w:rPr>
                <w:rFonts w:ascii="Calibri" w:eastAsia="Times New Roman" w:hAnsi="Calibri" w:cs="Times New Roman"/>
                <w:sz w:val="20"/>
                <w:szCs w:val="20"/>
                <w:lang w:eastAsia="en-AU"/>
              </w:rPr>
              <w:t>Disability</w:t>
            </w:r>
          </w:p>
        </w:tc>
        <w:tc>
          <w:tcPr>
            <w:tcW w:w="4480" w:type="dxa"/>
            <w:tcBorders>
              <w:top w:val="single" w:sz="4" w:space="0" w:color="auto"/>
              <w:left w:val="nil"/>
              <w:bottom w:val="single" w:sz="4" w:space="0" w:color="auto"/>
              <w:right w:val="nil"/>
            </w:tcBorders>
            <w:shd w:val="clear" w:color="auto" w:fill="auto"/>
            <w:vAlign w:val="center"/>
            <w:hideMark/>
          </w:tcPr>
          <w:p w:rsidR="0068422F" w:rsidRPr="0068422F" w:rsidRDefault="0068422F" w:rsidP="002D237F">
            <w:pPr>
              <w:keepNext/>
              <w:keepLines/>
              <w:tabs>
                <w:tab w:val="clear" w:pos="567"/>
              </w:tabs>
              <w:spacing w:after="0" w:line="240" w:lineRule="auto"/>
              <w:rPr>
                <w:rFonts w:ascii="Calibri" w:eastAsia="Times New Roman" w:hAnsi="Calibri" w:cs="Times New Roman"/>
                <w:sz w:val="20"/>
                <w:szCs w:val="20"/>
                <w:lang w:eastAsia="en-AU"/>
              </w:rPr>
            </w:pPr>
            <w:r w:rsidRPr="0068422F">
              <w:rPr>
                <w:rFonts w:ascii="Calibri" w:eastAsia="Times New Roman" w:hAnsi="Calibri" w:cs="Times New Roman"/>
                <w:sz w:val="20"/>
                <w:szCs w:val="20"/>
                <w:lang w:eastAsia="en-AU"/>
              </w:rPr>
              <w:t>Influence measured by disability</w:t>
            </w:r>
          </w:p>
        </w:tc>
      </w:tr>
      <w:tr w:rsidR="0068422F" w:rsidRPr="0068422F" w:rsidTr="00E8278D">
        <w:trPr>
          <w:trHeight w:val="535"/>
        </w:trPr>
        <w:tc>
          <w:tcPr>
            <w:tcW w:w="2080" w:type="dxa"/>
            <w:tcBorders>
              <w:top w:val="nil"/>
              <w:left w:val="nil"/>
              <w:bottom w:val="nil"/>
              <w:right w:val="nil"/>
            </w:tcBorders>
            <w:shd w:val="clear" w:color="auto" w:fill="auto"/>
            <w:hideMark/>
          </w:tcPr>
          <w:p w:rsidR="0068422F" w:rsidRPr="0068422F" w:rsidRDefault="0068422F" w:rsidP="002E7487">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8422F">
              <w:rPr>
                <w:rFonts w:ascii="Calibri" w:eastAsia="Times New Roman" w:hAnsi="Calibri" w:cs="Times New Roman"/>
                <w:sz w:val="20"/>
                <w:szCs w:val="20"/>
                <w:lang w:eastAsia="en-AU"/>
              </w:rPr>
              <w:t>Service expenses</w:t>
            </w:r>
          </w:p>
        </w:tc>
        <w:tc>
          <w:tcPr>
            <w:tcW w:w="2380" w:type="dxa"/>
            <w:tcBorders>
              <w:top w:val="nil"/>
              <w:left w:val="nil"/>
              <w:bottom w:val="nil"/>
              <w:right w:val="nil"/>
            </w:tcBorders>
            <w:shd w:val="clear" w:color="auto" w:fill="auto"/>
            <w:hideMark/>
          </w:tcPr>
          <w:p w:rsidR="0068422F" w:rsidRPr="0068422F" w:rsidRDefault="0068422F" w:rsidP="00D762D8">
            <w:pPr>
              <w:keepNext/>
              <w:keepLines/>
              <w:tabs>
                <w:tab w:val="clear" w:pos="567"/>
              </w:tabs>
              <w:spacing w:after="0" w:line="240" w:lineRule="auto"/>
              <w:rPr>
                <w:rFonts w:ascii="Calibri" w:eastAsia="Times New Roman" w:hAnsi="Calibri" w:cs="Times New Roman"/>
                <w:sz w:val="20"/>
                <w:szCs w:val="20"/>
                <w:lang w:eastAsia="en-AU"/>
              </w:rPr>
            </w:pPr>
            <w:r w:rsidRPr="0068422F">
              <w:rPr>
                <w:rFonts w:ascii="Calibri" w:eastAsia="Times New Roman" w:hAnsi="Calibri" w:cs="Times New Roman"/>
                <w:sz w:val="20"/>
                <w:szCs w:val="20"/>
                <w:lang w:eastAsia="en-AU"/>
              </w:rPr>
              <w:t>Share of population</w:t>
            </w:r>
          </w:p>
        </w:tc>
        <w:tc>
          <w:tcPr>
            <w:tcW w:w="4480" w:type="dxa"/>
            <w:tcBorders>
              <w:top w:val="nil"/>
              <w:left w:val="nil"/>
              <w:bottom w:val="nil"/>
              <w:right w:val="nil"/>
            </w:tcBorders>
            <w:shd w:val="clear" w:color="auto" w:fill="auto"/>
            <w:hideMark/>
          </w:tcPr>
          <w:p w:rsidR="0068422F" w:rsidRPr="0068422F" w:rsidRDefault="0068422F" w:rsidP="00D762D8">
            <w:pPr>
              <w:keepNext/>
              <w:keepLines/>
              <w:tabs>
                <w:tab w:val="clear" w:pos="567"/>
              </w:tabs>
              <w:spacing w:after="0" w:line="240" w:lineRule="auto"/>
              <w:rPr>
                <w:rFonts w:ascii="Calibri" w:eastAsia="Times New Roman" w:hAnsi="Calibri" w:cs="Times New Roman"/>
                <w:sz w:val="20"/>
                <w:szCs w:val="20"/>
                <w:lang w:eastAsia="en-AU"/>
              </w:rPr>
            </w:pPr>
            <w:r w:rsidRPr="0068422F">
              <w:rPr>
                <w:rFonts w:ascii="Calibri" w:eastAsia="Times New Roman" w:hAnsi="Calibri" w:cs="Times New Roman"/>
                <w:sz w:val="20"/>
                <w:szCs w:val="20"/>
                <w:lang w:eastAsia="en-AU"/>
              </w:rPr>
              <w:t>Recognises States’ population shares</w:t>
            </w:r>
            <w:r w:rsidR="00BF4080">
              <w:rPr>
                <w:rFonts w:ascii="Calibri" w:eastAsia="Times New Roman" w:hAnsi="Calibri" w:cs="Times New Roman"/>
                <w:sz w:val="20"/>
                <w:szCs w:val="20"/>
                <w:lang w:eastAsia="en-AU"/>
              </w:rPr>
              <w:t xml:space="preserve"> </w:t>
            </w:r>
            <w:r w:rsidR="00D762D8">
              <w:rPr>
                <w:rFonts w:ascii="Calibri" w:eastAsia="Times New Roman" w:hAnsi="Calibri" w:cs="Times New Roman"/>
                <w:sz w:val="20"/>
                <w:szCs w:val="20"/>
                <w:lang w:eastAsia="en-AU"/>
              </w:rPr>
              <w:t>are</w:t>
            </w:r>
            <w:r w:rsidR="00936195">
              <w:rPr>
                <w:rFonts w:ascii="Calibri" w:eastAsia="Times New Roman" w:hAnsi="Calibri" w:cs="Times New Roman"/>
                <w:sz w:val="20"/>
                <w:szCs w:val="20"/>
                <w:lang w:eastAsia="en-AU"/>
              </w:rPr>
              <w:t xml:space="preserve"> the main influence on State expenses</w:t>
            </w:r>
            <w:r w:rsidRPr="0068422F">
              <w:rPr>
                <w:rFonts w:ascii="Calibri" w:eastAsia="Times New Roman" w:hAnsi="Calibri" w:cs="Times New Roman"/>
                <w:sz w:val="20"/>
                <w:szCs w:val="20"/>
                <w:lang w:eastAsia="en-AU"/>
              </w:rPr>
              <w:t>.</w:t>
            </w:r>
          </w:p>
        </w:tc>
      </w:tr>
      <w:tr w:rsidR="0068422F" w:rsidRPr="0068422F" w:rsidTr="005B58A2">
        <w:trPr>
          <w:trHeight w:val="1275"/>
        </w:trPr>
        <w:tc>
          <w:tcPr>
            <w:tcW w:w="2080" w:type="dxa"/>
            <w:tcBorders>
              <w:top w:val="nil"/>
              <w:left w:val="nil"/>
              <w:bottom w:val="nil"/>
              <w:right w:val="nil"/>
            </w:tcBorders>
            <w:shd w:val="clear" w:color="auto" w:fill="auto"/>
            <w:hideMark/>
          </w:tcPr>
          <w:p w:rsidR="0068422F" w:rsidRPr="0068422F" w:rsidRDefault="0068422F" w:rsidP="002E7487">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8422F">
              <w:rPr>
                <w:rFonts w:ascii="Calibri" w:eastAsia="Times New Roman" w:hAnsi="Calibri" w:cs="Times New Roman"/>
                <w:sz w:val="20"/>
                <w:szCs w:val="20"/>
                <w:lang w:eastAsia="en-AU"/>
              </w:rPr>
              <w:t xml:space="preserve">Natural disaster relief </w:t>
            </w:r>
          </w:p>
        </w:tc>
        <w:tc>
          <w:tcPr>
            <w:tcW w:w="2380" w:type="dxa"/>
            <w:tcBorders>
              <w:top w:val="nil"/>
              <w:left w:val="nil"/>
              <w:bottom w:val="nil"/>
              <w:right w:val="nil"/>
            </w:tcBorders>
            <w:shd w:val="clear" w:color="auto" w:fill="auto"/>
            <w:hideMark/>
          </w:tcPr>
          <w:p w:rsidR="0068422F" w:rsidRPr="0068422F" w:rsidRDefault="0068422F" w:rsidP="005B58A2">
            <w:pPr>
              <w:keepNext/>
              <w:keepLines/>
              <w:tabs>
                <w:tab w:val="clear" w:pos="567"/>
              </w:tabs>
              <w:spacing w:after="0" w:line="240" w:lineRule="auto"/>
              <w:rPr>
                <w:rFonts w:ascii="Calibri" w:eastAsia="Times New Roman" w:hAnsi="Calibri" w:cs="Times New Roman"/>
                <w:sz w:val="20"/>
                <w:szCs w:val="20"/>
                <w:lang w:eastAsia="en-AU"/>
              </w:rPr>
            </w:pPr>
            <w:r w:rsidRPr="0068422F">
              <w:rPr>
                <w:rFonts w:ascii="Calibri" w:eastAsia="Times New Roman" w:hAnsi="Calibri" w:cs="Times New Roman"/>
                <w:sz w:val="20"/>
                <w:szCs w:val="20"/>
                <w:lang w:eastAsia="en-AU"/>
              </w:rPr>
              <w:t xml:space="preserve">Actual </w:t>
            </w:r>
            <w:r w:rsidR="00122E28">
              <w:rPr>
                <w:rFonts w:ascii="Calibri" w:eastAsia="Times New Roman" w:hAnsi="Calibri" w:cs="Times New Roman"/>
                <w:sz w:val="20"/>
                <w:szCs w:val="20"/>
                <w:lang w:eastAsia="en-AU"/>
              </w:rPr>
              <w:t xml:space="preserve">State </w:t>
            </w:r>
            <w:r w:rsidR="00011EC5">
              <w:rPr>
                <w:rFonts w:ascii="Calibri" w:eastAsia="Times New Roman" w:hAnsi="Calibri" w:cs="Times New Roman"/>
                <w:sz w:val="20"/>
                <w:szCs w:val="20"/>
                <w:lang w:eastAsia="en-AU"/>
              </w:rPr>
              <w:t xml:space="preserve">net </w:t>
            </w:r>
            <w:r w:rsidRPr="0068422F">
              <w:rPr>
                <w:rFonts w:ascii="Calibri" w:eastAsia="Times New Roman" w:hAnsi="Calibri" w:cs="Times New Roman"/>
                <w:sz w:val="20"/>
                <w:szCs w:val="20"/>
                <w:lang w:eastAsia="en-AU"/>
              </w:rPr>
              <w:t>expenses</w:t>
            </w:r>
            <w:r w:rsidR="00122E28">
              <w:rPr>
                <w:rFonts w:ascii="Calibri" w:eastAsia="Times New Roman" w:hAnsi="Calibri" w:cs="Times New Roman"/>
                <w:sz w:val="20"/>
                <w:szCs w:val="20"/>
                <w:lang w:eastAsia="en-AU"/>
              </w:rPr>
              <w:t xml:space="preserve"> under the </w:t>
            </w:r>
            <w:proofErr w:type="spellStart"/>
            <w:r w:rsidR="00122E28">
              <w:rPr>
                <w:rFonts w:ascii="Calibri" w:eastAsia="Times New Roman" w:hAnsi="Calibri" w:cs="Times New Roman"/>
                <w:sz w:val="20"/>
                <w:szCs w:val="20"/>
                <w:lang w:eastAsia="en-AU"/>
              </w:rPr>
              <w:t>NDRRA</w:t>
            </w:r>
            <w:proofErr w:type="spellEnd"/>
            <w:r w:rsidR="00122E28">
              <w:rPr>
                <w:rFonts w:ascii="Calibri" w:eastAsia="Times New Roman" w:hAnsi="Calibri" w:cs="Times New Roman"/>
                <w:sz w:val="20"/>
                <w:szCs w:val="20"/>
                <w:lang w:eastAsia="en-AU"/>
              </w:rPr>
              <w:t xml:space="preserve"> framework</w:t>
            </w:r>
          </w:p>
        </w:tc>
        <w:tc>
          <w:tcPr>
            <w:tcW w:w="4480" w:type="dxa"/>
            <w:tcBorders>
              <w:top w:val="nil"/>
              <w:left w:val="nil"/>
              <w:bottom w:val="nil"/>
              <w:right w:val="nil"/>
            </w:tcBorders>
            <w:shd w:val="clear" w:color="auto" w:fill="auto"/>
            <w:hideMark/>
          </w:tcPr>
          <w:p w:rsidR="0068422F" w:rsidRPr="0068422F" w:rsidRDefault="0068422F" w:rsidP="005B58A2">
            <w:pPr>
              <w:keepNext/>
              <w:keepLines/>
              <w:tabs>
                <w:tab w:val="clear" w:pos="567"/>
              </w:tabs>
              <w:spacing w:after="0" w:line="240" w:lineRule="auto"/>
              <w:rPr>
                <w:rFonts w:ascii="Calibri" w:eastAsia="Times New Roman" w:hAnsi="Calibri" w:cs="Times New Roman"/>
                <w:sz w:val="20"/>
                <w:szCs w:val="20"/>
                <w:lang w:eastAsia="en-AU"/>
              </w:rPr>
            </w:pPr>
            <w:r w:rsidRPr="0068422F">
              <w:rPr>
                <w:rFonts w:ascii="Calibri" w:eastAsia="Times New Roman" w:hAnsi="Calibri" w:cs="Times New Roman"/>
                <w:sz w:val="20"/>
                <w:szCs w:val="20"/>
                <w:lang w:eastAsia="en-AU"/>
              </w:rPr>
              <w:t xml:space="preserve">Recognises State </w:t>
            </w:r>
            <w:r w:rsidR="00BF4080">
              <w:rPr>
                <w:rFonts w:ascii="Calibri" w:eastAsia="Times New Roman" w:hAnsi="Calibri" w:cs="Times New Roman"/>
                <w:sz w:val="20"/>
                <w:szCs w:val="20"/>
                <w:lang w:eastAsia="en-AU"/>
              </w:rPr>
              <w:t xml:space="preserve">net out of pocket </w:t>
            </w:r>
            <w:r w:rsidRPr="0068422F">
              <w:rPr>
                <w:rFonts w:ascii="Calibri" w:eastAsia="Times New Roman" w:hAnsi="Calibri" w:cs="Times New Roman"/>
                <w:sz w:val="20"/>
                <w:szCs w:val="20"/>
                <w:lang w:eastAsia="en-AU"/>
              </w:rPr>
              <w:t xml:space="preserve">costs </w:t>
            </w:r>
            <w:r w:rsidR="00BF4080">
              <w:rPr>
                <w:rFonts w:ascii="Calibri" w:eastAsia="Times New Roman" w:hAnsi="Calibri" w:cs="Times New Roman"/>
                <w:sz w:val="20"/>
                <w:szCs w:val="20"/>
                <w:lang w:eastAsia="en-AU"/>
              </w:rPr>
              <w:t>for</w:t>
            </w:r>
            <w:r w:rsidR="00BF4080" w:rsidRPr="0068422F">
              <w:rPr>
                <w:rFonts w:ascii="Calibri" w:eastAsia="Times New Roman" w:hAnsi="Calibri" w:cs="Times New Roman"/>
                <w:sz w:val="20"/>
                <w:szCs w:val="20"/>
                <w:lang w:eastAsia="en-AU"/>
              </w:rPr>
              <w:t xml:space="preserve"> </w:t>
            </w:r>
            <w:r w:rsidRPr="0068422F">
              <w:rPr>
                <w:rFonts w:ascii="Calibri" w:eastAsia="Times New Roman" w:hAnsi="Calibri" w:cs="Times New Roman"/>
                <w:sz w:val="20"/>
                <w:szCs w:val="20"/>
                <w:lang w:eastAsia="en-AU"/>
              </w:rPr>
              <w:t xml:space="preserve">natural disaster relief under the </w:t>
            </w:r>
            <w:r w:rsidR="00D762D8">
              <w:rPr>
                <w:rFonts w:ascii="Calibri" w:eastAsia="Times New Roman" w:hAnsi="Calibri" w:cs="Times New Roman"/>
                <w:sz w:val="20"/>
                <w:szCs w:val="20"/>
                <w:lang w:eastAsia="en-AU"/>
              </w:rPr>
              <w:t>Commonwealth</w:t>
            </w:r>
            <w:r w:rsidR="00D762D8" w:rsidRPr="0068422F">
              <w:rPr>
                <w:rFonts w:ascii="Calibri" w:eastAsia="Times New Roman" w:hAnsi="Calibri" w:cs="Times New Roman"/>
                <w:sz w:val="20"/>
                <w:szCs w:val="20"/>
                <w:lang w:eastAsia="en-AU"/>
              </w:rPr>
              <w:t xml:space="preserve"> </w:t>
            </w:r>
            <w:r w:rsidRPr="0068422F">
              <w:rPr>
                <w:rFonts w:ascii="Calibri" w:eastAsia="Times New Roman" w:hAnsi="Calibri" w:cs="Times New Roman"/>
                <w:sz w:val="20"/>
                <w:szCs w:val="20"/>
                <w:lang w:eastAsia="en-AU"/>
              </w:rPr>
              <w:t xml:space="preserve">Government's natural disaster relief arrangements. </w:t>
            </w:r>
            <w:r w:rsidR="00D762D8">
              <w:rPr>
                <w:rFonts w:ascii="Calibri" w:eastAsia="Times New Roman" w:hAnsi="Calibri" w:cs="Times New Roman"/>
                <w:sz w:val="20"/>
                <w:szCs w:val="20"/>
                <w:lang w:eastAsia="en-AU"/>
              </w:rPr>
              <w:t>Commonwealth</w:t>
            </w:r>
            <w:r w:rsidR="00D762D8" w:rsidRPr="0068422F">
              <w:rPr>
                <w:rFonts w:ascii="Calibri" w:eastAsia="Times New Roman" w:hAnsi="Calibri" w:cs="Times New Roman"/>
                <w:sz w:val="20"/>
                <w:szCs w:val="20"/>
                <w:lang w:eastAsia="en-AU"/>
              </w:rPr>
              <w:t xml:space="preserve"> </w:t>
            </w:r>
            <w:r w:rsidRPr="0068422F">
              <w:rPr>
                <w:rFonts w:ascii="Calibri" w:eastAsia="Times New Roman" w:hAnsi="Calibri" w:cs="Times New Roman"/>
                <w:sz w:val="20"/>
                <w:szCs w:val="20"/>
                <w:lang w:eastAsia="en-AU"/>
              </w:rPr>
              <w:t xml:space="preserve">Government assistance is </w:t>
            </w:r>
            <w:r w:rsidR="00BF4080">
              <w:rPr>
                <w:rFonts w:ascii="Calibri" w:eastAsia="Times New Roman" w:hAnsi="Calibri" w:cs="Times New Roman"/>
                <w:sz w:val="20"/>
                <w:szCs w:val="20"/>
                <w:lang w:eastAsia="en-AU"/>
              </w:rPr>
              <w:t>netted off before making the assessment</w:t>
            </w:r>
            <w:r w:rsidRPr="0068422F">
              <w:rPr>
                <w:rFonts w:ascii="Calibri" w:eastAsia="Times New Roman" w:hAnsi="Calibri" w:cs="Times New Roman"/>
                <w:sz w:val="20"/>
                <w:szCs w:val="20"/>
                <w:lang w:eastAsia="en-AU"/>
              </w:rPr>
              <w:t>.</w:t>
            </w:r>
          </w:p>
        </w:tc>
      </w:tr>
      <w:tr w:rsidR="0068422F" w:rsidRPr="0068422F" w:rsidTr="002E7487">
        <w:trPr>
          <w:trHeight w:val="1095"/>
        </w:trPr>
        <w:tc>
          <w:tcPr>
            <w:tcW w:w="2080" w:type="dxa"/>
            <w:tcBorders>
              <w:top w:val="nil"/>
              <w:left w:val="nil"/>
              <w:bottom w:val="nil"/>
              <w:right w:val="nil"/>
            </w:tcBorders>
            <w:shd w:val="clear" w:color="auto" w:fill="auto"/>
            <w:hideMark/>
          </w:tcPr>
          <w:p w:rsidR="0068422F" w:rsidRPr="0068422F" w:rsidRDefault="0068422F" w:rsidP="002E7487">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68422F">
              <w:rPr>
                <w:rFonts w:ascii="Calibri" w:eastAsia="Times New Roman" w:hAnsi="Calibri" w:cs="Times New Roman"/>
                <w:sz w:val="20"/>
                <w:szCs w:val="20"/>
                <w:lang w:eastAsia="en-AU"/>
              </w:rPr>
              <w:t>Other assessments</w:t>
            </w:r>
          </w:p>
        </w:tc>
        <w:tc>
          <w:tcPr>
            <w:tcW w:w="2380" w:type="dxa"/>
            <w:tcBorders>
              <w:top w:val="nil"/>
              <w:left w:val="nil"/>
              <w:bottom w:val="nil"/>
              <w:right w:val="nil"/>
            </w:tcBorders>
            <w:shd w:val="clear" w:color="auto" w:fill="auto"/>
            <w:hideMark/>
          </w:tcPr>
          <w:p w:rsidR="0068422F" w:rsidRPr="0068422F" w:rsidRDefault="0068422F" w:rsidP="002D237F">
            <w:pPr>
              <w:keepNext/>
              <w:keepLines/>
              <w:tabs>
                <w:tab w:val="clear" w:pos="567"/>
              </w:tabs>
              <w:spacing w:after="0" w:line="240" w:lineRule="auto"/>
              <w:rPr>
                <w:rFonts w:ascii="Calibri" w:eastAsia="Times New Roman" w:hAnsi="Calibri" w:cs="Times New Roman"/>
                <w:sz w:val="20"/>
                <w:szCs w:val="20"/>
                <w:lang w:eastAsia="en-AU"/>
              </w:rPr>
            </w:pPr>
            <w:r w:rsidRPr="0068422F">
              <w:rPr>
                <w:rFonts w:ascii="Calibri" w:eastAsia="Times New Roman" w:hAnsi="Calibri" w:cs="Times New Roman"/>
                <w:sz w:val="20"/>
                <w:szCs w:val="20"/>
                <w:lang w:eastAsia="en-AU"/>
              </w:rPr>
              <w:t>Administrative scale</w:t>
            </w:r>
            <w:r w:rsidR="007C04D4">
              <w:rPr>
                <w:rFonts w:ascii="Calibri" w:eastAsia="Times New Roman" w:hAnsi="Calibri" w:cs="Times New Roman"/>
                <w:sz w:val="20"/>
                <w:szCs w:val="20"/>
                <w:lang w:eastAsia="en-AU"/>
              </w:rPr>
              <w:t xml:space="preserve"> (a)</w:t>
            </w:r>
          </w:p>
        </w:tc>
        <w:tc>
          <w:tcPr>
            <w:tcW w:w="4480" w:type="dxa"/>
            <w:tcBorders>
              <w:top w:val="nil"/>
              <w:left w:val="nil"/>
              <w:bottom w:val="nil"/>
              <w:right w:val="nil"/>
            </w:tcBorders>
            <w:shd w:val="clear" w:color="auto" w:fill="auto"/>
            <w:hideMark/>
          </w:tcPr>
          <w:p w:rsidR="0068422F" w:rsidRPr="0068422F" w:rsidRDefault="00BE09C1" w:rsidP="002D237F">
            <w:pPr>
              <w:keepNext/>
              <w:keepLines/>
              <w:tabs>
                <w:tab w:val="clear" w:pos="567"/>
              </w:tabs>
              <w:spacing w:after="0" w:line="240" w:lineRule="auto"/>
              <w:rPr>
                <w:rFonts w:ascii="Calibri" w:eastAsia="Times New Roman" w:hAnsi="Calibri" w:cs="Times New Roman"/>
                <w:sz w:val="20"/>
                <w:szCs w:val="20"/>
                <w:lang w:eastAsia="en-AU"/>
              </w:rPr>
            </w:pPr>
            <w:r>
              <w:rPr>
                <w:rFonts w:ascii="Calibri" w:eastAsia="Times New Roman" w:hAnsi="Calibri" w:cs="Times New Roman"/>
                <w:sz w:val="20"/>
                <w:szCs w:val="20"/>
                <w:lang w:eastAsia="en-AU"/>
              </w:rPr>
              <w:t>Recognises the unavoidable costs</w:t>
            </w:r>
            <w:r w:rsidR="0068422F" w:rsidRPr="0068422F">
              <w:rPr>
                <w:rFonts w:ascii="Calibri" w:eastAsia="Times New Roman" w:hAnsi="Calibri" w:cs="Times New Roman"/>
                <w:sz w:val="20"/>
                <w:szCs w:val="20"/>
                <w:lang w:eastAsia="en-AU"/>
              </w:rPr>
              <w:t xml:space="preserve"> each State incurs to provide the policy and administrative infrastructure necessary to provide the minimum unavoidable service, regardless of the size of the task.</w:t>
            </w:r>
          </w:p>
        </w:tc>
      </w:tr>
      <w:tr w:rsidR="0068422F" w:rsidRPr="0068422F" w:rsidTr="00122E28">
        <w:trPr>
          <w:trHeight w:val="795"/>
        </w:trPr>
        <w:tc>
          <w:tcPr>
            <w:tcW w:w="2080" w:type="dxa"/>
            <w:tcBorders>
              <w:top w:val="nil"/>
              <w:left w:val="nil"/>
              <w:right w:val="nil"/>
            </w:tcBorders>
            <w:shd w:val="clear" w:color="auto" w:fill="auto"/>
            <w:hideMark/>
          </w:tcPr>
          <w:p w:rsidR="0068422F" w:rsidRPr="0068422F" w:rsidRDefault="0068422F" w:rsidP="002E7487">
            <w:pPr>
              <w:keepNext/>
              <w:keepLines/>
              <w:tabs>
                <w:tab w:val="clear" w:pos="567"/>
              </w:tabs>
              <w:spacing w:after="0" w:line="240" w:lineRule="auto"/>
              <w:ind w:left="193" w:hanging="142"/>
              <w:rPr>
                <w:rFonts w:ascii="Calibri" w:eastAsia="Times New Roman" w:hAnsi="Calibri" w:cs="Times New Roman"/>
                <w:sz w:val="20"/>
                <w:szCs w:val="20"/>
                <w:lang w:eastAsia="en-AU"/>
              </w:rPr>
            </w:pPr>
          </w:p>
        </w:tc>
        <w:tc>
          <w:tcPr>
            <w:tcW w:w="2380" w:type="dxa"/>
            <w:tcBorders>
              <w:top w:val="nil"/>
              <w:left w:val="nil"/>
              <w:right w:val="nil"/>
            </w:tcBorders>
            <w:shd w:val="clear" w:color="auto" w:fill="auto"/>
            <w:hideMark/>
          </w:tcPr>
          <w:p w:rsidR="0068422F" w:rsidRPr="0068422F" w:rsidRDefault="0068422F" w:rsidP="002D237F">
            <w:pPr>
              <w:keepNext/>
              <w:keepLines/>
              <w:tabs>
                <w:tab w:val="clear" w:pos="567"/>
              </w:tabs>
              <w:spacing w:after="0" w:line="240" w:lineRule="auto"/>
              <w:rPr>
                <w:rFonts w:ascii="Calibri" w:eastAsia="Times New Roman" w:hAnsi="Calibri" w:cs="Times New Roman"/>
                <w:sz w:val="20"/>
                <w:szCs w:val="20"/>
                <w:lang w:eastAsia="en-AU"/>
              </w:rPr>
            </w:pPr>
            <w:r w:rsidRPr="0068422F">
              <w:rPr>
                <w:rFonts w:ascii="Calibri" w:eastAsia="Times New Roman" w:hAnsi="Calibri" w:cs="Times New Roman"/>
                <w:sz w:val="20"/>
                <w:szCs w:val="20"/>
                <w:lang w:eastAsia="en-AU"/>
              </w:rPr>
              <w:t>Native title and land rights</w:t>
            </w:r>
          </w:p>
        </w:tc>
        <w:tc>
          <w:tcPr>
            <w:tcW w:w="4480" w:type="dxa"/>
            <w:tcBorders>
              <w:top w:val="nil"/>
              <w:left w:val="nil"/>
              <w:right w:val="nil"/>
            </w:tcBorders>
            <w:shd w:val="clear" w:color="auto" w:fill="auto"/>
            <w:hideMark/>
          </w:tcPr>
          <w:p w:rsidR="0068422F" w:rsidRPr="0068422F" w:rsidRDefault="0068422F" w:rsidP="00936195">
            <w:pPr>
              <w:keepNext/>
              <w:keepLines/>
              <w:tabs>
                <w:tab w:val="clear" w:pos="567"/>
              </w:tabs>
              <w:spacing w:after="0" w:line="240" w:lineRule="auto"/>
              <w:rPr>
                <w:rFonts w:ascii="Calibri" w:eastAsia="Times New Roman" w:hAnsi="Calibri" w:cs="Times New Roman"/>
                <w:sz w:val="20"/>
                <w:szCs w:val="20"/>
                <w:lang w:eastAsia="en-AU"/>
              </w:rPr>
            </w:pPr>
            <w:r w:rsidRPr="0068422F">
              <w:rPr>
                <w:rFonts w:ascii="Calibri" w:eastAsia="Times New Roman" w:hAnsi="Calibri" w:cs="Times New Roman"/>
                <w:sz w:val="20"/>
                <w:szCs w:val="20"/>
                <w:lang w:eastAsia="en-AU"/>
              </w:rPr>
              <w:t xml:space="preserve">Recognises State costs of settling native title and land rights claims made under </w:t>
            </w:r>
            <w:r w:rsidR="00936195">
              <w:rPr>
                <w:rFonts w:ascii="Calibri" w:eastAsia="Times New Roman" w:hAnsi="Calibri" w:cs="Times New Roman"/>
                <w:sz w:val="20"/>
                <w:szCs w:val="20"/>
                <w:lang w:eastAsia="en-AU"/>
              </w:rPr>
              <w:t>Commonwealth</w:t>
            </w:r>
            <w:r w:rsidR="00936195" w:rsidRPr="0068422F">
              <w:rPr>
                <w:rFonts w:ascii="Calibri" w:eastAsia="Times New Roman" w:hAnsi="Calibri" w:cs="Times New Roman"/>
                <w:sz w:val="20"/>
                <w:szCs w:val="20"/>
                <w:lang w:eastAsia="en-AU"/>
              </w:rPr>
              <w:t xml:space="preserve"> </w:t>
            </w:r>
            <w:r w:rsidRPr="0068422F">
              <w:rPr>
                <w:rFonts w:ascii="Calibri" w:eastAsia="Times New Roman" w:hAnsi="Calibri" w:cs="Times New Roman"/>
                <w:sz w:val="20"/>
                <w:szCs w:val="20"/>
                <w:lang w:eastAsia="en-AU"/>
              </w:rPr>
              <w:t>Government legislation.</w:t>
            </w:r>
          </w:p>
        </w:tc>
      </w:tr>
      <w:tr w:rsidR="0068422F" w:rsidRPr="0068422F" w:rsidTr="00122E28">
        <w:trPr>
          <w:trHeight w:val="555"/>
        </w:trPr>
        <w:tc>
          <w:tcPr>
            <w:tcW w:w="2080" w:type="dxa"/>
            <w:tcBorders>
              <w:top w:val="nil"/>
              <w:left w:val="nil"/>
              <w:bottom w:val="single" w:sz="4" w:space="0" w:color="auto"/>
              <w:right w:val="nil"/>
            </w:tcBorders>
            <w:shd w:val="clear" w:color="auto" w:fill="auto"/>
            <w:hideMark/>
          </w:tcPr>
          <w:p w:rsidR="0068422F" w:rsidRPr="0068422F" w:rsidRDefault="0068422F" w:rsidP="002E7487">
            <w:pPr>
              <w:keepNext/>
              <w:keepLines/>
              <w:tabs>
                <w:tab w:val="clear" w:pos="567"/>
              </w:tabs>
              <w:spacing w:after="0" w:line="240" w:lineRule="auto"/>
              <w:ind w:left="193" w:hanging="142"/>
              <w:rPr>
                <w:rFonts w:ascii="Calibri" w:eastAsia="Times New Roman" w:hAnsi="Calibri" w:cs="Times New Roman"/>
                <w:sz w:val="20"/>
                <w:szCs w:val="20"/>
                <w:lang w:eastAsia="en-AU"/>
              </w:rPr>
            </w:pPr>
          </w:p>
        </w:tc>
        <w:tc>
          <w:tcPr>
            <w:tcW w:w="2380" w:type="dxa"/>
            <w:tcBorders>
              <w:top w:val="nil"/>
              <w:left w:val="nil"/>
              <w:bottom w:val="single" w:sz="4" w:space="0" w:color="auto"/>
              <w:right w:val="nil"/>
            </w:tcBorders>
            <w:shd w:val="clear" w:color="auto" w:fill="auto"/>
            <w:hideMark/>
          </w:tcPr>
          <w:p w:rsidR="0068422F" w:rsidRPr="0068422F" w:rsidRDefault="0068422F" w:rsidP="002D237F">
            <w:pPr>
              <w:keepNext/>
              <w:keepLines/>
              <w:tabs>
                <w:tab w:val="clear" w:pos="567"/>
              </w:tabs>
              <w:spacing w:after="0" w:line="240" w:lineRule="auto"/>
              <w:rPr>
                <w:rFonts w:ascii="Calibri" w:eastAsia="Times New Roman" w:hAnsi="Calibri" w:cs="Times New Roman"/>
                <w:sz w:val="20"/>
                <w:szCs w:val="20"/>
                <w:lang w:eastAsia="en-AU"/>
              </w:rPr>
            </w:pPr>
            <w:r w:rsidRPr="0068422F">
              <w:rPr>
                <w:rFonts w:ascii="Calibri" w:eastAsia="Times New Roman" w:hAnsi="Calibri" w:cs="Times New Roman"/>
                <w:sz w:val="20"/>
                <w:szCs w:val="20"/>
                <w:lang w:eastAsia="en-AU"/>
              </w:rPr>
              <w:t>Location adjustment</w:t>
            </w:r>
            <w:r w:rsidR="002F7C33">
              <w:rPr>
                <w:rFonts w:ascii="Calibri" w:eastAsia="Times New Roman" w:hAnsi="Calibri" w:cs="Times New Roman"/>
                <w:sz w:val="20"/>
                <w:szCs w:val="20"/>
                <w:lang w:eastAsia="en-AU"/>
              </w:rPr>
              <w:t xml:space="preserve"> (b)</w:t>
            </w:r>
          </w:p>
        </w:tc>
        <w:tc>
          <w:tcPr>
            <w:tcW w:w="4480" w:type="dxa"/>
            <w:tcBorders>
              <w:top w:val="nil"/>
              <w:left w:val="nil"/>
              <w:bottom w:val="single" w:sz="4" w:space="0" w:color="auto"/>
              <w:right w:val="nil"/>
            </w:tcBorders>
            <w:shd w:val="clear" w:color="auto" w:fill="auto"/>
            <w:hideMark/>
          </w:tcPr>
          <w:p w:rsidR="0068422F" w:rsidRPr="0068422F" w:rsidRDefault="0068422F" w:rsidP="002D237F">
            <w:pPr>
              <w:keepNext/>
              <w:keepLines/>
              <w:tabs>
                <w:tab w:val="clear" w:pos="567"/>
              </w:tabs>
              <w:spacing w:after="0" w:line="240" w:lineRule="auto"/>
              <w:rPr>
                <w:rFonts w:ascii="Calibri" w:eastAsia="Times New Roman" w:hAnsi="Calibri" w:cs="Times New Roman"/>
                <w:sz w:val="20"/>
                <w:szCs w:val="20"/>
                <w:lang w:eastAsia="en-AU"/>
              </w:rPr>
            </w:pPr>
            <w:r w:rsidRPr="0068422F">
              <w:rPr>
                <w:rFonts w:ascii="Calibri" w:eastAsia="Times New Roman" w:hAnsi="Calibri" w:cs="Times New Roman"/>
                <w:sz w:val="20"/>
                <w:szCs w:val="20"/>
                <w:lang w:eastAsia="en-AU"/>
              </w:rPr>
              <w:t>Recognises differences in regional costs faced by cities of similar remoteness.</w:t>
            </w:r>
          </w:p>
        </w:tc>
      </w:tr>
    </w:tbl>
    <w:p w:rsidR="00BF4080" w:rsidRDefault="00BF4080" w:rsidP="002D237F">
      <w:pPr>
        <w:pStyle w:val="CGCTableFootnote"/>
        <w:keepNext/>
        <w:keepLines/>
      </w:pPr>
      <w:r>
        <w:t>Notes:</w:t>
      </w:r>
      <w:r>
        <w:tab/>
      </w:r>
      <w:r w:rsidR="005B58A2">
        <w:t>Staff propose</w:t>
      </w:r>
      <w:r w:rsidR="00D762D8">
        <w:t xml:space="preserve"> no change to the expenses to which the wage</w:t>
      </w:r>
      <w:r>
        <w:t xml:space="preserve"> cost and regional cost disabilities are applied</w:t>
      </w:r>
      <w:r w:rsidR="00D762D8">
        <w:t>.</w:t>
      </w:r>
      <w:r>
        <w:t xml:space="preserve"> </w:t>
      </w:r>
    </w:p>
    <w:p w:rsidR="007C04D4" w:rsidRDefault="007C04D4" w:rsidP="002D237F">
      <w:pPr>
        <w:pStyle w:val="CGCTableFootnote"/>
        <w:keepNext/>
        <w:keepLines/>
      </w:pPr>
      <w:r>
        <w:t>(a)</w:t>
      </w:r>
      <w:r>
        <w:tab/>
      </w:r>
      <w:r w:rsidR="003550FB">
        <w:t>Depending on State views, administrative scale may be functionalised to expense categories.</w:t>
      </w:r>
    </w:p>
    <w:p w:rsidR="0009133D" w:rsidRDefault="0009133D" w:rsidP="002D237F">
      <w:pPr>
        <w:pStyle w:val="CGCTableFootnote"/>
        <w:keepNext/>
        <w:keepLines/>
      </w:pPr>
      <w:r>
        <w:t>(b)</w:t>
      </w:r>
      <w:r>
        <w:tab/>
      </w:r>
      <w:r w:rsidR="001D4D6E">
        <w:t xml:space="preserve">See </w:t>
      </w:r>
      <w:r w:rsidR="00E86442">
        <w:t>Staff Draft Assessment Paper</w:t>
      </w:r>
      <w:r w:rsidR="001D4D6E">
        <w:t xml:space="preserve"> </w:t>
      </w:r>
      <w:r w:rsidR="001D4D6E" w:rsidRPr="001D4D6E">
        <w:rPr>
          <w:i/>
        </w:rPr>
        <w:t>CGC 2018-01/23-S</w:t>
      </w:r>
      <w:r w:rsidR="005B58A2">
        <w:t>,</w:t>
      </w:r>
      <w:r w:rsidR="00A5125A" w:rsidRPr="00A5125A">
        <w:rPr>
          <w:i/>
        </w:rPr>
        <w:t xml:space="preserve"> </w:t>
      </w:r>
      <w:r w:rsidR="00D12A96">
        <w:rPr>
          <w:i/>
        </w:rPr>
        <w:t>Geography used by the Commission</w:t>
      </w:r>
      <w:r w:rsidR="00A5125A">
        <w:t xml:space="preserve"> </w:t>
      </w:r>
      <w:r w:rsidR="001D4D6E">
        <w:t>for the staff proposal for the location adjustment</w:t>
      </w:r>
      <w:r w:rsidR="00D90574">
        <w:t>.</w:t>
      </w:r>
    </w:p>
    <w:p w:rsidR="00B7517F" w:rsidRDefault="009302F9" w:rsidP="002D237F">
      <w:pPr>
        <w:pStyle w:val="CGCTableFootnote"/>
        <w:keepNext/>
        <w:keepLines/>
      </w:pPr>
      <w:r>
        <w:t>Source:</w:t>
      </w:r>
      <w:r>
        <w:tab/>
        <w:t>Staff proposal.</w:t>
      </w:r>
      <w:bookmarkEnd w:id="0"/>
      <w:bookmarkEnd w:id="1"/>
      <w:bookmarkEnd w:id="2"/>
      <w:bookmarkEnd w:id="3"/>
      <w:bookmarkEnd w:id="4"/>
      <w:bookmarkEnd w:id="5"/>
      <w:bookmarkEnd w:id="6"/>
      <w:bookmarkEnd w:id="7"/>
    </w:p>
    <w:p w:rsidR="00CB7731" w:rsidRDefault="00CB7731" w:rsidP="00CB7731">
      <w:pPr>
        <w:pStyle w:val="Heading4"/>
      </w:pPr>
      <w:bookmarkStart w:id="64" w:name="_Toc510795497"/>
      <w:bookmarkStart w:id="65" w:name="_Toc511394449"/>
      <w:r>
        <w:t>Information sought from States</w:t>
      </w:r>
      <w:bookmarkEnd w:id="64"/>
      <w:bookmarkEnd w:id="65"/>
    </w:p>
    <w:p w:rsidR="00CB7731" w:rsidRPr="00CB7731" w:rsidRDefault="00135F85" w:rsidP="00135F85">
      <w:pPr>
        <w:pStyle w:val="CGCNumberedPara"/>
        <w:numPr>
          <w:ilvl w:val="1"/>
          <w:numId w:val="3"/>
        </w:numPr>
      </w:pPr>
      <w:r>
        <w:t>No additional information has been requested from States for this category at this time.</w:t>
      </w:r>
      <w:r w:rsidR="00303E43">
        <w:t xml:space="preserve"> </w:t>
      </w:r>
    </w:p>
    <w:sectPr w:rsidR="00CB7731" w:rsidRPr="00CB7731" w:rsidSect="00B7517F">
      <w:footerReference w:type="default" r:id="rId15"/>
      <w:footerReference w:type="first" r:id="rId16"/>
      <w:pgSz w:w="11899" w:h="16838" w:code="9"/>
      <w:pgMar w:top="1701" w:right="1474" w:bottom="1701" w:left="1474" w:header="709" w:footer="709"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EBC" w:rsidRDefault="000A5EBC">
      <w:r>
        <w:separator/>
      </w:r>
    </w:p>
  </w:endnote>
  <w:endnote w:type="continuationSeparator" w:id="0">
    <w:p w:rsidR="000A5EBC" w:rsidRDefault="000A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BC" w:rsidRPr="0011178C" w:rsidRDefault="000A5EBC" w:rsidP="003929D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BC" w:rsidRPr="007E487F" w:rsidRDefault="000A5EBC" w:rsidP="00DC0F02">
    <w:pPr>
      <w:pStyle w:val="Footer"/>
      <w:tabs>
        <w:tab w:val="right" w:pos="8931"/>
      </w:tabs>
      <w:rPr>
        <w:sz w:val="20"/>
        <w:szCs w:val="20"/>
      </w:rPr>
    </w:pPr>
    <w:r>
      <w:rPr>
        <w:sz w:val="20"/>
        <w:szCs w:val="20"/>
      </w:rPr>
      <w:tab/>
    </w:r>
    <w:r>
      <w:rPr>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BC" w:rsidRPr="007E487F" w:rsidRDefault="000A5EBC" w:rsidP="00DC0F02">
    <w:pPr>
      <w:pStyle w:val="Footer"/>
      <w:tabs>
        <w:tab w:val="right" w:pos="8931"/>
      </w:tabs>
      <w:rPr>
        <w:sz w:val="20"/>
        <w:szCs w:val="20"/>
      </w:rPr>
    </w:pPr>
    <w:r>
      <w:rPr>
        <w:sz w:val="20"/>
        <w:szCs w:val="20"/>
      </w:rPr>
      <w:tab/>
    </w:r>
    <w:r>
      <w:rPr>
        <w:sz w:val="20"/>
        <w:szCs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BC" w:rsidRPr="0011178C" w:rsidRDefault="000A5EBC" w:rsidP="003929D2">
    <w:pPr>
      <w:pStyle w:val="Footer"/>
      <w:jc w:val="right"/>
    </w:pPr>
    <w:r>
      <w:fldChar w:fldCharType="begin"/>
    </w:r>
    <w:r>
      <w:instrText xml:space="preserve"> PAGE  \* Arabic  \* MERGEFORMAT </w:instrText>
    </w:r>
    <w:r>
      <w:fldChar w:fldCharType="separate"/>
    </w:r>
    <w:r w:rsidR="00C10DE7">
      <w:rPr>
        <w:noProof/>
      </w:rPr>
      <w:t>12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484908102"/>
      <w:docPartObj>
        <w:docPartGallery w:val="Page Numbers (Bottom of Page)"/>
        <w:docPartUnique/>
      </w:docPartObj>
    </w:sdtPr>
    <w:sdtEndPr>
      <w:rPr>
        <w:b w:val="0"/>
      </w:rPr>
    </w:sdtEndPr>
    <w:sdtContent>
      <w:p w:rsidR="000A5EBC" w:rsidRPr="00EF7649" w:rsidRDefault="000A5EBC" w:rsidP="00EF7649">
        <w:pPr>
          <w:pStyle w:val="Footer"/>
          <w:jc w:val="right"/>
        </w:pPr>
        <w:r w:rsidRPr="00EF7649">
          <w:fldChar w:fldCharType="begin"/>
        </w:r>
        <w:r w:rsidRPr="00EF7649">
          <w:instrText xml:space="preserve"> PAGE  \* Arabic  \* MERGEFORMAT </w:instrText>
        </w:r>
        <w:r w:rsidRPr="00EF7649">
          <w:fldChar w:fldCharType="separate"/>
        </w:r>
        <w:r w:rsidR="00C10DE7">
          <w:rPr>
            <w:noProof/>
          </w:rPr>
          <w:t>1</w:t>
        </w:r>
        <w:r w:rsidRPr="00EF7649">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EBC" w:rsidRDefault="000A5EBC">
      <w:r>
        <w:separator/>
      </w:r>
    </w:p>
  </w:footnote>
  <w:footnote w:type="continuationSeparator" w:id="0">
    <w:p w:rsidR="000A5EBC" w:rsidRDefault="000A5EBC">
      <w:r>
        <w:continuationSeparator/>
      </w:r>
    </w:p>
  </w:footnote>
  <w:footnote w:id="1">
    <w:p w:rsidR="000A5EBC" w:rsidRDefault="000A5EBC">
      <w:pPr>
        <w:pStyle w:val="FootnoteText"/>
      </w:pPr>
      <w:r>
        <w:rPr>
          <w:rStyle w:val="FootnoteReference"/>
        </w:rPr>
        <w:footnoteRef/>
      </w:r>
      <w:r>
        <w:t xml:space="preserve"> </w:t>
      </w:r>
      <w:r>
        <w:tab/>
        <w:t>Data by State are not provided due to confidentiality.</w:t>
      </w:r>
    </w:p>
  </w:footnote>
  <w:footnote w:id="2">
    <w:p w:rsidR="000A5EBC" w:rsidRDefault="000A5EBC">
      <w:pPr>
        <w:pStyle w:val="FootnoteText"/>
      </w:pPr>
      <w:r>
        <w:rPr>
          <w:rStyle w:val="FootnoteReference"/>
        </w:rPr>
        <w:footnoteRef/>
      </w:r>
      <w:r>
        <w:t xml:space="preserve"> </w:t>
      </w:r>
      <w:r>
        <w:tab/>
        <w:t xml:space="preserve">Australian Government, Disaster Assist, </w:t>
      </w:r>
      <w:hyperlink r:id="rId1" w:history="1">
        <w:r w:rsidRPr="00FB62CC">
          <w:rPr>
            <w:rStyle w:val="Hyperlink"/>
          </w:rPr>
          <w:t>Natural Disaster Relief and Recovery Arrangements</w:t>
        </w:r>
      </w:hyperlink>
      <w:r>
        <w:t>, (</w:t>
      </w:r>
      <w:r w:rsidRPr="00D6167A">
        <w:t>https://www.disasterassist.gov.au/Pages/related-links/Natural-Disaster-Relief-and-Recovery-Arrangements.aspx</w:t>
      </w:r>
      <w:r>
        <w:t>), [accessed Oct 2017].</w:t>
      </w:r>
    </w:p>
  </w:footnote>
  <w:footnote w:id="3">
    <w:p w:rsidR="000A5EBC" w:rsidRDefault="000A5EBC">
      <w:pPr>
        <w:pStyle w:val="FootnoteText"/>
      </w:pPr>
      <w:r>
        <w:rPr>
          <w:rStyle w:val="FootnoteReference"/>
        </w:rPr>
        <w:footnoteRef/>
      </w:r>
      <w:r>
        <w:t xml:space="preserve"> </w:t>
      </w:r>
      <w:r>
        <w:tab/>
        <w:t>The correction is usually made by including a one off adjustment in the last assessment year. The size of the adjustment is based on the amount of the revision and the number of times the incorrect amount has been included in previous inquiries. A materiality test of $10 per capita is used to determine if an adjustment will be made.</w:t>
      </w:r>
    </w:p>
  </w:footnote>
  <w:footnote w:id="4">
    <w:p w:rsidR="000A5EBC" w:rsidRDefault="000A5EBC" w:rsidP="006D1A03">
      <w:pPr>
        <w:pStyle w:val="FootnoteText"/>
        <w:tabs>
          <w:tab w:val="left" w:pos="1985"/>
        </w:tabs>
      </w:pPr>
      <w:r>
        <w:rPr>
          <w:rStyle w:val="FootnoteReference"/>
        </w:rPr>
        <w:footnoteRef/>
      </w:r>
      <w:r>
        <w:t xml:space="preserve"> </w:t>
      </w:r>
      <w:r>
        <w:tab/>
        <w:t xml:space="preserve">The Commission’s conclusions were based on analysis of a review of State insurance arrangements undertaken by the then Commonwealth Department of Finance and Regulation under the 2011 Determination. </w:t>
      </w:r>
    </w:p>
  </w:footnote>
  <w:footnote w:id="5">
    <w:p w:rsidR="000A5EBC" w:rsidRDefault="000A5EBC" w:rsidP="00514927">
      <w:pPr>
        <w:pStyle w:val="FootnoteText"/>
      </w:pPr>
      <w:r>
        <w:rPr>
          <w:rStyle w:val="FootnoteReference"/>
        </w:rPr>
        <w:footnoteRef/>
      </w:r>
      <w:r>
        <w:t xml:space="preserve"> </w:t>
      </w:r>
      <w:r>
        <w:tab/>
        <w:t xml:space="preserve">For a full discussion of this issue, see </w:t>
      </w:r>
      <w:r w:rsidRPr="008B49CE">
        <w:t xml:space="preserve">Commonwealth Grants Commission, </w:t>
      </w:r>
      <w:r w:rsidRPr="008B49CE">
        <w:rPr>
          <w:i/>
        </w:rPr>
        <w:t>Report on GST Revenue Sharing Relativities — 2013 Update</w:t>
      </w:r>
      <w:r>
        <w:t xml:space="preserve">, pp. 52-54. </w:t>
      </w:r>
    </w:p>
  </w:footnote>
  <w:footnote w:id="6">
    <w:p w:rsidR="000A5EBC" w:rsidRDefault="000A5EBC" w:rsidP="00783A1D">
      <w:pPr>
        <w:pStyle w:val="FootnoteText"/>
      </w:pPr>
      <w:r>
        <w:rPr>
          <w:rStyle w:val="FootnoteReference"/>
        </w:rPr>
        <w:footnoteRef/>
      </w:r>
      <w:r>
        <w:t xml:space="preserve"> </w:t>
      </w:r>
      <w:r>
        <w:tab/>
      </w:r>
      <w:r w:rsidRPr="00EC5E69">
        <w:t>Productivity Commission</w:t>
      </w:r>
      <w:r>
        <w:t xml:space="preserve">, </w:t>
      </w:r>
      <w:r w:rsidRPr="00F46C7C">
        <w:rPr>
          <w:i/>
        </w:rPr>
        <w:t>Natural Disaster Funding Arrangements Inquiry Report</w:t>
      </w:r>
      <w:r>
        <w:t>, Volume 2, 2014, p. 413.</w:t>
      </w:r>
    </w:p>
  </w:footnote>
  <w:footnote w:id="7">
    <w:p w:rsidR="000A5EBC" w:rsidRDefault="000A5EBC" w:rsidP="00783A1D">
      <w:pPr>
        <w:pStyle w:val="FootnoteText"/>
      </w:pPr>
      <w:r>
        <w:rPr>
          <w:rStyle w:val="FootnoteReference"/>
        </w:rPr>
        <w:footnoteRef/>
      </w:r>
      <w:r>
        <w:t xml:space="preserve"> </w:t>
      </w:r>
      <w:r>
        <w:tab/>
        <w:t>ibid, p. 38 and p. 413.</w:t>
      </w:r>
    </w:p>
  </w:footnote>
  <w:footnote w:id="8">
    <w:p w:rsidR="000A5EBC" w:rsidRDefault="000A5EBC">
      <w:pPr>
        <w:pStyle w:val="FootnoteText"/>
      </w:pPr>
      <w:r>
        <w:rPr>
          <w:rStyle w:val="FootnoteReference"/>
        </w:rPr>
        <w:footnoteRef/>
      </w:r>
      <w:r>
        <w:t xml:space="preserve"> </w:t>
      </w:r>
      <w:r>
        <w:tab/>
        <w:t xml:space="preserve">Attorney-General’s Department, </w:t>
      </w:r>
      <w:r w:rsidRPr="00523422">
        <w:rPr>
          <w:i/>
        </w:rPr>
        <w:t>Natural Disaster Relief and Recovery Arrangements Determination 2017</w:t>
      </w:r>
      <w:r>
        <w:t>, section 4.5.</w:t>
      </w:r>
    </w:p>
  </w:footnote>
  <w:footnote w:id="9">
    <w:p w:rsidR="000A5EBC" w:rsidRDefault="000A5EBC" w:rsidP="00160F57">
      <w:pPr>
        <w:pStyle w:val="FootnoteText"/>
      </w:pPr>
      <w:r>
        <w:rPr>
          <w:rStyle w:val="FootnoteReference"/>
        </w:rPr>
        <w:footnoteRef/>
      </w:r>
      <w:r>
        <w:t xml:space="preserve"> </w:t>
      </w:r>
      <w:r>
        <w:tab/>
      </w:r>
      <w:r w:rsidRPr="00EC5E69">
        <w:t>Productivity Commission</w:t>
      </w:r>
      <w:r>
        <w:t xml:space="preserve">, </w:t>
      </w:r>
      <w:r w:rsidRPr="00F46C7C">
        <w:rPr>
          <w:i/>
        </w:rPr>
        <w:t>Natural Disaster Funding Arrangements Inquiry Report</w:t>
      </w:r>
      <w:r>
        <w:t>, Volume 2, 2014, p. 39.</w:t>
      </w:r>
    </w:p>
  </w:footnote>
  <w:footnote w:id="10">
    <w:p w:rsidR="000A5EBC" w:rsidRDefault="000A5EBC">
      <w:pPr>
        <w:pStyle w:val="FootnoteText"/>
      </w:pPr>
      <w:r>
        <w:rPr>
          <w:rStyle w:val="FootnoteReference"/>
        </w:rPr>
        <w:footnoteRef/>
      </w:r>
      <w:r>
        <w:t xml:space="preserve"> </w:t>
      </w:r>
      <w:r>
        <w:tab/>
        <w:t xml:space="preserve">Department of State Development (Queensland), </w:t>
      </w:r>
      <w:hyperlink r:id="rId2" w:history="1">
        <w:r w:rsidRPr="00081F85">
          <w:rPr>
            <w:rStyle w:val="Hyperlink"/>
          </w:rPr>
          <w:t>Building our Regions</w:t>
        </w:r>
      </w:hyperlink>
      <w:r>
        <w:t>, (</w:t>
      </w:r>
      <w:r w:rsidRPr="00283305">
        <w:t>https://www.statedevelopment.qld.gov.au/regional-development/building-our-regions.html</w:t>
      </w:r>
      <w:r>
        <w:t>), [accessed Oct 2017].</w:t>
      </w:r>
    </w:p>
  </w:footnote>
  <w:footnote w:id="11">
    <w:p w:rsidR="000A5EBC" w:rsidRDefault="000A5EBC" w:rsidP="003D1E9F">
      <w:pPr>
        <w:pStyle w:val="FootnoteText"/>
      </w:pPr>
      <w:r>
        <w:rPr>
          <w:rStyle w:val="FootnoteReference"/>
        </w:rPr>
        <w:footnoteRef/>
      </w:r>
      <w:r>
        <w:t xml:space="preserve"> </w:t>
      </w:r>
      <w:r>
        <w:tab/>
        <w:t xml:space="preserve">Department of Regional Development (Western Australia), </w:t>
      </w:r>
      <w:hyperlink r:id="rId3" w:history="1">
        <w:r w:rsidRPr="00B92510">
          <w:rPr>
            <w:rStyle w:val="Hyperlink"/>
          </w:rPr>
          <w:t>Final Report 2017</w:t>
        </w:r>
      </w:hyperlink>
      <w:r>
        <w:t>, p. 16, (</w:t>
      </w:r>
      <w:r w:rsidRPr="00980547">
        <w:t>http://www.drd.wa.gov.au/Publications/Documents/DRD%20Final%20Report%202017.pdf</w:t>
      </w:r>
      <w:r>
        <w:t xml:space="preserve">), [accessed Oct 2017]; and Department of Regional Development (Western Australia), </w:t>
      </w:r>
      <w:hyperlink r:id="rId4" w:history="1">
        <w:r w:rsidRPr="00081F85">
          <w:rPr>
            <w:rStyle w:val="Hyperlink"/>
          </w:rPr>
          <w:t>Country Local Government Fund</w:t>
        </w:r>
      </w:hyperlink>
      <w:r>
        <w:t>, (</w:t>
      </w:r>
      <w:r w:rsidRPr="000129BB">
        <w:t>http://www.drd.wa.gov.au/rfr/Programs-and-Schemes/Pages/Country-Local-Government-Fund.aspx</w:t>
      </w:r>
      <w:r>
        <w:t>), [accessed Oct 2017]</w:t>
      </w:r>
    </w:p>
  </w:footnote>
  <w:footnote w:id="12">
    <w:p w:rsidR="000A5EBC" w:rsidRDefault="000A5EBC" w:rsidP="00DD0F28">
      <w:pPr>
        <w:pStyle w:val="FootnoteText"/>
      </w:pPr>
      <w:r>
        <w:rPr>
          <w:rStyle w:val="FootnoteReference"/>
        </w:rPr>
        <w:footnoteRef/>
      </w:r>
      <w:r>
        <w:t xml:space="preserve"> </w:t>
      </w:r>
      <w:r>
        <w:tab/>
        <w:t xml:space="preserve">National parks and wildlife expenses will be included under </w:t>
      </w:r>
      <w:r w:rsidRPr="00DF22F6">
        <w:t>Protection of biodiversity and landscape</w:t>
      </w:r>
      <w:r>
        <w:t xml:space="preserve">, </w:t>
      </w:r>
      <w:r w:rsidRPr="00DF22F6">
        <w:t xml:space="preserve"> (Classification of the functions of government - Australia (</w:t>
      </w:r>
      <w:proofErr w:type="spellStart"/>
      <w:r w:rsidRPr="00DF22F6">
        <w:t>COFOG</w:t>
      </w:r>
      <w:proofErr w:type="spellEnd"/>
      <w:r w:rsidRPr="00DF22F6">
        <w:t>-A</w:t>
      </w:r>
      <w:r>
        <w:t>)</w:t>
      </w:r>
      <w:r w:rsidRPr="00DF22F6">
        <w:t xml:space="preserve"> 0541)</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0D9A319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i w:val="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06"/>
    <w:rsid w:val="00011EC5"/>
    <w:rsid w:val="000129BB"/>
    <w:rsid w:val="00016FE0"/>
    <w:rsid w:val="00021E13"/>
    <w:rsid w:val="00022EA9"/>
    <w:rsid w:val="00024102"/>
    <w:rsid w:val="00024745"/>
    <w:rsid w:val="00025D70"/>
    <w:rsid w:val="00032F41"/>
    <w:rsid w:val="00034EBE"/>
    <w:rsid w:val="000358AE"/>
    <w:rsid w:val="00040ABB"/>
    <w:rsid w:val="00040F48"/>
    <w:rsid w:val="0004123E"/>
    <w:rsid w:val="00041748"/>
    <w:rsid w:val="00041E84"/>
    <w:rsid w:val="000424EA"/>
    <w:rsid w:val="00042E44"/>
    <w:rsid w:val="000432BA"/>
    <w:rsid w:val="00045D82"/>
    <w:rsid w:val="000478D0"/>
    <w:rsid w:val="0005282D"/>
    <w:rsid w:val="00054FA3"/>
    <w:rsid w:val="00056373"/>
    <w:rsid w:val="00061111"/>
    <w:rsid w:val="000624BB"/>
    <w:rsid w:val="000648E8"/>
    <w:rsid w:val="00070118"/>
    <w:rsid w:val="00071A90"/>
    <w:rsid w:val="000764D1"/>
    <w:rsid w:val="00081F85"/>
    <w:rsid w:val="00083B67"/>
    <w:rsid w:val="0009133D"/>
    <w:rsid w:val="00093796"/>
    <w:rsid w:val="000A3659"/>
    <w:rsid w:val="000A3898"/>
    <w:rsid w:val="000A52A1"/>
    <w:rsid w:val="000A5EBC"/>
    <w:rsid w:val="000A6D13"/>
    <w:rsid w:val="000B2942"/>
    <w:rsid w:val="000B3557"/>
    <w:rsid w:val="000B485E"/>
    <w:rsid w:val="000B64E3"/>
    <w:rsid w:val="000B79B4"/>
    <w:rsid w:val="000C01DC"/>
    <w:rsid w:val="000D1354"/>
    <w:rsid w:val="000D6DC0"/>
    <w:rsid w:val="000D7C54"/>
    <w:rsid w:val="000E0210"/>
    <w:rsid w:val="000E1F39"/>
    <w:rsid w:val="000E201B"/>
    <w:rsid w:val="000E6AA5"/>
    <w:rsid w:val="000E7F56"/>
    <w:rsid w:val="000F1CDA"/>
    <w:rsid w:val="000F2042"/>
    <w:rsid w:val="000F71A4"/>
    <w:rsid w:val="001039C2"/>
    <w:rsid w:val="001040AD"/>
    <w:rsid w:val="0011178C"/>
    <w:rsid w:val="00112CF0"/>
    <w:rsid w:val="00113BF7"/>
    <w:rsid w:val="00114151"/>
    <w:rsid w:val="001211AB"/>
    <w:rsid w:val="001218B8"/>
    <w:rsid w:val="00122E28"/>
    <w:rsid w:val="00124553"/>
    <w:rsid w:val="00124ED1"/>
    <w:rsid w:val="0013158B"/>
    <w:rsid w:val="00134594"/>
    <w:rsid w:val="00135F85"/>
    <w:rsid w:val="00136497"/>
    <w:rsid w:val="00141BD1"/>
    <w:rsid w:val="001441DA"/>
    <w:rsid w:val="00147115"/>
    <w:rsid w:val="001477CE"/>
    <w:rsid w:val="00157B5A"/>
    <w:rsid w:val="00160F57"/>
    <w:rsid w:val="0016723A"/>
    <w:rsid w:val="00170DC9"/>
    <w:rsid w:val="00171A05"/>
    <w:rsid w:val="00172794"/>
    <w:rsid w:val="00172F3A"/>
    <w:rsid w:val="001730FD"/>
    <w:rsid w:val="00173798"/>
    <w:rsid w:val="00173BE6"/>
    <w:rsid w:val="00173E72"/>
    <w:rsid w:val="001807C0"/>
    <w:rsid w:val="001811DE"/>
    <w:rsid w:val="0018373C"/>
    <w:rsid w:val="001859D6"/>
    <w:rsid w:val="00187145"/>
    <w:rsid w:val="001A2535"/>
    <w:rsid w:val="001A3A1E"/>
    <w:rsid w:val="001A4336"/>
    <w:rsid w:val="001A7186"/>
    <w:rsid w:val="001B0110"/>
    <w:rsid w:val="001B3048"/>
    <w:rsid w:val="001B696E"/>
    <w:rsid w:val="001B6A56"/>
    <w:rsid w:val="001B6D93"/>
    <w:rsid w:val="001C0044"/>
    <w:rsid w:val="001C469B"/>
    <w:rsid w:val="001C6A71"/>
    <w:rsid w:val="001C7E85"/>
    <w:rsid w:val="001D4D6E"/>
    <w:rsid w:val="001D638B"/>
    <w:rsid w:val="001D6DFA"/>
    <w:rsid w:val="001E6180"/>
    <w:rsid w:val="001E674B"/>
    <w:rsid w:val="001E68FC"/>
    <w:rsid w:val="001E6B8E"/>
    <w:rsid w:val="001E72B6"/>
    <w:rsid w:val="001F0DA1"/>
    <w:rsid w:val="001F4F5A"/>
    <w:rsid w:val="0020120B"/>
    <w:rsid w:val="00201A7B"/>
    <w:rsid w:val="00204026"/>
    <w:rsid w:val="00206EC6"/>
    <w:rsid w:val="00212948"/>
    <w:rsid w:val="002146B4"/>
    <w:rsid w:val="002171CB"/>
    <w:rsid w:val="00217839"/>
    <w:rsid w:val="00225A3B"/>
    <w:rsid w:val="0023081D"/>
    <w:rsid w:val="0023329C"/>
    <w:rsid w:val="00236DC0"/>
    <w:rsid w:val="002373A2"/>
    <w:rsid w:val="00242517"/>
    <w:rsid w:val="0024260B"/>
    <w:rsid w:val="0024401F"/>
    <w:rsid w:val="0024569B"/>
    <w:rsid w:val="00255B5A"/>
    <w:rsid w:val="00262ABD"/>
    <w:rsid w:val="00263A75"/>
    <w:rsid w:val="00264C2B"/>
    <w:rsid w:val="002671A2"/>
    <w:rsid w:val="00267496"/>
    <w:rsid w:val="00275B68"/>
    <w:rsid w:val="00276A2E"/>
    <w:rsid w:val="00283305"/>
    <w:rsid w:val="002845EA"/>
    <w:rsid w:val="00286EBE"/>
    <w:rsid w:val="00295B70"/>
    <w:rsid w:val="002A2A08"/>
    <w:rsid w:val="002A2D93"/>
    <w:rsid w:val="002A4E42"/>
    <w:rsid w:val="002A77C3"/>
    <w:rsid w:val="002B085A"/>
    <w:rsid w:val="002B10B0"/>
    <w:rsid w:val="002B150A"/>
    <w:rsid w:val="002B169C"/>
    <w:rsid w:val="002B6EFD"/>
    <w:rsid w:val="002B6F33"/>
    <w:rsid w:val="002B79F0"/>
    <w:rsid w:val="002B7F3E"/>
    <w:rsid w:val="002C0A19"/>
    <w:rsid w:val="002C1D9C"/>
    <w:rsid w:val="002C244F"/>
    <w:rsid w:val="002C366F"/>
    <w:rsid w:val="002C4CA9"/>
    <w:rsid w:val="002C4D59"/>
    <w:rsid w:val="002D2270"/>
    <w:rsid w:val="002D237F"/>
    <w:rsid w:val="002D2B19"/>
    <w:rsid w:val="002D3A23"/>
    <w:rsid w:val="002E102D"/>
    <w:rsid w:val="002E25A8"/>
    <w:rsid w:val="002E7487"/>
    <w:rsid w:val="002F04DE"/>
    <w:rsid w:val="002F063A"/>
    <w:rsid w:val="002F1CD3"/>
    <w:rsid w:val="002F56C1"/>
    <w:rsid w:val="002F62C2"/>
    <w:rsid w:val="002F6E28"/>
    <w:rsid w:val="002F7C33"/>
    <w:rsid w:val="002F7E68"/>
    <w:rsid w:val="003000D9"/>
    <w:rsid w:val="00302A19"/>
    <w:rsid w:val="00302E5E"/>
    <w:rsid w:val="00303E43"/>
    <w:rsid w:val="00307DEF"/>
    <w:rsid w:val="00311D33"/>
    <w:rsid w:val="00313664"/>
    <w:rsid w:val="00314F90"/>
    <w:rsid w:val="00321A5E"/>
    <w:rsid w:val="0033102E"/>
    <w:rsid w:val="00331401"/>
    <w:rsid w:val="00333234"/>
    <w:rsid w:val="00333EB7"/>
    <w:rsid w:val="003342CF"/>
    <w:rsid w:val="00335ED1"/>
    <w:rsid w:val="00337EF8"/>
    <w:rsid w:val="00342A60"/>
    <w:rsid w:val="00342F6F"/>
    <w:rsid w:val="0034379D"/>
    <w:rsid w:val="0034646D"/>
    <w:rsid w:val="003465CC"/>
    <w:rsid w:val="00347BE5"/>
    <w:rsid w:val="003522E0"/>
    <w:rsid w:val="0035267F"/>
    <w:rsid w:val="003550FB"/>
    <w:rsid w:val="0035580D"/>
    <w:rsid w:val="00355DE8"/>
    <w:rsid w:val="00357A5C"/>
    <w:rsid w:val="003639FB"/>
    <w:rsid w:val="00363BF7"/>
    <w:rsid w:val="00367755"/>
    <w:rsid w:val="00382AE5"/>
    <w:rsid w:val="003929D2"/>
    <w:rsid w:val="00393E3E"/>
    <w:rsid w:val="00393FA5"/>
    <w:rsid w:val="00394222"/>
    <w:rsid w:val="00395701"/>
    <w:rsid w:val="0039770C"/>
    <w:rsid w:val="003A27BB"/>
    <w:rsid w:val="003B085A"/>
    <w:rsid w:val="003B673D"/>
    <w:rsid w:val="003C15FF"/>
    <w:rsid w:val="003C2577"/>
    <w:rsid w:val="003C4448"/>
    <w:rsid w:val="003C6451"/>
    <w:rsid w:val="003D1E9F"/>
    <w:rsid w:val="003D22D2"/>
    <w:rsid w:val="003D3D91"/>
    <w:rsid w:val="003D4708"/>
    <w:rsid w:val="003D477A"/>
    <w:rsid w:val="003E1453"/>
    <w:rsid w:val="003E6481"/>
    <w:rsid w:val="003E6615"/>
    <w:rsid w:val="003E79F9"/>
    <w:rsid w:val="003F12E9"/>
    <w:rsid w:val="003F22CF"/>
    <w:rsid w:val="003F59F4"/>
    <w:rsid w:val="00400A53"/>
    <w:rsid w:val="004018AF"/>
    <w:rsid w:val="00404DCD"/>
    <w:rsid w:val="0040557C"/>
    <w:rsid w:val="004077D6"/>
    <w:rsid w:val="004079DC"/>
    <w:rsid w:val="00407CA6"/>
    <w:rsid w:val="00410FDC"/>
    <w:rsid w:val="00412026"/>
    <w:rsid w:val="004121E7"/>
    <w:rsid w:val="00414E51"/>
    <w:rsid w:val="00420F04"/>
    <w:rsid w:val="00423099"/>
    <w:rsid w:val="00424E79"/>
    <w:rsid w:val="0042661C"/>
    <w:rsid w:val="004274B3"/>
    <w:rsid w:val="00427EC6"/>
    <w:rsid w:val="00430A46"/>
    <w:rsid w:val="00433AF8"/>
    <w:rsid w:val="00443EC1"/>
    <w:rsid w:val="00453264"/>
    <w:rsid w:val="00462B54"/>
    <w:rsid w:val="00463064"/>
    <w:rsid w:val="00463334"/>
    <w:rsid w:val="00472461"/>
    <w:rsid w:val="0047293D"/>
    <w:rsid w:val="00474996"/>
    <w:rsid w:val="004809B8"/>
    <w:rsid w:val="004821B9"/>
    <w:rsid w:val="00484265"/>
    <w:rsid w:val="004902B5"/>
    <w:rsid w:val="00491D88"/>
    <w:rsid w:val="0049605C"/>
    <w:rsid w:val="004965F7"/>
    <w:rsid w:val="004A5D54"/>
    <w:rsid w:val="004A7048"/>
    <w:rsid w:val="004B0A0A"/>
    <w:rsid w:val="004B1C4B"/>
    <w:rsid w:val="004B285E"/>
    <w:rsid w:val="004B60CB"/>
    <w:rsid w:val="004C1CB5"/>
    <w:rsid w:val="004C3763"/>
    <w:rsid w:val="004D4694"/>
    <w:rsid w:val="004E769A"/>
    <w:rsid w:val="004F765F"/>
    <w:rsid w:val="00500ACD"/>
    <w:rsid w:val="00504061"/>
    <w:rsid w:val="00505BAE"/>
    <w:rsid w:val="00506956"/>
    <w:rsid w:val="00514927"/>
    <w:rsid w:val="00515380"/>
    <w:rsid w:val="005176CA"/>
    <w:rsid w:val="00517782"/>
    <w:rsid w:val="00523422"/>
    <w:rsid w:val="0052379E"/>
    <w:rsid w:val="00532D10"/>
    <w:rsid w:val="00537A77"/>
    <w:rsid w:val="00541A14"/>
    <w:rsid w:val="00543F9C"/>
    <w:rsid w:val="00546D39"/>
    <w:rsid w:val="00550E84"/>
    <w:rsid w:val="00551368"/>
    <w:rsid w:val="005577B0"/>
    <w:rsid w:val="00562084"/>
    <w:rsid w:val="0056222E"/>
    <w:rsid w:val="00570EED"/>
    <w:rsid w:val="005712DC"/>
    <w:rsid w:val="005716FC"/>
    <w:rsid w:val="00573F25"/>
    <w:rsid w:val="00575DEF"/>
    <w:rsid w:val="005760CF"/>
    <w:rsid w:val="00580E9C"/>
    <w:rsid w:val="00581BFA"/>
    <w:rsid w:val="00583A33"/>
    <w:rsid w:val="005867D2"/>
    <w:rsid w:val="005911D7"/>
    <w:rsid w:val="00592B45"/>
    <w:rsid w:val="00594729"/>
    <w:rsid w:val="005963CC"/>
    <w:rsid w:val="00596E19"/>
    <w:rsid w:val="005A241E"/>
    <w:rsid w:val="005A60FC"/>
    <w:rsid w:val="005A6FED"/>
    <w:rsid w:val="005B1BC4"/>
    <w:rsid w:val="005B1DB0"/>
    <w:rsid w:val="005B3FE0"/>
    <w:rsid w:val="005B58A2"/>
    <w:rsid w:val="005B6894"/>
    <w:rsid w:val="005B7121"/>
    <w:rsid w:val="005C13B2"/>
    <w:rsid w:val="005C1BDA"/>
    <w:rsid w:val="005C27E3"/>
    <w:rsid w:val="005C37CB"/>
    <w:rsid w:val="005C459C"/>
    <w:rsid w:val="005C77F6"/>
    <w:rsid w:val="005D1A9F"/>
    <w:rsid w:val="005D52FA"/>
    <w:rsid w:val="005E1D4F"/>
    <w:rsid w:val="005E266F"/>
    <w:rsid w:val="005E5734"/>
    <w:rsid w:val="005E73CE"/>
    <w:rsid w:val="005F07DC"/>
    <w:rsid w:val="005F64FB"/>
    <w:rsid w:val="00601C0B"/>
    <w:rsid w:val="0060251E"/>
    <w:rsid w:val="00602DDE"/>
    <w:rsid w:val="00605951"/>
    <w:rsid w:val="00611737"/>
    <w:rsid w:val="0061445D"/>
    <w:rsid w:val="00614DE8"/>
    <w:rsid w:val="00615258"/>
    <w:rsid w:val="006158F9"/>
    <w:rsid w:val="00622388"/>
    <w:rsid w:val="00622669"/>
    <w:rsid w:val="00622FE1"/>
    <w:rsid w:val="0062504C"/>
    <w:rsid w:val="00625CE5"/>
    <w:rsid w:val="00630C75"/>
    <w:rsid w:val="00635027"/>
    <w:rsid w:val="00644A7B"/>
    <w:rsid w:val="006554CC"/>
    <w:rsid w:val="006556D9"/>
    <w:rsid w:val="00656E18"/>
    <w:rsid w:val="006576DF"/>
    <w:rsid w:val="00661C46"/>
    <w:rsid w:val="0066254B"/>
    <w:rsid w:val="00664462"/>
    <w:rsid w:val="006652D3"/>
    <w:rsid w:val="00667CF3"/>
    <w:rsid w:val="006769C4"/>
    <w:rsid w:val="00677627"/>
    <w:rsid w:val="00677BD5"/>
    <w:rsid w:val="0068025E"/>
    <w:rsid w:val="006808E7"/>
    <w:rsid w:val="0068422F"/>
    <w:rsid w:val="006922DB"/>
    <w:rsid w:val="00693C2D"/>
    <w:rsid w:val="00693C87"/>
    <w:rsid w:val="0069445D"/>
    <w:rsid w:val="006A05C7"/>
    <w:rsid w:val="006A3FBB"/>
    <w:rsid w:val="006A607B"/>
    <w:rsid w:val="006A6E27"/>
    <w:rsid w:val="006A72B0"/>
    <w:rsid w:val="006B3E4D"/>
    <w:rsid w:val="006B5E24"/>
    <w:rsid w:val="006C09B5"/>
    <w:rsid w:val="006C16C3"/>
    <w:rsid w:val="006C52B9"/>
    <w:rsid w:val="006C5EA3"/>
    <w:rsid w:val="006D12C3"/>
    <w:rsid w:val="006D1A03"/>
    <w:rsid w:val="006D1DFE"/>
    <w:rsid w:val="006D75C1"/>
    <w:rsid w:val="006E6BC2"/>
    <w:rsid w:val="006E6DCF"/>
    <w:rsid w:val="006E77BB"/>
    <w:rsid w:val="006F0566"/>
    <w:rsid w:val="006F0BF8"/>
    <w:rsid w:val="0070150E"/>
    <w:rsid w:val="00705DB8"/>
    <w:rsid w:val="007124B5"/>
    <w:rsid w:val="00713225"/>
    <w:rsid w:val="00722682"/>
    <w:rsid w:val="0072512A"/>
    <w:rsid w:val="00725A27"/>
    <w:rsid w:val="00727316"/>
    <w:rsid w:val="00731EE6"/>
    <w:rsid w:val="007355A6"/>
    <w:rsid w:val="007373C4"/>
    <w:rsid w:val="00740A71"/>
    <w:rsid w:val="007436AD"/>
    <w:rsid w:val="00743F8B"/>
    <w:rsid w:val="007477C5"/>
    <w:rsid w:val="00747938"/>
    <w:rsid w:val="007575C5"/>
    <w:rsid w:val="00762AFB"/>
    <w:rsid w:val="0076486D"/>
    <w:rsid w:val="00765BA8"/>
    <w:rsid w:val="00766007"/>
    <w:rsid w:val="00770A26"/>
    <w:rsid w:val="00775A0F"/>
    <w:rsid w:val="0078335D"/>
    <w:rsid w:val="00783A1D"/>
    <w:rsid w:val="00784CD5"/>
    <w:rsid w:val="00786BFF"/>
    <w:rsid w:val="00793613"/>
    <w:rsid w:val="0079548A"/>
    <w:rsid w:val="007A1364"/>
    <w:rsid w:val="007A24A0"/>
    <w:rsid w:val="007A4AB2"/>
    <w:rsid w:val="007A5B84"/>
    <w:rsid w:val="007A5E68"/>
    <w:rsid w:val="007A688E"/>
    <w:rsid w:val="007B1BF7"/>
    <w:rsid w:val="007C04D4"/>
    <w:rsid w:val="007C404B"/>
    <w:rsid w:val="007C4BAE"/>
    <w:rsid w:val="007C6F2E"/>
    <w:rsid w:val="007D082A"/>
    <w:rsid w:val="007D1D3B"/>
    <w:rsid w:val="007D4274"/>
    <w:rsid w:val="007D5960"/>
    <w:rsid w:val="007D6394"/>
    <w:rsid w:val="007E114E"/>
    <w:rsid w:val="007E487F"/>
    <w:rsid w:val="007E4B2D"/>
    <w:rsid w:val="007E587D"/>
    <w:rsid w:val="007E6757"/>
    <w:rsid w:val="007E71E9"/>
    <w:rsid w:val="007F1873"/>
    <w:rsid w:val="007F1D06"/>
    <w:rsid w:val="007F6E73"/>
    <w:rsid w:val="008010D7"/>
    <w:rsid w:val="00803443"/>
    <w:rsid w:val="0080680D"/>
    <w:rsid w:val="00811964"/>
    <w:rsid w:val="00811D67"/>
    <w:rsid w:val="00812C05"/>
    <w:rsid w:val="0081322A"/>
    <w:rsid w:val="008147AB"/>
    <w:rsid w:val="008162AB"/>
    <w:rsid w:val="008215DB"/>
    <w:rsid w:val="0082619F"/>
    <w:rsid w:val="00831565"/>
    <w:rsid w:val="00834434"/>
    <w:rsid w:val="008368EC"/>
    <w:rsid w:val="0084338F"/>
    <w:rsid w:val="00843E6F"/>
    <w:rsid w:val="0084521C"/>
    <w:rsid w:val="00846E4A"/>
    <w:rsid w:val="00851AF5"/>
    <w:rsid w:val="00851FB5"/>
    <w:rsid w:val="00854DAA"/>
    <w:rsid w:val="008647DE"/>
    <w:rsid w:val="00864B95"/>
    <w:rsid w:val="0086718A"/>
    <w:rsid w:val="008677DD"/>
    <w:rsid w:val="00870E8A"/>
    <w:rsid w:val="008800D3"/>
    <w:rsid w:val="00885858"/>
    <w:rsid w:val="00886CDD"/>
    <w:rsid w:val="0089214D"/>
    <w:rsid w:val="00893C0D"/>
    <w:rsid w:val="008961BE"/>
    <w:rsid w:val="00896343"/>
    <w:rsid w:val="008977A6"/>
    <w:rsid w:val="008A20DA"/>
    <w:rsid w:val="008B49CE"/>
    <w:rsid w:val="008B5C8F"/>
    <w:rsid w:val="008B5F16"/>
    <w:rsid w:val="008B7722"/>
    <w:rsid w:val="008C090B"/>
    <w:rsid w:val="008C0E5C"/>
    <w:rsid w:val="008D171A"/>
    <w:rsid w:val="008D3404"/>
    <w:rsid w:val="008D348B"/>
    <w:rsid w:val="008D353E"/>
    <w:rsid w:val="008D57A6"/>
    <w:rsid w:val="008D62A5"/>
    <w:rsid w:val="008E1820"/>
    <w:rsid w:val="008E2BE4"/>
    <w:rsid w:val="008E6B4E"/>
    <w:rsid w:val="008E7970"/>
    <w:rsid w:val="008E7C34"/>
    <w:rsid w:val="008F0689"/>
    <w:rsid w:val="008F06B6"/>
    <w:rsid w:val="008F0C36"/>
    <w:rsid w:val="008F377B"/>
    <w:rsid w:val="008F696E"/>
    <w:rsid w:val="0090513C"/>
    <w:rsid w:val="00910A3E"/>
    <w:rsid w:val="00915512"/>
    <w:rsid w:val="00922B9F"/>
    <w:rsid w:val="00922E1A"/>
    <w:rsid w:val="009233CC"/>
    <w:rsid w:val="009240D8"/>
    <w:rsid w:val="0092523D"/>
    <w:rsid w:val="009302F9"/>
    <w:rsid w:val="009360D7"/>
    <w:rsid w:val="00936195"/>
    <w:rsid w:val="009362C9"/>
    <w:rsid w:val="00942387"/>
    <w:rsid w:val="00944167"/>
    <w:rsid w:val="00945023"/>
    <w:rsid w:val="0094626F"/>
    <w:rsid w:val="009462D2"/>
    <w:rsid w:val="00955510"/>
    <w:rsid w:val="00956D2F"/>
    <w:rsid w:val="00957A15"/>
    <w:rsid w:val="009652D5"/>
    <w:rsid w:val="009661A7"/>
    <w:rsid w:val="009677F8"/>
    <w:rsid w:val="00971146"/>
    <w:rsid w:val="009712B3"/>
    <w:rsid w:val="00972126"/>
    <w:rsid w:val="00972A9A"/>
    <w:rsid w:val="0097318D"/>
    <w:rsid w:val="0097591E"/>
    <w:rsid w:val="00980547"/>
    <w:rsid w:val="00991675"/>
    <w:rsid w:val="00992008"/>
    <w:rsid w:val="00993C76"/>
    <w:rsid w:val="0099615A"/>
    <w:rsid w:val="00996409"/>
    <w:rsid w:val="00996D00"/>
    <w:rsid w:val="009A03DC"/>
    <w:rsid w:val="009A6CF3"/>
    <w:rsid w:val="009B272B"/>
    <w:rsid w:val="009B43BF"/>
    <w:rsid w:val="009B4A2D"/>
    <w:rsid w:val="009B51EF"/>
    <w:rsid w:val="009B5A07"/>
    <w:rsid w:val="009C1E0B"/>
    <w:rsid w:val="009D1A1A"/>
    <w:rsid w:val="009D2475"/>
    <w:rsid w:val="009D545A"/>
    <w:rsid w:val="009D6D44"/>
    <w:rsid w:val="009E22FA"/>
    <w:rsid w:val="009E4744"/>
    <w:rsid w:val="009E4EC9"/>
    <w:rsid w:val="009E5D5A"/>
    <w:rsid w:val="009F2262"/>
    <w:rsid w:val="009F4ADA"/>
    <w:rsid w:val="009F5915"/>
    <w:rsid w:val="009F6A0D"/>
    <w:rsid w:val="00A07991"/>
    <w:rsid w:val="00A10CDE"/>
    <w:rsid w:val="00A1680D"/>
    <w:rsid w:val="00A17DEA"/>
    <w:rsid w:val="00A21ED9"/>
    <w:rsid w:val="00A227C9"/>
    <w:rsid w:val="00A23AB0"/>
    <w:rsid w:val="00A26405"/>
    <w:rsid w:val="00A266C5"/>
    <w:rsid w:val="00A2703A"/>
    <w:rsid w:val="00A309C6"/>
    <w:rsid w:val="00A32185"/>
    <w:rsid w:val="00A32E4E"/>
    <w:rsid w:val="00A4511A"/>
    <w:rsid w:val="00A4556F"/>
    <w:rsid w:val="00A505DE"/>
    <w:rsid w:val="00A50E0E"/>
    <w:rsid w:val="00A5125A"/>
    <w:rsid w:val="00A5327C"/>
    <w:rsid w:val="00A5721C"/>
    <w:rsid w:val="00A6630E"/>
    <w:rsid w:val="00A67913"/>
    <w:rsid w:val="00A708C3"/>
    <w:rsid w:val="00A74330"/>
    <w:rsid w:val="00A8144D"/>
    <w:rsid w:val="00A81A94"/>
    <w:rsid w:val="00A85482"/>
    <w:rsid w:val="00A85D0F"/>
    <w:rsid w:val="00A87581"/>
    <w:rsid w:val="00A9404E"/>
    <w:rsid w:val="00A9681E"/>
    <w:rsid w:val="00A97E60"/>
    <w:rsid w:val="00AA007A"/>
    <w:rsid w:val="00AA35B4"/>
    <w:rsid w:val="00AA4C75"/>
    <w:rsid w:val="00AB073E"/>
    <w:rsid w:val="00AB1A13"/>
    <w:rsid w:val="00AB4E9F"/>
    <w:rsid w:val="00AB79A5"/>
    <w:rsid w:val="00AC210F"/>
    <w:rsid w:val="00AC319E"/>
    <w:rsid w:val="00AC5EA8"/>
    <w:rsid w:val="00AD3292"/>
    <w:rsid w:val="00AE3A1E"/>
    <w:rsid w:val="00AE655E"/>
    <w:rsid w:val="00AE734F"/>
    <w:rsid w:val="00AF2656"/>
    <w:rsid w:val="00AF6110"/>
    <w:rsid w:val="00AF6AC6"/>
    <w:rsid w:val="00AF79A4"/>
    <w:rsid w:val="00B00611"/>
    <w:rsid w:val="00B04124"/>
    <w:rsid w:val="00B04354"/>
    <w:rsid w:val="00B204AB"/>
    <w:rsid w:val="00B249FC"/>
    <w:rsid w:val="00B301C3"/>
    <w:rsid w:val="00B317E7"/>
    <w:rsid w:val="00B335F7"/>
    <w:rsid w:val="00B33A57"/>
    <w:rsid w:val="00B34083"/>
    <w:rsid w:val="00B37728"/>
    <w:rsid w:val="00B414A6"/>
    <w:rsid w:val="00B45C64"/>
    <w:rsid w:val="00B46A32"/>
    <w:rsid w:val="00B46B29"/>
    <w:rsid w:val="00B471B4"/>
    <w:rsid w:val="00B47FC0"/>
    <w:rsid w:val="00B51BC8"/>
    <w:rsid w:val="00B53547"/>
    <w:rsid w:val="00B53597"/>
    <w:rsid w:val="00B55D3E"/>
    <w:rsid w:val="00B56AA9"/>
    <w:rsid w:val="00B62590"/>
    <w:rsid w:val="00B669E8"/>
    <w:rsid w:val="00B6729F"/>
    <w:rsid w:val="00B706E2"/>
    <w:rsid w:val="00B7517F"/>
    <w:rsid w:val="00B75266"/>
    <w:rsid w:val="00B76AD0"/>
    <w:rsid w:val="00B817FF"/>
    <w:rsid w:val="00B82627"/>
    <w:rsid w:val="00B86B0F"/>
    <w:rsid w:val="00B90AA7"/>
    <w:rsid w:val="00B92510"/>
    <w:rsid w:val="00B9343F"/>
    <w:rsid w:val="00B94335"/>
    <w:rsid w:val="00B978FF"/>
    <w:rsid w:val="00BA1161"/>
    <w:rsid w:val="00BA38F6"/>
    <w:rsid w:val="00BA397E"/>
    <w:rsid w:val="00BA65E5"/>
    <w:rsid w:val="00BB09DF"/>
    <w:rsid w:val="00BB3FC5"/>
    <w:rsid w:val="00BC2B3B"/>
    <w:rsid w:val="00BC4579"/>
    <w:rsid w:val="00BC758A"/>
    <w:rsid w:val="00BD0364"/>
    <w:rsid w:val="00BD3D24"/>
    <w:rsid w:val="00BD61C3"/>
    <w:rsid w:val="00BE09C1"/>
    <w:rsid w:val="00BE519C"/>
    <w:rsid w:val="00BF4080"/>
    <w:rsid w:val="00C0018A"/>
    <w:rsid w:val="00C00905"/>
    <w:rsid w:val="00C0312E"/>
    <w:rsid w:val="00C032D5"/>
    <w:rsid w:val="00C035B5"/>
    <w:rsid w:val="00C05C94"/>
    <w:rsid w:val="00C10DE7"/>
    <w:rsid w:val="00C11ABD"/>
    <w:rsid w:val="00C13E58"/>
    <w:rsid w:val="00C14FB2"/>
    <w:rsid w:val="00C15F57"/>
    <w:rsid w:val="00C176AC"/>
    <w:rsid w:val="00C21EF9"/>
    <w:rsid w:val="00C222F7"/>
    <w:rsid w:val="00C24839"/>
    <w:rsid w:val="00C27C23"/>
    <w:rsid w:val="00C41C84"/>
    <w:rsid w:val="00C42DD2"/>
    <w:rsid w:val="00C446C0"/>
    <w:rsid w:val="00C554D4"/>
    <w:rsid w:val="00C61B02"/>
    <w:rsid w:val="00C61F1C"/>
    <w:rsid w:val="00C644AC"/>
    <w:rsid w:val="00C67BA0"/>
    <w:rsid w:val="00C719A2"/>
    <w:rsid w:val="00C72165"/>
    <w:rsid w:val="00C730D9"/>
    <w:rsid w:val="00C80A1D"/>
    <w:rsid w:val="00C83041"/>
    <w:rsid w:val="00C90B42"/>
    <w:rsid w:val="00C9475D"/>
    <w:rsid w:val="00C95056"/>
    <w:rsid w:val="00C951FD"/>
    <w:rsid w:val="00CA7F28"/>
    <w:rsid w:val="00CB0768"/>
    <w:rsid w:val="00CB131F"/>
    <w:rsid w:val="00CB1DB3"/>
    <w:rsid w:val="00CB4DCD"/>
    <w:rsid w:val="00CB4F2D"/>
    <w:rsid w:val="00CB63DB"/>
    <w:rsid w:val="00CB7731"/>
    <w:rsid w:val="00CB7C85"/>
    <w:rsid w:val="00CC1690"/>
    <w:rsid w:val="00CC665A"/>
    <w:rsid w:val="00CD16A5"/>
    <w:rsid w:val="00CE04A0"/>
    <w:rsid w:val="00CE1C14"/>
    <w:rsid w:val="00CE2B93"/>
    <w:rsid w:val="00CE34DC"/>
    <w:rsid w:val="00CE7F0A"/>
    <w:rsid w:val="00CF557A"/>
    <w:rsid w:val="00D07FB4"/>
    <w:rsid w:val="00D102E0"/>
    <w:rsid w:val="00D12A96"/>
    <w:rsid w:val="00D21FA8"/>
    <w:rsid w:val="00D236B7"/>
    <w:rsid w:val="00D23E48"/>
    <w:rsid w:val="00D244BE"/>
    <w:rsid w:val="00D42B06"/>
    <w:rsid w:val="00D43096"/>
    <w:rsid w:val="00D46AB2"/>
    <w:rsid w:val="00D46BB0"/>
    <w:rsid w:val="00D47815"/>
    <w:rsid w:val="00D52D9F"/>
    <w:rsid w:val="00D53BF9"/>
    <w:rsid w:val="00D6167A"/>
    <w:rsid w:val="00D656EB"/>
    <w:rsid w:val="00D762D8"/>
    <w:rsid w:val="00D771FD"/>
    <w:rsid w:val="00D77818"/>
    <w:rsid w:val="00D7796D"/>
    <w:rsid w:val="00D77F1F"/>
    <w:rsid w:val="00D81B18"/>
    <w:rsid w:val="00D81ED7"/>
    <w:rsid w:val="00D83541"/>
    <w:rsid w:val="00D90574"/>
    <w:rsid w:val="00D93A16"/>
    <w:rsid w:val="00D9496D"/>
    <w:rsid w:val="00D963D8"/>
    <w:rsid w:val="00DA02B4"/>
    <w:rsid w:val="00DA0768"/>
    <w:rsid w:val="00DA161A"/>
    <w:rsid w:val="00DA4AA5"/>
    <w:rsid w:val="00DA5A94"/>
    <w:rsid w:val="00DB2355"/>
    <w:rsid w:val="00DB3BB4"/>
    <w:rsid w:val="00DB6D5C"/>
    <w:rsid w:val="00DB7D32"/>
    <w:rsid w:val="00DC0E6B"/>
    <w:rsid w:val="00DC0F02"/>
    <w:rsid w:val="00DC0F8D"/>
    <w:rsid w:val="00DC2284"/>
    <w:rsid w:val="00DC3CA4"/>
    <w:rsid w:val="00DC68D4"/>
    <w:rsid w:val="00DD0F28"/>
    <w:rsid w:val="00DD6E15"/>
    <w:rsid w:val="00DE1C0E"/>
    <w:rsid w:val="00DE4578"/>
    <w:rsid w:val="00DF04EE"/>
    <w:rsid w:val="00DF082E"/>
    <w:rsid w:val="00DF22F6"/>
    <w:rsid w:val="00DF3E35"/>
    <w:rsid w:val="00DF408E"/>
    <w:rsid w:val="00DF5D03"/>
    <w:rsid w:val="00E03ED5"/>
    <w:rsid w:val="00E05E70"/>
    <w:rsid w:val="00E06243"/>
    <w:rsid w:val="00E07169"/>
    <w:rsid w:val="00E10F5A"/>
    <w:rsid w:val="00E14EB3"/>
    <w:rsid w:val="00E162A4"/>
    <w:rsid w:val="00E1688C"/>
    <w:rsid w:val="00E21A7A"/>
    <w:rsid w:val="00E22665"/>
    <w:rsid w:val="00E23535"/>
    <w:rsid w:val="00E25ABB"/>
    <w:rsid w:val="00E30499"/>
    <w:rsid w:val="00E30B51"/>
    <w:rsid w:val="00E324BB"/>
    <w:rsid w:val="00E330D1"/>
    <w:rsid w:val="00E34D1A"/>
    <w:rsid w:val="00E377E8"/>
    <w:rsid w:val="00E43132"/>
    <w:rsid w:val="00E43464"/>
    <w:rsid w:val="00E4473E"/>
    <w:rsid w:val="00E47A69"/>
    <w:rsid w:val="00E50995"/>
    <w:rsid w:val="00E53D49"/>
    <w:rsid w:val="00E571BB"/>
    <w:rsid w:val="00E6030A"/>
    <w:rsid w:val="00E62B1C"/>
    <w:rsid w:val="00E74435"/>
    <w:rsid w:val="00E758AD"/>
    <w:rsid w:val="00E77D07"/>
    <w:rsid w:val="00E77D4E"/>
    <w:rsid w:val="00E8278D"/>
    <w:rsid w:val="00E86442"/>
    <w:rsid w:val="00E91860"/>
    <w:rsid w:val="00E954B7"/>
    <w:rsid w:val="00E96FDB"/>
    <w:rsid w:val="00EA107B"/>
    <w:rsid w:val="00EB4A21"/>
    <w:rsid w:val="00EB51A6"/>
    <w:rsid w:val="00EB5B00"/>
    <w:rsid w:val="00EB6D31"/>
    <w:rsid w:val="00EC06CC"/>
    <w:rsid w:val="00EC16F1"/>
    <w:rsid w:val="00EC5E69"/>
    <w:rsid w:val="00ED05D6"/>
    <w:rsid w:val="00ED0C6F"/>
    <w:rsid w:val="00ED2FCC"/>
    <w:rsid w:val="00ED6ACE"/>
    <w:rsid w:val="00EE135A"/>
    <w:rsid w:val="00EE4982"/>
    <w:rsid w:val="00EE5F75"/>
    <w:rsid w:val="00EE635B"/>
    <w:rsid w:val="00EE799E"/>
    <w:rsid w:val="00EF2722"/>
    <w:rsid w:val="00EF6729"/>
    <w:rsid w:val="00EF6805"/>
    <w:rsid w:val="00EF7649"/>
    <w:rsid w:val="00F00508"/>
    <w:rsid w:val="00F01E52"/>
    <w:rsid w:val="00F02DCF"/>
    <w:rsid w:val="00F042DC"/>
    <w:rsid w:val="00F04309"/>
    <w:rsid w:val="00F07099"/>
    <w:rsid w:val="00F105EA"/>
    <w:rsid w:val="00F11117"/>
    <w:rsid w:val="00F12541"/>
    <w:rsid w:val="00F13C25"/>
    <w:rsid w:val="00F158A4"/>
    <w:rsid w:val="00F1617F"/>
    <w:rsid w:val="00F22035"/>
    <w:rsid w:val="00F222AF"/>
    <w:rsid w:val="00F22D18"/>
    <w:rsid w:val="00F36C87"/>
    <w:rsid w:val="00F37529"/>
    <w:rsid w:val="00F37EE0"/>
    <w:rsid w:val="00F43888"/>
    <w:rsid w:val="00F46927"/>
    <w:rsid w:val="00F501A9"/>
    <w:rsid w:val="00F507E5"/>
    <w:rsid w:val="00F55854"/>
    <w:rsid w:val="00F56023"/>
    <w:rsid w:val="00F56813"/>
    <w:rsid w:val="00F64CCE"/>
    <w:rsid w:val="00F70110"/>
    <w:rsid w:val="00F70CDE"/>
    <w:rsid w:val="00F70CFC"/>
    <w:rsid w:val="00F711DA"/>
    <w:rsid w:val="00F7148B"/>
    <w:rsid w:val="00F72C93"/>
    <w:rsid w:val="00F73AC5"/>
    <w:rsid w:val="00F80A88"/>
    <w:rsid w:val="00F823F5"/>
    <w:rsid w:val="00F83306"/>
    <w:rsid w:val="00F83C8E"/>
    <w:rsid w:val="00F85E11"/>
    <w:rsid w:val="00F9170D"/>
    <w:rsid w:val="00F934BD"/>
    <w:rsid w:val="00F94368"/>
    <w:rsid w:val="00F9494C"/>
    <w:rsid w:val="00F96A45"/>
    <w:rsid w:val="00FA15C8"/>
    <w:rsid w:val="00FA2D86"/>
    <w:rsid w:val="00FA348C"/>
    <w:rsid w:val="00FB0AD8"/>
    <w:rsid w:val="00FB1C4D"/>
    <w:rsid w:val="00FB4DBB"/>
    <w:rsid w:val="00FB62CC"/>
    <w:rsid w:val="00FC4B9E"/>
    <w:rsid w:val="00FE2636"/>
    <w:rsid w:val="00FE2C17"/>
    <w:rsid w:val="00FE76C6"/>
    <w:rsid w:val="00FE7BA0"/>
    <w:rsid w:val="00FF072F"/>
    <w:rsid w:val="00FF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toc 4" w:uiPriority="39"/>
    <w:lsdException w:name="header" w:uiPriority="99"/>
    <w:lsdException w:name="footer" w:uiPriority="99"/>
    <w:lsdException w:name="footnote reference" w:qFormat="1"/>
    <w:lsdException w:name="Default Paragraph Font" w:uiPriority="1"/>
    <w:lsdException w:name="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qForma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A85482"/>
    <w:pPr>
      <w:tabs>
        <w:tab w:val="clear" w:pos="567"/>
        <w:tab w:val="right" w:pos="8942"/>
      </w:tabs>
      <w:spacing w:after="0"/>
      <w:ind w:left="567"/>
    </w:pPr>
    <w:rPr>
      <w:szCs w:val="20"/>
    </w:rPr>
  </w:style>
  <w:style w:type="paragraph" w:styleId="TOC3">
    <w:name w:val="toc 3"/>
    <w:basedOn w:val="Normal"/>
    <w:next w:val="Normal"/>
    <w:uiPriority w:val="39"/>
    <w:rsid w:val="00A85482"/>
    <w:pPr>
      <w:tabs>
        <w:tab w:val="clear" w:pos="567"/>
        <w:tab w:val="right" w:pos="8942"/>
      </w:tabs>
      <w:spacing w:after="0"/>
      <w:ind w:left="567"/>
    </w:pPr>
    <w:rPr>
      <w:iC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
    <w:name w:val="CGC Bullet list Char"/>
    <w:aliases w:val="CGC List 1 Char,CGC Bullet list Char1"/>
    <w:basedOn w:val="DefaultParagraphFont"/>
    <w:link w:val="CGCBulletlist"/>
    <w:locked/>
    <w:rsid w:val="001E6B8E"/>
    <w:rPr>
      <w:sz w:val="24"/>
      <w:szCs w:val="20"/>
    </w:rPr>
  </w:style>
  <w:style w:type="character" w:customStyle="1" w:styleId="CGCParaNoChar">
    <w:name w:val="CGC Para No Char"/>
    <w:aliases w:val="CGC Numbered Para Char"/>
    <w:basedOn w:val="DefaultParagraphFont"/>
    <w:link w:val="CGCNumberedPara"/>
    <w:rsid w:val="001E6B8E"/>
    <w:rPr>
      <w:sz w:val="24"/>
      <w:szCs w:val="24"/>
    </w:rPr>
  </w:style>
  <w:style w:type="character" w:styleId="FollowedHyperlink">
    <w:name w:val="FollowedHyperlink"/>
    <w:basedOn w:val="DefaultParagraphFont"/>
    <w:rsid w:val="00AF79A4"/>
    <w:rPr>
      <w:color w:val="800080" w:themeColor="followedHyperlink"/>
      <w:u w:val="single"/>
    </w:rPr>
  </w:style>
  <w:style w:type="paragraph" w:styleId="Revision">
    <w:name w:val="Revision"/>
    <w:hidden/>
    <w:uiPriority w:val="99"/>
    <w:semiHidden/>
    <w:rsid w:val="00F13C25"/>
    <w:pPr>
      <w:spacing w:after="0" w:line="24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toc 4" w:uiPriority="39"/>
    <w:lsdException w:name="header" w:uiPriority="99"/>
    <w:lsdException w:name="footer" w:uiPriority="99"/>
    <w:lsdException w:name="footnote reference" w:qFormat="1"/>
    <w:lsdException w:name="Default Paragraph Font" w:uiPriority="1"/>
    <w:lsdException w:name="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qForma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A85482"/>
    <w:pPr>
      <w:tabs>
        <w:tab w:val="clear" w:pos="567"/>
        <w:tab w:val="right" w:pos="8942"/>
      </w:tabs>
      <w:spacing w:after="0"/>
      <w:ind w:left="567"/>
    </w:pPr>
    <w:rPr>
      <w:szCs w:val="20"/>
    </w:rPr>
  </w:style>
  <w:style w:type="paragraph" w:styleId="TOC3">
    <w:name w:val="toc 3"/>
    <w:basedOn w:val="Normal"/>
    <w:next w:val="Normal"/>
    <w:uiPriority w:val="39"/>
    <w:rsid w:val="00A85482"/>
    <w:pPr>
      <w:tabs>
        <w:tab w:val="clear" w:pos="567"/>
        <w:tab w:val="right" w:pos="8942"/>
      </w:tabs>
      <w:spacing w:after="0"/>
      <w:ind w:left="567"/>
    </w:pPr>
    <w:rPr>
      <w:iC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
    <w:name w:val="CGC Bullet list Char"/>
    <w:aliases w:val="CGC List 1 Char,CGC Bullet list Char1"/>
    <w:basedOn w:val="DefaultParagraphFont"/>
    <w:link w:val="CGCBulletlist"/>
    <w:locked/>
    <w:rsid w:val="001E6B8E"/>
    <w:rPr>
      <w:sz w:val="24"/>
      <w:szCs w:val="20"/>
    </w:rPr>
  </w:style>
  <w:style w:type="character" w:customStyle="1" w:styleId="CGCParaNoChar">
    <w:name w:val="CGC Para No Char"/>
    <w:aliases w:val="CGC Numbered Para Char"/>
    <w:basedOn w:val="DefaultParagraphFont"/>
    <w:link w:val="CGCNumberedPara"/>
    <w:rsid w:val="001E6B8E"/>
    <w:rPr>
      <w:sz w:val="24"/>
      <w:szCs w:val="24"/>
    </w:rPr>
  </w:style>
  <w:style w:type="character" w:styleId="FollowedHyperlink">
    <w:name w:val="FollowedHyperlink"/>
    <w:basedOn w:val="DefaultParagraphFont"/>
    <w:rsid w:val="00AF79A4"/>
    <w:rPr>
      <w:color w:val="800080" w:themeColor="followedHyperlink"/>
      <w:u w:val="single"/>
    </w:rPr>
  </w:style>
  <w:style w:type="paragraph" w:styleId="Revision">
    <w:name w:val="Revision"/>
    <w:hidden/>
    <w:uiPriority w:val="99"/>
    <w:semiHidden/>
    <w:rsid w:val="00F13C25"/>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8850">
      <w:bodyDiv w:val="1"/>
      <w:marLeft w:val="0"/>
      <w:marRight w:val="0"/>
      <w:marTop w:val="0"/>
      <w:marBottom w:val="0"/>
      <w:divBdr>
        <w:top w:val="none" w:sz="0" w:space="0" w:color="auto"/>
        <w:left w:val="none" w:sz="0" w:space="0" w:color="auto"/>
        <w:bottom w:val="none" w:sz="0" w:space="0" w:color="auto"/>
        <w:right w:val="none" w:sz="0" w:space="0" w:color="auto"/>
      </w:divBdr>
    </w:div>
    <w:div w:id="371006459">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814687066">
      <w:bodyDiv w:val="1"/>
      <w:marLeft w:val="0"/>
      <w:marRight w:val="0"/>
      <w:marTop w:val="0"/>
      <w:marBottom w:val="0"/>
      <w:divBdr>
        <w:top w:val="none" w:sz="0" w:space="0" w:color="auto"/>
        <w:left w:val="none" w:sz="0" w:space="0" w:color="auto"/>
        <w:bottom w:val="none" w:sz="0" w:space="0" w:color="auto"/>
        <w:right w:val="none" w:sz="0" w:space="0" w:color="auto"/>
      </w:divBdr>
    </w:div>
    <w:div w:id="885413266">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123688742">
      <w:bodyDiv w:val="1"/>
      <w:marLeft w:val="0"/>
      <w:marRight w:val="0"/>
      <w:marTop w:val="0"/>
      <w:marBottom w:val="0"/>
      <w:divBdr>
        <w:top w:val="none" w:sz="0" w:space="0" w:color="auto"/>
        <w:left w:val="none" w:sz="0" w:space="0" w:color="auto"/>
        <w:bottom w:val="none" w:sz="0" w:space="0" w:color="auto"/>
        <w:right w:val="none" w:sz="0" w:space="0" w:color="auto"/>
      </w:divBdr>
    </w:div>
    <w:div w:id="1241714241">
      <w:bodyDiv w:val="1"/>
      <w:marLeft w:val="0"/>
      <w:marRight w:val="0"/>
      <w:marTop w:val="0"/>
      <w:marBottom w:val="0"/>
      <w:divBdr>
        <w:top w:val="none" w:sz="0" w:space="0" w:color="auto"/>
        <w:left w:val="none" w:sz="0" w:space="0" w:color="auto"/>
        <w:bottom w:val="none" w:sz="0" w:space="0" w:color="auto"/>
        <w:right w:val="none" w:sz="0" w:space="0" w:color="auto"/>
      </w:divBdr>
    </w:div>
    <w:div w:id="1477600730">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953323982">
      <w:bodyDiv w:val="1"/>
      <w:marLeft w:val="0"/>
      <w:marRight w:val="0"/>
      <w:marTop w:val="0"/>
      <w:marBottom w:val="0"/>
      <w:divBdr>
        <w:top w:val="none" w:sz="0" w:space="0" w:color="auto"/>
        <w:left w:val="none" w:sz="0" w:space="0" w:color="auto"/>
        <w:bottom w:val="none" w:sz="0" w:space="0" w:color="auto"/>
        <w:right w:val="none" w:sz="0" w:space="0" w:color="auto"/>
      </w:divBdr>
    </w:div>
    <w:div w:id="2009138297">
      <w:bodyDiv w:val="1"/>
      <w:marLeft w:val="0"/>
      <w:marRight w:val="0"/>
      <w:marTop w:val="0"/>
      <w:marBottom w:val="0"/>
      <w:divBdr>
        <w:top w:val="none" w:sz="0" w:space="0" w:color="auto"/>
        <w:left w:val="none" w:sz="0" w:space="0" w:color="auto"/>
        <w:bottom w:val="none" w:sz="0" w:space="0" w:color="auto"/>
        <w:right w:val="none" w:sz="0" w:space="0" w:color="auto"/>
      </w:divBdr>
    </w:div>
    <w:div w:id="213512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reativecommons.org/licenses/by/3.0"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ecretary@cgc.gov.au"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drd.wa.gov.au/Publications/Documents/DRD%20Final%20Report%202017.pdf" TargetMode="External"/><Relationship Id="rId2" Type="http://schemas.openxmlformats.org/officeDocument/2006/relationships/hyperlink" Target="https://www.statedevelopment.qld.gov.au/regional-development/building-our-regions.html" TargetMode="External"/><Relationship Id="rId1" Type="http://schemas.openxmlformats.org/officeDocument/2006/relationships/hyperlink" Target="https://www.disasterassist.gov.au/Pages/related-links/Natural-Disaster-Relief-and-Recovery-Arrangements.aspx" TargetMode="External"/><Relationship Id="rId4" Type="http://schemas.openxmlformats.org/officeDocument/2006/relationships/hyperlink" Target="http://www.drd.wa.gov.au/rfr/Programs-and-Schemes/Pages/Country-Local-Government-Fun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3916</Words>
  <Characters>23578</Characters>
  <Application>Microsoft Office Word</Application>
  <DocSecurity>0</DocSecurity>
  <Lines>196</Lines>
  <Paragraphs>54</Paragraphs>
  <ScaleCrop>false</ScaleCrop>
  <Company/>
  <LinksUpToDate>false</LinksUpToDate>
  <CharactersWithSpaces>27440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2018-04-18T22:59:00Z</dcterms:created>
  <dcterms:modified xsi:type="dcterms:W3CDTF">2018-04-18T23:00:00Z</dcterms:modified>
</cp:coreProperties>
</file>