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B1" w:rsidRPr="00970E6D" w:rsidRDefault="002F1BAF" w:rsidP="001B68B1">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bookmarkStart w:id="6" w:name="_Toc106707725"/>
      <w:bookmarkStart w:id="7" w:name="_Toc155675935"/>
      <w:bookmarkStart w:id="8" w:name="_Toc174415770"/>
      <w:bookmarkStart w:id="9" w:name="_Toc174415844"/>
      <w:bookmarkStart w:id="10" w:name="_Toc174415935"/>
      <w:bookmarkStart w:id="11" w:name="_Toc174416620"/>
      <w:bookmarkStart w:id="12" w:name="_Toc174416662"/>
      <w:bookmarkStart w:id="13" w:name="_Toc174416675"/>
      <w:r>
        <w:rPr>
          <w:b/>
          <w:bCs/>
        </w:rPr>
        <w:t xml:space="preserve"> </w:t>
      </w:r>
      <w:r w:rsidR="00DC306E">
        <w:rPr>
          <w:b/>
          <w:bCs/>
        </w:rPr>
        <w:t xml:space="preserve"> </w:t>
      </w:r>
      <w:r w:rsidR="00B00610">
        <w:rPr>
          <w:b/>
          <w:bCs/>
        </w:rPr>
        <w:t xml:space="preserve"> </w:t>
      </w:r>
      <w:r w:rsidR="00BF1D4A">
        <w:rPr>
          <w:b/>
          <w:bCs/>
        </w:rPr>
        <w:t xml:space="preserve"> </w:t>
      </w:r>
      <w:r w:rsidR="00EC52EC">
        <w:rPr>
          <w:b/>
          <w:bCs/>
        </w:rPr>
        <w:t xml:space="preserve"> </w:t>
      </w:r>
      <w:r w:rsidR="00D15D5B">
        <w:rPr>
          <w:b/>
          <w:bCs/>
        </w:rPr>
        <w:t xml:space="preserve"> </w:t>
      </w:r>
      <w:r w:rsidR="00E0250B">
        <w:rPr>
          <w:b/>
          <w:bCs/>
        </w:rPr>
        <w:t xml:space="preserve">  </w:t>
      </w:r>
      <w:r w:rsidR="001B68B1" w:rsidRPr="00970E6D">
        <w:rPr>
          <w:noProof/>
          <w:lang w:eastAsia="en-AU"/>
        </w:rPr>
        <w:drawing>
          <wp:inline distT="0" distB="0" distL="0" distR="0" wp14:anchorId="2EADA2F0" wp14:editId="565093F3">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794E87" w:rsidP="001B68B1">
      <w:pPr>
        <w:tabs>
          <w:tab w:val="clear" w:pos="567"/>
        </w:tabs>
        <w:jc w:val="center"/>
        <w:rPr>
          <w:bCs/>
          <w:sz w:val="40"/>
          <w:szCs w:val="40"/>
        </w:rPr>
      </w:pPr>
      <w:r>
        <w:rPr>
          <w:b/>
          <w:sz w:val="40"/>
          <w:szCs w:val="40"/>
        </w:rPr>
        <w:t>PHYSICAL AND FINANCIAL ASSET</w:t>
      </w:r>
      <w:r w:rsidR="00043837">
        <w:rPr>
          <w:b/>
          <w:sz w:val="40"/>
          <w:szCs w:val="40"/>
        </w:rPr>
        <w:t>S</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2F1BAF" w:rsidP="001B68B1">
      <w:pPr>
        <w:tabs>
          <w:tab w:val="clear" w:pos="567"/>
        </w:tabs>
        <w:jc w:val="center"/>
        <w:rPr>
          <w:b/>
          <w:sz w:val="40"/>
          <w:szCs w:val="40"/>
        </w:rPr>
      </w:pPr>
      <w:r>
        <w:rPr>
          <w:b/>
          <w:sz w:val="40"/>
          <w:szCs w:val="40"/>
        </w:rPr>
        <w:t xml:space="preserve">STAFF </w:t>
      </w:r>
      <w:r w:rsidR="001B68B1">
        <w:rPr>
          <w:b/>
          <w:sz w:val="40"/>
          <w:szCs w:val="40"/>
        </w:rPr>
        <w:t>DRAFT ASSESSMENT PAPER</w:t>
      </w:r>
      <w:r w:rsidR="001B68B1">
        <w:rPr>
          <w:b/>
          <w:sz w:val="40"/>
          <w:szCs w:val="40"/>
        </w:rPr>
        <w:br/>
        <w:t>CGC 20</w:t>
      </w:r>
      <w:r w:rsidR="001B68B1" w:rsidRPr="00970E6D">
        <w:rPr>
          <w:b/>
          <w:sz w:val="40"/>
          <w:szCs w:val="40"/>
        </w:rPr>
        <w:t>1</w:t>
      </w:r>
      <w:r w:rsidR="001B68B1">
        <w:rPr>
          <w:b/>
          <w:sz w:val="40"/>
          <w:szCs w:val="40"/>
        </w:rPr>
        <w:t>8</w:t>
      </w:r>
      <w:r w:rsidR="00E328E5">
        <w:rPr>
          <w:b/>
          <w:sz w:val="40"/>
          <w:szCs w:val="40"/>
        </w:rPr>
        <w:t>-01/2</w:t>
      </w:r>
      <w:r w:rsidR="001C12BC">
        <w:rPr>
          <w:b/>
          <w:sz w:val="40"/>
          <w:szCs w:val="40"/>
        </w:rPr>
        <w:t>1</w:t>
      </w:r>
      <w:r w:rsidR="00E328E5">
        <w:rPr>
          <w:b/>
          <w:sz w:val="40"/>
          <w:szCs w:val="40"/>
        </w:rPr>
        <w:t>-</w:t>
      </w:r>
      <w:r w:rsidR="001B68B1">
        <w:rPr>
          <w:b/>
          <w:sz w:val="40"/>
          <w:szCs w:val="40"/>
        </w:rPr>
        <w:t>S</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sz w:val="40"/>
          <w:szCs w:val="40"/>
        </w:rPr>
      </w:pPr>
    </w:p>
    <w:p w:rsidR="001B68B1" w:rsidRPr="00970E6D" w:rsidRDefault="001B68B1" w:rsidP="001B68B1">
      <w:pPr>
        <w:tabs>
          <w:tab w:val="clear" w:pos="567"/>
        </w:tabs>
        <w:jc w:val="right"/>
        <w:rPr>
          <w:b/>
          <w:sz w:val="28"/>
          <w:szCs w:val="28"/>
        </w:rPr>
      </w:pPr>
      <w:r>
        <w:rPr>
          <w:b/>
          <w:sz w:val="28"/>
          <w:szCs w:val="28"/>
        </w:rPr>
        <w:t>APRIL 2018</w:t>
      </w:r>
    </w:p>
    <w:p w:rsidR="001B68B1" w:rsidRPr="00970E6D" w:rsidRDefault="001B68B1" w:rsidP="001B68B1">
      <w:pPr>
        <w:tabs>
          <w:tab w:val="clear" w:pos="567"/>
        </w:tabs>
      </w:pPr>
    </w:p>
    <w:p w:rsidR="001B68B1" w:rsidRPr="00970E6D" w:rsidRDefault="001B68B1" w:rsidP="001B68B1">
      <w:pPr>
        <w:tabs>
          <w:tab w:val="clear" w:pos="567"/>
        </w:tabs>
        <w:sectPr w:rsidR="001B68B1" w:rsidRPr="00970E6D" w:rsidSect="00E71B7E">
          <w:footerReference w:type="default" r:id="rId10"/>
          <w:pgSz w:w="11899" w:h="16838" w:code="9"/>
          <w:pgMar w:top="1701" w:right="1474" w:bottom="1701" w:left="1474" w:header="709" w:footer="709" w:gutter="0"/>
          <w:cols w:space="708"/>
          <w:titlePg/>
          <w:docGrid w:linePitch="299"/>
        </w:sectPr>
      </w:pPr>
    </w:p>
    <w:p w:rsidR="001B68B1" w:rsidRPr="00970E6D" w:rsidRDefault="001B68B1" w:rsidP="001B68B1">
      <w:pPr>
        <w:tabs>
          <w:tab w:val="clear" w:pos="567"/>
        </w:tabs>
      </w:pPr>
    </w:p>
    <w:tbl>
      <w:tblPr>
        <w:tblStyle w:val="TableGrid"/>
        <w:tblW w:w="5000" w:type="pct"/>
        <w:tblLook w:val="01E0" w:firstRow="1" w:lastRow="1" w:firstColumn="1" w:lastColumn="1" w:noHBand="0" w:noVBand="0"/>
      </w:tblPr>
      <w:tblGrid>
        <w:gridCol w:w="2943"/>
        <w:gridCol w:w="6224"/>
      </w:tblGrid>
      <w:tr w:rsidR="001B68B1" w:rsidRPr="00970E6D" w:rsidTr="00E71B7E">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E71B7E">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1B68B1" w:rsidRPr="00970E6D" w:rsidRDefault="00513785" w:rsidP="00E71B7E">
            <w:pPr>
              <w:tabs>
                <w:tab w:val="clear" w:pos="567"/>
              </w:tabs>
            </w:pPr>
            <w:r w:rsidRPr="00E96E5B">
              <w:t>20</w:t>
            </w:r>
            <w:r w:rsidR="00F7735D">
              <w:t xml:space="preserve"> April 2018</w:t>
            </w:r>
          </w:p>
        </w:tc>
      </w:tr>
      <w:tr w:rsidR="001B68B1" w:rsidRPr="00970E6D" w:rsidTr="00E71B7E">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E71B7E">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1B68B1" w:rsidRPr="00970E6D" w:rsidRDefault="00F7735D" w:rsidP="00F7735D">
            <w:pPr>
              <w:tabs>
                <w:tab w:val="clear" w:pos="567"/>
              </w:tabs>
            </w:pPr>
            <w:r>
              <w:t>Carrie Dreese</w:t>
            </w:r>
            <w:r w:rsidR="001B68B1" w:rsidRPr="00970E6D">
              <w:t xml:space="preserve">, </w:t>
            </w:r>
            <w:r>
              <w:t>02 6229 8884</w:t>
            </w:r>
            <w:r w:rsidR="001B68B1" w:rsidRPr="00970E6D">
              <w:t xml:space="preserve">, </w:t>
            </w:r>
            <w:r>
              <w:t>carrie.dreese@cgc.gov.au</w:t>
            </w:r>
          </w:p>
        </w:tc>
      </w:tr>
      <w:tr w:rsidR="001B68B1" w:rsidRPr="00970E6D" w:rsidTr="00E71B7E">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E71B7E">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2F1BAF" w:rsidRDefault="00513785" w:rsidP="00E71B7E">
            <w:pPr>
              <w:tabs>
                <w:tab w:val="clear" w:pos="567"/>
              </w:tabs>
            </w:pPr>
            <w:r>
              <w:t>31</w:t>
            </w:r>
            <w:r w:rsidR="001B68B1" w:rsidRPr="00970E6D">
              <w:t xml:space="preserve"> </w:t>
            </w:r>
            <w:r w:rsidR="00F7735D">
              <w:t>August</w:t>
            </w:r>
            <w:r w:rsidR="001B68B1" w:rsidRPr="00970E6D">
              <w:t xml:space="preserve"> 20</w:t>
            </w:r>
            <w:r w:rsidR="00F7735D">
              <w:t>18</w:t>
            </w:r>
            <w:r w:rsidR="001B68B1" w:rsidRPr="00970E6D">
              <w:t xml:space="preserve"> </w:t>
            </w:r>
          </w:p>
          <w:p w:rsidR="001B68B1" w:rsidRPr="00970E6D" w:rsidRDefault="001B68B1" w:rsidP="00E71B7E">
            <w:pPr>
              <w:tabs>
                <w:tab w:val="clear" w:pos="567"/>
              </w:tabs>
            </w:pPr>
            <w:r w:rsidRPr="00970E6D">
              <w:t xml:space="preserve">Submissions </w:t>
            </w:r>
            <w:proofErr w:type="gramStart"/>
            <w:r w:rsidRPr="00970E6D">
              <w:t>should be emailed</w:t>
            </w:r>
            <w:proofErr w:type="gramEnd"/>
            <w:r w:rsidRPr="00970E6D">
              <w:t xml:space="preserve"> in Word format to </w:t>
            </w:r>
            <w:hyperlink r:id="rId11" w:history="1">
              <w:r w:rsidRPr="00970E6D">
                <w:rPr>
                  <w:rStyle w:val="Hyperlink"/>
                </w:rPr>
                <w:t>secretary@cgc.gov.au</w:t>
              </w:r>
            </w:hyperlink>
            <w:r w:rsidRPr="00970E6D">
              <w:t xml:space="preserve"> .</w:t>
            </w:r>
          </w:p>
          <w:p w:rsidR="001B68B1" w:rsidRPr="00970E6D" w:rsidRDefault="001B68B1" w:rsidP="00E71B7E">
            <w:pPr>
              <w:tabs>
                <w:tab w:val="clear" w:pos="567"/>
              </w:tabs>
            </w:pPr>
            <w:r w:rsidRPr="00970E6D">
              <w:t xml:space="preserve">Submissions of more than </w:t>
            </w:r>
            <w:r>
              <w:t>10</w:t>
            </w:r>
            <w:r w:rsidRPr="00970E6D">
              <w:t xml:space="preserve"> pages in length should include a summary section.</w:t>
            </w:r>
          </w:p>
        </w:tc>
      </w:tr>
      <w:tr w:rsidR="001B68B1" w:rsidRPr="00970E6D" w:rsidTr="00E71B7E">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E71B7E">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1B68B1" w:rsidRPr="00CF1294" w:rsidRDefault="001B68B1" w:rsidP="00E71B7E">
            <w:pPr>
              <w:tabs>
                <w:tab w:val="clear" w:pos="567"/>
              </w:tabs>
            </w:pPr>
            <w:r w:rsidRPr="00CF1294">
              <w:t xml:space="preserve">It is the </w:t>
            </w:r>
            <w:r w:rsidR="00506F74">
              <w:t>C</w:t>
            </w:r>
            <w:r w:rsidRPr="00CF1294">
              <w:t xml:space="preserve">ommission’s normal practice to make State submissions available on its website under the CC BY licence, allowing free use of content by third parties. </w:t>
            </w:r>
          </w:p>
          <w:p w:rsidR="001B68B1" w:rsidRPr="00CF1294" w:rsidRDefault="001B68B1" w:rsidP="00E71B7E">
            <w:pPr>
              <w:tabs>
                <w:tab w:val="clear" w:pos="567"/>
              </w:tabs>
            </w:pPr>
            <w:r w:rsidRPr="00CF1294">
              <w:rPr>
                <w:noProof/>
                <w:lang w:eastAsia="en-AU"/>
              </w:rPr>
              <w:drawing>
                <wp:inline distT="0" distB="0" distL="0" distR="0" wp14:anchorId="6C48A50B" wp14:editId="39F09A0C">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1B68B1" w:rsidRPr="00CF1294" w:rsidRDefault="001B68B1" w:rsidP="00E71B7E">
            <w:pPr>
              <w:tabs>
                <w:tab w:val="clear" w:pos="567"/>
              </w:tabs>
            </w:pPr>
            <w:r w:rsidRPr="00CF1294">
              <w:t xml:space="preserve">Further information on the CC BY licence </w:t>
            </w:r>
            <w:proofErr w:type="gramStart"/>
            <w:r w:rsidRPr="00CF1294">
              <w:t>can be found</w:t>
            </w:r>
            <w:proofErr w:type="gramEnd"/>
            <w:r w:rsidRPr="00CF1294">
              <w:t xml:space="preserve">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1B68B1" w:rsidRPr="00970E6D" w:rsidRDefault="001B68B1" w:rsidP="00E71B7E">
            <w:pPr>
              <w:tabs>
                <w:tab w:val="clear" w:pos="567"/>
              </w:tabs>
            </w:pPr>
            <w:r w:rsidRPr="00CF1294">
              <w:t xml:space="preserve">Confidential material contained in submissions </w:t>
            </w:r>
            <w:proofErr w:type="gramStart"/>
            <w:r w:rsidRPr="00CF1294">
              <w:t>must be clearly identified or included in separate attachment/s,</w:t>
            </w:r>
            <w:proofErr w:type="gramEnd"/>
            <w:r w:rsidRPr="00CF1294">
              <w:t xml:space="preserve"> and details provided in the covering email. Identified confidential material </w:t>
            </w:r>
            <w:proofErr w:type="gramStart"/>
            <w:r w:rsidRPr="00CF1294">
              <w:t>will not be published</w:t>
            </w:r>
            <w:proofErr w:type="gramEnd"/>
            <w:r w:rsidRPr="00CF1294">
              <w:t xml:space="preserve"> on the </w:t>
            </w:r>
            <w:r w:rsidR="00513785">
              <w:t>C</w:t>
            </w:r>
            <w:r w:rsidRPr="00CF1294">
              <w:t>ommission’s website.</w:t>
            </w:r>
          </w:p>
        </w:tc>
      </w:tr>
    </w:tbl>
    <w:p w:rsidR="001B68B1" w:rsidRPr="00970E6D" w:rsidRDefault="001B68B1" w:rsidP="001B68B1">
      <w:pPr>
        <w:tabs>
          <w:tab w:val="clear" w:pos="567"/>
        </w:tabs>
        <w:sectPr w:rsidR="001B68B1" w:rsidRPr="00970E6D" w:rsidSect="00E71B7E">
          <w:headerReference w:type="first" r:id="rId14"/>
          <w:footerReference w:type="first" r:id="rId15"/>
          <w:pgSz w:w="11899" w:h="16838" w:code="9"/>
          <w:pgMar w:top="1701" w:right="1474" w:bottom="1701" w:left="1474" w:header="709" w:footer="709" w:gutter="0"/>
          <w:cols w:space="708"/>
          <w:vAlign w:val="bottom"/>
          <w:titlePg/>
          <w:docGrid w:linePitch="299"/>
        </w:sectPr>
      </w:pPr>
    </w:p>
    <w:p w:rsidR="001B68B1" w:rsidRPr="00970E6D" w:rsidRDefault="001B68B1" w:rsidP="001B68B1">
      <w:pPr>
        <w:pStyle w:val="Heading1"/>
      </w:pPr>
      <w:r w:rsidRPr="00970E6D">
        <w:lastRenderedPageBreak/>
        <w:t>C</w:t>
      </w:r>
      <w:bookmarkEnd w:id="0"/>
      <w:bookmarkEnd w:id="1"/>
      <w:bookmarkEnd w:id="2"/>
      <w:bookmarkEnd w:id="3"/>
      <w:bookmarkEnd w:id="4"/>
      <w:bookmarkEnd w:id="5"/>
      <w:r>
        <w:t>ontents</w:t>
      </w:r>
    </w:p>
    <w:p w:rsidR="00402501" w:rsidRDefault="003E113F">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816982" w:history="1">
        <w:r w:rsidR="00402501" w:rsidRPr="00807807">
          <w:rPr>
            <w:rStyle w:val="Hyperlink"/>
            <w:noProof/>
          </w:rPr>
          <w:t>PHYSICAL AND FINANCIAL ASSETS</w:t>
        </w:r>
        <w:r w:rsidR="00402501">
          <w:rPr>
            <w:noProof/>
            <w:webHidden/>
          </w:rPr>
          <w:tab/>
        </w:r>
        <w:r w:rsidR="00402501">
          <w:rPr>
            <w:noProof/>
            <w:webHidden/>
          </w:rPr>
          <w:fldChar w:fldCharType="begin"/>
        </w:r>
        <w:r w:rsidR="00402501">
          <w:rPr>
            <w:noProof/>
            <w:webHidden/>
          </w:rPr>
          <w:instrText xml:space="preserve"> PAGEREF _Toc511816982 \h </w:instrText>
        </w:r>
        <w:r w:rsidR="00402501">
          <w:rPr>
            <w:noProof/>
            <w:webHidden/>
          </w:rPr>
        </w:r>
        <w:r w:rsidR="00402501">
          <w:rPr>
            <w:noProof/>
            <w:webHidden/>
          </w:rPr>
          <w:fldChar w:fldCharType="separate"/>
        </w:r>
        <w:r w:rsidR="00402501">
          <w:rPr>
            <w:noProof/>
            <w:webHidden/>
          </w:rPr>
          <w:t>1</w:t>
        </w:r>
        <w:r w:rsidR="00402501">
          <w:rPr>
            <w:noProof/>
            <w:webHidden/>
          </w:rPr>
          <w:fldChar w:fldCharType="end"/>
        </w:r>
      </w:hyperlink>
    </w:p>
    <w:p w:rsidR="00402501" w:rsidRDefault="00402501">
      <w:pPr>
        <w:pStyle w:val="TOC1"/>
        <w:rPr>
          <w:rFonts w:eastAsiaTheme="minorEastAsia"/>
          <w:b w:val="0"/>
          <w:bCs w:val="0"/>
          <w:caps w:val="0"/>
          <w:noProof/>
          <w:sz w:val="22"/>
          <w:szCs w:val="22"/>
          <w:lang w:eastAsia="en-AU"/>
        </w:rPr>
      </w:pPr>
      <w:hyperlink w:anchor="_Toc511816983" w:history="1">
        <w:r w:rsidRPr="00807807">
          <w:rPr>
            <w:rStyle w:val="Hyperlink"/>
            <w:noProof/>
          </w:rPr>
          <w:t>2015 Review approach</w:t>
        </w:r>
        <w:r>
          <w:rPr>
            <w:noProof/>
            <w:webHidden/>
          </w:rPr>
          <w:tab/>
        </w:r>
        <w:r>
          <w:rPr>
            <w:noProof/>
            <w:webHidden/>
          </w:rPr>
          <w:fldChar w:fldCharType="begin"/>
        </w:r>
        <w:r>
          <w:rPr>
            <w:noProof/>
            <w:webHidden/>
          </w:rPr>
          <w:instrText xml:space="preserve"> PAGEREF _Toc511816983 \h </w:instrText>
        </w:r>
        <w:r>
          <w:rPr>
            <w:noProof/>
            <w:webHidden/>
          </w:rPr>
        </w:r>
        <w:r>
          <w:rPr>
            <w:noProof/>
            <w:webHidden/>
          </w:rPr>
          <w:fldChar w:fldCharType="separate"/>
        </w:r>
        <w:r>
          <w:rPr>
            <w:noProof/>
            <w:webHidden/>
          </w:rPr>
          <w:t>1</w:t>
        </w:r>
        <w:r>
          <w:rPr>
            <w:noProof/>
            <w:webHidden/>
          </w:rPr>
          <w:fldChar w:fldCharType="end"/>
        </w:r>
      </w:hyperlink>
    </w:p>
    <w:p w:rsidR="00402501" w:rsidRDefault="00402501">
      <w:pPr>
        <w:pStyle w:val="TOC3"/>
        <w:rPr>
          <w:rFonts w:eastAsiaTheme="minorEastAsia"/>
          <w:iCs w:val="0"/>
          <w:noProof/>
          <w:sz w:val="22"/>
          <w:lang w:eastAsia="en-AU"/>
        </w:rPr>
      </w:pPr>
      <w:hyperlink w:anchor="_Toc511816984" w:history="1">
        <w:r w:rsidRPr="00807807">
          <w:rPr>
            <w:rStyle w:val="Hyperlink"/>
            <w:noProof/>
          </w:rPr>
          <w:t>Category and component expenses</w:t>
        </w:r>
        <w:r>
          <w:rPr>
            <w:noProof/>
            <w:webHidden/>
          </w:rPr>
          <w:tab/>
        </w:r>
        <w:r>
          <w:rPr>
            <w:noProof/>
            <w:webHidden/>
          </w:rPr>
          <w:fldChar w:fldCharType="begin"/>
        </w:r>
        <w:r>
          <w:rPr>
            <w:noProof/>
            <w:webHidden/>
          </w:rPr>
          <w:instrText xml:space="preserve"> PAGEREF _Toc511816984 \h </w:instrText>
        </w:r>
        <w:r>
          <w:rPr>
            <w:noProof/>
            <w:webHidden/>
          </w:rPr>
        </w:r>
        <w:r>
          <w:rPr>
            <w:noProof/>
            <w:webHidden/>
          </w:rPr>
          <w:fldChar w:fldCharType="separate"/>
        </w:r>
        <w:r>
          <w:rPr>
            <w:noProof/>
            <w:webHidden/>
          </w:rPr>
          <w:t>3</w:t>
        </w:r>
        <w:r>
          <w:rPr>
            <w:noProof/>
            <w:webHidden/>
          </w:rPr>
          <w:fldChar w:fldCharType="end"/>
        </w:r>
      </w:hyperlink>
    </w:p>
    <w:p w:rsidR="00402501" w:rsidRDefault="00402501">
      <w:pPr>
        <w:pStyle w:val="TOC3"/>
        <w:rPr>
          <w:rFonts w:eastAsiaTheme="minorEastAsia"/>
          <w:iCs w:val="0"/>
          <w:noProof/>
          <w:sz w:val="22"/>
          <w:lang w:eastAsia="en-AU"/>
        </w:rPr>
      </w:pPr>
      <w:hyperlink w:anchor="_Toc511816985" w:history="1">
        <w:r w:rsidRPr="00807807">
          <w:rPr>
            <w:rStyle w:val="Hyperlink"/>
            <w:noProof/>
          </w:rPr>
          <w:t>Data sources and assessment methods</w:t>
        </w:r>
        <w:r>
          <w:rPr>
            <w:noProof/>
            <w:webHidden/>
          </w:rPr>
          <w:tab/>
        </w:r>
        <w:r>
          <w:rPr>
            <w:noProof/>
            <w:webHidden/>
          </w:rPr>
          <w:fldChar w:fldCharType="begin"/>
        </w:r>
        <w:r>
          <w:rPr>
            <w:noProof/>
            <w:webHidden/>
          </w:rPr>
          <w:instrText xml:space="preserve"> PAGEREF _Toc511816985 \h </w:instrText>
        </w:r>
        <w:r>
          <w:rPr>
            <w:noProof/>
            <w:webHidden/>
          </w:rPr>
        </w:r>
        <w:r>
          <w:rPr>
            <w:noProof/>
            <w:webHidden/>
          </w:rPr>
          <w:fldChar w:fldCharType="separate"/>
        </w:r>
        <w:r>
          <w:rPr>
            <w:noProof/>
            <w:webHidden/>
          </w:rPr>
          <w:t>4</w:t>
        </w:r>
        <w:r>
          <w:rPr>
            <w:noProof/>
            <w:webHidden/>
          </w:rPr>
          <w:fldChar w:fldCharType="end"/>
        </w:r>
      </w:hyperlink>
    </w:p>
    <w:p w:rsidR="00402501" w:rsidRDefault="00402501">
      <w:pPr>
        <w:pStyle w:val="TOC3"/>
        <w:rPr>
          <w:rFonts w:eastAsiaTheme="minorEastAsia"/>
          <w:iCs w:val="0"/>
          <w:noProof/>
          <w:sz w:val="22"/>
          <w:lang w:eastAsia="en-AU"/>
        </w:rPr>
      </w:pPr>
      <w:hyperlink w:anchor="_Toc511816986" w:history="1">
        <w:r w:rsidRPr="00807807">
          <w:rPr>
            <w:rStyle w:val="Hyperlink"/>
            <w:noProof/>
          </w:rPr>
          <w:t>GST redistribution</w:t>
        </w:r>
        <w:r>
          <w:rPr>
            <w:noProof/>
            <w:webHidden/>
          </w:rPr>
          <w:tab/>
        </w:r>
        <w:r>
          <w:rPr>
            <w:noProof/>
            <w:webHidden/>
          </w:rPr>
          <w:fldChar w:fldCharType="begin"/>
        </w:r>
        <w:r>
          <w:rPr>
            <w:noProof/>
            <w:webHidden/>
          </w:rPr>
          <w:instrText xml:space="preserve"> PAGEREF _Toc511816986 \h </w:instrText>
        </w:r>
        <w:r>
          <w:rPr>
            <w:noProof/>
            <w:webHidden/>
          </w:rPr>
        </w:r>
        <w:r>
          <w:rPr>
            <w:noProof/>
            <w:webHidden/>
          </w:rPr>
          <w:fldChar w:fldCharType="separate"/>
        </w:r>
        <w:r>
          <w:rPr>
            <w:noProof/>
            <w:webHidden/>
          </w:rPr>
          <w:t>6</w:t>
        </w:r>
        <w:r>
          <w:rPr>
            <w:noProof/>
            <w:webHidden/>
          </w:rPr>
          <w:fldChar w:fldCharType="end"/>
        </w:r>
      </w:hyperlink>
    </w:p>
    <w:p w:rsidR="00402501" w:rsidRDefault="00402501">
      <w:pPr>
        <w:pStyle w:val="TOC1"/>
        <w:rPr>
          <w:rFonts w:eastAsiaTheme="minorEastAsia"/>
          <w:b w:val="0"/>
          <w:bCs w:val="0"/>
          <w:caps w:val="0"/>
          <w:noProof/>
          <w:sz w:val="22"/>
          <w:szCs w:val="22"/>
          <w:lang w:eastAsia="en-AU"/>
        </w:rPr>
      </w:pPr>
      <w:hyperlink w:anchor="_Toc511816987" w:history="1">
        <w:r w:rsidRPr="00807807">
          <w:rPr>
            <w:rStyle w:val="Hyperlink"/>
            <w:noProof/>
          </w:rPr>
          <w:t>Issues and analysis</w:t>
        </w:r>
        <w:r>
          <w:rPr>
            <w:noProof/>
            <w:webHidden/>
          </w:rPr>
          <w:tab/>
        </w:r>
        <w:r>
          <w:rPr>
            <w:noProof/>
            <w:webHidden/>
          </w:rPr>
          <w:fldChar w:fldCharType="begin"/>
        </w:r>
        <w:r>
          <w:rPr>
            <w:noProof/>
            <w:webHidden/>
          </w:rPr>
          <w:instrText xml:space="preserve"> PAGEREF _Toc511816987 \h </w:instrText>
        </w:r>
        <w:r>
          <w:rPr>
            <w:noProof/>
            <w:webHidden/>
          </w:rPr>
        </w:r>
        <w:r>
          <w:rPr>
            <w:noProof/>
            <w:webHidden/>
          </w:rPr>
          <w:fldChar w:fldCharType="separate"/>
        </w:r>
        <w:r>
          <w:rPr>
            <w:noProof/>
            <w:webHidden/>
          </w:rPr>
          <w:t>7</w:t>
        </w:r>
        <w:r>
          <w:rPr>
            <w:noProof/>
            <w:webHidden/>
          </w:rPr>
          <w:fldChar w:fldCharType="end"/>
        </w:r>
      </w:hyperlink>
    </w:p>
    <w:p w:rsidR="00402501" w:rsidRDefault="00402501">
      <w:pPr>
        <w:pStyle w:val="TOC3"/>
        <w:rPr>
          <w:rFonts w:eastAsiaTheme="minorEastAsia"/>
          <w:iCs w:val="0"/>
          <w:noProof/>
          <w:sz w:val="22"/>
          <w:lang w:eastAsia="en-AU"/>
        </w:rPr>
      </w:pPr>
      <w:hyperlink w:anchor="_Toc511816988" w:history="1">
        <w:r w:rsidRPr="00807807">
          <w:rPr>
            <w:rStyle w:val="Hyperlink"/>
            <w:noProof/>
          </w:rPr>
          <w:t>Functionalising the assessment</w:t>
        </w:r>
        <w:r>
          <w:rPr>
            <w:noProof/>
            <w:webHidden/>
          </w:rPr>
          <w:tab/>
        </w:r>
        <w:r>
          <w:rPr>
            <w:noProof/>
            <w:webHidden/>
          </w:rPr>
          <w:fldChar w:fldCharType="begin"/>
        </w:r>
        <w:r>
          <w:rPr>
            <w:noProof/>
            <w:webHidden/>
          </w:rPr>
          <w:instrText xml:space="preserve"> PAGEREF _Toc511816988 \h </w:instrText>
        </w:r>
        <w:r>
          <w:rPr>
            <w:noProof/>
            <w:webHidden/>
          </w:rPr>
        </w:r>
        <w:r>
          <w:rPr>
            <w:noProof/>
            <w:webHidden/>
          </w:rPr>
          <w:fldChar w:fldCharType="separate"/>
        </w:r>
        <w:r>
          <w:rPr>
            <w:noProof/>
            <w:webHidden/>
          </w:rPr>
          <w:t>7</w:t>
        </w:r>
        <w:r>
          <w:rPr>
            <w:noProof/>
            <w:webHidden/>
          </w:rPr>
          <w:fldChar w:fldCharType="end"/>
        </w:r>
      </w:hyperlink>
    </w:p>
    <w:p w:rsidR="00402501" w:rsidRDefault="00402501">
      <w:pPr>
        <w:pStyle w:val="TOC3"/>
        <w:rPr>
          <w:rFonts w:eastAsiaTheme="minorEastAsia"/>
          <w:iCs w:val="0"/>
          <w:noProof/>
          <w:sz w:val="22"/>
          <w:lang w:eastAsia="en-AU"/>
        </w:rPr>
      </w:pPr>
      <w:hyperlink w:anchor="_Toc511816989" w:history="1">
        <w:r w:rsidRPr="00807807">
          <w:rPr>
            <w:rStyle w:val="Hyperlink"/>
            <w:noProof/>
          </w:rPr>
          <w:t>Refining our assessment of infrastructure needs</w:t>
        </w:r>
        <w:r>
          <w:rPr>
            <w:noProof/>
            <w:webHidden/>
          </w:rPr>
          <w:tab/>
        </w:r>
        <w:r>
          <w:rPr>
            <w:noProof/>
            <w:webHidden/>
          </w:rPr>
          <w:fldChar w:fldCharType="begin"/>
        </w:r>
        <w:r>
          <w:rPr>
            <w:noProof/>
            <w:webHidden/>
          </w:rPr>
          <w:instrText xml:space="preserve"> PAGEREF _Toc511816989 \h </w:instrText>
        </w:r>
        <w:r>
          <w:rPr>
            <w:noProof/>
            <w:webHidden/>
          </w:rPr>
        </w:r>
        <w:r>
          <w:rPr>
            <w:noProof/>
            <w:webHidden/>
          </w:rPr>
          <w:fldChar w:fldCharType="separate"/>
        </w:r>
        <w:r>
          <w:rPr>
            <w:noProof/>
            <w:webHidden/>
          </w:rPr>
          <w:t>9</w:t>
        </w:r>
        <w:r>
          <w:rPr>
            <w:noProof/>
            <w:webHidden/>
          </w:rPr>
          <w:fldChar w:fldCharType="end"/>
        </w:r>
      </w:hyperlink>
    </w:p>
    <w:p w:rsidR="00402501" w:rsidRDefault="00402501">
      <w:pPr>
        <w:pStyle w:val="TOC3"/>
        <w:rPr>
          <w:rFonts w:eastAsiaTheme="minorEastAsia"/>
          <w:iCs w:val="0"/>
          <w:noProof/>
          <w:sz w:val="22"/>
          <w:lang w:eastAsia="en-AU"/>
        </w:rPr>
      </w:pPr>
      <w:hyperlink w:anchor="_Toc511816990" w:history="1">
        <w:r w:rsidRPr="00807807">
          <w:rPr>
            <w:rStyle w:val="Hyperlink"/>
            <w:noProof/>
          </w:rPr>
          <w:t>Conclusions</w:t>
        </w:r>
        <w:r>
          <w:rPr>
            <w:noProof/>
            <w:webHidden/>
          </w:rPr>
          <w:tab/>
        </w:r>
        <w:r>
          <w:rPr>
            <w:noProof/>
            <w:webHidden/>
          </w:rPr>
          <w:fldChar w:fldCharType="begin"/>
        </w:r>
        <w:r>
          <w:rPr>
            <w:noProof/>
            <w:webHidden/>
          </w:rPr>
          <w:instrText xml:space="preserve"> PAGEREF _Toc511816990 \h </w:instrText>
        </w:r>
        <w:r>
          <w:rPr>
            <w:noProof/>
            <w:webHidden/>
          </w:rPr>
        </w:r>
        <w:r>
          <w:rPr>
            <w:noProof/>
            <w:webHidden/>
          </w:rPr>
          <w:fldChar w:fldCharType="separate"/>
        </w:r>
        <w:r>
          <w:rPr>
            <w:noProof/>
            <w:webHidden/>
          </w:rPr>
          <w:t>18</w:t>
        </w:r>
        <w:r>
          <w:rPr>
            <w:noProof/>
            <w:webHidden/>
          </w:rPr>
          <w:fldChar w:fldCharType="end"/>
        </w:r>
      </w:hyperlink>
    </w:p>
    <w:p w:rsidR="00402501" w:rsidRDefault="00402501">
      <w:pPr>
        <w:pStyle w:val="TOC3"/>
        <w:rPr>
          <w:rFonts w:eastAsiaTheme="minorEastAsia"/>
          <w:iCs w:val="0"/>
          <w:noProof/>
          <w:sz w:val="22"/>
          <w:lang w:eastAsia="en-AU"/>
        </w:rPr>
      </w:pPr>
      <w:hyperlink w:anchor="_Toc511816991" w:history="1">
        <w:r w:rsidRPr="00807807">
          <w:rPr>
            <w:rStyle w:val="Hyperlink"/>
            <w:noProof/>
          </w:rPr>
          <w:t>Other issues considered</w:t>
        </w:r>
        <w:r>
          <w:rPr>
            <w:noProof/>
            <w:webHidden/>
          </w:rPr>
          <w:tab/>
        </w:r>
        <w:r>
          <w:rPr>
            <w:noProof/>
            <w:webHidden/>
          </w:rPr>
          <w:fldChar w:fldCharType="begin"/>
        </w:r>
        <w:r>
          <w:rPr>
            <w:noProof/>
            <w:webHidden/>
          </w:rPr>
          <w:instrText xml:space="preserve"> PAGEREF _Toc511816991 \h </w:instrText>
        </w:r>
        <w:r>
          <w:rPr>
            <w:noProof/>
            <w:webHidden/>
          </w:rPr>
        </w:r>
        <w:r>
          <w:rPr>
            <w:noProof/>
            <w:webHidden/>
          </w:rPr>
          <w:fldChar w:fldCharType="separate"/>
        </w:r>
        <w:r>
          <w:rPr>
            <w:noProof/>
            <w:webHidden/>
          </w:rPr>
          <w:t>20</w:t>
        </w:r>
        <w:r>
          <w:rPr>
            <w:noProof/>
            <w:webHidden/>
          </w:rPr>
          <w:fldChar w:fldCharType="end"/>
        </w:r>
      </w:hyperlink>
    </w:p>
    <w:p w:rsidR="00402501" w:rsidRDefault="00402501">
      <w:pPr>
        <w:pStyle w:val="TOC3"/>
        <w:rPr>
          <w:rFonts w:eastAsiaTheme="minorEastAsia"/>
          <w:iCs w:val="0"/>
          <w:noProof/>
          <w:sz w:val="22"/>
          <w:lang w:eastAsia="en-AU"/>
        </w:rPr>
      </w:pPr>
      <w:hyperlink w:anchor="_Toc511816992" w:history="1">
        <w:r w:rsidRPr="00807807">
          <w:rPr>
            <w:rStyle w:val="Hyperlink"/>
            <w:noProof/>
          </w:rPr>
          <w:t>Issues considered and settled</w:t>
        </w:r>
        <w:r>
          <w:rPr>
            <w:noProof/>
            <w:webHidden/>
          </w:rPr>
          <w:tab/>
        </w:r>
        <w:r>
          <w:rPr>
            <w:noProof/>
            <w:webHidden/>
          </w:rPr>
          <w:fldChar w:fldCharType="begin"/>
        </w:r>
        <w:r>
          <w:rPr>
            <w:noProof/>
            <w:webHidden/>
          </w:rPr>
          <w:instrText xml:space="preserve"> PAGEREF _Toc511816992 \h </w:instrText>
        </w:r>
        <w:r>
          <w:rPr>
            <w:noProof/>
            <w:webHidden/>
          </w:rPr>
        </w:r>
        <w:r>
          <w:rPr>
            <w:noProof/>
            <w:webHidden/>
          </w:rPr>
          <w:fldChar w:fldCharType="separate"/>
        </w:r>
        <w:r>
          <w:rPr>
            <w:noProof/>
            <w:webHidden/>
          </w:rPr>
          <w:t>25</w:t>
        </w:r>
        <w:r>
          <w:rPr>
            <w:noProof/>
            <w:webHidden/>
          </w:rPr>
          <w:fldChar w:fldCharType="end"/>
        </w:r>
      </w:hyperlink>
    </w:p>
    <w:p w:rsidR="00402501" w:rsidRDefault="00402501">
      <w:pPr>
        <w:pStyle w:val="TOC1"/>
        <w:rPr>
          <w:rFonts w:eastAsiaTheme="minorEastAsia"/>
          <w:b w:val="0"/>
          <w:bCs w:val="0"/>
          <w:caps w:val="0"/>
          <w:noProof/>
          <w:sz w:val="22"/>
          <w:szCs w:val="22"/>
          <w:lang w:eastAsia="en-AU"/>
        </w:rPr>
      </w:pPr>
      <w:hyperlink w:anchor="_Toc511816993" w:history="1">
        <w:r w:rsidRPr="00807807">
          <w:rPr>
            <w:rStyle w:val="Hyperlink"/>
            <w:noProof/>
          </w:rPr>
          <w:t>Conclusion and way forward</w:t>
        </w:r>
        <w:r>
          <w:rPr>
            <w:noProof/>
            <w:webHidden/>
          </w:rPr>
          <w:tab/>
        </w:r>
        <w:r>
          <w:rPr>
            <w:noProof/>
            <w:webHidden/>
          </w:rPr>
          <w:fldChar w:fldCharType="begin"/>
        </w:r>
        <w:r>
          <w:rPr>
            <w:noProof/>
            <w:webHidden/>
          </w:rPr>
          <w:instrText xml:space="preserve"> PAGEREF _Toc511816993 \h </w:instrText>
        </w:r>
        <w:r>
          <w:rPr>
            <w:noProof/>
            <w:webHidden/>
          </w:rPr>
        </w:r>
        <w:r>
          <w:rPr>
            <w:noProof/>
            <w:webHidden/>
          </w:rPr>
          <w:fldChar w:fldCharType="separate"/>
        </w:r>
        <w:r>
          <w:rPr>
            <w:noProof/>
            <w:webHidden/>
          </w:rPr>
          <w:t>25</w:t>
        </w:r>
        <w:r>
          <w:rPr>
            <w:noProof/>
            <w:webHidden/>
          </w:rPr>
          <w:fldChar w:fldCharType="end"/>
        </w:r>
      </w:hyperlink>
    </w:p>
    <w:p w:rsidR="00402501" w:rsidRDefault="00402501">
      <w:pPr>
        <w:pStyle w:val="TOC3"/>
        <w:rPr>
          <w:rFonts w:eastAsiaTheme="minorEastAsia"/>
          <w:iCs w:val="0"/>
          <w:noProof/>
          <w:sz w:val="22"/>
          <w:lang w:eastAsia="en-AU"/>
        </w:rPr>
      </w:pPr>
      <w:hyperlink w:anchor="_Toc511816994" w:history="1">
        <w:r w:rsidRPr="00807807">
          <w:rPr>
            <w:rStyle w:val="Hyperlink"/>
            <w:noProof/>
          </w:rPr>
          <w:t>Potential assessment structure</w:t>
        </w:r>
        <w:r>
          <w:rPr>
            <w:noProof/>
            <w:webHidden/>
          </w:rPr>
          <w:tab/>
        </w:r>
        <w:r>
          <w:rPr>
            <w:noProof/>
            <w:webHidden/>
          </w:rPr>
          <w:fldChar w:fldCharType="begin"/>
        </w:r>
        <w:r>
          <w:rPr>
            <w:noProof/>
            <w:webHidden/>
          </w:rPr>
          <w:instrText xml:space="preserve"> PAGEREF _Toc511816994 \h </w:instrText>
        </w:r>
        <w:r>
          <w:rPr>
            <w:noProof/>
            <w:webHidden/>
          </w:rPr>
        </w:r>
        <w:r>
          <w:rPr>
            <w:noProof/>
            <w:webHidden/>
          </w:rPr>
          <w:fldChar w:fldCharType="separate"/>
        </w:r>
        <w:r>
          <w:rPr>
            <w:noProof/>
            <w:webHidden/>
          </w:rPr>
          <w:t>26</w:t>
        </w:r>
        <w:r>
          <w:rPr>
            <w:noProof/>
            <w:webHidden/>
          </w:rPr>
          <w:fldChar w:fldCharType="end"/>
        </w:r>
      </w:hyperlink>
    </w:p>
    <w:p w:rsidR="00402501" w:rsidRDefault="00402501">
      <w:pPr>
        <w:pStyle w:val="TOC3"/>
        <w:rPr>
          <w:rFonts w:eastAsiaTheme="minorEastAsia"/>
          <w:iCs w:val="0"/>
          <w:noProof/>
          <w:sz w:val="22"/>
          <w:lang w:eastAsia="en-AU"/>
        </w:rPr>
      </w:pPr>
      <w:hyperlink w:anchor="_Toc511816995" w:history="1">
        <w:r w:rsidRPr="00807807">
          <w:rPr>
            <w:rStyle w:val="Hyperlink"/>
            <w:noProof/>
          </w:rPr>
          <w:t>Presentation</w:t>
        </w:r>
        <w:r>
          <w:rPr>
            <w:noProof/>
            <w:webHidden/>
          </w:rPr>
          <w:tab/>
        </w:r>
        <w:r>
          <w:rPr>
            <w:noProof/>
            <w:webHidden/>
          </w:rPr>
          <w:fldChar w:fldCharType="begin"/>
        </w:r>
        <w:r>
          <w:rPr>
            <w:noProof/>
            <w:webHidden/>
          </w:rPr>
          <w:instrText xml:space="preserve"> PAGEREF _Toc511816995 \h </w:instrText>
        </w:r>
        <w:r>
          <w:rPr>
            <w:noProof/>
            <w:webHidden/>
          </w:rPr>
        </w:r>
        <w:r>
          <w:rPr>
            <w:noProof/>
            <w:webHidden/>
          </w:rPr>
          <w:fldChar w:fldCharType="separate"/>
        </w:r>
        <w:r>
          <w:rPr>
            <w:noProof/>
            <w:webHidden/>
          </w:rPr>
          <w:t>27</w:t>
        </w:r>
        <w:r>
          <w:rPr>
            <w:noProof/>
            <w:webHidden/>
          </w:rPr>
          <w:fldChar w:fldCharType="end"/>
        </w:r>
      </w:hyperlink>
    </w:p>
    <w:p w:rsidR="00402501" w:rsidRDefault="00402501">
      <w:pPr>
        <w:pStyle w:val="TOC3"/>
        <w:rPr>
          <w:rFonts w:eastAsiaTheme="minorEastAsia"/>
          <w:iCs w:val="0"/>
          <w:noProof/>
          <w:sz w:val="22"/>
          <w:lang w:eastAsia="en-AU"/>
        </w:rPr>
      </w:pPr>
      <w:hyperlink w:anchor="_Toc511816996" w:history="1">
        <w:r w:rsidRPr="00807807">
          <w:rPr>
            <w:rStyle w:val="Hyperlink"/>
            <w:noProof/>
          </w:rPr>
          <w:t>Data / information sought from States</w:t>
        </w:r>
        <w:r>
          <w:rPr>
            <w:noProof/>
            <w:webHidden/>
          </w:rPr>
          <w:tab/>
        </w:r>
        <w:r>
          <w:rPr>
            <w:noProof/>
            <w:webHidden/>
          </w:rPr>
          <w:fldChar w:fldCharType="begin"/>
        </w:r>
        <w:r>
          <w:rPr>
            <w:noProof/>
            <w:webHidden/>
          </w:rPr>
          <w:instrText xml:space="preserve"> PAGEREF _Toc511816996 \h </w:instrText>
        </w:r>
        <w:r>
          <w:rPr>
            <w:noProof/>
            <w:webHidden/>
          </w:rPr>
        </w:r>
        <w:r>
          <w:rPr>
            <w:noProof/>
            <w:webHidden/>
          </w:rPr>
          <w:fldChar w:fldCharType="separate"/>
        </w:r>
        <w:r>
          <w:rPr>
            <w:noProof/>
            <w:webHidden/>
          </w:rPr>
          <w:t>28</w:t>
        </w:r>
        <w:r>
          <w:rPr>
            <w:noProof/>
            <w:webHidden/>
          </w:rPr>
          <w:fldChar w:fldCharType="end"/>
        </w:r>
      </w:hyperlink>
    </w:p>
    <w:p w:rsidR="001B68B1" w:rsidRPr="00970E6D" w:rsidRDefault="003E113F" w:rsidP="003E113F">
      <w:pPr>
        <w:pStyle w:val="TOC3"/>
        <w:sectPr w:rsidR="001B68B1" w:rsidRPr="00970E6D" w:rsidSect="00E71B7E">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r>
        <w:rPr>
          <w:szCs w:val="20"/>
        </w:rPr>
        <w:fldChar w:fldCharType="end"/>
      </w:r>
    </w:p>
    <w:p w:rsidR="002724F7" w:rsidRDefault="002724F7" w:rsidP="00AA77FD">
      <w:pPr>
        <w:pStyle w:val="Heading2"/>
      </w:pPr>
      <w:bookmarkStart w:id="14" w:name="_Toc508716711"/>
      <w:bookmarkStart w:id="15" w:name="_Toc508716865"/>
      <w:bookmarkStart w:id="16" w:name="_Toc508974672"/>
      <w:bookmarkStart w:id="17" w:name="_Toc510700794"/>
      <w:bookmarkStart w:id="18" w:name="_Toc511219993"/>
      <w:bookmarkStart w:id="19" w:name="_Toc511307384"/>
      <w:bookmarkStart w:id="20" w:name="_Toc508716596"/>
      <w:bookmarkStart w:id="21" w:name="_Toc511816982"/>
      <w:r>
        <w:lastRenderedPageBreak/>
        <w:t>PHYSICAL AND FINANCIAL ASSETS</w:t>
      </w:r>
      <w:bookmarkEnd w:id="14"/>
      <w:bookmarkEnd w:id="15"/>
      <w:bookmarkEnd w:id="16"/>
      <w:bookmarkEnd w:id="17"/>
      <w:bookmarkEnd w:id="18"/>
      <w:bookmarkEnd w:id="19"/>
      <w:bookmarkEnd w:id="21"/>
    </w:p>
    <w:p w:rsidR="001C12BC" w:rsidRPr="00AA1262" w:rsidRDefault="001702FE" w:rsidP="00234829">
      <w:pPr>
        <w:pStyle w:val="CGCNumberedPara"/>
      </w:pPr>
      <w:r>
        <w:t>This</w:t>
      </w:r>
      <w:r w:rsidR="001C12BC">
        <w:t xml:space="preserve"> paper provides the Commission staff proposals for the assessment of physical and financial assets for the 2020 Review.</w:t>
      </w:r>
    </w:p>
    <w:p w:rsidR="00F83306" w:rsidRPr="00F83306" w:rsidRDefault="00F83306" w:rsidP="0064671D">
      <w:pPr>
        <w:pStyle w:val="Heading3"/>
      </w:pPr>
      <w:bookmarkStart w:id="22" w:name="_Toc508716712"/>
      <w:bookmarkStart w:id="23" w:name="_Toc508716866"/>
      <w:bookmarkStart w:id="24" w:name="_Toc511816983"/>
      <w:r w:rsidRPr="00F83306">
        <w:t xml:space="preserve">2015 </w:t>
      </w:r>
      <w:r w:rsidR="0064671D">
        <w:t>Review approach</w:t>
      </w:r>
      <w:bookmarkEnd w:id="20"/>
      <w:bookmarkEnd w:id="22"/>
      <w:bookmarkEnd w:id="23"/>
      <w:bookmarkEnd w:id="24"/>
    </w:p>
    <w:p w:rsidR="00392D0C" w:rsidRDefault="00392D0C" w:rsidP="00E07621">
      <w:pPr>
        <w:pStyle w:val="CGCNumberedPara"/>
      </w:pPr>
      <w:r>
        <w:t xml:space="preserve">The </w:t>
      </w:r>
      <w:r w:rsidR="00F93DDA">
        <w:t>2015 Review</w:t>
      </w:r>
      <w:r>
        <w:t xml:space="preserve"> assessment of capital spending </w:t>
      </w:r>
      <w:proofErr w:type="gramStart"/>
      <w:r w:rsidR="00F93DDA">
        <w:t>was first developed in the 2010 </w:t>
      </w:r>
      <w:r>
        <w:t>Review and refined in the 2015 Review to inclu</w:t>
      </w:r>
      <w:r w:rsidR="002F1BAF">
        <w:t>de Urban Transport and Housing public non-financial c</w:t>
      </w:r>
      <w:r>
        <w:t>orporations (</w:t>
      </w:r>
      <w:proofErr w:type="spellStart"/>
      <w:r>
        <w:t>PNFCs</w:t>
      </w:r>
      <w:proofErr w:type="spellEnd"/>
      <w:r>
        <w:t>)</w:t>
      </w:r>
      <w:proofErr w:type="gramEnd"/>
      <w:r>
        <w:t>.</w:t>
      </w:r>
    </w:p>
    <w:p w:rsidR="00F93DDA" w:rsidRDefault="00F93DDA" w:rsidP="00F93DDA">
      <w:pPr>
        <w:pStyle w:val="CGCNumberedPara"/>
      </w:pPr>
      <w:r>
        <w:t xml:space="preserve">The 2010 Review approach was intended to respond to changes in capital needs in an immediate way </w:t>
      </w:r>
      <w:proofErr w:type="gramStart"/>
      <w:r>
        <w:t>and also</w:t>
      </w:r>
      <w:proofErr w:type="gramEnd"/>
      <w:r>
        <w:t xml:space="preserve"> to recognise the different needs associated with physical and financial assets. </w:t>
      </w:r>
      <w:r w:rsidR="00043837">
        <w:t>The</w:t>
      </w:r>
      <w:r>
        <w:t xml:space="preserve"> approach recognised the impact of population growth on State asset holdings, both physical and financial. </w:t>
      </w:r>
    </w:p>
    <w:p w:rsidR="00F93DDA" w:rsidRDefault="00F93DDA" w:rsidP="00F93DDA">
      <w:pPr>
        <w:pStyle w:val="CGCNumberedPara"/>
      </w:pPr>
      <w:r>
        <w:t xml:space="preserve">The </w:t>
      </w:r>
      <w:r w:rsidR="00043837">
        <w:t xml:space="preserve">current </w:t>
      </w:r>
      <w:r>
        <w:t xml:space="preserve">approach provides States with the capacity to hold the average per capita assets according to their specific capital requirements and it does so in the year the needs arise. These include </w:t>
      </w:r>
      <w:proofErr w:type="gramStart"/>
      <w:r>
        <w:t>factors which</w:t>
      </w:r>
      <w:proofErr w:type="gramEnd"/>
      <w:r>
        <w:t xml:space="preserve"> affect the quantity of assets required, such as Indigeneity and age profile, and factors which affect the cost of assets such as location, wages and cost of inputs to construction.</w:t>
      </w:r>
    </w:p>
    <w:p w:rsidR="00F93DDA" w:rsidRDefault="00F93DDA" w:rsidP="00F93DDA">
      <w:pPr>
        <w:pStyle w:val="CGCNumberedPara"/>
      </w:pPr>
      <w:r>
        <w:t>The Commission assumes all States start the year with the average per capita assets adjusted according to their State specific capital requirements. As the population grows through the year</w:t>
      </w:r>
      <w:r w:rsidR="00506F74">
        <w:t>,</w:t>
      </w:r>
      <w:r>
        <w:t xml:space="preserve"> the level of physical and financial assets per capita </w:t>
      </w:r>
      <w:proofErr w:type="gramStart"/>
      <w:r>
        <w:t>fall</w:t>
      </w:r>
      <w:proofErr w:type="gramEnd"/>
      <w:r>
        <w:t xml:space="preserve"> (this is referred to as population dilution of assets). </w:t>
      </w:r>
    </w:p>
    <w:p w:rsidR="00F93DDA" w:rsidRDefault="00F93DDA" w:rsidP="00F93DDA">
      <w:pPr>
        <w:pStyle w:val="CGCNumberedPara"/>
      </w:pPr>
      <w:r>
        <w:t xml:space="preserve">The </w:t>
      </w:r>
      <w:r w:rsidR="00043837">
        <w:t>current</w:t>
      </w:r>
      <w:r>
        <w:t xml:space="preserve"> approach is applied in three capital assessments: </w:t>
      </w:r>
    </w:p>
    <w:p w:rsidR="00F93DDA" w:rsidRDefault="00F93DDA" w:rsidP="00F93DDA">
      <w:pPr>
        <w:pStyle w:val="CGCBulletlist"/>
      </w:pPr>
      <w:r>
        <w:t xml:space="preserve">net investment in </w:t>
      </w:r>
      <w:r w:rsidRPr="00506F74">
        <w:rPr>
          <w:b/>
        </w:rPr>
        <w:t>new physical assets</w:t>
      </w:r>
      <w:r w:rsidR="000C7F8F">
        <w:t xml:space="preserve"> (</w:t>
      </w:r>
      <w:r w:rsidR="00A342D6">
        <w:t>g</w:t>
      </w:r>
      <w:r w:rsidR="000C7F8F">
        <w:t>ross fixed capital formation less depreciation)</w:t>
      </w:r>
    </w:p>
    <w:p w:rsidR="00F93DDA" w:rsidRDefault="00F93DDA" w:rsidP="00F93DDA">
      <w:pPr>
        <w:pStyle w:val="CGCBulletlist"/>
      </w:pPr>
      <w:r>
        <w:t xml:space="preserve">net borrowing (or lending) to change holdings of </w:t>
      </w:r>
      <w:r w:rsidRPr="00506F74">
        <w:rPr>
          <w:b/>
        </w:rPr>
        <w:t>net</w:t>
      </w:r>
      <w:r>
        <w:t xml:space="preserve"> </w:t>
      </w:r>
      <w:r w:rsidRPr="00506F74">
        <w:rPr>
          <w:b/>
        </w:rPr>
        <w:t>financial assets</w:t>
      </w:r>
    </w:p>
    <w:p w:rsidR="00F93DDA" w:rsidRDefault="00F93DDA" w:rsidP="00F93DDA">
      <w:pPr>
        <w:pStyle w:val="CGCBulletlist"/>
      </w:pPr>
      <w:proofErr w:type="gramStart"/>
      <w:r>
        <w:t>depreciation</w:t>
      </w:r>
      <w:proofErr w:type="gramEnd"/>
      <w:r>
        <w:t xml:space="preserve"> (or </w:t>
      </w:r>
      <w:r w:rsidRPr="00506F74">
        <w:rPr>
          <w:b/>
        </w:rPr>
        <w:t>replacement of existing physical assets</w:t>
      </w:r>
      <w:r>
        <w:t>).</w:t>
      </w:r>
    </w:p>
    <w:p w:rsidR="00F93DDA" w:rsidRDefault="00F93DDA" w:rsidP="00F93DDA">
      <w:pPr>
        <w:pStyle w:val="CGCNumberedPara"/>
      </w:pPr>
      <w:bookmarkStart w:id="25" w:name="_Ref510599332"/>
      <w:r>
        <w:t>Collectively, the assessments provide the States with the capacity to:</w:t>
      </w:r>
      <w:bookmarkEnd w:id="25"/>
    </w:p>
    <w:p w:rsidR="00F93DDA" w:rsidRDefault="00F93DDA" w:rsidP="00F93DDA">
      <w:pPr>
        <w:pStyle w:val="CGCBulletlist"/>
      </w:pPr>
      <w:r>
        <w:t xml:space="preserve">invest in additional physical assets to provide the new population added through the year with the same per capita stock the existing population had at the start of the year (to offset the effect of population dilution) </w:t>
      </w:r>
    </w:p>
    <w:p w:rsidR="00F93DDA" w:rsidRDefault="00F93DDA" w:rsidP="00F93DDA">
      <w:pPr>
        <w:pStyle w:val="CGCBulletlist"/>
      </w:pPr>
      <w:r>
        <w:t>invest in additional physical assets for new and existing populations to account for changes in its capital requirements during the year (changes in disabilities)</w:t>
      </w:r>
    </w:p>
    <w:p w:rsidR="00F93DDA" w:rsidRDefault="00F93DDA" w:rsidP="00F93DDA">
      <w:pPr>
        <w:pStyle w:val="CGCBulletlist"/>
      </w:pPr>
      <w:r>
        <w:lastRenderedPageBreak/>
        <w:t xml:space="preserve">invest in physical assets to ensure new and existing populations receive the increase in assets brought about by a national increase in capital intensity and the quality of capital (referred to as capital deepening) during the year </w:t>
      </w:r>
    </w:p>
    <w:p w:rsidR="00F93DDA" w:rsidRDefault="00F93DDA" w:rsidP="00F93DDA">
      <w:pPr>
        <w:pStyle w:val="CGCBulletlist"/>
      </w:pPr>
      <w:r>
        <w:t>acquire new financial assets (or new financial liabilities if States are collectively in a net financial liability position) to provide the new population with the same per capita financial assets (liabilities) the existing population had at the start of the year  (this ensures net financial assets per capita remain equal to national average net financial assets per capita)</w:t>
      </w:r>
    </w:p>
    <w:p w:rsidR="00F93DDA" w:rsidRDefault="00F93DDA" w:rsidP="00F93DDA">
      <w:pPr>
        <w:pStyle w:val="CGCBulletlist"/>
      </w:pPr>
      <w:proofErr w:type="gramStart"/>
      <w:r>
        <w:t>depreciate</w:t>
      </w:r>
      <w:proofErr w:type="gramEnd"/>
      <w:r>
        <w:t xml:space="preserve"> its assets (adjusted to reflect the States’ capital requirements) according to the national average rate of depreciation (depreciation, or replacement infrastructure).</w:t>
      </w:r>
    </w:p>
    <w:p w:rsidR="00F93DDA" w:rsidRDefault="00F93DDA" w:rsidP="00F93DDA">
      <w:pPr>
        <w:pStyle w:val="CGCNumberedPara"/>
      </w:pPr>
      <w:bookmarkStart w:id="26" w:name="_Ref511217732"/>
      <w:r>
        <w:t>The box below shows the algebraic expression for the assessment of new investment and depreciation in physical assets.</w:t>
      </w:r>
      <w:bookmarkEnd w:id="26"/>
      <w:r>
        <w:t xml:space="preserve"> </w:t>
      </w:r>
    </w:p>
    <w:tbl>
      <w:tblPr>
        <w:tblW w:w="9167" w:type="dxa"/>
        <w:shd w:val="clear" w:color="auto" w:fill="D9F3E6"/>
        <w:tblLayout w:type="fixed"/>
        <w:tblLook w:val="0000" w:firstRow="0" w:lastRow="0" w:firstColumn="0" w:lastColumn="0" w:noHBand="0" w:noVBand="0"/>
      </w:tblPr>
      <w:tblGrid>
        <w:gridCol w:w="9167"/>
      </w:tblGrid>
      <w:tr w:rsidR="00F93DDA" w:rsidRPr="005D26DD" w:rsidTr="00234829">
        <w:tc>
          <w:tcPr>
            <w:tcW w:w="9167" w:type="dxa"/>
            <w:shd w:val="clear" w:color="auto" w:fill="D9F3E6"/>
          </w:tcPr>
          <w:p w:rsidR="00F93DDA" w:rsidRPr="00234829" w:rsidRDefault="00A80171" w:rsidP="008B3B64">
            <w:pPr>
              <w:rPr>
                <w:rFonts w:ascii="Cambria Math" w:hAnsi="Cambria Math"/>
                <w:sz w:val="20"/>
                <w:szCs w:val="20"/>
              </w:rPr>
            </w:pPr>
            <m:oMathPara>
              <m:oMathParaPr>
                <m:jc m:val="center"/>
              </m:oMathParaPr>
              <m:oMath>
                <m:r>
                  <m:rPr>
                    <m:sty m:val="p"/>
                  </m:rPr>
                  <w:rPr>
                    <w:rFonts w:ascii="Cambria Math" w:hAnsi="Cambria Math"/>
                    <w:sz w:val="20"/>
                    <w:szCs w:val="20"/>
                  </w:rPr>
                  <m:t xml:space="preserve">Assessed Net Investment= </m:t>
                </m:r>
                <m:d>
                  <m:dPr>
                    <m:begChr m:val="["/>
                    <m:endChr m:val="]"/>
                    <m:ctrlPr>
                      <w:rPr>
                        <w:rFonts w:ascii="Cambria Math" w:hAnsi="Cambria Math"/>
                        <w:sz w:val="20"/>
                        <w:szCs w:val="20"/>
                      </w:rPr>
                    </m:ctrlPr>
                  </m:dPr>
                  <m:e>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den>
                        </m:f>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i,1</m:t>
                            </m:r>
                          </m:sub>
                        </m:sSub>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i,1</m:t>
                            </m:r>
                          </m:sub>
                          <m:sup>
                            <m:r>
                              <m:rPr>
                                <m:sty m:val="p"/>
                              </m:rPr>
                              <w:rPr>
                                <w:rFonts w:ascii="Cambria Math" w:hAnsi="Cambria Math"/>
                                <w:sz w:val="20"/>
                                <w:szCs w:val="20"/>
                              </w:rPr>
                              <m:t>u</m:t>
                            </m:r>
                          </m:sup>
                        </m:sSubSup>
                      </m:e>
                    </m:d>
                    <m:r>
                      <m:rPr>
                        <m:sty m:val="p"/>
                      </m:rPr>
                      <w:rPr>
                        <w:rFonts w:ascii="Cambria Math" w:hAnsi="Cambria Math"/>
                        <w:sz w:val="20"/>
                        <w:szCs w:val="20"/>
                      </w:rPr>
                      <m:t>-</m:t>
                    </m:r>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den>
                        </m:f>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i,0</m:t>
                            </m:r>
                          </m:sub>
                        </m:sSub>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i,0</m:t>
                            </m:r>
                          </m:sub>
                          <m:sup>
                            <m:r>
                              <w:rPr>
                                <w:rFonts w:ascii="Cambria Math" w:hAnsi="Cambria Math"/>
                                <w:sz w:val="20"/>
                                <w:szCs w:val="20"/>
                              </w:rPr>
                              <m:t>u</m:t>
                            </m:r>
                          </m:sup>
                        </m:sSubSup>
                      </m:e>
                    </m:d>
                  </m:e>
                </m:d>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m:t>
                    </m:r>
                  </m:sub>
                  <m:sup>
                    <m:r>
                      <m:rPr>
                        <m:sty m:val="p"/>
                      </m:rPr>
                      <w:rPr>
                        <w:rFonts w:ascii="Cambria Math" w:hAnsi="Cambria Math"/>
                        <w:sz w:val="20"/>
                        <w:szCs w:val="20"/>
                      </w:rPr>
                      <m:t>c</m:t>
                    </m:r>
                  </m:sup>
                </m:sSubSup>
              </m:oMath>
            </m:oMathPara>
          </w:p>
        </w:tc>
      </w:tr>
      <w:tr w:rsidR="00F93DDA" w:rsidRPr="005D26DD" w:rsidTr="00234829">
        <w:tc>
          <w:tcPr>
            <w:tcW w:w="9167" w:type="dxa"/>
            <w:shd w:val="clear" w:color="auto" w:fill="D9F3E6"/>
          </w:tcPr>
          <w:p w:rsidR="00F93DDA" w:rsidRPr="00080C87" w:rsidRDefault="00F93DDA" w:rsidP="000C7F8F">
            <w:pPr>
              <w:rPr>
                <w:rFonts w:ascii="Cambria Math" w:eastAsiaTheme="minorEastAsia" w:hAnsi="Cambria Math"/>
              </w:rPr>
            </w:pPr>
            <m:oMathPara>
              <m:oMath>
                <m:r>
                  <m:rPr>
                    <m:sty m:val="p"/>
                  </m:rPr>
                  <w:rPr>
                    <w:rFonts w:ascii="Cambria Math" w:hAnsi="Cambria Math"/>
                    <w:sz w:val="20"/>
                    <w:szCs w:val="20"/>
                  </w:rPr>
                  <w:br/>
                </m:r>
              </m:oMath>
              <m:oMath>
                <m:r>
                  <m:rPr>
                    <m:sty m:val="p"/>
                  </m:rPr>
                  <w:rPr>
                    <w:rFonts w:ascii="Cambria Math" w:hAnsi="Cambria Math"/>
                    <w:sz w:val="20"/>
                    <w:szCs w:val="20"/>
                  </w:rPr>
                  <m:t xml:space="preserve"> Assessed Depreciation=</m:t>
                </m:r>
                <m:d>
                  <m:dPr>
                    <m:ctrlPr>
                      <w:rPr>
                        <w:rFonts w:ascii="Cambria Math" w:hAnsi="Cambria Math"/>
                        <w:sz w:val="20"/>
                        <w:szCs w:val="20"/>
                      </w:rPr>
                    </m:ctrlPr>
                  </m:dPr>
                  <m:e>
                    <m:sSubSup>
                      <m:sSubSupPr>
                        <m:ctrlPr>
                          <w:rPr>
                            <w:rFonts w:ascii="Cambria Math" w:hAnsi="Cambria Math"/>
                            <w:sz w:val="20"/>
                            <w:szCs w:val="20"/>
                          </w:rPr>
                        </m:ctrlPr>
                      </m:sSubSupPr>
                      <m:e>
                        <m:sSub>
                          <m:sSubPr>
                            <m:ctrlPr>
                              <w:rPr>
                                <w:rFonts w:ascii="Cambria Math" w:hAnsi="Cambria Math"/>
                                <w:sz w:val="20"/>
                                <w:szCs w:val="20"/>
                              </w:rPr>
                            </m:ctrlPr>
                          </m:sSubP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den>
                            </m:f>
                            <m:r>
                              <m:rPr>
                                <m:sty m:val="p"/>
                              </m:rPr>
                              <w:rPr>
                                <w:rFonts w:ascii="Cambria Math" w:hAnsi="Cambria Math"/>
                                <w:sz w:val="20"/>
                                <w:szCs w:val="20"/>
                              </w:rPr>
                              <m:t>p</m:t>
                            </m:r>
                          </m:e>
                          <m:sub>
                            <m:r>
                              <m:rPr>
                                <m:sty m:val="p"/>
                              </m:rPr>
                              <w:rPr>
                                <w:rFonts w:ascii="Cambria Math" w:hAnsi="Cambria Math"/>
                                <w:sz w:val="20"/>
                                <w:szCs w:val="20"/>
                              </w:rPr>
                              <m:t>i,1</m:t>
                            </m:r>
                          </m:sub>
                        </m:sSub>
                        <m:r>
                          <m:rPr>
                            <m:sty m:val="p"/>
                          </m:rPr>
                          <w:rPr>
                            <w:rFonts w:ascii="Cambria Math" w:hAnsi="Cambria Math"/>
                            <w:sz w:val="20"/>
                            <w:szCs w:val="20"/>
                          </w:rPr>
                          <m:t xml:space="preserve"> δ</m:t>
                        </m:r>
                      </m:e>
                      <m:sub>
                        <m:r>
                          <m:rPr>
                            <m:sty m:val="p"/>
                          </m:rPr>
                          <w:rPr>
                            <w:rFonts w:ascii="Cambria Math" w:hAnsi="Cambria Math"/>
                            <w:sz w:val="20"/>
                            <w:szCs w:val="20"/>
                          </w:rPr>
                          <m:t>i,1</m:t>
                        </m:r>
                      </m:sub>
                      <m:sup>
                        <m:r>
                          <m:rPr>
                            <m:sty m:val="p"/>
                          </m:rPr>
                          <w:rPr>
                            <w:rFonts w:ascii="Cambria Math" w:hAnsi="Cambria Math"/>
                            <w:sz w:val="20"/>
                            <w:szCs w:val="20"/>
                          </w:rPr>
                          <m:t>u</m:t>
                        </m:r>
                      </m:sup>
                    </m:sSubSup>
                    <m:r>
                      <m:rPr>
                        <m:sty m:val="p"/>
                      </m:rPr>
                      <w:rPr>
                        <w:rFonts w:ascii="Cambria Math" w:hAnsi="Cambria Math"/>
                        <w:sz w:val="20"/>
                        <w:szCs w:val="20"/>
                      </w:rPr>
                      <m:t xml:space="preserve"> </m:t>
                    </m:r>
                  </m:e>
                </m:d>
                <m:f>
                  <m:fPr>
                    <m:ctrlPr>
                      <w:rPr>
                        <w:rFonts w:ascii="Cambria Math" w:hAnsi="Cambria Math"/>
                        <w:sz w:val="20"/>
                        <w:szCs w:val="20"/>
                      </w:rPr>
                    </m:ctrlPr>
                  </m:fPr>
                  <m:num>
                    <m:r>
                      <m:rPr>
                        <m:sty m:val="p"/>
                      </m:rPr>
                      <w:rPr>
                        <w:rFonts w:ascii="Cambria Math" w:hAnsi="Cambria Math"/>
                        <w:sz w:val="20"/>
                        <w:szCs w:val="20"/>
                      </w:rPr>
                      <m:t>D</m:t>
                    </m:r>
                  </m:num>
                  <m:den>
                    <m: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1</m:t>
                        </m:r>
                      </m:sub>
                    </m:sSub>
                  </m:den>
                </m:f>
                <m:r>
                  <m:rPr>
                    <m:sty m:val="p"/>
                  </m:rPr>
                  <w:rPr>
                    <w:rFonts w:ascii="Cambria Math" w:hAnsi="Cambria Math"/>
                    <w:sz w:val="20"/>
                    <w:szCs w:val="20"/>
                  </w:rPr>
                  <m:t xml:space="preserve"> ×</m:t>
                </m:r>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m:t>
                    </m:r>
                  </m:sub>
                  <m:sup>
                    <m:r>
                      <m:rPr>
                        <m:sty m:val="p"/>
                      </m:rPr>
                      <w:rPr>
                        <w:rFonts w:ascii="Cambria Math" w:hAnsi="Cambria Math"/>
                        <w:sz w:val="20"/>
                        <w:szCs w:val="20"/>
                      </w:rPr>
                      <m:t>c</m:t>
                    </m:r>
                  </m:sup>
                </m:sSubSup>
                <m:r>
                  <m:rPr>
                    <m:sty m:val="p"/>
                  </m:rPr>
                  <w:rPr>
                    <w:rFonts w:ascii="Cambria Math" w:hAnsi="Cambria Math"/>
                    <w:sz w:val="20"/>
                    <w:szCs w:val="20"/>
                  </w:rPr>
                  <m:t xml:space="preserve">                </m:t>
                </m:r>
              </m:oMath>
            </m:oMathPara>
          </w:p>
          <w:p w:rsidR="00F93DDA" w:rsidRPr="00080C87" w:rsidRDefault="00A80171" w:rsidP="00054157">
            <w:pPr>
              <w:rPr>
                <w:rFonts w:ascii="Cambria Math" w:hAnsi="Cambria Math"/>
                <w:sz w:val="20"/>
                <w:szCs w:val="20"/>
              </w:rPr>
            </w:pPr>
            <m:oMathPara>
              <m:oMathParaPr>
                <m:jc m:val="center"/>
              </m:oMathParaPr>
              <m:oMath>
                <m:r>
                  <m:rPr>
                    <m:sty m:val="p"/>
                  </m:rPr>
                  <w:rPr>
                    <w:rFonts w:ascii="Cambria Math" w:hAnsi="Cambria Math"/>
                    <w:sz w:val="20"/>
                    <w:szCs w:val="20"/>
                  </w:rPr>
                  <m:t xml:space="preserve">                 = </m:t>
                </m:r>
                <m:f>
                  <m:fPr>
                    <m:ctrlPr>
                      <w:rPr>
                        <w:rFonts w:ascii="Cambria Math" w:hAnsi="Cambria Math"/>
                        <w:sz w:val="20"/>
                        <w:szCs w:val="20"/>
                      </w:rPr>
                    </m:ctrlPr>
                  </m:fPr>
                  <m:num>
                    <m:r>
                      <m:rPr>
                        <m:sty m:val="p"/>
                      </m:rPr>
                      <w:rPr>
                        <w:rFonts w:ascii="Cambria Math" w:hAnsi="Cambria Math"/>
                        <w:sz w:val="20"/>
                        <w:szCs w:val="20"/>
                      </w:rPr>
                      <m:t>D</m:t>
                    </m:r>
                  </m:num>
                  <m:den>
                    <m:sSub>
                      <m:sSubPr>
                        <m:ctrlPr>
                          <w:rPr>
                            <w:rFonts w:ascii="Cambria Math" w:hAnsi="Cambria Math"/>
                            <w:sz w:val="20"/>
                            <w:szCs w:val="20"/>
                          </w:rPr>
                        </m:ctrlPr>
                      </m:sSubPr>
                      <m:e>
                        <m:r>
                          <m:rPr>
                            <m:sty m:val="p"/>
                          </m:rPr>
                          <w:rPr>
                            <w:rFonts w:ascii="Cambria Math" w:hAnsi="Cambria Math"/>
                            <w:sz w:val="20"/>
                            <w:szCs w:val="20"/>
                          </w:rPr>
                          <m:t xml:space="preserve"> P</m:t>
                        </m:r>
                      </m:e>
                      <m:sub>
                        <m:r>
                          <m:rPr>
                            <m:sty m:val="p"/>
                          </m:rPr>
                          <w:rPr>
                            <w:rFonts w:ascii="Cambria Math" w:hAnsi="Cambria Math"/>
                            <w:sz w:val="20"/>
                            <w:szCs w:val="20"/>
                          </w:rPr>
                          <m:t>1</m:t>
                        </m:r>
                      </m:sub>
                    </m:sSub>
                  </m:den>
                </m:f>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i,1</m:t>
                    </m:r>
                  </m:sub>
                </m:sSub>
                <m:r>
                  <m:rPr>
                    <m:sty m:val="p"/>
                  </m:rPr>
                  <w:rPr>
                    <w:rFonts w:ascii="Cambria Math" w:hAnsi="Cambria Math"/>
                    <w:sz w:val="20"/>
                    <w:szCs w:val="20"/>
                  </w:rPr>
                  <m:t xml:space="preserve"> </m:t>
                </m:r>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i,1</m:t>
                    </m:r>
                  </m:sub>
                  <m:sup>
                    <m:r>
                      <m:rPr>
                        <m:sty m:val="p"/>
                      </m:rPr>
                      <w:rPr>
                        <w:rFonts w:ascii="Cambria Math" w:hAnsi="Cambria Math"/>
                        <w:sz w:val="20"/>
                        <w:szCs w:val="20"/>
                      </w:rPr>
                      <m:t>u</m:t>
                    </m:r>
                  </m:sup>
                </m:sSubSup>
                <m:r>
                  <m:rPr>
                    <m:sty m:val="p"/>
                  </m:rPr>
                  <w:rPr>
                    <w:rFonts w:ascii="Cambria Math" w:hAnsi="Cambria Math"/>
                    <w:sz w:val="20"/>
                    <w:szCs w:val="20"/>
                  </w:rPr>
                  <m:t xml:space="preserve"> </m:t>
                </m:r>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m:t>
                    </m:r>
                  </m:sub>
                  <m:sup>
                    <m:r>
                      <m:rPr>
                        <m:sty m:val="p"/>
                      </m:rPr>
                      <w:rPr>
                        <w:rFonts w:ascii="Cambria Math" w:hAnsi="Cambria Math"/>
                        <w:sz w:val="20"/>
                        <w:szCs w:val="20"/>
                      </w:rPr>
                      <m:t>c</m:t>
                    </m:r>
                  </m:sup>
                </m:sSubSup>
                <m:r>
                  <m:rPr>
                    <m:sty m:val="p"/>
                  </m:rPr>
                  <w:rPr>
                    <w:rFonts w:ascii="Cambria Math" w:hAnsi="Cambria Math"/>
                    <w:sz w:val="20"/>
                    <w:szCs w:val="20"/>
                  </w:rPr>
                  <w:br/>
                </m:r>
              </m:oMath>
            </m:oMathPara>
            <w:r w:rsidR="00F93DDA" w:rsidRPr="00080C87">
              <w:rPr>
                <w:rFonts w:ascii="Cambria Math" w:hAnsi="Cambria Math"/>
                <w:sz w:val="20"/>
                <w:szCs w:val="20"/>
              </w:rPr>
              <w:t xml:space="preserve">Where: </w:t>
            </w:r>
          </w:p>
        </w:tc>
      </w:tr>
      <w:tr w:rsidR="00F93DDA" w:rsidRPr="005D26DD" w:rsidTr="00234829">
        <w:tc>
          <w:tcPr>
            <w:tcW w:w="9167" w:type="dxa"/>
            <w:shd w:val="clear" w:color="auto" w:fill="D9F3E6"/>
          </w:tcPr>
          <w:p w:rsidR="002E69F9" w:rsidRPr="00080C87" w:rsidRDefault="00F93DDA" w:rsidP="00F35129">
            <w:pPr>
              <w:rPr>
                <w:rFonts w:ascii="Cambria Math" w:hAnsi="Cambria Math"/>
                <w:sz w:val="20"/>
                <w:szCs w:val="20"/>
              </w:rPr>
            </w:pPr>
            <w:r w:rsidRPr="00080C87">
              <w:rPr>
                <w:rFonts w:ascii="Cambria Math" w:hAnsi="Cambria Math"/>
                <w:sz w:val="20"/>
                <w:szCs w:val="20"/>
              </w:rPr>
              <w:t xml:space="preserve"> </w:t>
            </w:r>
            <w:r w:rsidR="00BB3B37" w:rsidRPr="00080C87">
              <w:rPr>
                <w:rFonts w:ascii="Cambria Math" w:hAnsi="Cambria Math"/>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i,0</m:t>
                  </m:r>
                </m:sub>
                <m:sup>
                  <m:r>
                    <w:rPr>
                      <w:rFonts w:ascii="Cambria Math" w:hAnsi="Cambria Math"/>
                      <w:sz w:val="20"/>
                      <w:szCs w:val="20"/>
                    </w:rPr>
                    <m:t>u</m:t>
                  </m:r>
                </m:sup>
              </m:sSubSup>
            </m:oMath>
            <w:r w:rsidRPr="00080C87">
              <w:rPr>
                <w:rFonts w:ascii="Cambria Math" w:hAnsi="Cambria Math"/>
                <w:sz w:val="20"/>
                <w:szCs w:val="20"/>
              </w:rPr>
              <w:t xml:space="preserve">  and </w:t>
            </w:r>
            <m:oMath>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i,1</m:t>
                  </m:r>
                </m:sub>
                <m:sup>
                  <m:r>
                    <w:rPr>
                      <w:rFonts w:ascii="Cambria Math" w:hAnsi="Cambria Math"/>
                      <w:sz w:val="20"/>
                      <w:szCs w:val="20"/>
                    </w:rPr>
                    <m:t>u</m:t>
                  </m:r>
                </m:sup>
              </m:sSubSup>
            </m:oMath>
            <w:r w:rsidRPr="00080C87">
              <w:rPr>
                <w:rFonts w:ascii="Cambria Math" w:hAnsi="Cambria Math"/>
                <w:sz w:val="20"/>
                <w:szCs w:val="20"/>
              </w:rPr>
              <w:t xml:space="preserve"> are the disabilities affecting the quantity of infrastructure required </w:t>
            </w:r>
            <w:r w:rsidR="004E2C21" w:rsidRPr="00080C87">
              <w:rPr>
                <w:rFonts w:ascii="Cambria Math" w:hAnsi="Cambria Math"/>
                <w:sz w:val="20"/>
                <w:szCs w:val="20"/>
              </w:rPr>
              <w:t xml:space="preserve">by State </w:t>
            </w:r>
            <w:proofErr w:type="spellStart"/>
            <w:r w:rsidR="004E2C21" w:rsidRPr="00080C87">
              <w:rPr>
                <w:rFonts w:ascii="Cambria Math" w:hAnsi="Cambria Math"/>
                <w:sz w:val="20"/>
                <w:szCs w:val="20"/>
              </w:rPr>
              <w:t>i</w:t>
            </w:r>
            <w:proofErr w:type="spellEnd"/>
            <w:r w:rsidR="002E69F9" w:rsidRPr="00080C87">
              <w:rPr>
                <w:rFonts w:ascii="Cambria Math" w:hAnsi="Cambria Math"/>
                <w:sz w:val="20"/>
                <w:szCs w:val="20"/>
              </w:rPr>
              <w:t xml:space="preserve"> (</w:t>
            </w:r>
            <w:proofErr w:type="spellStart"/>
            <w:r w:rsidR="002E69F9" w:rsidRPr="00080C87">
              <w:rPr>
                <w:rFonts w:ascii="Cambria Math" w:hAnsi="Cambria Math"/>
                <w:sz w:val="20"/>
                <w:szCs w:val="20"/>
              </w:rPr>
              <w:t>i</w:t>
            </w:r>
            <w:proofErr w:type="spellEnd"/>
            <w:r w:rsidR="002E69F9" w:rsidRPr="00080C87">
              <w:rPr>
                <w:rFonts w:ascii="Cambria Math" w:hAnsi="Cambria Math"/>
                <w:sz w:val="20"/>
                <w:szCs w:val="20"/>
              </w:rPr>
              <w:t>=1,..,8)</w:t>
            </w:r>
          </w:p>
          <w:p w:rsidR="00F93DDA" w:rsidRPr="00080C87" w:rsidRDefault="002E69F9" w:rsidP="00941310">
            <w:pPr>
              <w:rPr>
                <w:rFonts w:ascii="Cambria Math" w:hAnsi="Cambria Math"/>
                <w:sz w:val="20"/>
                <w:szCs w:val="20"/>
              </w:rPr>
            </w:pPr>
            <w:r w:rsidRPr="00080C87">
              <w:rPr>
                <w:rFonts w:ascii="Cambria Math" w:hAnsi="Cambria Math"/>
                <w:sz w:val="20"/>
                <w:szCs w:val="20"/>
              </w:rPr>
              <w:t xml:space="preserve">       </w:t>
            </w:r>
            <w:r w:rsidR="004E2C21" w:rsidRPr="00080C87">
              <w:rPr>
                <w:rFonts w:ascii="Cambria Math" w:hAnsi="Cambria Math"/>
                <w:sz w:val="20"/>
                <w:szCs w:val="20"/>
              </w:rPr>
              <w:t xml:space="preserve"> at the</w:t>
            </w:r>
            <w:r w:rsidRPr="00080C87">
              <w:rPr>
                <w:rFonts w:ascii="Cambria Math" w:hAnsi="Cambria Math"/>
                <w:sz w:val="20"/>
                <w:szCs w:val="20"/>
              </w:rPr>
              <w:t xml:space="preserve"> </w:t>
            </w:r>
            <w:r w:rsidR="00941310">
              <w:rPr>
                <w:rFonts w:ascii="Cambria Math" w:hAnsi="Cambria Math"/>
                <w:sz w:val="20"/>
                <w:szCs w:val="20"/>
              </w:rPr>
              <w:t>start</w:t>
            </w:r>
            <w:r w:rsidRPr="00080C87">
              <w:rPr>
                <w:rFonts w:ascii="Cambria Math" w:hAnsi="Cambria Math"/>
                <w:sz w:val="20"/>
                <w:szCs w:val="20"/>
              </w:rPr>
              <w:t xml:space="preserve"> (t=</w:t>
            </w:r>
            <w:r w:rsidR="00941310">
              <w:rPr>
                <w:rFonts w:ascii="Cambria Math" w:hAnsi="Cambria Math"/>
                <w:sz w:val="20"/>
                <w:szCs w:val="20"/>
              </w:rPr>
              <w:t>0</w:t>
            </w:r>
            <w:r w:rsidRPr="00080C87">
              <w:rPr>
                <w:rFonts w:ascii="Cambria Math" w:hAnsi="Cambria Math"/>
                <w:sz w:val="20"/>
                <w:szCs w:val="20"/>
              </w:rPr>
              <w:t xml:space="preserve">) and the </w:t>
            </w:r>
            <w:r w:rsidR="00941310">
              <w:rPr>
                <w:rFonts w:ascii="Cambria Math" w:hAnsi="Cambria Math"/>
                <w:sz w:val="20"/>
                <w:szCs w:val="20"/>
              </w:rPr>
              <w:t xml:space="preserve">end </w:t>
            </w:r>
            <w:r w:rsidRPr="00080C87">
              <w:rPr>
                <w:rFonts w:ascii="Cambria Math" w:hAnsi="Cambria Math"/>
                <w:sz w:val="20"/>
                <w:szCs w:val="20"/>
              </w:rPr>
              <w:t>of the year (t=</w:t>
            </w:r>
            <w:r w:rsidR="00941310">
              <w:rPr>
                <w:rFonts w:ascii="Cambria Math" w:hAnsi="Cambria Math"/>
                <w:sz w:val="20"/>
                <w:szCs w:val="20"/>
              </w:rPr>
              <w:t>1</w:t>
            </w:r>
            <w:r w:rsidRPr="00080C87">
              <w:rPr>
                <w:rFonts w:ascii="Cambria Math" w:hAnsi="Cambria Math"/>
                <w:sz w:val="20"/>
                <w:szCs w:val="20"/>
              </w:rPr>
              <w:t>)</w:t>
            </w:r>
          </w:p>
        </w:tc>
      </w:tr>
      <w:tr w:rsidR="00F93DDA" w:rsidRPr="005D26DD" w:rsidTr="00234829">
        <w:tc>
          <w:tcPr>
            <w:tcW w:w="9167" w:type="dxa"/>
            <w:shd w:val="clear" w:color="auto" w:fill="D9F3E6"/>
          </w:tcPr>
          <w:p w:rsidR="00F93DDA" w:rsidRPr="00080C87" w:rsidRDefault="00F93DDA" w:rsidP="00941310">
            <w:pPr>
              <w:rPr>
                <w:rFonts w:ascii="Cambria Math" w:hAnsi="Cambria Math"/>
                <w:sz w:val="20"/>
                <w:szCs w:val="20"/>
              </w:rPr>
            </w:pPr>
            <w:r w:rsidRPr="00080C87">
              <w:rPr>
                <w:rFonts w:ascii="Cambria Math" w:hAnsi="Cambria Math"/>
                <w:sz w:val="20"/>
                <w:szCs w:val="20"/>
              </w:rPr>
              <w:t xml:space="preserve">      </w:t>
            </w:r>
            <w:r w:rsidR="002F5EB4" w:rsidRPr="00080C87">
              <w:rPr>
                <w:rFonts w:ascii="Cambria Math" w:hAnsi="Cambria Math"/>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m:t>
                  </m:r>
                </m:sub>
                <m:sup>
                  <m:r>
                    <w:rPr>
                      <w:rFonts w:ascii="Cambria Math" w:hAnsi="Cambria Math"/>
                      <w:sz w:val="20"/>
                      <w:szCs w:val="20"/>
                    </w:rPr>
                    <m:t>c</m:t>
                  </m:r>
                </m:sup>
              </m:sSubSup>
            </m:oMath>
            <w:r w:rsidR="00941310">
              <w:rPr>
                <w:rFonts w:ascii="Cambria Math" w:eastAsiaTheme="minorEastAsia" w:hAnsi="Cambria Math"/>
                <w:sz w:val="20"/>
                <w:szCs w:val="20"/>
              </w:rPr>
              <w:t xml:space="preserve"> </w:t>
            </w:r>
            <w:r w:rsidRPr="00080C87">
              <w:rPr>
                <w:rFonts w:ascii="Cambria Math" w:hAnsi="Cambria Math"/>
                <w:sz w:val="20"/>
                <w:szCs w:val="20"/>
              </w:rPr>
              <w:t xml:space="preserve">is the </w:t>
            </w:r>
            <w:r w:rsidR="00941310">
              <w:rPr>
                <w:rFonts w:ascii="Cambria Math" w:hAnsi="Cambria Math"/>
                <w:sz w:val="20"/>
                <w:szCs w:val="20"/>
              </w:rPr>
              <w:t xml:space="preserve">relative </w:t>
            </w:r>
            <w:r w:rsidRPr="00080C87">
              <w:rPr>
                <w:rFonts w:ascii="Cambria Math" w:hAnsi="Cambria Math"/>
                <w:sz w:val="20"/>
                <w:szCs w:val="20"/>
              </w:rPr>
              <w:t xml:space="preserve">cost </w:t>
            </w:r>
            <w:r w:rsidR="00941310">
              <w:rPr>
                <w:rFonts w:ascii="Cambria Math" w:hAnsi="Cambria Math"/>
                <w:sz w:val="20"/>
                <w:szCs w:val="20"/>
              </w:rPr>
              <w:t xml:space="preserve">of building capital </w:t>
            </w:r>
            <w:r w:rsidRPr="00080C87">
              <w:rPr>
                <w:rFonts w:ascii="Cambria Math" w:hAnsi="Cambria Math"/>
                <w:sz w:val="20"/>
                <w:szCs w:val="20"/>
              </w:rPr>
              <w:t xml:space="preserve">for State </w:t>
            </w:r>
            <w:proofErr w:type="spellStart"/>
            <w:r w:rsidRPr="00080C87">
              <w:rPr>
                <w:rFonts w:ascii="Cambria Math" w:hAnsi="Cambria Math"/>
                <w:sz w:val="20"/>
                <w:szCs w:val="20"/>
              </w:rPr>
              <w:t>i</w:t>
            </w:r>
            <w:proofErr w:type="spellEnd"/>
            <w:r w:rsidRPr="00080C87">
              <w:rPr>
                <w:rFonts w:ascii="Cambria Math" w:hAnsi="Cambria Math"/>
                <w:sz w:val="20"/>
                <w:szCs w:val="20"/>
              </w:rPr>
              <w:t xml:space="preserve"> </w:t>
            </w:r>
            <w:r w:rsidR="00941310">
              <w:rPr>
                <w:rFonts w:ascii="Cambria Math" w:hAnsi="Cambria Math"/>
                <w:sz w:val="20"/>
                <w:szCs w:val="20"/>
              </w:rPr>
              <w:t>across the year</w:t>
            </w:r>
          </w:p>
        </w:tc>
      </w:tr>
      <w:tr w:rsidR="00F93DDA" w:rsidRPr="005D26DD" w:rsidTr="00234829">
        <w:tc>
          <w:tcPr>
            <w:tcW w:w="9167" w:type="dxa"/>
            <w:shd w:val="clear" w:color="auto" w:fill="D9F3E6"/>
          </w:tcPr>
          <w:p w:rsidR="00F93DDA" w:rsidRPr="00080C87" w:rsidRDefault="00F93DDA" w:rsidP="00D24738">
            <w:pPr>
              <w:rPr>
                <w:rFonts w:ascii="Cambria Math" w:hAnsi="Cambria Math"/>
                <w:sz w:val="20"/>
                <w:szCs w:val="20"/>
              </w:rPr>
            </w:pPr>
            <w:r w:rsidRPr="00080C87">
              <w:rPr>
                <w:rFonts w:ascii="Cambria Math" w:hAnsi="Cambria Math"/>
                <w:sz w:val="20"/>
                <w:szCs w:val="20"/>
              </w:rPr>
              <w:t xml:space="preserve">      </w:t>
            </w:r>
            <w:r w:rsidR="002F5EB4" w:rsidRPr="00080C87">
              <w:rPr>
                <w:rFonts w:ascii="Cambria Math" w:hAnsi="Cambria Math"/>
                <w:sz w:val="20"/>
                <w:szCs w:val="20"/>
              </w:rPr>
              <w:t xml:space="preserve">  </w:t>
            </w:r>
            <w:r w:rsidR="0004308F" w:rsidRPr="00080C87">
              <w:rPr>
                <w:rFonts w:ascii="Cambria Math" w:hAnsi="Cambria Math"/>
                <w:sz w:val="20"/>
                <w:szCs w:val="20"/>
              </w:rPr>
              <w:t>p</w:t>
            </w:r>
            <w:r w:rsidRPr="00080C87">
              <w:rPr>
                <w:rFonts w:ascii="Cambria Math" w:hAnsi="Cambria Math"/>
                <w:sz w:val="20"/>
                <w:szCs w:val="20"/>
                <w:vertAlign w:val="subscript"/>
              </w:rPr>
              <w:t>i,1</w:t>
            </w:r>
            <w:r w:rsidRPr="00080C87">
              <w:rPr>
                <w:rFonts w:ascii="Cambria Math" w:hAnsi="Cambria Math"/>
                <w:sz w:val="20"/>
                <w:szCs w:val="20"/>
              </w:rPr>
              <w:t xml:space="preserve">  and p</w:t>
            </w:r>
            <w:r w:rsidRPr="00080C87">
              <w:rPr>
                <w:rFonts w:ascii="Cambria Math" w:hAnsi="Cambria Math"/>
                <w:sz w:val="20"/>
                <w:szCs w:val="20"/>
                <w:vertAlign w:val="subscript"/>
              </w:rPr>
              <w:t>i,0</w:t>
            </w:r>
            <w:r w:rsidRPr="00080C87">
              <w:rPr>
                <w:rFonts w:ascii="Cambria Math" w:hAnsi="Cambria Math"/>
                <w:sz w:val="20"/>
                <w:szCs w:val="20"/>
              </w:rPr>
              <w:t xml:space="preserve">  are the populations of State </w:t>
            </w:r>
            <w:proofErr w:type="spellStart"/>
            <w:r w:rsidRPr="00080C87">
              <w:rPr>
                <w:rFonts w:ascii="Cambria Math" w:hAnsi="Cambria Math"/>
                <w:sz w:val="20"/>
                <w:szCs w:val="20"/>
              </w:rPr>
              <w:t>i</w:t>
            </w:r>
            <w:proofErr w:type="spellEnd"/>
            <w:r w:rsidRPr="00080C87">
              <w:rPr>
                <w:rFonts w:ascii="Cambria Math" w:hAnsi="Cambria Math"/>
                <w:sz w:val="20"/>
                <w:szCs w:val="20"/>
              </w:rPr>
              <w:t xml:space="preserve"> at the end and the start of the year</w:t>
            </w:r>
          </w:p>
        </w:tc>
      </w:tr>
      <w:tr w:rsidR="00F93DDA" w:rsidRPr="005D26DD" w:rsidTr="00234829">
        <w:tc>
          <w:tcPr>
            <w:tcW w:w="9167" w:type="dxa"/>
            <w:shd w:val="clear" w:color="auto" w:fill="D9F3E6"/>
          </w:tcPr>
          <w:p w:rsidR="004E2C21" w:rsidRPr="00080C87" w:rsidRDefault="00F93DDA" w:rsidP="000C7F8F">
            <w:pPr>
              <w:rPr>
                <w:rFonts w:ascii="Cambria Math" w:hAnsi="Cambria Math"/>
                <w:sz w:val="20"/>
                <w:szCs w:val="20"/>
              </w:rPr>
            </w:pPr>
            <w:r w:rsidRPr="00080C87">
              <w:rPr>
                <w:rFonts w:ascii="Cambria Math" w:hAnsi="Cambria Math"/>
                <w:sz w:val="20"/>
                <w:szCs w:val="20"/>
              </w:rPr>
              <w:t xml:space="preserve">      </w:t>
            </w:r>
            <w:r w:rsidR="002F5EB4" w:rsidRPr="00080C87">
              <w:rPr>
                <w:rFonts w:ascii="Cambria Math" w:hAnsi="Cambria Math"/>
                <w:sz w:val="20"/>
                <w:szCs w:val="20"/>
              </w:rPr>
              <w:t xml:space="preserve">  </w:t>
            </w:r>
            <w:r w:rsidR="0004308F" w:rsidRPr="00080C87">
              <w:rPr>
                <w:rFonts w:ascii="Cambria Math" w:hAnsi="Cambria Math"/>
                <w:sz w:val="20"/>
                <w:szCs w:val="20"/>
              </w:rPr>
              <w:t>P</w:t>
            </w:r>
            <w:r w:rsidR="004E2C21" w:rsidRPr="00080C87">
              <w:rPr>
                <w:rFonts w:ascii="Cambria Math" w:hAnsi="Cambria Math"/>
                <w:sz w:val="20"/>
                <w:szCs w:val="20"/>
                <w:vertAlign w:val="subscript"/>
              </w:rPr>
              <w:t>1</w:t>
            </w:r>
            <w:r w:rsidR="004E2C21" w:rsidRPr="00080C87">
              <w:rPr>
                <w:rFonts w:ascii="Cambria Math" w:hAnsi="Cambria Math"/>
                <w:sz w:val="20"/>
                <w:szCs w:val="20"/>
              </w:rPr>
              <w:t xml:space="preserve">  and </w:t>
            </w:r>
            <w:r w:rsidR="0004308F" w:rsidRPr="00080C87">
              <w:rPr>
                <w:rFonts w:ascii="Cambria Math" w:hAnsi="Cambria Math"/>
                <w:sz w:val="20"/>
                <w:szCs w:val="20"/>
              </w:rPr>
              <w:t>P</w:t>
            </w:r>
            <w:r w:rsidR="004E2C21" w:rsidRPr="00080C87">
              <w:rPr>
                <w:rFonts w:ascii="Cambria Math" w:hAnsi="Cambria Math"/>
                <w:sz w:val="20"/>
                <w:szCs w:val="20"/>
                <w:vertAlign w:val="subscript"/>
              </w:rPr>
              <w:t>0</w:t>
            </w:r>
            <w:r w:rsidR="004E2C21" w:rsidRPr="00080C87">
              <w:rPr>
                <w:rFonts w:ascii="Cambria Math" w:hAnsi="Cambria Math"/>
                <w:sz w:val="20"/>
                <w:szCs w:val="20"/>
              </w:rPr>
              <w:t xml:space="preserve">  are the Australian populations at the end and the start of the year </w:t>
            </w:r>
          </w:p>
          <w:p w:rsidR="00F93DDA" w:rsidRPr="00080C87" w:rsidRDefault="004E2C21" w:rsidP="00941310">
            <w:pPr>
              <w:rPr>
                <w:rFonts w:ascii="Cambria Math" w:hAnsi="Cambria Math"/>
                <w:sz w:val="20"/>
                <w:szCs w:val="20"/>
              </w:rPr>
            </w:pPr>
            <w:r w:rsidRPr="00080C87">
              <w:rPr>
                <w:rFonts w:ascii="Cambria Math" w:hAnsi="Cambria Math"/>
                <w:sz w:val="20"/>
                <w:szCs w:val="20"/>
              </w:rPr>
              <w:t xml:space="preserve">        </w:t>
            </w:r>
            <w:proofErr w:type="gramStart"/>
            <w:r w:rsidR="00F93DDA" w:rsidRPr="00080C87">
              <w:rPr>
                <w:rFonts w:ascii="Cambria Math" w:hAnsi="Cambria Math"/>
                <w:sz w:val="20"/>
                <w:szCs w:val="20"/>
              </w:rPr>
              <w:t>K</w:t>
            </w:r>
            <w:r w:rsidR="00F93DDA" w:rsidRPr="00080C87">
              <w:rPr>
                <w:rFonts w:ascii="Cambria Math" w:hAnsi="Cambria Math"/>
                <w:sz w:val="20"/>
                <w:szCs w:val="20"/>
                <w:vertAlign w:val="subscript"/>
              </w:rPr>
              <w:t xml:space="preserve">1 </w:t>
            </w:r>
            <w:r w:rsidR="00F93DDA" w:rsidRPr="00080C87">
              <w:rPr>
                <w:rFonts w:ascii="Cambria Math" w:hAnsi="Cambria Math"/>
                <w:sz w:val="20"/>
                <w:szCs w:val="20"/>
              </w:rPr>
              <w:t xml:space="preserve"> and</w:t>
            </w:r>
            <w:proofErr w:type="gramEnd"/>
            <w:r w:rsidR="00F93DDA" w:rsidRPr="00080C87">
              <w:rPr>
                <w:rFonts w:ascii="Cambria Math" w:hAnsi="Cambria Math"/>
                <w:sz w:val="20"/>
                <w:szCs w:val="20"/>
              </w:rPr>
              <w:t xml:space="preserve"> K</w:t>
            </w:r>
            <w:r w:rsidR="00F93DDA" w:rsidRPr="00080C87">
              <w:rPr>
                <w:rFonts w:ascii="Cambria Math" w:hAnsi="Cambria Math"/>
                <w:sz w:val="20"/>
                <w:szCs w:val="20"/>
                <w:vertAlign w:val="subscript"/>
              </w:rPr>
              <w:t>0</w:t>
            </w:r>
            <w:r w:rsidR="00F93DDA" w:rsidRPr="00080C87">
              <w:rPr>
                <w:rFonts w:ascii="Cambria Math" w:hAnsi="Cambria Math"/>
                <w:sz w:val="20"/>
                <w:szCs w:val="20"/>
              </w:rPr>
              <w:t xml:space="preserve">  are the Australian total value of infrastructure stocks at the </w:t>
            </w:r>
            <w:r w:rsidRPr="00080C87">
              <w:rPr>
                <w:rFonts w:ascii="Cambria Math" w:hAnsi="Cambria Math"/>
                <w:sz w:val="20"/>
                <w:szCs w:val="20"/>
              </w:rPr>
              <w:t xml:space="preserve">end and start of the year. </w:t>
            </w:r>
            <w:r w:rsidR="00941310">
              <w:rPr>
                <w:rFonts w:ascii="Cambria Math" w:hAnsi="Cambria Math"/>
                <w:sz w:val="20"/>
                <w:szCs w:val="20"/>
              </w:rPr>
              <w:br/>
            </w:r>
            <w:r w:rsidR="00941310" w:rsidRPr="00080C87">
              <w:rPr>
                <w:rFonts w:ascii="Cambria Math" w:hAnsi="Cambria Math"/>
                <w:sz w:val="20"/>
                <w:szCs w:val="20"/>
              </w:rPr>
              <w:t xml:space="preserve">                </w:t>
            </w:r>
            <w:proofErr w:type="spellStart"/>
            <w:r w:rsidRPr="00080C87">
              <w:rPr>
                <w:rFonts w:ascii="Cambria Math" w:hAnsi="Cambria Math"/>
                <w:sz w:val="20"/>
                <w:szCs w:val="20"/>
              </w:rPr>
              <w:t>K</w:t>
            </w:r>
            <w:r w:rsidRPr="00080C87">
              <w:rPr>
                <w:rFonts w:ascii="Cambria Math" w:hAnsi="Cambria Math"/>
                <w:sz w:val="20"/>
                <w:szCs w:val="20"/>
                <w:vertAlign w:val="subscript"/>
              </w:rPr>
              <w:t>o</w:t>
            </w:r>
            <w:proofErr w:type="spellEnd"/>
            <w:r w:rsidR="00941310">
              <w:rPr>
                <w:rFonts w:ascii="Cambria Math" w:hAnsi="Cambria Math"/>
                <w:sz w:val="20"/>
                <w:szCs w:val="20"/>
              </w:rPr>
              <w:t xml:space="preserve"> is </w:t>
            </w:r>
            <w:r w:rsidRPr="00080C87">
              <w:rPr>
                <w:rFonts w:ascii="Cambria Math" w:hAnsi="Cambria Math"/>
                <w:sz w:val="20"/>
                <w:szCs w:val="20"/>
              </w:rPr>
              <w:t>calculated as K</w:t>
            </w:r>
            <w:r w:rsidRPr="00080C87">
              <w:rPr>
                <w:rFonts w:ascii="Cambria Math" w:hAnsi="Cambria Math"/>
                <w:sz w:val="20"/>
                <w:szCs w:val="20"/>
                <w:vertAlign w:val="subscript"/>
              </w:rPr>
              <w:t>1</w:t>
            </w:r>
            <w:r w:rsidRPr="00080C87">
              <w:rPr>
                <w:rFonts w:ascii="Cambria Math" w:hAnsi="Cambria Math"/>
                <w:sz w:val="20"/>
                <w:szCs w:val="20"/>
              </w:rPr>
              <w:t xml:space="preserve"> minus net investment</w:t>
            </w:r>
          </w:p>
        </w:tc>
      </w:tr>
      <w:tr w:rsidR="00F93DDA" w:rsidRPr="005D26DD" w:rsidTr="00234829">
        <w:tc>
          <w:tcPr>
            <w:tcW w:w="9167" w:type="dxa"/>
            <w:shd w:val="clear" w:color="auto" w:fill="D9F3E6"/>
          </w:tcPr>
          <w:p w:rsidR="00A80171" w:rsidRPr="00080C87" w:rsidRDefault="00F93DDA" w:rsidP="000C7F8F">
            <w:pPr>
              <w:rPr>
                <w:rFonts w:ascii="Cambria Math" w:hAnsi="Cambria Math"/>
                <w:sz w:val="20"/>
                <w:szCs w:val="20"/>
              </w:rPr>
            </w:pPr>
            <w:r w:rsidRPr="00080C87">
              <w:rPr>
                <w:rFonts w:ascii="Cambria Math" w:hAnsi="Cambria Math"/>
                <w:sz w:val="20"/>
                <w:szCs w:val="20"/>
              </w:rPr>
              <w:t xml:space="preserve">      </w:t>
            </w:r>
            <w:r w:rsidR="002F5EB4" w:rsidRPr="00080C87">
              <w:rPr>
                <w:rFonts w:ascii="Cambria Math" w:hAnsi="Cambria Math"/>
                <w:sz w:val="20"/>
                <w:szCs w:val="20"/>
              </w:rPr>
              <w:t xml:space="preserve">  </w:t>
            </w:r>
            <w:r w:rsidRPr="00080C87">
              <w:rPr>
                <w:rFonts w:ascii="Cambria Math" w:hAnsi="Cambria Math"/>
                <w:sz w:val="20"/>
                <w:szCs w:val="20"/>
              </w:rPr>
              <w:t xml:space="preserve">D </w:t>
            </w:r>
            <w:r w:rsidR="008B3B64" w:rsidRPr="00080C87">
              <w:rPr>
                <w:rFonts w:ascii="Cambria Math" w:hAnsi="Cambria Math"/>
                <w:sz w:val="20"/>
                <w:szCs w:val="20"/>
              </w:rPr>
              <w:t>is</w:t>
            </w:r>
            <w:r w:rsidRPr="00080C87">
              <w:rPr>
                <w:rFonts w:ascii="Cambria Math" w:hAnsi="Cambria Math"/>
                <w:sz w:val="20"/>
                <w:szCs w:val="20"/>
              </w:rPr>
              <w:t xml:space="preserve"> the Australian total depreciation expenses (while D is a flow, representing the depreciation</w:t>
            </w:r>
          </w:p>
          <w:p w:rsidR="00F93DDA" w:rsidRPr="00080C87" w:rsidRDefault="00A80171" w:rsidP="00941310">
            <w:pPr>
              <w:rPr>
                <w:rFonts w:ascii="Cambria Math" w:hAnsi="Cambria Math"/>
                <w:sz w:val="20"/>
                <w:szCs w:val="20"/>
              </w:rPr>
            </w:pPr>
            <w:r w:rsidRPr="00080C87">
              <w:rPr>
                <w:rFonts w:ascii="Cambria Math" w:hAnsi="Cambria Math"/>
                <w:sz w:val="20"/>
                <w:szCs w:val="20"/>
              </w:rPr>
              <w:t xml:space="preserve">        </w:t>
            </w:r>
            <w:r w:rsidR="002F1BAF">
              <w:rPr>
                <w:rFonts w:ascii="Cambria Math" w:hAnsi="Cambria Math"/>
                <w:sz w:val="20"/>
                <w:szCs w:val="20"/>
              </w:rPr>
              <w:t>through</w:t>
            </w:r>
            <w:r w:rsidR="002F5EB4" w:rsidRPr="00080C87">
              <w:rPr>
                <w:rFonts w:ascii="Cambria Math" w:hAnsi="Cambria Math"/>
                <w:sz w:val="20"/>
                <w:szCs w:val="20"/>
              </w:rPr>
              <w:t xml:space="preserve"> </w:t>
            </w:r>
            <w:r w:rsidR="00F93DDA" w:rsidRPr="00080C87">
              <w:rPr>
                <w:rFonts w:ascii="Cambria Math" w:hAnsi="Cambria Math"/>
                <w:sz w:val="20"/>
                <w:szCs w:val="20"/>
              </w:rPr>
              <w:t xml:space="preserve">the year, other elements are </w:t>
            </w:r>
            <w:r w:rsidR="008B3B64" w:rsidRPr="00080C87">
              <w:rPr>
                <w:rFonts w:ascii="Cambria Math" w:hAnsi="Cambria Math"/>
                <w:sz w:val="20"/>
                <w:szCs w:val="20"/>
              </w:rPr>
              <w:t xml:space="preserve">stocks at the </w:t>
            </w:r>
            <w:r w:rsidR="00D128DD">
              <w:rPr>
                <w:rFonts w:ascii="Cambria Math" w:hAnsi="Cambria Math"/>
                <w:sz w:val="20"/>
                <w:szCs w:val="20"/>
              </w:rPr>
              <w:t xml:space="preserve">start (t=0) or </w:t>
            </w:r>
            <w:r w:rsidR="008B3B64" w:rsidRPr="00080C87">
              <w:rPr>
                <w:rFonts w:ascii="Cambria Math" w:hAnsi="Cambria Math"/>
                <w:sz w:val="20"/>
                <w:szCs w:val="20"/>
              </w:rPr>
              <w:t>end of the year (</w:t>
            </w:r>
            <w:r w:rsidR="002E69F9" w:rsidRPr="00080C87">
              <w:rPr>
                <w:rFonts w:ascii="Cambria Math" w:hAnsi="Cambria Math"/>
                <w:sz w:val="20"/>
                <w:szCs w:val="20"/>
              </w:rPr>
              <w:t>t=1</w:t>
            </w:r>
            <w:r w:rsidR="00F93DDA" w:rsidRPr="00080C87">
              <w:rPr>
                <w:rFonts w:ascii="Cambria Math" w:hAnsi="Cambria Math"/>
                <w:sz w:val="20"/>
                <w:szCs w:val="20"/>
              </w:rPr>
              <w:t>))</w:t>
            </w:r>
          </w:p>
        </w:tc>
      </w:tr>
    </w:tbl>
    <w:p w:rsidR="00E0250B" w:rsidRDefault="00E0250B" w:rsidP="00E0250B">
      <w:pPr>
        <w:pStyle w:val="CGCNumberedPara"/>
        <w:numPr>
          <w:ilvl w:val="0"/>
          <w:numId w:val="0"/>
        </w:numPr>
        <w:ind w:left="567" w:hanging="567"/>
      </w:pPr>
      <w:r>
        <w:br w:type="page"/>
      </w:r>
    </w:p>
    <w:p w:rsidR="006D1CF3" w:rsidRDefault="002F5EB4" w:rsidP="006D1CF3">
      <w:pPr>
        <w:pStyle w:val="CGCNumberedPara"/>
      </w:pPr>
      <w:r>
        <w:lastRenderedPageBreak/>
        <w:t xml:space="preserve">Assessed net borrowing </w:t>
      </w:r>
      <w:proofErr w:type="gramStart"/>
      <w:r>
        <w:t>is calculated</w:t>
      </w:r>
      <w:proofErr w:type="gramEnd"/>
      <w:r>
        <w:t xml:space="preserve"> using the same method as assessed net investment. Net financial assets </w:t>
      </w:r>
      <w:proofErr w:type="gramStart"/>
      <w:r>
        <w:t>are</w:t>
      </w:r>
      <w:r w:rsidR="007B7BC5">
        <w:t xml:space="preserve"> used</w:t>
      </w:r>
      <w:proofErr w:type="gramEnd"/>
      <w:r w:rsidR="007B7BC5">
        <w:t xml:space="preserve"> instead of physical stock. No disabilities </w:t>
      </w:r>
      <w:r>
        <w:t>associ</w:t>
      </w:r>
      <w:r w:rsidR="007B7BC5">
        <w:t xml:space="preserve">ated with the quantity and </w:t>
      </w:r>
      <w:proofErr w:type="gramStart"/>
      <w:r w:rsidR="007B7BC5">
        <w:t xml:space="preserve">cost </w:t>
      </w:r>
      <w:r>
        <w:t>of financial asse</w:t>
      </w:r>
      <w:r w:rsidR="007B7BC5">
        <w:t>ts</w:t>
      </w:r>
      <w:r w:rsidR="008B25D7">
        <w:t xml:space="preserve"> are</w:t>
      </w:r>
      <w:proofErr w:type="gramEnd"/>
      <w:r w:rsidR="008B25D7">
        <w:t xml:space="preserve"> recognised</w:t>
      </w:r>
      <w:r w:rsidR="007B7BC5">
        <w:t xml:space="preserve">. </w:t>
      </w:r>
      <w:r>
        <w:t>The box below shows the algebraic expression for the assessment of financial assets.</w:t>
      </w:r>
    </w:p>
    <w:tbl>
      <w:tblPr>
        <w:tblW w:w="9167" w:type="dxa"/>
        <w:shd w:val="clear" w:color="auto" w:fill="D9F3E6"/>
        <w:tblLayout w:type="fixed"/>
        <w:tblLook w:val="0000" w:firstRow="0" w:lastRow="0" w:firstColumn="0" w:lastColumn="0" w:noHBand="0" w:noVBand="0"/>
      </w:tblPr>
      <w:tblGrid>
        <w:gridCol w:w="9167"/>
      </w:tblGrid>
      <w:tr w:rsidR="002F5EB4" w:rsidRPr="005D26DD" w:rsidTr="00E0250B">
        <w:tc>
          <w:tcPr>
            <w:tcW w:w="9167" w:type="dxa"/>
            <w:shd w:val="clear" w:color="auto" w:fill="D9F3E6"/>
          </w:tcPr>
          <w:p w:rsidR="002F5EB4" w:rsidRPr="00A80171" w:rsidRDefault="00A80171" w:rsidP="008B3B64">
            <w:pPr>
              <w:rPr>
                <w:sz w:val="20"/>
                <w:szCs w:val="20"/>
              </w:rPr>
            </w:pPr>
            <m:oMathPara>
              <m:oMathParaPr>
                <m:jc m:val="center"/>
              </m:oMathParaPr>
              <m:oMath>
                <m:r>
                  <m:rPr>
                    <m:sty m:val="p"/>
                  </m:rPr>
                  <w:rPr>
                    <w:rFonts w:ascii="Cambria Math" w:hAnsi="Cambria Math"/>
                    <w:sz w:val="20"/>
                    <w:szCs w:val="20"/>
                  </w:rPr>
                  <m:t xml:space="preserve">Assessed Net borrowing= </m:t>
                </m:r>
                <m:d>
                  <m:dPr>
                    <m:begChr m:val="["/>
                    <m:endChr m:val="]"/>
                    <m:ctrlPr>
                      <w:rPr>
                        <w:rFonts w:ascii="Cambria Math" w:hAnsi="Cambria Math"/>
                        <w:sz w:val="20"/>
                        <w:szCs w:val="20"/>
                      </w:rPr>
                    </m:ctrlPr>
                  </m:dPr>
                  <m:e>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den>
                        </m:f>
                      </m:e>
                    </m:d>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i,1</m:t>
                        </m:r>
                      </m:sub>
                    </m:sSub>
                    <m:r>
                      <m:rPr>
                        <m:sty m:val="p"/>
                      </m:rPr>
                      <w:rPr>
                        <w:rFonts w:ascii="Cambria Math" w:hAnsi="Cambria Math"/>
                        <w:sz w:val="20"/>
                        <w:szCs w:val="20"/>
                      </w:rPr>
                      <m:t>-</m:t>
                    </m:r>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den>
                        </m:f>
                      </m:e>
                    </m:d>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i,0</m:t>
                        </m:r>
                      </m:sub>
                    </m:sSub>
                  </m:e>
                </m:d>
              </m:oMath>
            </m:oMathPara>
          </w:p>
        </w:tc>
      </w:tr>
      <w:tr w:rsidR="002F5EB4" w:rsidRPr="005D26DD" w:rsidTr="00E0250B">
        <w:tc>
          <w:tcPr>
            <w:tcW w:w="9167" w:type="dxa"/>
            <w:shd w:val="clear" w:color="auto" w:fill="D9F3E6"/>
          </w:tcPr>
          <w:p w:rsidR="002F5EB4" w:rsidRPr="00080C87" w:rsidRDefault="002F5EB4" w:rsidP="002F5EB4">
            <w:pPr>
              <w:rPr>
                <w:rFonts w:ascii="Cambria Math" w:hAnsi="Cambria Math"/>
                <w:sz w:val="20"/>
                <w:szCs w:val="20"/>
              </w:rPr>
            </w:pPr>
            <w:r w:rsidRPr="00080C87">
              <w:rPr>
                <w:rFonts w:ascii="Cambria Math" w:hAnsi="Cambria Math"/>
                <w:sz w:val="20"/>
                <w:szCs w:val="20"/>
              </w:rPr>
              <w:t xml:space="preserve">Where: </w:t>
            </w:r>
          </w:p>
        </w:tc>
      </w:tr>
      <w:tr w:rsidR="002F5EB4" w:rsidRPr="005D26DD" w:rsidTr="00E0250B">
        <w:tc>
          <w:tcPr>
            <w:tcW w:w="9167" w:type="dxa"/>
            <w:shd w:val="clear" w:color="auto" w:fill="D9F3E6"/>
          </w:tcPr>
          <w:p w:rsidR="002F5EB4" w:rsidRPr="00080C87" w:rsidRDefault="002F5EB4" w:rsidP="000C7F8F">
            <w:pPr>
              <w:rPr>
                <w:rFonts w:ascii="Cambria Math" w:hAnsi="Cambria Math"/>
                <w:sz w:val="20"/>
                <w:szCs w:val="20"/>
              </w:rPr>
            </w:pPr>
            <w:r w:rsidRPr="00080C87">
              <w:rPr>
                <w:rFonts w:ascii="Cambria Math" w:hAnsi="Cambria Math"/>
                <w:sz w:val="20"/>
                <w:szCs w:val="20"/>
              </w:rPr>
              <w:t xml:space="preserve">      p</w:t>
            </w:r>
            <w:r w:rsidRPr="00080C87">
              <w:rPr>
                <w:rFonts w:ascii="Cambria Math" w:hAnsi="Cambria Math"/>
                <w:sz w:val="20"/>
                <w:szCs w:val="20"/>
                <w:vertAlign w:val="subscript"/>
              </w:rPr>
              <w:t>i,1</w:t>
            </w:r>
            <w:r w:rsidRPr="00080C87">
              <w:rPr>
                <w:rFonts w:ascii="Cambria Math" w:hAnsi="Cambria Math"/>
                <w:sz w:val="20"/>
                <w:szCs w:val="20"/>
              </w:rPr>
              <w:t xml:space="preserve">  and p</w:t>
            </w:r>
            <w:r w:rsidRPr="00080C87">
              <w:rPr>
                <w:rFonts w:ascii="Cambria Math" w:hAnsi="Cambria Math"/>
                <w:sz w:val="20"/>
                <w:szCs w:val="20"/>
                <w:vertAlign w:val="subscript"/>
              </w:rPr>
              <w:t>i,0</w:t>
            </w:r>
            <w:r w:rsidRPr="00080C87">
              <w:rPr>
                <w:rFonts w:ascii="Cambria Math" w:hAnsi="Cambria Math"/>
                <w:sz w:val="20"/>
                <w:szCs w:val="20"/>
              </w:rPr>
              <w:t xml:space="preserve">  are the populations of State </w:t>
            </w:r>
            <w:proofErr w:type="spellStart"/>
            <w:r w:rsidRPr="00080C87">
              <w:rPr>
                <w:rFonts w:ascii="Cambria Math" w:hAnsi="Cambria Math"/>
                <w:sz w:val="20"/>
                <w:szCs w:val="20"/>
              </w:rPr>
              <w:t>i</w:t>
            </w:r>
            <w:proofErr w:type="spellEnd"/>
            <w:r w:rsidRPr="00080C87">
              <w:rPr>
                <w:rFonts w:ascii="Cambria Math" w:hAnsi="Cambria Math"/>
                <w:sz w:val="20"/>
                <w:szCs w:val="20"/>
              </w:rPr>
              <w:t xml:space="preserve"> at the end and the start of the year</w:t>
            </w:r>
          </w:p>
        </w:tc>
      </w:tr>
      <w:tr w:rsidR="002F5EB4" w:rsidRPr="005D26DD" w:rsidTr="00E0250B">
        <w:tc>
          <w:tcPr>
            <w:tcW w:w="9167" w:type="dxa"/>
            <w:shd w:val="clear" w:color="auto" w:fill="D9F3E6"/>
          </w:tcPr>
          <w:p w:rsidR="004E2C21" w:rsidRPr="00080C87" w:rsidRDefault="002F5EB4" w:rsidP="000C7F8F">
            <w:pPr>
              <w:rPr>
                <w:rFonts w:ascii="Cambria Math" w:hAnsi="Cambria Math"/>
                <w:sz w:val="20"/>
                <w:szCs w:val="20"/>
              </w:rPr>
            </w:pPr>
            <w:r w:rsidRPr="00080C87">
              <w:rPr>
                <w:rFonts w:ascii="Cambria Math" w:hAnsi="Cambria Math"/>
                <w:sz w:val="20"/>
                <w:szCs w:val="20"/>
              </w:rPr>
              <w:t xml:space="preserve">      </w:t>
            </w:r>
            <w:r w:rsidR="008B3B64" w:rsidRPr="00080C87">
              <w:rPr>
                <w:rFonts w:ascii="Cambria Math" w:hAnsi="Cambria Math"/>
                <w:sz w:val="20"/>
                <w:szCs w:val="20"/>
              </w:rPr>
              <w:t>P</w:t>
            </w:r>
            <w:r w:rsidR="004E2C21" w:rsidRPr="00080C87">
              <w:rPr>
                <w:rFonts w:ascii="Cambria Math" w:hAnsi="Cambria Math"/>
                <w:sz w:val="20"/>
                <w:szCs w:val="20"/>
                <w:vertAlign w:val="subscript"/>
              </w:rPr>
              <w:t>1</w:t>
            </w:r>
            <w:r w:rsidR="004E2C21" w:rsidRPr="00080C87">
              <w:rPr>
                <w:rFonts w:ascii="Cambria Math" w:hAnsi="Cambria Math"/>
                <w:sz w:val="20"/>
                <w:szCs w:val="20"/>
              </w:rPr>
              <w:t xml:space="preserve">  and </w:t>
            </w:r>
            <w:r w:rsidR="008B3B64" w:rsidRPr="00080C87">
              <w:rPr>
                <w:rFonts w:ascii="Cambria Math" w:hAnsi="Cambria Math"/>
                <w:sz w:val="20"/>
                <w:szCs w:val="20"/>
              </w:rPr>
              <w:t>P</w:t>
            </w:r>
            <w:r w:rsidR="004E2C21" w:rsidRPr="00080C87">
              <w:rPr>
                <w:rFonts w:ascii="Cambria Math" w:hAnsi="Cambria Math"/>
                <w:sz w:val="20"/>
                <w:szCs w:val="20"/>
                <w:vertAlign w:val="subscript"/>
              </w:rPr>
              <w:t>0</w:t>
            </w:r>
            <w:r w:rsidR="004E2C21" w:rsidRPr="00080C87">
              <w:rPr>
                <w:rFonts w:ascii="Cambria Math" w:hAnsi="Cambria Math"/>
                <w:sz w:val="20"/>
                <w:szCs w:val="20"/>
              </w:rPr>
              <w:t xml:space="preserve">  are the Australian populations at the end and the start of the year </w:t>
            </w:r>
          </w:p>
          <w:p w:rsidR="004E2C21" w:rsidRPr="00080C87" w:rsidRDefault="004E2C21" w:rsidP="00941310">
            <w:pPr>
              <w:rPr>
                <w:rFonts w:ascii="Cambria Math" w:hAnsi="Cambria Math"/>
                <w:sz w:val="20"/>
                <w:szCs w:val="20"/>
              </w:rPr>
            </w:pPr>
            <w:r w:rsidRPr="00080C87">
              <w:rPr>
                <w:rFonts w:ascii="Cambria Math" w:hAnsi="Cambria Math"/>
                <w:sz w:val="20"/>
                <w:szCs w:val="20"/>
              </w:rPr>
              <w:t xml:space="preserve">      </w:t>
            </w:r>
            <w:r w:rsidR="002F5EB4" w:rsidRPr="00080C87">
              <w:rPr>
                <w:rFonts w:ascii="Cambria Math" w:hAnsi="Cambria Math"/>
                <w:sz w:val="20"/>
                <w:szCs w:val="20"/>
              </w:rPr>
              <w:t>K</w:t>
            </w:r>
            <w:r w:rsidR="002F5EB4" w:rsidRPr="00080C87">
              <w:rPr>
                <w:rFonts w:ascii="Cambria Math" w:hAnsi="Cambria Math"/>
                <w:sz w:val="20"/>
                <w:szCs w:val="20"/>
                <w:vertAlign w:val="subscript"/>
              </w:rPr>
              <w:t xml:space="preserve">1 </w:t>
            </w:r>
            <w:r w:rsidR="002F5EB4" w:rsidRPr="00080C87">
              <w:rPr>
                <w:rFonts w:ascii="Cambria Math" w:hAnsi="Cambria Math"/>
                <w:sz w:val="20"/>
                <w:szCs w:val="20"/>
              </w:rPr>
              <w:t xml:space="preserve"> and K</w:t>
            </w:r>
            <w:r w:rsidR="002F5EB4" w:rsidRPr="00080C87">
              <w:rPr>
                <w:rFonts w:ascii="Cambria Math" w:hAnsi="Cambria Math"/>
                <w:sz w:val="20"/>
                <w:szCs w:val="20"/>
                <w:vertAlign w:val="subscript"/>
              </w:rPr>
              <w:t>0</w:t>
            </w:r>
            <w:r w:rsidR="002F5EB4" w:rsidRPr="00080C87">
              <w:rPr>
                <w:rFonts w:ascii="Cambria Math" w:hAnsi="Cambria Math"/>
                <w:sz w:val="20"/>
                <w:szCs w:val="20"/>
              </w:rPr>
              <w:t xml:space="preserve">  are the Australian total value of financial asset stocks at the </w:t>
            </w:r>
            <w:r w:rsidRPr="00080C87">
              <w:rPr>
                <w:rFonts w:ascii="Cambria Math" w:hAnsi="Cambria Math"/>
                <w:sz w:val="20"/>
                <w:szCs w:val="20"/>
              </w:rPr>
              <w:t>end and start of the year</w:t>
            </w:r>
            <w:r w:rsidR="00941310">
              <w:rPr>
                <w:rFonts w:ascii="Cambria Math" w:hAnsi="Cambria Math"/>
                <w:sz w:val="20"/>
                <w:szCs w:val="20"/>
              </w:rPr>
              <w:t>,</w:t>
            </w:r>
            <w:r w:rsidRPr="00080C87">
              <w:rPr>
                <w:rFonts w:ascii="Cambria Math" w:hAnsi="Cambria Math"/>
                <w:sz w:val="20"/>
                <w:szCs w:val="20"/>
              </w:rPr>
              <w:t xml:space="preserve"> </w:t>
            </w:r>
            <w:r w:rsidR="00941310">
              <w:rPr>
                <w:rFonts w:ascii="Cambria Math" w:hAnsi="Cambria Math"/>
                <w:sz w:val="20"/>
                <w:szCs w:val="20"/>
              </w:rPr>
              <w:br/>
            </w:r>
            <w:r w:rsidR="00941310" w:rsidRPr="00080C87">
              <w:rPr>
                <w:rFonts w:ascii="Cambria Math" w:hAnsi="Cambria Math"/>
                <w:sz w:val="20"/>
                <w:szCs w:val="20"/>
              </w:rPr>
              <w:t xml:space="preserve">            </w:t>
            </w:r>
            <w:r w:rsidRPr="00080C87">
              <w:rPr>
                <w:rFonts w:ascii="Cambria Math" w:hAnsi="Cambria Math"/>
                <w:sz w:val="20"/>
                <w:szCs w:val="20"/>
              </w:rPr>
              <w:t>K</w:t>
            </w:r>
            <w:r w:rsidRPr="00080C87">
              <w:rPr>
                <w:rFonts w:ascii="Cambria Math" w:hAnsi="Cambria Math"/>
                <w:sz w:val="20"/>
                <w:szCs w:val="20"/>
                <w:vertAlign w:val="subscript"/>
              </w:rPr>
              <w:t xml:space="preserve">0 </w:t>
            </w:r>
            <w:r w:rsidRPr="00080C87">
              <w:rPr>
                <w:rFonts w:ascii="Cambria Math" w:hAnsi="Cambria Math"/>
                <w:sz w:val="20"/>
                <w:szCs w:val="20"/>
              </w:rPr>
              <w:t>is</w:t>
            </w:r>
            <w:r w:rsidR="00941310">
              <w:rPr>
                <w:rFonts w:ascii="Cambria Math" w:hAnsi="Cambria Math"/>
                <w:sz w:val="20"/>
                <w:szCs w:val="20"/>
              </w:rPr>
              <w:t xml:space="preserve"> </w:t>
            </w:r>
            <w:r w:rsidRPr="00080C87">
              <w:rPr>
                <w:rFonts w:ascii="Cambria Math" w:hAnsi="Cambria Math"/>
                <w:sz w:val="20"/>
                <w:szCs w:val="20"/>
              </w:rPr>
              <w:t>calculated as K</w:t>
            </w:r>
            <w:r w:rsidRPr="00080C87">
              <w:rPr>
                <w:rFonts w:ascii="Cambria Math" w:hAnsi="Cambria Math"/>
                <w:sz w:val="20"/>
                <w:szCs w:val="20"/>
                <w:vertAlign w:val="subscript"/>
              </w:rPr>
              <w:t>1</w:t>
            </w:r>
            <w:r w:rsidRPr="00080C87">
              <w:rPr>
                <w:rFonts w:ascii="Cambria Math" w:hAnsi="Cambria Math"/>
                <w:sz w:val="20"/>
                <w:szCs w:val="20"/>
              </w:rPr>
              <w:t xml:space="preserve"> minus net lending</w:t>
            </w:r>
          </w:p>
        </w:tc>
      </w:tr>
    </w:tbl>
    <w:p w:rsidR="00E42394" w:rsidRPr="00C3140C" w:rsidRDefault="00E42394" w:rsidP="00E42394">
      <w:pPr>
        <w:pStyle w:val="Heading4"/>
      </w:pPr>
      <w:bookmarkStart w:id="27" w:name="_Toc508716597"/>
      <w:bookmarkStart w:id="28" w:name="_Toc508716713"/>
      <w:bookmarkStart w:id="29" w:name="_Toc508716867"/>
      <w:bookmarkStart w:id="30" w:name="_Toc511816984"/>
      <w:r w:rsidRPr="00C3140C">
        <w:t>Category and component expenses</w:t>
      </w:r>
      <w:bookmarkEnd w:id="27"/>
      <w:bookmarkEnd w:id="28"/>
      <w:bookmarkEnd w:id="29"/>
      <w:bookmarkEnd w:id="30"/>
    </w:p>
    <w:bookmarkStart w:id="31" w:name="_Ref506903555"/>
    <w:bookmarkStart w:id="32" w:name="_Ref506903537"/>
    <w:p w:rsidR="00035FB7" w:rsidRDefault="00035FB7" w:rsidP="00035FB7">
      <w:pPr>
        <w:pStyle w:val="CGCNumberedPara"/>
      </w:pPr>
      <w:r>
        <w:fldChar w:fldCharType="begin"/>
      </w:r>
      <w:r>
        <w:instrText xml:space="preserve"> REF _Ref506994107 \h </w:instrText>
      </w:r>
      <w:r>
        <w:fldChar w:fldCharType="separate"/>
      </w:r>
      <w:r w:rsidR="00402501">
        <w:t xml:space="preserve">Table </w:t>
      </w:r>
      <w:proofErr w:type="gramStart"/>
      <w:r w:rsidR="00402501">
        <w:rPr>
          <w:noProof/>
        </w:rPr>
        <w:t>1</w:t>
      </w:r>
      <w:r>
        <w:fldChar w:fldCharType="end"/>
      </w:r>
      <w:r>
        <w:t xml:space="preserve"> shows</w:t>
      </w:r>
      <w:proofErr w:type="gramEnd"/>
      <w:r>
        <w:t xml:space="preserve"> that States</w:t>
      </w:r>
      <w:r w:rsidR="00506F74">
        <w:t>’</w:t>
      </w:r>
      <w:r>
        <w:t xml:space="preserve"> total net investment in physical assets was </w:t>
      </w:r>
      <w:r w:rsidR="003B5CCA">
        <w:t xml:space="preserve">close to </w:t>
      </w:r>
      <w:r>
        <w:t>$14</w:t>
      </w:r>
      <w:r w:rsidR="003B5CCA">
        <w:t> </w:t>
      </w:r>
      <w:r>
        <w:t>billion in 2016-17, with about half of that in urban transport. The total value of States</w:t>
      </w:r>
      <w:r w:rsidR="00506F74">
        <w:t>’</w:t>
      </w:r>
      <w:r>
        <w:t xml:space="preserve"> physical assets, as shown in </w:t>
      </w:r>
      <w:r>
        <w:fldChar w:fldCharType="begin"/>
      </w:r>
      <w:r>
        <w:instrText xml:space="preserve"> REF _Ref506994268 \h </w:instrText>
      </w:r>
      <w:r>
        <w:fldChar w:fldCharType="separate"/>
      </w:r>
      <w:r w:rsidR="00402501">
        <w:t xml:space="preserve">Table </w:t>
      </w:r>
      <w:r w:rsidR="00402501">
        <w:rPr>
          <w:noProof/>
        </w:rPr>
        <w:t>2</w:t>
      </w:r>
      <w:r>
        <w:fldChar w:fldCharType="end"/>
      </w:r>
      <w:r>
        <w:t>, is over half a trillion dollars.</w:t>
      </w:r>
    </w:p>
    <w:p w:rsidR="00F83306" w:rsidRDefault="00F83306" w:rsidP="00E71B7E">
      <w:pPr>
        <w:pStyle w:val="CGCTableHeading"/>
      </w:pPr>
      <w:bookmarkStart w:id="33" w:name="_Ref506994107"/>
      <w:r>
        <w:t xml:space="preserve">Table </w:t>
      </w:r>
      <w:r w:rsidR="00402501">
        <w:fldChar w:fldCharType="begin"/>
      </w:r>
      <w:r w:rsidR="00402501">
        <w:instrText xml:space="preserve"> SEQ Table \* ARABIC </w:instrText>
      </w:r>
      <w:r w:rsidR="00402501">
        <w:fldChar w:fldCharType="separate"/>
      </w:r>
      <w:r w:rsidR="00402501">
        <w:rPr>
          <w:noProof/>
        </w:rPr>
        <w:t>1</w:t>
      </w:r>
      <w:r w:rsidR="00402501">
        <w:rPr>
          <w:noProof/>
        </w:rPr>
        <w:fldChar w:fldCharType="end"/>
      </w:r>
      <w:bookmarkEnd w:id="31"/>
      <w:bookmarkEnd w:id="33"/>
      <w:r>
        <w:tab/>
      </w:r>
      <w:r w:rsidR="00885BD4">
        <w:t>Investment</w:t>
      </w:r>
      <w:r w:rsidR="0039352C">
        <w:t>, depreciation</w:t>
      </w:r>
      <w:r w:rsidR="009A367A">
        <w:t xml:space="preserve"> </w:t>
      </w:r>
      <w:r w:rsidR="00096A0F">
        <w:t>and net borrowing</w:t>
      </w:r>
      <w:r w:rsidRPr="00F83306">
        <w:t xml:space="preserve">, </w:t>
      </w:r>
      <w:r w:rsidR="009A367A">
        <w:t>2014-15 to 2016-17</w:t>
      </w:r>
      <w:bookmarkEnd w:id="32"/>
    </w:p>
    <w:tbl>
      <w:tblPr>
        <w:tblW w:w="8946" w:type="dxa"/>
        <w:tblInd w:w="93" w:type="dxa"/>
        <w:tblLook w:val="04A0" w:firstRow="1" w:lastRow="0" w:firstColumn="1" w:lastColumn="0" w:noHBand="0" w:noVBand="1"/>
      </w:tblPr>
      <w:tblGrid>
        <w:gridCol w:w="2850"/>
        <w:gridCol w:w="1418"/>
        <w:gridCol w:w="1276"/>
        <w:gridCol w:w="1275"/>
        <w:gridCol w:w="1276"/>
        <w:gridCol w:w="851"/>
      </w:tblGrid>
      <w:tr w:rsidR="008B3B64" w:rsidRPr="00861CC5" w:rsidTr="008B3B64">
        <w:trPr>
          <w:trHeight w:val="375"/>
        </w:trPr>
        <w:tc>
          <w:tcPr>
            <w:tcW w:w="2850" w:type="dxa"/>
            <w:tcBorders>
              <w:top w:val="single" w:sz="4" w:space="0" w:color="auto"/>
              <w:left w:val="nil"/>
              <w:bottom w:val="single" w:sz="4" w:space="0" w:color="auto"/>
              <w:right w:val="nil"/>
            </w:tcBorders>
            <w:shd w:val="clear" w:color="auto" w:fill="auto"/>
            <w:vAlign w:val="bottom"/>
            <w:hideMark/>
          </w:tcPr>
          <w:p w:rsidR="008B3B64" w:rsidRPr="00861CC5" w:rsidRDefault="008B3B64" w:rsidP="00861CC5">
            <w:pPr>
              <w:tabs>
                <w:tab w:val="clear" w:pos="567"/>
              </w:tabs>
              <w:spacing w:after="0" w:line="240" w:lineRule="auto"/>
              <w:jc w:val="right"/>
              <w:rPr>
                <w:rFonts w:ascii="Calibri" w:eastAsia="Times New Roman" w:hAnsi="Calibri" w:cs="Times New Roman"/>
                <w:sz w:val="20"/>
                <w:szCs w:val="20"/>
                <w:lang w:eastAsia="en-AU"/>
              </w:rPr>
            </w:pPr>
            <w:bookmarkStart w:id="34" w:name="RANGE!A3:F15"/>
            <w:r w:rsidRPr="00861CC5">
              <w:rPr>
                <w:rFonts w:ascii="Calibri" w:eastAsia="Times New Roman" w:hAnsi="Calibri" w:cstheme="minorHAnsi"/>
                <w:sz w:val="20"/>
                <w:szCs w:val="20"/>
                <w:lang w:eastAsia="en-AU"/>
              </w:rPr>
              <w:t> </w:t>
            </w:r>
            <w:bookmarkEnd w:id="34"/>
          </w:p>
        </w:tc>
        <w:tc>
          <w:tcPr>
            <w:tcW w:w="1418" w:type="dxa"/>
            <w:tcBorders>
              <w:top w:val="single" w:sz="4" w:space="0" w:color="auto"/>
              <w:left w:val="nil"/>
              <w:bottom w:val="single" w:sz="4" w:space="0" w:color="auto"/>
              <w:right w:val="nil"/>
            </w:tcBorders>
            <w:shd w:val="clear" w:color="auto" w:fill="auto"/>
            <w:vAlign w:val="center"/>
            <w:hideMark/>
          </w:tcPr>
          <w:p w:rsidR="008B3B64" w:rsidRPr="00861CC5" w:rsidRDefault="008B3B64"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2014-15</w:t>
            </w:r>
          </w:p>
        </w:tc>
        <w:tc>
          <w:tcPr>
            <w:tcW w:w="1276" w:type="dxa"/>
            <w:tcBorders>
              <w:top w:val="single" w:sz="4" w:space="0" w:color="auto"/>
              <w:left w:val="nil"/>
              <w:bottom w:val="single" w:sz="4" w:space="0" w:color="auto"/>
              <w:right w:val="nil"/>
            </w:tcBorders>
            <w:shd w:val="clear" w:color="auto" w:fill="auto"/>
            <w:vAlign w:val="center"/>
            <w:hideMark/>
          </w:tcPr>
          <w:p w:rsidR="008B3B64" w:rsidRPr="00861CC5" w:rsidRDefault="008B3B64"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2015-16</w:t>
            </w:r>
          </w:p>
        </w:tc>
        <w:tc>
          <w:tcPr>
            <w:tcW w:w="1275" w:type="dxa"/>
            <w:tcBorders>
              <w:top w:val="single" w:sz="4" w:space="0" w:color="auto"/>
              <w:left w:val="nil"/>
              <w:bottom w:val="single" w:sz="4" w:space="0" w:color="auto"/>
              <w:right w:val="nil"/>
            </w:tcBorders>
            <w:shd w:val="clear" w:color="auto" w:fill="auto"/>
            <w:vAlign w:val="center"/>
            <w:hideMark/>
          </w:tcPr>
          <w:p w:rsidR="008B3B64" w:rsidRPr="00861CC5" w:rsidRDefault="008B3B64"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2016-17</w:t>
            </w:r>
          </w:p>
        </w:tc>
        <w:tc>
          <w:tcPr>
            <w:tcW w:w="2127" w:type="dxa"/>
            <w:gridSpan w:val="2"/>
            <w:tcBorders>
              <w:top w:val="single" w:sz="4" w:space="0" w:color="auto"/>
              <w:left w:val="nil"/>
              <w:bottom w:val="single" w:sz="4" w:space="0" w:color="auto"/>
              <w:right w:val="nil"/>
            </w:tcBorders>
            <w:shd w:val="clear" w:color="auto" w:fill="auto"/>
            <w:vAlign w:val="center"/>
            <w:hideMark/>
          </w:tcPr>
          <w:p w:rsidR="008B3B64" w:rsidRPr="00861CC5" w:rsidRDefault="008B3B64" w:rsidP="008B3B64">
            <w:pPr>
              <w:tabs>
                <w:tab w:val="clear" w:pos="567"/>
              </w:tabs>
              <w:spacing w:after="0" w:line="240" w:lineRule="auto"/>
              <w:jc w:val="center"/>
              <w:rPr>
                <w:rFonts w:ascii="Calibri" w:eastAsia="Times New Roman" w:hAnsi="Calibri" w:cs="Times New Roman"/>
                <w:sz w:val="20"/>
                <w:szCs w:val="20"/>
                <w:lang w:eastAsia="en-AU"/>
              </w:rPr>
            </w:pPr>
            <w:r>
              <w:rPr>
                <w:rFonts w:ascii="Calibri" w:eastAsia="Times New Roman" w:hAnsi="Calibri" w:cstheme="minorHAnsi"/>
                <w:sz w:val="20"/>
                <w:szCs w:val="20"/>
                <w:lang w:eastAsia="en-AU"/>
              </w:rPr>
              <w:t xml:space="preserve">                    </w:t>
            </w:r>
            <w:r w:rsidRPr="00861CC5">
              <w:rPr>
                <w:rFonts w:ascii="Calibri" w:eastAsia="Times New Roman" w:hAnsi="Calibri" w:cstheme="minorHAnsi"/>
                <w:sz w:val="20"/>
                <w:szCs w:val="20"/>
                <w:lang w:eastAsia="en-AU"/>
              </w:rPr>
              <w:t>Average</w:t>
            </w:r>
          </w:p>
        </w:tc>
      </w:tr>
      <w:tr w:rsidR="00861CC5" w:rsidRPr="00861CC5" w:rsidTr="008B3B64">
        <w:trPr>
          <w:trHeight w:val="259"/>
        </w:trPr>
        <w:tc>
          <w:tcPr>
            <w:tcW w:w="2850" w:type="dxa"/>
            <w:tcBorders>
              <w:top w:val="nil"/>
              <w:left w:val="nil"/>
              <w:bottom w:val="nil"/>
              <w:right w:val="nil"/>
            </w:tcBorders>
            <w:shd w:val="clear" w:color="auto" w:fill="auto"/>
            <w:noWrap/>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p>
        </w:tc>
        <w:tc>
          <w:tcPr>
            <w:tcW w:w="1418" w:type="dxa"/>
            <w:tcBorders>
              <w:top w:val="nil"/>
              <w:left w:val="nil"/>
              <w:bottom w:val="nil"/>
              <w:right w:val="nil"/>
            </w:tcBorders>
            <w:shd w:val="clear" w:color="auto" w:fill="auto"/>
            <w:noWrap/>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$m</w:t>
            </w:r>
          </w:p>
        </w:tc>
        <w:tc>
          <w:tcPr>
            <w:tcW w:w="1276" w:type="dxa"/>
            <w:tcBorders>
              <w:top w:val="nil"/>
              <w:left w:val="nil"/>
              <w:bottom w:val="nil"/>
              <w:right w:val="nil"/>
            </w:tcBorders>
            <w:shd w:val="clear" w:color="auto" w:fill="auto"/>
            <w:noWrap/>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$m</w:t>
            </w:r>
          </w:p>
        </w:tc>
        <w:tc>
          <w:tcPr>
            <w:tcW w:w="1275" w:type="dxa"/>
            <w:tcBorders>
              <w:top w:val="nil"/>
              <w:left w:val="nil"/>
              <w:bottom w:val="nil"/>
              <w:right w:val="nil"/>
            </w:tcBorders>
            <w:shd w:val="clear" w:color="auto" w:fill="auto"/>
            <w:noWrap/>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$m</w:t>
            </w:r>
          </w:p>
        </w:tc>
        <w:tc>
          <w:tcPr>
            <w:tcW w:w="1276" w:type="dxa"/>
            <w:tcBorders>
              <w:top w:val="nil"/>
              <w:left w:val="nil"/>
              <w:bottom w:val="nil"/>
              <w:right w:val="nil"/>
            </w:tcBorders>
            <w:shd w:val="clear" w:color="auto" w:fill="auto"/>
            <w:noWrap/>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$m</w:t>
            </w:r>
          </w:p>
        </w:tc>
        <w:tc>
          <w:tcPr>
            <w:tcW w:w="851" w:type="dxa"/>
            <w:tcBorders>
              <w:top w:val="nil"/>
              <w:left w:val="nil"/>
              <w:bottom w:val="nil"/>
              <w:right w:val="nil"/>
            </w:tcBorders>
            <w:shd w:val="clear" w:color="auto" w:fill="auto"/>
            <w:noWrap/>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w:t>
            </w: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b/>
                <w:bCs/>
                <w:sz w:val="20"/>
                <w:szCs w:val="20"/>
                <w:lang w:eastAsia="en-AU"/>
              </w:rPr>
            </w:pPr>
            <w:r w:rsidRPr="00861CC5">
              <w:rPr>
                <w:rFonts w:ascii="Calibri" w:eastAsia="Times New Roman" w:hAnsi="Calibri" w:cstheme="minorHAnsi"/>
                <w:b/>
                <w:bCs/>
                <w:sz w:val="20"/>
                <w:szCs w:val="20"/>
                <w:lang w:eastAsia="en-AU"/>
              </w:rPr>
              <w:t>Investment</w:t>
            </w:r>
          </w:p>
        </w:tc>
        <w:tc>
          <w:tcPr>
            <w:tcW w:w="1418"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p>
        </w:tc>
        <w:tc>
          <w:tcPr>
            <w:tcW w:w="1275"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p>
        </w:tc>
        <w:tc>
          <w:tcPr>
            <w:tcW w:w="851"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Roads</w:t>
            </w:r>
          </w:p>
        </w:tc>
        <w:tc>
          <w:tcPr>
            <w:tcW w:w="1418" w:type="dxa"/>
            <w:tcBorders>
              <w:top w:val="nil"/>
              <w:left w:val="nil"/>
              <w:bottom w:val="nil"/>
              <w:right w:val="nil"/>
            </w:tcBorders>
            <w:shd w:val="clear" w:color="auto" w:fill="auto"/>
            <w:vAlign w:val="bottom"/>
            <w:hideMark/>
          </w:tcPr>
          <w:p w:rsidR="00861CC5" w:rsidRPr="00861CC5" w:rsidRDefault="00EC54E8" w:rsidP="00861CC5">
            <w:pPr>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2 274</w:t>
            </w:r>
          </w:p>
        </w:tc>
        <w:tc>
          <w:tcPr>
            <w:tcW w:w="1276" w:type="dxa"/>
            <w:tcBorders>
              <w:top w:val="nil"/>
              <w:left w:val="nil"/>
              <w:bottom w:val="nil"/>
              <w:right w:val="nil"/>
            </w:tcBorders>
            <w:shd w:val="clear" w:color="auto" w:fill="auto"/>
            <w:vAlign w:val="bottom"/>
            <w:hideMark/>
          </w:tcPr>
          <w:p w:rsidR="00861CC5" w:rsidRPr="00861CC5" w:rsidRDefault="00EC54E8" w:rsidP="00861CC5">
            <w:pPr>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2 986</w:t>
            </w:r>
          </w:p>
        </w:tc>
        <w:tc>
          <w:tcPr>
            <w:tcW w:w="1275" w:type="dxa"/>
            <w:tcBorders>
              <w:top w:val="nil"/>
              <w:left w:val="nil"/>
              <w:bottom w:val="nil"/>
              <w:right w:val="nil"/>
            </w:tcBorders>
            <w:shd w:val="clear" w:color="auto" w:fill="auto"/>
            <w:vAlign w:val="bottom"/>
            <w:hideMark/>
          </w:tcPr>
          <w:p w:rsidR="00861CC5" w:rsidRPr="00861CC5" w:rsidRDefault="00EC54E8" w:rsidP="00861CC5">
            <w:pPr>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3 261</w:t>
            </w:r>
          </w:p>
        </w:tc>
        <w:tc>
          <w:tcPr>
            <w:tcW w:w="1276" w:type="dxa"/>
            <w:tcBorders>
              <w:top w:val="nil"/>
              <w:left w:val="nil"/>
              <w:bottom w:val="nil"/>
              <w:right w:val="nil"/>
            </w:tcBorders>
            <w:shd w:val="clear" w:color="auto" w:fill="auto"/>
            <w:vAlign w:val="bottom"/>
            <w:hideMark/>
          </w:tcPr>
          <w:p w:rsidR="00861CC5" w:rsidRPr="00861CC5" w:rsidRDefault="00EC54E8" w:rsidP="00861CC5">
            <w:pPr>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2 840</w:t>
            </w:r>
          </w:p>
        </w:tc>
        <w:tc>
          <w:tcPr>
            <w:tcW w:w="851"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Rural</w:t>
            </w:r>
          </w:p>
        </w:tc>
        <w:tc>
          <w:tcPr>
            <w:tcW w:w="1418"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683</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1 080</w:t>
            </w:r>
          </w:p>
        </w:tc>
        <w:tc>
          <w:tcPr>
            <w:tcW w:w="1275"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790</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851</w:t>
            </w:r>
          </w:p>
        </w:tc>
        <w:tc>
          <w:tcPr>
            <w:tcW w:w="851"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9</w:t>
            </w: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Urban</w:t>
            </w:r>
          </w:p>
        </w:tc>
        <w:tc>
          <w:tcPr>
            <w:tcW w:w="1418"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1 591</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1 906</w:t>
            </w:r>
          </w:p>
        </w:tc>
        <w:tc>
          <w:tcPr>
            <w:tcW w:w="1275"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2 471</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1 989</w:t>
            </w:r>
          </w:p>
        </w:tc>
        <w:tc>
          <w:tcPr>
            <w:tcW w:w="851"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21</w:t>
            </w: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Urban transport</w:t>
            </w:r>
          </w:p>
        </w:tc>
        <w:tc>
          <w:tcPr>
            <w:tcW w:w="1418"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2 653</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3 736</w:t>
            </w:r>
          </w:p>
        </w:tc>
        <w:tc>
          <w:tcPr>
            <w:tcW w:w="1275"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7 774</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4 721</w:t>
            </w:r>
          </w:p>
        </w:tc>
        <w:tc>
          <w:tcPr>
            <w:tcW w:w="851"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50</w:t>
            </w: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Other (a)</w:t>
            </w:r>
          </w:p>
        </w:tc>
        <w:tc>
          <w:tcPr>
            <w:tcW w:w="1418"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817</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41</w:t>
            </w:r>
          </w:p>
        </w:tc>
        <w:tc>
          <w:tcPr>
            <w:tcW w:w="1275"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2 431</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1 096</w:t>
            </w:r>
          </w:p>
        </w:tc>
        <w:tc>
          <w:tcPr>
            <w:tcW w:w="851"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12</w:t>
            </w: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Land</w:t>
            </w:r>
          </w:p>
        </w:tc>
        <w:tc>
          <w:tcPr>
            <w:tcW w:w="1418"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775</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1 299</w:t>
            </w:r>
          </w:p>
        </w:tc>
        <w:tc>
          <w:tcPr>
            <w:tcW w:w="1275"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332</w:t>
            </w:r>
          </w:p>
        </w:tc>
        <w:tc>
          <w:tcPr>
            <w:tcW w:w="1276" w:type="dxa"/>
            <w:tcBorders>
              <w:top w:val="nil"/>
              <w:left w:val="nil"/>
              <w:bottom w:val="single" w:sz="4" w:space="0" w:color="auto"/>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802</w:t>
            </w:r>
          </w:p>
        </w:tc>
        <w:tc>
          <w:tcPr>
            <w:tcW w:w="851"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8</w:t>
            </w: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EC54E8">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Total net investment</w:t>
            </w:r>
          </w:p>
        </w:tc>
        <w:tc>
          <w:tcPr>
            <w:tcW w:w="1418" w:type="dxa"/>
            <w:tcBorders>
              <w:top w:val="single" w:sz="4" w:space="0" w:color="auto"/>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6 519</w:t>
            </w:r>
          </w:p>
        </w:tc>
        <w:tc>
          <w:tcPr>
            <w:tcW w:w="1276" w:type="dxa"/>
            <w:tcBorders>
              <w:top w:val="single" w:sz="4" w:space="0" w:color="auto"/>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8 062</w:t>
            </w:r>
          </w:p>
        </w:tc>
        <w:tc>
          <w:tcPr>
            <w:tcW w:w="1275" w:type="dxa"/>
            <w:tcBorders>
              <w:top w:val="single" w:sz="4" w:space="0" w:color="auto"/>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13 798</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9 460</w:t>
            </w:r>
          </w:p>
        </w:tc>
        <w:tc>
          <w:tcPr>
            <w:tcW w:w="851" w:type="dxa"/>
            <w:tcBorders>
              <w:top w:val="single" w:sz="4" w:space="0" w:color="auto"/>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100</w:t>
            </w: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b/>
                <w:bCs/>
                <w:sz w:val="20"/>
                <w:szCs w:val="20"/>
                <w:lang w:eastAsia="en-AU"/>
              </w:rPr>
            </w:pPr>
            <w:r w:rsidRPr="00861CC5">
              <w:rPr>
                <w:rFonts w:ascii="Calibri" w:eastAsia="Times New Roman" w:hAnsi="Calibri" w:cstheme="minorHAnsi"/>
                <w:b/>
                <w:bCs/>
                <w:sz w:val="20"/>
                <w:szCs w:val="20"/>
                <w:lang w:eastAsia="en-AU"/>
              </w:rPr>
              <w:t>Depreciation</w:t>
            </w:r>
          </w:p>
        </w:tc>
        <w:tc>
          <w:tcPr>
            <w:tcW w:w="1418"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13 273</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13 440</w:t>
            </w:r>
          </w:p>
        </w:tc>
        <w:tc>
          <w:tcPr>
            <w:tcW w:w="1275"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13 978</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13 564</w:t>
            </w:r>
          </w:p>
        </w:tc>
        <w:tc>
          <w:tcPr>
            <w:tcW w:w="851"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p>
        </w:tc>
      </w:tr>
      <w:tr w:rsidR="00861CC5" w:rsidRPr="00861CC5" w:rsidTr="008B3B64">
        <w:trPr>
          <w:trHeight w:val="315"/>
        </w:trPr>
        <w:tc>
          <w:tcPr>
            <w:tcW w:w="2850"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Total gross investment</w:t>
            </w:r>
          </w:p>
        </w:tc>
        <w:tc>
          <w:tcPr>
            <w:tcW w:w="1418"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19 792</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21 502</w:t>
            </w:r>
          </w:p>
        </w:tc>
        <w:tc>
          <w:tcPr>
            <w:tcW w:w="1275"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27 776</w:t>
            </w:r>
          </w:p>
        </w:tc>
        <w:tc>
          <w:tcPr>
            <w:tcW w:w="1276"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23 023</w:t>
            </w:r>
          </w:p>
        </w:tc>
        <w:tc>
          <w:tcPr>
            <w:tcW w:w="851" w:type="dxa"/>
            <w:tcBorders>
              <w:top w:val="nil"/>
              <w:left w:val="nil"/>
              <w:bottom w:val="nil"/>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p>
        </w:tc>
      </w:tr>
      <w:tr w:rsidR="00861CC5" w:rsidRPr="00861CC5" w:rsidTr="008B3B64">
        <w:trPr>
          <w:trHeight w:val="315"/>
        </w:trPr>
        <w:tc>
          <w:tcPr>
            <w:tcW w:w="2850" w:type="dxa"/>
            <w:tcBorders>
              <w:top w:val="nil"/>
              <w:left w:val="nil"/>
              <w:bottom w:val="single" w:sz="4" w:space="0" w:color="auto"/>
              <w:right w:val="nil"/>
            </w:tcBorders>
            <w:shd w:val="clear" w:color="auto" w:fill="auto"/>
            <w:vAlign w:val="bottom"/>
            <w:hideMark/>
          </w:tcPr>
          <w:p w:rsidR="00861CC5" w:rsidRPr="00861CC5" w:rsidRDefault="00861CC5" w:rsidP="00861CC5">
            <w:pPr>
              <w:tabs>
                <w:tab w:val="clear" w:pos="567"/>
              </w:tabs>
              <w:spacing w:after="0" w:line="240" w:lineRule="auto"/>
              <w:rPr>
                <w:rFonts w:ascii="Calibri" w:eastAsia="Times New Roman" w:hAnsi="Calibri" w:cs="Times New Roman"/>
                <w:b/>
                <w:bCs/>
                <w:sz w:val="20"/>
                <w:szCs w:val="20"/>
                <w:lang w:eastAsia="en-AU"/>
              </w:rPr>
            </w:pPr>
            <w:bookmarkStart w:id="35" w:name="RANGE!A15"/>
            <w:r w:rsidRPr="00861CC5">
              <w:rPr>
                <w:rFonts w:ascii="Calibri" w:eastAsia="Times New Roman" w:hAnsi="Calibri" w:cstheme="minorHAnsi"/>
                <w:b/>
                <w:bCs/>
                <w:sz w:val="20"/>
                <w:szCs w:val="20"/>
                <w:lang w:eastAsia="en-AU"/>
              </w:rPr>
              <w:t>Net lending (b)</w:t>
            </w:r>
            <w:bookmarkEnd w:id="35"/>
          </w:p>
        </w:tc>
        <w:tc>
          <w:tcPr>
            <w:tcW w:w="1418" w:type="dxa"/>
            <w:tcBorders>
              <w:top w:val="nil"/>
              <w:left w:val="nil"/>
              <w:bottom w:val="single" w:sz="4" w:space="0" w:color="auto"/>
              <w:right w:val="nil"/>
            </w:tcBorders>
            <w:shd w:val="clear" w:color="auto" w:fill="auto"/>
            <w:vAlign w:val="bottom"/>
            <w:hideMark/>
          </w:tcPr>
          <w:p w:rsidR="00861CC5" w:rsidRPr="00861CC5" w:rsidRDefault="00861CC5" w:rsidP="00941310">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-6 914</w:t>
            </w:r>
          </w:p>
        </w:tc>
        <w:tc>
          <w:tcPr>
            <w:tcW w:w="1276" w:type="dxa"/>
            <w:tcBorders>
              <w:top w:val="nil"/>
              <w:left w:val="nil"/>
              <w:bottom w:val="single" w:sz="4" w:space="0" w:color="auto"/>
              <w:right w:val="nil"/>
            </w:tcBorders>
            <w:shd w:val="clear" w:color="auto" w:fill="auto"/>
            <w:vAlign w:val="bottom"/>
            <w:hideMark/>
          </w:tcPr>
          <w:p w:rsidR="00861CC5" w:rsidRPr="00861CC5" w:rsidRDefault="00861CC5" w:rsidP="00941310">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-7 967</w:t>
            </w:r>
          </w:p>
        </w:tc>
        <w:tc>
          <w:tcPr>
            <w:tcW w:w="1275" w:type="dxa"/>
            <w:tcBorders>
              <w:top w:val="nil"/>
              <w:left w:val="nil"/>
              <w:bottom w:val="single" w:sz="4" w:space="0" w:color="auto"/>
              <w:right w:val="nil"/>
            </w:tcBorders>
            <w:shd w:val="clear" w:color="auto" w:fill="auto"/>
            <w:vAlign w:val="bottom"/>
            <w:hideMark/>
          </w:tcPr>
          <w:p w:rsidR="00861CC5" w:rsidRPr="00861CC5" w:rsidRDefault="00861CC5" w:rsidP="00941310">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-12 233</w:t>
            </w:r>
          </w:p>
        </w:tc>
        <w:tc>
          <w:tcPr>
            <w:tcW w:w="1276" w:type="dxa"/>
            <w:tcBorders>
              <w:top w:val="nil"/>
              <w:left w:val="nil"/>
              <w:bottom w:val="single" w:sz="4" w:space="0" w:color="auto"/>
              <w:right w:val="nil"/>
            </w:tcBorders>
            <w:shd w:val="clear" w:color="auto" w:fill="auto"/>
            <w:vAlign w:val="bottom"/>
            <w:hideMark/>
          </w:tcPr>
          <w:p w:rsidR="00861CC5" w:rsidRPr="00861CC5" w:rsidRDefault="00861CC5" w:rsidP="00941310">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-9 038</w:t>
            </w:r>
          </w:p>
        </w:tc>
        <w:tc>
          <w:tcPr>
            <w:tcW w:w="851" w:type="dxa"/>
            <w:tcBorders>
              <w:top w:val="nil"/>
              <w:left w:val="nil"/>
              <w:bottom w:val="single" w:sz="4" w:space="0" w:color="auto"/>
              <w:right w:val="nil"/>
            </w:tcBorders>
            <w:shd w:val="clear" w:color="auto" w:fill="auto"/>
            <w:vAlign w:val="bottom"/>
            <w:hideMark/>
          </w:tcPr>
          <w:p w:rsidR="00861CC5" w:rsidRPr="00861CC5" w:rsidRDefault="00861CC5" w:rsidP="00861CC5">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w:t>
            </w:r>
          </w:p>
        </w:tc>
      </w:tr>
    </w:tbl>
    <w:p w:rsidR="00802CF9" w:rsidRDefault="00D128DD" w:rsidP="00802CF9">
      <w:pPr>
        <w:pStyle w:val="CGCTableFootnote"/>
      </w:pPr>
      <w:r>
        <w:t>(</w:t>
      </w:r>
      <w:r w:rsidR="00802CF9">
        <w:t>a)</w:t>
      </w:r>
      <w:r w:rsidR="00802CF9">
        <w:tab/>
        <w:t xml:space="preserve">Other calculated as total investment less roads, urban transport and land. </w:t>
      </w:r>
    </w:p>
    <w:p w:rsidR="00802CF9" w:rsidRPr="00802CF9" w:rsidRDefault="00D128DD" w:rsidP="00802CF9">
      <w:pPr>
        <w:pStyle w:val="CGCTableFootnote"/>
      </w:pPr>
      <w:r>
        <w:t>(</w:t>
      </w:r>
      <w:r w:rsidR="00802CF9">
        <w:t>b)</w:t>
      </w:r>
      <w:r w:rsidR="00802CF9">
        <w:tab/>
      </w:r>
      <w:r w:rsidR="0039352C">
        <w:t xml:space="preserve">Net </w:t>
      </w:r>
      <w:r w:rsidR="00861CC5">
        <w:t>len</w:t>
      </w:r>
      <w:r w:rsidR="001F6C28">
        <w:t>d</w:t>
      </w:r>
      <w:r w:rsidR="00861CC5">
        <w:t xml:space="preserve">ing is negative. </w:t>
      </w:r>
      <w:proofErr w:type="gramStart"/>
      <w:r w:rsidR="00861CC5">
        <w:t>Therefore</w:t>
      </w:r>
      <w:proofErr w:type="gramEnd"/>
      <w:r w:rsidR="00861CC5">
        <w:t xml:space="preserve"> States have negative net lending or are net borrowers on average</w:t>
      </w:r>
      <w:r w:rsidR="0039352C">
        <w:t xml:space="preserve">.  </w:t>
      </w:r>
    </w:p>
    <w:p w:rsidR="00802CF9" w:rsidRDefault="00802CF9" w:rsidP="00802CF9">
      <w:pPr>
        <w:pStyle w:val="CGCTableFootnote"/>
      </w:pPr>
      <w:r>
        <w:t>Source:</w:t>
      </w:r>
      <w:r>
        <w:tab/>
        <w:t>Commission estimates based on ABS and State</w:t>
      </w:r>
      <w:r>
        <w:noBreakHyphen/>
        <w:t>provided data.</w:t>
      </w:r>
    </w:p>
    <w:p w:rsidR="006D1CF3" w:rsidRDefault="006D1CF3" w:rsidP="00234829">
      <w:pPr>
        <w:pStyle w:val="NoSpacing"/>
      </w:pPr>
    </w:p>
    <w:p w:rsidR="006D1CF3" w:rsidRDefault="006D1CF3" w:rsidP="00234829">
      <w:pPr>
        <w:pStyle w:val="NoSpacing"/>
      </w:pPr>
    </w:p>
    <w:p w:rsidR="006D1CF3" w:rsidRDefault="006D1CF3" w:rsidP="00234829">
      <w:pPr>
        <w:pStyle w:val="NoSpacing"/>
      </w:pPr>
    </w:p>
    <w:p w:rsidR="006D1CF3" w:rsidRDefault="006D1CF3" w:rsidP="00234829">
      <w:pPr>
        <w:pStyle w:val="NoSpacing"/>
      </w:pPr>
    </w:p>
    <w:p w:rsidR="006D1CF3" w:rsidRDefault="006D1CF3" w:rsidP="00234829">
      <w:pPr>
        <w:pStyle w:val="NoSpacing"/>
      </w:pPr>
    </w:p>
    <w:p w:rsidR="006D1CF3" w:rsidRDefault="006D1CF3" w:rsidP="00234829">
      <w:pPr>
        <w:pStyle w:val="NoSpacing"/>
      </w:pPr>
    </w:p>
    <w:p w:rsidR="00BD6CD2" w:rsidRDefault="00BD6CD2" w:rsidP="00234829">
      <w:pPr>
        <w:pStyle w:val="CGCTableHeading"/>
        <w:keepNext w:val="0"/>
      </w:pPr>
      <w:bookmarkStart w:id="36" w:name="_Ref506994268"/>
      <w:r>
        <w:lastRenderedPageBreak/>
        <w:t xml:space="preserve">Table </w:t>
      </w:r>
      <w:r w:rsidR="00402501">
        <w:fldChar w:fldCharType="begin"/>
      </w:r>
      <w:r w:rsidR="00402501">
        <w:instrText xml:space="preserve"> SEQ Table \* ARABIC </w:instrText>
      </w:r>
      <w:r w:rsidR="00402501">
        <w:fldChar w:fldCharType="separate"/>
      </w:r>
      <w:r w:rsidR="00402501">
        <w:rPr>
          <w:noProof/>
        </w:rPr>
        <w:t>2</w:t>
      </w:r>
      <w:r w:rsidR="00402501">
        <w:rPr>
          <w:noProof/>
        </w:rPr>
        <w:fldChar w:fldCharType="end"/>
      </w:r>
      <w:bookmarkEnd w:id="36"/>
      <w:r>
        <w:tab/>
      </w:r>
      <w:r w:rsidR="00861CC5">
        <w:t>Physical and financial assets</w:t>
      </w:r>
      <w:r w:rsidRPr="00F83306">
        <w:t xml:space="preserve">, </w:t>
      </w:r>
      <w:r>
        <w:t>2014-15 to 2016-17</w:t>
      </w:r>
    </w:p>
    <w:tbl>
      <w:tblPr>
        <w:tblW w:w="8946" w:type="dxa"/>
        <w:tblInd w:w="93" w:type="dxa"/>
        <w:tblLook w:val="04A0" w:firstRow="1" w:lastRow="0" w:firstColumn="1" w:lastColumn="0" w:noHBand="0" w:noVBand="1"/>
      </w:tblPr>
      <w:tblGrid>
        <w:gridCol w:w="2740"/>
        <w:gridCol w:w="1528"/>
        <w:gridCol w:w="1276"/>
        <w:gridCol w:w="1275"/>
        <w:gridCol w:w="1276"/>
        <w:gridCol w:w="851"/>
      </w:tblGrid>
      <w:tr w:rsidR="008B3B64" w:rsidRPr="00861CC5" w:rsidTr="00234829">
        <w:trPr>
          <w:cantSplit/>
          <w:trHeight w:val="375"/>
        </w:trPr>
        <w:tc>
          <w:tcPr>
            <w:tcW w:w="2740" w:type="dxa"/>
            <w:tcBorders>
              <w:top w:val="single" w:sz="4" w:space="0" w:color="auto"/>
              <w:left w:val="nil"/>
              <w:bottom w:val="single" w:sz="4" w:space="0" w:color="auto"/>
              <w:right w:val="nil"/>
            </w:tcBorders>
            <w:shd w:val="clear" w:color="auto" w:fill="auto"/>
            <w:vAlign w:val="center"/>
            <w:hideMark/>
          </w:tcPr>
          <w:p w:rsidR="008B3B64" w:rsidRPr="00861CC5" w:rsidRDefault="008B3B64"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imes New Roman"/>
                <w:sz w:val="20"/>
                <w:szCs w:val="20"/>
                <w:lang w:eastAsia="en-AU"/>
              </w:rPr>
              <w:t> </w:t>
            </w:r>
          </w:p>
        </w:tc>
        <w:tc>
          <w:tcPr>
            <w:tcW w:w="1528" w:type="dxa"/>
            <w:tcBorders>
              <w:top w:val="single" w:sz="4" w:space="0" w:color="auto"/>
              <w:left w:val="nil"/>
              <w:bottom w:val="single" w:sz="4" w:space="0" w:color="auto"/>
              <w:right w:val="nil"/>
            </w:tcBorders>
            <w:shd w:val="clear" w:color="auto" w:fill="auto"/>
            <w:vAlign w:val="center"/>
            <w:hideMark/>
          </w:tcPr>
          <w:p w:rsidR="008B3B64" w:rsidRPr="00861CC5" w:rsidRDefault="008B3B64"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2014-15</w:t>
            </w:r>
          </w:p>
        </w:tc>
        <w:tc>
          <w:tcPr>
            <w:tcW w:w="1276" w:type="dxa"/>
            <w:tcBorders>
              <w:top w:val="single" w:sz="4" w:space="0" w:color="auto"/>
              <w:left w:val="nil"/>
              <w:bottom w:val="single" w:sz="4" w:space="0" w:color="auto"/>
              <w:right w:val="nil"/>
            </w:tcBorders>
            <w:shd w:val="clear" w:color="auto" w:fill="auto"/>
            <w:vAlign w:val="center"/>
            <w:hideMark/>
          </w:tcPr>
          <w:p w:rsidR="008B3B64" w:rsidRPr="00861CC5" w:rsidRDefault="008B3B64"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2015-16</w:t>
            </w:r>
          </w:p>
        </w:tc>
        <w:tc>
          <w:tcPr>
            <w:tcW w:w="1275" w:type="dxa"/>
            <w:tcBorders>
              <w:top w:val="single" w:sz="4" w:space="0" w:color="auto"/>
              <w:left w:val="nil"/>
              <w:bottom w:val="single" w:sz="4" w:space="0" w:color="auto"/>
              <w:right w:val="nil"/>
            </w:tcBorders>
            <w:shd w:val="clear" w:color="auto" w:fill="auto"/>
            <w:vAlign w:val="center"/>
            <w:hideMark/>
          </w:tcPr>
          <w:p w:rsidR="008B3B64" w:rsidRPr="00861CC5" w:rsidRDefault="008B3B64"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2016-17</w:t>
            </w:r>
          </w:p>
        </w:tc>
        <w:tc>
          <w:tcPr>
            <w:tcW w:w="2127" w:type="dxa"/>
            <w:gridSpan w:val="2"/>
            <w:tcBorders>
              <w:top w:val="single" w:sz="4" w:space="0" w:color="auto"/>
              <w:left w:val="nil"/>
              <w:bottom w:val="single" w:sz="4" w:space="0" w:color="auto"/>
              <w:right w:val="nil"/>
            </w:tcBorders>
            <w:shd w:val="clear" w:color="auto" w:fill="auto"/>
            <w:vAlign w:val="center"/>
            <w:hideMark/>
          </w:tcPr>
          <w:p w:rsidR="008B3B64" w:rsidRPr="00861CC5" w:rsidRDefault="008B3B64" w:rsidP="006D1CF3">
            <w:pPr>
              <w:tabs>
                <w:tab w:val="clear" w:pos="567"/>
              </w:tabs>
              <w:spacing w:after="0" w:line="240" w:lineRule="auto"/>
              <w:jc w:val="center"/>
              <w:rPr>
                <w:rFonts w:ascii="Calibri" w:eastAsia="Times New Roman" w:hAnsi="Calibri" w:cs="Times New Roman"/>
                <w:sz w:val="20"/>
                <w:szCs w:val="20"/>
                <w:lang w:eastAsia="en-AU"/>
              </w:rPr>
            </w:pPr>
            <w:r>
              <w:rPr>
                <w:rFonts w:ascii="Calibri" w:eastAsia="Times New Roman" w:hAnsi="Calibri" w:cstheme="minorHAnsi"/>
                <w:sz w:val="20"/>
                <w:szCs w:val="20"/>
                <w:lang w:eastAsia="en-AU"/>
              </w:rPr>
              <w:t xml:space="preserve">                    </w:t>
            </w:r>
            <w:r w:rsidRPr="00861CC5">
              <w:rPr>
                <w:rFonts w:ascii="Calibri" w:eastAsia="Times New Roman" w:hAnsi="Calibri" w:cstheme="minorHAnsi"/>
                <w:sz w:val="20"/>
                <w:szCs w:val="20"/>
                <w:lang w:eastAsia="en-AU"/>
              </w:rPr>
              <w:t>Average</w:t>
            </w:r>
          </w:p>
        </w:tc>
      </w:tr>
      <w:tr w:rsidR="00861CC5" w:rsidRPr="00861CC5" w:rsidTr="00234829">
        <w:trPr>
          <w:cantSplit/>
          <w:trHeight w:val="259"/>
        </w:trPr>
        <w:tc>
          <w:tcPr>
            <w:tcW w:w="2740" w:type="dxa"/>
            <w:tcBorders>
              <w:top w:val="nil"/>
              <w:left w:val="nil"/>
              <w:bottom w:val="nil"/>
              <w:right w:val="nil"/>
            </w:tcBorders>
            <w:shd w:val="clear" w:color="auto" w:fill="auto"/>
            <w:noWrap/>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p>
        </w:tc>
        <w:tc>
          <w:tcPr>
            <w:tcW w:w="1528" w:type="dxa"/>
            <w:tcBorders>
              <w:top w:val="nil"/>
              <w:left w:val="nil"/>
              <w:bottom w:val="nil"/>
              <w:right w:val="nil"/>
            </w:tcBorders>
            <w:shd w:val="clear" w:color="auto" w:fill="auto"/>
            <w:noWrap/>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$m</w:t>
            </w:r>
          </w:p>
        </w:tc>
        <w:tc>
          <w:tcPr>
            <w:tcW w:w="1276" w:type="dxa"/>
            <w:tcBorders>
              <w:top w:val="nil"/>
              <w:left w:val="nil"/>
              <w:bottom w:val="nil"/>
              <w:right w:val="nil"/>
            </w:tcBorders>
            <w:shd w:val="clear" w:color="auto" w:fill="auto"/>
            <w:noWrap/>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$m</w:t>
            </w:r>
          </w:p>
        </w:tc>
        <w:tc>
          <w:tcPr>
            <w:tcW w:w="1275" w:type="dxa"/>
            <w:tcBorders>
              <w:top w:val="nil"/>
              <w:left w:val="nil"/>
              <w:bottom w:val="nil"/>
              <w:right w:val="nil"/>
            </w:tcBorders>
            <w:shd w:val="clear" w:color="auto" w:fill="auto"/>
            <w:noWrap/>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$m</w:t>
            </w:r>
          </w:p>
        </w:tc>
        <w:tc>
          <w:tcPr>
            <w:tcW w:w="1276" w:type="dxa"/>
            <w:tcBorders>
              <w:top w:val="nil"/>
              <w:left w:val="nil"/>
              <w:bottom w:val="nil"/>
              <w:right w:val="nil"/>
            </w:tcBorders>
            <w:shd w:val="clear" w:color="auto" w:fill="auto"/>
            <w:noWrap/>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$m</w:t>
            </w:r>
          </w:p>
        </w:tc>
        <w:tc>
          <w:tcPr>
            <w:tcW w:w="851" w:type="dxa"/>
            <w:tcBorders>
              <w:top w:val="nil"/>
              <w:left w:val="nil"/>
              <w:bottom w:val="nil"/>
              <w:right w:val="nil"/>
            </w:tcBorders>
            <w:shd w:val="clear" w:color="auto" w:fill="auto"/>
            <w:noWrap/>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w:t>
            </w:r>
          </w:p>
        </w:tc>
      </w:tr>
      <w:tr w:rsidR="00861CC5" w:rsidRPr="00861CC5" w:rsidTr="00234829">
        <w:trPr>
          <w:cantSplit/>
          <w:trHeight w:val="315"/>
        </w:trPr>
        <w:tc>
          <w:tcPr>
            <w:tcW w:w="2740"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rPr>
                <w:rFonts w:ascii="Calibri" w:eastAsia="Times New Roman" w:hAnsi="Calibri" w:cs="Times New Roman"/>
                <w:b/>
                <w:bCs/>
                <w:sz w:val="20"/>
                <w:szCs w:val="20"/>
                <w:lang w:eastAsia="en-AU"/>
              </w:rPr>
            </w:pPr>
            <w:r w:rsidRPr="00861CC5">
              <w:rPr>
                <w:rFonts w:ascii="Calibri" w:eastAsia="Times New Roman" w:hAnsi="Calibri" w:cstheme="minorHAnsi"/>
                <w:b/>
                <w:bCs/>
                <w:sz w:val="20"/>
                <w:szCs w:val="20"/>
                <w:lang w:eastAsia="en-AU"/>
              </w:rPr>
              <w:t>Physical assets</w:t>
            </w:r>
            <w:r w:rsidR="000F2E51">
              <w:rPr>
                <w:rFonts w:ascii="Calibri" w:eastAsia="Times New Roman" w:hAnsi="Calibri" w:cstheme="minorHAnsi"/>
                <w:b/>
                <w:bCs/>
                <w:sz w:val="20"/>
                <w:szCs w:val="20"/>
                <w:lang w:eastAsia="en-AU"/>
              </w:rPr>
              <w:t xml:space="preserve"> (a)</w:t>
            </w:r>
          </w:p>
        </w:tc>
        <w:tc>
          <w:tcPr>
            <w:tcW w:w="1528"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p>
        </w:tc>
        <w:tc>
          <w:tcPr>
            <w:tcW w:w="1275"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p>
        </w:tc>
        <w:tc>
          <w:tcPr>
            <w:tcW w:w="851"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p>
        </w:tc>
      </w:tr>
      <w:tr w:rsidR="00861CC5" w:rsidRPr="00861CC5" w:rsidTr="00234829">
        <w:trPr>
          <w:cantSplit/>
          <w:trHeight w:val="315"/>
        </w:trPr>
        <w:tc>
          <w:tcPr>
            <w:tcW w:w="2740"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Roads</w:t>
            </w:r>
          </w:p>
        </w:tc>
        <w:tc>
          <w:tcPr>
            <w:tcW w:w="1528" w:type="dxa"/>
            <w:tcBorders>
              <w:top w:val="nil"/>
              <w:left w:val="nil"/>
              <w:bottom w:val="nil"/>
              <w:right w:val="nil"/>
            </w:tcBorders>
            <w:shd w:val="clear" w:color="auto" w:fill="auto"/>
            <w:vAlign w:val="bottom"/>
            <w:hideMark/>
          </w:tcPr>
          <w:p w:rsidR="00861CC5" w:rsidRPr="00861CC5" w:rsidRDefault="000F0588" w:rsidP="006D1CF3">
            <w:pPr>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205 919</w:t>
            </w:r>
          </w:p>
        </w:tc>
        <w:tc>
          <w:tcPr>
            <w:tcW w:w="1276" w:type="dxa"/>
            <w:tcBorders>
              <w:top w:val="nil"/>
              <w:left w:val="nil"/>
              <w:bottom w:val="nil"/>
              <w:right w:val="nil"/>
            </w:tcBorders>
            <w:shd w:val="clear" w:color="auto" w:fill="auto"/>
            <w:vAlign w:val="bottom"/>
            <w:hideMark/>
          </w:tcPr>
          <w:p w:rsidR="00861CC5" w:rsidRPr="00861CC5" w:rsidRDefault="00EC54E8" w:rsidP="006D1CF3">
            <w:pPr>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224 658</w:t>
            </w:r>
          </w:p>
        </w:tc>
        <w:tc>
          <w:tcPr>
            <w:tcW w:w="1275" w:type="dxa"/>
            <w:tcBorders>
              <w:top w:val="nil"/>
              <w:left w:val="nil"/>
              <w:bottom w:val="nil"/>
              <w:right w:val="nil"/>
            </w:tcBorders>
            <w:shd w:val="clear" w:color="auto" w:fill="auto"/>
            <w:vAlign w:val="bottom"/>
            <w:hideMark/>
          </w:tcPr>
          <w:p w:rsidR="00861CC5" w:rsidRPr="00861CC5" w:rsidRDefault="00EC54E8" w:rsidP="006D1CF3">
            <w:pPr>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225 683</w:t>
            </w:r>
          </w:p>
        </w:tc>
        <w:tc>
          <w:tcPr>
            <w:tcW w:w="1276" w:type="dxa"/>
            <w:tcBorders>
              <w:top w:val="nil"/>
              <w:left w:val="nil"/>
              <w:bottom w:val="nil"/>
              <w:right w:val="nil"/>
            </w:tcBorders>
            <w:shd w:val="clear" w:color="auto" w:fill="auto"/>
            <w:vAlign w:val="bottom"/>
            <w:hideMark/>
          </w:tcPr>
          <w:p w:rsidR="00861CC5" w:rsidRPr="00861CC5" w:rsidRDefault="00EC54E8" w:rsidP="006D1CF3">
            <w:pPr>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218 754</w:t>
            </w:r>
          </w:p>
        </w:tc>
        <w:tc>
          <w:tcPr>
            <w:tcW w:w="851"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p>
        </w:tc>
      </w:tr>
      <w:tr w:rsidR="00861CC5" w:rsidRPr="00861CC5" w:rsidTr="00234829">
        <w:trPr>
          <w:cantSplit/>
          <w:trHeight w:val="315"/>
        </w:trPr>
        <w:tc>
          <w:tcPr>
            <w:tcW w:w="2740"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w:t>
            </w:r>
            <w:r w:rsidR="00EC54E8">
              <w:rPr>
                <w:rFonts w:ascii="Calibri" w:eastAsia="Times New Roman" w:hAnsi="Calibri" w:cstheme="minorHAnsi"/>
                <w:sz w:val="20"/>
                <w:szCs w:val="20"/>
                <w:lang w:eastAsia="en-AU"/>
              </w:rPr>
              <w:t xml:space="preserve"> </w:t>
            </w:r>
            <w:r w:rsidRPr="00861CC5">
              <w:rPr>
                <w:rFonts w:ascii="Calibri" w:eastAsia="Times New Roman" w:hAnsi="Calibri" w:cstheme="minorHAnsi"/>
                <w:sz w:val="20"/>
                <w:szCs w:val="20"/>
                <w:lang w:eastAsia="en-AU"/>
              </w:rPr>
              <w:t xml:space="preserve"> Rural</w:t>
            </w:r>
          </w:p>
        </w:tc>
        <w:tc>
          <w:tcPr>
            <w:tcW w:w="1528"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131 219</w:t>
            </w: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149 065</w:t>
            </w:r>
          </w:p>
        </w:tc>
        <w:tc>
          <w:tcPr>
            <w:tcW w:w="1275"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150 010</w:t>
            </w: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143 432</w:t>
            </w:r>
          </w:p>
        </w:tc>
        <w:tc>
          <w:tcPr>
            <w:tcW w:w="851"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26</w:t>
            </w:r>
          </w:p>
        </w:tc>
      </w:tr>
      <w:tr w:rsidR="00861CC5" w:rsidRPr="00861CC5" w:rsidTr="00234829">
        <w:trPr>
          <w:cantSplit/>
          <w:trHeight w:val="315"/>
        </w:trPr>
        <w:tc>
          <w:tcPr>
            <w:tcW w:w="2740"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w:t>
            </w:r>
            <w:r w:rsidR="00EC54E8">
              <w:rPr>
                <w:rFonts w:ascii="Calibri" w:eastAsia="Times New Roman" w:hAnsi="Calibri" w:cstheme="minorHAnsi"/>
                <w:sz w:val="20"/>
                <w:szCs w:val="20"/>
                <w:lang w:eastAsia="en-AU"/>
              </w:rPr>
              <w:t xml:space="preserve"> </w:t>
            </w:r>
            <w:r w:rsidRPr="00861CC5">
              <w:rPr>
                <w:rFonts w:ascii="Calibri" w:eastAsia="Times New Roman" w:hAnsi="Calibri" w:cstheme="minorHAnsi"/>
                <w:sz w:val="20"/>
                <w:szCs w:val="20"/>
                <w:lang w:eastAsia="en-AU"/>
              </w:rPr>
              <w:t xml:space="preserve"> Urban</w:t>
            </w:r>
          </w:p>
        </w:tc>
        <w:tc>
          <w:tcPr>
            <w:tcW w:w="1528"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74 700</w:t>
            </w: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75 593</w:t>
            </w:r>
          </w:p>
        </w:tc>
        <w:tc>
          <w:tcPr>
            <w:tcW w:w="1275"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75 673</w:t>
            </w: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75 322</w:t>
            </w:r>
          </w:p>
        </w:tc>
        <w:tc>
          <w:tcPr>
            <w:tcW w:w="851"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14</w:t>
            </w:r>
          </w:p>
        </w:tc>
      </w:tr>
      <w:tr w:rsidR="00861CC5" w:rsidRPr="00861CC5" w:rsidTr="00234829">
        <w:trPr>
          <w:cantSplit/>
          <w:trHeight w:val="315"/>
        </w:trPr>
        <w:tc>
          <w:tcPr>
            <w:tcW w:w="2740"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Urban transport</w:t>
            </w:r>
          </w:p>
        </w:tc>
        <w:tc>
          <w:tcPr>
            <w:tcW w:w="1528"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78 741</w:t>
            </w: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89 300</w:t>
            </w:r>
          </w:p>
        </w:tc>
        <w:tc>
          <w:tcPr>
            <w:tcW w:w="1275"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99 609</w:t>
            </w: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89 217</w:t>
            </w:r>
          </w:p>
        </w:tc>
        <w:tc>
          <w:tcPr>
            <w:tcW w:w="851"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16</w:t>
            </w:r>
          </w:p>
        </w:tc>
      </w:tr>
      <w:tr w:rsidR="00861CC5" w:rsidRPr="00861CC5" w:rsidTr="00234829">
        <w:trPr>
          <w:cantSplit/>
          <w:trHeight w:val="315"/>
        </w:trPr>
        <w:tc>
          <w:tcPr>
            <w:tcW w:w="2740"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xml:space="preserve">  Other </w:t>
            </w:r>
          </w:p>
        </w:tc>
        <w:tc>
          <w:tcPr>
            <w:tcW w:w="1528"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227 799</w:t>
            </w: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236 703</w:t>
            </w:r>
          </w:p>
        </w:tc>
        <w:tc>
          <w:tcPr>
            <w:tcW w:w="1275"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253 638</w:t>
            </w:r>
          </w:p>
        </w:tc>
        <w:tc>
          <w:tcPr>
            <w:tcW w:w="1276"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239 380</w:t>
            </w:r>
          </w:p>
        </w:tc>
        <w:tc>
          <w:tcPr>
            <w:tcW w:w="851"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44</w:t>
            </w:r>
          </w:p>
        </w:tc>
      </w:tr>
      <w:tr w:rsidR="00861CC5" w:rsidRPr="00861CC5" w:rsidTr="00234829">
        <w:trPr>
          <w:cantSplit/>
          <w:trHeight w:val="315"/>
        </w:trPr>
        <w:tc>
          <w:tcPr>
            <w:tcW w:w="2740" w:type="dxa"/>
            <w:tcBorders>
              <w:top w:val="nil"/>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Total physical assets</w:t>
            </w:r>
          </w:p>
        </w:tc>
        <w:tc>
          <w:tcPr>
            <w:tcW w:w="1528" w:type="dxa"/>
            <w:tcBorders>
              <w:top w:val="single" w:sz="4" w:space="0" w:color="auto"/>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512 459</w:t>
            </w:r>
          </w:p>
        </w:tc>
        <w:tc>
          <w:tcPr>
            <w:tcW w:w="1276" w:type="dxa"/>
            <w:tcBorders>
              <w:top w:val="single" w:sz="4" w:space="0" w:color="auto"/>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550 661</w:t>
            </w:r>
          </w:p>
        </w:tc>
        <w:tc>
          <w:tcPr>
            <w:tcW w:w="1275" w:type="dxa"/>
            <w:tcBorders>
              <w:top w:val="single" w:sz="4" w:space="0" w:color="auto"/>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578 931</w:t>
            </w:r>
          </w:p>
        </w:tc>
        <w:tc>
          <w:tcPr>
            <w:tcW w:w="1276" w:type="dxa"/>
            <w:tcBorders>
              <w:top w:val="single" w:sz="4" w:space="0" w:color="auto"/>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547 351</w:t>
            </w:r>
          </w:p>
        </w:tc>
        <w:tc>
          <w:tcPr>
            <w:tcW w:w="851" w:type="dxa"/>
            <w:tcBorders>
              <w:top w:val="single" w:sz="4" w:space="0" w:color="auto"/>
              <w:left w:val="nil"/>
              <w:bottom w:val="nil"/>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100</w:t>
            </w:r>
          </w:p>
        </w:tc>
      </w:tr>
      <w:tr w:rsidR="00861CC5" w:rsidRPr="00861CC5" w:rsidTr="00234829">
        <w:trPr>
          <w:cantSplit/>
          <w:trHeight w:val="315"/>
        </w:trPr>
        <w:tc>
          <w:tcPr>
            <w:tcW w:w="2740" w:type="dxa"/>
            <w:tcBorders>
              <w:top w:val="nil"/>
              <w:left w:val="nil"/>
              <w:bottom w:val="single" w:sz="4" w:space="0" w:color="auto"/>
              <w:right w:val="nil"/>
            </w:tcBorders>
            <w:shd w:val="clear" w:color="auto" w:fill="auto"/>
            <w:vAlign w:val="bottom"/>
            <w:hideMark/>
          </w:tcPr>
          <w:p w:rsidR="00861CC5" w:rsidRPr="00861CC5" w:rsidRDefault="00861CC5" w:rsidP="000F2E51">
            <w:pPr>
              <w:tabs>
                <w:tab w:val="clear" w:pos="567"/>
              </w:tabs>
              <w:spacing w:after="0" w:line="240" w:lineRule="auto"/>
              <w:rPr>
                <w:rFonts w:ascii="Calibri" w:eastAsia="Times New Roman" w:hAnsi="Calibri" w:cs="Times New Roman"/>
                <w:b/>
                <w:bCs/>
                <w:sz w:val="20"/>
                <w:szCs w:val="20"/>
                <w:lang w:eastAsia="en-AU"/>
              </w:rPr>
            </w:pPr>
            <w:r w:rsidRPr="00861CC5">
              <w:rPr>
                <w:rFonts w:ascii="Calibri" w:eastAsia="Times New Roman" w:hAnsi="Calibri" w:cstheme="minorHAnsi"/>
                <w:b/>
                <w:bCs/>
                <w:sz w:val="20"/>
                <w:szCs w:val="20"/>
                <w:lang w:eastAsia="en-AU"/>
              </w:rPr>
              <w:t>Net financial assets</w:t>
            </w:r>
            <w:r>
              <w:rPr>
                <w:rFonts w:ascii="Calibri" w:eastAsia="Times New Roman" w:hAnsi="Calibri" w:cstheme="minorHAnsi"/>
                <w:b/>
                <w:bCs/>
                <w:sz w:val="20"/>
                <w:szCs w:val="20"/>
                <w:lang w:eastAsia="en-AU"/>
              </w:rPr>
              <w:t xml:space="preserve"> (</w:t>
            </w:r>
            <w:r w:rsidR="000F2E51">
              <w:rPr>
                <w:rFonts w:ascii="Calibri" w:eastAsia="Times New Roman" w:hAnsi="Calibri" w:cstheme="minorHAnsi"/>
                <w:b/>
                <w:bCs/>
                <w:sz w:val="20"/>
                <w:szCs w:val="20"/>
                <w:lang w:eastAsia="en-AU"/>
              </w:rPr>
              <w:t>b</w:t>
            </w:r>
            <w:r>
              <w:rPr>
                <w:rFonts w:ascii="Calibri" w:eastAsia="Times New Roman" w:hAnsi="Calibri" w:cstheme="minorHAnsi"/>
                <w:b/>
                <w:bCs/>
                <w:sz w:val="20"/>
                <w:szCs w:val="20"/>
                <w:lang w:eastAsia="en-AU"/>
              </w:rPr>
              <w:t>)</w:t>
            </w:r>
          </w:p>
        </w:tc>
        <w:tc>
          <w:tcPr>
            <w:tcW w:w="1528" w:type="dxa"/>
            <w:tcBorders>
              <w:top w:val="nil"/>
              <w:left w:val="nil"/>
              <w:bottom w:val="single" w:sz="4" w:space="0" w:color="auto"/>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-92 717</w:t>
            </w:r>
          </w:p>
        </w:tc>
        <w:tc>
          <w:tcPr>
            <w:tcW w:w="1276" w:type="dxa"/>
            <w:tcBorders>
              <w:top w:val="nil"/>
              <w:left w:val="nil"/>
              <w:bottom w:val="single" w:sz="4" w:space="0" w:color="auto"/>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-127 744</w:t>
            </w:r>
          </w:p>
        </w:tc>
        <w:tc>
          <w:tcPr>
            <w:tcW w:w="1275" w:type="dxa"/>
            <w:tcBorders>
              <w:top w:val="nil"/>
              <w:left w:val="nil"/>
              <w:bottom w:val="single" w:sz="4" w:space="0" w:color="auto"/>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-88 152</w:t>
            </w:r>
          </w:p>
        </w:tc>
        <w:tc>
          <w:tcPr>
            <w:tcW w:w="1276" w:type="dxa"/>
            <w:tcBorders>
              <w:top w:val="nil"/>
              <w:left w:val="nil"/>
              <w:bottom w:val="single" w:sz="4" w:space="0" w:color="auto"/>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-102 871</w:t>
            </w:r>
          </w:p>
        </w:tc>
        <w:tc>
          <w:tcPr>
            <w:tcW w:w="851" w:type="dxa"/>
            <w:tcBorders>
              <w:top w:val="nil"/>
              <w:left w:val="nil"/>
              <w:bottom w:val="single" w:sz="4" w:space="0" w:color="auto"/>
              <w:right w:val="nil"/>
            </w:tcBorders>
            <w:shd w:val="clear" w:color="auto" w:fill="auto"/>
            <w:vAlign w:val="bottom"/>
            <w:hideMark/>
          </w:tcPr>
          <w:p w:rsidR="00861CC5" w:rsidRPr="00861CC5" w:rsidRDefault="00861CC5" w:rsidP="006D1CF3">
            <w:pPr>
              <w:tabs>
                <w:tab w:val="clear" w:pos="567"/>
              </w:tabs>
              <w:spacing w:after="0" w:line="240" w:lineRule="auto"/>
              <w:jc w:val="right"/>
              <w:rPr>
                <w:rFonts w:ascii="Calibri" w:eastAsia="Times New Roman" w:hAnsi="Calibri" w:cs="Times New Roman"/>
                <w:sz w:val="20"/>
                <w:szCs w:val="20"/>
                <w:lang w:eastAsia="en-AU"/>
              </w:rPr>
            </w:pPr>
            <w:r w:rsidRPr="00861CC5">
              <w:rPr>
                <w:rFonts w:ascii="Calibri" w:eastAsia="Times New Roman" w:hAnsi="Calibri" w:cstheme="minorHAnsi"/>
                <w:sz w:val="20"/>
                <w:szCs w:val="20"/>
                <w:lang w:eastAsia="en-AU"/>
              </w:rPr>
              <w:t> </w:t>
            </w:r>
          </w:p>
        </w:tc>
      </w:tr>
    </w:tbl>
    <w:p w:rsidR="000F2E51" w:rsidRDefault="000F2E51" w:rsidP="006D1CF3">
      <w:pPr>
        <w:pStyle w:val="CGCTableFootnote"/>
      </w:pPr>
      <w:proofErr w:type="gramStart"/>
      <w:r>
        <w:t>(</w:t>
      </w:r>
      <w:r w:rsidR="00861CC5">
        <w:t>a)</w:t>
      </w:r>
      <w:r w:rsidR="00861CC5">
        <w:tab/>
      </w:r>
      <w:r>
        <w:t>Produced physical assets.</w:t>
      </w:r>
      <w:proofErr w:type="gramEnd"/>
    </w:p>
    <w:p w:rsidR="00861CC5" w:rsidRDefault="000F2E51" w:rsidP="006D1CF3">
      <w:pPr>
        <w:pStyle w:val="CGCTableFootnote"/>
      </w:pPr>
      <w:r>
        <w:t>(b)</w:t>
      </w:r>
      <w:r>
        <w:tab/>
      </w:r>
      <w:r w:rsidR="00861CC5">
        <w:t xml:space="preserve">Liabilities are greater than assets. </w:t>
      </w:r>
      <w:proofErr w:type="gramStart"/>
      <w:r w:rsidR="00861CC5">
        <w:t>Therefore</w:t>
      </w:r>
      <w:proofErr w:type="gramEnd"/>
      <w:r w:rsidR="00861CC5">
        <w:t xml:space="preserve"> </w:t>
      </w:r>
      <w:r w:rsidR="002E53CA">
        <w:t>States currently hold</w:t>
      </w:r>
      <w:r w:rsidR="00861CC5">
        <w:t xml:space="preserve"> negative net financial assets or net liabilities. </w:t>
      </w:r>
    </w:p>
    <w:p w:rsidR="00861CC5" w:rsidRDefault="00861CC5" w:rsidP="006D1CF3">
      <w:pPr>
        <w:pStyle w:val="CGCTableFootnote"/>
      </w:pPr>
      <w:r>
        <w:t>Source:</w:t>
      </w:r>
      <w:r>
        <w:tab/>
        <w:t>Commission estimates based on ABS and State</w:t>
      </w:r>
      <w:r>
        <w:noBreakHyphen/>
        <w:t>provided data.</w:t>
      </w:r>
    </w:p>
    <w:p w:rsidR="006848EB" w:rsidRPr="006848EB" w:rsidRDefault="001C78A6" w:rsidP="006848EB">
      <w:pPr>
        <w:pStyle w:val="Heading4"/>
      </w:pPr>
      <w:bookmarkStart w:id="37" w:name="_Toc508716598"/>
      <w:bookmarkStart w:id="38" w:name="_Toc508716714"/>
      <w:bookmarkStart w:id="39" w:name="_Toc508716868"/>
      <w:bookmarkStart w:id="40" w:name="_Toc511816985"/>
      <w:r>
        <w:t>Data sources and assessment methods</w:t>
      </w:r>
      <w:bookmarkEnd w:id="37"/>
      <w:bookmarkEnd w:id="38"/>
      <w:bookmarkEnd w:id="39"/>
      <w:bookmarkEnd w:id="40"/>
    </w:p>
    <w:p w:rsidR="008D5730" w:rsidRPr="00A06383" w:rsidRDefault="002C6887" w:rsidP="002C6887">
      <w:pPr>
        <w:pStyle w:val="CGCNumberedPara"/>
      </w:pPr>
      <w:r w:rsidRPr="00A06383">
        <w:t>Data used in the assessment of net investment, depreciation and net borrowing are mainly provided by the ABS from the G</w:t>
      </w:r>
      <w:r w:rsidR="003B5CCA">
        <w:t>overnment</w:t>
      </w:r>
      <w:r w:rsidRPr="00A06383">
        <w:t xml:space="preserve"> Financ</w:t>
      </w:r>
      <w:r w:rsidR="003B5CCA">
        <w:t>e</w:t>
      </w:r>
      <w:r w:rsidRPr="00A06383">
        <w:t xml:space="preserve"> Statistics </w:t>
      </w:r>
      <w:r w:rsidR="00A342D6">
        <w:t xml:space="preserve">(GFS) </w:t>
      </w:r>
      <w:r w:rsidRPr="00A06383">
        <w:t xml:space="preserve">and from the States. </w:t>
      </w:r>
    </w:p>
    <w:p w:rsidR="002C6887" w:rsidRPr="00A06383" w:rsidRDefault="00E63D09" w:rsidP="002C6887">
      <w:pPr>
        <w:pStyle w:val="CGCBulletlist"/>
      </w:pPr>
      <w:r w:rsidRPr="00A06383">
        <w:t>Asset stock and investment data</w:t>
      </w:r>
      <w:r w:rsidR="002C6887" w:rsidRPr="00A06383">
        <w:t xml:space="preserve"> </w:t>
      </w:r>
      <w:r w:rsidR="00506F74">
        <w:t>—</w:t>
      </w:r>
      <w:r w:rsidR="002C6887" w:rsidRPr="00A06383">
        <w:t xml:space="preserve"> ABS provide GFS data for early years, State data </w:t>
      </w:r>
      <w:proofErr w:type="gramStart"/>
      <w:r w:rsidR="002C6887" w:rsidRPr="00A06383">
        <w:t>is provided for</w:t>
      </w:r>
      <w:proofErr w:type="gramEnd"/>
      <w:r w:rsidR="002C6887" w:rsidRPr="00A06383">
        <w:t xml:space="preserve"> the latest year and for housing and urban transport</w:t>
      </w:r>
      <w:r w:rsidR="001F6C28">
        <w:t xml:space="preserve"> </w:t>
      </w:r>
      <w:proofErr w:type="spellStart"/>
      <w:r w:rsidR="001F6C28">
        <w:t>PNFCs</w:t>
      </w:r>
      <w:proofErr w:type="spellEnd"/>
      <w:r w:rsidR="002C6887" w:rsidRPr="00A06383">
        <w:t>. Department of Transport and Infrastructure provide</w:t>
      </w:r>
      <w:r w:rsidR="00506F74">
        <w:t>s</w:t>
      </w:r>
      <w:r w:rsidR="002C6887" w:rsidRPr="00A06383">
        <w:t xml:space="preserve"> data on </w:t>
      </w:r>
      <w:r w:rsidR="00A342D6">
        <w:t>n</w:t>
      </w:r>
      <w:r w:rsidR="002C6887" w:rsidRPr="00A06383">
        <w:t>ational net</w:t>
      </w:r>
      <w:r w:rsidR="00A06383" w:rsidRPr="00A06383">
        <w:t>work road payments.</w:t>
      </w:r>
    </w:p>
    <w:p w:rsidR="00E63D09" w:rsidRPr="00A06383" w:rsidRDefault="00A06383" w:rsidP="002C6887">
      <w:pPr>
        <w:pStyle w:val="CGCBulletlist"/>
      </w:pPr>
      <w:proofErr w:type="gramStart"/>
      <w:r w:rsidRPr="00A06383">
        <w:t xml:space="preserve">Population data </w:t>
      </w:r>
      <w:r w:rsidR="00506F74">
        <w:t>—</w:t>
      </w:r>
      <w:r w:rsidRPr="00A06383">
        <w:t xml:space="preserve"> ABS.</w:t>
      </w:r>
      <w:proofErr w:type="gramEnd"/>
    </w:p>
    <w:p w:rsidR="00E63D09" w:rsidRPr="00A06383" w:rsidRDefault="002E53CA" w:rsidP="002E53CA">
      <w:pPr>
        <w:pStyle w:val="CGCBulletlist"/>
      </w:pPr>
      <w:r>
        <w:t xml:space="preserve">Stock disabilities </w:t>
      </w:r>
      <w:r w:rsidR="00506F74">
        <w:t>—</w:t>
      </w:r>
      <w:r>
        <w:t xml:space="preserve"> </w:t>
      </w:r>
      <w:r w:rsidR="00E63D09" w:rsidRPr="00A06383">
        <w:t>are derived in the relevant assessment category assessment</w:t>
      </w:r>
      <w:r w:rsidR="00A06383" w:rsidRPr="00A06383">
        <w:t>s</w:t>
      </w:r>
      <w:r w:rsidR="00506F74">
        <w:t>.</w:t>
      </w:r>
    </w:p>
    <w:p w:rsidR="00E63D09" w:rsidRPr="00A06383" w:rsidRDefault="00E63D09" w:rsidP="00E63D09">
      <w:pPr>
        <w:pStyle w:val="CGCBulletlist"/>
      </w:pPr>
      <w:r w:rsidRPr="00A06383">
        <w:t xml:space="preserve">Cost disabilities </w:t>
      </w:r>
      <w:r w:rsidR="00506F74">
        <w:t>—</w:t>
      </w:r>
      <w:r w:rsidRPr="00A06383">
        <w:t xml:space="preserve"> </w:t>
      </w:r>
      <w:r w:rsidR="000F2E51">
        <w:t xml:space="preserve">construction cost disabilities </w:t>
      </w:r>
      <w:proofErr w:type="gramStart"/>
      <w:r w:rsidR="00A06383" w:rsidRPr="00A06383">
        <w:t>are derived</w:t>
      </w:r>
      <w:proofErr w:type="gramEnd"/>
      <w:r w:rsidR="00A06383" w:rsidRPr="00A06383">
        <w:t xml:space="preserve"> from the regional and capital city indices from the </w:t>
      </w:r>
      <w:proofErr w:type="spellStart"/>
      <w:r w:rsidRPr="00A06383">
        <w:t>Rawlinsons</w:t>
      </w:r>
      <w:proofErr w:type="spellEnd"/>
      <w:r w:rsidRPr="00A06383">
        <w:t xml:space="preserve"> </w:t>
      </w:r>
      <w:r w:rsidR="00A06383" w:rsidRPr="00A06383">
        <w:t>Australian Construction Handbook</w:t>
      </w:r>
      <w:r w:rsidR="002E53CA">
        <w:rPr>
          <w:rStyle w:val="FootnoteReference"/>
        </w:rPr>
        <w:footnoteReference w:id="1"/>
      </w:r>
      <w:r w:rsidR="00A06383" w:rsidRPr="00A06383">
        <w:t>. R</w:t>
      </w:r>
      <w:r w:rsidRPr="00A06383">
        <w:t xml:space="preserve">ecurrent location factors </w:t>
      </w:r>
      <w:proofErr w:type="gramStart"/>
      <w:r w:rsidR="00AA1262">
        <w:t xml:space="preserve">are </w:t>
      </w:r>
      <w:r w:rsidRPr="00A06383">
        <w:t>derived</w:t>
      </w:r>
      <w:proofErr w:type="gramEnd"/>
      <w:r w:rsidRPr="00A06383">
        <w:t xml:space="preserve"> in the wage and regional costs assessment</w:t>
      </w:r>
      <w:r w:rsidR="00A342D6">
        <w:t>s</w:t>
      </w:r>
      <w:r w:rsidRPr="00A06383">
        <w:t>.</w:t>
      </w:r>
    </w:p>
    <w:p w:rsidR="00E95FA3" w:rsidRDefault="00794E87" w:rsidP="00BE5136">
      <w:pPr>
        <w:pStyle w:val="Heading5"/>
      </w:pPr>
      <w:bookmarkStart w:id="41" w:name="_Toc508716599"/>
      <w:bookmarkStart w:id="42" w:name="_Toc508716715"/>
      <w:bookmarkStart w:id="43" w:name="_Toc508716869"/>
      <w:r>
        <w:t>Net i</w:t>
      </w:r>
      <w:r w:rsidR="00E71B7E">
        <w:t>nvestment assessment</w:t>
      </w:r>
      <w:bookmarkEnd w:id="41"/>
      <w:bookmarkEnd w:id="42"/>
      <w:bookmarkEnd w:id="43"/>
      <w:r w:rsidR="00A75C03">
        <w:t xml:space="preserve"> </w:t>
      </w:r>
    </w:p>
    <w:p w:rsidR="00E71B7E" w:rsidRDefault="00A342D6" w:rsidP="00E71B7E">
      <w:pPr>
        <w:pStyle w:val="CGCNumberedPara"/>
      </w:pPr>
      <w:r>
        <w:t>Net i</w:t>
      </w:r>
      <w:r w:rsidR="00457AE1">
        <w:t xml:space="preserve">nvestment expenditure </w:t>
      </w:r>
      <w:proofErr w:type="gramStart"/>
      <w:r w:rsidR="00457AE1">
        <w:t>is assessed</w:t>
      </w:r>
      <w:proofErr w:type="gramEnd"/>
      <w:r w:rsidR="00457AE1">
        <w:t xml:space="preserve"> in four components. </w:t>
      </w:r>
      <w:proofErr w:type="gramStart"/>
      <w:r w:rsidR="00457AE1">
        <w:t>Investment in</w:t>
      </w:r>
      <w:r w:rsidR="005259E4">
        <w:t xml:space="preserve"> roads, </w:t>
      </w:r>
      <w:r w:rsidR="00457AE1">
        <w:t>urban transport</w:t>
      </w:r>
      <w:r w:rsidR="005259E4">
        <w:t xml:space="preserve"> and land</w:t>
      </w:r>
      <w:r w:rsidR="00457AE1">
        <w:t xml:space="preserve"> have</w:t>
      </w:r>
      <w:proofErr w:type="gramEnd"/>
      <w:r w:rsidR="00457AE1">
        <w:t xml:space="preserve"> specific drivers and are assessed separately.</w:t>
      </w:r>
      <w:r w:rsidR="005259E4">
        <w:t xml:space="preserve"> Investment in all other services </w:t>
      </w:r>
      <w:proofErr w:type="gramStart"/>
      <w:r w:rsidR="005259E4">
        <w:t>is assessed</w:t>
      </w:r>
      <w:proofErr w:type="gramEnd"/>
      <w:r w:rsidR="005259E4">
        <w:t xml:space="preserve"> in the </w:t>
      </w:r>
      <w:r w:rsidR="002C02A5">
        <w:t>o</w:t>
      </w:r>
      <w:r w:rsidR="005259E4">
        <w:t xml:space="preserve">ther </w:t>
      </w:r>
      <w:r w:rsidR="00F129E9">
        <w:t xml:space="preserve">services </w:t>
      </w:r>
      <w:r w:rsidR="005259E4">
        <w:t>component.</w:t>
      </w:r>
      <w:r w:rsidR="004D273F">
        <w:t xml:space="preserve"> </w:t>
      </w:r>
    </w:p>
    <w:p w:rsidR="004D273F" w:rsidRDefault="004D273F" w:rsidP="00E71B7E">
      <w:pPr>
        <w:pStyle w:val="CGCNumberedPara"/>
      </w:pPr>
      <w:r>
        <w:t xml:space="preserve">For all investment components, excluding land, population growth </w:t>
      </w:r>
      <w:r w:rsidR="00973FAB">
        <w:t xml:space="preserve">is the primary driver of needs. As a State’s population </w:t>
      </w:r>
      <w:proofErr w:type="gramStart"/>
      <w:r w:rsidR="00973FAB">
        <w:t>grows</w:t>
      </w:r>
      <w:proofErr w:type="gramEnd"/>
      <w:r w:rsidR="00973FAB">
        <w:t xml:space="preserve"> </w:t>
      </w:r>
      <w:r w:rsidR="0004308F">
        <w:t>it</w:t>
      </w:r>
      <w:r w:rsidR="00973FAB">
        <w:t xml:space="preserve"> need</w:t>
      </w:r>
      <w:r w:rsidR="0004308F">
        <w:t>s</w:t>
      </w:r>
      <w:r w:rsidR="00973FAB">
        <w:t xml:space="preserve"> to invest more </w:t>
      </w:r>
      <w:r w:rsidR="0004308F">
        <w:t xml:space="preserve">to </w:t>
      </w:r>
      <w:r w:rsidR="00973FAB">
        <w:t>maintain the average</w:t>
      </w:r>
      <w:r w:rsidR="00A342D6">
        <w:t xml:space="preserve"> per capita</w:t>
      </w:r>
      <w:r w:rsidR="00973FAB">
        <w:t xml:space="preserve"> le</w:t>
      </w:r>
      <w:r w:rsidR="0004308F">
        <w:t>vel of infrastructure required to provide services.</w:t>
      </w:r>
      <w:r w:rsidR="004B201B">
        <w:t xml:space="preserve"> </w:t>
      </w:r>
    </w:p>
    <w:p w:rsidR="0091038F" w:rsidRDefault="0091038F" w:rsidP="002C6887">
      <w:pPr>
        <w:pStyle w:val="CGCNumberedPara"/>
      </w:pPr>
      <w:r>
        <w:lastRenderedPageBreak/>
        <w:t>The level of capital per capita required by each State varies based largely on its socio</w:t>
      </w:r>
      <w:r w:rsidR="002E53CA">
        <w:noBreakHyphen/>
      </w:r>
      <w:r>
        <w:t xml:space="preserve">demographic profile, and this profile changes over time. These factors </w:t>
      </w:r>
      <w:proofErr w:type="gramStart"/>
      <w:r>
        <w:t>are also taken</w:t>
      </w:r>
      <w:proofErr w:type="gramEnd"/>
      <w:r>
        <w:t xml:space="preserve"> into account in calculating a State’s </w:t>
      </w:r>
      <w:r w:rsidR="00E0250B">
        <w:t xml:space="preserve">net </w:t>
      </w:r>
      <w:r>
        <w:t>investment needs.</w:t>
      </w:r>
    </w:p>
    <w:p w:rsidR="00FD680C" w:rsidRDefault="00DF1A3C" w:rsidP="002C6887">
      <w:pPr>
        <w:pStyle w:val="CGCNumberedPara"/>
      </w:pPr>
      <w:r>
        <w:t xml:space="preserve">The cost of investing in </w:t>
      </w:r>
      <w:r w:rsidR="00043837">
        <w:t xml:space="preserve">assets (other than land) </w:t>
      </w:r>
      <w:r>
        <w:t xml:space="preserve">is </w:t>
      </w:r>
      <w:r w:rsidR="00043837">
        <w:t xml:space="preserve">also </w:t>
      </w:r>
      <w:r>
        <w:t xml:space="preserve">recognised </w:t>
      </w:r>
      <w:r w:rsidR="00DB2E95">
        <w:t>through</w:t>
      </w:r>
      <w:r>
        <w:t xml:space="preserve"> a cost </w:t>
      </w:r>
      <w:proofErr w:type="gramStart"/>
      <w:r>
        <w:t>factor which</w:t>
      </w:r>
      <w:proofErr w:type="gramEnd"/>
      <w:r>
        <w:t xml:space="preserve"> reflects </w:t>
      </w:r>
      <w:r w:rsidR="00043837">
        <w:t xml:space="preserve">a State’s </w:t>
      </w:r>
      <w:r>
        <w:t>relative construction, wage and regional costs.</w:t>
      </w:r>
      <w:r w:rsidR="00A06383">
        <w:t xml:space="preserve"> Regional and </w:t>
      </w:r>
      <w:proofErr w:type="gramStart"/>
      <w:r w:rsidR="00A06383">
        <w:t>capital city construction cost</w:t>
      </w:r>
      <w:proofErr w:type="gramEnd"/>
      <w:r w:rsidR="00A06383">
        <w:t xml:space="preserve"> indices from </w:t>
      </w:r>
      <w:proofErr w:type="spellStart"/>
      <w:r w:rsidR="00A06383">
        <w:t>Rawlinsons</w:t>
      </w:r>
      <w:proofErr w:type="spellEnd"/>
      <w:r w:rsidR="00A06383">
        <w:t xml:space="preserve"> are used to derive population weighted construction cost factors. These </w:t>
      </w:r>
      <w:proofErr w:type="gramStart"/>
      <w:r w:rsidR="00A06383">
        <w:t>are combined</w:t>
      </w:r>
      <w:proofErr w:type="gramEnd"/>
      <w:r w:rsidR="00A06383">
        <w:t xml:space="preserve"> 50/50 with recurrent regional and wage factors. </w:t>
      </w:r>
    </w:p>
    <w:p w:rsidR="00794E87" w:rsidRDefault="00794E87" w:rsidP="00A342D6">
      <w:pPr>
        <w:pStyle w:val="CGCNumberedPara"/>
      </w:pPr>
      <w:r>
        <w:t>The drivers, in addition to population</w:t>
      </w:r>
      <w:r w:rsidR="00DF1A3C">
        <w:t xml:space="preserve"> and capital costs</w:t>
      </w:r>
      <w:r w:rsidR="00506F74">
        <w:t>,</w:t>
      </w:r>
      <w:r>
        <w:t xml:space="preserve"> </w:t>
      </w:r>
      <w:proofErr w:type="gramStart"/>
      <w:r>
        <w:t>are discussed</w:t>
      </w:r>
      <w:proofErr w:type="gramEnd"/>
      <w:r>
        <w:t xml:space="preserve"> briefly below for each component.</w:t>
      </w:r>
      <w:r w:rsidR="002C6887">
        <w:t xml:space="preserve"> </w:t>
      </w:r>
    </w:p>
    <w:p w:rsidR="00F129E9" w:rsidRDefault="0070627C" w:rsidP="002450B0">
      <w:pPr>
        <w:pStyle w:val="CGCNumberedPara"/>
      </w:pPr>
      <w:r w:rsidRPr="00BE5136">
        <w:rPr>
          <w:rStyle w:val="Heading6Char"/>
        </w:rPr>
        <w:t>Roads</w:t>
      </w:r>
      <w:r w:rsidR="00282D84">
        <w:rPr>
          <w:rStyle w:val="Heading6Char"/>
        </w:rPr>
        <w:t xml:space="preserve">. </w:t>
      </w:r>
      <w:r w:rsidR="00E0250B">
        <w:t>The assessment of roads net</w:t>
      </w:r>
      <w:r w:rsidR="002E3E32">
        <w:t xml:space="preserve"> investment recognises the impact of road length, road use and bridges on the need for</w:t>
      </w:r>
      <w:r w:rsidR="008B25D7">
        <w:t xml:space="preserve"> road</w:t>
      </w:r>
      <w:r w:rsidR="002E3E32">
        <w:t xml:space="preserve"> infrastructure. Urban and rural roads needs </w:t>
      </w:r>
      <w:proofErr w:type="gramStart"/>
      <w:r w:rsidR="002E3E32">
        <w:t>are assessed</w:t>
      </w:r>
      <w:proofErr w:type="gramEnd"/>
      <w:r w:rsidR="002E3E32">
        <w:t xml:space="preserve"> separately</w:t>
      </w:r>
      <w:r w:rsidR="004D273F">
        <w:t>.</w:t>
      </w:r>
      <w:r w:rsidR="001F6C28">
        <w:t xml:space="preserve"> </w:t>
      </w:r>
    </w:p>
    <w:p w:rsidR="00F129E9" w:rsidRDefault="0070627C" w:rsidP="00BA70D7">
      <w:pPr>
        <w:pStyle w:val="CGCNumberedPara"/>
      </w:pPr>
      <w:proofErr w:type="gramStart"/>
      <w:r w:rsidRPr="00BE5136">
        <w:rPr>
          <w:rStyle w:val="Heading6Char"/>
        </w:rPr>
        <w:t>Urban transport</w:t>
      </w:r>
      <w:r w:rsidR="00282D84">
        <w:rPr>
          <w:rStyle w:val="Heading6Char"/>
        </w:rPr>
        <w:t>.</w:t>
      </w:r>
      <w:proofErr w:type="gramEnd"/>
      <w:r w:rsidR="00282D84">
        <w:rPr>
          <w:rStyle w:val="Heading6Char"/>
        </w:rPr>
        <w:t xml:space="preserve"> </w:t>
      </w:r>
      <w:r w:rsidR="00BA70D7">
        <w:t>The assessment of urban t</w:t>
      </w:r>
      <w:r w:rsidR="00794E87">
        <w:t xml:space="preserve">ransport </w:t>
      </w:r>
      <w:r w:rsidR="00DB2E95">
        <w:t xml:space="preserve">net </w:t>
      </w:r>
      <w:r w:rsidR="00794E87">
        <w:t>investment recognises</w:t>
      </w:r>
      <w:r w:rsidR="00BA70D7">
        <w:t xml:space="preserve"> the impact of city size on the need for infrastructure. </w:t>
      </w:r>
      <w:r w:rsidR="0004308F">
        <w:t>Urban areas with</w:t>
      </w:r>
      <w:r w:rsidR="002E3E32">
        <w:t xml:space="preserve"> a population over 20 000 are included in the assessment as </w:t>
      </w:r>
      <w:r w:rsidR="0004308F">
        <w:t>population centres</w:t>
      </w:r>
      <w:r w:rsidR="002E3E32">
        <w:t xml:space="preserve"> with higher needs</w:t>
      </w:r>
      <w:r w:rsidR="00D31243">
        <w:t xml:space="preserve">, with the assessed need for infrastructure per capita being assumed to be proportional </w:t>
      </w:r>
      <w:r w:rsidR="00DB2E95">
        <w:t>to</w:t>
      </w:r>
      <w:r w:rsidR="00D31243">
        <w:t xml:space="preserve"> population. That is, a </w:t>
      </w:r>
      <w:r w:rsidR="0004308F">
        <w:t>population centre</w:t>
      </w:r>
      <w:r w:rsidR="00D31243">
        <w:t xml:space="preserve"> of 5 million people requires twice the urban transport </w:t>
      </w:r>
      <w:r w:rsidR="000F2E51">
        <w:t>infrastructure per capita, and four</w:t>
      </w:r>
      <w:r w:rsidR="00D31243">
        <w:t xml:space="preserve"> times the total infrastructure, as a </w:t>
      </w:r>
      <w:r w:rsidR="0004308F">
        <w:t>population centre</w:t>
      </w:r>
      <w:r w:rsidR="00D31243">
        <w:t xml:space="preserve"> of 2.5 million</w:t>
      </w:r>
      <w:r w:rsidR="002E3E32">
        <w:t xml:space="preserve">. </w:t>
      </w:r>
    </w:p>
    <w:p w:rsidR="005259E4" w:rsidRDefault="00282D84" w:rsidP="005259E4">
      <w:pPr>
        <w:pStyle w:val="CGCNumberedPara"/>
      </w:pPr>
      <w:proofErr w:type="gramStart"/>
      <w:r>
        <w:rPr>
          <w:rStyle w:val="Heading6Char"/>
        </w:rPr>
        <w:t>Other services.</w:t>
      </w:r>
      <w:proofErr w:type="gramEnd"/>
      <w:r>
        <w:rPr>
          <w:rStyle w:val="Heading6Char"/>
        </w:rPr>
        <w:t xml:space="preserve"> </w:t>
      </w:r>
      <w:r w:rsidR="0070627C">
        <w:t xml:space="preserve"> </w:t>
      </w:r>
      <w:r w:rsidR="00E0250B">
        <w:t>Net i</w:t>
      </w:r>
      <w:r w:rsidR="005259E4">
        <w:t>nvestment i</w:t>
      </w:r>
      <w:r w:rsidR="00A342D6">
        <w:t>n</w:t>
      </w:r>
      <w:r w:rsidR="005259E4">
        <w:t xml:space="preserve"> services other than roads and urban transport </w:t>
      </w:r>
      <w:proofErr w:type="gramStart"/>
      <w:r w:rsidR="005259E4">
        <w:t>is assessed</w:t>
      </w:r>
      <w:proofErr w:type="gramEnd"/>
      <w:r w:rsidR="005259E4">
        <w:t xml:space="preserve"> in the other services component. </w:t>
      </w:r>
      <w:r w:rsidR="00794E87">
        <w:t>D</w:t>
      </w:r>
      <w:r w:rsidR="00F129E9">
        <w:t>isabilities reflecting</w:t>
      </w:r>
      <w:r w:rsidR="00A342D6">
        <w:t xml:space="preserve"> the</w:t>
      </w:r>
      <w:r w:rsidR="00F129E9">
        <w:t xml:space="preserve"> quantity of infrastructure required to provide services </w:t>
      </w:r>
      <w:proofErr w:type="gramStart"/>
      <w:r w:rsidR="00F129E9">
        <w:t>are combined and applied to total infrastructure</w:t>
      </w:r>
      <w:proofErr w:type="gramEnd"/>
      <w:r w:rsidR="00F129E9">
        <w:t xml:space="preserve">. Recurrent disabilities, adjusted to exclude elements that do not relate to infrastructure need, </w:t>
      </w:r>
      <w:proofErr w:type="gramStart"/>
      <w:r w:rsidR="00F129E9">
        <w:t>have been used</w:t>
      </w:r>
      <w:proofErr w:type="gramEnd"/>
      <w:r w:rsidR="00F129E9">
        <w:t xml:space="preserve"> as a proxy for infrastructure need. </w:t>
      </w:r>
      <w:r w:rsidR="00794E87">
        <w:t xml:space="preserve">For example, enrolments in government schools </w:t>
      </w:r>
      <w:r w:rsidR="00506F74">
        <w:t xml:space="preserve">affect </w:t>
      </w:r>
      <w:r w:rsidR="00794E87">
        <w:t xml:space="preserve">infrastructure needs and are included while enrolments in private schools do not </w:t>
      </w:r>
      <w:r w:rsidR="00506F74">
        <w:t xml:space="preserve">affect </w:t>
      </w:r>
      <w:r w:rsidR="00794E87">
        <w:t xml:space="preserve">government infrastructure needs and are not included. </w:t>
      </w:r>
    </w:p>
    <w:p w:rsidR="005259E4" w:rsidRPr="005259E4" w:rsidRDefault="00282D84" w:rsidP="005259E4">
      <w:pPr>
        <w:pStyle w:val="CGCNumberedPara"/>
      </w:pPr>
      <w:proofErr w:type="gramStart"/>
      <w:r>
        <w:rPr>
          <w:rStyle w:val="Heading6Char"/>
        </w:rPr>
        <w:t>Land</w:t>
      </w:r>
      <w:r w:rsidR="0070627C" w:rsidRPr="00BE5136">
        <w:rPr>
          <w:rStyle w:val="Heading6Char"/>
        </w:rPr>
        <w:t>.</w:t>
      </w:r>
      <w:proofErr w:type="gramEnd"/>
      <w:r w:rsidR="0070627C">
        <w:t xml:space="preserve"> </w:t>
      </w:r>
      <w:r w:rsidR="005259E4" w:rsidRPr="00F46B46">
        <w:t xml:space="preserve">Investment in land </w:t>
      </w:r>
      <w:proofErr w:type="gramStart"/>
      <w:r w:rsidR="005259E4" w:rsidRPr="00F46B46">
        <w:t>is assessed</w:t>
      </w:r>
      <w:proofErr w:type="gramEnd"/>
      <w:r w:rsidR="005259E4" w:rsidRPr="00F46B46">
        <w:t xml:space="preserve"> on an equal per capita</w:t>
      </w:r>
      <w:r w:rsidR="002E53CA">
        <w:t xml:space="preserve"> (EPC)</w:t>
      </w:r>
      <w:r w:rsidR="005259E4" w:rsidRPr="00F46B46">
        <w:t xml:space="preserve"> basis. </w:t>
      </w:r>
      <w:r w:rsidR="005259E4">
        <w:t>S</w:t>
      </w:r>
      <w:r w:rsidR="005259E4" w:rsidRPr="00F46B46">
        <w:t xml:space="preserve">tocks of general government land and investment in the acquisition of land and </w:t>
      </w:r>
      <w:r w:rsidR="00DB2E95">
        <w:t xml:space="preserve">other </w:t>
      </w:r>
      <w:r w:rsidR="005259E4" w:rsidRPr="00F46B46">
        <w:t xml:space="preserve">non-produced assets do not affect the relativities. </w:t>
      </w:r>
    </w:p>
    <w:p w:rsidR="00E63D09" w:rsidRDefault="00E63D09" w:rsidP="00BE5136">
      <w:pPr>
        <w:pStyle w:val="Heading5"/>
      </w:pPr>
      <w:bookmarkStart w:id="44" w:name="_Toc508716600"/>
      <w:bookmarkStart w:id="45" w:name="_Toc508716716"/>
      <w:bookmarkStart w:id="46" w:name="_Toc508716870"/>
      <w:r>
        <w:t>Depreciation</w:t>
      </w:r>
      <w:bookmarkEnd w:id="44"/>
      <w:bookmarkEnd w:id="45"/>
      <w:bookmarkEnd w:id="46"/>
      <w:r>
        <w:t xml:space="preserve"> </w:t>
      </w:r>
    </w:p>
    <w:p w:rsidR="001E433D" w:rsidRDefault="006146C0" w:rsidP="001E433D">
      <w:pPr>
        <w:pStyle w:val="CGCNumberedPara"/>
        <w:numPr>
          <w:ilvl w:val="1"/>
          <w:numId w:val="3"/>
        </w:numPr>
      </w:pPr>
      <w:r w:rsidRPr="00F46B46">
        <w:t>Th</w:t>
      </w:r>
      <w:r>
        <w:t>e depreciation</w:t>
      </w:r>
      <w:r w:rsidRPr="00F46B46">
        <w:t xml:space="preserve"> </w:t>
      </w:r>
      <w:r w:rsidR="001E433D" w:rsidRPr="00F46B46">
        <w:t>assessment provides States with the capacity to meet the depreciation expenses on their assessed infrastructure stocks assuming they applied the average dep</w:t>
      </w:r>
      <w:r w:rsidR="001E433D">
        <w:t xml:space="preserve">reciation rate. The disabilities relating to the quantity and cost of infrastructure required for roads and other services infrastructure are the same as those applied in the investment assessment. </w:t>
      </w:r>
    </w:p>
    <w:p w:rsidR="001E433D" w:rsidRPr="00F46B46" w:rsidRDefault="001E433D" w:rsidP="001E433D">
      <w:pPr>
        <w:pStyle w:val="CGCNumberedPara"/>
        <w:numPr>
          <w:ilvl w:val="1"/>
          <w:numId w:val="3"/>
        </w:numPr>
      </w:pPr>
      <w:r>
        <w:lastRenderedPageBreak/>
        <w:t xml:space="preserve">The assessment </w:t>
      </w:r>
      <w:r w:rsidRPr="00F46B46">
        <w:t xml:space="preserve">does not include urban transport depreciation because those expenses are part of the net expenses covered by the urban transport assessment. </w:t>
      </w:r>
    </w:p>
    <w:p w:rsidR="00E63D09" w:rsidRDefault="007B7BC5" w:rsidP="00BE5136">
      <w:pPr>
        <w:pStyle w:val="Heading5"/>
      </w:pPr>
      <w:bookmarkStart w:id="47" w:name="_Toc508716601"/>
      <w:bookmarkStart w:id="48" w:name="_Toc508716717"/>
      <w:bookmarkStart w:id="49" w:name="_Toc508716871"/>
      <w:r>
        <w:t>Net borrowing</w:t>
      </w:r>
      <w:bookmarkEnd w:id="47"/>
      <w:bookmarkEnd w:id="48"/>
      <w:bookmarkEnd w:id="49"/>
    </w:p>
    <w:p w:rsidR="008D5730" w:rsidRPr="00D128DD" w:rsidRDefault="008D5730" w:rsidP="006146C0">
      <w:pPr>
        <w:pStyle w:val="CGCNumberedPara"/>
      </w:pPr>
      <w:r>
        <w:t>Net borrowing reflects the extent to which the States’ total outlays on service delivery and investment in infrastructure exceed their total revenue.</w:t>
      </w:r>
      <w:r w:rsidR="006146C0">
        <w:t xml:space="preserve"> </w:t>
      </w:r>
      <w:r w:rsidR="003B5CCA">
        <w:t>The Commission</w:t>
      </w:r>
      <w:r>
        <w:t xml:space="preserve"> assess</w:t>
      </w:r>
      <w:r w:rsidR="003B5CCA">
        <w:t>es</w:t>
      </w:r>
      <w:r>
        <w:t xml:space="preserve"> how much each State would need to borrow if it were to finish a year with the average per</w:t>
      </w:r>
      <w:r w:rsidR="00A57A83">
        <w:t> </w:t>
      </w:r>
      <w:r>
        <w:t xml:space="preserve">capita net financial </w:t>
      </w:r>
      <w:r w:rsidR="00A75C03">
        <w:t>assets</w:t>
      </w:r>
      <w:r>
        <w:t xml:space="preserve">, assuming it began the year with </w:t>
      </w:r>
      <w:r w:rsidRPr="00D128DD">
        <w:t>the average value at that time.</w:t>
      </w:r>
    </w:p>
    <w:p w:rsidR="008D5730" w:rsidRPr="00D128DD" w:rsidRDefault="008D5730" w:rsidP="008D5730">
      <w:pPr>
        <w:pStyle w:val="CGCNumberedPara"/>
      </w:pPr>
      <w:r w:rsidRPr="00D128DD">
        <w:t>Interstate differences in population growth rates are the only driver of differences in net borrowing recognised in this assessment.</w:t>
      </w:r>
      <w:r w:rsidR="00832682" w:rsidRPr="00D128DD">
        <w:t xml:space="preserve"> </w:t>
      </w:r>
      <w:proofErr w:type="gramStart"/>
      <w:r w:rsidRPr="00D128DD">
        <w:t xml:space="preserve">When net financial </w:t>
      </w:r>
      <w:r w:rsidR="00A75C03" w:rsidRPr="00D128DD">
        <w:t>assets are</w:t>
      </w:r>
      <w:r w:rsidRPr="00D128DD">
        <w:t xml:space="preserve"> negative, as is currently the case, </w:t>
      </w:r>
      <w:r w:rsidR="00043837" w:rsidRPr="00D128DD">
        <w:t>States</w:t>
      </w:r>
      <w:r w:rsidR="00A75C03" w:rsidRPr="00D128DD">
        <w:t xml:space="preserve"> hold net liabilities</w:t>
      </w:r>
      <w:r w:rsidR="005F7AC6" w:rsidRPr="00D128DD">
        <w:t>.</w:t>
      </w:r>
      <w:proofErr w:type="gramEnd"/>
      <w:r w:rsidR="005F7AC6" w:rsidRPr="00D128DD">
        <w:t xml:space="preserve"> A State with an above average share of population growth requires less GST</w:t>
      </w:r>
      <w:r w:rsidR="003B5CCA" w:rsidRPr="00D128DD">
        <w:t xml:space="preserve"> revenue</w:t>
      </w:r>
      <w:r w:rsidR="005F7AC6" w:rsidRPr="00D128DD">
        <w:t xml:space="preserve"> to maintain average levels of net financial liabilities because </w:t>
      </w:r>
      <w:r w:rsidR="00D128DD" w:rsidRPr="00D128DD">
        <w:t xml:space="preserve">its fast </w:t>
      </w:r>
      <w:r w:rsidR="005F7AC6" w:rsidRPr="00D128DD">
        <w:t>growing population dilutes the State</w:t>
      </w:r>
      <w:r w:rsidR="00506F74" w:rsidRPr="00D128DD">
        <w:t>’</w:t>
      </w:r>
      <w:r w:rsidR="005F7AC6" w:rsidRPr="00D128DD">
        <w:t xml:space="preserve">s net financial liabilities </w:t>
      </w:r>
      <w:r w:rsidR="00D128DD" w:rsidRPr="00D128DD">
        <w:t>at a faster rate than a slow growing State, leaving it in a stronger financial position.</w:t>
      </w:r>
      <w:r w:rsidR="005F7AC6" w:rsidRPr="00D128DD">
        <w:t xml:space="preserve"> </w:t>
      </w:r>
      <w:r w:rsidR="003B5CCA" w:rsidRPr="00D128DD">
        <w:t xml:space="preserve">Put another way, States with below average population growth will not be able to borrow the average per capita amount </w:t>
      </w:r>
      <w:r w:rsidR="000F224F" w:rsidRPr="00D128DD">
        <w:t xml:space="preserve">(to achieve the average per capita net financial liabilities) </w:t>
      </w:r>
      <w:r w:rsidR="003B5CCA" w:rsidRPr="00D128DD">
        <w:t>and so will require additional GST revenue.</w:t>
      </w:r>
      <w:r w:rsidR="005F7AC6" w:rsidRPr="00D128DD">
        <w:t xml:space="preserve"> </w:t>
      </w:r>
    </w:p>
    <w:p w:rsidR="00E07621" w:rsidRDefault="00E07621" w:rsidP="00E07621">
      <w:pPr>
        <w:pStyle w:val="Heading4"/>
      </w:pPr>
      <w:bookmarkStart w:id="50" w:name="_Toc508716603"/>
      <w:bookmarkStart w:id="51" w:name="_Toc508716719"/>
      <w:bookmarkStart w:id="52" w:name="_Toc508716873"/>
      <w:bookmarkStart w:id="53" w:name="_Toc511816986"/>
      <w:r w:rsidRPr="00D128DD">
        <w:t xml:space="preserve">GST </w:t>
      </w:r>
      <w:r w:rsidR="001C12BC" w:rsidRPr="00D128DD">
        <w:t>re</w:t>
      </w:r>
      <w:r w:rsidRPr="00D128DD">
        <w:t>distribution</w:t>
      </w:r>
      <w:bookmarkEnd w:id="50"/>
      <w:bookmarkEnd w:id="51"/>
      <w:bookmarkEnd w:id="52"/>
      <w:bookmarkEnd w:id="53"/>
    </w:p>
    <w:p w:rsidR="00103DDD" w:rsidRPr="006848EB" w:rsidRDefault="00103DDD" w:rsidP="00103DDD">
      <w:pPr>
        <w:pStyle w:val="CGCNumberedPara"/>
      </w:pPr>
      <w:r w:rsidRPr="006848EB">
        <w:t>In the 201</w:t>
      </w:r>
      <w:r w:rsidR="001E433D" w:rsidRPr="006848EB">
        <w:t>8</w:t>
      </w:r>
      <w:r w:rsidRPr="006848EB">
        <w:t xml:space="preserve"> Update, the Investment assessment redistributed $</w:t>
      </w:r>
      <w:r w:rsidR="001E433D" w:rsidRPr="006848EB">
        <w:t xml:space="preserve">1 </w:t>
      </w:r>
      <w:r w:rsidR="00044ADE">
        <w:t>585</w:t>
      </w:r>
      <w:r w:rsidR="00044ADE" w:rsidRPr="006848EB">
        <w:t xml:space="preserve"> </w:t>
      </w:r>
      <w:r w:rsidRPr="006848EB">
        <w:t>m</w:t>
      </w:r>
      <w:r w:rsidR="001E433D" w:rsidRPr="006848EB">
        <w:t xml:space="preserve">illion towards New South Wales and </w:t>
      </w:r>
      <w:r w:rsidRPr="006848EB">
        <w:t>Victoria</w:t>
      </w:r>
      <w:r w:rsidR="001E433D" w:rsidRPr="006848EB">
        <w:t xml:space="preserve"> </w:t>
      </w:r>
      <w:r w:rsidRPr="006848EB">
        <w:t>away from all other States. While Victoria experienced above average population growth</w:t>
      </w:r>
      <w:r w:rsidR="00E0250B">
        <w:t xml:space="preserve"> over the assessment years, New </w:t>
      </w:r>
      <w:r w:rsidRPr="006848EB">
        <w:t>South Wales’ above average investment needs w</w:t>
      </w:r>
      <w:r w:rsidR="000F224F">
        <w:t>ere</w:t>
      </w:r>
      <w:r w:rsidRPr="006848EB">
        <w:t xml:space="preserve"> largely driven by the major national investment in urban transport, where New South Wales has well above average needs.</w:t>
      </w:r>
    </w:p>
    <w:p w:rsidR="00103DDD" w:rsidRDefault="006848EB" w:rsidP="00103DDD">
      <w:pPr>
        <w:pStyle w:val="CGCNumberedPara"/>
      </w:pPr>
      <w:r w:rsidRPr="006848EB">
        <w:t>Depreciation redistributed $838</w:t>
      </w:r>
      <w:r w:rsidR="006146C0">
        <w:t xml:space="preserve"> </w:t>
      </w:r>
      <w:r w:rsidR="00103DDD" w:rsidRPr="006848EB">
        <w:t xml:space="preserve">million towards Queensland, Western Australia, South Australia, Tasmania and the Northern Territory from New South Wales, Victoria and the ACT. This largely mirrors the pattern in recurrent expense assessments. States with above average costs of service delivery have above average capital requirements and therefore above average consumption of capital. </w:t>
      </w:r>
    </w:p>
    <w:p w:rsidR="00832682" w:rsidRPr="006848EB" w:rsidRDefault="00832682" w:rsidP="00103DDD">
      <w:pPr>
        <w:pStyle w:val="CGCNumberedPara"/>
      </w:pPr>
      <w:r>
        <w:t>Net borrowing redistributed $</w:t>
      </w:r>
      <w:r w:rsidR="002E53CA">
        <w:t>185</w:t>
      </w:r>
      <w:r w:rsidR="00044ADE">
        <w:t xml:space="preserve"> </w:t>
      </w:r>
      <w:r>
        <w:t>million from New South Wales</w:t>
      </w:r>
      <w:r w:rsidR="007C32B8">
        <w:t xml:space="preserve">, </w:t>
      </w:r>
      <w:r>
        <w:t>Victoria</w:t>
      </w:r>
      <w:r w:rsidR="007C32B8">
        <w:t xml:space="preserve"> and the ACT </w:t>
      </w:r>
      <w:r>
        <w:t xml:space="preserve">towards </w:t>
      </w:r>
      <w:r w:rsidR="00DB2E95">
        <w:t xml:space="preserve">the </w:t>
      </w:r>
      <w:r>
        <w:t>other States.</w:t>
      </w:r>
      <w:r w:rsidR="00103C02">
        <w:t xml:space="preserve"> </w:t>
      </w:r>
      <w:r>
        <w:t xml:space="preserve">This reflects </w:t>
      </w:r>
      <w:r w:rsidR="00103C02">
        <w:t xml:space="preserve">the </w:t>
      </w:r>
      <w:r>
        <w:t>above average population growth in these States.</w:t>
      </w:r>
      <w:r w:rsidR="00103C02">
        <w:t xml:space="preserve"> </w:t>
      </w:r>
    </w:p>
    <w:p w:rsidR="000E70A3" w:rsidRDefault="000F0588" w:rsidP="000E70A3">
      <w:pPr>
        <w:pStyle w:val="CGCTableHeading"/>
      </w:pPr>
      <w:bookmarkStart w:id="54" w:name="_Ref496100394"/>
      <w:r>
        <w:lastRenderedPageBreak/>
        <w:t xml:space="preserve">Table </w:t>
      </w:r>
      <w:r w:rsidR="00402501">
        <w:fldChar w:fldCharType="begin"/>
      </w:r>
      <w:r w:rsidR="00402501">
        <w:instrText xml:space="preserve"> SEQ Table \* ARABIC </w:instrText>
      </w:r>
      <w:r w:rsidR="00402501">
        <w:fldChar w:fldCharType="separate"/>
      </w:r>
      <w:r w:rsidR="00402501">
        <w:rPr>
          <w:noProof/>
        </w:rPr>
        <w:t>3</w:t>
      </w:r>
      <w:r w:rsidR="00402501">
        <w:rPr>
          <w:noProof/>
        </w:rPr>
        <w:fldChar w:fldCharType="end"/>
      </w:r>
      <w:bookmarkEnd w:id="54"/>
      <w:r w:rsidR="004B201B">
        <w:tab/>
        <w:t xml:space="preserve">GST </w:t>
      </w:r>
      <w:r w:rsidR="001C12BC">
        <w:t>re</w:t>
      </w:r>
      <w:r w:rsidR="0003081D">
        <w:t xml:space="preserve">distribution, Investment, </w:t>
      </w:r>
      <w:r w:rsidR="004B201B">
        <w:t>Depreciation</w:t>
      </w:r>
      <w:r w:rsidR="0003081D">
        <w:t xml:space="preserve"> and Net borrowing,         </w:t>
      </w:r>
      <w:r w:rsidR="00497BCC">
        <w:t xml:space="preserve"> 2018 Update</w:t>
      </w:r>
    </w:p>
    <w:tbl>
      <w:tblPr>
        <w:tblW w:w="5000" w:type="pct"/>
        <w:tblCellMar>
          <w:left w:w="85" w:type="dxa"/>
          <w:right w:w="85" w:type="dxa"/>
        </w:tblCellMar>
        <w:tblLook w:val="0000" w:firstRow="0" w:lastRow="0" w:firstColumn="0" w:lastColumn="0" w:noHBand="0" w:noVBand="0"/>
      </w:tblPr>
      <w:tblGrid>
        <w:gridCol w:w="2448"/>
        <w:gridCol w:w="732"/>
        <w:gridCol w:w="733"/>
        <w:gridCol w:w="733"/>
        <w:gridCol w:w="733"/>
        <w:gridCol w:w="733"/>
        <w:gridCol w:w="733"/>
        <w:gridCol w:w="733"/>
        <w:gridCol w:w="733"/>
        <w:gridCol w:w="733"/>
      </w:tblGrid>
      <w:tr w:rsidR="000E70A3" w:rsidRPr="00FE3F73" w:rsidTr="00E71B7E">
        <w:tc>
          <w:tcPr>
            <w:tcW w:w="1354" w:type="pct"/>
            <w:tcBorders>
              <w:top w:val="single" w:sz="6" w:space="0" w:color="auto"/>
              <w:bottom w:val="single" w:sz="6" w:space="0" w:color="auto"/>
            </w:tcBorders>
            <w:vAlign w:val="bottom"/>
          </w:tcPr>
          <w:p w:rsidR="000E70A3" w:rsidRPr="00FE3F73" w:rsidRDefault="000E70A3" w:rsidP="00E71B7E">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0E70A3" w:rsidRPr="00FE3F73" w:rsidRDefault="000E70A3" w:rsidP="00E71B7E">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0E70A3" w:rsidRPr="00FE3F73" w:rsidRDefault="000E70A3" w:rsidP="00E71B7E">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0E70A3" w:rsidRPr="00FE3F73" w:rsidRDefault="000E70A3" w:rsidP="00E71B7E">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0E70A3" w:rsidRPr="00FE3F73" w:rsidRDefault="000E70A3" w:rsidP="00E71B7E">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0E70A3" w:rsidRPr="00FE3F73" w:rsidRDefault="000E70A3" w:rsidP="00E71B7E">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0E70A3" w:rsidRPr="00FE3F73" w:rsidRDefault="000E70A3" w:rsidP="00E71B7E">
            <w:pPr>
              <w:pStyle w:val="TableColHeadings"/>
              <w:rPr>
                <w:rFonts w:cstheme="minorHAnsi"/>
              </w:rPr>
            </w:pPr>
            <w:r w:rsidRPr="00FE3F73">
              <w:rPr>
                <w:rFonts w:cstheme="minorHAnsi"/>
              </w:rPr>
              <w:t>Tas</w:t>
            </w:r>
          </w:p>
        </w:tc>
        <w:tc>
          <w:tcPr>
            <w:tcW w:w="405" w:type="pct"/>
            <w:tcBorders>
              <w:top w:val="single" w:sz="6" w:space="0" w:color="auto"/>
              <w:bottom w:val="single" w:sz="6" w:space="0" w:color="auto"/>
            </w:tcBorders>
            <w:vAlign w:val="bottom"/>
          </w:tcPr>
          <w:p w:rsidR="000E70A3" w:rsidRPr="00FE3F73" w:rsidRDefault="000E70A3" w:rsidP="00E71B7E">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0E70A3" w:rsidRPr="00FE3F73" w:rsidRDefault="000E70A3" w:rsidP="00E71B7E">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0E70A3" w:rsidRPr="00FE3F73" w:rsidRDefault="000E70A3" w:rsidP="00E71B7E">
            <w:pPr>
              <w:pStyle w:val="TableColHeadings"/>
              <w:rPr>
                <w:rFonts w:cstheme="minorHAnsi"/>
              </w:rPr>
            </w:pPr>
            <w:proofErr w:type="spellStart"/>
            <w:r>
              <w:rPr>
                <w:rFonts w:cstheme="minorHAnsi"/>
              </w:rPr>
              <w:t>Redist</w:t>
            </w:r>
            <w:proofErr w:type="spellEnd"/>
          </w:p>
        </w:tc>
      </w:tr>
      <w:tr w:rsidR="000E70A3" w:rsidRPr="00FE3F73" w:rsidTr="00E71B7E">
        <w:tc>
          <w:tcPr>
            <w:tcW w:w="1354" w:type="pct"/>
            <w:tcMar>
              <w:top w:w="0" w:type="dxa"/>
              <w:bottom w:w="0" w:type="dxa"/>
            </w:tcMar>
            <w:vAlign w:val="bottom"/>
          </w:tcPr>
          <w:p w:rsidR="000E70A3" w:rsidRPr="00FE3F73" w:rsidRDefault="000E70A3" w:rsidP="00E71B7E">
            <w:pPr>
              <w:pStyle w:val="CGCTableStub"/>
              <w:spacing w:before="0" w:after="0" w:line="240" w:lineRule="auto"/>
              <w:jc w:val="right"/>
              <w:rPr>
                <w:rFonts w:cstheme="minorHAnsi"/>
              </w:rPr>
            </w:pPr>
          </w:p>
        </w:tc>
        <w:tc>
          <w:tcPr>
            <w:tcW w:w="405" w:type="pct"/>
            <w:tcMar>
              <w:top w:w="0" w:type="dxa"/>
              <w:bottom w:w="0" w:type="dxa"/>
            </w:tcMar>
            <w:vAlign w:val="bottom"/>
          </w:tcPr>
          <w:p w:rsidR="000E70A3" w:rsidRPr="00FE3F73" w:rsidRDefault="000E70A3" w:rsidP="00E71B7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0E70A3" w:rsidRPr="00FE3F73" w:rsidRDefault="000E70A3" w:rsidP="00E71B7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0E70A3" w:rsidRPr="00FE3F73" w:rsidRDefault="000E70A3" w:rsidP="00E71B7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0E70A3" w:rsidRPr="00FE3F73" w:rsidRDefault="000E70A3" w:rsidP="00E71B7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0E70A3" w:rsidRPr="00FE3F73" w:rsidRDefault="000E70A3" w:rsidP="00E71B7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0E70A3" w:rsidRPr="00FE3F73" w:rsidRDefault="000E70A3" w:rsidP="00E71B7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0E70A3" w:rsidRPr="00FE3F73" w:rsidRDefault="000E70A3" w:rsidP="00E71B7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0E70A3" w:rsidRPr="00FE3F73" w:rsidRDefault="000E70A3" w:rsidP="00E71B7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0E70A3" w:rsidRPr="00FE3F73" w:rsidRDefault="000E70A3" w:rsidP="00E71B7E">
            <w:pPr>
              <w:pStyle w:val="TableRowNormal"/>
              <w:spacing w:before="0" w:after="0" w:line="240" w:lineRule="auto"/>
              <w:ind w:left="0" w:firstLine="0"/>
              <w:rPr>
                <w:rFonts w:cstheme="minorHAnsi"/>
              </w:rPr>
            </w:pPr>
            <w:r>
              <w:rPr>
                <w:rFonts w:cstheme="minorHAnsi"/>
              </w:rPr>
              <w:t>$m</w:t>
            </w:r>
          </w:p>
        </w:tc>
      </w:tr>
      <w:tr w:rsidR="000E70A3" w:rsidRPr="00FE3F73" w:rsidTr="00E71B7E">
        <w:tc>
          <w:tcPr>
            <w:tcW w:w="1354" w:type="pct"/>
            <w:vAlign w:val="bottom"/>
          </w:tcPr>
          <w:p w:rsidR="000E70A3" w:rsidRPr="00FE3F73" w:rsidRDefault="000E70A3" w:rsidP="00E71B7E">
            <w:pPr>
              <w:pStyle w:val="CGCTableStub"/>
              <w:tabs>
                <w:tab w:val="left" w:pos="142"/>
                <w:tab w:val="left" w:pos="425"/>
                <w:tab w:val="left" w:pos="709"/>
                <w:tab w:val="left" w:pos="851"/>
              </w:tabs>
              <w:ind w:left="142" w:hanging="142"/>
              <w:rPr>
                <w:rFonts w:cstheme="minorHAnsi"/>
              </w:rPr>
            </w:pPr>
            <w:r>
              <w:rPr>
                <w:rFonts w:cstheme="minorHAnsi"/>
              </w:rPr>
              <w:t>Investment</w:t>
            </w:r>
          </w:p>
        </w:tc>
        <w:tc>
          <w:tcPr>
            <w:tcW w:w="405" w:type="pct"/>
            <w:vAlign w:val="bottom"/>
          </w:tcPr>
          <w:p w:rsidR="000E70A3" w:rsidRPr="00F9073C" w:rsidRDefault="000E70A3" w:rsidP="00E71B7E">
            <w:pPr>
              <w:pStyle w:val="TableRowNormal"/>
              <w:ind w:left="0" w:firstLine="0"/>
              <w:rPr>
                <w:rFonts w:cstheme="minorHAnsi"/>
              </w:rPr>
            </w:pPr>
          </w:p>
        </w:tc>
        <w:tc>
          <w:tcPr>
            <w:tcW w:w="405" w:type="pct"/>
            <w:vAlign w:val="bottom"/>
          </w:tcPr>
          <w:p w:rsidR="000E70A3" w:rsidRPr="00F9073C" w:rsidRDefault="000E70A3" w:rsidP="00E71B7E">
            <w:pPr>
              <w:pStyle w:val="TableRowNormal"/>
              <w:ind w:left="0" w:firstLine="0"/>
              <w:rPr>
                <w:rFonts w:cstheme="minorHAnsi"/>
              </w:rPr>
            </w:pPr>
          </w:p>
        </w:tc>
        <w:tc>
          <w:tcPr>
            <w:tcW w:w="405" w:type="pct"/>
            <w:vAlign w:val="bottom"/>
          </w:tcPr>
          <w:p w:rsidR="000E70A3" w:rsidRPr="00F9073C" w:rsidRDefault="000E70A3" w:rsidP="00E71B7E">
            <w:pPr>
              <w:pStyle w:val="TableRowNormal"/>
              <w:ind w:left="0" w:firstLine="0"/>
              <w:rPr>
                <w:rFonts w:cstheme="minorHAnsi"/>
              </w:rPr>
            </w:pPr>
          </w:p>
        </w:tc>
        <w:tc>
          <w:tcPr>
            <w:tcW w:w="405" w:type="pct"/>
            <w:vAlign w:val="bottom"/>
          </w:tcPr>
          <w:p w:rsidR="000E70A3" w:rsidRPr="00F9073C" w:rsidRDefault="000E70A3" w:rsidP="00E71B7E">
            <w:pPr>
              <w:pStyle w:val="TableRowNormal"/>
              <w:ind w:left="0" w:firstLine="0"/>
              <w:rPr>
                <w:rFonts w:cstheme="minorHAnsi"/>
              </w:rPr>
            </w:pPr>
          </w:p>
        </w:tc>
        <w:tc>
          <w:tcPr>
            <w:tcW w:w="405" w:type="pct"/>
            <w:vAlign w:val="bottom"/>
          </w:tcPr>
          <w:p w:rsidR="000E70A3" w:rsidRPr="00F9073C" w:rsidRDefault="000E70A3" w:rsidP="00E71B7E">
            <w:pPr>
              <w:pStyle w:val="TableRowNormal"/>
              <w:ind w:left="0" w:firstLine="0"/>
              <w:rPr>
                <w:rFonts w:cstheme="minorHAnsi"/>
              </w:rPr>
            </w:pPr>
          </w:p>
        </w:tc>
        <w:tc>
          <w:tcPr>
            <w:tcW w:w="405" w:type="pct"/>
            <w:vAlign w:val="bottom"/>
          </w:tcPr>
          <w:p w:rsidR="000E70A3" w:rsidRPr="00F9073C" w:rsidRDefault="000E70A3" w:rsidP="00E71B7E">
            <w:pPr>
              <w:pStyle w:val="TableRowNormal"/>
              <w:ind w:left="0" w:firstLine="0"/>
              <w:rPr>
                <w:rFonts w:cstheme="minorHAnsi"/>
              </w:rPr>
            </w:pPr>
          </w:p>
        </w:tc>
        <w:tc>
          <w:tcPr>
            <w:tcW w:w="405" w:type="pct"/>
            <w:vAlign w:val="bottom"/>
          </w:tcPr>
          <w:p w:rsidR="000E70A3" w:rsidRPr="00F9073C" w:rsidRDefault="000E70A3" w:rsidP="00E71B7E">
            <w:pPr>
              <w:pStyle w:val="TableRowNormal"/>
              <w:ind w:left="0" w:firstLine="0"/>
              <w:rPr>
                <w:rFonts w:cstheme="minorHAnsi"/>
              </w:rPr>
            </w:pPr>
          </w:p>
        </w:tc>
        <w:tc>
          <w:tcPr>
            <w:tcW w:w="405" w:type="pct"/>
            <w:vAlign w:val="bottom"/>
          </w:tcPr>
          <w:p w:rsidR="000E70A3" w:rsidRPr="00F9073C" w:rsidRDefault="000E70A3" w:rsidP="00E71B7E">
            <w:pPr>
              <w:pStyle w:val="TableRowNormal"/>
              <w:ind w:left="0" w:firstLine="0"/>
              <w:rPr>
                <w:rFonts w:cstheme="minorHAnsi"/>
              </w:rPr>
            </w:pPr>
          </w:p>
        </w:tc>
        <w:tc>
          <w:tcPr>
            <w:tcW w:w="405" w:type="pct"/>
            <w:vAlign w:val="bottom"/>
          </w:tcPr>
          <w:p w:rsidR="000E70A3" w:rsidRPr="00F9073C" w:rsidRDefault="000E70A3" w:rsidP="00E71B7E">
            <w:pPr>
              <w:pStyle w:val="TableRowNormal"/>
              <w:ind w:left="0" w:firstLine="0"/>
              <w:rPr>
                <w:rFonts w:cstheme="minorHAnsi"/>
              </w:rPr>
            </w:pPr>
          </w:p>
        </w:tc>
      </w:tr>
      <w:tr w:rsidR="000E70A3" w:rsidRPr="00FE3F73" w:rsidTr="00E71B7E">
        <w:tc>
          <w:tcPr>
            <w:tcW w:w="1354" w:type="pct"/>
            <w:vAlign w:val="bottom"/>
          </w:tcPr>
          <w:p w:rsidR="000E70A3" w:rsidRPr="00741FF2" w:rsidRDefault="000E70A3" w:rsidP="00E71B7E">
            <w:pPr>
              <w:keepNext/>
              <w:rPr>
                <w:rFonts w:ascii="Calibri" w:hAnsi="Calibri" w:cs="Calibri"/>
                <w:sz w:val="20"/>
                <w:szCs w:val="20"/>
              </w:rPr>
            </w:pPr>
            <w:r>
              <w:rPr>
                <w:rFonts w:ascii="Calibri" w:hAnsi="Calibri" w:cs="Calibri"/>
                <w:sz w:val="20"/>
                <w:szCs w:val="20"/>
              </w:rPr>
              <w:t xml:space="preserve">   Roads</w:t>
            </w:r>
          </w:p>
        </w:tc>
        <w:tc>
          <w:tcPr>
            <w:tcW w:w="405" w:type="pct"/>
            <w:vAlign w:val="bottom"/>
          </w:tcPr>
          <w:p w:rsidR="000E70A3" w:rsidRPr="00F9073C" w:rsidRDefault="003A2A04" w:rsidP="005F7AC6">
            <w:pPr>
              <w:pStyle w:val="TableRowNormal"/>
              <w:ind w:left="0" w:firstLine="0"/>
              <w:rPr>
                <w:rFonts w:cstheme="minorHAnsi"/>
              </w:rPr>
            </w:pPr>
            <w:r>
              <w:rPr>
                <w:rFonts w:cstheme="minorHAnsi"/>
              </w:rPr>
              <w:t>8</w:t>
            </w:r>
            <w:r w:rsidR="005F7AC6">
              <w:rPr>
                <w:rFonts w:cstheme="minorHAnsi"/>
              </w:rPr>
              <w:t>2</w:t>
            </w:r>
          </w:p>
        </w:tc>
        <w:tc>
          <w:tcPr>
            <w:tcW w:w="405" w:type="pct"/>
            <w:vAlign w:val="bottom"/>
          </w:tcPr>
          <w:p w:rsidR="000E70A3" w:rsidRPr="00F9073C" w:rsidRDefault="007C32B8" w:rsidP="007C32B8">
            <w:pPr>
              <w:pStyle w:val="TableRowNormal"/>
              <w:ind w:left="0" w:firstLine="0"/>
              <w:rPr>
                <w:rFonts w:cstheme="minorHAnsi"/>
              </w:rPr>
            </w:pPr>
            <w:r>
              <w:rPr>
                <w:rFonts w:cstheme="minorHAnsi"/>
              </w:rPr>
              <w:t>153</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-1</w:t>
            </w:r>
            <w:r w:rsidR="007C32B8">
              <w:rPr>
                <w:rFonts w:cstheme="minorHAnsi"/>
              </w:rPr>
              <w:t>4</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w:t>
            </w:r>
            <w:r w:rsidR="007C32B8">
              <w:rPr>
                <w:rFonts w:cstheme="minorHAnsi"/>
              </w:rPr>
              <w:t>132</w:t>
            </w:r>
          </w:p>
        </w:tc>
        <w:tc>
          <w:tcPr>
            <w:tcW w:w="405" w:type="pct"/>
            <w:vAlign w:val="bottom"/>
          </w:tcPr>
          <w:p w:rsidR="000E70A3" w:rsidRPr="00F9073C" w:rsidRDefault="003A2A04" w:rsidP="00E71B7E">
            <w:pPr>
              <w:pStyle w:val="TableRowNormal"/>
              <w:ind w:left="0" w:firstLine="0"/>
              <w:rPr>
                <w:rFonts w:cstheme="minorHAnsi"/>
              </w:rPr>
            </w:pPr>
            <w:r>
              <w:rPr>
                <w:rFonts w:cstheme="minorHAnsi"/>
              </w:rPr>
              <w:t>-61</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-2</w:t>
            </w:r>
            <w:r w:rsidR="007C32B8">
              <w:rPr>
                <w:rFonts w:cstheme="minorHAnsi"/>
              </w:rPr>
              <w:t>5</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w:t>
            </w:r>
            <w:r w:rsidR="007C32B8">
              <w:rPr>
                <w:rFonts w:cstheme="minorHAnsi"/>
              </w:rPr>
              <w:t>4</w:t>
            </w:r>
          </w:p>
        </w:tc>
        <w:tc>
          <w:tcPr>
            <w:tcW w:w="405" w:type="pct"/>
            <w:vAlign w:val="bottom"/>
          </w:tcPr>
          <w:p w:rsidR="000E70A3" w:rsidRPr="00F9073C" w:rsidRDefault="003A2A04" w:rsidP="00E71B7E">
            <w:pPr>
              <w:pStyle w:val="TableRowNormal"/>
              <w:ind w:left="0" w:firstLine="0"/>
              <w:rPr>
                <w:rFonts w:cstheme="minorHAnsi"/>
              </w:rPr>
            </w:pPr>
            <w:r>
              <w:rPr>
                <w:rFonts w:cstheme="minorHAnsi"/>
              </w:rPr>
              <w:t>1</w:t>
            </w:r>
          </w:p>
        </w:tc>
        <w:tc>
          <w:tcPr>
            <w:tcW w:w="405" w:type="pct"/>
            <w:vAlign w:val="bottom"/>
          </w:tcPr>
          <w:p w:rsidR="000E70A3" w:rsidRPr="00F9073C" w:rsidRDefault="007C32B8" w:rsidP="007C32B8">
            <w:pPr>
              <w:pStyle w:val="TableRowNormal"/>
              <w:ind w:left="0" w:firstLine="0"/>
              <w:rPr>
                <w:rFonts w:cstheme="minorHAnsi"/>
              </w:rPr>
            </w:pPr>
            <w:r>
              <w:rPr>
                <w:rFonts w:cstheme="minorHAnsi"/>
              </w:rPr>
              <w:t>236</w:t>
            </w:r>
          </w:p>
        </w:tc>
      </w:tr>
      <w:tr w:rsidR="000E70A3" w:rsidRPr="00FE3F73" w:rsidTr="00E71B7E">
        <w:tc>
          <w:tcPr>
            <w:tcW w:w="1354" w:type="pct"/>
            <w:vAlign w:val="bottom"/>
          </w:tcPr>
          <w:p w:rsidR="000E70A3" w:rsidRPr="00741FF2" w:rsidRDefault="000E70A3" w:rsidP="00E71B7E">
            <w:pPr>
              <w:keepNext/>
              <w:rPr>
                <w:rFonts w:ascii="Calibri" w:hAnsi="Calibri" w:cs="Calibri"/>
                <w:sz w:val="20"/>
                <w:szCs w:val="20"/>
              </w:rPr>
            </w:pPr>
            <w:r>
              <w:rPr>
                <w:rFonts w:ascii="Calibri" w:hAnsi="Calibri" w:cs="Calibri"/>
                <w:sz w:val="20"/>
                <w:szCs w:val="20"/>
              </w:rPr>
              <w:t xml:space="preserve">   Urban transport</w:t>
            </w:r>
          </w:p>
        </w:tc>
        <w:tc>
          <w:tcPr>
            <w:tcW w:w="405" w:type="pct"/>
            <w:vAlign w:val="bottom"/>
          </w:tcPr>
          <w:p w:rsidR="000E70A3" w:rsidRPr="00F9073C" w:rsidRDefault="007C32B8" w:rsidP="007C32B8">
            <w:pPr>
              <w:pStyle w:val="TableRowNormal"/>
              <w:ind w:left="0" w:firstLine="0"/>
              <w:rPr>
                <w:rFonts w:cstheme="minorHAnsi"/>
              </w:rPr>
            </w:pPr>
            <w:r>
              <w:rPr>
                <w:rFonts w:cstheme="minorHAnsi"/>
              </w:rPr>
              <w:t>198</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5</w:t>
            </w:r>
            <w:r w:rsidR="007C32B8">
              <w:rPr>
                <w:rFonts w:cstheme="minorHAnsi"/>
              </w:rPr>
              <w:t>95</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-3</w:t>
            </w:r>
            <w:r w:rsidR="007C32B8">
              <w:rPr>
                <w:rFonts w:cstheme="minorHAnsi"/>
              </w:rPr>
              <w:t>3</w:t>
            </w:r>
            <w:r>
              <w:rPr>
                <w:rFonts w:cstheme="minorHAnsi"/>
              </w:rPr>
              <w:t>8</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-1</w:t>
            </w:r>
            <w:r w:rsidR="007C32B8">
              <w:rPr>
                <w:rFonts w:cstheme="minorHAnsi"/>
              </w:rPr>
              <w:t>47</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-17</w:t>
            </w:r>
            <w:r w:rsidR="007C32B8">
              <w:rPr>
                <w:rFonts w:cstheme="minorHAnsi"/>
              </w:rPr>
              <w:t>3</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-7</w:t>
            </w:r>
            <w:r w:rsidR="007C32B8">
              <w:rPr>
                <w:rFonts w:cstheme="minorHAnsi"/>
              </w:rPr>
              <w:t>8</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-2</w:t>
            </w:r>
            <w:r w:rsidR="007C32B8">
              <w:rPr>
                <w:rFonts w:cstheme="minorHAnsi"/>
              </w:rPr>
              <w:t>5</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-3</w:t>
            </w:r>
            <w:r w:rsidR="007C32B8">
              <w:rPr>
                <w:rFonts w:cstheme="minorHAnsi"/>
              </w:rPr>
              <w:t>3</w:t>
            </w:r>
          </w:p>
        </w:tc>
        <w:tc>
          <w:tcPr>
            <w:tcW w:w="405" w:type="pct"/>
            <w:vAlign w:val="bottom"/>
          </w:tcPr>
          <w:p w:rsidR="000E70A3" w:rsidRPr="00F9073C" w:rsidRDefault="003A2A04" w:rsidP="007C32B8">
            <w:pPr>
              <w:pStyle w:val="TableRowNormal"/>
              <w:ind w:left="0" w:firstLine="0"/>
              <w:rPr>
                <w:rFonts w:cstheme="minorHAnsi"/>
              </w:rPr>
            </w:pPr>
            <w:r>
              <w:rPr>
                <w:rFonts w:cstheme="minorHAnsi"/>
              </w:rPr>
              <w:t>7</w:t>
            </w:r>
            <w:r w:rsidR="007C32B8">
              <w:rPr>
                <w:rFonts w:cstheme="minorHAnsi"/>
              </w:rPr>
              <w:t>9</w:t>
            </w:r>
            <w:r>
              <w:rPr>
                <w:rFonts w:cstheme="minorHAnsi"/>
              </w:rPr>
              <w:t>3</w:t>
            </w:r>
          </w:p>
        </w:tc>
      </w:tr>
      <w:tr w:rsidR="000E70A3" w:rsidRPr="00FE3F73" w:rsidTr="000E70A3">
        <w:tc>
          <w:tcPr>
            <w:tcW w:w="1354" w:type="pct"/>
            <w:vAlign w:val="bottom"/>
          </w:tcPr>
          <w:p w:rsidR="000E70A3" w:rsidRPr="00741FF2" w:rsidRDefault="000E70A3" w:rsidP="00BB1D01">
            <w:pPr>
              <w:rPr>
                <w:rFonts w:ascii="Calibri" w:hAnsi="Calibri" w:cs="Calibri"/>
                <w:sz w:val="20"/>
                <w:szCs w:val="20"/>
              </w:rPr>
            </w:pPr>
            <w:r>
              <w:rPr>
                <w:rFonts w:ascii="Calibri" w:hAnsi="Calibri" w:cs="Calibri"/>
                <w:sz w:val="20"/>
                <w:szCs w:val="20"/>
              </w:rPr>
              <w:t xml:space="preserve">   Other </w:t>
            </w:r>
            <w:r w:rsidR="002C02A5">
              <w:rPr>
                <w:rFonts w:ascii="Calibri" w:hAnsi="Calibri" w:cs="Calibri"/>
                <w:sz w:val="20"/>
                <w:szCs w:val="20"/>
              </w:rPr>
              <w:t>services</w:t>
            </w:r>
          </w:p>
        </w:tc>
        <w:tc>
          <w:tcPr>
            <w:tcW w:w="405" w:type="pct"/>
            <w:tcBorders>
              <w:bottom w:val="single" w:sz="4" w:space="0" w:color="auto"/>
            </w:tcBorders>
            <w:vAlign w:val="bottom"/>
          </w:tcPr>
          <w:p w:rsidR="000E70A3" w:rsidRPr="00F9073C" w:rsidRDefault="007C32B8" w:rsidP="007C32B8">
            <w:pPr>
              <w:pStyle w:val="TableRowNormal"/>
              <w:ind w:left="0" w:firstLine="0"/>
              <w:rPr>
                <w:rFonts w:cstheme="minorHAnsi"/>
              </w:rPr>
            </w:pPr>
            <w:r>
              <w:rPr>
                <w:rFonts w:cstheme="minorHAnsi"/>
              </w:rPr>
              <w:t>53</w:t>
            </w:r>
          </w:p>
        </w:tc>
        <w:tc>
          <w:tcPr>
            <w:tcW w:w="405" w:type="pct"/>
            <w:tcBorders>
              <w:bottom w:val="single" w:sz="4" w:space="0" w:color="auto"/>
            </w:tcBorders>
            <w:vAlign w:val="bottom"/>
          </w:tcPr>
          <w:p w:rsidR="000E70A3" w:rsidRPr="00F9073C" w:rsidRDefault="007C32B8" w:rsidP="007C32B8">
            <w:pPr>
              <w:pStyle w:val="TableRowNormal"/>
              <w:ind w:left="0" w:firstLine="0"/>
              <w:rPr>
                <w:rFonts w:cstheme="minorHAnsi"/>
              </w:rPr>
            </w:pPr>
            <w:r>
              <w:rPr>
                <w:rFonts w:cstheme="minorHAnsi"/>
              </w:rPr>
              <w:t>504</w:t>
            </w:r>
          </w:p>
        </w:tc>
        <w:tc>
          <w:tcPr>
            <w:tcW w:w="405" w:type="pct"/>
            <w:tcBorders>
              <w:bottom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w:t>
            </w:r>
            <w:r w:rsidR="007C32B8">
              <w:rPr>
                <w:rFonts w:cstheme="minorHAnsi"/>
              </w:rPr>
              <w:t>74</w:t>
            </w:r>
          </w:p>
        </w:tc>
        <w:tc>
          <w:tcPr>
            <w:tcW w:w="405" w:type="pct"/>
            <w:tcBorders>
              <w:bottom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w:t>
            </w:r>
            <w:r w:rsidR="007C32B8">
              <w:rPr>
                <w:rFonts w:cstheme="minorHAnsi"/>
              </w:rPr>
              <w:t>206</w:t>
            </w:r>
          </w:p>
        </w:tc>
        <w:tc>
          <w:tcPr>
            <w:tcW w:w="405" w:type="pct"/>
            <w:tcBorders>
              <w:bottom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-9</w:t>
            </w:r>
            <w:r w:rsidR="007C32B8">
              <w:rPr>
                <w:rFonts w:cstheme="minorHAnsi"/>
              </w:rPr>
              <w:t>7</w:t>
            </w:r>
          </w:p>
        </w:tc>
        <w:tc>
          <w:tcPr>
            <w:tcW w:w="405" w:type="pct"/>
            <w:tcBorders>
              <w:bottom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-5</w:t>
            </w:r>
            <w:r w:rsidR="007C32B8">
              <w:rPr>
                <w:rFonts w:cstheme="minorHAnsi"/>
              </w:rPr>
              <w:t>6</w:t>
            </w:r>
          </w:p>
        </w:tc>
        <w:tc>
          <w:tcPr>
            <w:tcW w:w="405" w:type="pct"/>
            <w:tcBorders>
              <w:bottom w:val="single" w:sz="4" w:space="0" w:color="auto"/>
            </w:tcBorders>
            <w:vAlign w:val="bottom"/>
          </w:tcPr>
          <w:p w:rsidR="000E70A3" w:rsidRPr="00F9073C" w:rsidRDefault="007C32B8" w:rsidP="00E71B7E">
            <w:pPr>
              <w:pStyle w:val="TableRowNormal"/>
              <w:ind w:left="0" w:firstLine="0"/>
              <w:rPr>
                <w:rFonts w:cstheme="minorHAnsi"/>
              </w:rPr>
            </w:pPr>
            <w:r>
              <w:rPr>
                <w:rFonts w:cstheme="minorHAnsi"/>
              </w:rPr>
              <w:t>9</w:t>
            </w:r>
          </w:p>
        </w:tc>
        <w:tc>
          <w:tcPr>
            <w:tcW w:w="405" w:type="pct"/>
            <w:tcBorders>
              <w:bottom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-13</w:t>
            </w:r>
            <w:r w:rsidR="007C32B8">
              <w:rPr>
                <w:rFonts w:cstheme="minorHAnsi"/>
              </w:rPr>
              <w:t>3</w:t>
            </w:r>
          </w:p>
        </w:tc>
        <w:tc>
          <w:tcPr>
            <w:tcW w:w="405" w:type="pct"/>
            <w:tcBorders>
              <w:bottom w:val="single" w:sz="4" w:space="0" w:color="auto"/>
            </w:tcBorders>
            <w:vAlign w:val="bottom"/>
          </w:tcPr>
          <w:p w:rsidR="000E70A3" w:rsidRPr="00F9073C" w:rsidRDefault="007C32B8" w:rsidP="007C32B8">
            <w:pPr>
              <w:pStyle w:val="TableRowNormal"/>
              <w:ind w:left="0" w:firstLine="0"/>
              <w:rPr>
                <w:rFonts w:cstheme="minorHAnsi"/>
              </w:rPr>
            </w:pPr>
            <w:r>
              <w:rPr>
                <w:rFonts w:cstheme="minorHAnsi"/>
              </w:rPr>
              <w:t>566</w:t>
            </w:r>
          </w:p>
        </w:tc>
      </w:tr>
      <w:tr w:rsidR="000E70A3" w:rsidRPr="00FE3F73" w:rsidTr="00156373">
        <w:tc>
          <w:tcPr>
            <w:tcW w:w="1354" w:type="pct"/>
            <w:vAlign w:val="bottom"/>
          </w:tcPr>
          <w:p w:rsidR="000E70A3" w:rsidRPr="00741FF2" w:rsidRDefault="000E70A3" w:rsidP="00E71B7E">
            <w:pPr>
              <w:keepNext/>
              <w:rPr>
                <w:rFonts w:ascii="Calibri" w:hAnsi="Calibri" w:cs="Calibri"/>
                <w:sz w:val="20"/>
                <w:szCs w:val="20"/>
              </w:rPr>
            </w:pPr>
            <w:r>
              <w:rPr>
                <w:rFonts w:ascii="Calibri" w:hAnsi="Calibri" w:cs="Calibri"/>
                <w:sz w:val="20"/>
                <w:szCs w:val="20"/>
              </w:rPr>
              <w:t xml:space="preserve">   Total</w:t>
            </w:r>
            <w:r w:rsidR="00497BCC">
              <w:rPr>
                <w:rFonts w:ascii="Calibri" w:hAnsi="Calibri" w:cs="Calibri"/>
                <w:sz w:val="20"/>
                <w:szCs w:val="20"/>
              </w:rPr>
              <w:t xml:space="preserve"> Investment</w:t>
            </w:r>
          </w:p>
        </w:tc>
        <w:tc>
          <w:tcPr>
            <w:tcW w:w="405" w:type="pct"/>
            <w:tcBorders>
              <w:top w:val="single" w:sz="4" w:space="0" w:color="auto"/>
            </w:tcBorders>
            <w:vAlign w:val="bottom"/>
          </w:tcPr>
          <w:p w:rsidR="000E70A3" w:rsidRPr="00F9073C" w:rsidRDefault="007C32B8" w:rsidP="00E71B7E">
            <w:pPr>
              <w:pStyle w:val="TableRowNormal"/>
              <w:ind w:left="0" w:firstLine="0"/>
              <w:rPr>
                <w:rFonts w:cstheme="minorHAnsi"/>
              </w:rPr>
            </w:pPr>
            <w:r>
              <w:rPr>
                <w:rFonts w:cstheme="minorHAnsi"/>
              </w:rPr>
              <w:t>332</w:t>
            </w:r>
          </w:p>
        </w:tc>
        <w:tc>
          <w:tcPr>
            <w:tcW w:w="405" w:type="pct"/>
            <w:tcBorders>
              <w:top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1</w:t>
            </w:r>
            <w:r w:rsidR="007C32B8">
              <w:rPr>
                <w:rFonts w:cstheme="minorHAnsi"/>
              </w:rPr>
              <w:t xml:space="preserve"> 252</w:t>
            </w:r>
          </w:p>
        </w:tc>
        <w:tc>
          <w:tcPr>
            <w:tcW w:w="405" w:type="pct"/>
            <w:tcBorders>
              <w:top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w:t>
            </w:r>
            <w:r w:rsidR="007C32B8">
              <w:rPr>
                <w:rFonts w:cstheme="minorHAnsi"/>
              </w:rPr>
              <w:t>425</w:t>
            </w:r>
          </w:p>
        </w:tc>
        <w:tc>
          <w:tcPr>
            <w:tcW w:w="405" w:type="pct"/>
            <w:tcBorders>
              <w:top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w:t>
            </w:r>
            <w:r w:rsidR="007C32B8">
              <w:rPr>
                <w:rFonts w:cstheme="minorHAnsi"/>
              </w:rPr>
              <w:t>484</w:t>
            </w:r>
          </w:p>
        </w:tc>
        <w:tc>
          <w:tcPr>
            <w:tcW w:w="405" w:type="pct"/>
            <w:tcBorders>
              <w:top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-3</w:t>
            </w:r>
            <w:r w:rsidR="007C32B8">
              <w:rPr>
                <w:rFonts w:cstheme="minorHAnsi"/>
              </w:rPr>
              <w:t>32</w:t>
            </w:r>
          </w:p>
        </w:tc>
        <w:tc>
          <w:tcPr>
            <w:tcW w:w="405" w:type="pct"/>
            <w:tcBorders>
              <w:top w:val="single" w:sz="4" w:space="0" w:color="auto"/>
            </w:tcBorders>
            <w:vAlign w:val="bottom"/>
          </w:tcPr>
          <w:p w:rsidR="000E70A3" w:rsidRPr="00F9073C" w:rsidRDefault="003A2A04" w:rsidP="00E71B7E">
            <w:pPr>
              <w:pStyle w:val="TableRowNormal"/>
              <w:ind w:left="0" w:firstLine="0"/>
              <w:rPr>
                <w:rFonts w:cstheme="minorHAnsi"/>
              </w:rPr>
            </w:pPr>
            <w:r>
              <w:rPr>
                <w:rFonts w:cstheme="minorHAnsi"/>
              </w:rPr>
              <w:t>-15</w:t>
            </w:r>
            <w:r w:rsidR="007C32B8">
              <w:rPr>
                <w:rFonts w:cstheme="minorHAnsi"/>
              </w:rPr>
              <w:t>9</w:t>
            </w:r>
          </w:p>
        </w:tc>
        <w:tc>
          <w:tcPr>
            <w:tcW w:w="405" w:type="pct"/>
            <w:tcBorders>
              <w:top w:val="single" w:sz="4" w:space="0" w:color="auto"/>
            </w:tcBorders>
            <w:vAlign w:val="bottom"/>
          </w:tcPr>
          <w:p w:rsidR="000E70A3" w:rsidRPr="00F9073C" w:rsidRDefault="003A2A04" w:rsidP="00E71B7E">
            <w:pPr>
              <w:pStyle w:val="TableRowNormal"/>
              <w:ind w:left="0" w:firstLine="0"/>
              <w:rPr>
                <w:rFonts w:cstheme="minorHAnsi"/>
              </w:rPr>
            </w:pPr>
            <w:r>
              <w:rPr>
                <w:rFonts w:cstheme="minorHAnsi"/>
              </w:rPr>
              <w:t>-</w:t>
            </w:r>
            <w:r w:rsidR="007C32B8">
              <w:rPr>
                <w:rFonts w:cstheme="minorHAnsi"/>
              </w:rPr>
              <w:t>20</w:t>
            </w:r>
          </w:p>
        </w:tc>
        <w:tc>
          <w:tcPr>
            <w:tcW w:w="405" w:type="pct"/>
            <w:tcBorders>
              <w:top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-16</w:t>
            </w:r>
            <w:r w:rsidR="007C32B8">
              <w:rPr>
                <w:rFonts w:cstheme="minorHAnsi"/>
              </w:rPr>
              <w:t>5</w:t>
            </w:r>
          </w:p>
        </w:tc>
        <w:tc>
          <w:tcPr>
            <w:tcW w:w="405" w:type="pct"/>
            <w:tcBorders>
              <w:top w:val="single" w:sz="4" w:space="0" w:color="auto"/>
            </w:tcBorders>
            <w:vAlign w:val="bottom"/>
          </w:tcPr>
          <w:p w:rsidR="000E70A3" w:rsidRPr="00F9073C" w:rsidRDefault="003A2A04" w:rsidP="007C32B8">
            <w:pPr>
              <w:pStyle w:val="TableRowNormal"/>
              <w:ind w:left="0" w:firstLine="0"/>
              <w:rPr>
                <w:rFonts w:cstheme="minorHAnsi"/>
              </w:rPr>
            </w:pPr>
            <w:r>
              <w:rPr>
                <w:rFonts w:cstheme="minorHAnsi"/>
              </w:rPr>
              <w:t xml:space="preserve">1 </w:t>
            </w:r>
            <w:r w:rsidR="007C32B8">
              <w:rPr>
                <w:rFonts w:cstheme="minorHAnsi"/>
              </w:rPr>
              <w:t>585</w:t>
            </w:r>
          </w:p>
        </w:tc>
      </w:tr>
      <w:tr w:rsidR="000E70A3" w:rsidRPr="00FE3F73" w:rsidTr="00156373">
        <w:tc>
          <w:tcPr>
            <w:tcW w:w="1354" w:type="pct"/>
            <w:vAlign w:val="bottom"/>
          </w:tcPr>
          <w:p w:rsidR="000E70A3" w:rsidRPr="00741FF2" w:rsidRDefault="000E70A3" w:rsidP="00E71B7E">
            <w:pPr>
              <w:keepNext/>
              <w:rPr>
                <w:rFonts w:ascii="Calibri" w:hAnsi="Calibri" w:cs="Calibri"/>
                <w:sz w:val="20"/>
                <w:szCs w:val="20"/>
              </w:rPr>
            </w:pPr>
            <w:r>
              <w:rPr>
                <w:rFonts w:ascii="Calibri" w:hAnsi="Calibri" w:cs="Calibri"/>
                <w:sz w:val="20"/>
                <w:szCs w:val="20"/>
              </w:rPr>
              <w:t>Depreciation</w:t>
            </w:r>
          </w:p>
        </w:tc>
        <w:tc>
          <w:tcPr>
            <w:tcW w:w="405" w:type="pct"/>
            <w:vAlign w:val="bottom"/>
          </w:tcPr>
          <w:p w:rsidR="000E70A3" w:rsidRPr="00F9073C" w:rsidRDefault="006848EB" w:rsidP="00E71B7E">
            <w:pPr>
              <w:pStyle w:val="TableRowNormal"/>
              <w:ind w:left="0" w:firstLine="0"/>
              <w:rPr>
                <w:rFonts w:cstheme="minorHAnsi"/>
              </w:rPr>
            </w:pPr>
            <w:r>
              <w:rPr>
                <w:rFonts w:cstheme="minorHAnsi"/>
              </w:rPr>
              <w:t>-241</w:t>
            </w:r>
          </w:p>
        </w:tc>
        <w:tc>
          <w:tcPr>
            <w:tcW w:w="405" w:type="pct"/>
            <w:vAlign w:val="bottom"/>
          </w:tcPr>
          <w:p w:rsidR="000E70A3" w:rsidRPr="00F9073C" w:rsidRDefault="006848EB" w:rsidP="00E71B7E">
            <w:pPr>
              <w:pStyle w:val="TableRowNormal"/>
              <w:ind w:left="0" w:firstLine="0"/>
              <w:rPr>
                <w:rFonts w:cstheme="minorHAnsi"/>
              </w:rPr>
            </w:pPr>
            <w:r>
              <w:rPr>
                <w:rFonts w:cstheme="minorHAnsi"/>
              </w:rPr>
              <w:t>-560</w:t>
            </w:r>
          </w:p>
        </w:tc>
        <w:tc>
          <w:tcPr>
            <w:tcW w:w="405" w:type="pct"/>
            <w:vAlign w:val="bottom"/>
          </w:tcPr>
          <w:p w:rsidR="000E70A3" w:rsidRPr="00F9073C" w:rsidRDefault="006848EB" w:rsidP="00E71B7E">
            <w:pPr>
              <w:pStyle w:val="TableRowNormal"/>
              <w:ind w:left="0" w:firstLine="0"/>
              <w:rPr>
                <w:rFonts w:cstheme="minorHAnsi"/>
              </w:rPr>
            </w:pPr>
            <w:r>
              <w:rPr>
                <w:rFonts w:cstheme="minorHAnsi"/>
              </w:rPr>
              <w:t>105</w:t>
            </w:r>
          </w:p>
        </w:tc>
        <w:tc>
          <w:tcPr>
            <w:tcW w:w="405" w:type="pct"/>
            <w:vAlign w:val="bottom"/>
          </w:tcPr>
          <w:p w:rsidR="000E70A3" w:rsidRPr="00F9073C" w:rsidRDefault="006848EB" w:rsidP="00E71B7E">
            <w:pPr>
              <w:pStyle w:val="TableRowNormal"/>
              <w:ind w:left="0" w:firstLine="0"/>
              <w:rPr>
                <w:rFonts w:cstheme="minorHAnsi"/>
              </w:rPr>
            </w:pPr>
            <w:r>
              <w:rPr>
                <w:rFonts w:cstheme="minorHAnsi"/>
              </w:rPr>
              <w:t>320</w:t>
            </w:r>
          </w:p>
        </w:tc>
        <w:tc>
          <w:tcPr>
            <w:tcW w:w="405" w:type="pct"/>
            <w:vAlign w:val="bottom"/>
          </w:tcPr>
          <w:p w:rsidR="000E70A3" w:rsidRPr="00F9073C" w:rsidRDefault="006848EB" w:rsidP="00E71B7E">
            <w:pPr>
              <w:pStyle w:val="TableRowNormal"/>
              <w:ind w:left="0" w:firstLine="0"/>
              <w:rPr>
                <w:rFonts w:cstheme="minorHAnsi"/>
              </w:rPr>
            </w:pPr>
            <w:r>
              <w:rPr>
                <w:rFonts w:cstheme="minorHAnsi"/>
              </w:rPr>
              <w:t>90</w:t>
            </w:r>
          </w:p>
        </w:tc>
        <w:tc>
          <w:tcPr>
            <w:tcW w:w="405" w:type="pct"/>
            <w:vAlign w:val="bottom"/>
          </w:tcPr>
          <w:p w:rsidR="000E70A3" w:rsidRPr="00F9073C" w:rsidRDefault="006848EB" w:rsidP="00E71B7E">
            <w:pPr>
              <w:pStyle w:val="TableRowNormal"/>
              <w:ind w:left="0" w:firstLine="0"/>
              <w:rPr>
                <w:rFonts w:cstheme="minorHAnsi"/>
              </w:rPr>
            </w:pPr>
            <w:r>
              <w:rPr>
                <w:rFonts w:cstheme="minorHAnsi"/>
              </w:rPr>
              <w:t>23</w:t>
            </w:r>
          </w:p>
        </w:tc>
        <w:tc>
          <w:tcPr>
            <w:tcW w:w="405" w:type="pct"/>
            <w:vAlign w:val="bottom"/>
          </w:tcPr>
          <w:p w:rsidR="000E70A3" w:rsidRPr="00F9073C" w:rsidRDefault="006848EB" w:rsidP="00E71B7E">
            <w:pPr>
              <w:pStyle w:val="TableRowNormal"/>
              <w:ind w:left="0" w:firstLine="0"/>
              <w:rPr>
                <w:rFonts w:cstheme="minorHAnsi"/>
              </w:rPr>
            </w:pPr>
            <w:r>
              <w:rPr>
                <w:rFonts w:cstheme="minorHAnsi"/>
              </w:rPr>
              <w:t>-37</w:t>
            </w:r>
          </w:p>
        </w:tc>
        <w:tc>
          <w:tcPr>
            <w:tcW w:w="405" w:type="pct"/>
            <w:vAlign w:val="bottom"/>
          </w:tcPr>
          <w:p w:rsidR="000E70A3" w:rsidRPr="00F9073C" w:rsidRDefault="006848EB" w:rsidP="00E71B7E">
            <w:pPr>
              <w:pStyle w:val="TableRowNormal"/>
              <w:ind w:left="0" w:firstLine="0"/>
              <w:rPr>
                <w:rFonts w:cstheme="minorHAnsi"/>
              </w:rPr>
            </w:pPr>
            <w:r>
              <w:rPr>
                <w:rFonts w:cstheme="minorHAnsi"/>
              </w:rPr>
              <w:t>300</w:t>
            </w:r>
          </w:p>
        </w:tc>
        <w:tc>
          <w:tcPr>
            <w:tcW w:w="405" w:type="pct"/>
            <w:vAlign w:val="bottom"/>
          </w:tcPr>
          <w:p w:rsidR="000E70A3" w:rsidRPr="00F9073C" w:rsidRDefault="006848EB" w:rsidP="00E71B7E">
            <w:pPr>
              <w:pStyle w:val="TableRowNormal"/>
              <w:ind w:left="0" w:firstLine="0"/>
              <w:rPr>
                <w:rFonts w:cstheme="minorHAnsi"/>
              </w:rPr>
            </w:pPr>
            <w:r>
              <w:rPr>
                <w:rFonts w:cstheme="minorHAnsi"/>
              </w:rPr>
              <w:t>838</w:t>
            </w:r>
          </w:p>
        </w:tc>
      </w:tr>
      <w:tr w:rsidR="00156373" w:rsidRPr="00FE3F73" w:rsidTr="00156373">
        <w:tc>
          <w:tcPr>
            <w:tcW w:w="1354" w:type="pct"/>
            <w:tcBorders>
              <w:bottom w:val="single" w:sz="4" w:space="0" w:color="auto"/>
            </w:tcBorders>
            <w:vAlign w:val="bottom"/>
          </w:tcPr>
          <w:p w:rsidR="00156373" w:rsidRDefault="00156373" w:rsidP="00E71B7E">
            <w:pPr>
              <w:keepNext/>
              <w:rPr>
                <w:rFonts w:ascii="Calibri" w:hAnsi="Calibri" w:cs="Calibri"/>
                <w:sz w:val="20"/>
                <w:szCs w:val="20"/>
              </w:rPr>
            </w:pPr>
            <w:r>
              <w:rPr>
                <w:rFonts w:ascii="Calibri" w:hAnsi="Calibri" w:cs="Calibri"/>
                <w:sz w:val="20"/>
                <w:szCs w:val="20"/>
              </w:rPr>
              <w:t>Net borrowing</w:t>
            </w:r>
          </w:p>
        </w:tc>
        <w:tc>
          <w:tcPr>
            <w:tcW w:w="405" w:type="pct"/>
            <w:tcBorders>
              <w:bottom w:val="single" w:sz="4" w:space="0" w:color="auto"/>
            </w:tcBorders>
            <w:vAlign w:val="bottom"/>
          </w:tcPr>
          <w:p w:rsidR="00156373" w:rsidRDefault="007C1B39" w:rsidP="007C32B8">
            <w:pPr>
              <w:pStyle w:val="TableRowNormal"/>
              <w:ind w:left="0" w:firstLine="0"/>
              <w:rPr>
                <w:rFonts w:cstheme="minorHAnsi"/>
              </w:rPr>
            </w:pPr>
            <w:r>
              <w:rPr>
                <w:rFonts w:cstheme="minorHAnsi"/>
              </w:rPr>
              <w:t>-</w:t>
            </w:r>
            <w:r w:rsidR="007C32B8">
              <w:rPr>
                <w:rFonts w:cstheme="minorHAnsi"/>
              </w:rPr>
              <w:t>8</w:t>
            </w:r>
          </w:p>
        </w:tc>
        <w:tc>
          <w:tcPr>
            <w:tcW w:w="405" w:type="pct"/>
            <w:tcBorders>
              <w:bottom w:val="single" w:sz="4" w:space="0" w:color="auto"/>
            </w:tcBorders>
            <w:vAlign w:val="bottom"/>
          </w:tcPr>
          <w:p w:rsidR="00156373" w:rsidRDefault="007C1B39" w:rsidP="007C32B8">
            <w:pPr>
              <w:pStyle w:val="TableRowNormal"/>
              <w:ind w:left="0" w:firstLine="0"/>
              <w:rPr>
                <w:rFonts w:cstheme="minorHAnsi"/>
              </w:rPr>
            </w:pPr>
            <w:r>
              <w:rPr>
                <w:rFonts w:cstheme="minorHAnsi"/>
              </w:rPr>
              <w:t>-1</w:t>
            </w:r>
            <w:r w:rsidR="007C32B8">
              <w:rPr>
                <w:rFonts w:cstheme="minorHAnsi"/>
              </w:rPr>
              <w:t>82</w:t>
            </w:r>
          </w:p>
        </w:tc>
        <w:tc>
          <w:tcPr>
            <w:tcW w:w="405" w:type="pct"/>
            <w:tcBorders>
              <w:bottom w:val="single" w:sz="4" w:space="0" w:color="auto"/>
            </w:tcBorders>
            <w:vAlign w:val="bottom"/>
          </w:tcPr>
          <w:p w:rsidR="00156373" w:rsidRDefault="007C32B8" w:rsidP="007C32B8">
            <w:pPr>
              <w:pStyle w:val="TableRowNormal"/>
              <w:ind w:left="0" w:firstLine="0"/>
              <w:rPr>
                <w:rFonts w:cstheme="minorHAnsi"/>
              </w:rPr>
            </w:pPr>
            <w:r>
              <w:rPr>
                <w:rFonts w:cstheme="minorHAnsi"/>
              </w:rPr>
              <w:t>27</w:t>
            </w:r>
          </w:p>
        </w:tc>
        <w:tc>
          <w:tcPr>
            <w:tcW w:w="405" w:type="pct"/>
            <w:tcBorders>
              <w:bottom w:val="single" w:sz="4" w:space="0" w:color="auto"/>
            </w:tcBorders>
            <w:vAlign w:val="bottom"/>
          </w:tcPr>
          <w:p w:rsidR="00156373" w:rsidRDefault="007C32B8" w:rsidP="007C32B8">
            <w:pPr>
              <w:pStyle w:val="TableRowNormal"/>
              <w:ind w:left="0" w:firstLine="0"/>
              <w:rPr>
                <w:rFonts w:cstheme="minorHAnsi"/>
              </w:rPr>
            </w:pPr>
            <w:r>
              <w:rPr>
                <w:rFonts w:cstheme="minorHAnsi"/>
              </w:rPr>
              <w:t>70</w:t>
            </w:r>
          </w:p>
        </w:tc>
        <w:tc>
          <w:tcPr>
            <w:tcW w:w="405" w:type="pct"/>
            <w:tcBorders>
              <w:bottom w:val="single" w:sz="4" w:space="0" w:color="auto"/>
            </w:tcBorders>
            <w:vAlign w:val="bottom"/>
          </w:tcPr>
          <w:p w:rsidR="00156373" w:rsidRDefault="007C32B8" w:rsidP="007C32B8">
            <w:pPr>
              <w:pStyle w:val="TableRowNormal"/>
              <w:ind w:left="0" w:firstLine="0"/>
              <w:rPr>
                <w:rFonts w:cstheme="minorHAnsi"/>
              </w:rPr>
            </w:pPr>
            <w:r>
              <w:rPr>
                <w:rFonts w:cstheme="minorHAnsi"/>
              </w:rPr>
              <w:t>47</w:t>
            </w:r>
          </w:p>
        </w:tc>
        <w:tc>
          <w:tcPr>
            <w:tcW w:w="405" w:type="pct"/>
            <w:tcBorders>
              <w:bottom w:val="single" w:sz="4" w:space="0" w:color="auto"/>
            </w:tcBorders>
            <w:vAlign w:val="bottom"/>
          </w:tcPr>
          <w:p w:rsidR="00156373" w:rsidRDefault="007C1B39" w:rsidP="007C32B8">
            <w:pPr>
              <w:pStyle w:val="TableRowNormal"/>
              <w:ind w:left="0" w:firstLine="0"/>
              <w:rPr>
                <w:rFonts w:cstheme="minorHAnsi"/>
              </w:rPr>
            </w:pPr>
            <w:r>
              <w:rPr>
                <w:rFonts w:cstheme="minorHAnsi"/>
              </w:rPr>
              <w:t>2</w:t>
            </w:r>
            <w:r w:rsidR="007C32B8">
              <w:rPr>
                <w:rFonts w:cstheme="minorHAnsi"/>
              </w:rPr>
              <w:t>2</w:t>
            </w:r>
          </w:p>
        </w:tc>
        <w:tc>
          <w:tcPr>
            <w:tcW w:w="405" w:type="pct"/>
            <w:tcBorders>
              <w:bottom w:val="single" w:sz="4" w:space="0" w:color="auto"/>
            </w:tcBorders>
            <w:vAlign w:val="bottom"/>
          </w:tcPr>
          <w:p w:rsidR="00156373" w:rsidRDefault="007C32B8" w:rsidP="00E71B7E">
            <w:pPr>
              <w:pStyle w:val="TableRowNormal"/>
              <w:ind w:left="0" w:firstLine="0"/>
              <w:rPr>
                <w:rFonts w:cstheme="minorHAnsi"/>
              </w:rPr>
            </w:pPr>
            <w:r>
              <w:rPr>
                <w:rFonts w:cstheme="minorHAnsi"/>
              </w:rPr>
              <w:t>-3</w:t>
            </w:r>
          </w:p>
        </w:tc>
        <w:tc>
          <w:tcPr>
            <w:tcW w:w="405" w:type="pct"/>
            <w:tcBorders>
              <w:bottom w:val="single" w:sz="4" w:space="0" w:color="auto"/>
            </w:tcBorders>
            <w:vAlign w:val="bottom"/>
          </w:tcPr>
          <w:p w:rsidR="00156373" w:rsidRDefault="007C1B39" w:rsidP="00E71B7E">
            <w:pPr>
              <w:pStyle w:val="TableRowNormal"/>
              <w:ind w:left="0" w:firstLine="0"/>
              <w:rPr>
                <w:rFonts w:cstheme="minorHAnsi"/>
              </w:rPr>
            </w:pPr>
            <w:r>
              <w:rPr>
                <w:rFonts w:cstheme="minorHAnsi"/>
              </w:rPr>
              <w:t>11</w:t>
            </w:r>
          </w:p>
        </w:tc>
        <w:tc>
          <w:tcPr>
            <w:tcW w:w="405" w:type="pct"/>
            <w:tcBorders>
              <w:bottom w:val="single" w:sz="4" w:space="0" w:color="auto"/>
            </w:tcBorders>
            <w:vAlign w:val="bottom"/>
          </w:tcPr>
          <w:p w:rsidR="00156373" w:rsidRDefault="007C1B39" w:rsidP="007C32B8">
            <w:pPr>
              <w:pStyle w:val="TableRowNormal"/>
              <w:ind w:left="0" w:firstLine="0"/>
              <w:rPr>
                <w:rFonts w:cstheme="minorHAnsi"/>
              </w:rPr>
            </w:pPr>
            <w:r>
              <w:rPr>
                <w:rFonts w:cstheme="minorHAnsi"/>
              </w:rPr>
              <w:t>1</w:t>
            </w:r>
            <w:r w:rsidR="007C32B8">
              <w:rPr>
                <w:rFonts w:cstheme="minorHAnsi"/>
              </w:rPr>
              <w:t>85</w:t>
            </w:r>
          </w:p>
        </w:tc>
      </w:tr>
    </w:tbl>
    <w:p w:rsidR="000E70A3" w:rsidRDefault="000E70A3" w:rsidP="000E70A3">
      <w:pPr>
        <w:pStyle w:val="CGCTableFootnote"/>
      </w:pPr>
      <w:proofErr w:type="gramStart"/>
      <w:r>
        <w:t>Source:</w:t>
      </w:r>
      <w:r>
        <w:tab/>
      </w:r>
      <w:r w:rsidR="00B22703">
        <w:t xml:space="preserve">Commission calculation for the </w:t>
      </w:r>
      <w:r>
        <w:t>201</w:t>
      </w:r>
      <w:r w:rsidR="00497BCC">
        <w:t>8</w:t>
      </w:r>
      <w:r>
        <w:t xml:space="preserve"> Update.</w:t>
      </w:r>
      <w:proofErr w:type="gramEnd"/>
    </w:p>
    <w:p w:rsidR="00F83306" w:rsidRDefault="00F83306" w:rsidP="0064671D">
      <w:pPr>
        <w:pStyle w:val="Heading3"/>
      </w:pPr>
      <w:bookmarkStart w:id="55" w:name="_Toc508716604"/>
      <w:bookmarkStart w:id="56" w:name="_Toc508716720"/>
      <w:bookmarkStart w:id="57" w:name="_Toc508716874"/>
      <w:bookmarkStart w:id="58" w:name="_Toc511816987"/>
      <w:r>
        <w:t>I</w:t>
      </w:r>
      <w:r w:rsidR="0064671D">
        <w:t>ssues and analysis</w:t>
      </w:r>
      <w:bookmarkEnd w:id="55"/>
      <w:bookmarkEnd w:id="56"/>
      <w:bookmarkEnd w:id="57"/>
      <w:bookmarkEnd w:id="58"/>
    </w:p>
    <w:p w:rsidR="002E0A10" w:rsidRDefault="00044ADE" w:rsidP="00942B7A">
      <w:pPr>
        <w:pStyle w:val="CGCNumberedPara"/>
      </w:pPr>
      <w:r>
        <w:t xml:space="preserve">Staff consider assessing </w:t>
      </w:r>
      <w:r w:rsidR="00094391">
        <w:t xml:space="preserve">capital </w:t>
      </w:r>
      <w:r>
        <w:t xml:space="preserve">needs </w:t>
      </w:r>
      <w:r w:rsidR="00094391">
        <w:t xml:space="preserve">directly </w:t>
      </w:r>
      <w:r>
        <w:t>as they arise</w:t>
      </w:r>
      <w:r w:rsidR="002E53CA">
        <w:t xml:space="preserve"> remains an appropriate method. </w:t>
      </w:r>
      <w:r w:rsidR="002E0A10">
        <w:t xml:space="preserve">However, </w:t>
      </w:r>
      <w:proofErr w:type="gramStart"/>
      <w:r w:rsidR="002E0A10">
        <w:t>staff think</w:t>
      </w:r>
      <w:proofErr w:type="gramEnd"/>
      <w:r w:rsidR="002E0A10">
        <w:t xml:space="preserve"> some modifications could be made to the </w:t>
      </w:r>
      <w:r>
        <w:t xml:space="preserve">current </w:t>
      </w:r>
      <w:r w:rsidR="002E0A10">
        <w:t xml:space="preserve">assessment to improve equalisation outcomes and provide greater transparency. </w:t>
      </w:r>
    </w:p>
    <w:p w:rsidR="00985DFC" w:rsidRDefault="002E0A10" w:rsidP="00942B7A">
      <w:pPr>
        <w:pStyle w:val="CGCNumberedPara"/>
      </w:pPr>
      <w:r>
        <w:t>I</w:t>
      </w:r>
      <w:r w:rsidR="00A325E5">
        <w:t xml:space="preserve">n this paper, </w:t>
      </w:r>
      <w:proofErr w:type="gramStart"/>
      <w:r w:rsidR="00A325E5">
        <w:t xml:space="preserve">staff </w:t>
      </w:r>
      <w:r w:rsidR="006146C0">
        <w:t>focus</w:t>
      </w:r>
      <w:proofErr w:type="gramEnd"/>
      <w:r w:rsidR="006146C0">
        <w:t xml:space="preserve"> on issues relating to the broad structure</w:t>
      </w:r>
      <w:r w:rsidR="00044ADE">
        <w:t xml:space="preserve"> of</w:t>
      </w:r>
      <w:r w:rsidR="006146C0">
        <w:t xml:space="preserve"> the </w:t>
      </w:r>
      <w:r w:rsidR="00A325E5">
        <w:t xml:space="preserve">current </w:t>
      </w:r>
      <w:r w:rsidR="006146C0">
        <w:t>assessment</w:t>
      </w:r>
      <w:r w:rsidR="00044ADE">
        <w:t>s</w:t>
      </w:r>
      <w:r w:rsidR="006146C0">
        <w:t xml:space="preserve"> of</w:t>
      </w:r>
      <w:r w:rsidR="00AA2F0B">
        <w:t xml:space="preserve"> physical and financial asset</w:t>
      </w:r>
      <w:r w:rsidR="006146C0">
        <w:t>s</w:t>
      </w:r>
      <w:r w:rsidR="00F1399C">
        <w:t>.</w:t>
      </w:r>
      <w:r w:rsidR="00000B19">
        <w:t xml:space="preserve"> </w:t>
      </w:r>
      <w:r w:rsidR="00000B19" w:rsidRPr="006A3066">
        <w:t xml:space="preserve">Issues related to category specific infrastructure disabilities </w:t>
      </w:r>
      <w:r w:rsidR="00506F74">
        <w:t xml:space="preserve">are </w:t>
      </w:r>
      <w:r w:rsidR="00000B19" w:rsidRPr="006A3066">
        <w:t xml:space="preserve">discussed more fully in the relevant </w:t>
      </w:r>
      <w:r w:rsidR="00985DFC">
        <w:t xml:space="preserve">staff </w:t>
      </w:r>
      <w:r w:rsidR="00000B19" w:rsidRPr="006A3066">
        <w:t>draft assessment paper, in particular</w:t>
      </w:r>
      <w:r w:rsidR="00985DFC">
        <w:t>:</w:t>
      </w:r>
    </w:p>
    <w:p w:rsidR="00A72E91" w:rsidRPr="00E7588F" w:rsidRDefault="005A5A46" w:rsidP="00985DFC">
      <w:pPr>
        <w:pStyle w:val="CGCBulletlist"/>
        <w:rPr>
          <w:i/>
        </w:rPr>
      </w:pPr>
      <w:r w:rsidRPr="00E7588F">
        <w:rPr>
          <w:i/>
        </w:rPr>
        <w:t>CGC</w:t>
      </w:r>
      <w:r w:rsidR="00242AA3" w:rsidRPr="00E7588F">
        <w:rPr>
          <w:i/>
        </w:rPr>
        <w:t> </w:t>
      </w:r>
      <w:r w:rsidRPr="00E7588F">
        <w:rPr>
          <w:i/>
        </w:rPr>
        <w:t>2018</w:t>
      </w:r>
      <w:r w:rsidR="00242AA3" w:rsidRPr="00E7588F">
        <w:rPr>
          <w:i/>
        </w:rPr>
        <w:noBreakHyphen/>
      </w:r>
      <w:r w:rsidR="00542052" w:rsidRPr="00E7588F">
        <w:rPr>
          <w:i/>
        </w:rPr>
        <w:t>01</w:t>
      </w:r>
      <w:r w:rsidR="00E0250B" w:rsidRPr="00E7588F">
        <w:rPr>
          <w:i/>
        </w:rPr>
        <w:t>/17</w:t>
      </w:r>
      <w:r w:rsidRPr="00E7588F">
        <w:rPr>
          <w:i/>
        </w:rPr>
        <w:noBreakHyphen/>
      </w:r>
      <w:r w:rsidR="00DB2E95" w:rsidRPr="00E7588F">
        <w:rPr>
          <w:i/>
        </w:rPr>
        <w:t>S</w:t>
      </w:r>
      <w:r w:rsidR="00E7588F" w:rsidRPr="00E7588F">
        <w:rPr>
          <w:i/>
        </w:rPr>
        <w:t>,</w:t>
      </w:r>
      <w:r w:rsidR="00242AA3" w:rsidRPr="00E7588F">
        <w:rPr>
          <w:i/>
        </w:rPr>
        <w:t> </w:t>
      </w:r>
      <w:r w:rsidR="00B8793B" w:rsidRPr="00E7588F">
        <w:rPr>
          <w:i/>
        </w:rPr>
        <w:t>Roads</w:t>
      </w:r>
    </w:p>
    <w:p w:rsidR="00985DFC" w:rsidRPr="00E7588F" w:rsidRDefault="00985DFC" w:rsidP="00E7588F">
      <w:pPr>
        <w:pStyle w:val="CGCBulletlist"/>
        <w:rPr>
          <w:i/>
        </w:rPr>
      </w:pPr>
      <w:r w:rsidRPr="00E7588F">
        <w:rPr>
          <w:i/>
        </w:rPr>
        <w:t>CGC 2018-01/18</w:t>
      </w:r>
      <w:r w:rsidRPr="00E7588F">
        <w:rPr>
          <w:i/>
        </w:rPr>
        <w:noBreakHyphen/>
        <w:t>S, Transport</w:t>
      </w:r>
      <w:r w:rsidR="00E7588F">
        <w:rPr>
          <w:i/>
        </w:rPr>
        <w:t>.</w:t>
      </w:r>
    </w:p>
    <w:p w:rsidR="005F1C8E" w:rsidRDefault="005F1C8E" w:rsidP="00A06383">
      <w:pPr>
        <w:pStyle w:val="Heading4"/>
      </w:pPr>
      <w:bookmarkStart w:id="59" w:name="_Toc508716605"/>
      <w:bookmarkStart w:id="60" w:name="_Toc508716721"/>
      <w:bookmarkStart w:id="61" w:name="_Toc508716875"/>
      <w:bookmarkStart w:id="62" w:name="_Toc511816988"/>
      <w:r>
        <w:t>Functionalis</w:t>
      </w:r>
      <w:r w:rsidR="00A4754B">
        <w:t>ing the assessment</w:t>
      </w:r>
      <w:bookmarkEnd w:id="59"/>
      <w:bookmarkEnd w:id="60"/>
      <w:bookmarkEnd w:id="61"/>
      <w:bookmarkEnd w:id="62"/>
    </w:p>
    <w:p w:rsidR="00443E83" w:rsidRDefault="00443E83" w:rsidP="00443E83">
      <w:pPr>
        <w:pStyle w:val="CGCNumberedPara"/>
        <w:numPr>
          <w:ilvl w:val="1"/>
          <w:numId w:val="3"/>
        </w:numPr>
      </w:pPr>
      <w:r>
        <w:t xml:space="preserve">In the 2010 Review, when the Commission first developed the capital assessment, in the interests of simplicity it attempted to keep investment as a single category. It did </w:t>
      </w:r>
      <w:r w:rsidR="00242AA3">
        <w:t xml:space="preserve">so </w:t>
      </w:r>
      <w:r>
        <w:t>assuming the drivers of recurrent spending were sufficiently similar to the drivers of investment spending. However, the drivers of investment for urban and rural roads and urban transport were very different from the drivers of recurrent expenditure in those categories</w:t>
      </w:r>
      <w:r w:rsidR="004E4877">
        <w:t>.</w:t>
      </w:r>
      <w:r>
        <w:rPr>
          <w:rStyle w:val="FootnoteReference"/>
        </w:rPr>
        <w:footnoteReference w:id="2"/>
      </w:r>
      <w:r>
        <w:t xml:space="preserve"> The Commission decided that this warranted </w:t>
      </w:r>
      <w:r>
        <w:lastRenderedPageBreak/>
        <w:t>splitting those elements off from the rest of the capital assessment</w:t>
      </w:r>
      <w:r w:rsidR="004E4877">
        <w:t>.</w:t>
      </w:r>
      <w:r w:rsidR="00242AA3">
        <w:rPr>
          <w:rStyle w:val="FootnoteReference"/>
        </w:rPr>
        <w:footnoteReference w:id="3"/>
      </w:r>
      <w:r w:rsidR="004E4877">
        <w:t xml:space="preserve"> </w:t>
      </w:r>
      <w:r>
        <w:t xml:space="preserve">Other </w:t>
      </w:r>
      <w:proofErr w:type="gramStart"/>
      <w:r w:rsidR="002C02A5">
        <w:t xml:space="preserve">services </w:t>
      </w:r>
      <w:r>
        <w:t>was</w:t>
      </w:r>
      <w:proofErr w:type="gramEnd"/>
      <w:r>
        <w:t xml:space="preserve"> left as a residual.</w:t>
      </w:r>
    </w:p>
    <w:p w:rsidR="00591E7B" w:rsidRDefault="00591E7B" w:rsidP="00591E7B">
      <w:pPr>
        <w:pStyle w:val="CGCNumberedPara"/>
        <w:numPr>
          <w:ilvl w:val="1"/>
          <w:numId w:val="3"/>
        </w:numPr>
      </w:pPr>
      <w:r>
        <w:t xml:space="preserve">The </w:t>
      </w:r>
      <w:r w:rsidR="00443E83">
        <w:t>method for assessing infrastructure need in each ca</w:t>
      </w:r>
      <w:r w:rsidR="00DB2E95">
        <w:t>tegory is conceptually the same. The</w:t>
      </w:r>
      <w:r w:rsidRPr="005D6A11">
        <w:t xml:space="preserve"> total redistribution in the </w:t>
      </w:r>
      <w:r>
        <w:t xml:space="preserve">roads, urban transport and </w:t>
      </w:r>
      <w:r w:rsidRPr="005D6A11">
        <w:t xml:space="preserve">other </w:t>
      </w:r>
      <w:r w:rsidR="002E53CA">
        <w:t xml:space="preserve">services </w:t>
      </w:r>
      <w:r w:rsidRPr="005D6A11">
        <w:t>component</w:t>
      </w:r>
      <w:r>
        <w:t>s</w:t>
      </w:r>
      <w:r w:rsidRPr="005D6A11">
        <w:t xml:space="preserve"> is influenced by</w:t>
      </w:r>
      <w:r>
        <w:t>:</w:t>
      </w:r>
    </w:p>
    <w:p w:rsidR="00591E7B" w:rsidRDefault="00591E7B" w:rsidP="00591E7B">
      <w:pPr>
        <w:pStyle w:val="CGCBulletlist"/>
        <w:numPr>
          <w:ilvl w:val="0"/>
          <w:numId w:val="1"/>
        </w:numPr>
        <w:tabs>
          <w:tab w:val="clear" w:pos="927"/>
        </w:tabs>
        <w:ind w:left="1134" w:hanging="567"/>
      </w:pPr>
      <w:r w:rsidRPr="005D6A11">
        <w:t>the level of stock (including the composition of that stock) — K</w:t>
      </w:r>
      <w:r w:rsidRPr="005D6A11">
        <w:rPr>
          <w:vertAlign w:val="subscript"/>
        </w:rPr>
        <w:t>1</w:t>
      </w:r>
    </w:p>
    <w:p w:rsidR="00E0250B" w:rsidRDefault="00591E7B" w:rsidP="006F0DA1">
      <w:pPr>
        <w:pStyle w:val="CGCBulletlist"/>
        <w:numPr>
          <w:ilvl w:val="0"/>
          <w:numId w:val="1"/>
        </w:numPr>
        <w:tabs>
          <w:tab w:val="clear" w:pos="927"/>
        </w:tabs>
        <w:ind w:left="1134" w:hanging="567"/>
      </w:pPr>
      <w:r w:rsidRPr="005D6A11">
        <w:t xml:space="preserve">the </w:t>
      </w:r>
      <w:r w:rsidR="006F0DA1">
        <w:t xml:space="preserve">change in the level of </w:t>
      </w:r>
      <w:r w:rsidRPr="005D6A11">
        <w:t xml:space="preserve">stock (including changes in composition) — </w:t>
      </w:r>
      <w:r w:rsidR="00E0250B" w:rsidRPr="005D6A11">
        <w:t>(K</w:t>
      </w:r>
      <w:r w:rsidR="00E0250B" w:rsidRPr="006F0DA1">
        <w:rPr>
          <w:vertAlign w:val="subscript"/>
        </w:rPr>
        <w:t>1 </w:t>
      </w:r>
      <w:r w:rsidR="00E0250B">
        <w:t>– </w:t>
      </w:r>
      <w:r w:rsidR="00E0250B" w:rsidRPr="005D6A11">
        <w:t>K</w:t>
      </w:r>
      <w:r w:rsidR="00E0250B" w:rsidRPr="006F0DA1">
        <w:rPr>
          <w:vertAlign w:val="subscript"/>
        </w:rPr>
        <w:t>0</w:t>
      </w:r>
      <w:r w:rsidR="00E0250B">
        <w:t xml:space="preserve">) </w:t>
      </w:r>
    </w:p>
    <w:p w:rsidR="00591E7B" w:rsidRDefault="00591E7B" w:rsidP="00591E7B">
      <w:pPr>
        <w:pStyle w:val="CGCBulletlist"/>
        <w:numPr>
          <w:ilvl w:val="0"/>
          <w:numId w:val="1"/>
        </w:numPr>
        <w:tabs>
          <w:tab w:val="clear" w:pos="927"/>
        </w:tabs>
        <w:ind w:left="1134" w:hanging="567"/>
      </w:pPr>
      <w:r w:rsidRPr="005D6A11">
        <w:t xml:space="preserve">the stock factor — </w:t>
      </w:r>
      <m:oMath>
        <m:sSubSup>
          <m:sSubSupPr>
            <m:ctrlPr>
              <w:rPr>
                <w:rFonts w:ascii="Cambria Math" w:hAnsi="Cambria Math"/>
                <w:i/>
                <w:sz w:val="20"/>
              </w:rPr>
            </m:ctrlPr>
          </m:sSubSupPr>
          <m:e>
            <m:r>
              <w:rPr>
                <w:rFonts w:ascii="Cambria Math" w:hAnsi="Cambria Math"/>
                <w:sz w:val="20"/>
              </w:rPr>
              <m:t>δ</m:t>
            </m:r>
          </m:e>
          <m:sub>
            <m:r>
              <w:rPr>
                <w:rFonts w:ascii="Cambria Math" w:hAnsi="Cambria Math"/>
                <w:sz w:val="20"/>
              </w:rPr>
              <m:t>i,1</m:t>
            </m:r>
          </m:sub>
          <m:sup>
            <m:r>
              <w:rPr>
                <w:rFonts w:ascii="Cambria Math" w:hAnsi="Cambria Math"/>
                <w:sz w:val="20"/>
              </w:rPr>
              <m:t>u</m:t>
            </m:r>
          </m:sup>
        </m:sSubSup>
      </m:oMath>
      <w:r w:rsidRPr="005D6A11">
        <w:rPr>
          <w:rFonts w:eastAsiaTheme="minorEastAsia"/>
          <w:sz w:val="20"/>
        </w:rPr>
        <w:t xml:space="preserve"> </w:t>
      </w:r>
    </w:p>
    <w:p w:rsidR="00591E7B" w:rsidRPr="00046BCA" w:rsidRDefault="00591E7B" w:rsidP="00591E7B">
      <w:pPr>
        <w:pStyle w:val="CGCBulletlist"/>
        <w:numPr>
          <w:ilvl w:val="0"/>
          <w:numId w:val="1"/>
        </w:numPr>
        <w:tabs>
          <w:tab w:val="clear" w:pos="927"/>
        </w:tabs>
        <w:ind w:left="1134" w:hanging="567"/>
      </w:pPr>
      <w:proofErr w:type="gramStart"/>
      <w:r w:rsidRPr="005D6A11">
        <w:t>the</w:t>
      </w:r>
      <w:proofErr w:type="gramEnd"/>
      <w:r w:rsidRPr="005D6A11">
        <w:t xml:space="preserve"> change in the stock factor — (</w:t>
      </w:r>
      <m:oMath>
        <m:sSubSup>
          <m:sSubSupPr>
            <m:ctrlPr>
              <w:rPr>
                <w:rFonts w:ascii="Cambria Math" w:hAnsi="Cambria Math"/>
                <w:i/>
                <w:sz w:val="20"/>
              </w:rPr>
            </m:ctrlPr>
          </m:sSubSupPr>
          <m:e>
            <m:r>
              <w:rPr>
                <w:rFonts w:ascii="Cambria Math" w:hAnsi="Cambria Math"/>
                <w:sz w:val="20"/>
              </w:rPr>
              <m:t>δ</m:t>
            </m:r>
          </m:e>
          <m:sub>
            <m:r>
              <w:rPr>
                <w:rFonts w:ascii="Cambria Math" w:hAnsi="Cambria Math"/>
                <w:sz w:val="20"/>
              </w:rPr>
              <m:t>i,1</m:t>
            </m:r>
          </m:sub>
          <m:sup>
            <m:r>
              <w:rPr>
                <w:rFonts w:ascii="Cambria Math" w:hAnsi="Cambria Math"/>
                <w:sz w:val="20"/>
              </w:rPr>
              <m:t>u</m:t>
            </m:r>
          </m:sup>
        </m:sSubSup>
        <m:r>
          <w:rPr>
            <w:rFonts w:ascii="Cambria Math" w:hAnsi="Cambria Math"/>
            <w:sz w:val="20"/>
          </w:rPr>
          <m:t>-</m:t>
        </m:r>
        <m:sSubSup>
          <m:sSubSupPr>
            <m:ctrlPr>
              <w:rPr>
                <w:rFonts w:ascii="Cambria Math" w:hAnsi="Cambria Math"/>
                <w:i/>
                <w:sz w:val="20"/>
              </w:rPr>
            </m:ctrlPr>
          </m:sSubSupPr>
          <m:e>
            <m:r>
              <w:rPr>
                <w:rFonts w:ascii="Cambria Math" w:hAnsi="Cambria Math"/>
                <w:sz w:val="20"/>
              </w:rPr>
              <m:t>δ</m:t>
            </m:r>
          </m:e>
          <m:sub>
            <m:r>
              <w:rPr>
                <w:rFonts w:ascii="Cambria Math" w:hAnsi="Cambria Math"/>
                <w:sz w:val="20"/>
              </w:rPr>
              <m:t>i,0</m:t>
            </m:r>
          </m:sub>
          <m:sup>
            <m:r>
              <w:rPr>
                <w:rFonts w:ascii="Cambria Math" w:hAnsi="Cambria Math"/>
                <w:sz w:val="20"/>
              </w:rPr>
              <m:t>u</m:t>
            </m:r>
          </m:sup>
        </m:sSubSup>
        <m:r>
          <w:rPr>
            <w:rFonts w:ascii="Cambria Math" w:hAnsi="Cambria Math"/>
            <w:sz w:val="20"/>
          </w:rPr>
          <m:t>)</m:t>
        </m:r>
      </m:oMath>
      <w:r w:rsidRPr="005D6A11">
        <w:rPr>
          <w:rFonts w:eastAsiaTheme="minorEastAsia"/>
          <w:sz w:val="20"/>
        </w:rPr>
        <w:t xml:space="preserve">. </w:t>
      </w:r>
    </w:p>
    <w:p w:rsidR="00443E83" w:rsidRDefault="00591E7B" w:rsidP="00B2379C">
      <w:pPr>
        <w:pStyle w:val="CGCNumberedPara"/>
        <w:numPr>
          <w:ilvl w:val="1"/>
          <w:numId w:val="3"/>
        </w:numPr>
      </w:pPr>
      <w:r>
        <w:t>However, i</w:t>
      </w:r>
      <w:r w:rsidR="00443E83" w:rsidRPr="005D6A11">
        <w:t xml:space="preserve">n the case of other </w:t>
      </w:r>
      <w:r w:rsidR="002E53CA">
        <w:t>services</w:t>
      </w:r>
      <w:r w:rsidR="00443E83" w:rsidRPr="005D6A11">
        <w:t>, these elements are the amalgam of ten different categories</w:t>
      </w:r>
      <w:r>
        <w:t xml:space="preserve">. This makes </w:t>
      </w:r>
      <w:r w:rsidRPr="005D6A11">
        <w:t xml:space="preserve">it difficult to associate redistributive impacts </w:t>
      </w:r>
      <w:r>
        <w:t>with any particular category</w:t>
      </w:r>
      <w:r w:rsidR="00504C5F">
        <w:t>.</w:t>
      </w:r>
    </w:p>
    <w:p w:rsidR="00E86454" w:rsidRPr="00B46919" w:rsidRDefault="00EF2904" w:rsidP="00483E78">
      <w:pPr>
        <w:pStyle w:val="CGCNumberedPara"/>
        <w:numPr>
          <w:ilvl w:val="1"/>
          <w:numId w:val="3"/>
        </w:numPr>
      </w:pPr>
      <w:r w:rsidRPr="00B46919">
        <w:t>Staff consider moving to a functionalised assessment</w:t>
      </w:r>
      <w:r w:rsidR="00A4754B" w:rsidRPr="00B46919">
        <w:t>,</w:t>
      </w:r>
      <w:r w:rsidRPr="00B46919">
        <w:t xml:space="preserve"> </w:t>
      </w:r>
      <w:r w:rsidR="00A4754B" w:rsidRPr="00B46919">
        <w:t xml:space="preserve">where investment in every category </w:t>
      </w:r>
      <w:proofErr w:type="gramStart"/>
      <w:r w:rsidR="00A4754B" w:rsidRPr="00B46919">
        <w:t>i</w:t>
      </w:r>
      <w:r w:rsidRPr="00B46919">
        <w:t>s assessed</w:t>
      </w:r>
      <w:proofErr w:type="gramEnd"/>
      <w:r w:rsidRPr="00B46919">
        <w:t xml:space="preserve"> separately</w:t>
      </w:r>
      <w:r w:rsidR="00A4754B" w:rsidRPr="00B46919">
        <w:t xml:space="preserve">, would </w:t>
      </w:r>
      <w:r w:rsidR="00AB4B43" w:rsidRPr="00B46919">
        <w:t xml:space="preserve">make the assessment </w:t>
      </w:r>
      <w:r w:rsidR="00A4754B" w:rsidRPr="00B46919">
        <w:t>easier to interpret</w:t>
      </w:r>
      <w:r w:rsidR="00AB4B43" w:rsidRPr="00B46919">
        <w:t>,</w:t>
      </w:r>
      <w:r w:rsidR="00A4754B" w:rsidRPr="00B46919">
        <w:t xml:space="preserve"> more accessible and </w:t>
      </w:r>
      <w:r w:rsidR="00AB4B43" w:rsidRPr="00B46919">
        <w:t xml:space="preserve">more </w:t>
      </w:r>
      <w:r w:rsidR="00A4754B" w:rsidRPr="00B46919">
        <w:t>transparent</w:t>
      </w:r>
      <w:r w:rsidR="00504C5F" w:rsidRPr="00B46919">
        <w:t xml:space="preserve">. </w:t>
      </w:r>
      <w:r w:rsidR="00000B19" w:rsidRPr="00B46919">
        <w:t>The ability to identify all expenditure</w:t>
      </w:r>
      <w:r w:rsidR="00AB4B43" w:rsidRPr="00B46919">
        <w:t xml:space="preserve"> needs</w:t>
      </w:r>
      <w:r w:rsidR="00000B19" w:rsidRPr="00B46919">
        <w:t xml:space="preserve">, both recurrent and investment, related to a particular category </w:t>
      </w:r>
      <w:r w:rsidR="002E53CA" w:rsidRPr="00B46919">
        <w:t>would</w:t>
      </w:r>
      <w:r w:rsidR="00A615BC" w:rsidRPr="00B46919">
        <w:t xml:space="preserve"> provide a more complete view of the service provision task</w:t>
      </w:r>
      <w:r w:rsidR="00504C5F" w:rsidRPr="00B46919">
        <w:t>.</w:t>
      </w:r>
      <w:r w:rsidR="00E86454" w:rsidRPr="00B46919">
        <w:t xml:space="preserve"> </w:t>
      </w:r>
      <w:bookmarkStart w:id="63" w:name="_Ref506549664"/>
      <w:r w:rsidR="00237AD1" w:rsidRPr="00B46919">
        <w:t xml:space="preserve">While investment for each category </w:t>
      </w:r>
      <w:proofErr w:type="gramStart"/>
      <w:r w:rsidR="00237AD1" w:rsidRPr="00B46919">
        <w:t>would be calculated</w:t>
      </w:r>
      <w:proofErr w:type="gramEnd"/>
      <w:r w:rsidR="00237AD1" w:rsidRPr="00B46919">
        <w:t xml:space="preserve"> separately, the</w:t>
      </w:r>
      <w:r w:rsidR="00483E78" w:rsidRPr="00B46919">
        <w:t xml:space="preserve"> assessment could be presented</w:t>
      </w:r>
      <w:r w:rsidR="00237AD1" w:rsidRPr="00B46919">
        <w:t xml:space="preserve"> as part of the </w:t>
      </w:r>
      <w:r w:rsidR="00506F74">
        <w:t xml:space="preserve">category </w:t>
      </w:r>
      <w:r w:rsidR="00237AD1" w:rsidRPr="00B46919">
        <w:t xml:space="preserve">assessment, part of the investment assessment or included in both. </w:t>
      </w:r>
      <w:bookmarkEnd w:id="63"/>
    </w:p>
    <w:p w:rsidR="00AD69B4" w:rsidRPr="00C33D9F" w:rsidRDefault="00AD69B4" w:rsidP="00483E78">
      <w:pPr>
        <w:pStyle w:val="CGCNumberedPara"/>
        <w:numPr>
          <w:ilvl w:val="1"/>
          <w:numId w:val="3"/>
        </w:numPr>
      </w:pPr>
      <w:r w:rsidRPr="00C33D9F">
        <w:t xml:space="preserve">The stock factors for each category </w:t>
      </w:r>
      <w:r w:rsidR="006F0DA1">
        <w:t xml:space="preserve">in the others services component </w:t>
      </w:r>
      <w:proofErr w:type="gramStart"/>
      <w:r w:rsidRPr="00C33D9F">
        <w:t>are weighted</w:t>
      </w:r>
      <w:proofErr w:type="gramEnd"/>
      <w:r w:rsidRPr="00C33D9F">
        <w:t xml:space="preserve"> together in proportion to the value of stock of assets in each category. This mean</w:t>
      </w:r>
      <w:r w:rsidR="006F0DA1">
        <w:t>s that the closing stocks</w:t>
      </w:r>
      <w:r w:rsidRPr="00C33D9F">
        <w:t xml:space="preserve"> for the amalgamated </w:t>
      </w:r>
      <w:r w:rsidR="002C02A5">
        <w:t>o</w:t>
      </w:r>
      <w:r w:rsidRPr="00C33D9F">
        <w:t xml:space="preserve">ther </w:t>
      </w:r>
      <w:r w:rsidR="00F5685C">
        <w:t>services</w:t>
      </w:r>
      <w:r w:rsidR="00BF71BF" w:rsidRPr="00C33D9F">
        <w:t xml:space="preserve"> </w:t>
      </w:r>
      <w:r w:rsidR="00DB2E95" w:rsidRPr="00C33D9F">
        <w:t>component</w:t>
      </w:r>
      <w:r w:rsidRPr="00C33D9F">
        <w:t xml:space="preserve"> </w:t>
      </w:r>
      <w:r w:rsidR="00DB2E95" w:rsidRPr="00C33D9F">
        <w:t>are</w:t>
      </w:r>
      <w:r w:rsidRPr="00C33D9F">
        <w:t xml:space="preserve"> equivalent to thos</w:t>
      </w:r>
      <w:r w:rsidR="003E456F" w:rsidRPr="00C33D9F">
        <w:t>e in a functionalised assessment. H</w:t>
      </w:r>
      <w:r w:rsidRPr="00C33D9F">
        <w:t>owever</w:t>
      </w:r>
      <w:r w:rsidR="003E456F" w:rsidRPr="00C33D9F">
        <w:t>,</w:t>
      </w:r>
      <w:r w:rsidR="00F5685C">
        <w:t xml:space="preserve"> while we define opening stocks as closing stocks less</w:t>
      </w:r>
      <w:r w:rsidR="004E4877">
        <w:t xml:space="preserve"> net</w:t>
      </w:r>
      <w:r w:rsidR="00F5685C">
        <w:t xml:space="preserve"> inve</w:t>
      </w:r>
      <w:r w:rsidR="002C02A5">
        <w:t xml:space="preserve">stment, when </w:t>
      </w:r>
      <w:r w:rsidR="00234829">
        <w:t xml:space="preserve">we </w:t>
      </w:r>
      <w:r w:rsidR="002C02A5">
        <w:t>combine them in the o</w:t>
      </w:r>
      <w:r w:rsidR="00F5685C">
        <w:t>ther services component</w:t>
      </w:r>
      <w:r w:rsidR="002C02A5">
        <w:t>, we use</w:t>
      </w:r>
      <w:r w:rsidR="00F5685C">
        <w:t xml:space="preserve"> the share of assets in the previous year. Therefore, d</w:t>
      </w:r>
      <w:r w:rsidRPr="00C33D9F">
        <w:t xml:space="preserve">ifferences in </w:t>
      </w:r>
      <w:r w:rsidR="00C33D9F" w:rsidRPr="00C33D9F">
        <w:t>revaluations</w:t>
      </w:r>
      <w:r w:rsidRPr="00C33D9F">
        <w:t xml:space="preserve"> of assets between categories </w:t>
      </w:r>
      <w:r w:rsidR="003E456F" w:rsidRPr="00C33D9F">
        <w:t>a</w:t>
      </w:r>
      <w:r w:rsidRPr="00C33D9F">
        <w:t>ffect</w:t>
      </w:r>
      <w:r w:rsidR="00C33D9F">
        <w:t>s</w:t>
      </w:r>
      <w:r w:rsidRPr="00C33D9F">
        <w:t xml:space="preserve"> the assessment of </w:t>
      </w:r>
      <w:r w:rsidR="002C02A5">
        <w:t xml:space="preserve">investment in </w:t>
      </w:r>
      <w:r w:rsidRPr="00C33D9F">
        <w:t xml:space="preserve">other </w:t>
      </w:r>
      <w:r w:rsidR="00F5685C">
        <w:t xml:space="preserve">services </w:t>
      </w:r>
      <w:r w:rsidR="00C33D9F">
        <w:t>under the current approach</w:t>
      </w:r>
      <w:r w:rsidRPr="00C33D9F">
        <w:t xml:space="preserve">, but would </w:t>
      </w:r>
      <w:r w:rsidR="00C33D9F">
        <w:t xml:space="preserve">have no effect </w:t>
      </w:r>
      <w:r w:rsidRPr="00C33D9F">
        <w:t xml:space="preserve">in a functionalised assessment. </w:t>
      </w:r>
    </w:p>
    <w:p w:rsidR="00AD69B4" w:rsidRDefault="00AD69B4" w:rsidP="00483E78">
      <w:pPr>
        <w:pStyle w:val="CGCNumberedPara"/>
        <w:numPr>
          <w:ilvl w:val="1"/>
          <w:numId w:val="3"/>
        </w:numPr>
      </w:pPr>
      <w:r w:rsidRPr="00C33D9F">
        <w:t>For example, in the 2018 Update, Victoria revised down its stock of services to communities assets by $2</w:t>
      </w:r>
      <w:r w:rsidR="002E53CA" w:rsidRPr="00C33D9F">
        <w:t>.5</w:t>
      </w:r>
      <w:r w:rsidRPr="00C33D9F">
        <w:t xml:space="preserve"> billion for 2016-17. This implied a national disinvestment of assets in </w:t>
      </w:r>
      <w:r w:rsidR="00BC5B4A" w:rsidRPr="00C33D9F">
        <w:t xml:space="preserve">this </w:t>
      </w:r>
      <w:r w:rsidRPr="00C33D9F">
        <w:t xml:space="preserve">category </w:t>
      </w:r>
      <w:r w:rsidR="00BC5B4A" w:rsidRPr="00C33D9F">
        <w:t>(</w:t>
      </w:r>
      <w:r w:rsidRPr="00C33D9F">
        <w:t>where the Northern Territory had very high needs</w:t>
      </w:r>
      <w:r w:rsidR="00BC5B4A" w:rsidRPr="00C33D9F">
        <w:t>)</w:t>
      </w:r>
      <w:r w:rsidRPr="00C33D9F">
        <w:t xml:space="preserve"> </w:t>
      </w:r>
      <w:r w:rsidR="00BF71BF" w:rsidRPr="00C33D9F">
        <w:t xml:space="preserve">and </w:t>
      </w:r>
      <w:r w:rsidRPr="00C33D9F">
        <w:t xml:space="preserve">a corresponding </w:t>
      </w:r>
      <w:r w:rsidR="003E456F" w:rsidRPr="00C33D9F">
        <w:t xml:space="preserve">national </w:t>
      </w:r>
      <w:r w:rsidRPr="00C33D9F">
        <w:t xml:space="preserve">investment in </w:t>
      </w:r>
      <w:r w:rsidR="00BF71BF" w:rsidRPr="00C33D9F">
        <w:t xml:space="preserve">all </w:t>
      </w:r>
      <w:r w:rsidRPr="00C33D9F">
        <w:t xml:space="preserve">other categories </w:t>
      </w:r>
      <w:r w:rsidR="00BF71BF" w:rsidRPr="00C33D9F">
        <w:t xml:space="preserve">within </w:t>
      </w:r>
      <w:proofErr w:type="gramStart"/>
      <w:r w:rsidR="00BF71BF" w:rsidRPr="00C33D9F">
        <w:t>O</w:t>
      </w:r>
      <w:r w:rsidRPr="00C33D9F">
        <w:t>ther</w:t>
      </w:r>
      <w:proofErr w:type="gramEnd"/>
      <w:r w:rsidRPr="00C33D9F">
        <w:t xml:space="preserve"> </w:t>
      </w:r>
      <w:r w:rsidR="002C02A5">
        <w:t>services</w:t>
      </w:r>
      <w:r w:rsidRPr="00C33D9F">
        <w:t>. This effect reduced the Northern Territory’s GST by $</w:t>
      </w:r>
      <w:r w:rsidR="002E53CA" w:rsidRPr="00C33D9F">
        <w:t>37</w:t>
      </w:r>
      <w:r w:rsidRPr="00C33D9F">
        <w:t xml:space="preserve"> million. Under a functionalised assessment, such revaluations would have no effect on the</w:t>
      </w:r>
      <w:r w:rsidR="006F0DA1">
        <w:t xml:space="preserve"> redistribution of</w:t>
      </w:r>
      <w:r w:rsidRPr="00C33D9F">
        <w:t xml:space="preserve"> GST.</w:t>
      </w:r>
      <w:r w:rsidR="000756BB">
        <w:t xml:space="preserve"> Other than this change, the two approaches are equivalent.</w:t>
      </w:r>
    </w:p>
    <w:p w:rsidR="00282D84" w:rsidRDefault="00282D84" w:rsidP="00282D84">
      <w:pPr>
        <w:pStyle w:val="CGCNumberedPara"/>
        <w:numPr>
          <w:ilvl w:val="0"/>
          <w:numId w:val="0"/>
        </w:numPr>
      </w:pPr>
      <w:r>
        <w:br w:type="page"/>
      </w:r>
    </w:p>
    <w:p w:rsidR="00237AD1" w:rsidRDefault="00504C5F" w:rsidP="003E456F">
      <w:pPr>
        <w:pStyle w:val="CGCNumberedPara"/>
        <w:numPr>
          <w:ilvl w:val="1"/>
          <w:numId w:val="3"/>
        </w:numPr>
      </w:pPr>
      <w:r>
        <w:lastRenderedPageBreak/>
        <w:t>The d</w:t>
      </w:r>
      <w:r w:rsidR="00591E7B">
        <w:t>ata</w:t>
      </w:r>
      <w:r w:rsidR="003E456F">
        <w:t xml:space="preserve"> required </w:t>
      </w:r>
      <w:proofErr w:type="gramStart"/>
      <w:r w:rsidR="003E456F">
        <w:t>to make</w:t>
      </w:r>
      <w:proofErr w:type="gramEnd"/>
      <w:r w:rsidR="003E456F">
        <w:t xml:space="preserve"> this change</w:t>
      </w:r>
      <w:r w:rsidR="00506F74">
        <w:t xml:space="preserve"> —</w:t>
      </w:r>
      <w:r w:rsidR="003E456F">
        <w:t xml:space="preserve"> </w:t>
      </w:r>
      <w:r>
        <w:t>stock</w:t>
      </w:r>
      <w:r w:rsidR="00591E7B">
        <w:t xml:space="preserve"> and investment </w:t>
      </w:r>
      <w:r>
        <w:t xml:space="preserve">data </w:t>
      </w:r>
      <w:r w:rsidR="00591E7B">
        <w:t xml:space="preserve">by </w:t>
      </w:r>
      <w:r w:rsidR="000F224F">
        <w:t>ABS General Purpose Classification (</w:t>
      </w:r>
      <w:r w:rsidR="00591E7B">
        <w:t>GPC</w:t>
      </w:r>
      <w:r w:rsidR="000F224F">
        <w:t>)</w:t>
      </w:r>
      <w:r w:rsidR="00114CF1">
        <w:rPr>
          <w:rStyle w:val="FootnoteReference"/>
        </w:rPr>
        <w:footnoteReference w:id="4"/>
      </w:r>
      <w:r w:rsidR="00506F74">
        <w:t xml:space="preserve"> —</w:t>
      </w:r>
      <w:r w:rsidR="00591E7B">
        <w:t xml:space="preserve"> are available </w:t>
      </w:r>
      <w:r>
        <w:t>from the ABS</w:t>
      </w:r>
      <w:r w:rsidR="00591E7B">
        <w:t>. However,</w:t>
      </w:r>
      <w:r w:rsidR="00054A7D">
        <w:t xml:space="preserve"> </w:t>
      </w:r>
      <w:r w:rsidR="00167928">
        <w:t>in addition to data currently provided by</w:t>
      </w:r>
      <w:r w:rsidR="00054A7D">
        <w:t xml:space="preserve"> </w:t>
      </w:r>
      <w:r w:rsidR="00591E7B">
        <w:t>States</w:t>
      </w:r>
      <w:r w:rsidR="00167928">
        <w:t xml:space="preserve"> in an update,</w:t>
      </w:r>
      <w:r w:rsidR="00591E7B">
        <w:t xml:space="preserve"> investment expenditure for all </w:t>
      </w:r>
      <w:r>
        <w:t>relevant GPCs</w:t>
      </w:r>
      <w:r w:rsidR="00591E7B">
        <w:t>, not just roads and urban transport</w:t>
      </w:r>
      <w:r w:rsidR="004E4877">
        <w:t>,</w:t>
      </w:r>
      <w:r w:rsidR="00591E7B">
        <w:t xml:space="preserve"> for the most recent year</w:t>
      </w:r>
      <w:r w:rsidR="003E456F">
        <w:t xml:space="preserve"> will </w:t>
      </w:r>
      <w:r w:rsidR="00167928">
        <w:t>also be required</w:t>
      </w:r>
      <w:r w:rsidR="00591E7B">
        <w:t>.</w:t>
      </w:r>
      <w:r w:rsidR="00237AD1" w:rsidRPr="00237AD1">
        <w:t xml:space="preserve"> </w:t>
      </w:r>
    </w:p>
    <w:p w:rsidR="00A4754B" w:rsidRDefault="00A4754B" w:rsidP="00B2379C">
      <w:pPr>
        <w:pStyle w:val="CGCNumberedPara"/>
        <w:numPr>
          <w:ilvl w:val="1"/>
          <w:numId w:val="3"/>
        </w:numPr>
      </w:pPr>
      <w:proofErr w:type="gramStart"/>
      <w:r>
        <w:t>Staff</w:t>
      </w:r>
      <w:r w:rsidR="007649B3">
        <w:t xml:space="preserve"> recognise</w:t>
      </w:r>
      <w:proofErr w:type="gramEnd"/>
      <w:r w:rsidR="00AB4B43">
        <w:t xml:space="preserve"> that functionalising the assessment</w:t>
      </w:r>
      <w:r>
        <w:t xml:space="preserve"> will introduce more steps i</w:t>
      </w:r>
      <w:r w:rsidR="006F0DA1">
        <w:t>n the I</w:t>
      </w:r>
      <w:r>
        <w:t>nvestm</w:t>
      </w:r>
      <w:r w:rsidR="00591E7B">
        <w:t xml:space="preserve">ent assessment for </w:t>
      </w:r>
      <w:r w:rsidR="008F15CE">
        <w:t>what is essent</w:t>
      </w:r>
      <w:r w:rsidR="007649B3">
        <w:t xml:space="preserve">ially a matter of presentation and </w:t>
      </w:r>
      <w:r w:rsidR="00591E7B">
        <w:t>could be considered a more complicated approach</w:t>
      </w:r>
      <w:r w:rsidR="007E36E6">
        <w:t>.</w:t>
      </w:r>
      <w:r w:rsidR="008F15CE">
        <w:t xml:space="preserve"> </w:t>
      </w:r>
      <w:r w:rsidR="003E456F">
        <w:t>On the other hand</w:t>
      </w:r>
      <w:r w:rsidR="007649B3">
        <w:t xml:space="preserve">, </w:t>
      </w:r>
      <w:proofErr w:type="gramStart"/>
      <w:r w:rsidR="007649B3">
        <w:t>s</w:t>
      </w:r>
      <w:r w:rsidR="007E36E6">
        <w:t xml:space="preserve">taff </w:t>
      </w:r>
      <w:r w:rsidR="00803961">
        <w:t>consider</w:t>
      </w:r>
      <w:proofErr w:type="gramEnd"/>
      <w:r w:rsidR="00803961">
        <w:t xml:space="preserve"> removing the need to </w:t>
      </w:r>
      <w:r w:rsidR="00F65625">
        <w:t>com</w:t>
      </w:r>
      <w:r w:rsidR="00803961">
        <w:t>bine ten distinct stock</w:t>
      </w:r>
      <w:r w:rsidR="001E77E7">
        <w:t xml:space="preserve"> </w:t>
      </w:r>
      <w:r w:rsidR="00803961">
        <w:t>factors into one factor represents a significant simplification</w:t>
      </w:r>
      <w:r w:rsidR="007649B3">
        <w:t xml:space="preserve"> both technically and in terms of comprehension</w:t>
      </w:r>
      <w:r w:rsidR="001E77E7">
        <w:t>.</w:t>
      </w:r>
      <w:r w:rsidR="007649B3">
        <w:t xml:space="preserve"> On balance, </w:t>
      </w:r>
      <w:proofErr w:type="gramStart"/>
      <w:r w:rsidR="007649B3">
        <w:t>staff consider</w:t>
      </w:r>
      <w:proofErr w:type="gramEnd"/>
      <w:r w:rsidR="007649B3">
        <w:t xml:space="preserve"> the benefits associated with interpretation </w:t>
      </w:r>
      <w:r w:rsidR="00F65625">
        <w:t>and</w:t>
      </w:r>
      <w:r w:rsidR="00FA3F9B">
        <w:t xml:space="preserve"> </w:t>
      </w:r>
      <w:r w:rsidR="00F65625">
        <w:t>accessibility</w:t>
      </w:r>
      <w:r w:rsidR="00CF52B1">
        <w:t xml:space="preserve"> </w:t>
      </w:r>
      <w:r w:rsidR="00FA3F9B">
        <w:t>compensate for any</w:t>
      </w:r>
      <w:r w:rsidR="008F15CE">
        <w:t xml:space="preserve"> increase </w:t>
      </w:r>
      <w:r w:rsidR="00FA3F9B">
        <w:t xml:space="preserve">in </w:t>
      </w:r>
      <w:r w:rsidR="007649B3">
        <w:t>the quantity of calculations necessary.</w:t>
      </w:r>
    </w:p>
    <w:p w:rsidR="007429FE" w:rsidRPr="00C343CE" w:rsidRDefault="007649B3" w:rsidP="00237AD1">
      <w:pPr>
        <w:pStyle w:val="CGCNumberedPara"/>
        <w:numPr>
          <w:ilvl w:val="1"/>
          <w:numId w:val="3"/>
        </w:numPr>
      </w:pPr>
      <w:r>
        <w:rPr>
          <w:rFonts w:eastAsiaTheme="minorEastAsia"/>
        </w:rPr>
        <w:t>In addition to this</w:t>
      </w:r>
      <w:r w:rsidR="00A615BC">
        <w:rPr>
          <w:rFonts w:eastAsiaTheme="minorEastAsia"/>
        </w:rPr>
        <w:t>,</w:t>
      </w:r>
      <w:r>
        <w:rPr>
          <w:rFonts w:eastAsiaTheme="minorEastAsia"/>
        </w:rPr>
        <w:t xml:space="preserve"> assessing </w:t>
      </w:r>
      <w:r w:rsidR="00B029C1">
        <w:rPr>
          <w:rFonts w:eastAsiaTheme="minorEastAsia"/>
        </w:rPr>
        <w:t xml:space="preserve">investment </w:t>
      </w:r>
      <w:r>
        <w:rPr>
          <w:rFonts w:eastAsiaTheme="minorEastAsia"/>
        </w:rPr>
        <w:t xml:space="preserve">on a </w:t>
      </w:r>
      <w:proofErr w:type="gramStart"/>
      <w:r>
        <w:rPr>
          <w:rFonts w:eastAsiaTheme="minorEastAsia"/>
        </w:rPr>
        <w:t>category by category</w:t>
      </w:r>
      <w:proofErr w:type="gramEnd"/>
      <w:r>
        <w:rPr>
          <w:rFonts w:eastAsiaTheme="minorEastAsia"/>
        </w:rPr>
        <w:t xml:space="preserve"> basis allows for f</w:t>
      </w:r>
      <w:r w:rsidR="00A4754B" w:rsidRPr="00A4754B">
        <w:rPr>
          <w:rFonts w:eastAsiaTheme="minorEastAsia"/>
        </w:rPr>
        <w:t xml:space="preserve">urther refinements </w:t>
      </w:r>
      <w:r w:rsidR="00FB7C2C">
        <w:rPr>
          <w:rFonts w:eastAsiaTheme="minorEastAsia"/>
        </w:rPr>
        <w:t xml:space="preserve">to </w:t>
      </w:r>
      <w:r w:rsidR="00A4754B" w:rsidRPr="00A4754B">
        <w:rPr>
          <w:rFonts w:eastAsiaTheme="minorEastAsia"/>
        </w:rPr>
        <w:t>be made to the asses</w:t>
      </w:r>
      <w:r>
        <w:rPr>
          <w:rFonts w:eastAsiaTheme="minorEastAsia"/>
        </w:rPr>
        <w:t xml:space="preserve">sment method, </w:t>
      </w:r>
      <w:r w:rsidR="003A6F6F">
        <w:rPr>
          <w:rFonts w:eastAsiaTheme="minorEastAsia"/>
        </w:rPr>
        <w:t xml:space="preserve">which </w:t>
      </w:r>
      <w:r>
        <w:rPr>
          <w:rFonts w:eastAsiaTheme="minorEastAsia"/>
        </w:rPr>
        <w:t>are discussed below.</w:t>
      </w:r>
      <w:r w:rsidR="00A4754B" w:rsidRPr="00A4754B">
        <w:rPr>
          <w:rFonts w:eastAsiaTheme="minorEastAsia"/>
        </w:rPr>
        <w:t xml:space="preserve"> </w:t>
      </w:r>
    </w:p>
    <w:tbl>
      <w:tblPr>
        <w:tblW w:w="0" w:type="auto"/>
        <w:tblInd w:w="108" w:type="dxa"/>
        <w:shd w:val="clear" w:color="auto" w:fill="D9F3E6"/>
        <w:tblLook w:val="04A0" w:firstRow="1" w:lastRow="0" w:firstColumn="1" w:lastColumn="0" w:noHBand="0" w:noVBand="1"/>
      </w:tblPr>
      <w:tblGrid>
        <w:gridCol w:w="8931"/>
      </w:tblGrid>
      <w:tr w:rsidR="00C33F19" w:rsidRPr="00E674AF" w:rsidTr="00AB3BB8">
        <w:tc>
          <w:tcPr>
            <w:tcW w:w="8931" w:type="dxa"/>
            <w:shd w:val="clear" w:color="auto" w:fill="D9F3E6"/>
          </w:tcPr>
          <w:p w:rsidR="00C33F19" w:rsidRPr="00E674AF" w:rsidRDefault="00C33F19" w:rsidP="00AB4B9A">
            <w:r w:rsidRPr="00B7517F">
              <w:t>Staff propose to recommend the Commission:</w:t>
            </w:r>
          </w:p>
          <w:p w:rsidR="00C33F19" w:rsidRPr="00E674AF" w:rsidRDefault="000F224F" w:rsidP="00496B4C">
            <w:pPr>
              <w:pStyle w:val="CGCBulletlist"/>
              <w:numPr>
                <w:ilvl w:val="0"/>
                <w:numId w:val="1"/>
              </w:numPr>
              <w:tabs>
                <w:tab w:val="clear" w:pos="927"/>
                <w:tab w:val="clear" w:pos="1134"/>
              </w:tabs>
              <w:ind w:left="1134" w:hanging="567"/>
            </w:pPr>
            <w:proofErr w:type="gramStart"/>
            <w:r>
              <w:t>s</w:t>
            </w:r>
            <w:r w:rsidR="00931589">
              <w:t>eparately</w:t>
            </w:r>
            <w:proofErr w:type="gramEnd"/>
            <w:r w:rsidR="00931589">
              <w:t xml:space="preserve"> assess investment in all categor</w:t>
            </w:r>
            <w:r>
              <w:t>y and component service areas</w:t>
            </w:r>
            <w:r w:rsidR="00931589">
              <w:t xml:space="preserve">. </w:t>
            </w:r>
          </w:p>
        </w:tc>
      </w:tr>
    </w:tbl>
    <w:p w:rsidR="000C2A80" w:rsidRPr="00C343CE" w:rsidRDefault="00094391" w:rsidP="00C343CE">
      <w:pPr>
        <w:pStyle w:val="Heading4"/>
      </w:pPr>
      <w:bookmarkStart w:id="64" w:name="_Toc508716606"/>
      <w:bookmarkStart w:id="65" w:name="_Toc508716722"/>
      <w:bookmarkStart w:id="66" w:name="_Toc508716876"/>
      <w:bookmarkStart w:id="67" w:name="_Toc511816989"/>
      <w:r>
        <w:t>Refining our assessment of infrastructure needs</w:t>
      </w:r>
      <w:bookmarkEnd w:id="64"/>
      <w:bookmarkEnd w:id="65"/>
      <w:bookmarkEnd w:id="66"/>
      <w:bookmarkEnd w:id="67"/>
    </w:p>
    <w:p w:rsidR="00167928" w:rsidRPr="00C343CE" w:rsidRDefault="00167928" w:rsidP="00803E41">
      <w:pPr>
        <w:pStyle w:val="Heading5"/>
      </w:pPr>
      <w:r w:rsidRPr="00C343CE">
        <w:t xml:space="preserve">Averaging disabilities </w:t>
      </w:r>
    </w:p>
    <w:p w:rsidR="001704CD" w:rsidRPr="00BE5136" w:rsidRDefault="00A325E5" w:rsidP="00A325E5">
      <w:pPr>
        <w:pStyle w:val="CGCNumberedPara"/>
      </w:pPr>
      <w:bookmarkStart w:id="68" w:name="_Ref508279745"/>
      <w:r>
        <w:t xml:space="preserve">In the 2010 Review, the Commission addressed volatility concerns and recognised States do not respond immediately to changes in </w:t>
      </w:r>
      <w:r w:rsidR="003A6F6F">
        <w:t>S</w:t>
      </w:r>
      <w:r>
        <w:t xml:space="preserve">tate circumstances by applying a </w:t>
      </w:r>
      <w:proofErr w:type="gramStart"/>
      <w:r>
        <w:t>three year</w:t>
      </w:r>
      <w:proofErr w:type="gramEnd"/>
      <w:r>
        <w:t xml:space="preserve"> averaging process for the end of year and beginning of year disabilities. </w:t>
      </w:r>
      <w:r w:rsidRPr="00F66679">
        <w:t xml:space="preserve">While reducing volatility slightly, </w:t>
      </w:r>
      <w:r>
        <w:t>averaging disabilities has resulted in complicating the assessment, making it more difficult to interpret results and therefore reducing transparency. Averaging disabilities also has the effect of removing the alignment where changes in disabilities offset changes in population</w:t>
      </w:r>
      <w:r w:rsidR="00167928">
        <w:t>.</w:t>
      </w:r>
      <w:r>
        <w:t xml:space="preserve"> </w:t>
      </w:r>
      <w:r w:rsidR="001704CD">
        <w:rPr>
          <w:rFonts w:eastAsiaTheme="minorEastAsia" w:hAnsi="Calibri"/>
          <w:color w:val="000000" w:themeColor="text1"/>
          <w:kern w:val="24"/>
        </w:rPr>
        <w:t xml:space="preserve">This issue </w:t>
      </w:r>
      <w:proofErr w:type="gramStart"/>
      <w:r w:rsidR="001704CD">
        <w:rPr>
          <w:rFonts w:eastAsiaTheme="minorEastAsia" w:hAnsi="Calibri"/>
          <w:color w:val="000000" w:themeColor="text1"/>
          <w:kern w:val="24"/>
        </w:rPr>
        <w:t xml:space="preserve">is most pronounced, and most easily illustrated, in reference to the </w:t>
      </w:r>
      <w:r w:rsidR="001704CD" w:rsidRPr="00FA4FA0">
        <w:rPr>
          <w:rFonts w:eastAsiaTheme="minorEastAsia" w:hAnsi="Calibri"/>
          <w:color w:val="000000" w:themeColor="text1"/>
          <w:kern w:val="24"/>
        </w:rPr>
        <w:t>rural roads assessment</w:t>
      </w:r>
      <w:proofErr w:type="gramEnd"/>
      <w:r w:rsidR="001704CD" w:rsidRPr="00FA4FA0">
        <w:rPr>
          <w:rFonts w:eastAsiaTheme="minorEastAsia" w:hAnsi="Calibri"/>
          <w:color w:val="000000" w:themeColor="text1"/>
          <w:kern w:val="24"/>
        </w:rPr>
        <w:t>.</w:t>
      </w:r>
      <w:bookmarkEnd w:id="68"/>
    </w:p>
    <w:p w:rsidR="00282D84" w:rsidRDefault="00282D84" w:rsidP="00282D84">
      <w:pPr>
        <w:pStyle w:val="CGCNumberedPara"/>
        <w:numPr>
          <w:ilvl w:val="0"/>
          <w:numId w:val="0"/>
        </w:numPr>
      </w:pPr>
      <w:r>
        <w:br w:type="page"/>
      </w:r>
    </w:p>
    <w:p w:rsidR="002F4AC8" w:rsidRDefault="001704CD" w:rsidP="00F35129">
      <w:pPr>
        <w:pStyle w:val="CGCNumberedPara"/>
        <w:numPr>
          <w:ilvl w:val="1"/>
          <w:numId w:val="3"/>
        </w:numPr>
      </w:pPr>
      <w:bookmarkStart w:id="69" w:name="_Ref510604255"/>
      <w:bookmarkStart w:id="70" w:name="_Ref485826503"/>
      <w:bookmarkStart w:id="71" w:name="_Ref486243756"/>
      <w:r w:rsidDel="0004150F">
        <w:lastRenderedPageBreak/>
        <w:t xml:space="preserve">Each State’s share of assessed rural roads </w:t>
      </w:r>
      <w:proofErr w:type="gramStart"/>
      <w:r w:rsidDel="0004150F">
        <w:t>is fixed</w:t>
      </w:r>
      <w:proofErr w:type="gramEnd"/>
      <w:r w:rsidDel="0004150F">
        <w:t>, as its geographic form does not change over time.</w:t>
      </w:r>
      <w:r>
        <w:t xml:space="preserve"> </w:t>
      </w:r>
      <w:proofErr w:type="gramStart"/>
      <w:r>
        <w:t>Each</w:t>
      </w:r>
      <w:r w:rsidDel="0004150F">
        <w:t xml:space="preserve"> State’s share of investment for rural roads</w:t>
      </w:r>
      <w:r>
        <w:t xml:space="preserve"> </w:t>
      </w:r>
      <w:r w:rsidDel="0004150F">
        <w:t>is</w:t>
      </w:r>
      <w:r w:rsidR="00D41994">
        <w:t xml:space="preserve"> therefore</w:t>
      </w:r>
      <w:r w:rsidDel="0004150F">
        <w:t xml:space="preserve"> driven by its share of the rural road network</w:t>
      </w:r>
      <w:proofErr w:type="gramEnd"/>
      <w:r w:rsidR="00BD0403">
        <w:t>. As States, collectively, improve the rural road network, we assume that each kilometre of road receives the same upgrade. Unlike other asset types,</w:t>
      </w:r>
      <w:r w:rsidR="006322B3">
        <w:t xml:space="preserve"> t</w:t>
      </w:r>
      <w:r w:rsidR="00D41994">
        <w:t>here is no dilution effect</w:t>
      </w:r>
      <w:r w:rsidR="001E116C">
        <w:t>.</w:t>
      </w:r>
      <w:r w:rsidR="00BD0403">
        <w:t xml:space="preserve"> The current assessment of rural roads </w:t>
      </w:r>
      <w:proofErr w:type="gramStart"/>
      <w:r w:rsidR="00BD0403">
        <w:t>was designed</w:t>
      </w:r>
      <w:proofErr w:type="gramEnd"/>
      <w:r w:rsidR="00BD0403">
        <w:t xml:space="preserve"> to fully offset the impact of dilution; the box below outlines the algebra.</w:t>
      </w:r>
      <w:bookmarkEnd w:id="69"/>
    </w:p>
    <w:tbl>
      <w:tblPr>
        <w:tblStyle w:val="TableGrid"/>
        <w:tblW w:w="0" w:type="auto"/>
        <w:tblInd w:w="567" w:type="dxa"/>
        <w:tblLook w:val="04A0" w:firstRow="1" w:lastRow="0" w:firstColumn="1" w:lastColumn="0" w:noHBand="0" w:noVBand="1"/>
      </w:tblPr>
      <w:tblGrid>
        <w:gridCol w:w="8523"/>
      </w:tblGrid>
      <w:tr w:rsidR="00BD0403" w:rsidTr="0045164C">
        <w:tc>
          <w:tcPr>
            <w:tcW w:w="8523" w:type="dxa"/>
            <w:tcBorders>
              <w:top w:val="nil"/>
              <w:left w:val="nil"/>
              <w:bottom w:val="nil"/>
              <w:right w:val="nil"/>
            </w:tcBorders>
            <w:shd w:val="clear" w:color="auto" w:fill="D9F3E6"/>
          </w:tcPr>
          <w:p w:rsidR="00BD0403" w:rsidRPr="00F83F41" w:rsidRDefault="00BD0403" w:rsidP="00F83F41">
            <w:pPr>
              <w:rPr>
                <w:rFonts w:ascii="Cambria Math" w:eastAsiaTheme="minorEastAsia" w:hAnsi="Cambria Math"/>
                <w:sz w:val="20"/>
                <w:szCs w:val="20"/>
              </w:rPr>
            </w:pPr>
            <w:r w:rsidRPr="00F83F41">
              <w:rPr>
                <w:rFonts w:ascii="Cambria Math" w:eastAsiaTheme="minorEastAsia" w:hAnsi="Cambria Math"/>
                <w:sz w:val="20"/>
                <w:szCs w:val="20"/>
              </w:rPr>
              <w:t xml:space="preserve">We start with our standard formula (as expressed in the box in paragraph </w:t>
            </w:r>
            <w:r w:rsidR="004E4877">
              <w:rPr>
                <w:rFonts w:ascii="Cambria Math" w:eastAsiaTheme="minorEastAsia" w:hAnsi="Cambria Math"/>
                <w:sz w:val="20"/>
                <w:szCs w:val="20"/>
              </w:rPr>
              <w:fldChar w:fldCharType="begin"/>
            </w:r>
            <w:r w:rsidR="004E4877">
              <w:rPr>
                <w:rFonts w:ascii="Cambria Math" w:eastAsiaTheme="minorEastAsia" w:hAnsi="Cambria Math"/>
                <w:sz w:val="20"/>
                <w:szCs w:val="20"/>
              </w:rPr>
              <w:instrText xml:space="preserve"> REF _Ref511217732 \r \h </w:instrText>
            </w:r>
            <w:r w:rsidR="004E4877">
              <w:rPr>
                <w:rFonts w:ascii="Cambria Math" w:eastAsiaTheme="minorEastAsia" w:hAnsi="Cambria Math"/>
                <w:sz w:val="20"/>
                <w:szCs w:val="20"/>
              </w:rPr>
            </w:r>
            <w:r w:rsidR="004E4877">
              <w:rPr>
                <w:rFonts w:ascii="Cambria Math" w:eastAsiaTheme="minorEastAsia" w:hAnsi="Cambria Math"/>
                <w:sz w:val="20"/>
                <w:szCs w:val="20"/>
              </w:rPr>
              <w:fldChar w:fldCharType="separate"/>
            </w:r>
            <w:r w:rsidR="00402501">
              <w:rPr>
                <w:rFonts w:ascii="Cambria Math" w:eastAsiaTheme="minorEastAsia" w:hAnsi="Cambria Math"/>
                <w:sz w:val="20"/>
                <w:szCs w:val="20"/>
              </w:rPr>
              <w:t>8</w:t>
            </w:r>
            <w:r w:rsidR="004E4877">
              <w:rPr>
                <w:rFonts w:ascii="Cambria Math" w:eastAsiaTheme="minorEastAsia" w:hAnsi="Cambria Math"/>
                <w:sz w:val="20"/>
                <w:szCs w:val="20"/>
              </w:rPr>
              <w:fldChar w:fldCharType="end"/>
            </w:r>
            <w:r w:rsidR="0022416F" w:rsidRPr="00F83F41">
              <w:rPr>
                <w:rFonts w:ascii="Cambria Math" w:eastAsiaTheme="minorEastAsia" w:hAnsi="Cambria Math"/>
                <w:sz w:val="20"/>
                <w:szCs w:val="20"/>
              </w:rPr>
              <w:t xml:space="preserve"> and ignoring the cost factor for simplicity)</w:t>
            </w:r>
          </w:p>
          <w:p w:rsidR="00BD0403" w:rsidRPr="00F83F41" w:rsidRDefault="00DE4B51" w:rsidP="00F35129">
            <w:pPr>
              <w:jc w:val="center"/>
              <w:rPr>
                <w:rFonts w:ascii="Cambria Math" w:eastAsiaTheme="minorEastAsia" w:hAnsi="Cambria Math"/>
                <w:sz w:val="20"/>
                <w:szCs w:val="20"/>
              </w:rPr>
            </w:pPr>
            <m:oMathPara>
              <m:oMath>
                <m:r>
                  <m:rPr>
                    <m:sty m:val="p"/>
                  </m:rPr>
                  <w:rPr>
                    <w:rFonts w:ascii="Cambria Math" w:hAnsi="Cambria Math"/>
                    <w:sz w:val="20"/>
                    <w:szCs w:val="20"/>
                  </w:rPr>
                  <m:t xml:space="preserve">Assessed Investment= </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den>
                </m:f>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i1</m:t>
                    </m:r>
                  </m:sub>
                </m:sSub>
                <m:sSub>
                  <m:sSubPr>
                    <m:ctrlPr>
                      <w:rPr>
                        <w:rFonts w:ascii="Cambria Math" w:hAnsi="Cambria Math"/>
                        <w:sz w:val="20"/>
                        <w:szCs w:val="20"/>
                      </w:rPr>
                    </m:ctrlPr>
                  </m:sSubPr>
                  <m:e>
                    <m:r>
                      <m:rPr>
                        <m:sty m:val="p"/>
                      </m:rPr>
                      <w:rPr>
                        <w:rFonts w:ascii="Cambria Math" w:hAnsi="Cambria Math"/>
                        <w:sz w:val="20"/>
                        <w:szCs w:val="20"/>
                      </w:rPr>
                      <m:t>δ</m:t>
                    </m:r>
                  </m:e>
                  <m:sub>
                    <m:r>
                      <m:rPr>
                        <m:sty m:val="p"/>
                      </m:rPr>
                      <w:rPr>
                        <w:rFonts w:ascii="Cambria Math" w:hAnsi="Cambria Math"/>
                        <w:sz w:val="20"/>
                        <w:szCs w:val="20"/>
                      </w:rPr>
                      <m:t>i1</m:t>
                    </m:r>
                  </m:sub>
                </m:sSub>
                <m:r>
                  <m:rPr>
                    <m:sty m:val="p"/>
                  </m:rPr>
                  <w:rPr>
                    <w:rFonts w:ascii="Cambria Math" w:hAnsi="Cambria Math"/>
                    <w:sz w:val="20"/>
                    <w:szCs w:val="20"/>
                  </w:rPr>
                  <m:t xml:space="preserve">- </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den>
                </m:f>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i0</m:t>
                    </m:r>
                  </m:sub>
                </m:sSub>
                <m:sSub>
                  <m:sSubPr>
                    <m:ctrlPr>
                      <w:rPr>
                        <w:rFonts w:ascii="Cambria Math" w:hAnsi="Cambria Math"/>
                        <w:sz w:val="20"/>
                        <w:szCs w:val="20"/>
                      </w:rPr>
                    </m:ctrlPr>
                  </m:sSubPr>
                  <m:e>
                    <m:r>
                      <m:rPr>
                        <m:sty m:val="p"/>
                      </m:rPr>
                      <w:rPr>
                        <w:rFonts w:ascii="Cambria Math" w:hAnsi="Cambria Math"/>
                        <w:sz w:val="20"/>
                        <w:szCs w:val="20"/>
                      </w:rPr>
                      <m:t>δ</m:t>
                    </m:r>
                  </m:e>
                  <m:sub>
                    <m:r>
                      <m:rPr>
                        <m:sty m:val="p"/>
                      </m:rPr>
                      <w:rPr>
                        <w:rFonts w:ascii="Cambria Math" w:hAnsi="Cambria Math"/>
                        <w:sz w:val="20"/>
                        <w:szCs w:val="20"/>
                      </w:rPr>
                      <m:t>i0</m:t>
                    </m:r>
                  </m:sub>
                </m:sSub>
              </m:oMath>
            </m:oMathPara>
          </w:p>
          <w:p w:rsidR="00BD0403" w:rsidRPr="00F83F41" w:rsidRDefault="00234829" w:rsidP="00F83F41">
            <w:pPr>
              <w:rPr>
                <w:rFonts w:ascii="Cambria Math" w:eastAsiaTheme="minorEastAsia" w:hAnsi="Cambria Math"/>
                <w:sz w:val="20"/>
                <w:szCs w:val="20"/>
              </w:rPr>
            </w:pPr>
            <w:r>
              <w:rPr>
                <w:rFonts w:ascii="Cambria Math" w:eastAsiaTheme="minorEastAsia" w:hAnsi="Cambria Math"/>
                <w:sz w:val="20"/>
                <w:szCs w:val="20"/>
              </w:rPr>
              <w:t>A State’s</w:t>
            </w:r>
            <w:r w:rsidR="00BD0403" w:rsidRPr="00F83F41">
              <w:rPr>
                <w:rFonts w:ascii="Cambria Math" w:eastAsiaTheme="minorEastAsia" w:hAnsi="Cambria Math"/>
                <w:sz w:val="20"/>
                <w:szCs w:val="20"/>
              </w:rPr>
              <w:t xml:space="preserve"> rural roads</w:t>
            </w:r>
            <w:r w:rsidR="00DE4B51" w:rsidRPr="00F83F41">
              <w:rPr>
                <w:rFonts w:ascii="Cambria Math" w:eastAsiaTheme="minorEastAsia" w:hAnsi="Cambria Math"/>
                <w:sz w:val="20"/>
                <w:szCs w:val="20"/>
              </w:rPr>
              <w:t xml:space="preserve"> disability</w:t>
            </w:r>
            <w:r w:rsidR="00BD0403" w:rsidRPr="00F83F41">
              <w:rPr>
                <w:rFonts w:ascii="Cambria Math" w:eastAsiaTheme="minorEastAsia" w:hAnsi="Cambria Math"/>
                <w:sz w:val="20"/>
                <w:szCs w:val="20"/>
              </w:rPr>
              <w:t xml:space="preserve"> is </w:t>
            </w:r>
            <w:r>
              <w:rPr>
                <w:rFonts w:ascii="Cambria Math" w:eastAsiaTheme="minorEastAsia" w:hAnsi="Cambria Math"/>
                <w:sz w:val="20"/>
                <w:szCs w:val="20"/>
              </w:rPr>
              <w:t xml:space="preserve">its </w:t>
            </w:r>
            <w:r w:rsidR="00BD0403" w:rsidRPr="00F83F41">
              <w:rPr>
                <w:rFonts w:ascii="Cambria Math" w:eastAsiaTheme="minorEastAsia" w:hAnsi="Cambria Math"/>
                <w:sz w:val="20"/>
                <w:szCs w:val="20"/>
              </w:rPr>
              <w:t>share of rural road length over its share of population.</w:t>
            </w:r>
          </w:p>
          <w:p w:rsidR="00BD0403" w:rsidRPr="00F83F41" w:rsidRDefault="00DE4B51" w:rsidP="00BD0403">
            <w:pPr>
              <w:jc w:val="center"/>
              <w:rPr>
                <w:rFonts w:ascii="Cambria Math" w:eastAsiaTheme="minorEastAsia" w:hAnsi="Cambria Math"/>
                <w:sz w:val="20"/>
                <w:szCs w:val="20"/>
              </w:rPr>
            </w:pPr>
            <m:oMathPara>
              <m:oMath>
                <m:r>
                  <m:rPr>
                    <m:sty m:val="p"/>
                  </m:rPr>
                  <w:rPr>
                    <w:rFonts w:ascii="Cambria Math" w:hAnsi="Cambria Math"/>
                    <w:sz w:val="20"/>
                    <w:szCs w:val="20"/>
                  </w:rPr>
                  <m:t xml:space="preserve">Rural road disability= </m:t>
                </m:r>
                <m:sSub>
                  <m:sSubPr>
                    <m:ctrlPr>
                      <w:rPr>
                        <w:rFonts w:ascii="Cambria Math" w:hAnsi="Cambria Math"/>
                        <w:sz w:val="20"/>
                        <w:szCs w:val="20"/>
                      </w:rPr>
                    </m:ctrlPr>
                  </m:sSubPr>
                  <m:e>
                    <m:r>
                      <m:rPr>
                        <m:sty m:val="p"/>
                      </m:rPr>
                      <w:rPr>
                        <w:rFonts w:ascii="Cambria Math" w:hAnsi="Cambria Math"/>
                        <w:sz w:val="20"/>
                        <w:szCs w:val="20"/>
                      </w:rPr>
                      <m:t>δ</m:t>
                    </m:r>
                  </m:e>
                  <m:sub>
                    <m:r>
                      <m:rPr>
                        <m:sty m:val="p"/>
                      </m:rPr>
                      <w:rPr>
                        <w:rFonts w:ascii="Cambria Math" w:hAnsi="Cambria Math"/>
                        <w:sz w:val="20"/>
                        <w:szCs w:val="20"/>
                      </w:rPr>
                      <m:t>i</m:t>
                    </m:r>
                  </m:sub>
                </m:sSub>
                <m:r>
                  <m:rPr>
                    <m:sty m:val="p"/>
                  </m:rPr>
                  <w:rPr>
                    <w:rFonts w:ascii="Cambria Math" w:hAnsi="Cambria Math"/>
                    <w:sz w:val="20"/>
                    <w:szCs w:val="20"/>
                  </w:rPr>
                  <m:t>=</m:t>
                </m:r>
                <m:f>
                  <m:fPr>
                    <m:ctrlPr>
                      <w:rPr>
                        <w:rFonts w:ascii="Cambria Math" w:hAnsi="Cambria Math"/>
                        <w:sz w:val="20"/>
                        <w:szCs w:val="20"/>
                      </w:rPr>
                    </m:ctrlPr>
                  </m:fPr>
                  <m:num>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i</m:t>
                            </m:r>
                          </m:sub>
                        </m:sSub>
                      </m:num>
                      <m:den>
                        <m:r>
                          <m:rPr>
                            <m:sty m:val="p"/>
                          </m:rPr>
                          <w:rPr>
                            <w:rFonts w:ascii="Cambria Math" w:hAnsi="Cambria Math"/>
                            <w:sz w:val="20"/>
                            <w:szCs w:val="20"/>
                          </w:rPr>
                          <m:t>L</m:t>
                        </m:r>
                      </m:den>
                    </m:f>
                  </m:num>
                  <m:den>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m:t>
                            </m:r>
                          </m:sub>
                        </m:sSub>
                      </m:num>
                      <m:den>
                        <m:r>
                          <m:rPr>
                            <m:sty m:val="p"/>
                          </m:rPr>
                          <w:rPr>
                            <w:rFonts w:ascii="Cambria Math" w:hAnsi="Cambria Math"/>
                            <w:sz w:val="20"/>
                            <w:szCs w:val="20"/>
                          </w:rPr>
                          <m:t>P</m:t>
                        </m:r>
                      </m:den>
                    </m:f>
                  </m:den>
                </m:f>
              </m:oMath>
            </m:oMathPara>
          </w:p>
          <w:p w:rsidR="00BD0403" w:rsidRPr="00F83F41" w:rsidRDefault="00BD0403" w:rsidP="00F83F41">
            <w:pPr>
              <w:rPr>
                <w:rFonts w:ascii="Cambria Math" w:eastAsiaTheme="minorEastAsia" w:hAnsi="Cambria Math"/>
                <w:sz w:val="20"/>
                <w:szCs w:val="20"/>
              </w:rPr>
            </w:pPr>
            <w:r w:rsidRPr="00F83F41">
              <w:rPr>
                <w:rFonts w:ascii="Cambria Math" w:eastAsiaTheme="minorEastAsia" w:hAnsi="Cambria Math"/>
                <w:sz w:val="20"/>
                <w:szCs w:val="20"/>
              </w:rPr>
              <w:t xml:space="preserve">Where L is the </w:t>
            </w:r>
            <w:r w:rsidR="00604220">
              <w:rPr>
                <w:rFonts w:ascii="Cambria Math" w:eastAsiaTheme="minorEastAsia" w:hAnsi="Cambria Math"/>
                <w:sz w:val="20"/>
                <w:szCs w:val="20"/>
              </w:rPr>
              <w:t xml:space="preserve">assessed </w:t>
            </w:r>
            <w:r w:rsidRPr="00F83F41">
              <w:rPr>
                <w:rFonts w:ascii="Cambria Math" w:eastAsiaTheme="minorEastAsia" w:hAnsi="Cambria Math"/>
                <w:sz w:val="20"/>
                <w:szCs w:val="20"/>
              </w:rPr>
              <w:t xml:space="preserve">road length of State </w:t>
            </w:r>
            <w:proofErr w:type="spellStart"/>
            <w:r w:rsidRPr="00F83F41">
              <w:rPr>
                <w:rFonts w:ascii="Cambria Math" w:eastAsiaTheme="minorEastAsia" w:hAnsi="Cambria Math"/>
                <w:sz w:val="20"/>
                <w:szCs w:val="20"/>
              </w:rPr>
              <w:t>i</w:t>
            </w:r>
            <w:proofErr w:type="spellEnd"/>
            <w:r w:rsidRPr="00F83F41">
              <w:rPr>
                <w:rFonts w:ascii="Cambria Math" w:eastAsiaTheme="minorEastAsia" w:hAnsi="Cambria Math"/>
                <w:sz w:val="20"/>
                <w:szCs w:val="20"/>
              </w:rPr>
              <w:t xml:space="preserve"> (</w:t>
            </w:r>
            <w:proofErr w:type="spellStart"/>
            <w:r w:rsidRPr="00F83F41">
              <w:rPr>
                <w:rFonts w:ascii="Cambria Math" w:eastAsiaTheme="minorEastAsia" w:hAnsi="Cambria Math"/>
                <w:sz w:val="20"/>
                <w:szCs w:val="20"/>
              </w:rPr>
              <w:t>i</w:t>
            </w:r>
            <w:proofErr w:type="spellEnd"/>
            <w:r w:rsidRPr="00F83F41">
              <w:rPr>
                <w:rFonts w:ascii="Cambria Math" w:eastAsiaTheme="minorEastAsia" w:hAnsi="Cambria Math"/>
                <w:sz w:val="20"/>
                <w:szCs w:val="20"/>
              </w:rPr>
              <w:t>=1,..</w:t>
            </w:r>
            <w:proofErr w:type="gramStart"/>
            <w:r w:rsidRPr="00F83F41">
              <w:rPr>
                <w:rFonts w:ascii="Cambria Math" w:eastAsiaTheme="minorEastAsia" w:hAnsi="Cambria Math"/>
                <w:sz w:val="20"/>
                <w:szCs w:val="20"/>
              </w:rPr>
              <w:t>,8</w:t>
            </w:r>
            <w:proofErr w:type="gramEnd"/>
            <w:r w:rsidRPr="00F83F41">
              <w:rPr>
                <w:rFonts w:ascii="Cambria Math" w:eastAsiaTheme="minorEastAsia" w:hAnsi="Cambria Math"/>
                <w:sz w:val="20"/>
                <w:szCs w:val="20"/>
              </w:rPr>
              <w:t>)</w:t>
            </w:r>
            <w:r w:rsidR="00604220">
              <w:rPr>
                <w:rFonts w:ascii="Cambria Math" w:eastAsiaTheme="minorEastAsia" w:hAnsi="Cambria Math"/>
                <w:sz w:val="20"/>
                <w:szCs w:val="20"/>
              </w:rPr>
              <w:t xml:space="preserve"> for any time. </w:t>
            </w:r>
          </w:p>
          <w:p w:rsidR="00BD0403" w:rsidRPr="00F83F41" w:rsidRDefault="00BD0403" w:rsidP="00F83F41">
            <w:pPr>
              <w:rPr>
                <w:rFonts w:ascii="Cambria Math" w:eastAsiaTheme="minorEastAsia" w:hAnsi="Cambria Math"/>
                <w:sz w:val="20"/>
                <w:szCs w:val="20"/>
              </w:rPr>
            </w:pPr>
            <w:r w:rsidRPr="00F83F41">
              <w:rPr>
                <w:rFonts w:ascii="Cambria Math" w:eastAsiaTheme="minorEastAsia" w:hAnsi="Cambria Math"/>
                <w:sz w:val="20"/>
                <w:szCs w:val="20"/>
              </w:rPr>
              <w:t xml:space="preserve">When </w:t>
            </w:r>
            <w:r w:rsidR="006B3087" w:rsidRPr="00F83F41">
              <w:rPr>
                <w:rFonts w:ascii="Cambria Math" w:eastAsiaTheme="minorEastAsia" w:hAnsi="Cambria Math"/>
                <w:sz w:val="20"/>
                <w:szCs w:val="20"/>
              </w:rPr>
              <w:t xml:space="preserve">we </w:t>
            </w:r>
            <w:r w:rsidR="00604220">
              <w:rPr>
                <w:rFonts w:ascii="Cambria Math" w:eastAsiaTheme="minorEastAsia" w:hAnsi="Cambria Math"/>
                <w:sz w:val="20"/>
                <w:szCs w:val="20"/>
              </w:rPr>
              <w:t xml:space="preserve">expand out the rural road disability in </w:t>
            </w:r>
            <w:r w:rsidR="006B3087" w:rsidRPr="00F83F41">
              <w:rPr>
                <w:rFonts w:ascii="Cambria Math" w:eastAsiaTheme="minorEastAsia" w:hAnsi="Cambria Math"/>
                <w:sz w:val="20"/>
                <w:szCs w:val="20"/>
              </w:rPr>
              <w:t xml:space="preserve">the </w:t>
            </w:r>
            <w:r w:rsidRPr="00F83F41">
              <w:rPr>
                <w:rFonts w:ascii="Cambria Math" w:eastAsiaTheme="minorEastAsia" w:hAnsi="Cambria Math"/>
                <w:sz w:val="20"/>
                <w:szCs w:val="20"/>
              </w:rPr>
              <w:t>standard formula we get</w:t>
            </w:r>
            <w:r w:rsidR="006D1CF3" w:rsidRPr="00F83F41">
              <w:rPr>
                <w:rFonts w:ascii="Cambria Math" w:eastAsiaTheme="minorEastAsia" w:hAnsi="Cambria Math"/>
                <w:sz w:val="20"/>
                <w:szCs w:val="20"/>
              </w:rPr>
              <w:t>:</w:t>
            </w:r>
          </w:p>
          <w:p w:rsidR="00BD0403" w:rsidRPr="00F83F41" w:rsidRDefault="006B3087" w:rsidP="00BD0403">
            <w:pPr>
              <w:jc w:val="center"/>
              <w:rPr>
                <w:rFonts w:ascii="Cambria Math" w:eastAsiaTheme="minorEastAsia" w:hAnsi="Cambria Math"/>
                <w:sz w:val="20"/>
                <w:szCs w:val="20"/>
              </w:rPr>
            </w:pPr>
            <m:oMathPara>
              <m:oMath>
                <m:r>
                  <w:rPr>
                    <w:rFonts w:ascii="Cambria Math" w:hAnsi="Cambria Math"/>
                    <w:sz w:val="20"/>
                    <w:szCs w:val="20"/>
                  </w:rPr>
                  <m:t xml:space="preserve"> (1)   </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den>
                </m:f>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i1</m:t>
                    </m:r>
                  </m:sub>
                </m:sSub>
                <m:f>
                  <m:fPr>
                    <m:ctrlPr>
                      <w:rPr>
                        <w:rFonts w:ascii="Cambria Math" w:hAnsi="Cambria Math"/>
                        <w:sz w:val="20"/>
                        <w:szCs w:val="20"/>
                      </w:rPr>
                    </m:ctrlPr>
                  </m:fPr>
                  <m:num>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i</m:t>
                            </m:r>
                          </m:sub>
                        </m:sSub>
                      </m:num>
                      <m:den>
                        <m:r>
                          <m:rPr>
                            <m:sty m:val="p"/>
                          </m:rPr>
                          <w:rPr>
                            <w:rFonts w:ascii="Cambria Math" w:hAnsi="Cambria Math"/>
                            <w:sz w:val="20"/>
                            <w:szCs w:val="20"/>
                          </w:rPr>
                          <m:t>L</m:t>
                        </m:r>
                      </m:den>
                    </m:f>
                  </m:num>
                  <m:den>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i1</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den>
                    </m:f>
                  </m:den>
                </m:f>
                <m:r>
                  <m:rPr>
                    <m:sty m:val="p"/>
                  </m:rPr>
                  <w:rPr>
                    <w:rFonts w:ascii="Cambria Math" w:hAnsi="Cambria Math"/>
                    <w:sz w:val="20"/>
                    <w:szCs w:val="20"/>
                  </w:rPr>
                  <m:t xml:space="preserve">- </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0</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den>
                </m:f>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i0</m:t>
                    </m:r>
                  </m:sub>
                </m:sSub>
                <m:f>
                  <m:fPr>
                    <m:ctrlPr>
                      <w:rPr>
                        <w:rFonts w:ascii="Cambria Math" w:hAnsi="Cambria Math"/>
                        <w:sz w:val="20"/>
                        <w:szCs w:val="20"/>
                      </w:rPr>
                    </m:ctrlPr>
                  </m:fPr>
                  <m:num>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i</m:t>
                            </m:r>
                          </m:sub>
                        </m:sSub>
                      </m:num>
                      <m:den>
                        <m:r>
                          <m:rPr>
                            <m:sty m:val="p"/>
                          </m:rPr>
                          <w:rPr>
                            <w:rFonts w:ascii="Cambria Math" w:hAnsi="Cambria Math"/>
                            <w:sz w:val="20"/>
                            <w:szCs w:val="20"/>
                          </w:rPr>
                          <m:t>L</m:t>
                        </m:r>
                      </m:den>
                    </m:f>
                  </m:num>
                  <m:den>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i0</m:t>
                            </m:r>
                          </m:sub>
                        </m:sSub>
                      </m:num>
                      <m:den>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den>
                    </m:f>
                  </m:den>
                </m:f>
              </m:oMath>
            </m:oMathPara>
          </w:p>
          <w:p w:rsidR="00BD0403" w:rsidRPr="00F83F41" w:rsidRDefault="00234829" w:rsidP="00F83F41">
            <w:pPr>
              <w:rPr>
                <w:rFonts w:ascii="Cambria Math" w:eastAsiaTheme="minorEastAsia" w:hAnsi="Cambria Math"/>
                <w:sz w:val="20"/>
                <w:szCs w:val="20"/>
              </w:rPr>
            </w:pPr>
            <w:r>
              <w:rPr>
                <w:rFonts w:ascii="Cambria Math" w:eastAsiaTheme="minorEastAsia" w:hAnsi="Cambria Math"/>
                <w:sz w:val="20"/>
                <w:szCs w:val="20"/>
              </w:rPr>
              <w:t>Which can be significantly simplified, with all population terms cancelling out:</w:t>
            </w:r>
          </w:p>
          <w:p w:rsidR="00604220" w:rsidRPr="00604220" w:rsidRDefault="00604220" w:rsidP="00D128DD">
            <w:pPr>
              <w:jc w:val="center"/>
              <w:rPr>
                <w:rFonts w:ascii="Cambria Math" w:eastAsiaTheme="minorEastAsia" w:hAnsi="Cambria Math"/>
                <w:sz w:val="20"/>
                <w:szCs w:val="20"/>
              </w:rPr>
            </w:pPr>
            <m:oMathPara>
              <m:oMath>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0</m:t>
                        </m:r>
                      </m:sub>
                    </m:sSub>
                  </m:e>
                </m:d>
                <m:r>
                  <w:rPr>
                    <w:rFonts w:ascii="Cambria Math" w:hAnsi="Cambria Math"/>
                    <w:sz w:val="20"/>
                    <w:szCs w:val="20"/>
                  </w:rPr>
                  <m:t xml:space="preserve"> </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i</m:t>
                        </m:r>
                      </m:sub>
                    </m:sSub>
                  </m:num>
                  <m:den>
                    <m:r>
                      <m:rPr>
                        <m:sty m:val="p"/>
                      </m:rPr>
                      <w:rPr>
                        <w:rFonts w:ascii="Cambria Math" w:hAnsi="Cambria Math"/>
                        <w:sz w:val="20"/>
                        <w:szCs w:val="20"/>
                      </w:rPr>
                      <m:t>L</m:t>
                    </m:r>
                  </m:den>
                </m:f>
              </m:oMath>
            </m:oMathPara>
          </w:p>
        </w:tc>
      </w:tr>
    </w:tbl>
    <w:bookmarkEnd w:id="70"/>
    <w:bookmarkEnd w:id="71"/>
    <w:p w:rsidR="001704CD" w:rsidRDefault="001704CD" w:rsidP="001704CD">
      <w:pPr>
        <w:pStyle w:val="CGCNumberedPara"/>
        <w:numPr>
          <w:ilvl w:val="1"/>
          <w:numId w:val="3"/>
        </w:numPr>
        <w:rPr>
          <w:rFonts w:eastAsiaTheme="minorEastAsia"/>
        </w:rPr>
      </w:pPr>
      <w:r>
        <w:rPr>
          <w:rFonts w:eastAsiaTheme="minorEastAsia"/>
        </w:rPr>
        <w:t xml:space="preserve">Because changes in disabilities can be volatile, </w:t>
      </w:r>
      <w:r w:rsidR="002E53CA">
        <w:rPr>
          <w:rFonts w:eastAsiaTheme="minorEastAsia"/>
        </w:rPr>
        <w:t xml:space="preserve">we smooth them by using a </w:t>
      </w:r>
      <w:proofErr w:type="gramStart"/>
      <w:r w:rsidR="002E53CA">
        <w:rPr>
          <w:rFonts w:eastAsiaTheme="minorEastAsia"/>
        </w:rPr>
        <w:t xml:space="preserve">three </w:t>
      </w:r>
      <w:r>
        <w:rPr>
          <w:rFonts w:eastAsiaTheme="minorEastAsia"/>
        </w:rPr>
        <w:t>year</w:t>
      </w:r>
      <w:proofErr w:type="gramEnd"/>
      <w:r>
        <w:rPr>
          <w:rFonts w:eastAsiaTheme="minorEastAsia"/>
        </w:rPr>
        <w:t xml:space="preserve"> rolling average. As shown in </w:t>
      </w:r>
      <w:r>
        <w:rPr>
          <w:rFonts w:eastAsiaTheme="minorEastAsia"/>
        </w:rPr>
        <w:fldChar w:fldCharType="begin"/>
      </w:r>
      <w:r>
        <w:rPr>
          <w:rFonts w:eastAsiaTheme="minorEastAsia"/>
        </w:rPr>
        <w:instrText xml:space="preserve"> REF _Ref485832367 \h </w:instrText>
      </w:r>
      <w:r>
        <w:rPr>
          <w:rFonts w:eastAsiaTheme="minorEastAsia"/>
        </w:rPr>
      </w:r>
      <w:r>
        <w:rPr>
          <w:rFonts w:eastAsiaTheme="minorEastAsia"/>
        </w:rPr>
        <w:fldChar w:fldCharType="separate"/>
      </w:r>
      <w:r w:rsidR="00402501">
        <w:t xml:space="preserve">Table </w:t>
      </w:r>
      <w:r w:rsidR="00402501">
        <w:rPr>
          <w:noProof/>
        </w:rPr>
        <w:t>4</w:t>
      </w:r>
      <w:r>
        <w:rPr>
          <w:rFonts w:eastAsiaTheme="minorEastAsia"/>
        </w:rPr>
        <w:fldChar w:fldCharType="end"/>
      </w:r>
      <w:r>
        <w:rPr>
          <w:rFonts w:eastAsiaTheme="minorEastAsia"/>
        </w:rPr>
        <w:t>, a disability in an assessment year (a State’s share of road length divided by its share of population) multiplied by its share of population gives its assessed share of capital stock</w:t>
      </w:r>
      <w:r w:rsidR="004E4877">
        <w:rPr>
          <w:rFonts w:eastAsiaTheme="minorEastAsia"/>
        </w:rPr>
        <w:t>.</w:t>
      </w:r>
      <w:r w:rsidR="00C67AA7">
        <w:rPr>
          <w:rStyle w:val="FootnoteReference"/>
          <w:rFonts w:eastAsiaTheme="minorEastAsia"/>
        </w:rPr>
        <w:footnoteReference w:id="5"/>
      </w:r>
      <w:r>
        <w:rPr>
          <w:rFonts w:eastAsiaTheme="minorEastAsia"/>
        </w:rPr>
        <w:t xml:space="preserve"> Without three-year averaging this obviously simplifies to merely represent the State’s share of road length. However if we average three consecutive years of disability, but multiply it by a single year’s share of population, the assessed share of capital stock is no longer a constant share, and can be quite volatile. </w:t>
      </w:r>
    </w:p>
    <w:p w:rsidR="001704CD" w:rsidRDefault="001704CD" w:rsidP="001704CD">
      <w:pPr>
        <w:pStyle w:val="CGCTableHeading"/>
      </w:pPr>
      <w:bookmarkStart w:id="72" w:name="_Ref485832367"/>
      <w:r>
        <w:lastRenderedPageBreak/>
        <w:t xml:space="preserve">Table </w:t>
      </w:r>
      <w:r w:rsidR="00402501">
        <w:fldChar w:fldCharType="begin"/>
      </w:r>
      <w:r w:rsidR="00402501">
        <w:instrText xml:space="preserve"> SEQ Table \* ARABIC </w:instrText>
      </w:r>
      <w:r w:rsidR="00402501">
        <w:fldChar w:fldCharType="separate"/>
      </w:r>
      <w:r w:rsidR="00402501">
        <w:rPr>
          <w:noProof/>
        </w:rPr>
        <w:t>4</w:t>
      </w:r>
      <w:r w:rsidR="00402501">
        <w:rPr>
          <w:noProof/>
        </w:rPr>
        <w:fldChar w:fldCharType="end"/>
      </w:r>
      <w:bookmarkEnd w:id="72"/>
      <w:r>
        <w:tab/>
        <w:t xml:space="preserve">Worked illustration of impact of averaging length, the Northern Territory </w:t>
      </w:r>
    </w:p>
    <w:tbl>
      <w:tblPr>
        <w:tblW w:w="8940" w:type="dxa"/>
        <w:tblLayout w:type="fixed"/>
        <w:tblCellMar>
          <w:left w:w="0" w:type="dxa"/>
          <w:right w:w="0" w:type="dxa"/>
        </w:tblCellMar>
        <w:tblLook w:val="04A0" w:firstRow="1" w:lastRow="0" w:firstColumn="1" w:lastColumn="0" w:noHBand="0" w:noVBand="1"/>
      </w:tblPr>
      <w:tblGrid>
        <w:gridCol w:w="851"/>
        <w:gridCol w:w="1276"/>
        <w:gridCol w:w="1193"/>
        <w:gridCol w:w="82"/>
        <w:gridCol w:w="1418"/>
        <w:gridCol w:w="1559"/>
        <w:gridCol w:w="20"/>
        <w:gridCol w:w="1121"/>
        <w:gridCol w:w="1420"/>
      </w:tblGrid>
      <w:tr w:rsidR="001704CD" w:rsidRPr="00F01977" w:rsidTr="00BB1D01">
        <w:trPr>
          <w:trHeight w:val="315"/>
        </w:trPr>
        <w:tc>
          <w:tcPr>
            <w:tcW w:w="851" w:type="dxa"/>
            <w:tcBorders>
              <w:top w:val="single" w:sz="4" w:space="0" w:color="auto"/>
              <w:left w:val="nil"/>
              <w:bottom w:val="nil"/>
              <w:right w:val="nil"/>
            </w:tcBorders>
            <w:shd w:val="clear" w:color="auto" w:fill="auto"/>
            <w:noWrap/>
            <w:vAlign w:val="center"/>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73" w:name="RANGE!A1:I9"/>
            <w:r w:rsidRPr="00F01977">
              <w:rPr>
                <w:rFonts w:ascii="Calibri" w:eastAsia="Times New Roman" w:hAnsi="Calibri" w:cs="Times New Roman"/>
                <w:color w:val="000000"/>
                <w:sz w:val="20"/>
                <w:szCs w:val="20"/>
                <w:lang w:eastAsia="en-AU"/>
              </w:rPr>
              <w:t> </w:t>
            </w:r>
            <w:bookmarkEnd w:id="73"/>
          </w:p>
        </w:tc>
        <w:tc>
          <w:tcPr>
            <w:tcW w:w="1276" w:type="dxa"/>
            <w:tcBorders>
              <w:top w:val="single" w:sz="4" w:space="0" w:color="auto"/>
              <w:left w:val="nil"/>
              <w:bottom w:val="nil"/>
              <w:right w:val="nil"/>
            </w:tcBorders>
            <w:shd w:val="clear" w:color="auto" w:fill="auto"/>
            <w:noWrap/>
            <w:vAlign w:val="center"/>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193" w:type="dxa"/>
            <w:tcBorders>
              <w:top w:val="single" w:sz="4" w:space="0" w:color="auto"/>
              <w:left w:val="nil"/>
              <w:bottom w:val="nil"/>
              <w:right w:val="nil"/>
            </w:tcBorders>
            <w:shd w:val="clear" w:color="auto" w:fill="auto"/>
            <w:noWrap/>
            <w:vAlign w:val="center"/>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82" w:type="dxa"/>
            <w:tcBorders>
              <w:top w:val="single" w:sz="4" w:space="0" w:color="auto"/>
              <w:left w:val="nil"/>
              <w:bottom w:val="nil"/>
              <w:right w:val="nil"/>
            </w:tcBorders>
            <w:shd w:val="clear" w:color="auto" w:fill="auto"/>
            <w:noWrap/>
            <w:vAlign w:val="center"/>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2977" w:type="dxa"/>
            <w:gridSpan w:val="2"/>
            <w:tcBorders>
              <w:top w:val="single" w:sz="4" w:space="0" w:color="auto"/>
              <w:left w:val="nil"/>
              <w:bottom w:val="single" w:sz="4" w:space="0" w:color="auto"/>
              <w:right w:val="nil"/>
            </w:tcBorders>
            <w:shd w:val="clear" w:color="auto" w:fill="auto"/>
            <w:noWrap/>
            <w:vAlign w:val="center"/>
            <w:hideMark/>
          </w:tcPr>
          <w:p w:rsidR="001704CD" w:rsidRPr="00F01977" w:rsidRDefault="001704CD" w:rsidP="001B7916">
            <w:pPr>
              <w:keepNext/>
              <w:keepLines/>
              <w:tabs>
                <w:tab w:val="clear" w:pos="567"/>
              </w:tabs>
              <w:spacing w:after="0" w:line="240" w:lineRule="auto"/>
              <w:ind w:left="193" w:hanging="142"/>
              <w:jc w:val="center"/>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Single year disability</w:t>
            </w:r>
          </w:p>
        </w:tc>
        <w:tc>
          <w:tcPr>
            <w:tcW w:w="20" w:type="dxa"/>
            <w:tcBorders>
              <w:top w:val="single" w:sz="4" w:space="0" w:color="auto"/>
              <w:left w:val="nil"/>
              <w:bottom w:val="nil"/>
              <w:right w:val="nil"/>
            </w:tcBorders>
            <w:shd w:val="clear" w:color="auto" w:fill="auto"/>
            <w:noWrap/>
            <w:vAlign w:val="center"/>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2541" w:type="dxa"/>
            <w:gridSpan w:val="2"/>
            <w:tcBorders>
              <w:top w:val="single" w:sz="4" w:space="0" w:color="auto"/>
              <w:left w:val="nil"/>
              <w:bottom w:val="single" w:sz="4" w:space="0" w:color="auto"/>
              <w:right w:val="nil"/>
            </w:tcBorders>
            <w:shd w:val="clear" w:color="auto" w:fill="auto"/>
            <w:noWrap/>
            <w:vAlign w:val="center"/>
            <w:hideMark/>
          </w:tcPr>
          <w:p w:rsidR="001704CD" w:rsidRPr="00F01977" w:rsidRDefault="001704CD" w:rsidP="00246C12">
            <w:pPr>
              <w:keepNext/>
              <w:keepLines/>
              <w:tabs>
                <w:tab w:val="clear" w:pos="567"/>
              </w:tabs>
              <w:spacing w:after="0" w:line="240" w:lineRule="auto"/>
              <w:ind w:left="193" w:hanging="142"/>
              <w:jc w:val="center"/>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3</w:t>
            </w:r>
            <w:r>
              <w:rPr>
                <w:rFonts w:ascii="Calibri" w:eastAsia="Times New Roman" w:hAnsi="Calibri" w:cs="Times New Roman"/>
                <w:color w:val="000000"/>
                <w:sz w:val="20"/>
                <w:szCs w:val="20"/>
                <w:lang w:eastAsia="en-AU"/>
              </w:rPr>
              <w:t>-</w:t>
            </w:r>
            <w:r w:rsidRPr="00F01977">
              <w:rPr>
                <w:rFonts w:ascii="Calibri" w:eastAsia="Times New Roman" w:hAnsi="Calibri" w:cs="Times New Roman"/>
                <w:color w:val="000000"/>
                <w:sz w:val="20"/>
                <w:szCs w:val="20"/>
                <w:lang w:eastAsia="en-AU"/>
              </w:rPr>
              <w:t>year average disability</w:t>
            </w:r>
          </w:p>
        </w:tc>
      </w:tr>
      <w:tr w:rsidR="00D41994" w:rsidRPr="00F01977" w:rsidTr="00BB1D01">
        <w:trPr>
          <w:trHeight w:val="555"/>
        </w:trPr>
        <w:tc>
          <w:tcPr>
            <w:tcW w:w="851"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276" w:type="dxa"/>
            <w:tcBorders>
              <w:top w:val="nil"/>
              <w:left w:val="nil"/>
              <w:bottom w:val="single" w:sz="4" w:space="0" w:color="auto"/>
              <w:right w:val="nil"/>
            </w:tcBorders>
            <w:shd w:val="clear" w:color="auto" w:fill="auto"/>
            <w:vAlign w:val="bottom"/>
            <w:hideMark/>
          </w:tcPr>
          <w:p w:rsidR="001704CD" w:rsidRPr="00F01977" w:rsidRDefault="001704CD" w:rsidP="0088223C">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Share of road length</w:t>
            </w:r>
          </w:p>
        </w:tc>
        <w:tc>
          <w:tcPr>
            <w:tcW w:w="1193" w:type="dxa"/>
            <w:tcBorders>
              <w:top w:val="nil"/>
              <w:left w:val="nil"/>
              <w:bottom w:val="single" w:sz="4" w:space="0" w:color="auto"/>
              <w:right w:val="nil"/>
            </w:tcBorders>
            <w:shd w:val="clear" w:color="auto" w:fill="auto"/>
            <w:vAlign w:val="bottom"/>
            <w:hideMark/>
          </w:tcPr>
          <w:p w:rsidR="0088223C" w:rsidRPr="0088223C" w:rsidRDefault="001704CD" w:rsidP="0088223C">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Share of population</w:t>
            </w:r>
            <w:r w:rsidR="003964A3">
              <w:rPr>
                <w:rFonts w:ascii="Calibri" w:eastAsia="Times New Roman" w:hAnsi="Calibri" w:cs="Times New Roman"/>
                <w:color w:val="000000"/>
                <w:sz w:val="20"/>
                <w:szCs w:val="20"/>
                <w:lang w:eastAsia="en-AU"/>
              </w:rPr>
              <w:t xml:space="preserve"> </w:t>
            </w:r>
          </w:p>
        </w:tc>
        <w:tc>
          <w:tcPr>
            <w:tcW w:w="82" w:type="dxa"/>
            <w:tcBorders>
              <w:top w:val="nil"/>
              <w:left w:val="nil"/>
              <w:bottom w:val="single" w:sz="4" w:space="0" w:color="auto"/>
              <w:right w:val="nil"/>
            </w:tcBorders>
            <w:shd w:val="clear" w:color="auto" w:fill="auto"/>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418" w:type="dxa"/>
            <w:tcBorders>
              <w:top w:val="nil"/>
              <w:left w:val="nil"/>
              <w:bottom w:val="single" w:sz="4" w:space="0" w:color="auto"/>
              <w:right w:val="nil"/>
            </w:tcBorders>
            <w:shd w:val="clear" w:color="auto" w:fill="auto"/>
            <w:vAlign w:val="bottom"/>
            <w:hideMark/>
          </w:tcPr>
          <w:p w:rsidR="001704CD" w:rsidRPr="00F01977" w:rsidRDefault="001704CD" w:rsidP="003964A3">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Disability</w:t>
            </w:r>
            <w:r w:rsidR="00D41994">
              <w:rPr>
                <w:rFonts w:ascii="Calibri" w:eastAsia="Times New Roman" w:hAnsi="Calibri" w:cs="Times New Roman"/>
                <w:color w:val="000000"/>
                <w:sz w:val="20"/>
                <w:szCs w:val="20"/>
                <w:lang w:eastAsia="en-AU"/>
              </w:rPr>
              <w:t xml:space="preserve"> (</w:t>
            </w:r>
            <w:r w:rsidR="00D41994" w:rsidRPr="00D41994">
              <w:rPr>
                <w:rFonts w:ascii="Calibri" w:eastAsia="Times New Roman" w:hAnsi="Calibri" w:cs="Times New Roman"/>
                <w:color w:val="000000"/>
                <w:sz w:val="20"/>
                <w:szCs w:val="20"/>
                <w:lang w:eastAsia="en-AU"/>
              </w:rPr>
              <w:t>a</w:t>
            </w:r>
            <w:r w:rsidR="00D41994">
              <w:rPr>
                <w:rFonts w:ascii="Calibri" w:eastAsia="Times New Roman" w:hAnsi="Calibri" w:cs="Times New Roman"/>
                <w:color w:val="000000"/>
                <w:sz w:val="20"/>
                <w:szCs w:val="20"/>
                <w:lang w:eastAsia="en-AU"/>
              </w:rPr>
              <w:t>)</w:t>
            </w:r>
            <w:r w:rsidR="003964A3">
              <w:rPr>
                <w:rFonts w:ascii="Calibri" w:eastAsia="Times New Roman" w:hAnsi="Calibri" w:cs="Times New Roman"/>
                <w:color w:val="000000"/>
                <w:sz w:val="20"/>
                <w:szCs w:val="20"/>
                <w:lang w:eastAsia="en-AU"/>
              </w:rPr>
              <w:t xml:space="preserve"> </w:t>
            </w:r>
          </w:p>
        </w:tc>
        <w:tc>
          <w:tcPr>
            <w:tcW w:w="1559" w:type="dxa"/>
            <w:tcBorders>
              <w:top w:val="nil"/>
              <w:left w:val="nil"/>
              <w:bottom w:val="single" w:sz="4" w:space="0" w:color="auto"/>
              <w:right w:val="nil"/>
            </w:tcBorders>
            <w:shd w:val="clear" w:color="auto" w:fill="auto"/>
            <w:vAlign w:val="bottom"/>
            <w:hideMark/>
          </w:tcPr>
          <w:p w:rsidR="001704CD" w:rsidRPr="00F01977" w:rsidRDefault="001704CD" w:rsidP="003964A3">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Assessed share of capital stock</w:t>
            </w:r>
            <w:r w:rsidR="00D41994">
              <w:rPr>
                <w:rFonts w:ascii="Calibri" w:eastAsia="Times New Roman" w:hAnsi="Calibri" w:cs="Times New Roman"/>
                <w:color w:val="000000"/>
                <w:sz w:val="20"/>
                <w:szCs w:val="20"/>
                <w:lang w:eastAsia="en-AU"/>
              </w:rPr>
              <w:t xml:space="preserve"> (b)</w:t>
            </w:r>
          </w:p>
        </w:tc>
        <w:tc>
          <w:tcPr>
            <w:tcW w:w="20"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121" w:type="dxa"/>
            <w:tcBorders>
              <w:top w:val="nil"/>
              <w:left w:val="nil"/>
              <w:bottom w:val="single" w:sz="4" w:space="0" w:color="auto"/>
              <w:right w:val="nil"/>
            </w:tcBorders>
            <w:shd w:val="clear" w:color="auto" w:fill="auto"/>
            <w:vAlign w:val="bottom"/>
            <w:hideMark/>
          </w:tcPr>
          <w:p w:rsidR="001704CD" w:rsidRPr="00F01977" w:rsidRDefault="001704CD" w:rsidP="00F35129">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Disability</w:t>
            </w:r>
            <w:r w:rsidR="0040735E">
              <w:rPr>
                <w:rFonts w:ascii="Calibri" w:eastAsia="Times New Roman" w:hAnsi="Calibri" w:cs="Times New Roman"/>
                <w:color w:val="000000"/>
                <w:sz w:val="20"/>
                <w:szCs w:val="20"/>
                <w:lang w:eastAsia="en-AU"/>
              </w:rPr>
              <w:t xml:space="preserve"> (c)</w:t>
            </w:r>
          </w:p>
        </w:tc>
        <w:tc>
          <w:tcPr>
            <w:tcW w:w="1420" w:type="dxa"/>
            <w:tcBorders>
              <w:top w:val="nil"/>
              <w:left w:val="nil"/>
              <w:bottom w:val="single" w:sz="4" w:space="0" w:color="auto"/>
              <w:right w:val="nil"/>
            </w:tcBorders>
            <w:shd w:val="clear" w:color="auto" w:fill="auto"/>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Assessed share of capital stock</w:t>
            </w:r>
          </w:p>
        </w:tc>
      </w:tr>
      <w:tr w:rsidR="00D41994" w:rsidRPr="00F01977" w:rsidTr="00BB1D01">
        <w:trPr>
          <w:trHeight w:val="259"/>
        </w:trPr>
        <w:tc>
          <w:tcPr>
            <w:tcW w:w="85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276"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w:t>
            </w:r>
          </w:p>
        </w:tc>
        <w:tc>
          <w:tcPr>
            <w:tcW w:w="1193" w:type="dxa"/>
            <w:tcBorders>
              <w:top w:val="nil"/>
              <w:left w:val="nil"/>
              <w:bottom w:val="nil"/>
              <w:right w:val="nil"/>
            </w:tcBorders>
            <w:shd w:val="clear" w:color="auto" w:fill="auto"/>
            <w:noWrap/>
            <w:vAlign w:val="bottom"/>
            <w:hideMark/>
          </w:tcPr>
          <w:p w:rsidR="001704CD" w:rsidRPr="00F01977" w:rsidRDefault="001704CD" w:rsidP="00BB1D01">
            <w:pPr>
              <w:keepNext/>
              <w:keepLines/>
              <w:tabs>
                <w:tab w:val="clear" w:pos="567"/>
              </w:tabs>
              <w:spacing w:after="0" w:line="240" w:lineRule="auto"/>
              <w:ind w:left="193" w:right="59"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w:t>
            </w:r>
          </w:p>
        </w:tc>
        <w:tc>
          <w:tcPr>
            <w:tcW w:w="82"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418"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559" w:type="dxa"/>
            <w:tcBorders>
              <w:top w:val="nil"/>
              <w:left w:val="nil"/>
              <w:bottom w:val="nil"/>
              <w:right w:val="nil"/>
            </w:tcBorders>
            <w:shd w:val="clear" w:color="auto" w:fill="auto"/>
            <w:noWrap/>
            <w:vAlign w:val="bottom"/>
            <w:hideMark/>
          </w:tcPr>
          <w:p w:rsidR="001704CD" w:rsidRPr="00F01977" w:rsidRDefault="001704CD" w:rsidP="00080C87">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w:t>
            </w:r>
          </w:p>
        </w:tc>
        <w:tc>
          <w:tcPr>
            <w:tcW w:w="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12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4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w:t>
            </w:r>
          </w:p>
        </w:tc>
      </w:tr>
      <w:tr w:rsidR="00D41994" w:rsidRPr="00F01977" w:rsidTr="00BB1D01">
        <w:trPr>
          <w:trHeight w:val="315"/>
        </w:trPr>
        <w:tc>
          <w:tcPr>
            <w:tcW w:w="85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2010-11</w:t>
            </w:r>
          </w:p>
        </w:tc>
        <w:tc>
          <w:tcPr>
            <w:tcW w:w="1276"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1193"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1.039 </w:t>
            </w:r>
          </w:p>
        </w:tc>
        <w:tc>
          <w:tcPr>
            <w:tcW w:w="82"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418"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8.828 </w:t>
            </w:r>
          </w:p>
        </w:tc>
        <w:tc>
          <w:tcPr>
            <w:tcW w:w="1559"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12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4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r>
      <w:tr w:rsidR="00D41994" w:rsidRPr="00F01977" w:rsidTr="00BB1D01">
        <w:trPr>
          <w:trHeight w:val="315"/>
        </w:trPr>
        <w:tc>
          <w:tcPr>
            <w:tcW w:w="85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2011-12</w:t>
            </w:r>
          </w:p>
        </w:tc>
        <w:tc>
          <w:tcPr>
            <w:tcW w:w="1276"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1193"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1.033 </w:t>
            </w:r>
          </w:p>
        </w:tc>
        <w:tc>
          <w:tcPr>
            <w:tcW w:w="82"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418"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8.874 </w:t>
            </w:r>
          </w:p>
        </w:tc>
        <w:tc>
          <w:tcPr>
            <w:tcW w:w="1559"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12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4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r>
      <w:tr w:rsidR="00D41994" w:rsidRPr="00F01977" w:rsidTr="00BB1D01">
        <w:trPr>
          <w:trHeight w:val="315"/>
        </w:trPr>
        <w:tc>
          <w:tcPr>
            <w:tcW w:w="85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2012-13</w:t>
            </w:r>
          </w:p>
        </w:tc>
        <w:tc>
          <w:tcPr>
            <w:tcW w:w="1276"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1193"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1.044 </w:t>
            </w:r>
          </w:p>
        </w:tc>
        <w:tc>
          <w:tcPr>
            <w:tcW w:w="82"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418"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8.783 </w:t>
            </w:r>
          </w:p>
        </w:tc>
        <w:tc>
          <w:tcPr>
            <w:tcW w:w="1559"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121" w:type="dxa"/>
            <w:tcBorders>
              <w:top w:val="nil"/>
              <w:left w:val="nil"/>
              <w:bottom w:val="nil"/>
              <w:right w:val="nil"/>
            </w:tcBorders>
            <w:shd w:val="clear" w:color="auto" w:fill="auto"/>
            <w:noWrap/>
            <w:vAlign w:val="bottom"/>
            <w:hideMark/>
          </w:tcPr>
          <w:p w:rsidR="001704CD" w:rsidRPr="00F01977" w:rsidRDefault="001704CD" w:rsidP="00F35129">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8.829 </w:t>
            </w:r>
          </w:p>
        </w:tc>
        <w:tc>
          <w:tcPr>
            <w:tcW w:w="1420" w:type="dxa"/>
            <w:tcBorders>
              <w:top w:val="nil"/>
              <w:left w:val="nil"/>
              <w:bottom w:val="nil"/>
              <w:right w:val="nil"/>
            </w:tcBorders>
            <w:shd w:val="clear" w:color="auto" w:fill="auto"/>
            <w:noWrap/>
            <w:vAlign w:val="bottom"/>
            <w:hideMark/>
          </w:tcPr>
          <w:p w:rsidR="001704CD" w:rsidRPr="00F01977" w:rsidRDefault="001704CD" w:rsidP="00F35129">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9.218 </w:t>
            </w:r>
          </w:p>
        </w:tc>
      </w:tr>
      <w:tr w:rsidR="00D41994" w:rsidRPr="00F01977" w:rsidTr="00BB1D01">
        <w:trPr>
          <w:trHeight w:val="315"/>
        </w:trPr>
        <w:tc>
          <w:tcPr>
            <w:tcW w:w="85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2013-14</w:t>
            </w:r>
          </w:p>
        </w:tc>
        <w:tc>
          <w:tcPr>
            <w:tcW w:w="1276"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1193"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1.043 </w:t>
            </w:r>
          </w:p>
        </w:tc>
        <w:tc>
          <w:tcPr>
            <w:tcW w:w="82"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418"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8.793 </w:t>
            </w:r>
          </w:p>
        </w:tc>
        <w:tc>
          <w:tcPr>
            <w:tcW w:w="1559"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12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8.817 </w:t>
            </w:r>
          </w:p>
        </w:tc>
        <w:tc>
          <w:tcPr>
            <w:tcW w:w="14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9.196 </w:t>
            </w:r>
          </w:p>
        </w:tc>
      </w:tr>
      <w:tr w:rsidR="00D41994" w:rsidRPr="00F01977" w:rsidTr="00BB1D01">
        <w:trPr>
          <w:trHeight w:val="315"/>
        </w:trPr>
        <w:tc>
          <w:tcPr>
            <w:tcW w:w="85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2014-15</w:t>
            </w:r>
          </w:p>
        </w:tc>
        <w:tc>
          <w:tcPr>
            <w:tcW w:w="1276"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1193"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1.029 </w:t>
            </w:r>
          </w:p>
        </w:tc>
        <w:tc>
          <w:tcPr>
            <w:tcW w:w="82"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418"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8.916 </w:t>
            </w:r>
          </w:p>
        </w:tc>
        <w:tc>
          <w:tcPr>
            <w:tcW w:w="1559"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20"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121" w:type="dxa"/>
            <w:tcBorders>
              <w:top w:val="nil"/>
              <w:left w:val="nil"/>
              <w:bottom w:val="nil"/>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8.831 </w:t>
            </w:r>
          </w:p>
        </w:tc>
        <w:tc>
          <w:tcPr>
            <w:tcW w:w="1420" w:type="dxa"/>
            <w:tcBorders>
              <w:top w:val="nil"/>
              <w:left w:val="nil"/>
              <w:bottom w:val="nil"/>
              <w:right w:val="nil"/>
            </w:tcBorders>
            <w:shd w:val="clear" w:color="auto" w:fill="auto"/>
            <w:noWrap/>
            <w:vAlign w:val="bottom"/>
            <w:hideMark/>
          </w:tcPr>
          <w:p w:rsidR="001704CD" w:rsidRPr="00F01977" w:rsidRDefault="001704CD" w:rsidP="00F35129">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9.084 </w:t>
            </w:r>
          </w:p>
        </w:tc>
      </w:tr>
      <w:tr w:rsidR="00D41994" w:rsidRPr="00F01977" w:rsidTr="00BB1D01">
        <w:trPr>
          <w:trHeight w:val="315"/>
        </w:trPr>
        <w:tc>
          <w:tcPr>
            <w:tcW w:w="851"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2015-16</w:t>
            </w:r>
          </w:p>
        </w:tc>
        <w:tc>
          <w:tcPr>
            <w:tcW w:w="1276"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1193"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1.019 </w:t>
            </w:r>
          </w:p>
        </w:tc>
        <w:tc>
          <w:tcPr>
            <w:tcW w:w="82"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418"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9.002 </w:t>
            </w:r>
          </w:p>
        </w:tc>
        <w:tc>
          <w:tcPr>
            <w:tcW w:w="1559"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9.171 </w:t>
            </w:r>
          </w:p>
        </w:tc>
        <w:tc>
          <w:tcPr>
            <w:tcW w:w="20"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w:t>
            </w:r>
          </w:p>
        </w:tc>
        <w:tc>
          <w:tcPr>
            <w:tcW w:w="1121" w:type="dxa"/>
            <w:tcBorders>
              <w:top w:val="nil"/>
              <w:left w:val="nil"/>
              <w:bottom w:val="single" w:sz="4" w:space="0" w:color="auto"/>
              <w:right w:val="nil"/>
            </w:tcBorders>
            <w:shd w:val="clear" w:color="auto" w:fill="auto"/>
            <w:noWrap/>
            <w:vAlign w:val="bottom"/>
            <w:hideMark/>
          </w:tcPr>
          <w:p w:rsidR="001704CD" w:rsidRPr="00F01977" w:rsidRDefault="001704CD" w:rsidP="001B7916">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8.904 </w:t>
            </w:r>
          </w:p>
        </w:tc>
        <w:tc>
          <w:tcPr>
            <w:tcW w:w="1420" w:type="dxa"/>
            <w:tcBorders>
              <w:top w:val="nil"/>
              <w:left w:val="nil"/>
              <w:bottom w:val="single" w:sz="4" w:space="0" w:color="auto"/>
              <w:right w:val="nil"/>
            </w:tcBorders>
            <w:shd w:val="clear" w:color="auto" w:fill="auto"/>
            <w:noWrap/>
            <w:vAlign w:val="bottom"/>
            <w:hideMark/>
          </w:tcPr>
          <w:p w:rsidR="001704CD" w:rsidRPr="00F01977" w:rsidRDefault="001704CD" w:rsidP="00F35129">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F01977">
              <w:rPr>
                <w:rFonts w:ascii="Calibri" w:eastAsia="Times New Roman" w:hAnsi="Calibri" w:cs="Times New Roman"/>
                <w:color w:val="000000"/>
                <w:sz w:val="20"/>
                <w:szCs w:val="20"/>
                <w:lang w:eastAsia="en-AU"/>
              </w:rPr>
              <w:t xml:space="preserve">                  9.071 </w:t>
            </w:r>
          </w:p>
        </w:tc>
      </w:tr>
    </w:tbl>
    <w:p w:rsidR="00D41994" w:rsidRDefault="00D41994" w:rsidP="001704CD">
      <w:pPr>
        <w:pStyle w:val="CGCTableFootnote"/>
        <w:ind w:left="0" w:firstLine="0"/>
      </w:pPr>
      <w:r>
        <w:t>(a)</w:t>
      </w:r>
      <w:r>
        <w:tab/>
      </w:r>
      <w:r w:rsidR="00246C12">
        <w:t>Calculated as</w:t>
      </w:r>
      <w:r>
        <w:t xml:space="preserve"> share of road length divided by share of population.</w:t>
      </w:r>
    </w:p>
    <w:p w:rsidR="0040735E" w:rsidRDefault="00D41994" w:rsidP="00246C12">
      <w:pPr>
        <w:pStyle w:val="CGCTableFootnote"/>
        <w:ind w:left="0" w:firstLine="0"/>
      </w:pPr>
      <w:r>
        <w:t>(</w:t>
      </w:r>
      <w:proofErr w:type="gramStart"/>
      <w:r>
        <w:t>b</w:t>
      </w:r>
      <w:proofErr w:type="gramEnd"/>
      <w:r>
        <w:t>)</w:t>
      </w:r>
      <w:r>
        <w:tab/>
      </w:r>
      <w:r w:rsidR="00246C12">
        <w:t>Calculated as disability multiplied by population share.</w:t>
      </w:r>
    </w:p>
    <w:p w:rsidR="00246C12" w:rsidRPr="00246C12" w:rsidRDefault="0040735E" w:rsidP="00246C12">
      <w:pPr>
        <w:pStyle w:val="CGCTableFootnote"/>
        <w:ind w:left="0" w:firstLine="0"/>
      </w:pPr>
      <w:r>
        <w:t>(c)</w:t>
      </w:r>
      <w:r>
        <w:tab/>
        <w:t xml:space="preserve">Calculated as the </w:t>
      </w:r>
      <w:proofErr w:type="gramStart"/>
      <w:r>
        <w:t>three year</w:t>
      </w:r>
      <w:proofErr w:type="gramEnd"/>
      <w:r>
        <w:t xml:space="preserve"> average of single year disabilities.</w:t>
      </w:r>
      <w:r w:rsidR="00D41994">
        <w:tab/>
      </w:r>
    </w:p>
    <w:p w:rsidR="001704CD" w:rsidRPr="00DA54EC" w:rsidRDefault="001704CD" w:rsidP="001704CD">
      <w:pPr>
        <w:pStyle w:val="CGCTableFootnote"/>
        <w:ind w:left="0" w:firstLine="0"/>
      </w:pPr>
      <w:proofErr w:type="gramStart"/>
      <w:r>
        <w:t>Source:</w:t>
      </w:r>
      <w:r>
        <w:tab/>
        <w:t>Commission calculation</w:t>
      </w:r>
      <w:r w:rsidR="00B11B1C">
        <w:t>.</w:t>
      </w:r>
      <w:proofErr w:type="gramEnd"/>
      <w:r>
        <w:t xml:space="preserve"> </w:t>
      </w:r>
    </w:p>
    <w:p w:rsidR="001704CD" w:rsidRDefault="001704CD" w:rsidP="001704CD">
      <w:pPr>
        <w:pStyle w:val="CGCNumberedPara"/>
        <w:numPr>
          <w:ilvl w:val="1"/>
          <w:numId w:val="3"/>
        </w:numPr>
        <w:rPr>
          <w:rFonts w:eastAsiaTheme="minorEastAsia"/>
        </w:rPr>
      </w:pPr>
      <w:r>
        <w:rPr>
          <w:rFonts w:eastAsiaTheme="minorEastAsia"/>
        </w:rPr>
        <w:t xml:space="preserve">For a State such as the Northern Territory with volatile population growth, </w:t>
      </w:r>
      <w:r>
        <w:rPr>
          <w:rFonts w:eastAsiaTheme="minorEastAsia"/>
        </w:rPr>
        <w:fldChar w:fldCharType="begin"/>
      </w:r>
      <w:r>
        <w:rPr>
          <w:rFonts w:eastAsiaTheme="minorEastAsia"/>
        </w:rPr>
        <w:instrText xml:space="preserve"> REF _Ref485812007 \h </w:instrText>
      </w:r>
      <w:r>
        <w:rPr>
          <w:rFonts w:eastAsiaTheme="minorEastAsia"/>
        </w:rPr>
      </w:r>
      <w:r>
        <w:rPr>
          <w:rFonts w:eastAsiaTheme="minorEastAsia"/>
        </w:rPr>
        <w:fldChar w:fldCharType="separate"/>
      </w:r>
      <w:r w:rsidR="00402501">
        <w:t xml:space="preserve">Figure </w:t>
      </w:r>
      <w:r w:rsidR="00402501">
        <w:rPr>
          <w:noProof/>
        </w:rPr>
        <w:t>1</w:t>
      </w:r>
      <w:r>
        <w:rPr>
          <w:rFonts w:eastAsiaTheme="minorEastAsia"/>
        </w:rPr>
        <w:fldChar w:fldCharType="end"/>
      </w:r>
      <w:r>
        <w:rPr>
          <w:rFonts w:eastAsiaTheme="minorEastAsia"/>
        </w:rPr>
        <w:t xml:space="preserve"> shows that the assessed rural road investment </w:t>
      </w:r>
      <w:r w:rsidR="006F0DA1">
        <w:rPr>
          <w:rFonts w:eastAsiaTheme="minorEastAsia"/>
        </w:rPr>
        <w:t xml:space="preserve">is </w:t>
      </w:r>
      <w:r w:rsidR="00D25D69">
        <w:rPr>
          <w:rFonts w:eastAsiaTheme="minorEastAsia"/>
        </w:rPr>
        <w:t>more</w:t>
      </w:r>
      <w:r>
        <w:rPr>
          <w:rFonts w:eastAsiaTheme="minorEastAsia"/>
        </w:rPr>
        <w:t xml:space="preserve"> volatile using three year averaging. </w:t>
      </w:r>
    </w:p>
    <w:p w:rsidR="001704CD" w:rsidRDefault="001704CD" w:rsidP="001704CD">
      <w:pPr>
        <w:pStyle w:val="Caption"/>
      </w:pPr>
      <w:bookmarkStart w:id="74" w:name="_Ref485812007"/>
      <w:r>
        <w:t xml:space="preserve">Figure </w:t>
      </w:r>
      <w:r w:rsidR="00402501">
        <w:fldChar w:fldCharType="begin"/>
      </w:r>
      <w:r w:rsidR="00402501">
        <w:instrText xml:space="preserve"> SEQ Figure \* ARABIC </w:instrText>
      </w:r>
      <w:r w:rsidR="00402501">
        <w:fldChar w:fldCharType="separate"/>
      </w:r>
      <w:r w:rsidR="00402501">
        <w:rPr>
          <w:noProof/>
        </w:rPr>
        <w:t>1</w:t>
      </w:r>
      <w:r w:rsidR="00402501">
        <w:rPr>
          <w:noProof/>
        </w:rPr>
        <w:fldChar w:fldCharType="end"/>
      </w:r>
      <w:bookmarkEnd w:id="74"/>
      <w:r>
        <w:tab/>
        <w:t xml:space="preserve">Assessed </w:t>
      </w:r>
      <w:r w:rsidR="00732747">
        <w:t>investment</w:t>
      </w:r>
      <w:r>
        <w:t xml:space="preserve"> in rural roads, the Northern Territory</w:t>
      </w:r>
    </w:p>
    <w:p w:rsidR="00D25D69" w:rsidRDefault="00D25D69" w:rsidP="00D25D69">
      <w:r w:rsidRPr="00D25D69">
        <w:rPr>
          <w:noProof/>
          <w:lang w:eastAsia="en-AU"/>
        </w:rPr>
        <w:drawing>
          <wp:inline distT="0" distB="0" distL="0" distR="0" wp14:anchorId="5E528C5C" wp14:editId="1FDF82A3">
            <wp:extent cx="5634990" cy="3547957"/>
            <wp:effectExtent l="0" t="0" r="3810" b="0"/>
            <wp:docPr id="10" name="Picture 10" descr="A graph showing the assessed level of investment in rural roads for the Northern Territory using 3 year averaging of stock disabilties and using unaveraged annual stock disabilities. Assessed investment is shown for 4 years 2012-13 to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4990" cy="3547957"/>
                    </a:xfrm>
                    <a:prstGeom prst="rect">
                      <a:avLst/>
                    </a:prstGeom>
                    <a:noFill/>
                    <a:ln>
                      <a:noFill/>
                    </a:ln>
                  </pic:spPr>
                </pic:pic>
              </a:graphicData>
            </a:graphic>
          </wp:inline>
        </w:drawing>
      </w:r>
    </w:p>
    <w:p w:rsidR="001704CD" w:rsidRPr="00DA54EC" w:rsidRDefault="00B11B1C" w:rsidP="001704CD">
      <w:pPr>
        <w:pStyle w:val="CGCTableFootnote"/>
        <w:ind w:left="0" w:firstLine="0"/>
      </w:pPr>
      <w:proofErr w:type="gramStart"/>
      <w:r>
        <w:t>Source:</w:t>
      </w:r>
      <w:r>
        <w:tab/>
        <w:t>Commission calculation.</w:t>
      </w:r>
      <w:proofErr w:type="gramEnd"/>
    </w:p>
    <w:p w:rsidR="00883479" w:rsidRDefault="00094391" w:rsidP="00C343CE">
      <w:pPr>
        <w:pStyle w:val="CGCNumberedPara"/>
      </w:pPr>
      <w:proofErr w:type="gramStart"/>
      <w:r w:rsidRPr="00C343CE">
        <w:t>Staff consider</w:t>
      </w:r>
      <w:proofErr w:type="gramEnd"/>
      <w:r w:rsidR="000E7ECB" w:rsidRPr="00C343CE">
        <w:t xml:space="preserve"> </w:t>
      </w:r>
      <w:r w:rsidR="00883479">
        <w:t xml:space="preserve">that three year averaging increases volatility in some circumstances and decreases it in others. On balance </w:t>
      </w:r>
      <w:proofErr w:type="gramStart"/>
      <w:r w:rsidR="00883479">
        <w:t>staff consider</w:t>
      </w:r>
      <w:proofErr w:type="gramEnd"/>
      <w:r w:rsidR="00883479">
        <w:t xml:space="preserve"> that as part of a suite of </w:t>
      </w:r>
      <w:r w:rsidR="00883479">
        <w:lastRenderedPageBreak/>
        <w:t xml:space="preserve">changes proposed in this paper, </w:t>
      </w:r>
      <w:r w:rsidR="000F224F">
        <w:t>an improved yet simpler</w:t>
      </w:r>
      <w:r w:rsidR="00883479">
        <w:t xml:space="preserve"> </w:t>
      </w:r>
      <w:proofErr w:type="spellStart"/>
      <w:r w:rsidR="00883479">
        <w:t>HFE</w:t>
      </w:r>
      <w:proofErr w:type="spellEnd"/>
      <w:r w:rsidR="00883479">
        <w:t xml:space="preserve"> outcome could be achieved by removing three year averaging</w:t>
      </w:r>
      <w:r w:rsidR="003A6F6F">
        <w:t xml:space="preserve"> of stock disabilities</w:t>
      </w:r>
      <w:r w:rsidR="00883479">
        <w:t>.</w:t>
      </w:r>
    </w:p>
    <w:p w:rsidR="008A4E5B" w:rsidRDefault="008154F2" w:rsidP="00803E41">
      <w:pPr>
        <w:pStyle w:val="Heading5"/>
      </w:pPr>
      <w:r>
        <w:t>Capturing changes in State circumstances within the year</w:t>
      </w:r>
      <w:r w:rsidR="008A4E5B" w:rsidRPr="008A4E5B">
        <w:t xml:space="preserve"> </w:t>
      </w:r>
    </w:p>
    <w:p w:rsidR="00006F45" w:rsidRDefault="00252E8F" w:rsidP="003B133E">
      <w:pPr>
        <w:pStyle w:val="CGCNumberedPara"/>
      </w:pPr>
      <w:bookmarkStart w:id="75" w:name="_Ref507056345"/>
      <w:r>
        <w:t xml:space="preserve">The </w:t>
      </w:r>
      <w:r w:rsidR="00E033C8">
        <w:t>current</w:t>
      </w:r>
      <w:r>
        <w:t xml:space="preserve"> assessment </w:t>
      </w:r>
      <w:proofErr w:type="gramStart"/>
      <w:r w:rsidR="00F67CDE">
        <w:t>was designed</w:t>
      </w:r>
      <w:proofErr w:type="gramEnd"/>
      <w:r w:rsidR="00F67CDE">
        <w:t xml:space="preserve"> to capture infrastructure need related to changes in State</w:t>
      </w:r>
      <w:r w:rsidR="00C35B28">
        <w:t xml:space="preserve"> circumstances within the year. </w:t>
      </w:r>
      <w:r w:rsidR="00006F45">
        <w:t xml:space="preserve">It does so by applying current year </w:t>
      </w:r>
      <w:r w:rsidR="000F224F">
        <w:t xml:space="preserve">stock </w:t>
      </w:r>
      <w:r w:rsidR="00006F45">
        <w:t xml:space="preserve">factors to end of year stocks and </w:t>
      </w:r>
      <w:r w:rsidR="006D37A9">
        <w:t xml:space="preserve">the </w:t>
      </w:r>
      <w:r w:rsidR="00006F45">
        <w:t>previous year</w:t>
      </w:r>
      <w:r w:rsidR="006D37A9">
        <w:t xml:space="preserve"> </w:t>
      </w:r>
      <w:r w:rsidR="000F224F">
        <w:t xml:space="preserve">stock </w:t>
      </w:r>
      <w:r w:rsidR="006D37A9">
        <w:t>factors</w:t>
      </w:r>
      <w:r w:rsidR="00006F45">
        <w:t xml:space="preserve"> to start of year stocks.</w:t>
      </w:r>
      <w:bookmarkEnd w:id="75"/>
    </w:p>
    <w:p w:rsidR="00F67CDE" w:rsidRDefault="003B133E" w:rsidP="003B133E">
      <w:pPr>
        <w:pStyle w:val="CGCNumberedPara"/>
      </w:pPr>
      <w:r w:rsidRPr="00006F45">
        <w:t>Conceptually, changes in State circumstances should be accounted for</w:t>
      </w:r>
      <w:r w:rsidR="00733BB6">
        <w:t xml:space="preserve"> and</w:t>
      </w:r>
      <w:r w:rsidR="00733BB6" w:rsidRPr="00733BB6">
        <w:rPr>
          <w:rStyle w:val="CGCParaNoChar"/>
        </w:rPr>
        <w:t xml:space="preserve"> </w:t>
      </w:r>
      <w:r w:rsidR="00733BB6" w:rsidRPr="00252E8F">
        <w:rPr>
          <w:rStyle w:val="CGCParaNoChar"/>
        </w:rPr>
        <w:t xml:space="preserve">with perfect </w:t>
      </w:r>
      <w:proofErr w:type="gramStart"/>
      <w:r w:rsidR="00733BB6" w:rsidRPr="00252E8F">
        <w:rPr>
          <w:rStyle w:val="CGCParaNoChar"/>
        </w:rPr>
        <w:t>information</w:t>
      </w:r>
      <w:proofErr w:type="gramEnd"/>
      <w:r w:rsidR="00733BB6" w:rsidRPr="00252E8F">
        <w:rPr>
          <w:rStyle w:val="CGCParaNoChar"/>
        </w:rPr>
        <w:t xml:space="preserve"> our calculation would achieve th</w:t>
      </w:r>
      <w:r w:rsidR="006D37A9">
        <w:rPr>
          <w:rStyle w:val="CGCParaNoChar"/>
        </w:rPr>
        <w:t xml:space="preserve">is goal. </w:t>
      </w:r>
      <w:r w:rsidRPr="00006F45">
        <w:t>However</w:t>
      </w:r>
      <w:r>
        <w:t xml:space="preserve">, </w:t>
      </w:r>
      <w:r w:rsidR="00B8142F">
        <w:t>the</w:t>
      </w:r>
      <w:r>
        <w:t xml:space="preserve"> ability to measure the change accurately is largely dependent on the capacity of the data </w:t>
      </w:r>
      <w:proofErr w:type="gramStart"/>
      <w:r>
        <w:t>to reliably</w:t>
      </w:r>
      <w:r w:rsidR="00006F45">
        <w:t xml:space="preserve"> capture</w:t>
      </w:r>
      <w:proofErr w:type="gramEnd"/>
      <w:r w:rsidR="00006F45">
        <w:t xml:space="preserve"> the change.</w:t>
      </w:r>
      <w:r>
        <w:t xml:space="preserve"> Taking schools as an example</w:t>
      </w:r>
      <w:r w:rsidR="003E0E0A">
        <w:t xml:space="preserve">, in determining the level of infrastructure required to provide school services, the 2015 Review approach recognises </w:t>
      </w:r>
      <w:r w:rsidR="00006F45">
        <w:t>changes in</w:t>
      </w:r>
    </w:p>
    <w:p w:rsidR="00F67CDE" w:rsidRDefault="00F67CDE" w:rsidP="00F67CDE">
      <w:pPr>
        <w:pStyle w:val="CGCBulletlist"/>
      </w:pPr>
      <w:r>
        <w:t>student</w:t>
      </w:r>
      <w:r w:rsidR="003E0E0A">
        <w:t xml:space="preserve"> to</w:t>
      </w:r>
      <w:r>
        <w:t xml:space="preserve"> population ratios</w:t>
      </w:r>
    </w:p>
    <w:p w:rsidR="00F67CDE" w:rsidRDefault="00F67CDE" w:rsidP="00F67CDE">
      <w:pPr>
        <w:pStyle w:val="CGCBulletlist"/>
      </w:pPr>
      <w:r>
        <w:t xml:space="preserve">the socio-demographic attributes of students </w:t>
      </w:r>
    </w:p>
    <w:p w:rsidR="00F67CDE" w:rsidRDefault="00F67CDE" w:rsidP="00F67CDE">
      <w:pPr>
        <w:pStyle w:val="CGCBulletlist"/>
      </w:pPr>
      <w:proofErr w:type="gramStart"/>
      <w:r>
        <w:t>the</w:t>
      </w:r>
      <w:proofErr w:type="gramEnd"/>
      <w:r>
        <w:t xml:space="preserve"> cost attributed to each socio-demographic group, resulting from running the regression on new </w:t>
      </w:r>
      <w:r w:rsidR="004E4877">
        <w:t>ACARA</w:t>
      </w:r>
      <w:r w:rsidR="004E4877">
        <w:rPr>
          <w:rStyle w:val="FootnoteReference"/>
        </w:rPr>
        <w:footnoteReference w:id="6"/>
      </w:r>
      <w:r w:rsidR="004E4877">
        <w:t xml:space="preserve"> </w:t>
      </w:r>
      <w:r>
        <w:t xml:space="preserve">data each year. </w:t>
      </w:r>
    </w:p>
    <w:p w:rsidR="00FB2210" w:rsidRDefault="001530D8" w:rsidP="00A84FF3">
      <w:pPr>
        <w:pStyle w:val="CGCNumberedPara"/>
      </w:pPr>
      <w:r>
        <w:t>For each of these measures</w:t>
      </w:r>
      <w:r w:rsidR="00C95F68">
        <w:t>,</w:t>
      </w:r>
      <w:r>
        <w:t xml:space="preserve"> </w:t>
      </w:r>
      <w:proofErr w:type="gramStart"/>
      <w:r w:rsidR="00A84FF3">
        <w:t>staff</w:t>
      </w:r>
      <w:r>
        <w:t xml:space="preserve"> </w:t>
      </w:r>
      <w:r w:rsidR="000F224F">
        <w:t>consider</w:t>
      </w:r>
      <w:proofErr w:type="gramEnd"/>
      <w:r w:rsidR="00006F45">
        <w:t xml:space="preserve"> the data provided in any given year to</w:t>
      </w:r>
      <w:r>
        <w:t xml:space="preserve"> be the best available measure of a State</w:t>
      </w:r>
      <w:r w:rsidR="00C95F68">
        <w:t>’</w:t>
      </w:r>
      <w:r>
        <w:t>s relative need at that point in time</w:t>
      </w:r>
      <w:r w:rsidR="006D37A9">
        <w:t xml:space="preserve">. </w:t>
      </w:r>
      <w:r>
        <w:t>H</w:t>
      </w:r>
      <w:r w:rsidR="00006F45">
        <w:t>owever</w:t>
      </w:r>
      <w:r w:rsidR="006D37A9">
        <w:t xml:space="preserve">, staff confidence in the </w:t>
      </w:r>
      <w:r w:rsidR="006D37A9" w:rsidRPr="00AA77FD">
        <w:t>capacity of these measure</w:t>
      </w:r>
      <w:r w:rsidR="004C52B0" w:rsidRPr="00AA77FD">
        <w:t>s</w:t>
      </w:r>
      <w:r w:rsidR="006D37A9" w:rsidRPr="00AA77FD">
        <w:t xml:space="preserve"> </w:t>
      </w:r>
      <w:proofErr w:type="gramStart"/>
      <w:r w:rsidR="006D37A9" w:rsidRPr="00AA77FD">
        <w:t>to accurately reflect</w:t>
      </w:r>
      <w:proofErr w:type="gramEnd"/>
      <w:r w:rsidR="006D37A9" w:rsidRPr="00AA77FD">
        <w:t xml:space="preserve"> changes over</w:t>
      </w:r>
      <w:r w:rsidR="000F224F" w:rsidRPr="00AA77FD">
        <w:t xml:space="preserve"> </w:t>
      </w:r>
      <w:r w:rsidR="006D37A9" w:rsidRPr="00AA77FD">
        <w:t>time</w:t>
      </w:r>
      <w:r w:rsidR="004C52B0" w:rsidRPr="00AA77FD">
        <w:t xml:space="preserve"> </w:t>
      </w:r>
      <w:r w:rsidR="003A6F6F" w:rsidRPr="00AA77FD">
        <w:t xml:space="preserve">varies from measure to measure. </w:t>
      </w:r>
      <w:proofErr w:type="gramStart"/>
      <w:r w:rsidR="003A6F6F" w:rsidRPr="00AA77FD">
        <w:t>Staff have</w:t>
      </w:r>
      <w:proofErr w:type="gramEnd"/>
      <w:r w:rsidR="003A6F6F" w:rsidRPr="00AA77FD">
        <w:t xml:space="preserve"> high confidence that variation in student to population ratios reflect real world changes, but considerably less confidence that changes in cost allocations from the regression reflect real world changes in how States fund different groups.</w:t>
      </w:r>
      <w:r w:rsidR="006A0F27" w:rsidRPr="00AA77FD">
        <w:t xml:space="preserve"> When taking the </w:t>
      </w:r>
      <w:proofErr w:type="gramStart"/>
      <w:r w:rsidR="006A0F27" w:rsidRPr="00AA77FD">
        <w:t>year to year</w:t>
      </w:r>
      <w:proofErr w:type="gramEnd"/>
      <w:r w:rsidR="006A0F27" w:rsidRPr="00AA77FD">
        <w:t xml:space="preserve"> change, i</w:t>
      </w:r>
      <w:r w:rsidRPr="00AA77FD">
        <w:t>n addition to changes in State circumstances, the data may</w:t>
      </w:r>
      <w:r w:rsidRPr="001530D8">
        <w:t xml:space="preserve"> also incorporate changes in data collection methods and the consequences of mismatched timing of different elements contributing to the disability.</w:t>
      </w:r>
    </w:p>
    <w:p w:rsidR="00A84FF3" w:rsidRPr="001530D8" w:rsidRDefault="001702FE" w:rsidP="00A84FF3">
      <w:pPr>
        <w:pStyle w:val="CGCNumberedPara"/>
      </w:pPr>
      <w:proofErr w:type="gramStart"/>
      <w:r>
        <w:t>So</w:t>
      </w:r>
      <w:proofErr w:type="gramEnd"/>
      <w:r>
        <w:t>, conceptually the I</w:t>
      </w:r>
      <w:r w:rsidR="00FB2210">
        <w:t xml:space="preserve">nvestment assessment should recognise observed changes in State student to population ratios and, to </w:t>
      </w:r>
      <w:r w:rsidR="000F224F">
        <w:t>some</w:t>
      </w:r>
      <w:r w:rsidR="00FB2210">
        <w:t xml:space="preserve"> extent, the socio</w:t>
      </w:r>
      <w:r w:rsidR="00FB2210">
        <w:noBreakHyphen/>
        <w:t>demographic attributes of those students. However, changes in the estimated costs for each socio</w:t>
      </w:r>
      <w:r w:rsidR="00FB2210">
        <w:noBreakHyphen/>
        <w:t xml:space="preserve">economic group </w:t>
      </w:r>
      <w:proofErr w:type="gramStart"/>
      <w:r w:rsidR="00FB2210">
        <w:t>should only be recognised</w:t>
      </w:r>
      <w:proofErr w:type="gramEnd"/>
      <w:r w:rsidR="00FB2210">
        <w:t xml:space="preserve"> where it is certain they reflect actual change, but not if they may reflect improvements to</w:t>
      </w:r>
      <w:r w:rsidR="003A6F6F">
        <w:t>, or simply variation in,</w:t>
      </w:r>
      <w:r w:rsidR="00FB2210">
        <w:t xml:space="preserve"> the cost estimates.  </w:t>
      </w:r>
      <w:r w:rsidR="00A84FF3">
        <w:t xml:space="preserve"> </w:t>
      </w:r>
    </w:p>
    <w:p w:rsidR="001540D4" w:rsidRDefault="001540D4" w:rsidP="001540D4">
      <w:pPr>
        <w:pStyle w:val="CGCNumberedPara"/>
        <w:numPr>
          <w:ilvl w:val="0"/>
          <w:numId w:val="0"/>
        </w:numPr>
        <w:ind w:left="567"/>
      </w:pPr>
    </w:p>
    <w:p w:rsidR="001540D4" w:rsidRDefault="001540D4" w:rsidP="001540D4">
      <w:pPr>
        <w:pStyle w:val="CGCNumberedPara"/>
        <w:numPr>
          <w:ilvl w:val="0"/>
          <w:numId w:val="0"/>
        </w:numPr>
        <w:ind w:left="567"/>
      </w:pPr>
    </w:p>
    <w:p w:rsidR="00F67CDE" w:rsidRDefault="00E033C8" w:rsidP="00F67CDE">
      <w:pPr>
        <w:pStyle w:val="CGCNumberedPara"/>
      </w:pPr>
      <w:r>
        <w:lastRenderedPageBreak/>
        <w:t xml:space="preserve">For example, </w:t>
      </w:r>
      <w:r w:rsidR="0045164C">
        <w:fldChar w:fldCharType="begin"/>
      </w:r>
      <w:r w:rsidR="0045164C">
        <w:instrText xml:space="preserve"> REF _Ref484706194 \h </w:instrText>
      </w:r>
      <w:r w:rsidR="0045164C">
        <w:fldChar w:fldCharType="separate"/>
      </w:r>
      <w:r w:rsidR="00402501" w:rsidRPr="00C87CA0">
        <w:t xml:space="preserve">Figure </w:t>
      </w:r>
      <w:r w:rsidR="00402501">
        <w:rPr>
          <w:noProof/>
        </w:rPr>
        <w:t>2</w:t>
      </w:r>
      <w:r w:rsidR="0045164C">
        <w:fldChar w:fldCharType="end"/>
      </w:r>
      <w:r w:rsidR="0045164C">
        <w:t xml:space="preserve"> </w:t>
      </w:r>
      <w:r w:rsidR="00F67CDE" w:rsidRPr="00C87CA0">
        <w:t>shows that in 2012-13, we assessed that the average Indigenous student in the Northern Territory required 34% more capital than the average non-Indigenous student. By 2013-14, with new data, we recalculated that figure at 28%.</w:t>
      </w:r>
    </w:p>
    <w:p w:rsidR="00B8142F" w:rsidRPr="00C87CA0" w:rsidRDefault="00B8142F" w:rsidP="00B8142F">
      <w:pPr>
        <w:pStyle w:val="Caption"/>
        <w:ind w:left="0" w:firstLine="0"/>
      </w:pPr>
      <w:bookmarkStart w:id="76" w:name="_Ref484706194"/>
      <w:r w:rsidRPr="00C87CA0">
        <w:t xml:space="preserve">Figure </w:t>
      </w:r>
      <w:r w:rsidR="00402501">
        <w:fldChar w:fldCharType="begin"/>
      </w:r>
      <w:r w:rsidR="00402501">
        <w:instrText xml:space="preserve"> SEQ Figure \* ARABIC </w:instrText>
      </w:r>
      <w:r w:rsidR="00402501">
        <w:fldChar w:fldCharType="separate"/>
      </w:r>
      <w:r w:rsidR="00402501">
        <w:rPr>
          <w:noProof/>
        </w:rPr>
        <w:t>2</w:t>
      </w:r>
      <w:r w:rsidR="00402501">
        <w:rPr>
          <w:noProof/>
        </w:rPr>
        <w:fldChar w:fldCharType="end"/>
      </w:r>
      <w:bookmarkEnd w:id="76"/>
      <w:r w:rsidRPr="00C87CA0">
        <w:tab/>
        <w:t>Relative costs of Indigenous students</w:t>
      </w:r>
    </w:p>
    <w:p w:rsidR="00B8142F" w:rsidRPr="00B8142F" w:rsidRDefault="00B8142F" w:rsidP="00B8142F">
      <w:pPr>
        <w:pStyle w:val="ListParagraph"/>
        <w:ind w:left="0"/>
        <w:rPr>
          <w:highlight w:val="yellow"/>
        </w:rPr>
      </w:pPr>
      <w:r w:rsidRPr="00F66679">
        <w:rPr>
          <w:noProof/>
          <w:highlight w:val="yellow"/>
          <w:lang w:eastAsia="en-AU"/>
        </w:rPr>
        <w:drawing>
          <wp:inline distT="0" distB="0" distL="0" distR="0" wp14:anchorId="5CA35931" wp14:editId="01A18C90">
            <wp:extent cx="5657850" cy="3562350"/>
            <wp:effectExtent l="0" t="0" r="0" b="0"/>
            <wp:docPr id="7" name="Picture 7" descr="A bar graph showing the cost of Indigenous students relative to non-Indigenous students in each State for years 2013-13 to 2015-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rsidR="00B8142F" w:rsidRPr="00DA54EC" w:rsidRDefault="00B8142F" w:rsidP="00B8142F">
      <w:pPr>
        <w:pStyle w:val="CGCTableFootnote"/>
        <w:ind w:left="0" w:firstLine="0"/>
      </w:pPr>
      <w:proofErr w:type="gramStart"/>
      <w:r w:rsidRPr="00C87CA0">
        <w:t>Source:</w:t>
      </w:r>
      <w:r w:rsidRPr="00C87CA0">
        <w:tab/>
        <w:t>Commission calculation using ACARA data</w:t>
      </w:r>
      <w:r w:rsidR="00C95F68">
        <w:t>.</w:t>
      </w:r>
      <w:proofErr w:type="gramEnd"/>
    </w:p>
    <w:p w:rsidR="001702FE" w:rsidRPr="001702FE" w:rsidRDefault="00F67CDE" w:rsidP="00F67CDE">
      <w:pPr>
        <w:pStyle w:val="CGCNumberedPara"/>
        <w:rPr>
          <w:b/>
        </w:rPr>
      </w:pPr>
      <w:r w:rsidRPr="00C87CA0">
        <w:t xml:space="preserve">The current investment assessment assumes that this change means the Northern Territory should, </w:t>
      </w:r>
      <w:proofErr w:type="gramStart"/>
      <w:r w:rsidRPr="00C87CA0">
        <w:t>be</w:t>
      </w:r>
      <w:r w:rsidR="004E4877">
        <w:t>tween 2012-13</w:t>
      </w:r>
      <w:proofErr w:type="gramEnd"/>
      <w:r w:rsidR="004E4877">
        <w:t xml:space="preserve"> and 2013-14, di</w:t>
      </w:r>
      <w:r w:rsidRPr="00C87CA0">
        <w:t xml:space="preserve">vest itself of 6% of all school assets used by Indigenous students. </w:t>
      </w:r>
      <w:r w:rsidR="00D57C78" w:rsidRPr="00C87CA0">
        <w:t>If this change reflected an actual change in the standard of services, and capital, provided to students, it may be appropriate to allocate GST for this change. However, if this change reflected improved data quality, then to assume that States should invest or disinvest in line with changes in the quality of</w:t>
      </w:r>
      <w:r w:rsidR="00B8142F">
        <w:t xml:space="preserve"> the proxy indicator is </w:t>
      </w:r>
      <w:r w:rsidR="00F5685C">
        <w:t xml:space="preserve">not </w:t>
      </w:r>
      <w:r w:rsidR="008E5C9A">
        <w:t>appropriate</w:t>
      </w:r>
      <w:r w:rsidR="00B8142F">
        <w:t>.</w:t>
      </w:r>
    </w:p>
    <w:p w:rsidR="00D128DD" w:rsidRDefault="00D128DD">
      <w:pPr>
        <w:tabs>
          <w:tab w:val="clear" w:pos="567"/>
        </w:tabs>
        <w:spacing w:after="200" w:line="276" w:lineRule="auto"/>
        <w:rPr>
          <w:szCs w:val="24"/>
        </w:rPr>
      </w:pPr>
      <w:r>
        <w:br w:type="page"/>
      </w:r>
    </w:p>
    <w:p w:rsidR="00004712" w:rsidRPr="00C343CE" w:rsidRDefault="00D57C78" w:rsidP="00F67CDE">
      <w:pPr>
        <w:pStyle w:val="CGCNumberedPara"/>
        <w:rPr>
          <w:b/>
        </w:rPr>
      </w:pPr>
      <w:r w:rsidRPr="00C87CA0">
        <w:lastRenderedPageBreak/>
        <w:t xml:space="preserve">This </w:t>
      </w:r>
      <w:r w:rsidR="008E5C9A">
        <w:t>issue</w:t>
      </w:r>
      <w:r w:rsidR="001540D4">
        <w:t xml:space="preserve"> </w:t>
      </w:r>
      <w:r w:rsidRPr="00C87CA0">
        <w:t>is easy to identify with a hypothetical example</w:t>
      </w:r>
      <w:r w:rsidR="00D128DD">
        <w:t xml:space="preserve"> in which </w:t>
      </w:r>
      <w:r w:rsidRPr="00C87CA0">
        <w:t>the Commi</w:t>
      </w:r>
      <w:r w:rsidR="00C95F68">
        <w:t xml:space="preserve">ssion had historically assessed stock </w:t>
      </w:r>
      <w:r w:rsidRPr="00C87CA0">
        <w:t>need for schools EPC and then decided to improve this measure by using student numbers</w:t>
      </w:r>
      <w:r w:rsidR="00D128DD">
        <w:t xml:space="preserve">. </w:t>
      </w:r>
      <w:proofErr w:type="gramStart"/>
      <w:r w:rsidR="00D128DD">
        <w:t>S</w:t>
      </w:r>
      <w:r w:rsidRPr="00C87CA0">
        <w:t>taff do</w:t>
      </w:r>
      <w:proofErr w:type="gramEnd"/>
      <w:r w:rsidRPr="00C87CA0">
        <w:t xml:space="preserve"> not consider it would be appropriate or necessary to give all States with abov</w:t>
      </w:r>
      <w:r w:rsidR="00C95F68">
        <w:t xml:space="preserve">e average </w:t>
      </w:r>
      <w:r w:rsidR="004E4877">
        <w:t>student to</w:t>
      </w:r>
      <w:r w:rsidR="00AC0CE2" w:rsidRPr="00C87CA0">
        <w:t xml:space="preserve"> population</w:t>
      </w:r>
      <w:r w:rsidRPr="00C87CA0">
        <w:t xml:space="preserve"> ratios large amounts of GST to build schools, and to remove large amounts of GST from </w:t>
      </w:r>
      <w:r w:rsidR="00320C47" w:rsidRPr="00C87CA0">
        <w:t>Sta</w:t>
      </w:r>
      <w:r w:rsidR="00C95F68">
        <w:t xml:space="preserve">tes with below average </w:t>
      </w:r>
      <w:r w:rsidR="00AC0CE2">
        <w:t>student</w:t>
      </w:r>
      <w:r w:rsidR="001702FE">
        <w:t xml:space="preserve"> to </w:t>
      </w:r>
      <w:r w:rsidR="00AC0CE2" w:rsidRPr="00C87CA0">
        <w:t>population</w:t>
      </w:r>
      <w:r w:rsidR="00320C47" w:rsidRPr="00C87CA0">
        <w:t xml:space="preserve"> ratios. It would be more appropriate </w:t>
      </w:r>
      <w:proofErr w:type="gramStart"/>
      <w:r w:rsidR="00320C47" w:rsidRPr="00C87CA0">
        <w:t>to merely retain</w:t>
      </w:r>
      <w:proofErr w:type="gramEnd"/>
      <w:r w:rsidR="00320C47" w:rsidRPr="00C87CA0">
        <w:t xml:space="preserve"> the </w:t>
      </w:r>
      <w:r w:rsidR="00D128DD">
        <w:t xml:space="preserve">implicit </w:t>
      </w:r>
      <w:r w:rsidR="00320C47" w:rsidRPr="00C87CA0">
        <w:t>assumption tha</w:t>
      </w:r>
      <w:r w:rsidR="002B504A">
        <w:t>t St</w:t>
      </w:r>
      <w:r w:rsidR="002B504A" w:rsidRPr="00D128DD">
        <w:t>ates start the year with</w:t>
      </w:r>
      <w:r w:rsidR="00320C47" w:rsidRPr="00D128DD">
        <w:t xml:space="preserve"> </w:t>
      </w:r>
      <w:r w:rsidR="00AA5C20">
        <w:t xml:space="preserve">the average </w:t>
      </w:r>
      <w:r w:rsidR="00320C47" w:rsidRPr="00D128DD">
        <w:t>stock per capita</w:t>
      </w:r>
      <w:r w:rsidR="00AA5C20">
        <w:t xml:space="preserve"> adjusted for their stock disabilities</w:t>
      </w:r>
      <w:r w:rsidR="00320C47" w:rsidRPr="00D128DD">
        <w:t xml:space="preserve">. This assumption </w:t>
      </w:r>
      <w:r w:rsidR="00320C47" w:rsidRPr="00C87CA0">
        <w:t xml:space="preserve">allows for the actual investment requirements arising in a year to </w:t>
      </w:r>
      <w:proofErr w:type="gramStart"/>
      <w:r w:rsidR="00320C47" w:rsidRPr="00C87CA0">
        <w:t>be assessed</w:t>
      </w:r>
      <w:proofErr w:type="gramEnd"/>
      <w:r w:rsidR="00320C47" w:rsidRPr="00C87CA0">
        <w:t xml:space="preserve"> in that year.</w:t>
      </w:r>
    </w:p>
    <w:p w:rsidR="004519D8" w:rsidRPr="00C343CE" w:rsidRDefault="004519D8" w:rsidP="00C343CE">
      <w:pPr>
        <w:pStyle w:val="CGCNumberedPara"/>
      </w:pPr>
      <w:proofErr w:type="gramStart"/>
      <w:r>
        <w:t>Staff consider</w:t>
      </w:r>
      <w:proofErr w:type="gramEnd"/>
      <w:r>
        <w:t xml:space="preserve"> a potential solution to this issue would be to recognise</w:t>
      </w:r>
      <w:r w:rsidR="00750DD3">
        <w:t xml:space="preserve"> the impact of service use on investment needs using a single disability</w:t>
      </w:r>
      <w:r>
        <w:t xml:space="preserve"> and</w:t>
      </w:r>
      <w:r w:rsidR="00750DD3">
        <w:t xml:space="preserve"> </w:t>
      </w:r>
      <w:r>
        <w:t>to capture</w:t>
      </w:r>
      <w:r w:rsidR="00750DD3">
        <w:t xml:space="preserve"> the changes in circumstances that can be reliably measured</w:t>
      </w:r>
      <w:r>
        <w:t xml:space="preserve"> in a separate disability. </w:t>
      </w:r>
      <w:proofErr w:type="gramStart"/>
      <w:r>
        <w:t>Staff consider</w:t>
      </w:r>
      <w:proofErr w:type="gramEnd"/>
      <w:r>
        <w:t xml:space="preserve"> the change</w:t>
      </w:r>
      <w:r w:rsidR="00094391">
        <w:t xml:space="preserve"> </w:t>
      </w:r>
      <w:r>
        <w:t>could be captured by category specific measures of growth, as discussed in the next section.</w:t>
      </w:r>
    </w:p>
    <w:p w:rsidR="00A325E5" w:rsidRDefault="00A325E5" w:rsidP="00803E41">
      <w:pPr>
        <w:pStyle w:val="Heading5"/>
      </w:pPr>
      <w:r>
        <w:t xml:space="preserve">Category specific measures of growth </w:t>
      </w:r>
    </w:p>
    <w:p w:rsidR="00A325E5" w:rsidRDefault="00A325E5" w:rsidP="00A325E5">
      <w:pPr>
        <w:pStyle w:val="CGCNumberedPara"/>
      </w:pPr>
      <w:r>
        <w:t xml:space="preserve">Total population growth </w:t>
      </w:r>
      <w:proofErr w:type="gramStart"/>
      <w:r>
        <w:t>is currently used</w:t>
      </w:r>
      <w:proofErr w:type="gramEnd"/>
      <w:r>
        <w:t xml:space="preserve"> as a global indicator of States’ need for investment across all categories, with States with fast growing populations assumed to have greater investment needs than States with slow growing populations. While population growth is a good proxy, a functionalised assessment would allow us </w:t>
      </w:r>
      <w:proofErr w:type="gramStart"/>
      <w:r>
        <w:t>to further refine</w:t>
      </w:r>
      <w:proofErr w:type="gramEnd"/>
      <w:r>
        <w:t xml:space="preserve"> this measure to capture growth in the service use populations or asset requirements of each category more specifically. For example, investment in schools </w:t>
      </w:r>
      <w:proofErr w:type="gramStart"/>
      <w:r>
        <w:t>is better driven</w:t>
      </w:r>
      <w:proofErr w:type="gramEnd"/>
      <w:r>
        <w:t xml:space="preserve"> by growth in government school enrolments, not growth in population. We examine</w:t>
      </w:r>
      <w:r w:rsidR="001540D4">
        <w:t xml:space="preserve"> this issue below in the </w:t>
      </w:r>
      <w:r>
        <w:t>health</w:t>
      </w:r>
      <w:r w:rsidR="001540D4">
        <w:t>, schools</w:t>
      </w:r>
      <w:r>
        <w:t xml:space="preserve"> and rural roads categories.</w:t>
      </w:r>
    </w:p>
    <w:p w:rsidR="001540D4" w:rsidRDefault="001540D4" w:rsidP="001540D4">
      <w:pPr>
        <w:pStyle w:val="CGCNumberedPara"/>
      </w:pPr>
      <w:proofErr w:type="gramStart"/>
      <w:r w:rsidRPr="00B8793B">
        <w:rPr>
          <w:rStyle w:val="Heading5Char"/>
        </w:rPr>
        <w:t>Health.</w:t>
      </w:r>
      <w:proofErr w:type="gramEnd"/>
      <w:r w:rsidRPr="00B8793B">
        <w:rPr>
          <w:rStyle w:val="Heading5Char"/>
        </w:rPr>
        <w:t xml:space="preserve"> </w:t>
      </w:r>
      <w:r>
        <w:fldChar w:fldCharType="begin"/>
      </w:r>
      <w:r>
        <w:rPr>
          <w:rStyle w:val="Heading5Char"/>
        </w:rPr>
        <w:instrText xml:space="preserve"> REF _Ref508797488 \h </w:instrText>
      </w:r>
      <w:r>
        <w:fldChar w:fldCharType="separate"/>
      </w:r>
      <w:r w:rsidR="00402501">
        <w:t xml:space="preserve">Figure </w:t>
      </w:r>
      <w:r w:rsidR="00402501">
        <w:rPr>
          <w:noProof/>
        </w:rPr>
        <w:t>3</w:t>
      </w:r>
      <w:r>
        <w:fldChar w:fldCharType="end"/>
      </w:r>
      <w:r>
        <w:t xml:space="preserve"> shows that during the peak of the mining boom, in 2011, 22% of national population growth </w:t>
      </w:r>
      <w:proofErr w:type="gramStart"/>
      <w:r>
        <w:t>was</w:t>
      </w:r>
      <w:proofErr w:type="gramEnd"/>
      <w:r>
        <w:t xml:space="preserve"> in Western Australia. However, the typical demographics </w:t>
      </w:r>
      <w:r w:rsidR="002B504A">
        <w:t xml:space="preserve">of people </w:t>
      </w:r>
      <w:r>
        <w:t xml:space="preserve">migrating to Western Australia at the time were people of </w:t>
      </w:r>
      <w:r w:rsidR="002B504A">
        <w:t>prime</w:t>
      </w:r>
      <w:r>
        <w:t xml:space="preserve"> working age. These people tend to have relatively low hospital use. The flow of people in their 70s and 80s to Western Australia was much more subdued. Therefore, Western Australia’s share of the growth in the population that typically uses hospitals was also much more subdued. </w:t>
      </w:r>
    </w:p>
    <w:p w:rsidR="001540D4" w:rsidRDefault="002B504A" w:rsidP="001540D4">
      <w:pPr>
        <w:pStyle w:val="CGCNumberedPara"/>
      </w:pPr>
      <w:r>
        <w:t>Over</w:t>
      </w:r>
      <w:r w:rsidR="001540D4">
        <w:t xml:space="preserve"> 2014 to 2015, as Western Australia’s economic growth slowed, its population aged </w:t>
      </w:r>
      <w:r w:rsidR="001702FE">
        <w:t xml:space="preserve">15 to </w:t>
      </w:r>
      <w:r w:rsidR="001540D4">
        <w:t xml:space="preserve">44 declined, while its older population continued to grow faster than the national average. </w:t>
      </w:r>
      <w:proofErr w:type="gramStart"/>
      <w:r w:rsidR="001540D4">
        <w:t>So</w:t>
      </w:r>
      <w:proofErr w:type="gramEnd"/>
      <w:r w:rsidR="001540D4">
        <w:t xml:space="preserve"> while its share of total population growth was well below average, its share of the hospital use weighted population </w:t>
      </w:r>
      <w:r>
        <w:t xml:space="preserve">growth </w:t>
      </w:r>
      <w:r w:rsidR="001540D4">
        <w:t>was only slightly below average.</w:t>
      </w:r>
    </w:p>
    <w:p w:rsidR="001540D4" w:rsidRDefault="001540D4" w:rsidP="001540D4">
      <w:pPr>
        <w:pStyle w:val="Caption"/>
      </w:pPr>
      <w:bookmarkStart w:id="77" w:name="_Ref508797488"/>
      <w:r>
        <w:lastRenderedPageBreak/>
        <w:t xml:space="preserve">Figure </w:t>
      </w:r>
      <w:r w:rsidR="00402501">
        <w:fldChar w:fldCharType="begin"/>
      </w:r>
      <w:r w:rsidR="00402501">
        <w:instrText xml:space="preserve"> SEQ Figure \* ARABIC </w:instrText>
      </w:r>
      <w:r w:rsidR="00402501">
        <w:fldChar w:fldCharType="separate"/>
      </w:r>
      <w:r w:rsidR="00402501">
        <w:rPr>
          <w:noProof/>
        </w:rPr>
        <w:t>3</w:t>
      </w:r>
      <w:r w:rsidR="00402501">
        <w:rPr>
          <w:noProof/>
        </w:rPr>
        <w:fldChar w:fldCharType="end"/>
      </w:r>
      <w:bookmarkEnd w:id="77"/>
      <w:r>
        <w:tab/>
        <w:t xml:space="preserve">Western Australian share of population, growth in population and hospital user population </w:t>
      </w:r>
      <w:r w:rsidRPr="00842871">
        <w:rPr>
          <w:color w:val="FF0000"/>
          <w:highlight w:val="yellow"/>
        </w:rPr>
        <w:t xml:space="preserve"> </w:t>
      </w:r>
    </w:p>
    <w:p w:rsidR="001540D4" w:rsidRDefault="001540D4" w:rsidP="001540D4">
      <w:pPr>
        <w:pStyle w:val="CGCTableHeading"/>
        <w:ind w:left="0" w:firstLine="0"/>
      </w:pPr>
      <w:r w:rsidRPr="00982BBE">
        <w:rPr>
          <w:noProof/>
          <w:lang w:eastAsia="en-AU"/>
        </w:rPr>
        <w:drawing>
          <wp:inline distT="0" distB="0" distL="0" distR="0" wp14:anchorId="2D9A2909" wp14:editId="0E250502">
            <wp:extent cx="5657850" cy="3562350"/>
            <wp:effectExtent l="0" t="0" r="0" b="0"/>
            <wp:docPr id="6" name="Picture 6" descr="A line chart showing Western Australia's share of national levels of population, population growth and growth in the population weighted by hospital use rates. The graph shows these data from 2000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rsidR="001540D4" w:rsidRPr="00DA54EC" w:rsidRDefault="001540D4" w:rsidP="001540D4">
      <w:pPr>
        <w:pStyle w:val="CGCTableFootnote"/>
        <w:ind w:left="0" w:firstLine="0"/>
      </w:pPr>
      <w:proofErr w:type="gramStart"/>
      <w:r>
        <w:t>Source:</w:t>
      </w:r>
      <w:r>
        <w:tab/>
        <w:t>Commission calculation using ABS and Independent Hospital Pricing Authority (IHPA) data</w:t>
      </w:r>
      <w:r w:rsidR="001702FE">
        <w:t>.</w:t>
      </w:r>
      <w:proofErr w:type="gramEnd"/>
    </w:p>
    <w:p w:rsidR="001540D4" w:rsidRDefault="001540D4" w:rsidP="001540D4">
      <w:pPr>
        <w:pStyle w:val="CGCNumberedPara"/>
      </w:pPr>
      <w:proofErr w:type="gramStart"/>
      <w:r w:rsidRPr="0044630E">
        <w:rPr>
          <w:rStyle w:val="Heading5Char"/>
        </w:rPr>
        <w:t>Schools.</w:t>
      </w:r>
      <w:proofErr w:type="gramEnd"/>
      <w:r w:rsidRPr="0044630E">
        <w:rPr>
          <w:rStyle w:val="Heading5Char"/>
        </w:rPr>
        <w:t xml:space="preserve"> </w:t>
      </w:r>
      <w:r w:rsidRPr="0023116E">
        <w:rPr>
          <w:b/>
        </w:rPr>
        <w:fldChar w:fldCharType="begin"/>
      </w:r>
      <w:r w:rsidRPr="0023116E">
        <w:rPr>
          <w:rStyle w:val="Heading5Char"/>
          <w:b w:val="0"/>
        </w:rPr>
        <w:instrText xml:space="preserve"> REF _Ref508114935 \h </w:instrText>
      </w:r>
      <w:r>
        <w:rPr>
          <w:b/>
        </w:rPr>
        <w:instrText xml:space="preserve"> \* MERGEFORMAT </w:instrText>
      </w:r>
      <w:r w:rsidRPr="0023116E">
        <w:rPr>
          <w:b/>
        </w:rPr>
      </w:r>
      <w:r w:rsidRPr="0023116E">
        <w:rPr>
          <w:b/>
        </w:rPr>
        <w:fldChar w:fldCharType="separate"/>
      </w:r>
      <w:r w:rsidR="00402501" w:rsidRPr="00402501">
        <w:rPr>
          <w:rStyle w:val="CGCTableHeadingChar"/>
          <w:b w:val="0"/>
        </w:rPr>
        <w:t xml:space="preserve">Figure </w:t>
      </w:r>
      <w:r w:rsidR="00402501" w:rsidRPr="00402501">
        <w:rPr>
          <w:rStyle w:val="CGCTableHeadingChar"/>
          <w:b w:val="0"/>
          <w:noProof/>
        </w:rPr>
        <w:t>4</w:t>
      </w:r>
      <w:r w:rsidRPr="0023116E">
        <w:rPr>
          <w:b/>
        </w:rPr>
        <w:fldChar w:fldCharType="end"/>
      </w:r>
      <w:r>
        <w:t xml:space="preserve"> shows that Western Australia's share of Australia's population grew until around 2013, reflecting a faster than average population growth. Since then, its share has fallen slightly. Its share of government school students has exhibited a somewhat different pattern. Between 2002 and </w:t>
      </w:r>
      <w:proofErr w:type="gramStart"/>
      <w:r>
        <w:t>2011</w:t>
      </w:r>
      <w:proofErr w:type="gramEnd"/>
      <w:r>
        <w:t xml:space="preserve"> Western Australia’s population was rapidly growing </w:t>
      </w:r>
      <w:r w:rsidR="00F04817">
        <w:t>while it</w:t>
      </w:r>
      <w:r w:rsidR="002B504A">
        <w:t xml:space="preserve">s share of government school students was relatively stable.  </w:t>
      </w:r>
      <w:r>
        <w:t xml:space="preserve">The reverse </w:t>
      </w:r>
      <w:r w:rsidR="00D128DD">
        <w:t xml:space="preserve">was </w:t>
      </w:r>
      <w:r>
        <w:t>true from 201</w:t>
      </w:r>
      <w:r w:rsidR="00F04817">
        <w:t>3</w:t>
      </w:r>
      <w:r>
        <w:t xml:space="preserve"> </w:t>
      </w:r>
      <w:r w:rsidR="00F04817">
        <w:t>to 2015</w:t>
      </w:r>
      <w:r>
        <w:t xml:space="preserve">. </w:t>
      </w:r>
    </w:p>
    <w:p w:rsidR="001540D4" w:rsidRDefault="001540D4" w:rsidP="001540D4">
      <w:pPr>
        <w:pStyle w:val="CGCNumberedPara"/>
        <w:keepNext/>
        <w:numPr>
          <w:ilvl w:val="0"/>
          <w:numId w:val="0"/>
        </w:numPr>
      </w:pPr>
      <w:bookmarkStart w:id="78" w:name="_Ref508114935"/>
      <w:r w:rsidRPr="00842871">
        <w:rPr>
          <w:rStyle w:val="CGCTableHeadingChar"/>
        </w:rPr>
        <w:lastRenderedPageBreak/>
        <w:t xml:space="preserve">Figure </w:t>
      </w:r>
      <w:r w:rsidRPr="00842871">
        <w:rPr>
          <w:rStyle w:val="CGCTableHeadingChar"/>
        </w:rPr>
        <w:fldChar w:fldCharType="begin"/>
      </w:r>
      <w:r w:rsidRPr="00842871">
        <w:rPr>
          <w:rStyle w:val="CGCTableHeadingChar"/>
        </w:rPr>
        <w:instrText xml:space="preserve"> SEQ Figure \* ARABIC </w:instrText>
      </w:r>
      <w:r w:rsidRPr="00842871">
        <w:rPr>
          <w:rStyle w:val="CGCTableHeadingChar"/>
        </w:rPr>
        <w:fldChar w:fldCharType="separate"/>
      </w:r>
      <w:r w:rsidR="00402501">
        <w:rPr>
          <w:rStyle w:val="CGCTableHeadingChar"/>
          <w:noProof/>
        </w:rPr>
        <w:t>4</w:t>
      </w:r>
      <w:r w:rsidRPr="00842871">
        <w:rPr>
          <w:rStyle w:val="CGCTableHeadingChar"/>
        </w:rPr>
        <w:fldChar w:fldCharType="end"/>
      </w:r>
      <w:bookmarkEnd w:id="78"/>
      <w:r w:rsidRPr="00842871">
        <w:rPr>
          <w:rStyle w:val="CGCTableHeadingChar"/>
        </w:rPr>
        <w:tab/>
        <w:t>Growth in population and government school students, Western Australia</w:t>
      </w:r>
      <w:r>
        <w:t xml:space="preserve"> </w:t>
      </w:r>
    </w:p>
    <w:p w:rsidR="001540D4" w:rsidRDefault="001540D4" w:rsidP="001540D4">
      <w:pPr>
        <w:pStyle w:val="CGCTableHeading"/>
        <w:ind w:left="0" w:firstLine="0"/>
      </w:pPr>
      <w:r w:rsidRPr="005259D3">
        <w:rPr>
          <w:noProof/>
          <w:lang w:eastAsia="en-AU"/>
        </w:rPr>
        <w:drawing>
          <wp:inline distT="0" distB="0" distL="0" distR="0" wp14:anchorId="3D3DC853" wp14:editId="063AE8E4">
            <wp:extent cx="5652770" cy="3562350"/>
            <wp:effectExtent l="0" t="0" r="5080" b="0"/>
            <wp:docPr id="5" name="Picture 5" descr="From 2002 to 2016, a line graph shows Western Australia's share of population and government school students. Values range from around 10% to around 11% of the national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2770" cy="3562350"/>
                    </a:xfrm>
                    <a:prstGeom prst="rect">
                      <a:avLst/>
                    </a:prstGeom>
                    <a:noFill/>
                    <a:ln>
                      <a:noFill/>
                    </a:ln>
                  </pic:spPr>
                </pic:pic>
              </a:graphicData>
            </a:graphic>
          </wp:inline>
        </w:drawing>
      </w:r>
    </w:p>
    <w:p w:rsidR="001540D4" w:rsidRPr="00AF7EFD" w:rsidRDefault="001540D4" w:rsidP="001540D4">
      <w:pPr>
        <w:pStyle w:val="CGCTableFootnote"/>
      </w:pPr>
      <w:proofErr w:type="gramStart"/>
      <w:r>
        <w:t xml:space="preserve">Source: </w:t>
      </w:r>
      <w:r>
        <w:tab/>
        <w:t>Commission calculation using ABS and Australian Curriculum, Assessment and Reporting Authority (ACARA) data.</w:t>
      </w:r>
      <w:proofErr w:type="gramEnd"/>
    </w:p>
    <w:p w:rsidR="00A325E5" w:rsidRDefault="00A325E5" w:rsidP="00A325E5">
      <w:pPr>
        <w:pStyle w:val="CGCNumberedPara"/>
      </w:pPr>
      <w:proofErr w:type="gramStart"/>
      <w:r w:rsidRPr="0044630E">
        <w:rPr>
          <w:rStyle w:val="Heading5Char"/>
        </w:rPr>
        <w:t>Rural roads.</w:t>
      </w:r>
      <w:proofErr w:type="gramEnd"/>
      <w:r>
        <w:t xml:space="preserve"> The current approach to rural road investment allows for dilution of the rural road stock. A State with fast population growth requires more investment per capita to retain its stock per capita. The current approach also incorporates a change in disabilities element, where fast growing States have a falling need for rural roads per capita, and therefore need less GST. These two elements were designed to offset, </w:t>
      </w:r>
      <w:r w:rsidR="00172948">
        <w:t xml:space="preserve">as discussed in the section on </w:t>
      </w:r>
      <w:r w:rsidR="00AA5C20">
        <w:t>a</w:t>
      </w:r>
      <w:r w:rsidR="00172948">
        <w:t>veraging disabilities</w:t>
      </w:r>
      <w:r w:rsidR="00D128DD">
        <w:t xml:space="preserve"> (from paragraph </w:t>
      </w:r>
      <w:r w:rsidR="00D128DD">
        <w:fldChar w:fldCharType="begin"/>
      </w:r>
      <w:r w:rsidR="00D128DD">
        <w:instrText xml:space="preserve"> REF _Ref508279745 \r \h </w:instrText>
      </w:r>
      <w:r w:rsidR="00D128DD">
        <w:fldChar w:fldCharType="separate"/>
      </w:r>
      <w:r w:rsidR="00402501">
        <w:t>39</w:t>
      </w:r>
      <w:r w:rsidR="00D128DD">
        <w:fldChar w:fldCharType="end"/>
      </w:r>
      <w:r w:rsidR="00D128DD">
        <w:t>)</w:t>
      </w:r>
      <w:r w:rsidR="00172948">
        <w:t xml:space="preserve">, </w:t>
      </w:r>
      <w:r>
        <w:t xml:space="preserve">but due to </w:t>
      </w:r>
      <w:r w:rsidR="00172948">
        <w:t>the three year averaging approach</w:t>
      </w:r>
      <w:r>
        <w:t xml:space="preserve"> they do not. </w:t>
      </w:r>
      <w:r w:rsidR="00AA5C20">
        <w:t>W</w:t>
      </w:r>
      <w:r>
        <w:t xml:space="preserve">hile </w:t>
      </w:r>
      <w:proofErr w:type="gramStart"/>
      <w:r>
        <w:t>government school enrolments is</w:t>
      </w:r>
      <w:proofErr w:type="gramEnd"/>
      <w:r>
        <w:t xml:space="preserve"> the driver of school investment need, there is no driver of changing rural road investment need. Any investment in rural roads </w:t>
      </w:r>
      <w:proofErr w:type="gramStart"/>
      <w:r>
        <w:t>would be allocated</w:t>
      </w:r>
      <w:proofErr w:type="gramEnd"/>
      <w:r>
        <w:t xml:space="preserve"> between States according to their share of rural roads, not their share of change in any other indicator.</w:t>
      </w:r>
    </w:p>
    <w:p w:rsidR="000C3738" w:rsidRPr="00172948" w:rsidRDefault="000C3738" w:rsidP="00C343CE">
      <w:pPr>
        <w:pStyle w:val="CGCNumberedPara"/>
        <w:rPr>
          <w:rStyle w:val="Heading5Char"/>
          <w:rFonts w:eastAsiaTheme="minorHAnsi" w:cstheme="minorBidi"/>
          <w:b w:val="0"/>
          <w:i w:val="0"/>
          <w:color w:val="auto"/>
          <w:sz w:val="24"/>
        </w:rPr>
      </w:pPr>
      <w:r w:rsidRPr="00172948">
        <w:rPr>
          <w:rStyle w:val="Heading5Char"/>
          <w:rFonts w:eastAsiaTheme="minorHAnsi" w:cstheme="minorBidi"/>
          <w:b w:val="0"/>
          <w:i w:val="0"/>
          <w:color w:val="auto"/>
          <w:sz w:val="24"/>
        </w:rPr>
        <w:t xml:space="preserve">Changing to a category specific measure of growth makes the analysis and interpretation more appropriate. For example, as discussed from paragraph </w:t>
      </w:r>
      <w:r w:rsidR="00D22B36" w:rsidRPr="00172948">
        <w:rPr>
          <w:rStyle w:val="Heading5Char"/>
          <w:rFonts w:eastAsiaTheme="minorHAnsi" w:cstheme="minorBidi"/>
          <w:b w:val="0"/>
          <w:i w:val="0"/>
          <w:color w:val="auto"/>
          <w:sz w:val="24"/>
        </w:rPr>
        <w:fldChar w:fldCharType="begin"/>
      </w:r>
      <w:r w:rsidR="00D22B36" w:rsidRPr="00172948">
        <w:rPr>
          <w:rStyle w:val="Heading5Char"/>
          <w:rFonts w:eastAsiaTheme="minorHAnsi" w:cstheme="minorBidi"/>
          <w:b w:val="0"/>
          <w:i w:val="0"/>
          <w:color w:val="auto"/>
          <w:sz w:val="24"/>
        </w:rPr>
        <w:instrText xml:space="preserve"> REF _Ref508279745 \r \h </w:instrText>
      </w:r>
      <w:r w:rsidR="00172948">
        <w:rPr>
          <w:rStyle w:val="Heading5Char"/>
          <w:rFonts w:eastAsiaTheme="minorHAnsi" w:cstheme="minorBidi"/>
          <w:b w:val="0"/>
          <w:i w:val="0"/>
          <w:color w:val="auto"/>
          <w:sz w:val="24"/>
        </w:rPr>
        <w:instrText xml:space="preserve"> \* MERGEFORMAT </w:instrText>
      </w:r>
      <w:r w:rsidR="00D22B36" w:rsidRPr="00172948">
        <w:rPr>
          <w:rStyle w:val="Heading5Char"/>
          <w:rFonts w:eastAsiaTheme="minorHAnsi" w:cstheme="minorBidi"/>
          <w:b w:val="0"/>
          <w:i w:val="0"/>
          <w:color w:val="auto"/>
          <w:sz w:val="24"/>
        </w:rPr>
      </w:r>
      <w:r w:rsidR="00D22B36" w:rsidRPr="00172948">
        <w:rPr>
          <w:rStyle w:val="Heading5Char"/>
          <w:rFonts w:eastAsiaTheme="minorHAnsi" w:cstheme="minorBidi"/>
          <w:b w:val="0"/>
          <w:i w:val="0"/>
          <w:color w:val="auto"/>
          <w:sz w:val="24"/>
        </w:rPr>
        <w:fldChar w:fldCharType="separate"/>
      </w:r>
      <w:r w:rsidR="00402501">
        <w:rPr>
          <w:rStyle w:val="Heading5Char"/>
          <w:rFonts w:eastAsiaTheme="minorHAnsi" w:cstheme="minorBidi"/>
          <w:b w:val="0"/>
          <w:i w:val="0"/>
          <w:color w:val="auto"/>
          <w:sz w:val="24"/>
        </w:rPr>
        <w:t>39</w:t>
      </w:r>
      <w:r w:rsidR="00D22B36" w:rsidRPr="00172948">
        <w:rPr>
          <w:rStyle w:val="Heading5Char"/>
          <w:rFonts w:eastAsiaTheme="minorHAnsi" w:cstheme="minorBidi"/>
          <w:b w:val="0"/>
          <w:i w:val="0"/>
          <w:color w:val="auto"/>
          <w:sz w:val="24"/>
        </w:rPr>
        <w:fldChar w:fldCharType="end"/>
      </w:r>
      <w:r w:rsidRPr="00172948">
        <w:rPr>
          <w:rStyle w:val="Heading5Char"/>
          <w:rFonts w:eastAsiaTheme="minorHAnsi" w:cstheme="minorBidi"/>
          <w:b w:val="0"/>
          <w:i w:val="0"/>
          <w:color w:val="auto"/>
          <w:sz w:val="24"/>
        </w:rPr>
        <w:t xml:space="preserve">, if we remove </w:t>
      </w:r>
      <w:r w:rsidR="0023116E">
        <w:rPr>
          <w:rStyle w:val="Heading5Char"/>
          <w:rFonts w:eastAsiaTheme="minorHAnsi" w:cstheme="minorBidi"/>
          <w:b w:val="0"/>
          <w:i w:val="0"/>
          <w:color w:val="auto"/>
          <w:sz w:val="24"/>
        </w:rPr>
        <w:t>three</w:t>
      </w:r>
      <w:r w:rsidRPr="00172948">
        <w:rPr>
          <w:rStyle w:val="Heading5Char"/>
          <w:rFonts w:eastAsiaTheme="minorHAnsi" w:cstheme="minorBidi"/>
          <w:b w:val="0"/>
          <w:i w:val="0"/>
          <w:color w:val="auto"/>
          <w:sz w:val="24"/>
        </w:rPr>
        <w:t xml:space="preserve"> year averaging, the rural roads assessment would redistribute GST towards fast growing States, and this would be perfectly offset by </w:t>
      </w:r>
      <w:proofErr w:type="gramStart"/>
      <w:r w:rsidRPr="00172948">
        <w:rPr>
          <w:rStyle w:val="Heading5Char"/>
          <w:rFonts w:eastAsiaTheme="minorHAnsi" w:cstheme="minorBidi"/>
          <w:b w:val="0"/>
          <w:i w:val="0"/>
          <w:color w:val="auto"/>
          <w:sz w:val="24"/>
        </w:rPr>
        <w:t>a redistribution</w:t>
      </w:r>
      <w:proofErr w:type="gramEnd"/>
      <w:r w:rsidRPr="00172948">
        <w:rPr>
          <w:rStyle w:val="Heading5Char"/>
          <w:rFonts w:eastAsiaTheme="minorHAnsi" w:cstheme="minorBidi"/>
          <w:b w:val="0"/>
          <w:i w:val="0"/>
          <w:color w:val="auto"/>
          <w:sz w:val="24"/>
        </w:rPr>
        <w:t xml:space="preserve"> away from States with falling rural road length per capita. While the GST distribution </w:t>
      </w:r>
      <w:proofErr w:type="gramStart"/>
      <w:r w:rsidRPr="00172948">
        <w:rPr>
          <w:rStyle w:val="Heading5Char"/>
          <w:rFonts w:eastAsiaTheme="minorHAnsi" w:cstheme="minorBidi"/>
          <w:b w:val="0"/>
          <w:i w:val="0"/>
          <w:color w:val="auto"/>
          <w:sz w:val="24"/>
        </w:rPr>
        <w:t>is not changed</w:t>
      </w:r>
      <w:proofErr w:type="gramEnd"/>
      <w:r w:rsidRPr="00172948">
        <w:rPr>
          <w:rStyle w:val="Heading5Char"/>
          <w:rFonts w:eastAsiaTheme="minorHAnsi" w:cstheme="minorBidi"/>
          <w:b w:val="0"/>
          <w:i w:val="0"/>
          <w:color w:val="auto"/>
          <w:sz w:val="24"/>
        </w:rPr>
        <w:t xml:space="preserve"> by this, the explanation of the effect of population growth is potentially misleading. </w:t>
      </w:r>
    </w:p>
    <w:p w:rsidR="000C3738" w:rsidRPr="00AA77FD" w:rsidRDefault="003A6F6F" w:rsidP="00C343CE">
      <w:pPr>
        <w:pStyle w:val="CGCNumberedPara"/>
        <w:rPr>
          <w:rStyle w:val="Heading5Char"/>
          <w:rFonts w:eastAsiaTheme="minorHAnsi" w:cstheme="minorBidi"/>
          <w:b w:val="0"/>
          <w:i w:val="0"/>
          <w:color w:val="auto"/>
          <w:sz w:val="24"/>
        </w:rPr>
      </w:pPr>
      <w:r>
        <w:rPr>
          <w:rStyle w:val="Heading5Char"/>
          <w:rFonts w:eastAsiaTheme="minorHAnsi" w:cstheme="minorBidi"/>
          <w:b w:val="0"/>
          <w:i w:val="0"/>
          <w:color w:val="auto"/>
          <w:sz w:val="24"/>
        </w:rPr>
        <w:lastRenderedPageBreak/>
        <w:t>A</w:t>
      </w:r>
      <w:r w:rsidR="000C3738" w:rsidRPr="00172948">
        <w:rPr>
          <w:rStyle w:val="Heading5Char"/>
          <w:rFonts w:eastAsiaTheme="minorHAnsi" w:cstheme="minorBidi"/>
          <w:b w:val="0"/>
          <w:i w:val="0"/>
          <w:color w:val="auto"/>
          <w:sz w:val="24"/>
        </w:rPr>
        <w:t xml:space="preserve">s </w:t>
      </w:r>
      <w:r w:rsidR="000C3738" w:rsidRPr="00AA77FD">
        <w:rPr>
          <w:rStyle w:val="Heading5Char"/>
          <w:rFonts w:eastAsiaTheme="minorHAnsi" w:cstheme="minorBidi"/>
          <w:b w:val="0"/>
          <w:i w:val="0"/>
          <w:color w:val="auto"/>
          <w:sz w:val="24"/>
        </w:rPr>
        <w:t xml:space="preserve">discussed </w:t>
      </w:r>
      <w:r w:rsidRPr="00AA77FD">
        <w:rPr>
          <w:rStyle w:val="Heading5Char"/>
          <w:rFonts w:eastAsiaTheme="minorHAnsi" w:cstheme="minorBidi"/>
          <w:b w:val="0"/>
          <w:i w:val="0"/>
          <w:color w:val="auto"/>
          <w:sz w:val="24"/>
        </w:rPr>
        <w:t>at</w:t>
      </w:r>
      <w:r w:rsidR="000C3738" w:rsidRPr="00AA77FD">
        <w:rPr>
          <w:rStyle w:val="Heading5Char"/>
          <w:rFonts w:eastAsiaTheme="minorHAnsi" w:cstheme="minorBidi"/>
          <w:b w:val="0"/>
          <w:i w:val="0"/>
          <w:color w:val="auto"/>
          <w:sz w:val="24"/>
        </w:rPr>
        <w:t xml:space="preserve"> paragraph </w:t>
      </w:r>
      <w:r w:rsidR="000C3738" w:rsidRPr="00AA77FD">
        <w:rPr>
          <w:rStyle w:val="Heading5Char"/>
          <w:rFonts w:eastAsiaTheme="minorHAnsi" w:cstheme="minorBidi"/>
          <w:b w:val="0"/>
          <w:i w:val="0"/>
          <w:color w:val="auto"/>
          <w:sz w:val="24"/>
        </w:rPr>
        <w:fldChar w:fldCharType="begin"/>
      </w:r>
      <w:r w:rsidR="000C3738" w:rsidRPr="00AA77FD">
        <w:rPr>
          <w:rStyle w:val="Heading5Char"/>
          <w:rFonts w:eastAsiaTheme="minorHAnsi" w:cstheme="minorBidi"/>
          <w:b w:val="0"/>
          <w:i w:val="0"/>
          <w:color w:val="auto"/>
          <w:sz w:val="24"/>
        </w:rPr>
        <w:instrText xml:space="preserve"> REF _Ref507056345 \r \h </w:instrText>
      </w:r>
      <w:r w:rsidR="00862D9A" w:rsidRPr="00AA77FD">
        <w:rPr>
          <w:rStyle w:val="Heading5Char"/>
          <w:rFonts w:eastAsiaTheme="minorHAnsi" w:cstheme="minorBidi"/>
          <w:b w:val="0"/>
          <w:i w:val="0"/>
          <w:color w:val="auto"/>
          <w:sz w:val="24"/>
        </w:rPr>
        <w:instrText xml:space="preserve"> \* MERGEFORMAT </w:instrText>
      </w:r>
      <w:r w:rsidR="000C3738" w:rsidRPr="00AA77FD">
        <w:rPr>
          <w:rStyle w:val="Heading5Char"/>
          <w:rFonts w:eastAsiaTheme="minorHAnsi" w:cstheme="minorBidi"/>
          <w:b w:val="0"/>
          <w:i w:val="0"/>
          <w:color w:val="auto"/>
          <w:sz w:val="24"/>
        </w:rPr>
      </w:r>
      <w:r w:rsidR="000C3738" w:rsidRPr="00AA77FD">
        <w:rPr>
          <w:rStyle w:val="Heading5Char"/>
          <w:rFonts w:eastAsiaTheme="minorHAnsi" w:cstheme="minorBidi"/>
          <w:b w:val="0"/>
          <w:i w:val="0"/>
          <w:color w:val="auto"/>
          <w:sz w:val="24"/>
        </w:rPr>
        <w:fldChar w:fldCharType="separate"/>
      </w:r>
      <w:r w:rsidR="00402501">
        <w:rPr>
          <w:rStyle w:val="Heading5Char"/>
          <w:rFonts w:eastAsiaTheme="minorHAnsi" w:cstheme="minorBidi"/>
          <w:b w:val="0"/>
          <w:i w:val="0"/>
          <w:color w:val="auto"/>
          <w:sz w:val="24"/>
        </w:rPr>
        <w:t>44</w:t>
      </w:r>
      <w:r w:rsidR="000C3738" w:rsidRPr="00AA77FD">
        <w:rPr>
          <w:rStyle w:val="Heading5Char"/>
          <w:rFonts w:eastAsiaTheme="minorHAnsi" w:cstheme="minorBidi"/>
          <w:b w:val="0"/>
          <w:i w:val="0"/>
          <w:color w:val="auto"/>
          <w:sz w:val="24"/>
        </w:rPr>
        <w:fldChar w:fldCharType="end"/>
      </w:r>
      <w:r w:rsidRPr="00AA77FD">
        <w:rPr>
          <w:rStyle w:val="Heading5Char"/>
          <w:rFonts w:eastAsiaTheme="minorHAnsi" w:cstheme="minorBidi"/>
          <w:b w:val="0"/>
          <w:i w:val="0"/>
          <w:color w:val="auto"/>
          <w:sz w:val="24"/>
        </w:rPr>
        <w:t xml:space="preserve"> and following</w:t>
      </w:r>
      <w:r w:rsidR="000C3738" w:rsidRPr="00AA77FD">
        <w:rPr>
          <w:rStyle w:val="Heading5Char"/>
          <w:rFonts w:eastAsiaTheme="minorHAnsi" w:cstheme="minorBidi"/>
          <w:b w:val="0"/>
          <w:i w:val="0"/>
          <w:color w:val="auto"/>
          <w:sz w:val="24"/>
        </w:rPr>
        <w:t xml:space="preserve">, </w:t>
      </w:r>
      <w:r w:rsidRPr="00AA77FD">
        <w:rPr>
          <w:rStyle w:val="Heading5Char"/>
          <w:rFonts w:eastAsiaTheme="minorHAnsi" w:cstheme="minorBidi"/>
          <w:b w:val="0"/>
          <w:i w:val="0"/>
          <w:color w:val="auto"/>
          <w:sz w:val="24"/>
        </w:rPr>
        <w:t xml:space="preserve">there are </w:t>
      </w:r>
      <w:r w:rsidR="000C3738" w:rsidRPr="00AA77FD">
        <w:rPr>
          <w:rStyle w:val="Heading5Char"/>
          <w:rFonts w:eastAsiaTheme="minorHAnsi" w:cstheme="minorBidi"/>
          <w:b w:val="0"/>
          <w:i w:val="0"/>
          <w:color w:val="auto"/>
          <w:sz w:val="24"/>
        </w:rPr>
        <w:t xml:space="preserve">disabilities </w:t>
      </w:r>
      <w:r w:rsidR="00862D9A" w:rsidRPr="00AA77FD">
        <w:rPr>
          <w:rStyle w:val="Heading5Char"/>
          <w:rFonts w:eastAsiaTheme="minorHAnsi" w:cstheme="minorBidi"/>
          <w:b w:val="0"/>
          <w:i w:val="0"/>
          <w:color w:val="auto"/>
          <w:sz w:val="24"/>
        </w:rPr>
        <w:t>where the Commission has confidence in the approximate level, but not in annual change in the disability</w:t>
      </w:r>
      <w:r w:rsidRPr="00AA77FD">
        <w:rPr>
          <w:rStyle w:val="Heading5Char"/>
          <w:rFonts w:eastAsiaTheme="minorHAnsi" w:cstheme="minorBidi"/>
          <w:b w:val="0"/>
          <w:i w:val="0"/>
          <w:color w:val="auto"/>
          <w:sz w:val="24"/>
        </w:rPr>
        <w:t xml:space="preserve">. Changing to a category specific measure of growth means that </w:t>
      </w:r>
      <w:r w:rsidR="001B20BA" w:rsidRPr="00AA77FD">
        <w:rPr>
          <w:rStyle w:val="Heading5Char"/>
          <w:rFonts w:eastAsiaTheme="minorHAnsi" w:cstheme="minorBidi"/>
          <w:b w:val="0"/>
          <w:i w:val="0"/>
          <w:color w:val="auto"/>
          <w:sz w:val="24"/>
        </w:rPr>
        <w:t xml:space="preserve">the level of </w:t>
      </w:r>
      <w:r w:rsidRPr="00AA77FD">
        <w:rPr>
          <w:rStyle w:val="Heading5Char"/>
          <w:rFonts w:eastAsiaTheme="minorHAnsi" w:cstheme="minorBidi"/>
          <w:b w:val="0"/>
          <w:i w:val="0"/>
          <w:color w:val="auto"/>
          <w:sz w:val="24"/>
        </w:rPr>
        <w:t xml:space="preserve">these disabilities </w:t>
      </w:r>
      <w:r w:rsidR="00862D9A" w:rsidRPr="00AA77FD">
        <w:rPr>
          <w:rStyle w:val="Heading5Char"/>
          <w:rFonts w:eastAsiaTheme="minorHAnsi" w:cstheme="minorBidi"/>
          <w:b w:val="0"/>
          <w:i w:val="0"/>
          <w:color w:val="auto"/>
          <w:sz w:val="24"/>
        </w:rPr>
        <w:t xml:space="preserve">can have an appropriate effect </w:t>
      </w:r>
      <w:r w:rsidR="001B20BA" w:rsidRPr="00AA77FD">
        <w:rPr>
          <w:rStyle w:val="Heading5Char"/>
          <w:rFonts w:eastAsiaTheme="minorHAnsi" w:cstheme="minorBidi"/>
          <w:b w:val="0"/>
          <w:i w:val="0"/>
          <w:color w:val="auto"/>
          <w:sz w:val="24"/>
        </w:rPr>
        <w:t xml:space="preserve">in assessing State capital needs, but annual change in the disabilities does not. </w:t>
      </w:r>
    </w:p>
    <w:p w:rsidR="00AC63A5" w:rsidRDefault="00172948" w:rsidP="00C343CE">
      <w:pPr>
        <w:pStyle w:val="CGCNumberedPara"/>
      </w:pPr>
      <w:proofErr w:type="gramStart"/>
      <w:r w:rsidRPr="00AA77FD">
        <w:rPr>
          <w:rStyle w:val="Heading5Char"/>
        </w:rPr>
        <w:t>Measure of service user and population growth</w:t>
      </w:r>
      <w:r w:rsidR="000C3738" w:rsidRPr="00AA77FD">
        <w:rPr>
          <w:rStyle w:val="Heading5Char"/>
        </w:rPr>
        <w:t>.</w:t>
      </w:r>
      <w:proofErr w:type="gramEnd"/>
      <w:r w:rsidR="000C3738" w:rsidRPr="00AA77FD">
        <w:rPr>
          <w:rStyle w:val="Heading5Char"/>
        </w:rPr>
        <w:t xml:space="preserve"> </w:t>
      </w:r>
      <w:r w:rsidR="00E033C8" w:rsidRPr="00AA77FD">
        <w:t>Introducing category based growth measures</w:t>
      </w:r>
      <w:r w:rsidR="00E033C8">
        <w:t xml:space="preserve"> </w:t>
      </w:r>
      <w:proofErr w:type="gramStart"/>
      <w:r w:rsidR="00E033C8">
        <w:t>would</w:t>
      </w:r>
      <w:proofErr w:type="gramEnd"/>
      <w:r w:rsidR="00E033C8">
        <w:t xml:space="preserve"> more accurately reflect </w:t>
      </w:r>
      <w:proofErr w:type="gramStart"/>
      <w:r w:rsidR="00E033C8">
        <w:t>service use patterns and therefore additional infrastructure need</w:t>
      </w:r>
      <w:proofErr w:type="gramEnd"/>
      <w:r w:rsidR="00E033C8">
        <w:t xml:space="preserve">. It would also allow for categories whose infrastructure needs </w:t>
      </w:r>
      <w:proofErr w:type="gramStart"/>
      <w:r w:rsidR="00E033C8">
        <w:t>are not related</w:t>
      </w:r>
      <w:proofErr w:type="gramEnd"/>
      <w:r w:rsidR="00E033C8">
        <w:t xml:space="preserve"> to population growth to use a measure that reflects actual need, for example</w:t>
      </w:r>
      <w:r w:rsidR="001702FE">
        <w:t xml:space="preserve"> in</w:t>
      </w:r>
      <w:r w:rsidR="00E033C8">
        <w:t xml:space="preserve"> rural roads.</w:t>
      </w:r>
      <w:r w:rsidR="004C284F">
        <w:t xml:space="preserve"> </w:t>
      </w:r>
    </w:p>
    <w:p w:rsidR="00E033C8" w:rsidRDefault="004C284F" w:rsidP="00C343CE">
      <w:pPr>
        <w:pStyle w:val="CGCNumberedPara"/>
      </w:pPr>
      <w:r>
        <w:t>U</w:t>
      </w:r>
      <w:r w:rsidRPr="006A67C0">
        <w:t>nder</w:t>
      </w:r>
      <w:r>
        <w:t xml:space="preserve"> this </w:t>
      </w:r>
      <w:proofErr w:type="gramStart"/>
      <w:r>
        <w:t>approach</w:t>
      </w:r>
      <w:proofErr w:type="gramEnd"/>
      <w:r>
        <w:t xml:space="preserve"> it would no longer be possible to refer to population growth as the major driver of infrastructure need. </w:t>
      </w:r>
      <w:proofErr w:type="gramStart"/>
      <w:r>
        <w:t>Instead</w:t>
      </w:r>
      <w:proofErr w:type="gramEnd"/>
      <w:r>
        <w:t xml:space="preserve"> it would be necessary to be more specific, for example, referring to growth in service use populations such as government school students and the demographic groups that typically use hospitals.  </w:t>
      </w:r>
    </w:p>
    <w:p w:rsidR="00172948" w:rsidRDefault="00A325E5" w:rsidP="00172948">
      <w:pPr>
        <w:pStyle w:val="CGCNumberedPara"/>
      </w:pPr>
      <w:proofErr w:type="gramStart"/>
      <w:r>
        <w:t>Staff consider</w:t>
      </w:r>
      <w:proofErr w:type="gramEnd"/>
      <w:r>
        <w:t xml:space="preserve"> reliable data and methods are available to derive category specific growth factors in a number of categories. Where data are not available</w:t>
      </w:r>
      <w:r w:rsidR="00AC63A5">
        <w:t xml:space="preserve"> or </w:t>
      </w:r>
      <w:r>
        <w:t>where a method cannot be derived</w:t>
      </w:r>
      <w:r w:rsidR="00AC63A5">
        <w:t>,</w:t>
      </w:r>
      <w:r w:rsidR="00E033C8">
        <w:t xml:space="preserve"> total</w:t>
      </w:r>
      <w:r>
        <w:t xml:space="preserve"> population growth </w:t>
      </w:r>
      <w:r w:rsidR="00AB4B43">
        <w:t>could</w:t>
      </w:r>
      <w:r w:rsidR="00E033C8">
        <w:t xml:space="preserve"> be used</w:t>
      </w:r>
      <w:r>
        <w:t xml:space="preserve">. </w:t>
      </w:r>
      <w:r w:rsidR="001702FE">
        <w:fldChar w:fldCharType="begin"/>
      </w:r>
      <w:r w:rsidR="001702FE">
        <w:instrText xml:space="preserve"> REF _Ref511140692 \h </w:instrText>
      </w:r>
      <w:r w:rsidR="001702FE">
        <w:fldChar w:fldCharType="separate"/>
      </w:r>
      <w:r w:rsidR="00402501">
        <w:t xml:space="preserve">Table </w:t>
      </w:r>
      <w:r w:rsidR="00402501">
        <w:rPr>
          <w:noProof/>
        </w:rPr>
        <w:t>5</w:t>
      </w:r>
      <w:r w:rsidR="001702FE">
        <w:fldChar w:fldCharType="end"/>
      </w:r>
      <w:r w:rsidR="00E033C8">
        <w:t xml:space="preserve"> lists </w:t>
      </w:r>
      <w:r w:rsidR="001B20BA">
        <w:t>a</w:t>
      </w:r>
      <w:r w:rsidR="004C284F">
        <w:t xml:space="preserve"> </w:t>
      </w:r>
      <w:r w:rsidR="00C95F68">
        <w:t>preliminary</w:t>
      </w:r>
      <w:r w:rsidR="00050DAE">
        <w:t xml:space="preserve"> consideration of </w:t>
      </w:r>
      <w:r w:rsidR="00E033C8">
        <w:t xml:space="preserve">potential </w:t>
      </w:r>
      <w:r w:rsidR="00050DAE">
        <w:t xml:space="preserve">growth </w:t>
      </w:r>
      <w:r w:rsidR="00E033C8">
        <w:t xml:space="preserve">indicators for each category. </w:t>
      </w:r>
    </w:p>
    <w:p w:rsidR="00172948" w:rsidRDefault="00172948" w:rsidP="00172948">
      <w:pPr>
        <w:pStyle w:val="CGCNumberedPara"/>
      </w:pPr>
      <w:r w:rsidRPr="00C343CE">
        <w:t xml:space="preserve">For some categories, population will remain the indicator of growth (either total population or </w:t>
      </w:r>
      <w:proofErr w:type="gramStart"/>
      <w:r w:rsidRPr="00C343CE">
        <w:t>use weighted</w:t>
      </w:r>
      <w:proofErr w:type="gramEnd"/>
      <w:r w:rsidRPr="00C343CE">
        <w:t xml:space="preserve"> population). </w:t>
      </w:r>
      <w:r>
        <w:t xml:space="preserve">In the 2018 Update, the Commission </w:t>
      </w:r>
      <w:proofErr w:type="gramStart"/>
      <w:r w:rsidR="001B20BA">
        <w:t>was faced</w:t>
      </w:r>
      <w:proofErr w:type="gramEnd"/>
      <w:r w:rsidR="001B20BA">
        <w:t xml:space="preserve"> with a choice of </w:t>
      </w:r>
      <w:r>
        <w:t xml:space="preserve">whether </w:t>
      </w:r>
      <w:r w:rsidR="001B20BA">
        <w:t xml:space="preserve">or not </w:t>
      </w:r>
      <w:r>
        <w:t xml:space="preserve">to include intercensal difference in its measure of population growth. This highlights that from time to time measures of population growth, while the best available, may </w:t>
      </w:r>
      <w:r w:rsidR="001B20BA">
        <w:t>incorporate measurement errors</w:t>
      </w:r>
      <w:r>
        <w:t xml:space="preserve">. </w:t>
      </w:r>
    </w:p>
    <w:p w:rsidR="00172948" w:rsidRPr="00C343CE" w:rsidRDefault="00172948" w:rsidP="00172948">
      <w:pPr>
        <w:pStyle w:val="CGCNumberedPara"/>
      </w:pPr>
      <w:r w:rsidRPr="00C343CE">
        <w:t xml:space="preserve">Following the 2021 Census, the ABS measure of population </w:t>
      </w:r>
      <w:r w:rsidR="0023116E">
        <w:t>growth</w:t>
      </w:r>
      <w:r w:rsidRPr="00C343CE">
        <w:t xml:space="preserve"> will </w:t>
      </w:r>
      <w:r>
        <w:t xml:space="preserve">likely </w:t>
      </w:r>
      <w:r w:rsidRPr="00C343CE">
        <w:t xml:space="preserve">incorporate an intercensal difference. </w:t>
      </w:r>
      <w:proofErr w:type="gramStart"/>
      <w:r w:rsidRPr="00C343CE">
        <w:t>Obviously</w:t>
      </w:r>
      <w:proofErr w:type="gramEnd"/>
      <w:r w:rsidRPr="00C343CE">
        <w:t xml:space="preserve"> the size and direction of any intercensal difference for any State cannot be known until after the 2021 Census. </w:t>
      </w:r>
      <w:proofErr w:type="gramStart"/>
      <w:r w:rsidRPr="00C343CE">
        <w:t>Staff propose</w:t>
      </w:r>
      <w:proofErr w:type="gramEnd"/>
      <w:r w:rsidRPr="00C343CE">
        <w:t xml:space="preserve"> to recommend the Commission establish a method of using change in population levels</w:t>
      </w:r>
      <w:r w:rsidR="00917583">
        <w:t>, incorporating</w:t>
      </w:r>
      <w:r w:rsidR="00917583" w:rsidRPr="00C343CE">
        <w:t xml:space="preserve"> any intercensal difference into its measure of population growth</w:t>
      </w:r>
      <w:r w:rsidR="00917583">
        <w:t>,</w:t>
      </w:r>
      <w:r w:rsidRPr="00C343CE">
        <w:t xml:space="preserve"> </w:t>
      </w:r>
      <w:r w:rsidR="004E6039">
        <w:t xml:space="preserve">in all updates using the </w:t>
      </w:r>
      <w:r w:rsidRPr="00C343CE">
        <w:t xml:space="preserve">2020 Review methods. </w:t>
      </w:r>
    </w:p>
    <w:tbl>
      <w:tblPr>
        <w:tblW w:w="9167" w:type="dxa"/>
        <w:tblLayout w:type="fixed"/>
        <w:tblLook w:val="0000" w:firstRow="0" w:lastRow="0" w:firstColumn="0" w:lastColumn="0" w:noHBand="0" w:noVBand="0"/>
      </w:tblPr>
      <w:tblGrid>
        <w:gridCol w:w="9167"/>
      </w:tblGrid>
      <w:tr w:rsidR="0023116E" w:rsidTr="00D057B7">
        <w:tc>
          <w:tcPr>
            <w:tcW w:w="9167" w:type="dxa"/>
            <w:shd w:val="clear" w:color="auto" w:fill="auto"/>
          </w:tcPr>
          <w:p w:rsidR="00D057B7" w:rsidRDefault="00D057B7" w:rsidP="00650DFD">
            <w:pPr>
              <w:pStyle w:val="CGCTableHeading"/>
            </w:pPr>
            <w:bookmarkStart w:id="79" w:name="_Ref511140692"/>
            <w:r>
              <w:lastRenderedPageBreak/>
              <w:t xml:space="preserve">Table </w:t>
            </w:r>
            <w:r w:rsidR="00402501">
              <w:fldChar w:fldCharType="begin"/>
            </w:r>
            <w:r w:rsidR="00402501">
              <w:instrText xml:space="preserve"> SEQ Tab</w:instrText>
            </w:r>
            <w:r w:rsidR="00402501">
              <w:instrText xml:space="preserve">le \* ARABIC </w:instrText>
            </w:r>
            <w:r w:rsidR="00402501">
              <w:fldChar w:fldCharType="separate"/>
            </w:r>
            <w:r w:rsidR="00402501">
              <w:rPr>
                <w:noProof/>
              </w:rPr>
              <w:t>5</w:t>
            </w:r>
            <w:r w:rsidR="00402501">
              <w:rPr>
                <w:noProof/>
              </w:rPr>
              <w:fldChar w:fldCharType="end"/>
            </w:r>
            <w:bookmarkEnd w:id="79"/>
            <w:r>
              <w:tab/>
            </w:r>
            <w:r w:rsidRPr="00EA7CE8">
              <w:t>Potential category growth factors</w:t>
            </w:r>
            <w:r>
              <w:t xml:space="preserve"> </w:t>
            </w:r>
          </w:p>
          <w:tbl>
            <w:tblPr>
              <w:tblW w:w="4989" w:type="pct"/>
              <w:tblLayout w:type="fixed"/>
              <w:tblCellMar>
                <w:left w:w="85" w:type="dxa"/>
                <w:right w:w="85" w:type="dxa"/>
              </w:tblCellMar>
              <w:tblLook w:val="0000" w:firstRow="0" w:lastRow="0" w:firstColumn="0" w:lastColumn="0" w:noHBand="0" w:noVBand="0"/>
            </w:tblPr>
            <w:tblGrid>
              <w:gridCol w:w="2835"/>
              <w:gridCol w:w="3401"/>
              <w:gridCol w:w="2695"/>
            </w:tblGrid>
            <w:tr w:rsidR="00D057B7" w:rsidRPr="004537EA" w:rsidTr="00D057B7">
              <w:tc>
                <w:tcPr>
                  <w:tcW w:w="1587" w:type="pct"/>
                  <w:tcBorders>
                    <w:top w:val="single" w:sz="6" w:space="0" w:color="auto"/>
                    <w:bottom w:val="single" w:sz="6" w:space="0" w:color="auto"/>
                  </w:tcBorders>
                  <w:vAlign w:val="bottom"/>
                </w:tcPr>
                <w:p w:rsidR="00D057B7" w:rsidRPr="004537EA" w:rsidRDefault="00D057B7" w:rsidP="00D057B7">
                  <w:pPr>
                    <w:pStyle w:val="TableColHeadings"/>
                    <w:jc w:val="left"/>
                    <w:rPr>
                      <w:rFonts w:cstheme="minorHAnsi"/>
                    </w:rPr>
                  </w:pPr>
                  <w:r>
                    <w:rPr>
                      <w:rFonts w:cstheme="minorHAnsi"/>
                    </w:rPr>
                    <w:t>Category</w:t>
                  </w:r>
                </w:p>
              </w:tc>
              <w:tc>
                <w:tcPr>
                  <w:tcW w:w="1904" w:type="pct"/>
                  <w:tcBorders>
                    <w:top w:val="single" w:sz="6" w:space="0" w:color="auto"/>
                    <w:bottom w:val="single" w:sz="6" w:space="0" w:color="auto"/>
                  </w:tcBorders>
                  <w:vAlign w:val="bottom"/>
                </w:tcPr>
                <w:p w:rsidR="00D057B7" w:rsidRPr="004537EA" w:rsidRDefault="00D057B7" w:rsidP="00D057B7">
                  <w:pPr>
                    <w:pStyle w:val="TableColHeadings"/>
                    <w:jc w:val="left"/>
                    <w:rPr>
                      <w:rFonts w:cstheme="minorHAnsi"/>
                    </w:rPr>
                  </w:pPr>
                  <w:r>
                    <w:rPr>
                      <w:rFonts w:cstheme="minorHAnsi"/>
                    </w:rPr>
                    <w:t>Potential indicator</w:t>
                  </w:r>
                </w:p>
              </w:tc>
              <w:tc>
                <w:tcPr>
                  <w:tcW w:w="1509" w:type="pct"/>
                  <w:tcBorders>
                    <w:top w:val="single" w:sz="6" w:space="0" w:color="auto"/>
                    <w:bottom w:val="single" w:sz="6" w:space="0" w:color="auto"/>
                  </w:tcBorders>
                  <w:vAlign w:val="bottom"/>
                </w:tcPr>
                <w:p w:rsidR="00D057B7" w:rsidRPr="004537EA" w:rsidRDefault="00D057B7" w:rsidP="00D057B7">
                  <w:pPr>
                    <w:pStyle w:val="TableColHeadings"/>
                    <w:tabs>
                      <w:tab w:val="clear" w:pos="2880"/>
                      <w:tab w:val="left" w:pos="2893"/>
                    </w:tabs>
                    <w:rPr>
                      <w:rFonts w:cstheme="minorHAnsi"/>
                    </w:rPr>
                  </w:pPr>
                  <w:r w:rsidRPr="00C343CE">
                    <w:rPr>
                      <w:rFonts w:cstheme="minorHAnsi"/>
                    </w:rPr>
                    <w:t>Proportion of stock 2016-17</w:t>
                  </w:r>
                </w:p>
              </w:tc>
            </w:tr>
            <w:tr w:rsidR="00D057B7" w:rsidRPr="004537EA" w:rsidTr="00D057B7">
              <w:tc>
                <w:tcPr>
                  <w:tcW w:w="1587" w:type="pct"/>
                  <w:tcMar>
                    <w:top w:w="0" w:type="dxa"/>
                    <w:bottom w:w="0" w:type="dxa"/>
                  </w:tcMar>
                  <w:vAlign w:val="bottom"/>
                </w:tcPr>
                <w:p w:rsidR="00D057B7" w:rsidRPr="004537EA" w:rsidRDefault="00D057B7" w:rsidP="00650DFD">
                  <w:pPr>
                    <w:pStyle w:val="TableRowUnits"/>
                    <w:rPr>
                      <w:rFonts w:cstheme="minorHAnsi"/>
                    </w:rPr>
                  </w:pPr>
                </w:p>
              </w:tc>
              <w:tc>
                <w:tcPr>
                  <w:tcW w:w="1904" w:type="pct"/>
                  <w:tcMar>
                    <w:top w:w="0" w:type="dxa"/>
                    <w:bottom w:w="0" w:type="dxa"/>
                  </w:tcMar>
                  <w:vAlign w:val="bottom"/>
                </w:tcPr>
                <w:p w:rsidR="00D057B7" w:rsidRPr="004537EA" w:rsidRDefault="00D057B7" w:rsidP="00650DFD">
                  <w:pPr>
                    <w:pStyle w:val="TableRowUnits"/>
                    <w:rPr>
                      <w:rFonts w:cstheme="minorHAnsi"/>
                    </w:rPr>
                  </w:pPr>
                </w:p>
              </w:tc>
              <w:tc>
                <w:tcPr>
                  <w:tcW w:w="1509" w:type="pct"/>
                  <w:tcMar>
                    <w:top w:w="0" w:type="dxa"/>
                    <w:bottom w:w="0" w:type="dxa"/>
                  </w:tcMar>
                  <w:vAlign w:val="bottom"/>
                </w:tcPr>
                <w:p w:rsidR="00D057B7" w:rsidRPr="004537EA" w:rsidRDefault="00D057B7" w:rsidP="00650DFD">
                  <w:pPr>
                    <w:pStyle w:val="TableRowUnits"/>
                    <w:rPr>
                      <w:rFonts w:cstheme="minorHAnsi"/>
                    </w:rPr>
                  </w:pPr>
                  <w:r>
                    <w:rPr>
                      <w:rFonts w:cstheme="minorHAnsi"/>
                    </w:rPr>
                    <w:t>%</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Schools</w:t>
                  </w:r>
                </w:p>
              </w:tc>
              <w:tc>
                <w:tcPr>
                  <w:tcW w:w="1904" w:type="pct"/>
                  <w:vAlign w:val="bottom"/>
                </w:tcPr>
                <w:p w:rsidR="00D057B7" w:rsidRPr="00EA7CE8" w:rsidRDefault="00D057B7" w:rsidP="00650DFD">
                  <w:pPr>
                    <w:pStyle w:val="TableRowNormal"/>
                    <w:jc w:val="left"/>
                    <w:rPr>
                      <w:rFonts w:cstheme="minorHAnsi"/>
                    </w:rPr>
                  </w:pPr>
                  <w:r w:rsidRPr="00EA7CE8">
                    <w:rPr>
                      <w:rFonts w:cstheme="minorHAnsi"/>
                    </w:rPr>
                    <w:t xml:space="preserve">Government school enrolments </w:t>
                  </w:r>
                </w:p>
              </w:tc>
              <w:tc>
                <w:tcPr>
                  <w:tcW w:w="1509" w:type="pct"/>
                </w:tcPr>
                <w:p w:rsidR="00D057B7" w:rsidRPr="00D119D3" w:rsidRDefault="00D057B7" w:rsidP="00650DFD">
                  <w:pPr>
                    <w:pStyle w:val="TableRowNormal"/>
                    <w:rPr>
                      <w:rFonts w:cstheme="minorHAnsi"/>
                    </w:rPr>
                  </w:pPr>
                  <w:r w:rsidRPr="00D119D3">
                    <w:rPr>
                      <w:rFonts w:cstheme="minorHAnsi"/>
                    </w:rPr>
                    <w:t>9.</w:t>
                  </w:r>
                  <w:r>
                    <w:rPr>
                      <w:rFonts w:cstheme="minorHAnsi"/>
                    </w:rPr>
                    <w:t>4</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Post-secondary education</w:t>
                  </w:r>
                </w:p>
              </w:tc>
              <w:tc>
                <w:tcPr>
                  <w:tcW w:w="1904" w:type="pct"/>
                  <w:vAlign w:val="bottom"/>
                </w:tcPr>
                <w:p w:rsidR="00D057B7" w:rsidRPr="00EA7CE8" w:rsidRDefault="00D057B7" w:rsidP="00650DFD">
                  <w:pPr>
                    <w:pStyle w:val="TableRowNormal"/>
                    <w:jc w:val="left"/>
                    <w:rPr>
                      <w:rFonts w:cstheme="minorHAnsi"/>
                    </w:rPr>
                  </w:pPr>
                  <w:proofErr w:type="spellStart"/>
                  <w:r w:rsidRPr="00EA7CE8">
                    <w:rPr>
                      <w:rFonts w:cstheme="minorHAnsi"/>
                    </w:rPr>
                    <w:t>SDC</w:t>
                  </w:r>
                  <w:proofErr w:type="spellEnd"/>
                  <w:r w:rsidRPr="00EA7CE8">
                    <w:rPr>
                      <w:rFonts w:cstheme="minorHAnsi"/>
                    </w:rPr>
                    <w:t xml:space="preserve"> weighted population</w:t>
                  </w:r>
                  <w:r>
                    <w:rPr>
                      <w:rFonts w:cstheme="minorHAnsi"/>
                    </w:rPr>
                    <w:t xml:space="preserve"> (a)</w:t>
                  </w:r>
                </w:p>
              </w:tc>
              <w:tc>
                <w:tcPr>
                  <w:tcW w:w="1509" w:type="pct"/>
                </w:tcPr>
                <w:p w:rsidR="00D057B7" w:rsidRPr="00D119D3" w:rsidRDefault="00D057B7" w:rsidP="00650DFD">
                  <w:pPr>
                    <w:pStyle w:val="TableRowNormal"/>
                    <w:rPr>
                      <w:rFonts w:cstheme="minorHAnsi"/>
                    </w:rPr>
                  </w:pPr>
                  <w:r w:rsidRPr="00D119D3">
                    <w:rPr>
                      <w:rFonts w:cstheme="minorHAnsi"/>
                    </w:rPr>
                    <w:t>1.</w:t>
                  </w:r>
                  <w:r>
                    <w:rPr>
                      <w:rFonts w:cstheme="minorHAnsi"/>
                    </w:rPr>
                    <w:t>4</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Health</w:t>
                  </w:r>
                </w:p>
              </w:tc>
              <w:tc>
                <w:tcPr>
                  <w:tcW w:w="1904" w:type="pct"/>
                  <w:vAlign w:val="bottom"/>
                </w:tcPr>
                <w:p w:rsidR="00D057B7" w:rsidRPr="00EA7CE8" w:rsidRDefault="00D057B7" w:rsidP="00650DFD">
                  <w:pPr>
                    <w:pStyle w:val="TableRowNormal"/>
                    <w:jc w:val="left"/>
                    <w:rPr>
                      <w:rFonts w:cstheme="minorHAnsi"/>
                    </w:rPr>
                  </w:pPr>
                  <w:proofErr w:type="spellStart"/>
                  <w:r w:rsidRPr="00EA7CE8">
                    <w:rPr>
                      <w:rFonts w:cstheme="minorHAnsi"/>
                    </w:rPr>
                    <w:t>SDC</w:t>
                  </w:r>
                  <w:proofErr w:type="spellEnd"/>
                  <w:r w:rsidRPr="00EA7CE8">
                    <w:rPr>
                      <w:rFonts w:cstheme="minorHAnsi"/>
                    </w:rPr>
                    <w:t xml:space="preserve"> weighted population</w:t>
                  </w:r>
                  <w:r>
                    <w:rPr>
                      <w:rFonts w:cstheme="minorHAnsi"/>
                    </w:rPr>
                    <w:t xml:space="preserve"> (a)</w:t>
                  </w:r>
                </w:p>
              </w:tc>
              <w:tc>
                <w:tcPr>
                  <w:tcW w:w="1509" w:type="pct"/>
                </w:tcPr>
                <w:p w:rsidR="00D057B7" w:rsidRPr="00D119D3" w:rsidRDefault="00D057B7" w:rsidP="00650DFD">
                  <w:pPr>
                    <w:pStyle w:val="TableRowNormal"/>
                    <w:rPr>
                      <w:rFonts w:cstheme="minorHAnsi"/>
                    </w:rPr>
                  </w:pPr>
                  <w:r w:rsidRPr="00D119D3">
                    <w:rPr>
                      <w:rFonts w:cstheme="minorHAnsi"/>
                    </w:rPr>
                    <w:t>9.</w:t>
                  </w:r>
                  <w:r>
                    <w:rPr>
                      <w:rFonts w:cstheme="minorHAnsi"/>
                    </w:rPr>
                    <w:t>4</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Housing</w:t>
                  </w:r>
                </w:p>
              </w:tc>
              <w:tc>
                <w:tcPr>
                  <w:tcW w:w="1904" w:type="pct"/>
                  <w:vAlign w:val="bottom"/>
                </w:tcPr>
                <w:p w:rsidR="00D057B7" w:rsidRPr="00EA7CE8" w:rsidRDefault="00D057B7" w:rsidP="00650DFD">
                  <w:pPr>
                    <w:pStyle w:val="TableRowNormal"/>
                    <w:jc w:val="left"/>
                    <w:rPr>
                      <w:rFonts w:cstheme="minorHAnsi"/>
                    </w:rPr>
                  </w:pPr>
                  <w:r w:rsidRPr="00EA7CE8">
                    <w:rPr>
                      <w:rFonts w:cstheme="minorHAnsi"/>
                    </w:rPr>
                    <w:t>Total population</w:t>
                  </w:r>
                </w:p>
              </w:tc>
              <w:tc>
                <w:tcPr>
                  <w:tcW w:w="1509" w:type="pct"/>
                </w:tcPr>
                <w:p w:rsidR="00D057B7" w:rsidRPr="00D119D3" w:rsidRDefault="00D057B7" w:rsidP="00650DFD">
                  <w:pPr>
                    <w:pStyle w:val="TableRowNormal"/>
                    <w:rPr>
                      <w:rFonts w:cstheme="minorHAnsi"/>
                    </w:rPr>
                  </w:pPr>
                  <w:r>
                    <w:rPr>
                      <w:rFonts w:cstheme="minorHAnsi"/>
                    </w:rPr>
                    <w:t>9.8</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Welfare</w:t>
                  </w:r>
                </w:p>
              </w:tc>
              <w:tc>
                <w:tcPr>
                  <w:tcW w:w="1904" w:type="pct"/>
                  <w:vAlign w:val="bottom"/>
                </w:tcPr>
                <w:p w:rsidR="00D057B7" w:rsidRPr="00EA7CE8" w:rsidRDefault="00D057B7" w:rsidP="00650DFD">
                  <w:pPr>
                    <w:pStyle w:val="TableRowNormal"/>
                    <w:jc w:val="left"/>
                    <w:rPr>
                      <w:rFonts w:cstheme="minorHAnsi"/>
                    </w:rPr>
                  </w:pPr>
                  <w:r w:rsidRPr="00EA7CE8">
                    <w:rPr>
                      <w:rFonts w:cstheme="minorHAnsi"/>
                    </w:rPr>
                    <w:t>Total population</w:t>
                  </w:r>
                </w:p>
              </w:tc>
              <w:tc>
                <w:tcPr>
                  <w:tcW w:w="1509" w:type="pct"/>
                </w:tcPr>
                <w:p w:rsidR="00D057B7" w:rsidRPr="00D119D3" w:rsidRDefault="00D057B7" w:rsidP="00650DFD">
                  <w:pPr>
                    <w:pStyle w:val="TableRowNormal"/>
                    <w:rPr>
                      <w:rFonts w:cstheme="minorHAnsi"/>
                    </w:rPr>
                  </w:pPr>
                  <w:r>
                    <w:rPr>
                      <w:rFonts w:cstheme="minorHAnsi"/>
                    </w:rPr>
                    <w:t>0.6</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Services to communities</w:t>
                  </w:r>
                </w:p>
              </w:tc>
              <w:tc>
                <w:tcPr>
                  <w:tcW w:w="1904" w:type="pct"/>
                  <w:vAlign w:val="bottom"/>
                </w:tcPr>
                <w:p w:rsidR="00D057B7" w:rsidRPr="00EA7CE8" w:rsidRDefault="00D057B7" w:rsidP="00650DFD">
                  <w:pPr>
                    <w:pStyle w:val="TableRowNormal"/>
                    <w:jc w:val="left"/>
                    <w:rPr>
                      <w:rFonts w:cstheme="minorHAnsi"/>
                    </w:rPr>
                  </w:pPr>
                  <w:r w:rsidRPr="00EA7CE8">
                    <w:rPr>
                      <w:rFonts w:cstheme="minorHAnsi"/>
                    </w:rPr>
                    <w:t>Total population</w:t>
                  </w:r>
                </w:p>
              </w:tc>
              <w:tc>
                <w:tcPr>
                  <w:tcW w:w="1509" w:type="pct"/>
                </w:tcPr>
                <w:p w:rsidR="00D057B7" w:rsidRPr="00D119D3" w:rsidRDefault="00D057B7" w:rsidP="00650DFD">
                  <w:pPr>
                    <w:pStyle w:val="TableRowNormal"/>
                    <w:rPr>
                      <w:rFonts w:cstheme="minorHAnsi"/>
                    </w:rPr>
                  </w:pPr>
                  <w:r>
                    <w:rPr>
                      <w:rFonts w:cstheme="minorHAnsi"/>
                    </w:rPr>
                    <w:t>0.9</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Justice</w:t>
                  </w:r>
                </w:p>
              </w:tc>
              <w:tc>
                <w:tcPr>
                  <w:tcW w:w="1904" w:type="pct"/>
                  <w:vAlign w:val="bottom"/>
                </w:tcPr>
                <w:p w:rsidR="00D057B7" w:rsidRPr="00EA7CE8" w:rsidRDefault="00D057B7" w:rsidP="00650DFD">
                  <w:pPr>
                    <w:pStyle w:val="TableRowNormal"/>
                    <w:jc w:val="left"/>
                    <w:rPr>
                      <w:rFonts w:cstheme="minorHAnsi"/>
                    </w:rPr>
                  </w:pPr>
                  <w:proofErr w:type="spellStart"/>
                  <w:r w:rsidRPr="00EA7CE8">
                    <w:rPr>
                      <w:rFonts w:cstheme="minorHAnsi"/>
                    </w:rPr>
                    <w:t>SDC</w:t>
                  </w:r>
                  <w:proofErr w:type="spellEnd"/>
                  <w:r w:rsidRPr="00EA7CE8">
                    <w:rPr>
                      <w:rFonts w:cstheme="minorHAnsi"/>
                    </w:rPr>
                    <w:t xml:space="preserve"> weighted population</w:t>
                  </w:r>
                  <w:r>
                    <w:rPr>
                      <w:rFonts w:cstheme="minorHAnsi"/>
                    </w:rPr>
                    <w:t xml:space="preserve"> (a)</w:t>
                  </w:r>
                </w:p>
              </w:tc>
              <w:tc>
                <w:tcPr>
                  <w:tcW w:w="1509" w:type="pct"/>
                </w:tcPr>
                <w:p w:rsidR="00D057B7" w:rsidRPr="00EA7CE8" w:rsidRDefault="00D057B7" w:rsidP="00650DFD">
                  <w:pPr>
                    <w:pStyle w:val="TableRowNormal"/>
                    <w:rPr>
                      <w:rFonts w:cstheme="minorHAnsi"/>
                    </w:rPr>
                  </w:pPr>
                  <w:r>
                    <w:rPr>
                      <w:rFonts w:cstheme="minorHAnsi"/>
                    </w:rPr>
                    <w:t>3.3</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Transport</w:t>
                  </w:r>
                </w:p>
              </w:tc>
              <w:tc>
                <w:tcPr>
                  <w:tcW w:w="1904" w:type="pct"/>
                  <w:vAlign w:val="bottom"/>
                </w:tcPr>
                <w:p w:rsidR="00D057B7" w:rsidRPr="00EA7CE8" w:rsidRDefault="00D057B7" w:rsidP="00650DFD">
                  <w:pPr>
                    <w:pStyle w:val="TableRowNormal"/>
                    <w:jc w:val="left"/>
                    <w:rPr>
                      <w:rFonts w:cstheme="minorHAnsi"/>
                    </w:rPr>
                  </w:pPr>
                </w:p>
              </w:tc>
              <w:tc>
                <w:tcPr>
                  <w:tcW w:w="1509" w:type="pct"/>
                </w:tcPr>
                <w:p w:rsidR="00D057B7" w:rsidRPr="00EA7CE8" w:rsidRDefault="00D057B7" w:rsidP="00650DFD">
                  <w:pPr>
                    <w:pStyle w:val="TableRowNormal"/>
                    <w:rPr>
                      <w:rFonts w:cstheme="minorHAnsi"/>
                    </w:rPr>
                  </w:pP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 xml:space="preserve">   Urban transport</w:t>
                  </w:r>
                </w:p>
              </w:tc>
              <w:tc>
                <w:tcPr>
                  <w:tcW w:w="1904" w:type="pct"/>
                  <w:vAlign w:val="bottom"/>
                </w:tcPr>
                <w:p w:rsidR="00D057B7" w:rsidRPr="00EA7CE8" w:rsidRDefault="00D057B7" w:rsidP="00650DFD">
                  <w:pPr>
                    <w:pStyle w:val="TableRowNormal"/>
                    <w:jc w:val="left"/>
                    <w:rPr>
                      <w:rFonts w:cstheme="minorHAnsi"/>
                    </w:rPr>
                  </w:pPr>
                  <w:r w:rsidRPr="00EA7CE8">
                    <w:rPr>
                      <w:rFonts w:cstheme="minorHAnsi"/>
                    </w:rPr>
                    <w:t>Urban area populations (</w:t>
                  </w:r>
                  <w:r>
                    <w:rPr>
                      <w:rFonts w:cstheme="minorHAnsi"/>
                    </w:rPr>
                    <w:t>1</w:t>
                  </w:r>
                  <w:r w:rsidRPr="00EA7CE8">
                    <w:rPr>
                      <w:rFonts w:cstheme="minorHAnsi"/>
                    </w:rPr>
                    <w:t>0 000 +)</w:t>
                  </w:r>
                </w:p>
              </w:tc>
              <w:tc>
                <w:tcPr>
                  <w:tcW w:w="1509" w:type="pct"/>
                </w:tcPr>
                <w:p w:rsidR="00D057B7" w:rsidRPr="00EA7CE8" w:rsidRDefault="00D057B7" w:rsidP="00650DFD">
                  <w:pPr>
                    <w:pStyle w:val="TableRowNormal"/>
                    <w:rPr>
                      <w:rFonts w:cstheme="minorHAnsi"/>
                    </w:rPr>
                  </w:pPr>
                  <w:r>
                    <w:rPr>
                      <w:rFonts w:cstheme="minorHAnsi"/>
                    </w:rPr>
                    <w:t>17.2</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 xml:space="preserve">   Non-urban transport</w:t>
                  </w:r>
                </w:p>
              </w:tc>
              <w:tc>
                <w:tcPr>
                  <w:tcW w:w="1904" w:type="pct"/>
                  <w:vAlign w:val="bottom"/>
                </w:tcPr>
                <w:p w:rsidR="00D057B7" w:rsidRPr="00EA7CE8" w:rsidRDefault="00D057B7" w:rsidP="00650DFD">
                  <w:pPr>
                    <w:pStyle w:val="TableRowNormal"/>
                    <w:jc w:val="left"/>
                    <w:rPr>
                      <w:rFonts w:cstheme="minorHAnsi"/>
                    </w:rPr>
                  </w:pPr>
                  <w:r w:rsidRPr="00EA7CE8">
                    <w:rPr>
                      <w:rFonts w:cstheme="minorHAnsi"/>
                    </w:rPr>
                    <w:t>Non capital city population</w:t>
                  </w:r>
                </w:p>
              </w:tc>
              <w:tc>
                <w:tcPr>
                  <w:tcW w:w="1509" w:type="pct"/>
                </w:tcPr>
                <w:p w:rsidR="00D057B7" w:rsidRPr="00EA7CE8" w:rsidRDefault="00D057B7" w:rsidP="00650DFD">
                  <w:pPr>
                    <w:pStyle w:val="TableRowNormal"/>
                    <w:rPr>
                      <w:rFonts w:cstheme="minorHAnsi"/>
                    </w:rPr>
                  </w:pPr>
                  <w:r>
                    <w:rPr>
                      <w:rFonts w:cstheme="minorHAnsi"/>
                    </w:rPr>
                    <w:t>0.2</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Roads</w:t>
                  </w:r>
                </w:p>
              </w:tc>
              <w:tc>
                <w:tcPr>
                  <w:tcW w:w="1904" w:type="pct"/>
                  <w:vAlign w:val="bottom"/>
                </w:tcPr>
                <w:p w:rsidR="00D057B7" w:rsidRPr="00EA7CE8" w:rsidRDefault="00D057B7" w:rsidP="00650DFD">
                  <w:pPr>
                    <w:pStyle w:val="TableRowNormal"/>
                    <w:jc w:val="left"/>
                    <w:rPr>
                      <w:rFonts w:cstheme="minorHAnsi"/>
                    </w:rPr>
                  </w:pPr>
                </w:p>
              </w:tc>
              <w:tc>
                <w:tcPr>
                  <w:tcW w:w="1509" w:type="pct"/>
                </w:tcPr>
                <w:p w:rsidR="00D057B7" w:rsidRPr="00EA7CE8" w:rsidRDefault="00D057B7" w:rsidP="00650DFD">
                  <w:pPr>
                    <w:pStyle w:val="TableRowNormal"/>
                    <w:rPr>
                      <w:rFonts w:cstheme="minorHAnsi"/>
                    </w:rPr>
                  </w:pP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 xml:space="preserve">   Rural</w:t>
                  </w:r>
                </w:p>
              </w:tc>
              <w:tc>
                <w:tcPr>
                  <w:tcW w:w="1904" w:type="pct"/>
                  <w:vAlign w:val="bottom"/>
                </w:tcPr>
                <w:p w:rsidR="00D057B7" w:rsidRPr="00EA7CE8" w:rsidRDefault="00D057B7" w:rsidP="00650DFD">
                  <w:pPr>
                    <w:pStyle w:val="TableRowNormal"/>
                    <w:jc w:val="left"/>
                    <w:rPr>
                      <w:rFonts w:cstheme="minorHAnsi"/>
                    </w:rPr>
                  </w:pPr>
                  <w:r w:rsidRPr="00EA7CE8">
                    <w:rPr>
                      <w:rFonts w:cstheme="minorHAnsi"/>
                    </w:rPr>
                    <w:t>None</w:t>
                  </w:r>
                </w:p>
              </w:tc>
              <w:tc>
                <w:tcPr>
                  <w:tcW w:w="1509" w:type="pct"/>
                </w:tcPr>
                <w:p w:rsidR="00D057B7" w:rsidRPr="00EA7CE8" w:rsidRDefault="00D057B7" w:rsidP="00650DFD">
                  <w:pPr>
                    <w:pStyle w:val="TableRowNormal"/>
                    <w:rPr>
                      <w:rFonts w:cstheme="minorHAnsi"/>
                    </w:rPr>
                  </w:pPr>
                  <w:r>
                    <w:rPr>
                      <w:rFonts w:cstheme="minorHAnsi"/>
                    </w:rPr>
                    <w:t>25.9</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 xml:space="preserve">   Urban</w:t>
                  </w:r>
                </w:p>
              </w:tc>
              <w:tc>
                <w:tcPr>
                  <w:tcW w:w="1904" w:type="pct"/>
                  <w:vAlign w:val="bottom"/>
                </w:tcPr>
                <w:p w:rsidR="00D057B7" w:rsidRPr="00EA7CE8" w:rsidRDefault="00D057B7" w:rsidP="00650DFD">
                  <w:pPr>
                    <w:pStyle w:val="TableRowNormal"/>
                    <w:jc w:val="left"/>
                    <w:rPr>
                      <w:rFonts w:cstheme="minorHAnsi"/>
                    </w:rPr>
                  </w:pPr>
                  <w:r w:rsidRPr="00EA7CE8">
                    <w:rPr>
                      <w:rFonts w:cstheme="minorHAnsi"/>
                    </w:rPr>
                    <w:t>Urban area populations (40 000 +)</w:t>
                  </w:r>
                </w:p>
              </w:tc>
              <w:tc>
                <w:tcPr>
                  <w:tcW w:w="1509" w:type="pct"/>
                </w:tcPr>
                <w:p w:rsidR="00D057B7" w:rsidRPr="00EA7CE8" w:rsidRDefault="00D057B7" w:rsidP="00650DFD">
                  <w:pPr>
                    <w:pStyle w:val="TableRowNormal"/>
                    <w:rPr>
                      <w:rFonts w:cstheme="minorHAnsi"/>
                    </w:rPr>
                  </w:pPr>
                  <w:r>
                    <w:rPr>
                      <w:rFonts w:cstheme="minorHAnsi"/>
                    </w:rPr>
                    <w:t>13.1</w:t>
                  </w:r>
                </w:p>
              </w:tc>
            </w:tr>
            <w:tr w:rsidR="00D057B7" w:rsidRPr="004537EA" w:rsidTr="00D057B7">
              <w:tc>
                <w:tcPr>
                  <w:tcW w:w="1587" w:type="pct"/>
                  <w:vAlign w:val="bottom"/>
                </w:tcPr>
                <w:p w:rsidR="00D057B7" w:rsidRPr="00EA7CE8" w:rsidRDefault="00D057B7" w:rsidP="00650DFD">
                  <w:pPr>
                    <w:pStyle w:val="CGCTableStub"/>
                    <w:rPr>
                      <w:rFonts w:cstheme="minorHAnsi"/>
                    </w:rPr>
                  </w:pPr>
                  <w:r w:rsidRPr="00EA7CE8">
                    <w:rPr>
                      <w:rFonts w:cstheme="minorHAnsi"/>
                    </w:rPr>
                    <w:t>Services to industry</w:t>
                  </w:r>
                </w:p>
              </w:tc>
              <w:tc>
                <w:tcPr>
                  <w:tcW w:w="1904" w:type="pct"/>
                  <w:vAlign w:val="bottom"/>
                </w:tcPr>
                <w:p w:rsidR="00D057B7" w:rsidRPr="00EA7CE8" w:rsidRDefault="00D057B7" w:rsidP="00650DFD">
                  <w:pPr>
                    <w:pStyle w:val="TableRowNormal"/>
                    <w:jc w:val="left"/>
                    <w:rPr>
                      <w:rFonts w:cstheme="minorHAnsi"/>
                    </w:rPr>
                  </w:pPr>
                  <w:r w:rsidRPr="00EA7CE8">
                    <w:rPr>
                      <w:rFonts w:cstheme="minorHAnsi"/>
                    </w:rPr>
                    <w:t>Total population</w:t>
                  </w:r>
                </w:p>
              </w:tc>
              <w:tc>
                <w:tcPr>
                  <w:tcW w:w="1509" w:type="pct"/>
                </w:tcPr>
                <w:p w:rsidR="00D057B7" w:rsidRPr="00EA7CE8" w:rsidRDefault="00D057B7" w:rsidP="00650DFD">
                  <w:pPr>
                    <w:pStyle w:val="TableRowNormal"/>
                    <w:rPr>
                      <w:rFonts w:cstheme="minorHAnsi"/>
                    </w:rPr>
                  </w:pPr>
                  <w:r>
                    <w:rPr>
                      <w:rFonts w:cstheme="minorHAnsi"/>
                    </w:rPr>
                    <w:t>0.8</w:t>
                  </w:r>
                </w:p>
              </w:tc>
            </w:tr>
            <w:tr w:rsidR="00D057B7" w:rsidRPr="004537EA" w:rsidTr="00D057B7">
              <w:tc>
                <w:tcPr>
                  <w:tcW w:w="1587" w:type="pct"/>
                  <w:tcBorders>
                    <w:bottom w:val="single" w:sz="6" w:space="0" w:color="auto"/>
                  </w:tcBorders>
                  <w:vAlign w:val="bottom"/>
                </w:tcPr>
                <w:p w:rsidR="00D057B7" w:rsidRPr="00EA7CE8" w:rsidRDefault="00D057B7" w:rsidP="00650DFD">
                  <w:pPr>
                    <w:pStyle w:val="CGCTableStub"/>
                    <w:rPr>
                      <w:rFonts w:cstheme="minorHAnsi"/>
                    </w:rPr>
                  </w:pPr>
                  <w:r w:rsidRPr="00EA7CE8">
                    <w:rPr>
                      <w:rFonts w:cstheme="minorHAnsi"/>
                    </w:rPr>
                    <w:t>Other expenses</w:t>
                  </w:r>
                </w:p>
              </w:tc>
              <w:tc>
                <w:tcPr>
                  <w:tcW w:w="1904" w:type="pct"/>
                  <w:tcBorders>
                    <w:bottom w:val="single" w:sz="6" w:space="0" w:color="auto"/>
                  </w:tcBorders>
                  <w:vAlign w:val="bottom"/>
                </w:tcPr>
                <w:p w:rsidR="00D057B7" w:rsidRPr="00EA7CE8" w:rsidRDefault="00D057B7" w:rsidP="00650DFD">
                  <w:pPr>
                    <w:pStyle w:val="TableRowNormal"/>
                    <w:jc w:val="left"/>
                    <w:rPr>
                      <w:rFonts w:cstheme="minorHAnsi"/>
                    </w:rPr>
                  </w:pPr>
                  <w:r w:rsidRPr="00EA7CE8">
                    <w:rPr>
                      <w:rFonts w:cstheme="minorHAnsi"/>
                    </w:rPr>
                    <w:t>Total population</w:t>
                  </w:r>
                </w:p>
              </w:tc>
              <w:tc>
                <w:tcPr>
                  <w:tcW w:w="1509" w:type="pct"/>
                  <w:tcBorders>
                    <w:bottom w:val="single" w:sz="6" w:space="0" w:color="auto"/>
                  </w:tcBorders>
                </w:tcPr>
                <w:p w:rsidR="00D057B7" w:rsidRPr="00EA7CE8" w:rsidRDefault="00D057B7" w:rsidP="00650DFD">
                  <w:pPr>
                    <w:pStyle w:val="TableRowNormal"/>
                    <w:rPr>
                      <w:rFonts w:cstheme="minorHAnsi"/>
                    </w:rPr>
                  </w:pPr>
                  <w:r>
                    <w:rPr>
                      <w:rFonts w:cstheme="minorHAnsi"/>
                    </w:rPr>
                    <w:t>7.9</w:t>
                  </w:r>
                </w:p>
              </w:tc>
            </w:tr>
          </w:tbl>
          <w:p w:rsidR="00D057B7" w:rsidRPr="00EA7CE8" w:rsidRDefault="00D057B7" w:rsidP="001702FE">
            <w:pPr>
              <w:pStyle w:val="CGCTableFootnote"/>
            </w:pPr>
            <w:r>
              <w:t>(a)</w:t>
            </w:r>
            <w:r>
              <w:tab/>
            </w:r>
            <w:r w:rsidRPr="00BB1D01">
              <w:t xml:space="preserve">Staff </w:t>
            </w:r>
            <w:proofErr w:type="gramStart"/>
            <w:r w:rsidRPr="00BB1D01">
              <w:t>have</w:t>
            </w:r>
            <w:proofErr w:type="gramEnd"/>
            <w:r w:rsidRPr="00BB1D01">
              <w:t xml:space="preserve"> not yet </w:t>
            </w:r>
            <w:r w:rsidR="001702FE">
              <w:t>considered which elements of</w:t>
            </w:r>
            <w:r w:rsidRPr="00BB1D01">
              <w:t xml:space="preserve"> </w:t>
            </w:r>
            <w:proofErr w:type="spellStart"/>
            <w:r w:rsidRPr="00BB1D01">
              <w:t>SDC</w:t>
            </w:r>
            <w:proofErr w:type="spellEnd"/>
            <w:r w:rsidR="001702FE">
              <w:t xml:space="preserve"> </w:t>
            </w:r>
            <w:r w:rsidRPr="00BB1D01">
              <w:t xml:space="preserve">used in the recurrent assessments are appropriate for use in the growth indicator. One option would be to use </w:t>
            </w:r>
            <w:proofErr w:type="gramStart"/>
            <w:r w:rsidRPr="00BB1D01">
              <w:t>age weighted</w:t>
            </w:r>
            <w:proofErr w:type="gramEnd"/>
            <w:r w:rsidRPr="00BB1D01">
              <w:t xml:space="preserve"> population, with weights determined by service use.</w:t>
            </w:r>
          </w:p>
        </w:tc>
      </w:tr>
    </w:tbl>
    <w:p w:rsidR="00A325E5" w:rsidRDefault="00B44614" w:rsidP="0093544F">
      <w:pPr>
        <w:pStyle w:val="Heading4"/>
      </w:pPr>
      <w:bookmarkStart w:id="80" w:name="_Toc508716607"/>
      <w:bookmarkStart w:id="81" w:name="_Toc508716723"/>
      <w:bookmarkStart w:id="82" w:name="_Toc508716877"/>
      <w:bookmarkStart w:id="83" w:name="_Toc511816990"/>
      <w:r>
        <w:t>Conclusions</w:t>
      </w:r>
      <w:bookmarkEnd w:id="80"/>
      <w:bookmarkEnd w:id="81"/>
      <w:bookmarkEnd w:id="82"/>
      <w:bookmarkEnd w:id="83"/>
    </w:p>
    <w:p w:rsidR="00803E41" w:rsidRDefault="00845625" w:rsidP="00933E20">
      <w:pPr>
        <w:pStyle w:val="CGCNumberedPara"/>
      </w:pPr>
      <w:r>
        <w:t xml:space="preserve">In order to address the issues of transparency and to improve equalisation outcomes, </w:t>
      </w:r>
      <w:proofErr w:type="gramStart"/>
      <w:r w:rsidR="001B20BA">
        <w:t>s</w:t>
      </w:r>
      <w:r>
        <w:t xml:space="preserve">taff </w:t>
      </w:r>
      <w:r w:rsidR="00733BB6">
        <w:t>propose</w:t>
      </w:r>
      <w:proofErr w:type="gramEnd"/>
      <w:r w:rsidR="00733BB6">
        <w:t xml:space="preserve"> to recommend the Commission recognise changes in circumstances through the application of category specific growth measure</w:t>
      </w:r>
      <w:r w:rsidR="00E033C8">
        <w:t>s</w:t>
      </w:r>
      <w:r w:rsidR="004C284F">
        <w:t xml:space="preserve">. </w:t>
      </w:r>
      <w:r w:rsidR="004C4692" w:rsidRPr="00252E8F">
        <w:t>As a result</w:t>
      </w:r>
      <w:r w:rsidR="00AF4521">
        <w:t>,</w:t>
      </w:r>
      <w:r w:rsidR="004C4692" w:rsidRPr="00252E8F">
        <w:t xml:space="preserve"> the </w:t>
      </w:r>
      <w:r w:rsidR="00733BB6">
        <w:t xml:space="preserve">assessment will only capture changes in those disabilities staff consider </w:t>
      </w:r>
      <w:proofErr w:type="gramStart"/>
      <w:r w:rsidR="00733BB6">
        <w:t>can be measured</w:t>
      </w:r>
      <w:proofErr w:type="gramEnd"/>
      <w:r w:rsidR="00733BB6">
        <w:t xml:space="preserve"> reliably and not those that cannot. </w:t>
      </w:r>
    </w:p>
    <w:p w:rsidR="00803E41" w:rsidRDefault="00803E41" w:rsidP="00803E41">
      <w:pPr>
        <w:pStyle w:val="CGCNumberedPara"/>
      </w:pPr>
      <w:bookmarkStart w:id="84" w:name="_Ref508193779"/>
      <w:r>
        <w:t xml:space="preserve">For most categories there are likely to be service use </w:t>
      </w:r>
      <w:proofErr w:type="gramStart"/>
      <w:r>
        <w:t>disabilities which</w:t>
      </w:r>
      <w:proofErr w:type="gramEnd"/>
      <w:r>
        <w:t xml:space="preserve"> are considered relevant to </w:t>
      </w:r>
      <w:r w:rsidR="001B20BA">
        <w:t>S</w:t>
      </w:r>
      <w:r>
        <w:t xml:space="preserve">tate infrastructure needs that will not be captured in the growth indicator. In order to recognise these needs, </w:t>
      </w:r>
      <w:proofErr w:type="gramStart"/>
      <w:r w:rsidR="001B20BA">
        <w:t>s</w:t>
      </w:r>
      <w:r>
        <w:t>taff propose</w:t>
      </w:r>
      <w:proofErr w:type="gramEnd"/>
      <w:r>
        <w:t xml:space="preserve"> to apply the latest year</w:t>
      </w:r>
      <w:r w:rsidR="001B20BA">
        <w:t>’</w:t>
      </w:r>
      <w:r>
        <w:t xml:space="preserve">s stock </w:t>
      </w:r>
      <w:r w:rsidR="00417B2F">
        <w:t>disability</w:t>
      </w:r>
      <w:r>
        <w:t xml:space="preserve"> to both opening and closing stocks.</w:t>
      </w:r>
      <w:bookmarkEnd w:id="84"/>
    </w:p>
    <w:p w:rsidR="00933E20" w:rsidRDefault="00803E41" w:rsidP="00933E20">
      <w:pPr>
        <w:pStyle w:val="CGCNumberedPara"/>
      </w:pPr>
      <w:r w:rsidRPr="00252E8F">
        <w:t xml:space="preserve">For example, in schools, </w:t>
      </w:r>
      <w:r>
        <w:t xml:space="preserve">the growth measure would capture changes in school student numbers, </w:t>
      </w:r>
      <w:r w:rsidR="001B20BA">
        <w:t xml:space="preserve">and </w:t>
      </w:r>
      <w:r>
        <w:t xml:space="preserve">the stock disability would capture whether a State’s students needed more or less capital per student than average. We </w:t>
      </w:r>
      <w:r w:rsidR="004C4692" w:rsidRPr="00252E8F">
        <w:t xml:space="preserve">would </w:t>
      </w:r>
      <w:r>
        <w:t xml:space="preserve">no longer </w:t>
      </w:r>
      <w:r w:rsidR="004C4692" w:rsidRPr="00252E8F">
        <w:t xml:space="preserve">redistribute GST for the </w:t>
      </w:r>
      <w:r w:rsidR="004C4692" w:rsidRPr="00803E41">
        <w:rPr>
          <w:b/>
        </w:rPr>
        <w:t>changes</w:t>
      </w:r>
      <w:r w:rsidR="00C95F68">
        <w:rPr>
          <w:b/>
        </w:rPr>
        <w:t xml:space="preserve"> within the year </w:t>
      </w:r>
      <w:r w:rsidR="004C4692" w:rsidRPr="00252E8F">
        <w:t xml:space="preserve">in the socio-demographic attributes of students or </w:t>
      </w:r>
      <w:r w:rsidR="004C4692" w:rsidRPr="00803E41">
        <w:rPr>
          <w:b/>
        </w:rPr>
        <w:t>changes</w:t>
      </w:r>
      <w:r w:rsidR="00C95F68">
        <w:rPr>
          <w:b/>
        </w:rPr>
        <w:t xml:space="preserve"> within the year</w:t>
      </w:r>
      <w:r w:rsidR="004C4692" w:rsidRPr="00252E8F">
        <w:t xml:space="preserve"> in the costs attributed to each student </w:t>
      </w:r>
      <w:r w:rsidR="004C4692" w:rsidRPr="00252E8F">
        <w:lastRenderedPageBreak/>
        <w:t xml:space="preserve">regardless of whether it reflected unreliable data or an actual change in State priorities. </w:t>
      </w:r>
    </w:p>
    <w:p w:rsidR="0069683B" w:rsidRPr="00947ED7" w:rsidRDefault="0069683B" w:rsidP="00C343CE">
      <w:pPr>
        <w:pStyle w:val="CGCNumberedPara"/>
      </w:pPr>
      <w:bookmarkStart w:id="85" w:name="_Ref507056385"/>
      <w:r w:rsidRPr="00947ED7">
        <w:t xml:space="preserve">This change </w:t>
      </w:r>
      <w:r w:rsidR="006B3087">
        <w:t>is</w:t>
      </w:r>
      <w:r w:rsidRPr="00947ED7">
        <w:t xml:space="preserve"> shown algebraically </w:t>
      </w:r>
      <w:r w:rsidR="006B3087">
        <w:t>in the following box</w:t>
      </w:r>
      <w:r w:rsidRPr="00947ED7">
        <w:t>:</w:t>
      </w:r>
    </w:p>
    <w:tbl>
      <w:tblPr>
        <w:tblW w:w="0" w:type="auto"/>
        <w:tblLayout w:type="fixed"/>
        <w:tblLook w:val="0000" w:firstRow="0" w:lastRow="0" w:firstColumn="0" w:lastColumn="0" w:noHBand="0" w:noVBand="0"/>
      </w:tblPr>
      <w:tblGrid>
        <w:gridCol w:w="9090"/>
      </w:tblGrid>
      <w:tr w:rsidR="00261566" w:rsidRPr="00947BB7" w:rsidTr="00D057B7">
        <w:tc>
          <w:tcPr>
            <w:tcW w:w="9090" w:type="dxa"/>
            <w:shd w:val="clear" w:color="auto" w:fill="D9F3E6"/>
          </w:tcPr>
          <w:p w:rsidR="00261566" w:rsidRPr="00D057B7" w:rsidRDefault="00402501" w:rsidP="00022358">
            <w:pPr>
              <w:jc w:val="center"/>
              <w:rPr>
                <w:rFonts w:ascii="Cambria Math" w:eastAsiaTheme="minorEastAsia" w:hAnsi="Cambria Math"/>
                <w:sz w:val="20"/>
                <w:szCs w:val="20"/>
              </w:rPr>
            </w:pPr>
            <m:oMath>
              <m:d>
                <m:dPr>
                  <m:begChr m:val="["/>
                  <m:endChr m:val="]"/>
                  <m:ctrlPr>
                    <w:rPr>
                      <w:rFonts w:ascii="Cambria Math" w:hAnsi="Cambria Math"/>
                      <w:sz w:val="20"/>
                      <w:szCs w:val="20"/>
                    </w:rPr>
                  </m:ctrlPr>
                </m:dPr>
                <m:e>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g</m:t>
                          </m:r>
                        </m:e>
                        <m:sub>
                          <m:r>
                            <m:rPr>
                              <m:sty m:val="p"/>
                            </m:rPr>
                            <w:rPr>
                              <w:rFonts w:ascii="Cambria Math" w:hAnsi="Cambria Math"/>
                              <w:sz w:val="20"/>
                              <w:szCs w:val="20"/>
                            </w:rPr>
                            <m:t>i</m:t>
                          </m:r>
                        </m:sub>
                      </m:sSub>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m:t>
                          </m:r>
                        </m:sub>
                        <m:sup>
                          <m:r>
                            <m:rPr>
                              <m:sty m:val="p"/>
                            </m:rPr>
                            <w:rPr>
                              <w:rFonts w:ascii="Cambria Math" w:hAnsi="Cambria Math"/>
                              <w:sz w:val="20"/>
                              <w:szCs w:val="20"/>
                            </w:rPr>
                            <m:t>g</m:t>
                          </m:r>
                        </m:sup>
                      </m:sSubSup>
                    </m:e>
                  </m:d>
                </m:e>
              </m:d>
            </m:oMath>
            <w:r w:rsidR="00261566" w:rsidRPr="00D057B7">
              <w:rPr>
                <w:rFonts w:ascii="Cambria Math" w:eastAsiaTheme="minorEastAsia" w:hAnsi="Cambria Math"/>
                <w:sz w:val="20"/>
                <w:szCs w:val="20"/>
              </w:rPr>
              <w:t xml:space="preserve"> replaces  </w:t>
            </w:r>
            <m:oMath>
              <m:d>
                <m:dPr>
                  <m:begChr m:val="["/>
                  <m:endChr m:val="]"/>
                  <m:ctrlPr>
                    <w:rPr>
                      <w:rFonts w:ascii="Cambria Math" w:hAnsi="Cambria Math"/>
                      <w:sz w:val="20"/>
                      <w:szCs w:val="20"/>
                    </w:rPr>
                  </m:ctrlPr>
                </m:dPr>
                <m:e>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m:t>
                          </m:r>
                        </m:sub>
                      </m:sSub>
                      <m:sSubSup>
                        <m:sSubSupPr>
                          <m:ctrlPr>
                            <w:rPr>
                              <w:rFonts w:ascii="Cambria Math" w:hAnsi="Cambria Math"/>
                              <w:sz w:val="20"/>
                              <w:szCs w:val="20"/>
                            </w:rPr>
                          </m:ctrlPr>
                        </m:sSubSupPr>
                        <m:e>
                          <m:r>
                            <m:rPr>
                              <m:sty m:val="p"/>
                            </m:rPr>
                            <w:rPr>
                              <w:rFonts w:ascii="Cambria Math" w:hAnsi="Cambria Math"/>
                              <w:sz w:val="20"/>
                              <w:szCs w:val="20"/>
                            </w:rPr>
                            <m:t>δ</m:t>
                          </m:r>
                        </m:e>
                        <m:sub>
                          <m:r>
                            <m:rPr>
                              <m:sty m:val="p"/>
                            </m:rPr>
                            <w:rPr>
                              <w:rFonts w:ascii="Cambria Math" w:hAnsi="Cambria Math"/>
                              <w:sz w:val="20"/>
                              <w:szCs w:val="20"/>
                            </w:rPr>
                            <m:t>i</m:t>
                          </m:r>
                        </m:sub>
                        <m:sup>
                          <m:r>
                            <m:rPr>
                              <m:sty m:val="p"/>
                            </m:rPr>
                            <w:rPr>
                              <w:rFonts w:ascii="Cambria Math" w:hAnsi="Cambria Math"/>
                              <w:sz w:val="20"/>
                              <w:szCs w:val="20"/>
                            </w:rPr>
                            <m:t>u</m:t>
                          </m:r>
                        </m:sup>
                      </m:sSubSup>
                    </m:e>
                  </m:d>
                </m:e>
              </m:d>
            </m:oMath>
          </w:p>
          <w:p w:rsidR="00F5685C" w:rsidRDefault="00261566" w:rsidP="00D057B7">
            <w:pPr>
              <w:rPr>
                <w:rFonts w:ascii="Cambria Math" w:eastAsiaTheme="minorEastAsia" w:hAnsi="Cambria Math"/>
                <w:sz w:val="20"/>
                <w:szCs w:val="20"/>
              </w:rPr>
            </w:pPr>
            <w:r w:rsidRPr="00D057B7">
              <w:rPr>
                <w:rFonts w:ascii="Cambria Math" w:eastAsiaTheme="minorEastAsia" w:hAnsi="Cambria Math"/>
                <w:sz w:val="20"/>
                <w:szCs w:val="20"/>
              </w:rPr>
              <w:t>Where</w:t>
            </w:r>
            <w:r w:rsidR="00F5685C">
              <w:rPr>
                <w:rFonts w:ascii="Cambria Math" w:eastAsiaTheme="minorEastAsia" w:hAnsi="Cambria Math"/>
                <w:sz w:val="20"/>
                <w:szCs w:val="20"/>
              </w:rPr>
              <w:t>:</w:t>
            </w:r>
          </w:p>
          <w:p w:rsidR="00261566" w:rsidRDefault="00F5685C" w:rsidP="00D057B7">
            <w:pPr>
              <w:rPr>
                <w:rFonts w:ascii="Cambria Math" w:eastAsiaTheme="minorEastAsia" w:hAnsi="Cambria Math"/>
                <w:sz w:val="20"/>
                <w:szCs w:val="20"/>
              </w:rPr>
            </w:pPr>
            <w:r>
              <w:rPr>
                <w:rFonts w:ascii="Cambria Math" w:eastAsiaTheme="minorEastAsia" w:hAnsi="Cambria Math"/>
                <w:sz w:val="20"/>
                <w:szCs w:val="20"/>
              </w:rPr>
              <w:t>T</w:t>
            </w:r>
            <w:r w:rsidR="00261566" w:rsidRPr="007B3575">
              <w:rPr>
                <w:rFonts w:ascii="Cambria Math" w:eastAsiaTheme="minorEastAsia" w:hAnsi="Cambria Math"/>
                <w:sz w:val="20"/>
                <w:szCs w:val="20"/>
              </w:rPr>
              <w:t>he groups using the service</w:t>
            </w:r>
            <w:r w:rsidR="0022416F">
              <w:rPr>
                <w:rFonts w:ascii="Cambria Math" w:eastAsiaTheme="minorEastAsia" w:hAnsi="Cambria Math"/>
                <w:sz w:val="20"/>
                <w:szCs w:val="20"/>
              </w:rPr>
              <w:t xml:space="preserve"> (g)</w:t>
            </w:r>
            <w:r w:rsidR="006B3087">
              <w:rPr>
                <w:rFonts w:ascii="Cambria Math" w:eastAsiaTheme="minorEastAsia" w:hAnsi="Cambria Math"/>
                <w:sz w:val="20"/>
                <w:szCs w:val="20"/>
              </w:rPr>
              <w:t xml:space="preserve"> replaces population (p)</w:t>
            </w:r>
          </w:p>
          <w:p w:rsidR="004C55F0" w:rsidRPr="00947BB7" w:rsidRDefault="0022416F" w:rsidP="00D057B7">
            <w:pPr>
              <w:rPr>
                <w:rFonts w:eastAsiaTheme="minorEastAsia"/>
              </w:rPr>
            </w:pPr>
            <w:r w:rsidRPr="00A06383">
              <w:rPr>
                <w:rFonts w:ascii="Cambria Math" w:hAnsi="Cambria Math"/>
                <w:sz w:val="20"/>
                <w:szCs w:val="20"/>
              </w:rPr>
              <w:t xml:space="preserve"> </w:t>
            </w:r>
            <w:proofErr w:type="gramStart"/>
            <w:r w:rsidRPr="00A06383">
              <w:rPr>
                <w:rFonts w:ascii="Cambria Math" w:hAnsi="Cambria Math"/>
                <w:sz w:val="20"/>
                <w:szCs w:val="20"/>
              </w:rPr>
              <w:t>δ</w:t>
            </w:r>
            <w:proofErr w:type="gramEnd"/>
            <w:r>
              <w:rPr>
                <w:rFonts w:ascii="Cambria Math" w:hAnsi="Cambria Math"/>
                <w:sz w:val="20"/>
                <w:szCs w:val="20"/>
                <w:vertAlign w:val="superscript"/>
              </w:rPr>
              <w:t xml:space="preserve"> </w:t>
            </w:r>
            <w:r w:rsidRPr="00A06383">
              <w:rPr>
                <w:rFonts w:ascii="Cambria Math" w:hAnsi="Cambria Math"/>
                <w:sz w:val="20"/>
                <w:szCs w:val="20"/>
              </w:rPr>
              <w:t>are the disabilities affecting the quantity of infrastructure required by State</w:t>
            </w:r>
            <w:r w:rsidR="002B504A">
              <w:rPr>
                <w:rFonts w:ascii="Cambria Math" w:hAnsi="Cambria Math"/>
                <w:sz w:val="20"/>
                <w:szCs w:val="20"/>
              </w:rPr>
              <w:t>s.</w:t>
            </w:r>
          </w:p>
        </w:tc>
      </w:tr>
    </w:tbl>
    <w:p w:rsidR="0069683B" w:rsidRPr="00275F0B" w:rsidRDefault="00275F0B" w:rsidP="00275F0B">
      <w:pPr>
        <w:pStyle w:val="CGCNumberedPara"/>
        <w:rPr>
          <w:rFonts w:eastAsiaTheme="minorEastAsia"/>
        </w:rPr>
      </w:pPr>
      <w:r>
        <w:rPr>
          <w:rFonts w:eastAsiaTheme="minorEastAsia"/>
        </w:rPr>
        <w:t>In the schools example, p</w:t>
      </w:r>
      <w:r w:rsidR="004E6039" w:rsidRPr="00947ED7">
        <w:rPr>
          <w:rFonts w:eastAsiaTheme="minorEastAsia"/>
        </w:rPr>
        <w:t xml:space="preserve">reviously </w:t>
      </w:r>
      <w:r w:rsidR="0069683B" w:rsidRPr="00947ED7">
        <w:rPr>
          <w:rFonts w:eastAsiaTheme="minorEastAsia"/>
        </w:rPr>
        <w:t xml:space="preserve">student to population ratios would have been reflected </w:t>
      </w:r>
      <w:proofErr w:type="gramStart"/>
      <w:r w:rsidR="0069683B" w:rsidRPr="00947ED7">
        <w:rPr>
          <w:rFonts w:eastAsiaTheme="minorEastAsia"/>
        </w:rPr>
        <w:t xml:space="preserve">in </w:t>
      </w:r>
      <w:proofErr w:type="gramEnd"/>
      <m:oMath>
        <m:sSubSup>
          <m:sSubSupPr>
            <m:ctrlPr>
              <w:rPr>
                <w:rFonts w:ascii="Cambria Math" w:hAnsi="Cambria Math"/>
              </w:rPr>
            </m:ctrlPr>
          </m:sSubSupPr>
          <m:e>
            <m:r>
              <m:rPr>
                <m:sty m:val="p"/>
              </m:rPr>
              <w:rPr>
                <w:rFonts w:ascii="Cambria Math" w:hAnsi="Cambria Math"/>
                <w:sz w:val="20"/>
                <w:szCs w:val="20"/>
              </w:rPr>
              <m:t>δ</m:t>
            </m:r>
          </m:e>
          <m:sub>
            <m:r>
              <m:rPr>
                <m:sty m:val="p"/>
              </m:rPr>
              <w:rPr>
                <w:rFonts w:ascii="Cambria Math" w:hAnsi="Cambria Math"/>
                <w:sz w:val="20"/>
                <w:szCs w:val="20"/>
              </w:rPr>
              <m:t>i</m:t>
            </m:r>
          </m:sub>
          <m:sup>
            <m:r>
              <m:rPr>
                <m:sty m:val="p"/>
              </m:rPr>
              <w:rPr>
                <w:rFonts w:ascii="Cambria Math" w:hAnsi="Cambria Math"/>
                <w:sz w:val="20"/>
                <w:szCs w:val="20"/>
              </w:rPr>
              <m:t>u</m:t>
            </m:r>
          </m:sup>
        </m:sSubSup>
      </m:oMath>
      <w:r w:rsidR="004E6039">
        <w:rPr>
          <w:rFonts w:eastAsiaTheme="minorEastAsia"/>
        </w:rPr>
        <w:t>. The new model would have no reference to population</w:t>
      </w:r>
      <w:r w:rsidR="002B504A">
        <w:rPr>
          <w:rFonts w:eastAsiaTheme="minorEastAsia"/>
        </w:rPr>
        <w:t>;</w:t>
      </w:r>
      <w:r w:rsidR="0069683B" w:rsidRPr="00947ED7">
        <w:rPr>
          <w:rFonts w:eastAsiaTheme="minorEastAsia"/>
        </w:rPr>
        <w:t xml:space="preserve"> </w:t>
      </w:r>
      <w:r w:rsidR="00EB4912">
        <w:rPr>
          <w:rFonts w:eastAsiaTheme="minorEastAsia"/>
        </w:rPr>
        <w:t>student numbers</w:t>
      </w:r>
      <w:r w:rsidR="00EB4912" w:rsidRPr="00947ED7">
        <w:rPr>
          <w:rFonts w:eastAsiaTheme="minorEastAsia"/>
        </w:rPr>
        <w:t xml:space="preserve"> </w:t>
      </w:r>
      <w:r w:rsidR="0069683B" w:rsidRPr="00947ED7">
        <w:rPr>
          <w:rFonts w:eastAsiaTheme="minorEastAsia"/>
        </w:rPr>
        <w:t xml:space="preserve">would now be reflected </w:t>
      </w:r>
      <w:proofErr w:type="gramStart"/>
      <w:r w:rsidR="0069683B" w:rsidRPr="00947ED7">
        <w:rPr>
          <w:rFonts w:eastAsiaTheme="minorEastAsia"/>
        </w:rPr>
        <w:t xml:space="preserve">in </w:t>
      </w:r>
      <w:proofErr w:type="gramEnd"/>
      <m:oMath>
        <m:sSub>
          <m:sSubPr>
            <m:ctrlPr>
              <w:rPr>
                <w:rFonts w:ascii="Cambria Math" w:hAnsi="Cambria Math"/>
              </w:rPr>
            </m:ctrlPr>
          </m:sSubPr>
          <m:e>
            <m:r>
              <m:rPr>
                <m:sty m:val="p"/>
              </m:rPr>
              <w:rPr>
                <w:rFonts w:ascii="Cambria Math" w:hAnsi="Cambria Math"/>
                <w:sz w:val="20"/>
                <w:szCs w:val="20"/>
              </w:rPr>
              <m:t>g</m:t>
            </m:r>
          </m:e>
          <m:sub>
            <m:r>
              <m:rPr>
                <m:sty m:val="p"/>
              </m:rPr>
              <w:rPr>
                <w:rFonts w:ascii="Cambria Math" w:hAnsi="Cambria Math"/>
                <w:sz w:val="20"/>
                <w:szCs w:val="20"/>
              </w:rPr>
              <m:t>i</m:t>
            </m:r>
          </m:sub>
        </m:sSub>
      </m:oMath>
      <w:r w:rsidR="004E6039">
        <w:rPr>
          <w:rFonts w:eastAsiaTheme="minorEastAsia"/>
        </w:rPr>
        <w:t xml:space="preserve">, while </w:t>
      </w:r>
      <m:oMath>
        <m:sSubSup>
          <m:sSubSupPr>
            <m:ctrlPr>
              <w:rPr>
                <w:rFonts w:ascii="Cambria Math" w:hAnsi="Cambria Math"/>
              </w:rPr>
            </m:ctrlPr>
          </m:sSubSupPr>
          <m:e>
            <m:r>
              <m:rPr>
                <m:sty m:val="p"/>
              </m:rPr>
              <w:rPr>
                <w:rFonts w:ascii="Cambria Math" w:hAnsi="Cambria Math"/>
                <w:sz w:val="20"/>
                <w:szCs w:val="20"/>
              </w:rPr>
              <m:t>δ</m:t>
            </m:r>
          </m:e>
          <m:sub>
            <m:r>
              <m:rPr>
                <m:sty m:val="p"/>
              </m:rPr>
              <w:rPr>
                <w:rFonts w:ascii="Cambria Math" w:hAnsi="Cambria Math"/>
                <w:sz w:val="20"/>
                <w:szCs w:val="20"/>
              </w:rPr>
              <m:t>i</m:t>
            </m:r>
          </m:sub>
          <m:sup>
            <m:r>
              <m:rPr>
                <m:sty m:val="p"/>
              </m:rPr>
              <w:rPr>
                <w:rFonts w:ascii="Cambria Math" w:hAnsi="Cambria Math"/>
                <w:sz w:val="20"/>
                <w:szCs w:val="20"/>
              </w:rPr>
              <m:t>g</m:t>
            </m:r>
          </m:sup>
        </m:sSubSup>
      </m:oMath>
      <w:r w:rsidR="0069683B" w:rsidRPr="00947ED7">
        <w:rPr>
          <w:rFonts w:eastAsiaTheme="minorEastAsia"/>
        </w:rPr>
        <w:t xml:space="preserve"> </w:t>
      </w:r>
      <w:r w:rsidR="004E6039">
        <w:rPr>
          <w:rFonts w:eastAsiaTheme="minorEastAsia"/>
        </w:rPr>
        <w:t xml:space="preserve">would only </w:t>
      </w:r>
      <w:r w:rsidR="0069683B" w:rsidRPr="00947ED7">
        <w:rPr>
          <w:rFonts w:eastAsiaTheme="minorEastAsia"/>
        </w:rPr>
        <w:t>reflect</w:t>
      </w:r>
      <w:r>
        <w:rPr>
          <w:rFonts w:eastAsiaTheme="minorEastAsia"/>
        </w:rPr>
        <w:t xml:space="preserve"> </w:t>
      </w:r>
      <w:r w:rsidR="0069683B" w:rsidRPr="00947ED7">
        <w:rPr>
          <w:rFonts w:eastAsiaTheme="minorEastAsia"/>
        </w:rPr>
        <w:t xml:space="preserve">the cost weight attributed to each </w:t>
      </w:r>
      <w:r>
        <w:rPr>
          <w:rFonts w:eastAsiaTheme="minorEastAsia"/>
        </w:rPr>
        <w:t xml:space="preserve">State’s </w:t>
      </w:r>
      <w:r w:rsidR="0069683B" w:rsidRPr="00275F0B">
        <w:rPr>
          <w:rFonts w:eastAsiaTheme="minorEastAsia"/>
        </w:rPr>
        <w:t>socio</w:t>
      </w:r>
      <w:r w:rsidR="0069683B" w:rsidRPr="00275F0B">
        <w:rPr>
          <w:rFonts w:eastAsiaTheme="minorEastAsia"/>
        </w:rPr>
        <w:noBreakHyphen/>
      </w:r>
      <w:r>
        <w:rPr>
          <w:rFonts w:eastAsiaTheme="minorEastAsia"/>
        </w:rPr>
        <w:t xml:space="preserve">demographic student profile. </w:t>
      </w:r>
    </w:p>
    <w:p w:rsidR="00845625" w:rsidRDefault="00845625" w:rsidP="00C343CE">
      <w:pPr>
        <w:pStyle w:val="CGCNumberedPara"/>
      </w:pPr>
      <w:r>
        <w:t>I</w:t>
      </w:r>
      <w:r w:rsidR="00E033C8">
        <w:t xml:space="preserve">t is </w:t>
      </w:r>
      <w:r>
        <w:t xml:space="preserve">also </w:t>
      </w:r>
      <w:r w:rsidR="00E033C8">
        <w:t xml:space="preserve">possible that </w:t>
      </w:r>
      <w:r w:rsidR="0093544F">
        <w:t xml:space="preserve">for some categories </w:t>
      </w:r>
      <w:r w:rsidR="00E033C8">
        <w:t xml:space="preserve">the measure of growth could capture all disabilities. The stock </w:t>
      </w:r>
      <w:r w:rsidR="00417B2F">
        <w:t xml:space="preserve">disability </w:t>
      </w:r>
      <w:r w:rsidR="00E033C8">
        <w:t xml:space="preserve">would therefore be one. In this instance, the new approach will give an identical result to </w:t>
      </w:r>
      <w:r w:rsidR="0093544F">
        <w:t xml:space="preserve">a functionalised assessment using </w:t>
      </w:r>
      <w:r w:rsidR="00E033C8">
        <w:t>the current approach</w:t>
      </w:r>
      <w:r w:rsidR="00FA6BD5">
        <w:t>. However</w:t>
      </w:r>
      <w:r w:rsidR="00E033C8">
        <w:t xml:space="preserve">, the </w:t>
      </w:r>
      <w:r w:rsidR="00FA6BD5">
        <w:t xml:space="preserve">current </w:t>
      </w:r>
      <w:r w:rsidR="00E033C8">
        <w:t xml:space="preserve">description of a State gaining or losing GST for population growth and this being offset by changes in users per capita will be replaced by a simpler description of whether </w:t>
      </w:r>
      <w:r w:rsidR="00417B2F">
        <w:t xml:space="preserve">service </w:t>
      </w:r>
      <w:r w:rsidR="00E033C8">
        <w:t>users are growing faster or slower than the national average.</w:t>
      </w:r>
    </w:p>
    <w:p w:rsidR="000C2A80" w:rsidRDefault="00845625" w:rsidP="00C343CE">
      <w:pPr>
        <w:pStyle w:val="CGCNumberedPara"/>
      </w:pPr>
      <w:r>
        <w:t xml:space="preserve">For categories where a reliable growth indicator based on service use </w:t>
      </w:r>
      <w:proofErr w:type="gramStart"/>
      <w:r>
        <w:t>cannot be identified</w:t>
      </w:r>
      <w:proofErr w:type="gramEnd"/>
      <w:r>
        <w:t xml:space="preserve"> or where data cannot reliably support a growth indicator, population growth will continue to be used as a proxy for additional infrastructure need during the year. </w:t>
      </w:r>
    </w:p>
    <w:p w:rsidR="0023116E" w:rsidRDefault="00A63B1C" w:rsidP="0023116E">
      <w:pPr>
        <w:pStyle w:val="CGCNumberedPara"/>
      </w:pPr>
      <w:proofErr w:type="gramStart"/>
      <w:r>
        <w:t>Staff understand</w:t>
      </w:r>
      <w:proofErr w:type="gramEnd"/>
      <w:r>
        <w:t xml:space="preserve"> that by introducing category specific growth factors</w:t>
      </w:r>
      <w:r w:rsidR="000C2A80">
        <w:t xml:space="preserve"> it will </w:t>
      </w:r>
      <w:r w:rsidR="00FA2448">
        <w:t xml:space="preserve">no longer </w:t>
      </w:r>
      <w:r w:rsidR="000C2A80">
        <w:t xml:space="preserve">be possible to </w:t>
      </w:r>
      <w:r w:rsidR="00FA2448">
        <w:t>refer to population</w:t>
      </w:r>
      <w:r w:rsidR="000C2A80">
        <w:t xml:space="preserve"> growth</w:t>
      </w:r>
      <w:r w:rsidR="00FA2448">
        <w:t xml:space="preserve"> as the global indicator of </w:t>
      </w:r>
      <w:r w:rsidR="00197514">
        <w:t xml:space="preserve">additional infrastructure need. </w:t>
      </w:r>
      <w:r w:rsidR="00FA2448">
        <w:t xml:space="preserve">We also </w:t>
      </w:r>
      <w:r w:rsidR="0093544F">
        <w:t xml:space="preserve">understand </w:t>
      </w:r>
      <w:r w:rsidR="00FA2448">
        <w:t xml:space="preserve">that having multiple measures of growth </w:t>
      </w:r>
      <w:proofErr w:type="gramStart"/>
      <w:r w:rsidR="00FA2448">
        <w:t>could be v</w:t>
      </w:r>
      <w:r w:rsidR="000C2A80">
        <w:t>iewed</w:t>
      </w:r>
      <w:proofErr w:type="gramEnd"/>
      <w:r w:rsidR="000C2A80">
        <w:t xml:space="preserve"> as a less simple method. </w:t>
      </w:r>
      <w:r w:rsidR="00FA2448">
        <w:t>However,</w:t>
      </w:r>
      <w:r w:rsidR="000C2A80">
        <w:t xml:space="preserve"> on balance,</w:t>
      </w:r>
      <w:r w:rsidR="00FA2448">
        <w:t xml:space="preserve"> </w:t>
      </w:r>
      <w:proofErr w:type="gramStart"/>
      <w:r w:rsidR="00FA2448">
        <w:t>staff consider</w:t>
      </w:r>
      <w:proofErr w:type="gramEnd"/>
      <w:r w:rsidR="000C2A80">
        <w:t xml:space="preserve"> </w:t>
      </w:r>
      <w:r w:rsidR="00FA2448">
        <w:t>the potential improvements to the</w:t>
      </w:r>
      <w:r w:rsidR="000C2A80">
        <w:t xml:space="preserve"> reliability,</w:t>
      </w:r>
      <w:r w:rsidR="00FA2448">
        <w:t xml:space="preserve"> transparency and comprehension of the assessment </w:t>
      </w:r>
      <w:r w:rsidR="000C2A80">
        <w:t>will make the assessment more</w:t>
      </w:r>
      <w:r w:rsidR="000840EB">
        <w:t xml:space="preserve"> robust, more</w:t>
      </w:r>
      <w:r w:rsidR="000C2A80">
        <w:t xml:space="preserve"> accessible and easier to interpret. In addition, </w:t>
      </w:r>
      <w:r w:rsidR="00FA6BD5">
        <w:t xml:space="preserve">the proposal to refine </w:t>
      </w:r>
      <w:r w:rsidR="000C2A80">
        <w:t xml:space="preserve">the way we capture changes in State circumstances, by not including elements of the change that </w:t>
      </w:r>
      <w:proofErr w:type="gramStart"/>
      <w:r w:rsidR="000C2A80">
        <w:t>cannot be reliably measured</w:t>
      </w:r>
      <w:proofErr w:type="gramEnd"/>
      <w:r w:rsidR="000C2A80">
        <w:t xml:space="preserve">, will </w:t>
      </w:r>
      <w:r w:rsidR="000C2A80" w:rsidRPr="00C87CA0">
        <w:t xml:space="preserve">also </w:t>
      </w:r>
      <w:r w:rsidR="000C2A80">
        <w:t>remove</w:t>
      </w:r>
      <w:r w:rsidR="000C2A80" w:rsidRPr="00C87CA0">
        <w:t xml:space="preserve"> an element of volatilit</w:t>
      </w:r>
      <w:r w:rsidR="000C2A80">
        <w:t xml:space="preserve">y and the </w:t>
      </w:r>
      <w:r w:rsidR="00AA5C20">
        <w:t>reason</w:t>
      </w:r>
      <w:r w:rsidR="000C2A80">
        <w:t xml:space="preserve"> for three year averaging</w:t>
      </w:r>
      <w:r w:rsidR="00FA6BD5">
        <w:t xml:space="preserve"> of disabilities</w:t>
      </w:r>
      <w:r w:rsidR="000C2A80">
        <w:t>.</w:t>
      </w:r>
    </w:p>
    <w:p w:rsidR="00AA74CC" w:rsidRDefault="00AA74CC">
      <w:pPr>
        <w:tabs>
          <w:tab w:val="clear" w:pos="567"/>
        </w:tabs>
        <w:spacing w:after="200" w:line="276" w:lineRule="auto"/>
        <w:rPr>
          <w:szCs w:val="24"/>
        </w:rPr>
      </w:pPr>
      <w:r>
        <w:br w:type="page"/>
      </w:r>
    </w:p>
    <w:tbl>
      <w:tblPr>
        <w:tblW w:w="9167" w:type="dxa"/>
        <w:shd w:val="clear" w:color="auto" w:fill="D9F3E6"/>
        <w:tblLayout w:type="fixed"/>
        <w:tblLook w:val="0000" w:firstRow="0" w:lastRow="0" w:firstColumn="0" w:lastColumn="0" w:noHBand="0" w:noVBand="0"/>
      </w:tblPr>
      <w:tblGrid>
        <w:gridCol w:w="9167"/>
      </w:tblGrid>
      <w:tr w:rsidR="00A83221" w:rsidRPr="00A83221" w:rsidTr="00AA74CC">
        <w:tc>
          <w:tcPr>
            <w:tcW w:w="9167" w:type="dxa"/>
            <w:shd w:val="clear" w:color="auto" w:fill="D9F3E6"/>
          </w:tcPr>
          <w:bookmarkEnd w:id="85"/>
          <w:p w:rsidR="00A83221" w:rsidRPr="00A83221" w:rsidRDefault="00A83221" w:rsidP="00AB4B9A">
            <w:r w:rsidRPr="00A83221">
              <w:lastRenderedPageBreak/>
              <w:t>Staff propose to recommend the Commission:</w:t>
            </w:r>
          </w:p>
        </w:tc>
      </w:tr>
      <w:tr w:rsidR="00A83221" w:rsidRPr="00A83221" w:rsidTr="00AA74CC">
        <w:tc>
          <w:tcPr>
            <w:tcW w:w="9167" w:type="dxa"/>
            <w:shd w:val="clear" w:color="auto" w:fill="D9F3E6"/>
          </w:tcPr>
          <w:p w:rsidR="00172948" w:rsidRDefault="00CB163B" w:rsidP="00A83221">
            <w:pPr>
              <w:pStyle w:val="CGCBulletlist"/>
              <w:tabs>
                <w:tab w:val="clear" w:pos="927"/>
              </w:tabs>
              <w:ind w:left="1134" w:hanging="567"/>
            </w:pPr>
            <w:r>
              <w:t>r</w:t>
            </w:r>
            <w:r w:rsidR="00172948" w:rsidRPr="00A83221">
              <w:t xml:space="preserve">emove three year </w:t>
            </w:r>
            <w:r w:rsidR="000840EB">
              <w:t>averaging of stock disabilities</w:t>
            </w:r>
          </w:p>
          <w:p w:rsidR="002E5059" w:rsidRPr="00E033C8" w:rsidRDefault="00CB163B" w:rsidP="00A83221">
            <w:pPr>
              <w:pStyle w:val="CGCBulletlist"/>
              <w:tabs>
                <w:tab w:val="clear" w:pos="927"/>
              </w:tabs>
              <w:ind w:left="1134" w:hanging="567"/>
            </w:pPr>
            <w:proofErr w:type="gramStart"/>
            <w:r>
              <w:t>c</w:t>
            </w:r>
            <w:r w:rsidR="002E5059" w:rsidRPr="00E033C8">
              <w:t>apture</w:t>
            </w:r>
            <w:proofErr w:type="gramEnd"/>
            <w:r w:rsidR="002E5059" w:rsidRPr="00E033C8">
              <w:t xml:space="preserve"> the change in circumstances through the use of category specific growth measures, </w:t>
            </w:r>
            <w:r w:rsidR="002E5059" w:rsidRPr="00C343CE">
              <w:t>where methods can be developed a</w:t>
            </w:r>
            <w:r w:rsidR="000840EB">
              <w:t>nd reli</w:t>
            </w:r>
            <w:r w:rsidR="00197514">
              <w:t xml:space="preserve">able data are available. </w:t>
            </w:r>
            <w:r w:rsidR="002E5059" w:rsidRPr="00C343CE">
              <w:t>If no alternative measure is available, use tot</w:t>
            </w:r>
            <w:r w:rsidR="000840EB">
              <w:t>al population growth as a proxy</w:t>
            </w:r>
          </w:p>
          <w:p w:rsidR="002E5059" w:rsidRPr="00E033C8" w:rsidRDefault="000840EB" w:rsidP="00172948">
            <w:pPr>
              <w:pStyle w:val="CGCSubbulletlist"/>
            </w:pPr>
            <w:r>
              <w:t>w</w:t>
            </w:r>
            <w:r w:rsidR="002E5059" w:rsidRPr="00C343CE">
              <w:t xml:space="preserve">here population growth is </w:t>
            </w:r>
            <w:r w:rsidR="002E5059" w:rsidRPr="00947ED7">
              <w:t xml:space="preserve">used, </w:t>
            </w:r>
            <w:r w:rsidR="00172948" w:rsidRPr="00947ED7">
              <w:t>specify</w:t>
            </w:r>
            <w:r w:rsidR="002E5059" w:rsidRPr="00947ED7">
              <w:t xml:space="preserve"> change </w:t>
            </w:r>
            <w:r w:rsidR="002E5059" w:rsidRPr="00C343CE">
              <w:t>in population levels, rather than births, deaths and net migration, as t</w:t>
            </w:r>
            <w:r w:rsidR="00FA6BD5">
              <w:t>he measure of population growth</w:t>
            </w:r>
          </w:p>
          <w:p w:rsidR="00A83221" w:rsidRPr="00A83221" w:rsidRDefault="00417B2F" w:rsidP="00D128DD">
            <w:pPr>
              <w:pStyle w:val="CGCBulletlist"/>
              <w:tabs>
                <w:tab w:val="clear" w:pos="927"/>
              </w:tabs>
              <w:ind w:left="1134" w:hanging="567"/>
            </w:pPr>
            <w:proofErr w:type="gramStart"/>
            <w:r>
              <w:t>where</w:t>
            </w:r>
            <w:proofErr w:type="gramEnd"/>
            <w:r>
              <w:t xml:space="preserve"> there are considered to be </w:t>
            </w:r>
            <w:r w:rsidR="002E5059">
              <w:t>additio</w:t>
            </w:r>
            <w:r>
              <w:t xml:space="preserve">nal stock requirements </w:t>
            </w:r>
            <w:r w:rsidR="002E5059">
              <w:t>not c</w:t>
            </w:r>
            <w:r>
              <w:t xml:space="preserve">aptured by the growth indicator, use the </w:t>
            </w:r>
            <w:r w:rsidR="00D128DD">
              <w:t xml:space="preserve">assessment </w:t>
            </w:r>
            <w:r>
              <w:t>year’s stock disability</w:t>
            </w:r>
            <w:r w:rsidR="002E5059">
              <w:t xml:space="preserve"> for </w:t>
            </w:r>
            <w:r w:rsidR="00A83221" w:rsidRPr="00A83221">
              <w:t>both opening and closing stock</w:t>
            </w:r>
            <w:r w:rsidR="002E5059">
              <w:t>s.</w:t>
            </w:r>
          </w:p>
        </w:tc>
      </w:tr>
    </w:tbl>
    <w:p w:rsidR="001704CD" w:rsidRDefault="001704CD" w:rsidP="00E43371">
      <w:pPr>
        <w:pStyle w:val="Heading4"/>
      </w:pPr>
      <w:bookmarkStart w:id="86" w:name="_Toc508716608"/>
      <w:bookmarkStart w:id="87" w:name="_Toc508716724"/>
      <w:bookmarkStart w:id="88" w:name="_Toc508716878"/>
      <w:bookmarkStart w:id="89" w:name="_Toc511816991"/>
      <w:r>
        <w:t>Other issues</w:t>
      </w:r>
      <w:r w:rsidR="00862D9A">
        <w:t xml:space="preserve"> considered</w:t>
      </w:r>
      <w:bookmarkEnd w:id="86"/>
      <w:bookmarkEnd w:id="87"/>
      <w:bookmarkEnd w:id="88"/>
      <w:bookmarkEnd w:id="89"/>
    </w:p>
    <w:p w:rsidR="002256F1" w:rsidRDefault="000D1E6E" w:rsidP="002256F1">
      <w:pPr>
        <w:pStyle w:val="Heading5"/>
      </w:pPr>
      <w:r>
        <w:t>Private</w:t>
      </w:r>
      <w:r w:rsidR="000A1614">
        <w:t>ly provided</w:t>
      </w:r>
      <w:r>
        <w:t xml:space="preserve"> assets</w:t>
      </w:r>
    </w:p>
    <w:p w:rsidR="00AA1262" w:rsidRDefault="0085589B" w:rsidP="00260127">
      <w:pPr>
        <w:pStyle w:val="CGCNumberedPara"/>
      </w:pPr>
      <w:r w:rsidRPr="00DC738F">
        <w:t>Smaller States may find it more difficult to att</w:t>
      </w:r>
      <w:r w:rsidR="00DC738F" w:rsidRPr="00DC738F">
        <w:t>ract private ownership in government type assets</w:t>
      </w:r>
      <w:r w:rsidRPr="00DC738F">
        <w:t xml:space="preserve"> compared with larger </w:t>
      </w:r>
      <w:r w:rsidR="00DC738F" w:rsidRPr="00DC738F">
        <w:t xml:space="preserve">States. For </w:t>
      </w:r>
      <w:proofErr w:type="gramStart"/>
      <w:r w:rsidR="00DC738F" w:rsidRPr="00DC738F">
        <w:t>example</w:t>
      </w:r>
      <w:proofErr w:type="gramEnd"/>
      <w:r w:rsidR="00DC738F" w:rsidRPr="00DC738F">
        <w:t xml:space="preserve"> </w:t>
      </w:r>
      <w:r w:rsidR="000D1E6E" w:rsidRPr="00DC738F">
        <w:t>New South Wales, Victoria and Queensland have some roads built</w:t>
      </w:r>
      <w:r w:rsidR="00FA6BD5">
        <w:t>,</w:t>
      </w:r>
      <w:r w:rsidR="000D1E6E" w:rsidRPr="00DC738F">
        <w:t xml:space="preserve"> owned and operated by the private sector. </w:t>
      </w:r>
      <w:r w:rsidR="00BC5B4A">
        <w:t>Smaller States arguably are disadvantaged in their ability to attract such investment. I</w:t>
      </w:r>
      <w:r w:rsidR="0023116E">
        <w:t xml:space="preserve">n the case of roads, </w:t>
      </w:r>
      <w:proofErr w:type="gramStart"/>
      <w:r w:rsidR="0023116E">
        <w:t>staff consider</w:t>
      </w:r>
      <w:proofErr w:type="gramEnd"/>
      <w:r w:rsidR="000D1E6E" w:rsidRPr="00DC738F">
        <w:t xml:space="preserve"> it reflects the lack of congestion in smaller cities, and lack of demand for such assets. </w:t>
      </w:r>
      <w:r w:rsidR="00EB4912">
        <w:t xml:space="preserve">As such, there is no disability to assess. </w:t>
      </w:r>
    </w:p>
    <w:p w:rsidR="00BB1D01" w:rsidRDefault="00AA1262" w:rsidP="00D057B7">
      <w:pPr>
        <w:pStyle w:val="CGCNumberedPara"/>
      </w:pPr>
      <w:proofErr w:type="gramStart"/>
      <w:r>
        <w:t>Staff consider</w:t>
      </w:r>
      <w:proofErr w:type="gramEnd"/>
      <w:r>
        <w:t xml:space="preserve"> it would be difficult to quantify the disability faced by smaller States. </w:t>
      </w:r>
      <w:proofErr w:type="gramStart"/>
      <w:r>
        <w:t>and</w:t>
      </w:r>
      <w:proofErr w:type="gramEnd"/>
      <w:r>
        <w:t xml:space="preserve"> to develop an assessment of the relative need between States. </w:t>
      </w:r>
      <w:proofErr w:type="gramStart"/>
      <w:r>
        <w:t>Staff seek</w:t>
      </w:r>
      <w:proofErr w:type="gramEnd"/>
      <w:r>
        <w:t xml:space="preserve"> State input</w:t>
      </w:r>
      <w:r w:rsidR="00417B2F">
        <w:t xml:space="preserve"> and data</w:t>
      </w:r>
      <w:r>
        <w:t xml:space="preserve"> to progress this issue. </w:t>
      </w:r>
    </w:p>
    <w:p w:rsidR="00260127" w:rsidRDefault="00260127" w:rsidP="00BE5136">
      <w:pPr>
        <w:pStyle w:val="Heading5"/>
      </w:pPr>
      <w:bookmarkStart w:id="90" w:name="_Toc511219873"/>
      <w:r>
        <w:t>New and Old assets</w:t>
      </w:r>
      <w:bookmarkEnd w:id="90"/>
    </w:p>
    <w:p w:rsidR="0070215F" w:rsidRPr="0070215F" w:rsidRDefault="001702FE" w:rsidP="005656D2">
      <w:pPr>
        <w:pStyle w:val="CGCNumberedPara"/>
      </w:pPr>
      <w:r>
        <w:t>The I</w:t>
      </w:r>
      <w:r w:rsidR="00B421E9" w:rsidRPr="0070215F">
        <w:t>nves</w:t>
      </w:r>
      <w:r w:rsidR="0070215F" w:rsidRPr="0070215F">
        <w:t xml:space="preserve">tment assessment assumes that a </w:t>
      </w:r>
      <w:r w:rsidR="00B421E9" w:rsidRPr="0070215F">
        <w:t xml:space="preserve">new $1 billion asset is equivalent to holding an existing $1 billion asset. There have been various concerns raised with this assumption. </w:t>
      </w:r>
    </w:p>
    <w:p w:rsidR="00282D84" w:rsidRDefault="00D04A00" w:rsidP="00E7588F">
      <w:pPr>
        <w:pStyle w:val="CGCNumberedPara"/>
      </w:pPr>
      <w:proofErr w:type="gramStart"/>
      <w:r>
        <w:rPr>
          <w:rStyle w:val="Heading6Char"/>
        </w:rPr>
        <w:t xml:space="preserve">Costs and benefits </w:t>
      </w:r>
      <w:r w:rsidR="00B421E9" w:rsidRPr="0070215F">
        <w:rPr>
          <w:rStyle w:val="Heading6Char"/>
        </w:rPr>
        <w:t>of new capital.</w:t>
      </w:r>
      <w:proofErr w:type="gramEnd"/>
      <w:r w:rsidR="00B421E9" w:rsidRPr="0070215F">
        <w:t xml:space="preserve"> States own depreciated assets. For </w:t>
      </w:r>
      <w:proofErr w:type="gramStart"/>
      <w:r w:rsidR="00B421E9" w:rsidRPr="0070215F">
        <w:t>example</w:t>
      </w:r>
      <w:proofErr w:type="gramEnd"/>
      <w:r w:rsidR="00B421E9" w:rsidRPr="0070215F">
        <w:t xml:space="preserve"> the asset stock of schools reflects the average age of school buildings. A growing State, under our model, </w:t>
      </w:r>
      <w:proofErr w:type="gramStart"/>
      <w:r w:rsidR="00B421E9" w:rsidRPr="0070215F">
        <w:t>is given</w:t>
      </w:r>
      <w:proofErr w:type="gramEnd"/>
      <w:r w:rsidR="00B421E9" w:rsidRPr="0070215F">
        <w:t xml:space="preserve"> the capacity to purchase new schools for its new population at the average depreciated stock value per capita. This means it has the capacity to purchase a new depreciated asset. This is not what States do or, in most categories, can do. </w:t>
      </w:r>
      <w:r w:rsidR="00251D4C">
        <w:t xml:space="preserve"> </w:t>
      </w:r>
    </w:p>
    <w:p w:rsidR="00D04A00" w:rsidRDefault="00251D4C" w:rsidP="00D04A00">
      <w:pPr>
        <w:pStyle w:val="CGCNumberedPara"/>
      </w:pPr>
      <w:r>
        <w:t xml:space="preserve">New assets must comply with current building standards and meet community expectations </w:t>
      </w:r>
      <w:proofErr w:type="gramStart"/>
      <w:r>
        <w:t>both in terms of function and form</w:t>
      </w:r>
      <w:proofErr w:type="gramEnd"/>
      <w:r>
        <w:t xml:space="preserve">. Updated methods of service </w:t>
      </w:r>
      <w:r>
        <w:lastRenderedPageBreak/>
        <w:t xml:space="preserve">delivery may demand different building methods or design. For example, the </w:t>
      </w:r>
      <w:r w:rsidR="00785AA0">
        <w:t>increasing use of</w:t>
      </w:r>
      <w:r>
        <w:t xml:space="preserve"> ICT in schools might lead to different classroom design and configurations. The increasing use of robot technology </w:t>
      </w:r>
      <w:r w:rsidR="00785AA0">
        <w:t xml:space="preserve">will </w:t>
      </w:r>
      <w:r w:rsidR="00D04A00">
        <w:t xml:space="preserve">require hospitals and health facilities </w:t>
      </w:r>
      <w:r w:rsidR="00BC5B4A">
        <w:t xml:space="preserve">to </w:t>
      </w:r>
      <w:proofErr w:type="gramStart"/>
      <w:r w:rsidR="00D04A00">
        <w:t>be built</w:t>
      </w:r>
      <w:proofErr w:type="gramEnd"/>
      <w:r w:rsidR="00D04A00">
        <w:t xml:space="preserve"> to support these new technologies.</w:t>
      </w:r>
    </w:p>
    <w:p w:rsidR="005656D2" w:rsidRPr="0070215F" w:rsidRDefault="00D04A00" w:rsidP="005656D2">
      <w:pPr>
        <w:pStyle w:val="CGCNumberedPara"/>
      </w:pPr>
      <w:r>
        <w:t xml:space="preserve">How this </w:t>
      </w:r>
      <w:r w:rsidR="00BC5B4A">
        <w:t xml:space="preserve">affects </w:t>
      </w:r>
      <w:r>
        <w:t>the quantity and cost of the infrastructure provided is not clear to staff. While it is true that new assets may differ in structure and use to older assets previously used for</w:t>
      </w:r>
      <w:r w:rsidR="005656D2">
        <w:t xml:space="preserve"> the same purpose, </w:t>
      </w:r>
      <w:r w:rsidR="00A83221">
        <w:t>it is also true that</w:t>
      </w:r>
      <w:r w:rsidR="005656D2">
        <w:t xml:space="preserve"> n</w:t>
      </w:r>
      <w:r w:rsidR="005656D2" w:rsidRPr="0070215F">
        <w:t>ew capital should have greater capacity to meet State needs than capital acquired at a time when State needs, including the use of technology, were different. This could mean that States with a younger average age of a</w:t>
      </w:r>
      <w:r w:rsidR="005656D2">
        <w:t xml:space="preserve">ssets (fast growing States) </w:t>
      </w:r>
      <w:r w:rsidR="009A3699">
        <w:t xml:space="preserve">may have </w:t>
      </w:r>
      <w:proofErr w:type="gramStart"/>
      <w:r w:rsidR="005656D2" w:rsidRPr="0070215F">
        <w:t>lower</w:t>
      </w:r>
      <w:proofErr w:type="gramEnd"/>
      <w:r w:rsidR="005656D2" w:rsidRPr="0070215F">
        <w:t xml:space="preserve"> recurrent </w:t>
      </w:r>
      <w:r w:rsidR="009A3699">
        <w:t xml:space="preserve">or maintenance </w:t>
      </w:r>
      <w:r w:rsidR="005656D2" w:rsidRPr="0070215F">
        <w:t>costs.</w:t>
      </w:r>
    </w:p>
    <w:p w:rsidR="005656D2" w:rsidRDefault="00363A7B" w:rsidP="00363A7B">
      <w:pPr>
        <w:pStyle w:val="CGCNumberedPara"/>
      </w:pPr>
      <w:proofErr w:type="gramStart"/>
      <w:r>
        <w:t>Staff consider</w:t>
      </w:r>
      <w:proofErr w:type="gramEnd"/>
      <w:r>
        <w:t xml:space="preserve"> it would be difficult to quanti</w:t>
      </w:r>
      <w:r w:rsidR="000716DF">
        <w:t>f</w:t>
      </w:r>
      <w:r>
        <w:t>y the cost</w:t>
      </w:r>
      <w:r w:rsidR="001702FE">
        <w:t>s</w:t>
      </w:r>
      <w:r>
        <w:t xml:space="preserve"> and benefits associated with the construction of assets and to develop an assessment of the relative need between States</w:t>
      </w:r>
      <w:r w:rsidR="001702FE">
        <w:t xml:space="preserve">. </w:t>
      </w:r>
      <w:proofErr w:type="gramStart"/>
      <w:r w:rsidR="001702FE">
        <w:t xml:space="preserve">Staff </w:t>
      </w:r>
      <w:r w:rsidR="00AF0F67">
        <w:t>seek</w:t>
      </w:r>
      <w:proofErr w:type="gramEnd"/>
      <w:r w:rsidR="00AF0F67">
        <w:t xml:space="preserve"> State input before progressing</w:t>
      </w:r>
      <w:r w:rsidR="00765F5D">
        <w:t xml:space="preserve"> this issue any further</w:t>
      </w:r>
      <w:r>
        <w:t xml:space="preserve">. </w:t>
      </w:r>
    </w:p>
    <w:p w:rsidR="008A53C2" w:rsidRDefault="00B421E9" w:rsidP="00B421E9">
      <w:pPr>
        <w:pStyle w:val="CGCNumberedPara"/>
      </w:pPr>
      <w:proofErr w:type="gramStart"/>
      <w:r w:rsidRPr="0070215F">
        <w:rPr>
          <w:rStyle w:val="Heading6Char"/>
        </w:rPr>
        <w:t>Under-utilisation of new assets.</w:t>
      </w:r>
      <w:proofErr w:type="gramEnd"/>
      <w:r w:rsidRPr="0070215F">
        <w:t xml:space="preserve"> Because of the inefficiency of building new capital in a piecemeal way, States may choose to build new capital to cover more than </w:t>
      </w:r>
      <w:proofErr w:type="gramStart"/>
      <w:r w:rsidRPr="0070215F">
        <w:t>one year’s</w:t>
      </w:r>
      <w:proofErr w:type="gramEnd"/>
      <w:r w:rsidRPr="0070215F">
        <w:t xml:space="preserve"> growth in demand. If States build in advance of demand, then new assets will be under-utilised. Western Australia contends that this effect means that fast growing States have, on average, more under-utilised assets than slow growing States, and this represents a disability.</w:t>
      </w:r>
      <w:r w:rsidR="005E2C89">
        <w:t xml:space="preserve"> However, </w:t>
      </w:r>
      <w:r w:rsidR="008A53C2">
        <w:t xml:space="preserve">States build some assets in advance of demand, and some to clear a backlog, following demand. The current approach gives all States the capacity to have average utilisation of assets over time. </w:t>
      </w:r>
      <w:proofErr w:type="gramStart"/>
      <w:r w:rsidR="008A53C2">
        <w:t>Staff consider</w:t>
      </w:r>
      <w:proofErr w:type="gramEnd"/>
      <w:r w:rsidR="008A53C2">
        <w:t xml:space="preserve"> this</w:t>
      </w:r>
      <w:r w:rsidR="00542052">
        <w:t xml:space="preserve"> is an appropriate approach.</w:t>
      </w:r>
    </w:p>
    <w:p w:rsidR="002719FF" w:rsidRDefault="000B4CA1" w:rsidP="00C343CE">
      <w:pPr>
        <w:pStyle w:val="Heading5"/>
      </w:pPr>
      <w:r>
        <w:t xml:space="preserve">Treatment of </w:t>
      </w:r>
      <w:r w:rsidR="00E43371">
        <w:t>Land</w:t>
      </w:r>
      <w:r>
        <w:t xml:space="preserve"> </w:t>
      </w:r>
    </w:p>
    <w:p w:rsidR="009A3699" w:rsidRDefault="00542052" w:rsidP="009A3699">
      <w:pPr>
        <w:pStyle w:val="CGCNumberedPara"/>
      </w:pPr>
      <w:r>
        <w:fldChar w:fldCharType="begin"/>
      </w:r>
      <w:r>
        <w:instrText xml:space="preserve"> REF _Ref507069171 \h </w:instrText>
      </w:r>
      <w:r>
        <w:fldChar w:fldCharType="separate"/>
      </w:r>
      <w:r w:rsidR="00402501">
        <w:t xml:space="preserve">Table </w:t>
      </w:r>
      <w:r w:rsidR="00402501">
        <w:rPr>
          <w:noProof/>
        </w:rPr>
        <w:t>6</w:t>
      </w:r>
      <w:r>
        <w:fldChar w:fldCharType="end"/>
      </w:r>
      <w:r>
        <w:t xml:space="preserve"> </w:t>
      </w:r>
      <w:r w:rsidR="009A3699">
        <w:t xml:space="preserve">shows the investment in land for each category in recent years. The only category for which investment in land is large and where </w:t>
      </w:r>
      <w:proofErr w:type="gramStart"/>
      <w:r w:rsidR="009A3699">
        <w:t>staff consider</w:t>
      </w:r>
      <w:proofErr w:type="gramEnd"/>
      <w:r w:rsidR="009A3699">
        <w:t xml:space="preserve"> the appropriate disabilities are likely to be materially different from an EPC assessment is roads. </w:t>
      </w:r>
    </w:p>
    <w:p w:rsidR="009A3699" w:rsidRDefault="009A3699" w:rsidP="009A3699">
      <w:pPr>
        <w:pStyle w:val="CGCNumberedPara"/>
      </w:pPr>
      <w:r>
        <w:t>States spent nearly $400 million net on land purchases for road construction</w:t>
      </w:r>
      <w:r w:rsidR="00417B2F">
        <w:t xml:space="preserve"> on average over 2013-14 to 2015-16</w:t>
      </w:r>
      <w:r>
        <w:t xml:space="preserve">. </w:t>
      </w:r>
      <w:proofErr w:type="gramStart"/>
      <w:r>
        <w:t xml:space="preserve">This was almost exclusively </w:t>
      </w:r>
      <w:r w:rsidR="00AB2C48">
        <w:t>undertaken</w:t>
      </w:r>
      <w:r>
        <w:t xml:space="preserve"> by the three largest States</w:t>
      </w:r>
      <w:proofErr w:type="gramEnd"/>
      <w:r>
        <w:t>. Resuming land in cities for road construction is much more common and much more expensive in the larger cities than in the smaller cities. Some of this, and strategies such as tunnelling to avoid the requirement to resume land, is often done by private sector companies who recover these costs from motorists rather t</w:t>
      </w:r>
      <w:r w:rsidR="0023116E">
        <w:t xml:space="preserve">han from the general government. </w:t>
      </w:r>
      <w:proofErr w:type="gramStart"/>
      <w:r w:rsidR="0023116E">
        <w:t>H</w:t>
      </w:r>
      <w:r>
        <w:t>owever</w:t>
      </w:r>
      <w:proofErr w:type="gramEnd"/>
      <w:r>
        <w:t xml:space="preserve"> governments do face significant </w:t>
      </w:r>
      <w:r w:rsidR="00AB2C48">
        <w:t xml:space="preserve">land </w:t>
      </w:r>
      <w:r>
        <w:t>costs for some of this road investment.</w:t>
      </w:r>
      <w:r w:rsidR="001704CD">
        <w:t xml:space="preserve"> Unlike the urban transport disabilities,</w:t>
      </w:r>
      <w:r>
        <w:t xml:space="preserve"> </w:t>
      </w:r>
      <w:r w:rsidR="001704CD">
        <w:t>t</w:t>
      </w:r>
      <w:r>
        <w:t>he urban roads disabilities do not reflect higher costs for larger cities</w:t>
      </w:r>
      <w:r w:rsidR="00D10DA8">
        <w:t>. Staff will consider whether a proxy of need can be developed that is better than either an</w:t>
      </w:r>
      <w:r>
        <w:t xml:space="preserve"> EPC distribution </w:t>
      </w:r>
      <w:r w:rsidR="00D10DA8">
        <w:t>or</w:t>
      </w:r>
      <w:r>
        <w:t xml:space="preserve"> existing disabilities</w:t>
      </w:r>
      <w:r w:rsidR="00D10DA8">
        <w:t>.</w:t>
      </w:r>
    </w:p>
    <w:p w:rsidR="001920FE" w:rsidRPr="00512A79" w:rsidRDefault="001920FE" w:rsidP="001920FE">
      <w:pPr>
        <w:pStyle w:val="Caption"/>
      </w:pPr>
      <w:bookmarkStart w:id="91" w:name="_Ref507069171"/>
      <w:r>
        <w:lastRenderedPageBreak/>
        <w:t xml:space="preserve">Table </w:t>
      </w:r>
      <w:r w:rsidR="00402501">
        <w:fldChar w:fldCharType="begin"/>
      </w:r>
      <w:r w:rsidR="00402501">
        <w:instrText xml:space="preserve"> SEQ Table \* ARABIC </w:instrText>
      </w:r>
      <w:r w:rsidR="00402501">
        <w:fldChar w:fldCharType="separate"/>
      </w:r>
      <w:r w:rsidR="00402501">
        <w:rPr>
          <w:noProof/>
        </w:rPr>
        <w:t>6</w:t>
      </w:r>
      <w:r w:rsidR="00402501">
        <w:rPr>
          <w:noProof/>
        </w:rPr>
        <w:fldChar w:fldCharType="end"/>
      </w:r>
      <w:bookmarkEnd w:id="91"/>
      <w:r w:rsidR="00AB2C48">
        <w:tab/>
        <w:t>Net</w:t>
      </w:r>
      <w:r>
        <w:t xml:space="preserve"> </w:t>
      </w:r>
      <w:r w:rsidR="00AB2C48">
        <w:t>i</w:t>
      </w:r>
      <w:r>
        <w:t>nvestment in land (a), average 2013-14 to 2015-16</w:t>
      </w:r>
    </w:p>
    <w:tbl>
      <w:tblPr>
        <w:tblW w:w="8960" w:type="dxa"/>
        <w:tblLayout w:type="fixed"/>
        <w:tblCellMar>
          <w:left w:w="0" w:type="dxa"/>
          <w:right w:w="0" w:type="dxa"/>
        </w:tblCellMar>
        <w:tblLook w:val="04A0" w:firstRow="1" w:lastRow="0" w:firstColumn="1" w:lastColumn="0" w:noHBand="0" w:noVBand="1"/>
      </w:tblPr>
      <w:tblGrid>
        <w:gridCol w:w="3780"/>
        <w:gridCol w:w="1080"/>
        <w:gridCol w:w="1300"/>
        <w:gridCol w:w="1500"/>
        <w:gridCol w:w="1300"/>
      </w:tblGrid>
      <w:tr w:rsidR="001920FE" w:rsidRPr="00512A79" w:rsidTr="001920FE">
        <w:trPr>
          <w:trHeight w:val="555"/>
        </w:trPr>
        <w:tc>
          <w:tcPr>
            <w:tcW w:w="3780" w:type="dxa"/>
            <w:tcBorders>
              <w:top w:val="single" w:sz="4" w:space="0" w:color="auto"/>
              <w:left w:val="nil"/>
              <w:bottom w:val="single" w:sz="4" w:space="0" w:color="auto"/>
              <w:right w:val="nil"/>
            </w:tcBorders>
            <w:shd w:val="clear" w:color="auto" w:fill="auto"/>
            <w:noWrap/>
            <w:vAlign w:val="center"/>
            <w:hideMark/>
          </w:tcPr>
          <w:p w:rsidR="001920FE" w:rsidRPr="00512A79" w:rsidRDefault="00774CBA" w:rsidP="00774CBA">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92" w:name="RANGE!A19:E32"/>
            <w:r>
              <w:rPr>
                <w:rFonts w:ascii="Calibri" w:eastAsia="Times New Roman" w:hAnsi="Calibri" w:cs="Times New Roman"/>
                <w:color w:val="000000"/>
                <w:sz w:val="20"/>
                <w:szCs w:val="20"/>
                <w:lang w:eastAsia="en-AU"/>
              </w:rPr>
              <w:t>Category</w:t>
            </w:r>
            <w:r w:rsidR="001920FE" w:rsidRPr="00512A79">
              <w:rPr>
                <w:rFonts w:ascii="Calibri" w:eastAsia="Times New Roman" w:hAnsi="Calibri" w:cs="Times New Roman"/>
                <w:color w:val="000000"/>
                <w:sz w:val="20"/>
                <w:szCs w:val="20"/>
                <w:lang w:eastAsia="en-AU"/>
              </w:rPr>
              <w:t> </w:t>
            </w:r>
            <w:bookmarkEnd w:id="92"/>
          </w:p>
        </w:tc>
        <w:tc>
          <w:tcPr>
            <w:tcW w:w="1080" w:type="dxa"/>
            <w:tcBorders>
              <w:top w:val="single" w:sz="4" w:space="0" w:color="auto"/>
              <w:left w:val="nil"/>
              <w:bottom w:val="single" w:sz="4" w:space="0" w:color="auto"/>
              <w:right w:val="nil"/>
            </w:tcBorders>
            <w:shd w:val="clear" w:color="auto" w:fill="auto"/>
            <w:noWrap/>
            <w:vAlign w:val="center"/>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Purchase</w:t>
            </w:r>
          </w:p>
        </w:tc>
        <w:tc>
          <w:tcPr>
            <w:tcW w:w="1300" w:type="dxa"/>
            <w:tcBorders>
              <w:top w:val="single" w:sz="4" w:space="0" w:color="auto"/>
              <w:left w:val="nil"/>
              <w:bottom w:val="single" w:sz="4" w:space="0" w:color="auto"/>
              <w:right w:val="nil"/>
            </w:tcBorders>
            <w:shd w:val="clear" w:color="auto" w:fill="auto"/>
            <w:noWrap/>
            <w:vAlign w:val="center"/>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Sales</w:t>
            </w:r>
          </w:p>
        </w:tc>
        <w:tc>
          <w:tcPr>
            <w:tcW w:w="1500" w:type="dxa"/>
            <w:tcBorders>
              <w:top w:val="single" w:sz="4" w:space="0" w:color="auto"/>
              <w:left w:val="nil"/>
              <w:bottom w:val="single" w:sz="4" w:space="0" w:color="auto"/>
              <w:right w:val="nil"/>
            </w:tcBorders>
            <w:shd w:val="clear" w:color="auto" w:fill="auto"/>
            <w:vAlign w:val="center"/>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Other transactions</w:t>
            </w:r>
          </w:p>
        </w:tc>
        <w:tc>
          <w:tcPr>
            <w:tcW w:w="1300" w:type="dxa"/>
            <w:tcBorders>
              <w:top w:val="single" w:sz="4" w:space="0" w:color="auto"/>
              <w:left w:val="nil"/>
              <w:bottom w:val="single" w:sz="4" w:space="0" w:color="auto"/>
              <w:right w:val="nil"/>
            </w:tcBorders>
            <w:shd w:val="clear" w:color="auto" w:fill="auto"/>
            <w:noWrap/>
            <w:vAlign w:val="center"/>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Total</w:t>
            </w:r>
          </w:p>
        </w:tc>
      </w:tr>
      <w:tr w:rsidR="001920FE" w:rsidRPr="00512A79" w:rsidTr="001920FE">
        <w:trPr>
          <w:trHeight w:val="259"/>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$m</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$m</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$m</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$m</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School education</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150</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-112</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0</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38</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Post</w:t>
            </w:r>
            <w:r w:rsidR="003715D6">
              <w:rPr>
                <w:rFonts w:ascii="Calibri" w:eastAsia="Times New Roman" w:hAnsi="Calibri" w:cs="Times New Roman"/>
                <w:color w:val="000000"/>
                <w:sz w:val="20"/>
                <w:szCs w:val="20"/>
                <w:lang w:eastAsia="en-AU"/>
              </w:rPr>
              <w:t>-</w:t>
            </w:r>
            <w:r w:rsidRPr="00512A79">
              <w:rPr>
                <w:rFonts w:ascii="Calibri" w:eastAsia="Times New Roman" w:hAnsi="Calibri" w:cs="Times New Roman"/>
                <w:color w:val="000000"/>
                <w:sz w:val="20"/>
                <w:szCs w:val="20"/>
                <w:lang w:eastAsia="en-AU"/>
              </w:rPr>
              <w:t>secondary education</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-71</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-23</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0</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-93</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Health</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92</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-41</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-10</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41</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Housing</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105</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-119</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5</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-9</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Welfare</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25</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-9</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0</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16</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Services to communities</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238</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-372</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-67</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-201</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774CBA">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 xml:space="preserve">Justice </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41</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-10</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32</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Roads</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494</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-109</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0</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385</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Transport</w:t>
            </w:r>
            <w:r w:rsidR="00AB2C48">
              <w:rPr>
                <w:rFonts w:ascii="Calibri" w:eastAsia="Times New Roman" w:hAnsi="Calibri" w:cs="Times New Roman"/>
                <w:color w:val="000000"/>
                <w:sz w:val="20"/>
                <w:szCs w:val="20"/>
                <w:lang w:eastAsia="en-AU"/>
              </w:rPr>
              <w:t xml:space="preserve"> </w:t>
            </w:r>
            <w:r w:rsidR="00542052">
              <w:rPr>
                <w:rFonts w:ascii="Calibri" w:eastAsia="Times New Roman" w:hAnsi="Calibri" w:cs="Times New Roman"/>
                <w:color w:val="000000"/>
                <w:sz w:val="20"/>
                <w:szCs w:val="20"/>
                <w:lang w:eastAsia="en-AU"/>
              </w:rPr>
              <w:t>(b)</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40</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-37</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-2</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Services to industry</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38</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-127</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-74</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-164</w:t>
            </w:r>
          </w:p>
        </w:tc>
      </w:tr>
      <w:tr w:rsidR="001920FE" w:rsidRPr="00512A79" w:rsidTr="001920FE">
        <w:trPr>
          <w:trHeight w:val="315"/>
        </w:trPr>
        <w:tc>
          <w:tcPr>
            <w:tcW w:w="37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Other expenses</w:t>
            </w:r>
          </w:p>
        </w:tc>
        <w:tc>
          <w:tcPr>
            <w:tcW w:w="108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150</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-533</w:t>
            </w:r>
          </w:p>
        </w:tc>
        <w:tc>
          <w:tcPr>
            <w:tcW w:w="15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-3</w:t>
            </w:r>
          </w:p>
        </w:tc>
        <w:tc>
          <w:tcPr>
            <w:tcW w:w="1300" w:type="dxa"/>
            <w:tcBorders>
              <w:top w:val="nil"/>
              <w:left w:val="nil"/>
              <w:bottom w:val="nil"/>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-386</w:t>
            </w:r>
          </w:p>
        </w:tc>
      </w:tr>
      <w:tr w:rsidR="001920FE" w:rsidRPr="00512A79" w:rsidTr="001920FE">
        <w:trPr>
          <w:trHeight w:val="315"/>
        </w:trPr>
        <w:tc>
          <w:tcPr>
            <w:tcW w:w="3780" w:type="dxa"/>
            <w:tcBorders>
              <w:top w:val="nil"/>
              <w:left w:val="nil"/>
              <w:bottom w:val="single" w:sz="4" w:space="0" w:color="auto"/>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Total</w:t>
            </w:r>
          </w:p>
        </w:tc>
        <w:tc>
          <w:tcPr>
            <w:tcW w:w="1080" w:type="dxa"/>
            <w:tcBorders>
              <w:top w:val="single" w:sz="4" w:space="0" w:color="auto"/>
              <w:left w:val="nil"/>
              <w:bottom w:val="single" w:sz="4" w:space="0" w:color="auto"/>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1 303</w:t>
            </w:r>
          </w:p>
        </w:tc>
        <w:tc>
          <w:tcPr>
            <w:tcW w:w="1300" w:type="dxa"/>
            <w:tcBorders>
              <w:top w:val="single" w:sz="4" w:space="0" w:color="auto"/>
              <w:left w:val="nil"/>
              <w:bottom w:val="single" w:sz="4" w:space="0" w:color="auto"/>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-1 493</w:t>
            </w:r>
          </w:p>
        </w:tc>
        <w:tc>
          <w:tcPr>
            <w:tcW w:w="1500" w:type="dxa"/>
            <w:tcBorders>
              <w:top w:val="single" w:sz="4" w:space="0" w:color="auto"/>
              <w:left w:val="nil"/>
              <w:bottom w:val="single" w:sz="4" w:space="0" w:color="auto"/>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-149</w:t>
            </w:r>
          </w:p>
        </w:tc>
        <w:tc>
          <w:tcPr>
            <w:tcW w:w="1300" w:type="dxa"/>
            <w:tcBorders>
              <w:top w:val="single" w:sz="4" w:space="0" w:color="auto"/>
              <w:left w:val="nil"/>
              <w:bottom w:val="single" w:sz="4" w:space="0" w:color="auto"/>
              <w:right w:val="nil"/>
            </w:tcBorders>
            <w:shd w:val="clear" w:color="auto" w:fill="auto"/>
            <w:noWrap/>
            <w:vAlign w:val="bottom"/>
            <w:hideMark/>
          </w:tcPr>
          <w:p w:rsidR="001920FE" w:rsidRPr="00512A79" w:rsidRDefault="001920FE" w:rsidP="001920FE">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512A79">
              <w:rPr>
                <w:rFonts w:ascii="Calibri" w:eastAsia="Times New Roman" w:hAnsi="Calibri" w:cs="Times New Roman"/>
                <w:color w:val="000000"/>
                <w:sz w:val="20"/>
                <w:szCs w:val="20"/>
                <w:lang w:eastAsia="en-AU"/>
              </w:rPr>
              <w:t>-339</w:t>
            </w:r>
          </w:p>
        </w:tc>
      </w:tr>
    </w:tbl>
    <w:p w:rsidR="001920FE" w:rsidRDefault="001920FE" w:rsidP="001920FE">
      <w:pPr>
        <w:pStyle w:val="CGCTableFootnote"/>
      </w:pPr>
      <w:proofErr w:type="gramStart"/>
      <w:r>
        <w:t xml:space="preserve">(a) </w:t>
      </w:r>
      <w:r w:rsidR="00774CBA">
        <w:tab/>
      </w:r>
      <w:r w:rsidR="00E851F9">
        <w:t>I</w:t>
      </w:r>
      <w:r>
        <w:t>ncludes other non-produced assets</w:t>
      </w:r>
      <w:r w:rsidR="00B61D61">
        <w:t>.</w:t>
      </w:r>
      <w:proofErr w:type="gramEnd"/>
    </w:p>
    <w:p w:rsidR="00542052" w:rsidRPr="00542052" w:rsidRDefault="00542052" w:rsidP="00542052">
      <w:pPr>
        <w:pStyle w:val="CGCTableFootnote"/>
        <w:rPr>
          <w:rStyle w:val="FootnoteReference"/>
          <w:vertAlign w:val="baseline"/>
        </w:rPr>
      </w:pPr>
      <w:r w:rsidRPr="00542052">
        <w:rPr>
          <w:rStyle w:val="FootnoteReference"/>
          <w:vertAlign w:val="baseline"/>
        </w:rPr>
        <w:t>(b)</w:t>
      </w:r>
      <w:r w:rsidR="00774CBA">
        <w:rPr>
          <w:rStyle w:val="FootnoteReference"/>
          <w:vertAlign w:val="baseline"/>
        </w:rPr>
        <w:tab/>
      </w:r>
      <w:r w:rsidR="00E851F9">
        <w:t>N</w:t>
      </w:r>
      <w:r w:rsidR="00E851F9">
        <w:rPr>
          <w:rStyle w:val="FootnoteReference"/>
          <w:vertAlign w:val="baseline"/>
        </w:rPr>
        <w:t xml:space="preserve">et investment in land </w:t>
      </w:r>
      <w:r w:rsidR="00E851F9">
        <w:t>for</w:t>
      </w:r>
      <w:r w:rsidRPr="00542052">
        <w:rPr>
          <w:rStyle w:val="FootnoteReference"/>
          <w:vertAlign w:val="baseline"/>
        </w:rPr>
        <w:t xml:space="preserve"> urban transport is not included in these data. </w:t>
      </w:r>
    </w:p>
    <w:p w:rsidR="001920FE" w:rsidRPr="006C4CFA" w:rsidRDefault="001920FE" w:rsidP="001920FE">
      <w:pPr>
        <w:pStyle w:val="CGCTableFootnote"/>
      </w:pPr>
      <w:r>
        <w:t xml:space="preserve">Source: </w:t>
      </w:r>
      <w:r w:rsidR="00774CBA">
        <w:tab/>
        <w:t>ABS</w:t>
      </w:r>
      <w:r w:rsidR="00B61D61">
        <w:t xml:space="preserve">, </w:t>
      </w:r>
      <w:r>
        <w:t>G</w:t>
      </w:r>
      <w:r w:rsidR="00774CBA">
        <w:t>eneral Finance Statistics, 2013-14 to 2015-16</w:t>
      </w:r>
    </w:p>
    <w:p w:rsidR="00A325E5" w:rsidRDefault="00A325E5" w:rsidP="00C343CE">
      <w:pPr>
        <w:pStyle w:val="Heading5"/>
      </w:pPr>
      <w:r>
        <w:t xml:space="preserve">Net vs gross investment </w:t>
      </w:r>
    </w:p>
    <w:p w:rsidR="00A325E5" w:rsidRDefault="00A325E5" w:rsidP="00A325E5">
      <w:pPr>
        <w:pStyle w:val="CGCNumberedPara"/>
      </w:pPr>
      <w:r>
        <w:t xml:space="preserve">The Commission currently recognises the use of existing infrastructure during the year and the need for new infrastructure separately through the </w:t>
      </w:r>
      <w:r w:rsidR="00774CBA">
        <w:t>Depreciation and I</w:t>
      </w:r>
      <w:r>
        <w:t xml:space="preserve">nvestment assessments. For the purposes of the Commission’s assessments, depreciation is a proxy for expenditure on the replacement of existing assets.  </w:t>
      </w:r>
    </w:p>
    <w:p w:rsidR="00FE622E" w:rsidRPr="00FE622E" w:rsidRDefault="00A325E5" w:rsidP="00FE622E">
      <w:pPr>
        <w:pStyle w:val="CGCNumberedPara"/>
      </w:pPr>
      <w:r w:rsidRPr="00FE622E">
        <w:t xml:space="preserve">The infrastructure use and cost disabilities recognised in the </w:t>
      </w:r>
      <w:r w:rsidR="00774CBA">
        <w:t>I</w:t>
      </w:r>
      <w:r w:rsidR="00BC5B4A">
        <w:t>nvestment</w:t>
      </w:r>
      <w:r w:rsidRPr="00FE622E">
        <w:t xml:space="preserve"> assessment are the same </w:t>
      </w:r>
      <w:r w:rsidR="00774CBA">
        <w:t>as those currently used in the D</w:t>
      </w:r>
      <w:r w:rsidRPr="00FE622E">
        <w:t xml:space="preserve">epreciation assessment (with the exception of urban transport </w:t>
      </w:r>
      <w:r w:rsidR="00AB2C48">
        <w:t>where</w:t>
      </w:r>
      <w:r w:rsidRPr="00FE622E">
        <w:t xml:space="preserve"> depreciation expenses </w:t>
      </w:r>
      <w:proofErr w:type="gramStart"/>
      <w:r w:rsidRPr="00FE622E">
        <w:t>are assessed</w:t>
      </w:r>
      <w:proofErr w:type="gramEnd"/>
      <w:r w:rsidRPr="00FE622E">
        <w:t xml:space="preserve"> with recurrent expenses). There is a case for </w:t>
      </w:r>
      <w:r w:rsidR="000716DF">
        <w:t xml:space="preserve">considering whether to </w:t>
      </w:r>
      <w:r w:rsidRPr="00FE622E">
        <w:t>assess depreciation and net investment together in a sing</w:t>
      </w:r>
      <w:r w:rsidR="00FE622E" w:rsidRPr="00FE622E">
        <w:t xml:space="preserve">le </w:t>
      </w:r>
      <w:r w:rsidR="00774CBA">
        <w:t xml:space="preserve">assessment of </w:t>
      </w:r>
      <w:r w:rsidR="00FE622E" w:rsidRPr="00FE622E">
        <w:t xml:space="preserve">gross investment. </w:t>
      </w:r>
    </w:p>
    <w:p w:rsidR="00E81F91" w:rsidRPr="00DF3228" w:rsidRDefault="00FE622E" w:rsidP="00434B20">
      <w:pPr>
        <w:pStyle w:val="CGCNumberedPara"/>
        <w:rPr>
          <w:rFonts w:eastAsiaTheme="minorEastAsia"/>
        </w:rPr>
      </w:pPr>
      <w:r w:rsidRPr="00FE622E">
        <w:t>The structure of the assessment means that changes in capital stock per capita are not subject to population dilution.</w:t>
      </w:r>
      <w:r w:rsidR="0022416F">
        <w:t xml:space="preserve"> T</w:t>
      </w:r>
      <w:r>
        <w:t>herefore, i</w:t>
      </w:r>
      <w:r w:rsidR="00774CBA">
        <w:t>ncluding depreciation with</w:t>
      </w:r>
      <w:r w:rsidRPr="00FE622E">
        <w:t xml:space="preserve"> net investment would mean it would not be </w:t>
      </w:r>
      <w:r>
        <w:t xml:space="preserve">subject to population dilution. </w:t>
      </w:r>
      <w:r w:rsidR="0022416F">
        <w:t xml:space="preserve">The algebra </w:t>
      </w:r>
      <w:proofErr w:type="gramStart"/>
      <w:r w:rsidR="0022416F">
        <w:t>is shown</w:t>
      </w:r>
      <w:proofErr w:type="gramEnd"/>
      <w:r w:rsidR="0022416F">
        <w:t xml:space="preserve"> in the box below.</w:t>
      </w:r>
      <w:r>
        <w:t xml:space="preserve"> </w:t>
      </w:r>
      <w:r w:rsidR="00E81F91">
        <w:t xml:space="preserve"> </w:t>
      </w:r>
    </w:p>
    <w:p w:rsidR="00DF3228" w:rsidRPr="00FE622E" w:rsidRDefault="00DF3228" w:rsidP="00DF3228">
      <w:pPr>
        <w:pStyle w:val="CGCNumberedPara"/>
        <w:numPr>
          <w:ilvl w:val="0"/>
          <w:numId w:val="0"/>
        </w:numPr>
        <w:ind w:left="567" w:hanging="567"/>
        <w:rPr>
          <w:rFonts w:eastAsiaTheme="minorEastAsia"/>
        </w:rPr>
      </w:pPr>
    </w:p>
    <w:tbl>
      <w:tblPr>
        <w:tblStyle w:val="TableGrid"/>
        <w:tblW w:w="0" w:type="auto"/>
        <w:tblInd w:w="567" w:type="dxa"/>
        <w:tblLook w:val="04A0" w:firstRow="1" w:lastRow="0" w:firstColumn="1" w:lastColumn="0" w:noHBand="0" w:noVBand="1"/>
      </w:tblPr>
      <w:tblGrid>
        <w:gridCol w:w="8523"/>
      </w:tblGrid>
      <w:tr w:rsidR="00261566" w:rsidTr="00434B20">
        <w:tc>
          <w:tcPr>
            <w:tcW w:w="9090" w:type="dxa"/>
            <w:tcBorders>
              <w:top w:val="nil"/>
              <w:left w:val="nil"/>
              <w:bottom w:val="nil"/>
              <w:right w:val="nil"/>
            </w:tcBorders>
            <w:shd w:val="clear" w:color="auto" w:fill="D9F3E6"/>
          </w:tcPr>
          <w:p w:rsidR="00261566" w:rsidRDefault="00774CBA" w:rsidP="00434B20">
            <w:pPr>
              <w:pStyle w:val="CGCNumberedPara"/>
              <w:numPr>
                <w:ilvl w:val="0"/>
                <w:numId w:val="0"/>
              </w:numPr>
              <w:rPr>
                <w:rFonts w:ascii="Cambria Math" w:eastAsiaTheme="minorEastAsia" w:hAnsi="Cambria Math"/>
                <w:sz w:val="20"/>
                <w:szCs w:val="20"/>
              </w:rPr>
            </w:pPr>
            <w:r>
              <w:rPr>
                <w:rFonts w:ascii="Cambria Math" w:hAnsi="Cambria Math"/>
                <w:sz w:val="20"/>
                <w:szCs w:val="20"/>
              </w:rPr>
              <w:lastRenderedPageBreak/>
              <w:t>An assessment of gross investment would combine the current asses</w:t>
            </w:r>
            <w:r w:rsidR="0022416F" w:rsidRPr="00434B20">
              <w:rPr>
                <w:rFonts w:ascii="Cambria Math" w:hAnsi="Cambria Math"/>
                <w:sz w:val="20"/>
                <w:szCs w:val="20"/>
              </w:rPr>
              <w:t>sments</w:t>
            </w:r>
            <w:r>
              <w:rPr>
                <w:rFonts w:ascii="Cambria Math" w:hAnsi="Cambria Math"/>
                <w:sz w:val="20"/>
                <w:szCs w:val="20"/>
              </w:rPr>
              <w:t xml:space="preserve"> of net </w:t>
            </w:r>
            <w:r w:rsidR="0022416F" w:rsidRPr="00155D63">
              <w:rPr>
                <w:rFonts w:ascii="Cambria Math" w:hAnsi="Cambria Math"/>
                <w:sz w:val="20"/>
                <w:szCs w:val="20"/>
              </w:rPr>
              <w:t>investment and depreciation</w:t>
            </w:r>
            <w:r w:rsidR="0022416F">
              <w:rPr>
                <w:rFonts w:ascii="Cambria Math" w:hAnsi="Cambria Math"/>
                <w:sz w:val="20"/>
                <w:szCs w:val="20"/>
              </w:rPr>
              <w:t xml:space="preserve"> (as defined in the box in paragraph </w:t>
            </w:r>
            <w:r w:rsidR="00E851F9">
              <w:rPr>
                <w:rFonts w:ascii="Cambria Math" w:hAnsi="Cambria Math"/>
                <w:sz w:val="20"/>
                <w:szCs w:val="20"/>
              </w:rPr>
              <w:fldChar w:fldCharType="begin"/>
            </w:r>
            <w:r w:rsidR="00E851F9">
              <w:rPr>
                <w:rFonts w:ascii="Cambria Math" w:hAnsi="Cambria Math"/>
                <w:sz w:val="20"/>
                <w:szCs w:val="20"/>
              </w:rPr>
              <w:instrText xml:space="preserve"> REF _Ref511217732 \r \h </w:instrText>
            </w:r>
            <w:r w:rsidR="00E851F9">
              <w:rPr>
                <w:rFonts w:ascii="Cambria Math" w:hAnsi="Cambria Math"/>
                <w:sz w:val="20"/>
                <w:szCs w:val="20"/>
              </w:rPr>
            </w:r>
            <w:r w:rsidR="00E851F9">
              <w:rPr>
                <w:rFonts w:ascii="Cambria Math" w:hAnsi="Cambria Math"/>
                <w:sz w:val="20"/>
                <w:szCs w:val="20"/>
              </w:rPr>
              <w:fldChar w:fldCharType="separate"/>
            </w:r>
            <w:r w:rsidR="00402501">
              <w:rPr>
                <w:rFonts w:ascii="Cambria Math" w:hAnsi="Cambria Math"/>
                <w:sz w:val="20"/>
                <w:szCs w:val="20"/>
              </w:rPr>
              <w:t>8</w:t>
            </w:r>
            <w:r w:rsidR="00E851F9">
              <w:rPr>
                <w:rFonts w:ascii="Cambria Math" w:hAnsi="Cambria Math"/>
                <w:sz w:val="20"/>
                <w:szCs w:val="20"/>
              </w:rPr>
              <w:fldChar w:fldCharType="end"/>
            </w:r>
            <w:r w:rsidR="0022416F">
              <w:rPr>
                <w:rFonts w:ascii="Cambria Math" w:hAnsi="Cambria Math"/>
                <w:sz w:val="20"/>
                <w:szCs w:val="20"/>
              </w:rPr>
              <w:t>).</w:t>
            </w:r>
          </w:p>
          <w:p w:rsidR="0022416F" w:rsidRPr="00F35129" w:rsidRDefault="0022416F" w:rsidP="00261566">
            <w:pPr>
              <w:ind w:left="567" w:hanging="567"/>
              <w:jc w:val="center"/>
              <w:rPr>
                <w:rFonts w:ascii="Cambria Math" w:eastAsiaTheme="minorEastAsia" w:hAnsi="Cambria Math"/>
                <w:sz w:val="20"/>
                <w:szCs w:val="20"/>
              </w:rPr>
            </w:pPr>
            <m:oMathPara>
              <m:oMathParaPr>
                <m:jc m:val="center"/>
              </m:oMathParaPr>
              <m:oMath>
                <m:r>
                  <w:rPr>
                    <w:rFonts w:ascii="Cambria Math" w:eastAsiaTheme="minorEastAsia" w:hAnsi="Cambria Math"/>
                    <w:sz w:val="20"/>
                    <w:szCs w:val="20"/>
                  </w:rPr>
                  <m:t xml:space="preserve">  </m:t>
                </m:r>
                <m:r>
                  <m:rPr>
                    <m:sty m:val="p"/>
                  </m:rPr>
                  <w:rPr>
                    <w:rFonts w:ascii="Cambria Math" w:eastAsiaTheme="minorEastAsia" w:hAnsi="Cambria Math"/>
                    <w:sz w:val="20"/>
                    <w:szCs w:val="20"/>
                  </w:rPr>
                  <m:t>Investment=</m:t>
                </m:r>
                <m:d>
                  <m:dPr>
                    <m:begChr m:val="["/>
                    <m:endChr m:val="]"/>
                    <m:ctrlPr>
                      <w:rPr>
                        <w:rFonts w:ascii="Cambria Math" w:hAnsi="Cambria Math"/>
                        <w:sz w:val="20"/>
                        <w:szCs w:val="20"/>
                      </w:rPr>
                    </m:ctrlPr>
                  </m:dPr>
                  <m:e>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1</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,1</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u</m:t>
                            </m:r>
                          </m:sup>
                        </m:sSubSup>
                      </m:e>
                    </m:d>
                    <m:r>
                      <m:rPr>
                        <m:sty m:val="p"/>
                      </m:rPr>
                      <w:rPr>
                        <w:rFonts w:ascii="Cambria Math" w:hAnsi="Cambria Math"/>
                        <w:sz w:val="20"/>
                        <w:szCs w:val="20"/>
                      </w:rPr>
                      <m:t>-</m:t>
                    </m:r>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0</m:t>
                                </m:r>
                              </m:sub>
                            </m:sSub>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0</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,0</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,0</m:t>
                            </m:r>
                          </m:sub>
                          <m:sup>
                            <m:r>
                              <w:rPr>
                                <w:rFonts w:ascii="Cambria Math" w:hAnsi="Cambria Math"/>
                                <w:sz w:val="20"/>
                                <w:szCs w:val="20"/>
                              </w:rPr>
                              <m:t>u</m:t>
                            </m:r>
                          </m:sup>
                        </m:sSubSup>
                      </m:e>
                    </m:d>
                  </m:e>
                </m:d>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sub>
                  <m:sup>
                    <m:r>
                      <w:rPr>
                        <w:rFonts w:ascii="Cambria Math" w:hAnsi="Cambria Math"/>
                        <w:sz w:val="20"/>
                        <w:szCs w:val="20"/>
                      </w:rPr>
                      <m:t>C</m:t>
                    </m:r>
                  </m:sup>
                </m:sSubSup>
              </m:oMath>
            </m:oMathPara>
          </w:p>
          <w:p w:rsidR="0022416F" w:rsidRPr="00EB4912" w:rsidRDefault="00774CBA" w:rsidP="00261566">
            <w:pPr>
              <w:ind w:left="567" w:hanging="567"/>
              <w:jc w:val="center"/>
              <w:rPr>
                <w:rFonts w:ascii="Cambria Math" w:eastAsiaTheme="minorEastAsia" w:hAnsi="Cambria Math"/>
                <w:sz w:val="20"/>
                <w:szCs w:val="20"/>
              </w:rPr>
            </w:pPr>
            <m:oMathPara>
              <m:oMathParaPr>
                <m:jc m:val="center"/>
              </m:oMathParaPr>
              <m:oMath>
                <m:r>
                  <m:rPr>
                    <m:sty m:val="p"/>
                  </m:rPr>
                  <w:rPr>
                    <w:rFonts w:ascii="Cambria Math" w:hAnsi="Cambria Math"/>
                    <w:sz w:val="20"/>
                    <w:szCs w:val="20"/>
                  </w:rPr>
                  <m:t xml:space="preserve">Depreciation= </m:t>
                </m:r>
                <m:f>
                  <m:fPr>
                    <m:ctrlPr>
                      <w:rPr>
                        <w:rFonts w:ascii="Cambria Math" w:hAnsi="Cambria Math"/>
                        <w:sz w:val="20"/>
                        <w:szCs w:val="20"/>
                      </w:rPr>
                    </m:ctrlPr>
                  </m:fPr>
                  <m:num>
                    <m:r>
                      <w:rPr>
                        <w:rFonts w:ascii="Cambria Math" w:hAnsi="Cambria Math"/>
                        <w:sz w:val="20"/>
                        <w:szCs w:val="20"/>
                      </w:rPr>
                      <m:t>D</m:t>
                    </m:r>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1</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,1</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u</m:t>
                    </m:r>
                  </m:sup>
                </m:sSubSup>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sub>
                  <m:sup>
                    <m:r>
                      <w:rPr>
                        <w:rFonts w:ascii="Cambria Math" w:hAnsi="Cambria Math"/>
                        <w:sz w:val="20"/>
                        <w:szCs w:val="20"/>
                      </w:rPr>
                      <m:t>C</m:t>
                    </m:r>
                  </m:sup>
                </m:sSubSup>
              </m:oMath>
            </m:oMathPara>
          </w:p>
          <w:p w:rsidR="0022416F" w:rsidRDefault="00261566" w:rsidP="00434B20">
            <w:pPr>
              <w:rPr>
                <w:rFonts w:ascii="Cambria Math" w:eastAsiaTheme="minorEastAsia" w:hAnsi="Cambria Math"/>
                <w:sz w:val="20"/>
                <w:szCs w:val="20"/>
              </w:rPr>
            </w:pPr>
            <w:r w:rsidRPr="00434B20">
              <w:rPr>
                <w:rFonts w:ascii="Cambria Math" w:hAnsi="Cambria Math"/>
                <w:sz w:val="20"/>
                <w:szCs w:val="20"/>
              </w:rPr>
              <w:t xml:space="preserve">Opening stock of capital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0</m:t>
                  </m:r>
                </m:sub>
              </m:sSub>
            </m:oMath>
            <w:r w:rsidRPr="00434B20">
              <w:rPr>
                <w:rFonts w:ascii="Cambria Math" w:eastAsiaTheme="minorEastAsia" w:hAnsi="Cambria Math"/>
                <w:sz w:val="20"/>
                <w:szCs w:val="20"/>
              </w:rPr>
              <w:t xml:space="preserve"> </w:t>
            </w:r>
            <w:proofErr w:type="gramStart"/>
            <w:r w:rsidRPr="00434B20">
              <w:rPr>
                <w:rFonts w:ascii="Cambria Math" w:eastAsiaTheme="minorEastAsia" w:hAnsi="Cambria Math"/>
                <w:sz w:val="20"/>
                <w:szCs w:val="20"/>
              </w:rPr>
              <w:t>i</w:t>
            </w:r>
            <w:r w:rsidRPr="00434B20">
              <w:rPr>
                <w:rFonts w:ascii="Cambria Math" w:hAnsi="Cambria Math"/>
                <w:sz w:val="20"/>
                <w:szCs w:val="20"/>
              </w:rPr>
              <w:t>s defined</w:t>
            </w:r>
            <w:proofErr w:type="gramEnd"/>
            <w:r w:rsidRPr="00434B20">
              <w:rPr>
                <w:rFonts w:ascii="Cambria Math" w:hAnsi="Cambria Math"/>
                <w:sz w:val="20"/>
                <w:szCs w:val="20"/>
              </w:rPr>
              <w:t xml:space="preserve"> as closing stock less net investment: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GI-D</m:t>
                  </m:r>
                </m:e>
              </m:d>
              <m:r>
                <w:rPr>
                  <w:rFonts w:ascii="Cambria Math" w:hAnsi="Cambria Math"/>
                  <w:sz w:val="20"/>
                  <w:szCs w:val="20"/>
                </w:rPr>
                <m:t xml:space="preserve">, </m:t>
              </m:r>
            </m:oMath>
            <w:r w:rsidR="00B22C5F">
              <w:rPr>
                <w:rFonts w:ascii="Cambria Math" w:eastAsiaTheme="minorEastAsia" w:hAnsi="Cambria Math"/>
                <w:sz w:val="20"/>
                <w:szCs w:val="20"/>
              </w:rPr>
              <w:t xml:space="preserve"> w</w:t>
            </w:r>
            <w:r w:rsidR="0022416F">
              <w:rPr>
                <w:rFonts w:ascii="Cambria Math" w:eastAsiaTheme="minorEastAsia" w:hAnsi="Cambria Math"/>
                <w:sz w:val="20"/>
                <w:szCs w:val="20"/>
              </w:rPr>
              <w:t xml:space="preserve">here </w:t>
            </w:r>
            <m:oMath>
              <m:r>
                <w:rPr>
                  <w:rFonts w:ascii="Cambria Math" w:hAnsi="Cambria Math"/>
                  <w:sz w:val="20"/>
                  <w:szCs w:val="20"/>
                </w:rPr>
                <m:t>GI</m:t>
              </m:r>
            </m:oMath>
            <w:r w:rsidR="00B22C5F">
              <w:rPr>
                <w:rFonts w:ascii="Cambria Math" w:eastAsiaTheme="minorEastAsia" w:hAnsi="Cambria Math"/>
                <w:sz w:val="20"/>
                <w:szCs w:val="20"/>
              </w:rPr>
              <w:t xml:space="preserve"> </w:t>
            </w:r>
            <w:r w:rsidR="0022416F">
              <w:rPr>
                <w:rFonts w:ascii="Cambria Math" w:eastAsiaTheme="minorEastAsia" w:hAnsi="Cambria Math"/>
                <w:sz w:val="20"/>
                <w:szCs w:val="20"/>
              </w:rPr>
              <w:t>is gross investment</w:t>
            </w:r>
            <w:r w:rsidR="00AF3D4D">
              <w:rPr>
                <w:rFonts w:ascii="Cambria Math" w:eastAsiaTheme="minorEastAsia" w:hAnsi="Cambria Math"/>
                <w:sz w:val="20"/>
                <w:szCs w:val="20"/>
              </w:rPr>
              <w:t>.</w:t>
            </w:r>
          </w:p>
          <w:p w:rsidR="00261566" w:rsidRDefault="0022416F" w:rsidP="00434B20">
            <w:pPr>
              <w:rPr>
                <w:rFonts w:ascii="Cambria Math" w:eastAsiaTheme="minorEastAsia" w:hAnsi="Cambria Math"/>
                <w:sz w:val="20"/>
                <w:szCs w:val="20"/>
              </w:rPr>
            </w:pPr>
            <w:r>
              <w:rPr>
                <w:rFonts w:ascii="Cambria Math" w:eastAsiaTheme="minorEastAsia" w:hAnsi="Cambria Math"/>
                <w:sz w:val="20"/>
                <w:szCs w:val="20"/>
              </w:rPr>
              <w:t xml:space="preserve">If we replace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0</m:t>
                  </m:r>
                </m:sub>
              </m:sSub>
            </m:oMath>
            <w:r w:rsidRPr="00A726E0">
              <w:rPr>
                <w:rFonts w:ascii="Cambria Math" w:eastAsiaTheme="minorEastAsia" w:hAnsi="Cambria Math"/>
                <w:sz w:val="20"/>
                <w:szCs w:val="20"/>
              </w:rPr>
              <w:t xml:space="preserve"> </w:t>
            </w:r>
            <w:r>
              <w:rPr>
                <w:rFonts w:ascii="Cambria Math" w:eastAsiaTheme="minorEastAsia" w:hAnsi="Cambria Math"/>
                <w:sz w:val="20"/>
                <w:szCs w:val="20"/>
              </w:rPr>
              <w:t xml:space="preserve">with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-(GI-</m:t>
              </m:r>
              <m:r>
                <m:rPr>
                  <m:sty m:val="p"/>
                </m:rPr>
                <w:rPr>
                  <w:rFonts w:ascii="Cambria Math" w:hAnsi="Cambria Math"/>
                  <w:sz w:val="20"/>
                  <w:szCs w:val="20"/>
                </w:rPr>
                <m:t>D</m:t>
              </m:r>
              <m:r>
                <w:rPr>
                  <w:rFonts w:ascii="Cambria Math" w:hAnsi="Cambria Math"/>
                  <w:sz w:val="20"/>
                  <w:szCs w:val="20"/>
                </w:rPr>
                <m:t>)</m:t>
              </m:r>
            </m:oMath>
            <w:r w:rsidR="00261566" w:rsidRPr="00434B20">
              <w:rPr>
                <w:rFonts w:ascii="Cambria Math" w:eastAsiaTheme="minorEastAsia" w:hAnsi="Cambria Math"/>
                <w:sz w:val="20"/>
                <w:szCs w:val="20"/>
              </w:rPr>
              <w:t xml:space="preserve">, </w:t>
            </w:r>
            <w:r w:rsidR="00434B20">
              <w:rPr>
                <w:rFonts w:ascii="Cambria Math" w:eastAsiaTheme="minorEastAsia" w:hAnsi="Cambria Math"/>
                <w:sz w:val="20"/>
                <w:szCs w:val="20"/>
              </w:rPr>
              <w:t xml:space="preserve">the full equation of both assessments </w:t>
            </w:r>
            <w:r w:rsidR="00261566" w:rsidRPr="00434B20">
              <w:rPr>
                <w:rFonts w:ascii="Cambria Math" w:eastAsiaTheme="minorEastAsia" w:hAnsi="Cambria Math"/>
                <w:sz w:val="20"/>
                <w:szCs w:val="20"/>
              </w:rPr>
              <w:t>becomes:</w:t>
            </w:r>
          </w:p>
          <w:p w:rsidR="00261566" w:rsidRPr="00434B20" w:rsidRDefault="00234829" w:rsidP="00261566">
            <w:pPr>
              <w:ind w:left="567"/>
              <w:jc w:val="center"/>
              <w:rPr>
                <w:rFonts w:ascii="Cambria Math" w:hAnsi="Cambria Math"/>
                <w:sz w:val="20"/>
                <w:szCs w:val="20"/>
              </w:rPr>
            </w:pPr>
            <m:oMathPara>
              <m:oMathParaPr>
                <m:jc m:val="center"/>
              </m:oMathParaPr>
              <m:oMath>
                <m:r>
                  <m:rPr>
                    <m:sty m:val="p"/>
                  </m:rPr>
                  <w:rPr>
                    <w:rFonts w:ascii="Cambria Math" w:hAnsi="Cambria Math"/>
                    <w:sz w:val="20"/>
                    <w:szCs w:val="20"/>
                  </w:rPr>
                  <m:t xml:space="preserve"> </m:t>
                </m:r>
                <m:d>
                  <m:dPr>
                    <m:begChr m:val="["/>
                    <m:endChr m:val="]"/>
                    <m:ctrlPr>
                      <w:rPr>
                        <w:rFonts w:ascii="Cambria Math" w:hAnsi="Cambria Math"/>
                        <w:sz w:val="20"/>
                        <w:szCs w:val="20"/>
                      </w:rPr>
                    </m:ctrlPr>
                  </m:dPr>
                  <m:e>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1</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,1</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u</m:t>
                            </m:r>
                          </m:sup>
                        </m:sSubSup>
                      </m:e>
                    </m:d>
                    <m:r>
                      <m:rPr>
                        <m:sty m:val="p"/>
                      </m:rPr>
                      <w:rPr>
                        <w:rFonts w:ascii="Cambria Math" w:hAnsi="Cambria Math"/>
                        <w:sz w:val="20"/>
                        <w:szCs w:val="20"/>
                      </w:rPr>
                      <m:t>-</m:t>
                    </m:r>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r>
                              <m:rPr>
                                <m:sty m:val="p"/>
                              </m:rPr>
                              <w:rPr>
                                <w:rFonts w:ascii="Cambria Math" w:hAnsi="Cambria Math"/>
                                <w:sz w:val="20"/>
                                <w:szCs w:val="20"/>
                              </w:rPr>
                              <m:t>-(</m:t>
                            </m:r>
                            <m:r>
                              <w:rPr>
                                <w:rFonts w:ascii="Cambria Math" w:hAnsi="Cambria Math"/>
                                <w:sz w:val="20"/>
                                <w:szCs w:val="20"/>
                              </w:rPr>
                              <m:t>GI</m:t>
                            </m:r>
                            <m:r>
                              <m:rPr>
                                <m:sty m:val="p"/>
                              </m:rPr>
                              <w:rPr>
                                <w:rFonts w:ascii="Cambria Math" w:hAnsi="Cambria Math"/>
                                <w:sz w:val="20"/>
                                <w:szCs w:val="20"/>
                              </w:rPr>
                              <m:t>-D)</m:t>
                            </m:r>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0</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,0</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,0</m:t>
                            </m:r>
                          </m:sub>
                          <m:sup>
                            <m:r>
                              <w:rPr>
                                <w:rFonts w:ascii="Cambria Math" w:hAnsi="Cambria Math"/>
                                <w:sz w:val="20"/>
                                <w:szCs w:val="20"/>
                              </w:rPr>
                              <m:t>u</m:t>
                            </m:r>
                          </m:sup>
                        </m:sSubSup>
                      </m:e>
                    </m:d>
                  </m:e>
                </m:d>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sub>
                  <m:sup>
                    <m:r>
                      <w:rPr>
                        <w:rFonts w:ascii="Cambria Math" w:hAnsi="Cambria Math"/>
                        <w:sz w:val="20"/>
                        <w:szCs w:val="20"/>
                      </w:rPr>
                      <m:t>C</m:t>
                    </m:r>
                  </m:sup>
                </m:sSubSup>
                <m:r>
                  <m:rPr>
                    <m:sty m:val="p"/>
                  </m:rPr>
                  <w:rPr>
                    <w:rFonts w:ascii="Cambria Math" w:hAnsi="Cambria Math"/>
                    <w:sz w:val="20"/>
                    <w:szCs w:val="20"/>
                  </w:rPr>
                  <m:t xml:space="preserve">+ </m:t>
                </m:r>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D</m:t>
                        </m:r>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1</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,1</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u</m:t>
                        </m:r>
                      </m:sup>
                    </m:sSubSup>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sub>
                      <m:sup>
                        <m:r>
                          <w:rPr>
                            <w:rFonts w:ascii="Cambria Math" w:hAnsi="Cambria Math"/>
                            <w:sz w:val="20"/>
                            <w:szCs w:val="20"/>
                          </w:rPr>
                          <m:t>C</m:t>
                        </m:r>
                      </m:sup>
                    </m:sSubSup>
                  </m:e>
                </m:d>
              </m:oMath>
            </m:oMathPara>
          </w:p>
          <w:p w:rsidR="00261566" w:rsidRPr="00434B20" w:rsidRDefault="0022416F" w:rsidP="00434B20">
            <w:pPr>
              <w:rPr>
                <w:rFonts w:ascii="Cambria Math" w:hAnsi="Cambria Math"/>
                <w:sz w:val="20"/>
                <w:szCs w:val="20"/>
              </w:rPr>
            </w:pPr>
            <w:r w:rsidRPr="00F35129">
              <w:rPr>
                <w:rFonts w:ascii="Cambria Math" w:hAnsi="Cambria Math"/>
                <w:sz w:val="20"/>
                <w:szCs w:val="20"/>
              </w:rPr>
              <w:t>This can be rearranged</w:t>
            </w:r>
            <w:r w:rsidR="00F35129">
              <w:rPr>
                <w:rFonts w:ascii="Cambria Math" w:hAnsi="Cambria Math"/>
                <w:sz w:val="20"/>
                <w:szCs w:val="20"/>
              </w:rPr>
              <w:t xml:space="preserve"> to</w:t>
            </w:r>
            <w:r w:rsidR="00261566" w:rsidRPr="00434B20">
              <w:rPr>
                <w:rFonts w:ascii="Cambria Math" w:hAnsi="Cambria Math"/>
                <w:sz w:val="20"/>
                <w:szCs w:val="20"/>
              </w:rPr>
              <w:t xml:space="preserve">: </w:t>
            </w:r>
          </w:p>
          <w:p w:rsidR="0022416F" w:rsidRPr="007B3575" w:rsidRDefault="00402501" w:rsidP="00054157">
            <w:pPr>
              <w:ind w:left="567"/>
              <w:jc w:val="center"/>
              <w:rPr>
                <w:rFonts w:ascii="Cambria Math" w:eastAsiaTheme="minorEastAsia" w:hAnsi="Cambria Math"/>
                <w:sz w:val="20"/>
                <w:szCs w:val="20"/>
              </w:rPr>
            </w:pPr>
            <m:oMathPara>
              <m:oMath>
                <m:d>
                  <m:dPr>
                    <m:ctrlPr>
                      <w:rPr>
                        <w:rFonts w:ascii="Cambria Math" w:hAnsi="Cambria Math"/>
                        <w:i/>
                        <w:sz w:val="20"/>
                        <w:szCs w:val="20"/>
                      </w:rPr>
                    </m:ctrlPr>
                  </m:dPr>
                  <m:e>
                    <m:r>
                      <w:rPr>
                        <w:rFonts w:ascii="Cambria Math" w:hAnsi="Cambria Math"/>
                        <w:sz w:val="20"/>
                        <w:szCs w:val="20"/>
                      </w:rPr>
                      <m:t>1</m:t>
                    </m:r>
                  </m:e>
                </m:d>
                <m:r>
                  <w:rPr>
                    <w:rFonts w:ascii="Cambria Math" w:hAnsi="Cambria Math"/>
                    <w:sz w:val="20"/>
                    <w:szCs w:val="20"/>
                  </w:rPr>
                  <m:t xml:space="preserve"> </m:t>
                </m:r>
                <m:d>
                  <m:dPr>
                    <m:begChr m:val="["/>
                    <m:endChr m:val="]"/>
                    <m:ctrlPr>
                      <w:rPr>
                        <w:rFonts w:ascii="Cambria Math" w:hAnsi="Cambria Math"/>
                        <w:sz w:val="20"/>
                        <w:szCs w:val="20"/>
                      </w:rPr>
                    </m:ctrlPr>
                  </m:dPr>
                  <m:e>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1</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,1</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u</m:t>
                            </m:r>
                          </m:sup>
                        </m:sSubSup>
                      </m:e>
                    </m:d>
                    <m:r>
                      <m:rPr>
                        <m:sty m:val="p"/>
                      </m:rPr>
                      <w:rPr>
                        <w:rFonts w:ascii="Cambria Math" w:hAnsi="Cambria Math"/>
                        <w:sz w:val="20"/>
                        <w:szCs w:val="20"/>
                      </w:rPr>
                      <m:t>-</m:t>
                    </m:r>
                    <m:d>
                      <m:dPr>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K</m:t>
                                </m:r>
                              </m:e>
                              <m:sub>
                                <m:r>
                                  <m:rPr>
                                    <m:sty m:val="p"/>
                                  </m:rPr>
                                  <w:rPr>
                                    <w:rFonts w:ascii="Cambria Math" w:hAnsi="Cambria Math"/>
                                    <w:sz w:val="20"/>
                                    <w:szCs w:val="20"/>
                                  </w:rPr>
                                  <m:t>1</m:t>
                                </m:r>
                              </m:sub>
                            </m:sSub>
                            <m:r>
                              <m:rPr>
                                <m:sty m:val="p"/>
                              </m:rPr>
                              <w:rPr>
                                <w:rFonts w:ascii="Cambria Math" w:hAnsi="Cambria Math"/>
                                <w:sz w:val="20"/>
                                <w:szCs w:val="20"/>
                              </w:rPr>
                              <m:t>-</m:t>
                            </m:r>
                            <m:r>
                              <w:rPr>
                                <w:rFonts w:ascii="Cambria Math" w:hAnsi="Cambria Math"/>
                                <w:sz w:val="20"/>
                                <w:szCs w:val="20"/>
                              </w:rPr>
                              <m:t>GI</m:t>
                            </m:r>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0</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,0</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,0</m:t>
                            </m:r>
                          </m:sub>
                          <m:sup>
                            <m:r>
                              <w:rPr>
                                <w:rFonts w:ascii="Cambria Math" w:hAnsi="Cambria Math"/>
                                <w:sz w:val="20"/>
                                <w:szCs w:val="20"/>
                              </w:rPr>
                              <m:t>u</m:t>
                            </m:r>
                          </m:sup>
                        </m:sSubSup>
                      </m:e>
                    </m:d>
                  </m:e>
                </m:d>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sub>
                  <m:sup>
                    <m:r>
                      <w:rPr>
                        <w:rFonts w:ascii="Cambria Math" w:hAnsi="Cambria Math"/>
                        <w:sz w:val="20"/>
                        <w:szCs w:val="20"/>
                      </w:rPr>
                      <m:t>C</m:t>
                    </m:r>
                  </m:sup>
                </m:sSubSup>
                <m:r>
                  <m:rPr>
                    <m:sty m:val="p"/>
                  </m:rPr>
                  <w:rPr>
                    <w:rFonts w:ascii="Cambria Math" w:hAnsi="Cambria Math"/>
                    <w:sz w:val="20"/>
                    <w:szCs w:val="20"/>
                  </w:rPr>
                  <m:t>+</m:t>
                </m:r>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D</m:t>
                        </m:r>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1</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,1</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,1</m:t>
                        </m:r>
                      </m:sub>
                      <m:sup>
                        <m:r>
                          <w:rPr>
                            <w:rFonts w:ascii="Cambria Math" w:hAnsi="Cambria Math"/>
                            <w:sz w:val="20"/>
                            <w:szCs w:val="20"/>
                          </w:rPr>
                          <m:t>u</m:t>
                        </m:r>
                      </m:sup>
                    </m:sSubSup>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sub>
                      <m:sup>
                        <m:r>
                          <w:rPr>
                            <w:rFonts w:ascii="Cambria Math" w:hAnsi="Cambria Math"/>
                            <w:sz w:val="20"/>
                            <w:szCs w:val="20"/>
                          </w:rPr>
                          <m:t>C</m:t>
                        </m:r>
                      </m:sup>
                    </m:sSubSup>
                  </m:e>
                </m:d>
                <m:r>
                  <m:rPr>
                    <m:sty m:val="p"/>
                  </m:rPr>
                  <w:rPr>
                    <w:rFonts w:ascii="Cambria Math" w:hAnsi="Cambria Math"/>
                    <w:sz w:val="20"/>
                    <w:szCs w:val="20"/>
                  </w:rPr>
                  <m:t xml:space="preserve">- </m:t>
                </m:r>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D</m:t>
                        </m:r>
                      </m:num>
                      <m:den>
                        <m:sSub>
                          <m:sSubPr>
                            <m:ctrlPr>
                              <w:rPr>
                                <w:rFonts w:ascii="Cambria Math" w:hAnsi="Cambria Math"/>
                                <w:sz w:val="20"/>
                                <w:szCs w:val="20"/>
                              </w:rPr>
                            </m:ctrlPr>
                          </m:sSubPr>
                          <m:e>
                            <m:r>
                              <w:rPr>
                                <w:rFonts w:ascii="Cambria Math" w:hAnsi="Cambria Math"/>
                                <w:sz w:val="20"/>
                                <w:szCs w:val="20"/>
                              </w:rPr>
                              <m:t>P</m:t>
                            </m:r>
                          </m:e>
                          <m:sub>
                            <m:r>
                              <m:rPr>
                                <m:sty m:val="p"/>
                              </m:rPr>
                              <w:rPr>
                                <w:rFonts w:ascii="Cambria Math" w:hAnsi="Cambria Math"/>
                                <w:sz w:val="20"/>
                                <w:szCs w:val="20"/>
                              </w:rPr>
                              <m:t>0</m:t>
                            </m:r>
                          </m:sub>
                        </m:sSub>
                      </m:den>
                    </m:f>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r>
                          <m:rPr>
                            <m:sty m:val="p"/>
                          </m:rPr>
                          <w:rPr>
                            <w:rFonts w:ascii="Cambria Math" w:hAnsi="Cambria Math"/>
                            <w:sz w:val="20"/>
                            <w:szCs w:val="20"/>
                          </w:rPr>
                          <m:t>,0</m:t>
                        </m:r>
                      </m:sub>
                    </m:sSub>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r>
                          <m:rPr>
                            <m:sty m:val="p"/>
                          </m:rPr>
                          <w:rPr>
                            <w:rFonts w:ascii="Cambria Math" w:hAnsi="Cambria Math"/>
                            <w:sz w:val="20"/>
                            <w:szCs w:val="20"/>
                          </w:rPr>
                          <m:t>,0</m:t>
                        </m:r>
                      </m:sub>
                      <m:sup>
                        <m:r>
                          <w:rPr>
                            <w:rFonts w:ascii="Cambria Math" w:hAnsi="Cambria Math"/>
                            <w:sz w:val="20"/>
                            <w:szCs w:val="20"/>
                          </w:rPr>
                          <m:t>u</m:t>
                        </m:r>
                      </m:sup>
                    </m:sSubSup>
                    <m:sSubSup>
                      <m:sSubSupPr>
                        <m:ctrlPr>
                          <w:rPr>
                            <w:rFonts w:ascii="Cambria Math" w:hAnsi="Cambria Math"/>
                            <w:sz w:val="20"/>
                            <w:szCs w:val="20"/>
                          </w:rPr>
                        </m:ctrlPr>
                      </m:sSubSupPr>
                      <m:e>
                        <m:r>
                          <w:rPr>
                            <w:rFonts w:ascii="Cambria Math" w:hAnsi="Cambria Math"/>
                            <w:sz w:val="20"/>
                            <w:szCs w:val="20"/>
                          </w:rPr>
                          <m:t>δ</m:t>
                        </m:r>
                      </m:e>
                      <m:sub>
                        <m:r>
                          <w:rPr>
                            <w:rFonts w:ascii="Cambria Math" w:hAnsi="Cambria Math"/>
                            <w:sz w:val="20"/>
                            <w:szCs w:val="20"/>
                          </w:rPr>
                          <m:t>i</m:t>
                        </m:r>
                      </m:sub>
                      <m:sup>
                        <m:r>
                          <w:rPr>
                            <w:rFonts w:ascii="Cambria Math" w:hAnsi="Cambria Math"/>
                            <w:sz w:val="20"/>
                            <w:szCs w:val="20"/>
                          </w:rPr>
                          <m:t>C</m:t>
                        </m:r>
                      </m:sup>
                    </m:sSubSup>
                  </m:e>
                </m:d>
              </m:oMath>
            </m:oMathPara>
          </w:p>
        </w:tc>
      </w:tr>
    </w:tbl>
    <w:p w:rsidR="00FE622E" w:rsidRPr="00FE622E" w:rsidRDefault="00FE622E" w:rsidP="00FE622E">
      <w:pPr>
        <w:pStyle w:val="CGCNumberedPara"/>
      </w:pPr>
      <w:r w:rsidRPr="00FE622E">
        <w:t xml:space="preserve">The two last </w:t>
      </w:r>
      <w:r w:rsidR="00434B20">
        <w:t xml:space="preserve">bracketed </w:t>
      </w:r>
      <w:r w:rsidRPr="00FE622E">
        <w:t>terms of equation (</w:t>
      </w:r>
      <w:r w:rsidR="007B3575">
        <w:t>1</w:t>
      </w:r>
      <w:r w:rsidRPr="00FE622E">
        <w:t xml:space="preserve">) are very similar estimates of depreciation. If these were identical and cancelled each other out, then </w:t>
      </w:r>
      <w:r w:rsidR="00BC5B4A">
        <w:t>an</w:t>
      </w:r>
      <w:r w:rsidRPr="00FE622E">
        <w:t xml:space="preserve"> assessment </w:t>
      </w:r>
      <w:r>
        <w:t xml:space="preserve">of gross investment </w:t>
      </w:r>
      <w:r w:rsidRPr="00FE622E">
        <w:t xml:space="preserve">would be exactly equivalent to a net assessment with an accompanying depreciation assessment. </w:t>
      </w:r>
    </w:p>
    <w:p w:rsidR="00FE622E" w:rsidRPr="00FE622E" w:rsidRDefault="00FE622E" w:rsidP="00FE622E">
      <w:pPr>
        <w:pStyle w:val="CGCNumberedPara"/>
      </w:pPr>
      <w:r w:rsidRPr="00FE622E">
        <w:t>However, the two depreciation terms are not identical. One uses the opening population share and stock factors</w:t>
      </w:r>
      <w:r w:rsidR="00AB2C48">
        <w:t xml:space="preserve"> while</w:t>
      </w:r>
      <w:r w:rsidRPr="00FE622E">
        <w:t xml:space="preserve"> the other uses the closing population share and stock factors. This difference </w:t>
      </w:r>
      <w:proofErr w:type="gramStart"/>
      <w:r w:rsidR="00AB2C48">
        <w:t>can, in some years, be</w:t>
      </w:r>
      <w:proofErr w:type="gramEnd"/>
      <w:r w:rsidR="00AB2C48">
        <w:t xml:space="preserve"> material. F</w:t>
      </w:r>
      <w:r w:rsidRPr="00FE622E">
        <w:t>or example</w:t>
      </w:r>
      <w:r w:rsidR="00AB2C48">
        <w:t>,</w:t>
      </w:r>
      <w:r w:rsidRPr="00FE622E">
        <w:t xml:space="preserve"> in the 2018</w:t>
      </w:r>
      <w:r>
        <w:t> </w:t>
      </w:r>
      <w:r w:rsidRPr="00FE622E">
        <w:t>Update, the Northern Territory ha</w:t>
      </w:r>
      <w:r w:rsidR="00AB2C48">
        <w:t>d</w:t>
      </w:r>
      <w:r w:rsidRPr="00FE622E">
        <w:t xml:space="preserve"> rapidly changing capital stock disabilities</w:t>
      </w:r>
      <w:r>
        <w:t xml:space="preserve"> and population</w:t>
      </w:r>
      <w:r w:rsidRPr="00FE622E">
        <w:t>. Earlier in this paper, we discussed the option of using single year disabil</w:t>
      </w:r>
      <w:r w:rsidR="00AB2C48">
        <w:t>ities in the capital assessment</w:t>
      </w:r>
      <w:r w:rsidRPr="00FE622E">
        <w:t xml:space="preserve"> (see paragraph </w:t>
      </w:r>
      <w:r w:rsidRPr="00FE622E">
        <w:fldChar w:fldCharType="begin"/>
      </w:r>
      <w:r w:rsidRPr="00FE622E">
        <w:instrText xml:space="preserve"> REF _Ref508193779 \r \h  \* MERGEFORMAT </w:instrText>
      </w:r>
      <w:r w:rsidRPr="00FE622E">
        <w:fldChar w:fldCharType="separate"/>
      </w:r>
      <w:r w:rsidR="00402501">
        <w:t>65</w:t>
      </w:r>
      <w:r w:rsidRPr="00FE622E">
        <w:fldChar w:fldCharType="end"/>
      </w:r>
      <w:r w:rsidRPr="00FE622E">
        <w:t xml:space="preserve">). If this were to </w:t>
      </w:r>
      <w:proofErr w:type="gramStart"/>
      <w:r w:rsidRPr="00FE622E">
        <w:t>be adopted</w:t>
      </w:r>
      <w:proofErr w:type="gramEnd"/>
      <w:r w:rsidRPr="00FE622E">
        <w:t xml:space="preserve">, the only difference would be population. </w:t>
      </w:r>
    </w:p>
    <w:p w:rsidR="00FE622E" w:rsidRDefault="00FE622E" w:rsidP="00FE622E">
      <w:pPr>
        <w:pStyle w:val="CGCNumberedPara"/>
      </w:pPr>
      <w:r>
        <w:t xml:space="preserve">Gross and net assessments produce similar outcomes. Moving to an assessment of gross investment would simplify the assessments by removing moving parts. It would also arguably increase transparency, as depreciation reflects an allowance for spending, rather than actual state expenditure. This change </w:t>
      </w:r>
      <w:r w:rsidR="003E0AC3">
        <w:t xml:space="preserve">would also </w:t>
      </w:r>
      <w:r>
        <w:t xml:space="preserve">dramatically reduce the confusing prospect of negative </w:t>
      </w:r>
      <w:r w:rsidR="003E0AC3">
        <w:t xml:space="preserve">net </w:t>
      </w:r>
      <w:r>
        <w:t>investment that sometimes occurs in the current assessment.</w:t>
      </w:r>
    </w:p>
    <w:p w:rsidR="00E851F9" w:rsidRDefault="00FE622E" w:rsidP="00E851F9">
      <w:pPr>
        <w:pStyle w:val="CGCNumberedPara"/>
      </w:pPr>
      <w:bookmarkStart w:id="93" w:name="_Ref508279596"/>
      <w:proofErr w:type="gramStart"/>
      <w:r>
        <w:t>Staff note</w:t>
      </w:r>
      <w:proofErr w:type="gramEnd"/>
      <w:r>
        <w:t xml:space="preserve"> that the calculation of a single gross investment </w:t>
      </w:r>
      <w:r w:rsidR="00BC5B4A">
        <w:t xml:space="preserve">assessment </w:t>
      </w:r>
      <w:r>
        <w:t xml:space="preserve">does group together a recurrent expense (depreciation) and a capital expense (net investment). This makes presentation of total recurrent expenses difficult. For presentation purposes it would be possible to split depreciation and investment, although </w:t>
      </w:r>
      <w:proofErr w:type="gramStart"/>
      <w:r>
        <w:t>this</w:t>
      </w:r>
      <w:r w:rsidR="002C7429">
        <w:t xml:space="preserve"> </w:t>
      </w:r>
      <w:r>
        <w:t xml:space="preserve"> </w:t>
      </w:r>
      <w:r w:rsidR="00C61047">
        <w:t>would</w:t>
      </w:r>
      <w:proofErr w:type="gramEnd"/>
      <w:r>
        <w:t xml:space="preserve"> remove most of the benefits of combining the</w:t>
      </w:r>
      <w:r w:rsidRPr="00BE5136">
        <w:t>m.</w:t>
      </w:r>
      <w:bookmarkEnd w:id="93"/>
      <w:r w:rsidRPr="00BE5136">
        <w:t xml:space="preserve"> </w:t>
      </w:r>
    </w:p>
    <w:p w:rsidR="002707EA" w:rsidRDefault="002707EA" w:rsidP="002707EA">
      <w:pPr>
        <w:pStyle w:val="Heading5"/>
      </w:pPr>
      <w:r>
        <w:lastRenderedPageBreak/>
        <w:t>Recurrent versus capital disabilities</w:t>
      </w:r>
    </w:p>
    <w:p w:rsidR="002707EA" w:rsidRDefault="002707EA" w:rsidP="002707EA">
      <w:pPr>
        <w:pStyle w:val="CGCNumberedPara"/>
      </w:pPr>
      <w:r>
        <w:t xml:space="preserve">Currently stock disabilities for all categories excluding roads and urban transport </w:t>
      </w:r>
      <w:proofErr w:type="gramStart"/>
      <w:r>
        <w:t>are based</w:t>
      </w:r>
      <w:proofErr w:type="gramEnd"/>
      <w:r>
        <w:t xml:space="preserve"> on recurrent disabilities. When category assessments are more settled</w:t>
      </w:r>
      <w:r w:rsidR="00AB2C48">
        <w:t>,</w:t>
      </w:r>
      <w:r>
        <w:t xml:space="preserve"> staff will examine recurrent disabilities and determine whether they reflect asset needs adequately. At </w:t>
      </w:r>
      <w:r w:rsidR="00BC5B4A">
        <w:t xml:space="preserve">that </w:t>
      </w:r>
      <w:proofErr w:type="gramStart"/>
      <w:r>
        <w:t>time</w:t>
      </w:r>
      <w:proofErr w:type="gramEnd"/>
      <w:r>
        <w:t xml:space="preserve"> we will determine whether capital specific disabilities, supported by reliable data, can be developed for individual assessments, or whether recurrent disabilities remain the best available proxy for capital needs.</w:t>
      </w:r>
    </w:p>
    <w:p w:rsidR="00BA7274" w:rsidRDefault="00F07442" w:rsidP="00C343CE">
      <w:pPr>
        <w:pStyle w:val="Heading5"/>
      </w:pPr>
      <w:r>
        <w:t xml:space="preserve">Effect of </w:t>
      </w:r>
      <w:r w:rsidR="00BC5B4A">
        <w:t>p</w:t>
      </w:r>
      <w:r>
        <w:t xml:space="preserve">opulation growth on financial assets </w:t>
      </w:r>
      <w:r w:rsidR="00BA7274">
        <w:t>(net borrowing)</w:t>
      </w:r>
    </w:p>
    <w:p w:rsidR="00F07442" w:rsidRDefault="0023116E" w:rsidP="00F07442">
      <w:pPr>
        <w:pStyle w:val="CGCNumberedPara"/>
      </w:pPr>
      <w:r>
        <w:t>The Net borrowin</w:t>
      </w:r>
      <w:r w:rsidR="00F07442">
        <w:t>g assessment has one single disability. It allows for the dilution of net financial assets or liabilities through population growth. In the 2010 Review, when this assessment was first developed, the Commission adopted a 25% discount to</w:t>
      </w:r>
      <w:r w:rsidR="00C31056">
        <w:t xml:space="preserve"> reflect uncertainty over the coverage of disabilities </w:t>
      </w:r>
      <w:proofErr w:type="gramStart"/>
      <w:r w:rsidR="00F07442" w:rsidRPr="00FA5B1F">
        <w:t>and also</w:t>
      </w:r>
      <w:proofErr w:type="gramEnd"/>
      <w:r w:rsidR="00F07442" w:rsidRPr="00FA5B1F">
        <w:t xml:space="preserve"> because some concerns </w:t>
      </w:r>
      <w:r w:rsidR="00C31056">
        <w:t>were expressed about data quality</w:t>
      </w:r>
      <w:r w:rsidR="00F07442" w:rsidRPr="00FA5B1F">
        <w:t>.</w:t>
      </w:r>
      <w:r w:rsidR="00F07442">
        <w:t xml:space="preserve"> This discount </w:t>
      </w:r>
      <w:proofErr w:type="gramStart"/>
      <w:r w:rsidR="00F07442">
        <w:t>w</w:t>
      </w:r>
      <w:r>
        <w:t>as reduced</w:t>
      </w:r>
      <w:proofErr w:type="gramEnd"/>
      <w:r>
        <w:t xml:space="preserve"> to 12.5% in the 2015</w:t>
      </w:r>
      <w:r w:rsidR="00B243B0">
        <w:t> </w:t>
      </w:r>
      <w:r w:rsidR="00F07442">
        <w:t xml:space="preserve">Review. </w:t>
      </w:r>
    </w:p>
    <w:p w:rsidR="00F07442" w:rsidRPr="00C33A3E" w:rsidRDefault="00F07442" w:rsidP="00F07442">
      <w:pPr>
        <w:pStyle w:val="CGCNumberedPara"/>
      </w:pPr>
      <w:r w:rsidRPr="00C33A3E">
        <w:t>The uncertainties assoc</w:t>
      </w:r>
      <w:r w:rsidR="00B243B0">
        <w:t xml:space="preserve">iated with the disabilities </w:t>
      </w:r>
      <w:r w:rsidR="00BC5B4A">
        <w:t xml:space="preserve">related to </w:t>
      </w:r>
      <w:r w:rsidRPr="00C33A3E">
        <w:t>the theory</w:t>
      </w:r>
      <w:r w:rsidR="00AB2C48">
        <w:t xml:space="preserve"> put forward</w:t>
      </w:r>
      <w:r w:rsidRPr="00C33A3E">
        <w:t xml:space="preserve"> by some States that population growth led to advantages as well as dilution. As States are now net borrowers rather than net lenders, the effect of the discount (relative to not having a discount) is to redistribute GST towards fast growing States. While States have articulated arguments for population growth leading to revaluations of financial assets, it is hard to conceive of a disability relating to population growth leading to revaluations of financial liabilities. </w:t>
      </w:r>
    </w:p>
    <w:p w:rsidR="002707EA" w:rsidRDefault="00F07442" w:rsidP="002707EA">
      <w:pPr>
        <w:pStyle w:val="CGCNumberedPara"/>
      </w:pPr>
      <w:r w:rsidRPr="00C33A3E">
        <w:t xml:space="preserve">In the 2018 Update, the effect of the discount was to redistribute $6 per capita </w:t>
      </w:r>
      <w:r w:rsidR="00C33A3E" w:rsidRPr="00C343CE">
        <w:t>away from the</w:t>
      </w:r>
      <w:r w:rsidRPr="00C33A3E">
        <w:t xml:space="preserve"> slow growing States of Tasmania and the Northern Territory.</w:t>
      </w:r>
      <w:r>
        <w:t xml:space="preserve"> </w:t>
      </w:r>
      <w:proofErr w:type="gramStart"/>
      <w:r>
        <w:t>Staff do</w:t>
      </w:r>
      <w:proofErr w:type="gramEnd"/>
      <w:r>
        <w:t xml:space="preserve"> not consider an immaterial discount warranted in these circumstances. </w:t>
      </w:r>
      <w:proofErr w:type="gramStart"/>
      <w:r>
        <w:t>Staff consider</w:t>
      </w:r>
      <w:proofErr w:type="gramEnd"/>
      <w:r>
        <w:t xml:space="preserve"> an assessment of net financial worth should include a disability for population dilution with no adjustments or discounts. </w:t>
      </w:r>
    </w:p>
    <w:tbl>
      <w:tblPr>
        <w:tblStyle w:val="TableGrid"/>
        <w:tblW w:w="0" w:type="auto"/>
        <w:tblLook w:val="04A0" w:firstRow="1" w:lastRow="0" w:firstColumn="1" w:lastColumn="0" w:noHBand="0" w:noVBand="1"/>
      </w:tblPr>
      <w:tblGrid>
        <w:gridCol w:w="9090"/>
      </w:tblGrid>
      <w:tr w:rsidR="00BF5317" w:rsidTr="00AA77FD">
        <w:tc>
          <w:tcPr>
            <w:tcW w:w="9090" w:type="dxa"/>
            <w:tcBorders>
              <w:top w:val="nil"/>
              <w:left w:val="nil"/>
              <w:bottom w:val="nil"/>
              <w:right w:val="nil"/>
            </w:tcBorders>
            <w:shd w:val="clear" w:color="auto" w:fill="D9F3E6"/>
          </w:tcPr>
          <w:p w:rsidR="00BF5317" w:rsidRDefault="00BF5317" w:rsidP="00AB4B9A">
            <w:r>
              <w:t>Staff propose to recommend the Commission</w:t>
            </w:r>
            <w:r w:rsidR="000F0588">
              <w:t>:</w:t>
            </w:r>
          </w:p>
          <w:p w:rsidR="00E033C8" w:rsidRDefault="005C5E47" w:rsidP="00E033C8">
            <w:pPr>
              <w:pStyle w:val="CGCBulletlist"/>
            </w:pPr>
            <w:r>
              <w:t>n</w:t>
            </w:r>
            <w:r w:rsidR="00E033C8">
              <w:t>ot consider differential assessment of investment in land for</w:t>
            </w:r>
            <w:r w:rsidR="00E851F9">
              <w:t xml:space="preserve"> any category other than roads</w:t>
            </w:r>
          </w:p>
          <w:p w:rsidR="002707EA" w:rsidRDefault="005C5E47" w:rsidP="00E033C8">
            <w:pPr>
              <w:pStyle w:val="CGCBulletlist"/>
            </w:pPr>
            <w:r>
              <w:t>a</w:t>
            </w:r>
            <w:r w:rsidR="002707EA" w:rsidRPr="00A83221">
              <w:t>ssess the suitability of recurrent disabilities in assessing capital stock needs</w:t>
            </w:r>
            <w:r w:rsidR="002707EA">
              <w:t xml:space="preserve"> when ass</w:t>
            </w:r>
            <w:r w:rsidR="00E851F9">
              <w:t>essments are further progressed</w:t>
            </w:r>
          </w:p>
          <w:p w:rsidR="00E033C8" w:rsidRDefault="005C5E47" w:rsidP="00C343CE">
            <w:pPr>
              <w:pStyle w:val="CGCBulletlist"/>
            </w:pPr>
            <w:r>
              <w:t>consider whether to a</w:t>
            </w:r>
            <w:r w:rsidR="00E033C8">
              <w:t>ssess depreciation expenses with net investment expenses in an</w:t>
            </w:r>
            <w:r w:rsidR="00E851F9">
              <w:t xml:space="preserve"> assessment of gross investment</w:t>
            </w:r>
          </w:p>
          <w:p w:rsidR="00BF5317" w:rsidRDefault="005C5E47" w:rsidP="00E033C8">
            <w:pPr>
              <w:pStyle w:val="CGCBulletlist"/>
            </w:pPr>
            <w:proofErr w:type="gramStart"/>
            <w:r>
              <w:t>c</w:t>
            </w:r>
            <w:r w:rsidR="00DF1A3C">
              <w:t>ontinue</w:t>
            </w:r>
            <w:proofErr w:type="gramEnd"/>
            <w:r w:rsidR="00DF1A3C">
              <w:t xml:space="preserve"> to assess the impact of population di</w:t>
            </w:r>
            <w:r w:rsidR="000F0588">
              <w:t>lution on net financial assets</w:t>
            </w:r>
            <w:r w:rsidR="00E033C8">
              <w:t>, remove the 12.5% discount and not recognise any other disabilities.</w:t>
            </w:r>
          </w:p>
        </w:tc>
      </w:tr>
    </w:tbl>
    <w:p w:rsidR="00B7517F" w:rsidRPr="00E674AF" w:rsidRDefault="00B7517F" w:rsidP="00B7517F">
      <w:pPr>
        <w:tabs>
          <w:tab w:val="clear" w:pos="567"/>
        </w:tabs>
      </w:pPr>
    </w:p>
    <w:p w:rsidR="00B7517F" w:rsidRDefault="00196379" w:rsidP="00B7517F">
      <w:pPr>
        <w:pStyle w:val="Heading4"/>
      </w:pPr>
      <w:bookmarkStart w:id="94" w:name="_Toc508716609"/>
      <w:bookmarkStart w:id="95" w:name="_Toc508716725"/>
      <w:bookmarkStart w:id="96" w:name="_Toc508716879"/>
      <w:bookmarkStart w:id="97" w:name="_Toc511816992"/>
      <w:r>
        <w:lastRenderedPageBreak/>
        <w:t>Issues</w:t>
      </w:r>
      <w:r w:rsidR="00B7517F">
        <w:t xml:space="preserve"> considered and settled</w:t>
      </w:r>
      <w:bookmarkEnd w:id="94"/>
      <w:bookmarkEnd w:id="95"/>
      <w:bookmarkEnd w:id="96"/>
      <w:bookmarkEnd w:id="97"/>
      <w:r w:rsidR="00E07621">
        <w:t xml:space="preserve"> </w:t>
      </w:r>
    </w:p>
    <w:p w:rsidR="008154F2" w:rsidRDefault="008154F2" w:rsidP="00C343CE">
      <w:pPr>
        <w:pStyle w:val="Heading5"/>
      </w:pPr>
      <w:r>
        <w:t>Cost factors</w:t>
      </w:r>
    </w:p>
    <w:p w:rsidR="00142D51" w:rsidRDefault="007C280C" w:rsidP="00142D51">
      <w:pPr>
        <w:pStyle w:val="CGCNumberedPara"/>
      </w:pPr>
      <w:r>
        <w:t>In the 2015 R</w:t>
      </w:r>
      <w:r w:rsidR="00C4459F">
        <w:t xml:space="preserve">eview, the Commission </w:t>
      </w:r>
      <w:r w:rsidR="00EF2EED">
        <w:t xml:space="preserve">introduced a </w:t>
      </w:r>
      <w:r w:rsidR="00C4459F">
        <w:t xml:space="preserve">construction cost index </w:t>
      </w:r>
      <w:r w:rsidR="00EF2EED">
        <w:t>to measure</w:t>
      </w:r>
      <w:r w:rsidR="00C4459F">
        <w:t xml:space="preserve"> capital costs</w:t>
      </w:r>
      <w:r w:rsidR="00142D51">
        <w:t xml:space="preserve">. Construction cost indices published by </w:t>
      </w:r>
      <w:proofErr w:type="spellStart"/>
      <w:r w:rsidR="00C4459F">
        <w:t>Rawlinsons</w:t>
      </w:r>
      <w:proofErr w:type="spellEnd"/>
      <w:r w:rsidR="00C4459F">
        <w:t xml:space="preserve"> </w:t>
      </w:r>
      <w:proofErr w:type="gramStart"/>
      <w:r w:rsidR="00C4459F">
        <w:t xml:space="preserve">were </w:t>
      </w:r>
      <w:r w:rsidR="00142D51">
        <w:t>considered</w:t>
      </w:r>
      <w:proofErr w:type="gramEnd"/>
      <w:r w:rsidR="00142D51">
        <w:t xml:space="preserve"> </w:t>
      </w:r>
      <w:r w:rsidR="00C4459F">
        <w:t xml:space="preserve">reliable and comprehensive indicators </w:t>
      </w:r>
      <w:r w:rsidR="00142D51">
        <w:t xml:space="preserve">of underlying differences in construction costs. However, </w:t>
      </w:r>
      <w:r w:rsidR="00EF2EED">
        <w:t xml:space="preserve">because the </w:t>
      </w:r>
      <w:r w:rsidR="00424216">
        <w:t>indices are based on the costs associated with commo</w:t>
      </w:r>
      <w:r w:rsidR="00142D51">
        <w:t>nly constructed buildings</w:t>
      </w:r>
      <w:r w:rsidR="00EF2EED">
        <w:t xml:space="preserve">, </w:t>
      </w:r>
      <w:r w:rsidR="00424216">
        <w:t xml:space="preserve">the Commission recognised they </w:t>
      </w:r>
      <w:proofErr w:type="gramStart"/>
      <w:r w:rsidR="00142D51">
        <w:t>may</w:t>
      </w:r>
      <w:proofErr w:type="gramEnd"/>
      <w:r w:rsidR="00142D51">
        <w:t xml:space="preserve"> not</w:t>
      </w:r>
      <w:r w:rsidR="00424216">
        <w:t xml:space="preserve"> represent the</w:t>
      </w:r>
      <w:r w:rsidR="00142D51">
        <w:t xml:space="preserve"> full</w:t>
      </w:r>
      <w:r w:rsidR="00424216">
        <w:t xml:space="preserve"> costs associated with constructing some State owned assets such as hospitals and roads. The indices also do not cover investment in equipment. </w:t>
      </w:r>
      <w:r w:rsidR="00142D51">
        <w:t>In light of this</w:t>
      </w:r>
      <w:r w:rsidR="00AB2C48">
        <w:t>,</w:t>
      </w:r>
      <w:r w:rsidR="00142D51">
        <w:t xml:space="preserve"> the Commission decided to use an average of the capital cost disabilities and the recurrent wage and regional cost factors. </w:t>
      </w:r>
    </w:p>
    <w:p w:rsidR="00142D51" w:rsidRDefault="00142D51" w:rsidP="00142D51">
      <w:pPr>
        <w:pStyle w:val="CGCNumberedPara"/>
      </w:pPr>
      <w:r>
        <w:t xml:space="preserve">Separate cost factors </w:t>
      </w:r>
      <w:proofErr w:type="gramStart"/>
      <w:r>
        <w:t>were derived</w:t>
      </w:r>
      <w:proofErr w:type="gramEnd"/>
      <w:r>
        <w:t xml:space="preserve"> for roads, urban transport and other services investment based on the relevant populations to which the components relate.</w:t>
      </w:r>
    </w:p>
    <w:p w:rsidR="00B7517F" w:rsidRDefault="00573F0C" w:rsidP="00B7517F">
      <w:pPr>
        <w:pStyle w:val="CGCNumberedPara"/>
      </w:pPr>
      <w:proofErr w:type="gramStart"/>
      <w:r>
        <w:t>Staff consider</w:t>
      </w:r>
      <w:proofErr w:type="gramEnd"/>
      <w:r>
        <w:t xml:space="preserve"> the cost factors, as developed for the 2015 Review, </w:t>
      </w:r>
      <w:r w:rsidR="000F0588">
        <w:t>remain</w:t>
      </w:r>
      <w:r>
        <w:t xml:space="preserve"> the best avai</w:t>
      </w:r>
      <w:r w:rsidR="0029051D">
        <w:t>lable measure of capital costs.</w:t>
      </w:r>
    </w:p>
    <w:tbl>
      <w:tblPr>
        <w:tblStyle w:val="TableGrid"/>
        <w:tblW w:w="0" w:type="auto"/>
        <w:tblInd w:w="108" w:type="dxa"/>
        <w:tblLook w:val="04A0" w:firstRow="1" w:lastRow="0" w:firstColumn="1" w:lastColumn="0" w:noHBand="0" w:noVBand="1"/>
      </w:tblPr>
      <w:tblGrid>
        <w:gridCol w:w="8931"/>
      </w:tblGrid>
      <w:tr w:rsidR="00573F0C" w:rsidTr="0029051D">
        <w:tc>
          <w:tcPr>
            <w:tcW w:w="8931" w:type="dxa"/>
            <w:tcBorders>
              <w:top w:val="nil"/>
              <w:left w:val="nil"/>
              <w:bottom w:val="nil"/>
              <w:right w:val="nil"/>
            </w:tcBorders>
            <w:shd w:val="clear" w:color="auto" w:fill="D9F3E6"/>
          </w:tcPr>
          <w:p w:rsidR="00573F0C" w:rsidRDefault="00573F0C" w:rsidP="00AB4B9A">
            <w:r>
              <w:t>Staff propose to recommend the Commission</w:t>
            </w:r>
          </w:p>
          <w:p w:rsidR="00573F0C" w:rsidRDefault="00573F0C" w:rsidP="0029051D">
            <w:pPr>
              <w:pStyle w:val="CGCBulletlist"/>
            </w:pPr>
            <w:proofErr w:type="gramStart"/>
            <w:r>
              <w:t>retain</w:t>
            </w:r>
            <w:proofErr w:type="gramEnd"/>
            <w:r>
              <w:t xml:space="preserve"> the 2015 Review method of assessing capital costs</w:t>
            </w:r>
            <w:r w:rsidR="0029051D">
              <w:t xml:space="preserve"> through a combination of construction cost indices and recurrent cost factors. </w:t>
            </w:r>
          </w:p>
        </w:tc>
      </w:tr>
    </w:tbl>
    <w:p w:rsidR="00B7517F" w:rsidRDefault="00B7517F" w:rsidP="0064671D">
      <w:pPr>
        <w:pStyle w:val="Heading3"/>
      </w:pPr>
      <w:bookmarkStart w:id="98" w:name="_Toc508716610"/>
      <w:bookmarkStart w:id="99" w:name="_Toc508716726"/>
      <w:bookmarkStart w:id="100" w:name="_Toc508716880"/>
      <w:bookmarkStart w:id="101" w:name="_Toc511816993"/>
      <w:r>
        <w:t>Conclusion and way forward</w:t>
      </w:r>
      <w:bookmarkEnd w:id="98"/>
      <w:bookmarkEnd w:id="99"/>
      <w:bookmarkEnd w:id="100"/>
      <w:bookmarkEnd w:id="101"/>
    </w:p>
    <w:p w:rsidR="00604C46" w:rsidRDefault="000F0588" w:rsidP="00EF2EED">
      <w:pPr>
        <w:pStyle w:val="CGCNumberedPara"/>
      </w:pPr>
      <w:r>
        <w:t xml:space="preserve">In conclusion, </w:t>
      </w:r>
      <w:r w:rsidR="00AF0F67">
        <w:t>s</w:t>
      </w:r>
      <w:r w:rsidR="00EF2EED">
        <w:t>taff consider</w:t>
      </w:r>
      <w:r w:rsidR="00EF0C97">
        <w:t xml:space="preserve"> the 2015 Review assessment</w:t>
      </w:r>
      <w:r w:rsidR="00604C46">
        <w:t>s of physical and financial assets</w:t>
      </w:r>
      <w:r w:rsidR="00EF0C97">
        <w:t xml:space="preserve"> </w:t>
      </w:r>
      <w:r w:rsidR="00604C46">
        <w:t>could be refined to:</w:t>
      </w:r>
    </w:p>
    <w:p w:rsidR="00604C46" w:rsidRDefault="00604C46" w:rsidP="00604C46">
      <w:pPr>
        <w:pStyle w:val="CGCBulletlist"/>
      </w:pPr>
      <w:r>
        <w:t xml:space="preserve">simplify the assessment and improve </w:t>
      </w:r>
      <w:r w:rsidR="00EF0C97">
        <w:t>transparency</w:t>
      </w:r>
      <w:r>
        <w:t xml:space="preserve"> </w:t>
      </w:r>
    </w:p>
    <w:p w:rsidR="00604C46" w:rsidRDefault="00604C46" w:rsidP="00604C46">
      <w:pPr>
        <w:pStyle w:val="CGCBulletlist"/>
      </w:pPr>
      <w:r>
        <w:t xml:space="preserve">improve the </w:t>
      </w:r>
      <w:r w:rsidR="00EF0C97">
        <w:t>accuracy</w:t>
      </w:r>
      <w:r w:rsidR="0022773D">
        <w:t xml:space="preserve"> of the calculations</w:t>
      </w:r>
      <w:r w:rsidR="003A5B55">
        <w:t xml:space="preserve"> and address volatility concerns</w:t>
      </w:r>
    </w:p>
    <w:p w:rsidR="00604C46" w:rsidRDefault="00604C46" w:rsidP="0022773D">
      <w:pPr>
        <w:pStyle w:val="CGCBulletlist"/>
      </w:pPr>
      <w:proofErr w:type="gramStart"/>
      <w:r>
        <w:t>make</w:t>
      </w:r>
      <w:proofErr w:type="gramEnd"/>
      <w:r>
        <w:t xml:space="preserve"> it easier to analyse, interpret and present results</w:t>
      </w:r>
      <w:r w:rsidR="0022773D">
        <w:t>.</w:t>
      </w:r>
    </w:p>
    <w:p w:rsidR="00375CB7" w:rsidRDefault="003A5B55" w:rsidP="0022773D">
      <w:pPr>
        <w:pStyle w:val="CGCNumberedPara"/>
      </w:pPr>
      <w:r>
        <w:t>S</w:t>
      </w:r>
      <w:r w:rsidR="0022773D">
        <w:t>taff propose to recommend the</w:t>
      </w:r>
      <w:r>
        <w:t xml:space="preserve"> following refinements to the</w:t>
      </w:r>
      <w:r w:rsidR="0022773D">
        <w:t xml:space="preserve"> Commission</w:t>
      </w:r>
      <w:r w:rsidR="00765F5D">
        <w:t>:</w:t>
      </w:r>
      <w:r w:rsidR="0022773D">
        <w:t xml:space="preserve"> </w:t>
      </w:r>
    </w:p>
    <w:p w:rsidR="00375CB7" w:rsidRDefault="00375CB7" w:rsidP="00375CB7">
      <w:pPr>
        <w:pStyle w:val="CGCBulletlist"/>
      </w:pPr>
      <w:r>
        <w:t>assess investment on a category by category basis</w:t>
      </w:r>
    </w:p>
    <w:p w:rsidR="00375CB7" w:rsidRDefault="00375CB7" w:rsidP="00375CB7">
      <w:pPr>
        <w:pStyle w:val="CGCBulletlist"/>
      </w:pPr>
      <w:r>
        <w:t xml:space="preserve">apply category specific growth factors to assess change in </w:t>
      </w:r>
      <w:r w:rsidR="00BC5B4A">
        <w:t>S</w:t>
      </w:r>
      <w:r>
        <w:t>tate circumstances</w:t>
      </w:r>
    </w:p>
    <w:p w:rsidR="00D91C49" w:rsidRDefault="003A5B55" w:rsidP="00D91C49">
      <w:pPr>
        <w:pStyle w:val="CGCBulletlist"/>
      </w:pPr>
      <w:r>
        <w:t>apply the same single year stock disability to end and beginning of year stocks</w:t>
      </w:r>
    </w:p>
    <w:p w:rsidR="00AA221D" w:rsidRDefault="00765F5D" w:rsidP="00D91C49">
      <w:pPr>
        <w:pStyle w:val="CGCBulletlist"/>
      </w:pPr>
      <w:proofErr w:type="gramStart"/>
      <w:r>
        <w:t>explore</w:t>
      </w:r>
      <w:proofErr w:type="gramEnd"/>
      <w:r>
        <w:t xml:space="preserve"> the trade-offs of </w:t>
      </w:r>
      <w:r w:rsidR="00D91C49">
        <w:t>incorporat</w:t>
      </w:r>
      <w:r>
        <w:t>ing</w:t>
      </w:r>
      <w:r w:rsidR="00D91C49">
        <w:t xml:space="preserve"> depreciation and net investment expenditure into a single assessment of physical assets.</w:t>
      </w:r>
    </w:p>
    <w:p w:rsidR="003A5B55" w:rsidRDefault="00765F5D" w:rsidP="003A5B55">
      <w:pPr>
        <w:pStyle w:val="CGCNumberedPara"/>
      </w:pPr>
      <w:r>
        <w:t xml:space="preserve">Input from States </w:t>
      </w:r>
      <w:proofErr w:type="gramStart"/>
      <w:r>
        <w:t>is sought</w:t>
      </w:r>
      <w:proofErr w:type="gramEnd"/>
      <w:r>
        <w:t xml:space="preserve"> prior</w:t>
      </w:r>
      <w:r w:rsidR="003A5B55">
        <w:t xml:space="preserve"> to determin</w:t>
      </w:r>
      <w:r>
        <w:t>ing</w:t>
      </w:r>
      <w:r w:rsidR="003A5B55">
        <w:t xml:space="preserve"> whether disabilities exist </w:t>
      </w:r>
      <w:r>
        <w:t xml:space="preserve">in relation to the valuation of assets </w:t>
      </w:r>
      <w:r w:rsidR="003A5B55">
        <w:t xml:space="preserve">and </w:t>
      </w:r>
      <w:r>
        <w:t xml:space="preserve">whether </w:t>
      </w:r>
      <w:r w:rsidR="003A5B55">
        <w:t>a reliable assessment method can be developed.</w:t>
      </w:r>
    </w:p>
    <w:p w:rsidR="000F35C9" w:rsidRDefault="003A5B55" w:rsidP="003A5B55">
      <w:pPr>
        <w:pStyle w:val="CGCNumberedPara"/>
      </w:pPr>
      <w:proofErr w:type="gramStart"/>
      <w:r>
        <w:lastRenderedPageBreak/>
        <w:t>Staff propose</w:t>
      </w:r>
      <w:proofErr w:type="gramEnd"/>
      <w:r>
        <w:t xml:space="preserve"> to recommend the Commission continue to assess </w:t>
      </w:r>
      <w:r w:rsidR="00AA221D">
        <w:t xml:space="preserve">the impact of population growth on net financial assets with no discount or adjustment to reflect other potential disabilities. </w:t>
      </w:r>
    </w:p>
    <w:p w:rsidR="00D91C49" w:rsidRDefault="00B7517F" w:rsidP="00C343CE">
      <w:pPr>
        <w:pStyle w:val="Heading4"/>
        <w:rPr>
          <w:highlight w:val="yellow"/>
        </w:rPr>
      </w:pPr>
      <w:bookmarkStart w:id="102" w:name="_Toc508716611"/>
      <w:bookmarkStart w:id="103" w:name="_Toc508716727"/>
      <w:bookmarkStart w:id="104" w:name="_Toc508716881"/>
      <w:bookmarkStart w:id="105" w:name="_Toc511816994"/>
      <w:r>
        <w:t>P</w:t>
      </w:r>
      <w:r w:rsidR="001B7916">
        <w:t>otential</w:t>
      </w:r>
      <w:r>
        <w:t xml:space="preserve"> assessment structure</w:t>
      </w:r>
      <w:bookmarkEnd w:id="102"/>
      <w:bookmarkEnd w:id="103"/>
      <w:bookmarkEnd w:id="104"/>
      <w:bookmarkEnd w:id="105"/>
      <w:r w:rsidR="00D91C49">
        <w:rPr>
          <w:highlight w:val="yellow"/>
        </w:rPr>
        <w:t xml:space="preserve">  </w:t>
      </w:r>
    </w:p>
    <w:p w:rsidR="000D0323" w:rsidRDefault="00E851F9" w:rsidP="000D0323">
      <w:pPr>
        <w:pStyle w:val="CGCNumberedPara"/>
      </w:pPr>
      <w:r>
        <w:t>A</w:t>
      </w:r>
      <w:r w:rsidR="000D0323">
        <w:t xml:space="preserve"> proposed approach to assessin</w:t>
      </w:r>
      <w:r>
        <w:t>g physical and financial assets would</w:t>
      </w:r>
      <w:r w:rsidR="000D0323">
        <w:t xml:space="preserve"> be applied via assessments of: </w:t>
      </w:r>
    </w:p>
    <w:p w:rsidR="000A6FFA" w:rsidRDefault="007E17AA" w:rsidP="000A6FFA">
      <w:pPr>
        <w:pStyle w:val="CGCBulletlist"/>
      </w:pPr>
      <w:r>
        <w:t>g</w:t>
      </w:r>
      <w:r w:rsidR="000A6FFA">
        <w:t xml:space="preserve">ross investment in new and </w:t>
      </w:r>
      <w:r w:rsidR="00580C4E">
        <w:t xml:space="preserve">replacement </w:t>
      </w:r>
      <w:r w:rsidR="000A6FFA">
        <w:t>physical assets</w:t>
      </w:r>
      <w:r w:rsidR="007C337D">
        <w:t xml:space="preserve"> in each category</w:t>
      </w:r>
      <w:r w:rsidR="000A6FFA">
        <w:t xml:space="preserve"> </w:t>
      </w:r>
    </w:p>
    <w:p w:rsidR="000A6FFA" w:rsidRDefault="000A6FFA" w:rsidP="000A6FFA">
      <w:pPr>
        <w:pStyle w:val="CGCBulletlist"/>
      </w:pPr>
      <w:proofErr w:type="gramStart"/>
      <w:r>
        <w:t>net</w:t>
      </w:r>
      <w:proofErr w:type="gramEnd"/>
      <w:r>
        <w:t xml:space="preserve"> borrowing (or lending) to change holdings of net financial assets</w:t>
      </w:r>
      <w:r w:rsidR="00765F5D">
        <w:t>.</w:t>
      </w:r>
    </w:p>
    <w:p w:rsidR="000A6FFA" w:rsidRDefault="000A6FFA" w:rsidP="000A6FFA">
      <w:pPr>
        <w:pStyle w:val="CGCNumberedPara"/>
      </w:pPr>
      <w:r>
        <w:t xml:space="preserve">Collectively, the assessments </w:t>
      </w:r>
      <w:r w:rsidR="00765F5D">
        <w:t xml:space="preserve">would </w:t>
      </w:r>
      <w:r>
        <w:t>provide States with the capacity to:</w:t>
      </w:r>
    </w:p>
    <w:p w:rsidR="000A6FFA" w:rsidRDefault="000A6FFA" w:rsidP="000A6FFA">
      <w:pPr>
        <w:pStyle w:val="CGCBulletlist"/>
      </w:pPr>
      <w:r>
        <w:t>invest in additional physical assets</w:t>
      </w:r>
      <w:r w:rsidR="00527C27">
        <w:t xml:space="preserve"> </w:t>
      </w:r>
      <w:r>
        <w:t xml:space="preserve">to provide the new </w:t>
      </w:r>
      <w:r w:rsidRPr="00947ED7">
        <w:rPr>
          <w:u w:val="single"/>
        </w:rPr>
        <w:t>relevant</w:t>
      </w:r>
      <w:r>
        <w:t xml:space="preserve"> </w:t>
      </w:r>
      <w:r w:rsidR="001B7916">
        <w:t xml:space="preserve">user </w:t>
      </w:r>
      <w:r>
        <w:t xml:space="preserve">population group added through the year with the same per </w:t>
      </w:r>
      <w:r w:rsidR="00D128DD">
        <w:t xml:space="preserve">user </w:t>
      </w:r>
      <w:r>
        <w:t xml:space="preserve">stock the existing </w:t>
      </w:r>
      <w:r w:rsidR="00242AA3">
        <w:t xml:space="preserve">user </w:t>
      </w:r>
      <w:r>
        <w:t>population had at the start of the year</w:t>
      </w:r>
      <w:r w:rsidR="000D0323">
        <w:t xml:space="preserve"> at the capital intensity of that State’s user population</w:t>
      </w:r>
    </w:p>
    <w:p w:rsidR="000A6FFA" w:rsidRDefault="000A6FFA" w:rsidP="000A6FFA">
      <w:pPr>
        <w:pStyle w:val="CGCBulletlist"/>
      </w:pPr>
      <w:r>
        <w:t xml:space="preserve">invest in physical assets to ensure new and existing populations receive the increase in assets brought about by a national increase in capital intensity and the quality of capital (capital deepening) during the year </w:t>
      </w:r>
    </w:p>
    <w:p w:rsidR="000A6FFA" w:rsidRDefault="000A6FFA" w:rsidP="000A6FFA">
      <w:pPr>
        <w:pStyle w:val="CGCBulletlist"/>
      </w:pPr>
      <w:r>
        <w:t>acquire new financial assets (or new financial liabilities if States are collectively in a net financial liability position) to provide the new population with the same per capita financial assets (liabilities) the existing population had at the start of the year  (this ensures net financial assets per capita remain equal to national average net financial assets per capita)</w:t>
      </w:r>
      <w:r w:rsidR="00BC5B4A">
        <w:t>.</w:t>
      </w:r>
    </w:p>
    <w:p w:rsidR="003B748F" w:rsidRDefault="003B748F" w:rsidP="003B748F">
      <w:pPr>
        <w:pStyle w:val="CGCNumberedPara"/>
      </w:pPr>
      <w:r>
        <w:t xml:space="preserve">The box below shows the algebraic expression for </w:t>
      </w:r>
      <w:r w:rsidR="00E033C8">
        <w:t>an</w:t>
      </w:r>
      <w:r>
        <w:t xml:space="preserve"> assessment of gross investment in physical assets. </w:t>
      </w:r>
    </w:p>
    <w:tbl>
      <w:tblPr>
        <w:tblStyle w:val="TableGrid"/>
        <w:tblW w:w="0" w:type="auto"/>
        <w:tblInd w:w="567" w:type="dxa"/>
        <w:tblLook w:val="04A0" w:firstRow="1" w:lastRow="0" w:firstColumn="1" w:lastColumn="0" w:noHBand="0" w:noVBand="1"/>
      </w:tblPr>
      <w:tblGrid>
        <w:gridCol w:w="8523"/>
      </w:tblGrid>
      <w:tr w:rsidR="00BF0729" w:rsidTr="00AA74CC">
        <w:trPr>
          <w:trHeight w:val="3610"/>
        </w:trPr>
        <w:tc>
          <w:tcPr>
            <w:tcW w:w="8523" w:type="dxa"/>
            <w:tcBorders>
              <w:top w:val="nil"/>
              <w:left w:val="nil"/>
              <w:bottom w:val="nil"/>
              <w:right w:val="nil"/>
            </w:tcBorders>
            <w:shd w:val="clear" w:color="auto" w:fill="D9F3E6"/>
            <w:hideMark/>
          </w:tcPr>
          <w:p w:rsidR="00BF0729" w:rsidRPr="00222AE9" w:rsidRDefault="00222AE9">
            <w:pPr>
              <w:pStyle w:val="ListParagraph"/>
              <w:tabs>
                <w:tab w:val="left" w:pos="720"/>
              </w:tabs>
              <w:spacing w:before="60" w:after="60" w:line="280" w:lineRule="atLeast"/>
              <w:ind w:left="0"/>
              <w:rPr>
                <w:rFonts w:eastAsiaTheme="minorEastAsia"/>
                <w:sz w:val="20"/>
                <w:szCs w:val="20"/>
              </w:rPr>
            </w:pPr>
            <m:oMathPara>
              <m:oMathParaPr>
                <m:jc m:val="center"/>
              </m:oMathParaPr>
              <m:oMath>
                <m:r>
                  <m:rPr>
                    <m:sty m:val="p"/>
                  </m:rPr>
                  <w:rPr>
                    <w:rFonts w:ascii="Cambria Math" w:hAnsi="Cambria Math"/>
                    <w:sz w:val="20"/>
                    <w:szCs w:val="20"/>
                  </w:rPr>
                  <m:t>Assessed Investment=</m:t>
                </m:r>
                <m:r>
                  <w:rPr>
                    <w:rFonts w:ascii="Cambria Math" w:hAnsi="Cambria Math"/>
                    <w:sz w:val="20"/>
                    <w:szCs w:val="20"/>
                  </w:rPr>
                  <m:t xml:space="preserve"> </m:t>
                </m:r>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sz w:val="20"/>
                                    <w:szCs w:val="20"/>
                                  </w:rPr>
                                  <m:t>K</m:t>
                                </m:r>
                              </m:e>
                              <m:sub>
                                <m:r>
                                  <m:rPr>
                                    <m:sty m:val="p"/>
                                  </m:rPr>
                                  <w:rPr>
                                    <w:rFonts w:ascii="Cambria Math" w:hAnsi="Cambria Math"/>
                                    <w:sz w:val="20"/>
                                    <w:szCs w:val="20"/>
                                  </w:rPr>
                                  <m:t>1</m:t>
                                </m:r>
                              </m:sub>
                            </m:sSub>
                          </m:num>
                          <m:den>
                            <m:sSub>
                              <m:sSubPr>
                                <m:ctrlPr>
                                  <w:rPr>
                                    <w:rFonts w:ascii="Cambria Math" w:hAnsi="Cambria Math"/>
                                  </w:rPr>
                                </m:ctrlPr>
                              </m:sSubPr>
                              <m:e>
                                <m:r>
                                  <m:rPr>
                                    <m:sty m:val="p"/>
                                  </m:rPr>
                                  <w:rPr>
                                    <w:rFonts w:ascii="Cambria Math" w:hAnsi="Cambria Math"/>
                                    <w:sz w:val="20"/>
                                    <w:szCs w:val="20"/>
                                  </w:rPr>
                                  <m:t>g</m:t>
                                </m:r>
                              </m:e>
                              <m:sub>
                                <m:r>
                                  <m:rPr>
                                    <m:sty m:val="p"/>
                                  </m:rPr>
                                  <w:rPr>
                                    <w:rFonts w:ascii="Cambria Math" w:hAnsi="Cambria Math"/>
                                    <w:sz w:val="20"/>
                                    <w:szCs w:val="20"/>
                                  </w:rPr>
                                  <m:t>1</m:t>
                                </m:r>
                              </m:sub>
                            </m:sSub>
                          </m:den>
                        </m:f>
                        <m:sSub>
                          <m:sSubPr>
                            <m:ctrlPr>
                              <w:rPr>
                                <w:rFonts w:ascii="Cambria Math" w:hAnsi="Cambria Math"/>
                              </w:rPr>
                            </m:ctrlPr>
                          </m:sSubPr>
                          <m:e>
                            <m:r>
                              <m:rPr>
                                <m:sty m:val="p"/>
                              </m:rPr>
                              <w:rPr>
                                <w:rFonts w:ascii="Cambria Math" w:hAnsi="Cambria Math"/>
                                <w:sz w:val="20"/>
                                <w:szCs w:val="20"/>
                              </w:rPr>
                              <m:t>g</m:t>
                            </m:r>
                          </m:e>
                          <m:sub>
                            <m:r>
                              <m:rPr>
                                <m:sty m:val="p"/>
                              </m:rPr>
                              <w:rPr>
                                <w:rFonts w:ascii="Cambria Math" w:hAnsi="Cambria Math"/>
                                <w:sz w:val="20"/>
                                <w:szCs w:val="20"/>
                              </w:rPr>
                              <m:t>i,1</m:t>
                            </m:r>
                          </m:sub>
                        </m:sSub>
                        <m:sSubSup>
                          <m:sSubSupPr>
                            <m:ctrlPr>
                              <w:rPr>
                                <w:rFonts w:ascii="Cambria Math" w:hAnsi="Cambria Math"/>
                              </w:rPr>
                            </m:ctrlPr>
                          </m:sSubSupPr>
                          <m:e>
                            <m:r>
                              <m:rPr>
                                <m:sty m:val="p"/>
                              </m:rPr>
                              <w:rPr>
                                <w:rFonts w:ascii="Cambria Math" w:hAnsi="Cambria Math"/>
                                <w:sz w:val="20"/>
                                <w:szCs w:val="20"/>
                              </w:rPr>
                              <m:t>δ</m:t>
                            </m:r>
                          </m:e>
                          <m:sub>
                            <m:r>
                              <m:rPr>
                                <m:sty m:val="p"/>
                              </m:rPr>
                              <w:rPr>
                                <w:rFonts w:ascii="Cambria Math" w:hAnsi="Cambria Math"/>
                                <w:sz w:val="20"/>
                                <w:szCs w:val="20"/>
                              </w:rPr>
                              <m:t>i,1</m:t>
                            </m:r>
                          </m:sub>
                          <m:sup>
                            <m:r>
                              <m:rPr>
                                <m:sty m:val="p"/>
                              </m:rPr>
                              <w:rPr>
                                <w:rFonts w:ascii="Cambria Math" w:hAnsi="Cambria Math"/>
                                <w:sz w:val="20"/>
                                <w:szCs w:val="20"/>
                              </w:rPr>
                              <m:t>g</m:t>
                            </m:r>
                          </m:sup>
                        </m:sSubSup>
                      </m:e>
                    </m:d>
                    <m:r>
                      <m:rPr>
                        <m:sty m:val="p"/>
                      </m:rPr>
                      <w:rPr>
                        <w:rFonts w:ascii="Cambria Math" w:hAnsi="Cambria Math"/>
                        <w:sz w:val="20"/>
                        <w:szCs w:val="20"/>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sz w:val="20"/>
                                    <w:szCs w:val="20"/>
                                  </w:rPr>
                                  <m:t>K</m:t>
                                </m:r>
                              </m:e>
                              <m:sub>
                                <m:r>
                                  <m:rPr>
                                    <m:sty m:val="p"/>
                                  </m:rPr>
                                  <w:rPr>
                                    <w:rFonts w:ascii="Cambria Math" w:hAnsi="Cambria Math"/>
                                    <w:sz w:val="20"/>
                                    <w:szCs w:val="20"/>
                                  </w:rPr>
                                  <m:t>0</m:t>
                                </m:r>
                              </m:sub>
                            </m:sSub>
                          </m:num>
                          <m:den>
                            <m:sSub>
                              <m:sSubPr>
                                <m:ctrlPr>
                                  <w:rPr>
                                    <w:rFonts w:ascii="Cambria Math" w:hAnsi="Cambria Math"/>
                                  </w:rPr>
                                </m:ctrlPr>
                              </m:sSubPr>
                              <m:e>
                                <m:r>
                                  <m:rPr>
                                    <m:sty m:val="p"/>
                                  </m:rPr>
                                  <w:rPr>
                                    <w:rFonts w:ascii="Cambria Math" w:hAnsi="Cambria Math"/>
                                    <w:sz w:val="20"/>
                                    <w:szCs w:val="20"/>
                                  </w:rPr>
                                  <m:t>g</m:t>
                                </m:r>
                              </m:e>
                              <m:sub>
                                <m:r>
                                  <m:rPr>
                                    <m:sty m:val="p"/>
                                  </m:rPr>
                                  <w:rPr>
                                    <w:rFonts w:ascii="Cambria Math" w:hAnsi="Cambria Math"/>
                                    <w:sz w:val="20"/>
                                    <w:szCs w:val="20"/>
                                  </w:rPr>
                                  <m:t>0</m:t>
                                </m:r>
                              </m:sub>
                            </m:sSub>
                          </m:den>
                        </m:f>
                        <m:sSub>
                          <m:sSubPr>
                            <m:ctrlPr>
                              <w:rPr>
                                <w:rFonts w:ascii="Cambria Math" w:hAnsi="Cambria Math"/>
                              </w:rPr>
                            </m:ctrlPr>
                          </m:sSubPr>
                          <m:e>
                            <m:r>
                              <m:rPr>
                                <m:sty m:val="p"/>
                              </m:rPr>
                              <w:rPr>
                                <w:rFonts w:ascii="Cambria Math" w:hAnsi="Cambria Math"/>
                                <w:sz w:val="20"/>
                                <w:szCs w:val="20"/>
                              </w:rPr>
                              <m:t>g</m:t>
                            </m:r>
                          </m:e>
                          <m:sub>
                            <m:r>
                              <m:rPr>
                                <m:sty m:val="p"/>
                              </m:rPr>
                              <w:rPr>
                                <w:rFonts w:ascii="Cambria Math" w:hAnsi="Cambria Math"/>
                                <w:sz w:val="20"/>
                                <w:szCs w:val="20"/>
                              </w:rPr>
                              <m:t>i,0</m:t>
                            </m:r>
                          </m:sub>
                        </m:sSub>
                        <m:sSubSup>
                          <m:sSubSupPr>
                            <m:ctrlPr>
                              <w:rPr>
                                <w:rFonts w:ascii="Cambria Math" w:hAnsi="Cambria Math"/>
                              </w:rPr>
                            </m:ctrlPr>
                          </m:sSubSupPr>
                          <m:e>
                            <m:r>
                              <m:rPr>
                                <m:sty m:val="p"/>
                              </m:rPr>
                              <w:rPr>
                                <w:rFonts w:ascii="Cambria Math" w:hAnsi="Cambria Math"/>
                                <w:sz w:val="20"/>
                                <w:szCs w:val="20"/>
                              </w:rPr>
                              <m:t>δ</m:t>
                            </m:r>
                          </m:e>
                          <m:sub>
                            <m:r>
                              <m:rPr>
                                <m:sty m:val="p"/>
                              </m:rPr>
                              <w:rPr>
                                <w:rFonts w:ascii="Cambria Math" w:hAnsi="Cambria Math"/>
                                <w:sz w:val="20"/>
                                <w:szCs w:val="20"/>
                              </w:rPr>
                              <m:t>i,1</m:t>
                            </m:r>
                          </m:sub>
                          <m:sup>
                            <m:r>
                              <m:rPr>
                                <m:sty m:val="p"/>
                              </m:rPr>
                              <w:rPr>
                                <w:rFonts w:ascii="Cambria Math" w:hAnsi="Cambria Math"/>
                                <w:sz w:val="20"/>
                                <w:szCs w:val="20"/>
                              </w:rPr>
                              <m:t>g</m:t>
                            </m:r>
                          </m:sup>
                        </m:sSubSup>
                      </m:e>
                    </m:d>
                  </m:e>
                </m:d>
                <m:sSubSup>
                  <m:sSubSupPr>
                    <m:ctrlPr>
                      <w:rPr>
                        <w:rFonts w:ascii="Cambria Math" w:hAnsi="Cambria Math"/>
                      </w:rPr>
                    </m:ctrlPr>
                  </m:sSubSupPr>
                  <m:e>
                    <m:r>
                      <m:rPr>
                        <m:sty m:val="p"/>
                      </m:rPr>
                      <w:rPr>
                        <w:rFonts w:ascii="Cambria Math" w:hAnsi="Cambria Math"/>
                        <w:sz w:val="20"/>
                        <w:szCs w:val="20"/>
                      </w:rPr>
                      <m:t>δ</m:t>
                    </m:r>
                  </m:e>
                  <m:sub>
                    <m:r>
                      <m:rPr>
                        <m:sty m:val="p"/>
                      </m:rPr>
                      <w:rPr>
                        <w:rFonts w:ascii="Cambria Math" w:hAnsi="Cambria Math"/>
                        <w:sz w:val="20"/>
                        <w:szCs w:val="20"/>
                      </w:rPr>
                      <m:t>i</m:t>
                    </m:r>
                  </m:sub>
                  <m:sup>
                    <m:r>
                      <m:rPr>
                        <m:sty m:val="p"/>
                      </m:rPr>
                      <w:rPr>
                        <w:rFonts w:ascii="Cambria Math" w:hAnsi="Cambria Math"/>
                        <w:sz w:val="20"/>
                        <w:szCs w:val="20"/>
                      </w:rPr>
                      <m:t>c</m:t>
                    </m:r>
                  </m:sup>
                </m:sSubSup>
                <m:r>
                  <m:rPr>
                    <m:sty m:val="p"/>
                  </m:rPr>
                  <w:rPr>
                    <w:rFonts w:ascii="Cambria Math" w:hAnsi="Cambria Math"/>
                    <w:sz w:val="20"/>
                    <w:szCs w:val="20"/>
                  </w:rPr>
                  <m:t xml:space="preserve">    </m:t>
                </m:r>
                <m:r>
                  <w:rPr>
                    <w:rFonts w:ascii="Cambria Math" w:hAnsi="Cambria Math"/>
                    <w:sz w:val="20"/>
                    <w:szCs w:val="20"/>
                  </w:rPr>
                  <m:t xml:space="preserve">     </m:t>
                </m:r>
              </m:oMath>
            </m:oMathPara>
          </w:p>
          <w:p w:rsidR="00BF0729" w:rsidRPr="00222AE9" w:rsidRDefault="00BF0729">
            <w:pPr>
              <w:pStyle w:val="ListParagraph"/>
              <w:spacing w:after="60" w:line="280" w:lineRule="atLeast"/>
              <w:ind w:left="0"/>
              <w:rPr>
                <w:rFonts w:ascii="Cambria Math" w:eastAsiaTheme="minorEastAsia" w:hAnsi="Cambria Math"/>
                <w:sz w:val="20"/>
                <w:szCs w:val="20"/>
              </w:rPr>
            </w:pPr>
            <w:r w:rsidRPr="00222AE9">
              <w:rPr>
                <w:rFonts w:ascii="Cambria Math" w:eastAsiaTheme="minorEastAsia" w:hAnsi="Cambria Math"/>
                <w:sz w:val="20"/>
                <w:szCs w:val="20"/>
              </w:rPr>
              <w:t xml:space="preserve">This </w:t>
            </w:r>
            <w:proofErr w:type="gramStart"/>
            <w:r w:rsidRPr="00222AE9">
              <w:rPr>
                <w:rFonts w:ascii="Cambria Math" w:eastAsiaTheme="minorEastAsia" w:hAnsi="Cambria Math"/>
                <w:sz w:val="20"/>
                <w:szCs w:val="20"/>
              </w:rPr>
              <w:t>is expressed</w:t>
            </w:r>
            <w:proofErr w:type="gramEnd"/>
            <w:r w:rsidRPr="00222AE9">
              <w:rPr>
                <w:rFonts w:ascii="Cambria Math" w:eastAsiaTheme="minorEastAsia" w:hAnsi="Cambria Math"/>
                <w:sz w:val="20"/>
                <w:szCs w:val="20"/>
              </w:rPr>
              <w:t xml:space="preserve"> in the same form as the current algebra. However, using </w:t>
            </w:r>
            <w:r w:rsidR="008E7EF4">
              <w:rPr>
                <w:rFonts w:ascii="Cambria Math" w:eastAsiaTheme="minorEastAsia" w:hAnsi="Cambria Math"/>
                <w:sz w:val="20"/>
                <w:szCs w:val="20"/>
              </w:rPr>
              <w:t>closing</w:t>
            </w:r>
            <w:r w:rsidR="008E7EF4" w:rsidRPr="00222AE9">
              <w:rPr>
                <w:rFonts w:ascii="Cambria Math" w:eastAsiaTheme="minorEastAsia" w:hAnsi="Cambria Math"/>
                <w:sz w:val="20"/>
                <w:szCs w:val="20"/>
              </w:rPr>
              <w:t xml:space="preserve"> </w:t>
            </w:r>
            <w:r w:rsidRPr="00222AE9">
              <w:rPr>
                <w:rFonts w:ascii="Cambria Math" w:eastAsiaTheme="minorEastAsia" w:hAnsi="Cambria Math"/>
                <w:sz w:val="20"/>
                <w:szCs w:val="20"/>
              </w:rPr>
              <w:t>year disabilities means it can be simplified</w:t>
            </w:r>
            <w:r w:rsidR="00AB2C48">
              <w:rPr>
                <w:rFonts w:ascii="Cambria Math" w:eastAsiaTheme="minorEastAsia" w:hAnsi="Cambria Math"/>
                <w:sz w:val="20"/>
                <w:szCs w:val="20"/>
              </w:rPr>
              <w:t xml:space="preserve"> to</w:t>
            </w:r>
            <w:r w:rsidRPr="00222AE9">
              <w:rPr>
                <w:rFonts w:ascii="Cambria Math" w:eastAsiaTheme="minorEastAsia" w:hAnsi="Cambria Math"/>
                <w:sz w:val="20"/>
                <w:szCs w:val="20"/>
              </w:rPr>
              <w:t>:</w:t>
            </w:r>
            <w:r w:rsidRPr="00222AE9">
              <w:rPr>
                <w:rFonts w:ascii="Cambria Math" w:eastAsiaTheme="minorEastAsia" w:hAnsi="Cambria Math"/>
                <w:sz w:val="20"/>
                <w:szCs w:val="20"/>
              </w:rPr>
              <w:br/>
            </w:r>
            <m:oMathPara>
              <m:oMathParaPr>
                <m:jc m:val="center"/>
              </m:oMathParaPr>
              <m:oMath>
                <m:r>
                  <m:rPr>
                    <m:sty m:val="p"/>
                  </m:rPr>
                  <w:rPr>
                    <w:rFonts w:ascii="Cambria Math" w:hAnsi="Cambria Math"/>
                    <w:sz w:val="20"/>
                    <w:szCs w:val="20"/>
                  </w:rPr>
                  <m:t xml:space="preserve">= </m:t>
                </m:r>
                <m:d>
                  <m:dPr>
                    <m:ctrlPr>
                      <w:rPr>
                        <w:rFonts w:ascii="Cambria Math" w:hAnsi="Cambria Math"/>
                      </w:rPr>
                    </m:ctrlPr>
                  </m:dPr>
                  <m:e>
                    <m:f>
                      <m:fPr>
                        <m:ctrlPr>
                          <w:rPr>
                            <w:rFonts w:ascii="Cambria Math" w:hAnsi="Cambria Math"/>
                          </w:rPr>
                        </m:ctrlPr>
                      </m:fPr>
                      <m:num>
                        <m:sSub>
                          <m:sSubPr>
                            <m:ctrlPr>
                              <w:rPr>
                                <w:rFonts w:ascii="Cambria Math" w:hAnsi="Cambria Math"/>
                                <w:sz w:val="20"/>
                                <w:szCs w:val="20"/>
                              </w:rPr>
                            </m:ctrlPr>
                          </m:sSubPr>
                          <m:e>
                            <m:r>
                              <m:rPr>
                                <m:sty m:val="p"/>
                              </m:rPr>
                              <w:rPr>
                                <w:rFonts w:ascii="Cambria Math" w:hAnsi="Cambria Math"/>
                                <w:sz w:val="20"/>
                                <w:szCs w:val="20"/>
                              </w:rPr>
                              <m:t>K</m:t>
                            </m:r>
                            <m:ctrlPr>
                              <w:rPr>
                                <w:rFonts w:ascii="Cambria Math" w:hAnsi="Cambria Math"/>
                              </w:rPr>
                            </m:ctrlPr>
                          </m:e>
                          <m:sub>
                            <m:r>
                              <m:rPr>
                                <m:sty m:val="p"/>
                              </m:rPr>
                              <w:rPr>
                                <w:rFonts w:ascii="Cambria Math" w:hAnsi="Cambria Math"/>
                                <w:sz w:val="20"/>
                                <w:szCs w:val="20"/>
                              </w:rPr>
                              <m:t>1</m:t>
                            </m:r>
                            <m:ctrlPr>
                              <w:rPr>
                                <w:rFonts w:ascii="Cambria Math" w:hAnsi="Cambria Math"/>
                              </w:rPr>
                            </m:ctrlPr>
                          </m:sub>
                        </m:sSub>
                      </m:num>
                      <m:den>
                        <m:sSub>
                          <m:sSubPr>
                            <m:ctrlPr>
                              <w:rPr>
                                <w:rFonts w:ascii="Cambria Math" w:hAnsi="Cambria Math"/>
                                <w:sz w:val="20"/>
                                <w:szCs w:val="20"/>
                              </w:rPr>
                            </m:ctrlPr>
                          </m:sSubPr>
                          <m:e>
                            <m:r>
                              <m:rPr>
                                <m:sty m:val="p"/>
                              </m:rPr>
                              <w:rPr>
                                <w:rFonts w:ascii="Cambria Math" w:hAnsi="Cambria Math"/>
                                <w:sz w:val="20"/>
                                <w:szCs w:val="20"/>
                              </w:rPr>
                              <m:t>g</m:t>
                            </m:r>
                            <m:ctrlPr>
                              <w:rPr>
                                <w:rFonts w:ascii="Cambria Math" w:hAnsi="Cambria Math"/>
                              </w:rPr>
                            </m:ctrlPr>
                          </m:e>
                          <m:sub>
                            <m:r>
                              <m:rPr>
                                <m:sty m:val="p"/>
                              </m:rPr>
                              <w:rPr>
                                <w:rFonts w:ascii="Cambria Math" w:hAnsi="Cambria Math"/>
                                <w:sz w:val="20"/>
                                <w:szCs w:val="20"/>
                              </w:rPr>
                              <m:t>1</m:t>
                            </m:r>
                            <m:ctrlPr>
                              <w:rPr>
                                <w:rFonts w:ascii="Cambria Math" w:hAnsi="Cambria Math"/>
                              </w:rPr>
                            </m:ctrlPr>
                          </m:sub>
                        </m:sSub>
                      </m:den>
                    </m:f>
                    <m:sSub>
                      <m:sSubPr>
                        <m:ctrlPr>
                          <w:rPr>
                            <w:rFonts w:ascii="Cambria Math" w:hAnsi="Cambria Math"/>
                            <w:sz w:val="20"/>
                            <w:szCs w:val="20"/>
                          </w:rPr>
                        </m:ctrlPr>
                      </m:sSubPr>
                      <m:e>
                        <m:r>
                          <m:rPr>
                            <m:sty m:val="p"/>
                          </m:rPr>
                          <w:rPr>
                            <w:rFonts w:ascii="Cambria Math" w:hAnsi="Cambria Math"/>
                            <w:sz w:val="20"/>
                            <w:szCs w:val="20"/>
                          </w:rPr>
                          <m:t>g</m:t>
                        </m:r>
                        <m:ctrlPr>
                          <w:rPr>
                            <w:rFonts w:ascii="Cambria Math" w:hAnsi="Cambria Math"/>
                          </w:rPr>
                        </m:ctrlPr>
                      </m:e>
                      <m:sub>
                        <m:r>
                          <m:rPr>
                            <m:sty m:val="p"/>
                          </m:rPr>
                          <w:rPr>
                            <w:rFonts w:ascii="Cambria Math" w:hAnsi="Cambria Math"/>
                            <w:sz w:val="20"/>
                            <w:szCs w:val="20"/>
                          </w:rPr>
                          <m:t>i,1</m:t>
                        </m:r>
                        <m:ctrlPr>
                          <w:rPr>
                            <w:rFonts w:ascii="Cambria Math" w:hAnsi="Cambria Math"/>
                          </w:rPr>
                        </m:ctrlPr>
                      </m:sub>
                    </m:sSub>
                    <m:r>
                      <m:rPr>
                        <m:sty m:val="p"/>
                      </m:rPr>
                      <w:rPr>
                        <w:rFonts w:ascii="Cambria Math" w:hAnsi="Cambria Math"/>
                        <w:sz w:val="20"/>
                        <w:szCs w:val="20"/>
                      </w:rPr>
                      <m:t>-</m:t>
                    </m:r>
                    <m:f>
                      <m:fPr>
                        <m:ctrlPr>
                          <w:rPr>
                            <w:rFonts w:ascii="Cambria Math" w:hAnsi="Cambria Math"/>
                          </w:rPr>
                        </m:ctrlPr>
                      </m:fPr>
                      <m:num>
                        <m:sSub>
                          <m:sSubPr>
                            <m:ctrlPr>
                              <w:rPr>
                                <w:rFonts w:ascii="Cambria Math" w:hAnsi="Cambria Math"/>
                                <w:sz w:val="20"/>
                                <w:szCs w:val="20"/>
                              </w:rPr>
                            </m:ctrlPr>
                          </m:sSubPr>
                          <m:e>
                            <m:r>
                              <m:rPr>
                                <m:sty m:val="p"/>
                              </m:rPr>
                              <w:rPr>
                                <w:rFonts w:ascii="Cambria Math" w:hAnsi="Cambria Math"/>
                                <w:sz w:val="20"/>
                                <w:szCs w:val="20"/>
                              </w:rPr>
                              <m:t>K</m:t>
                            </m:r>
                            <m:ctrlPr>
                              <w:rPr>
                                <w:rFonts w:ascii="Cambria Math" w:hAnsi="Cambria Math"/>
                              </w:rPr>
                            </m:ctrlPr>
                          </m:e>
                          <m:sub>
                            <m:r>
                              <m:rPr>
                                <m:sty m:val="p"/>
                              </m:rPr>
                              <w:rPr>
                                <w:rFonts w:ascii="Cambria Math" w:hAnsi="Cambria Math"/>
                                <w:sz w:val="20"/>
                                <w:szCs w:val="20"/>
                              </w:rPr>
                              <m:t xml:space="preserve"> 0</m:t>
                            </m:r>
                            <m:ctrlPr>
                              <w:rPr>
                                <w:rFonts w:ascii="Cambria Math" w:hAnsi="Cambria Math"/>
                              </w:rPr>
                            </m:ctrlPr>
                          </m:sub>
                        </m:sSub>
                      </m:num>
                      <m:den>
                        <m:sSub>
                          <m:sSubPr>
                            <m:ctrlPr>
                              <w:rPr>
                                <w:rFonts w:ascii="Cambria Math" w:hAnsi="Cambria Math"/>
                                <w:sz w:val="20"/>
                                <w:szCs w:val="20"/>
                              </w:rPr>
                            </m:ctrlPr>
                          </m:sSubPr>
                          <m:e>
                            <m:r>
                              <m:rPr>
                                <m:sty m:val="p"/>
                              </m:rPr>
                              <w:rPr>
                                <w:rFonts w:ascii="Cambria Math" w:hAnsi="Cambria Math"/>
                                <w:sz w:val="20"/>
                                <w:szCs w:val="20"/>
                              </w:rPr>
                              <m:t>g</m:t>
                            </m:r>
                            <m:ctrlPr>
                              <w:rPr>
                                <w:rFonts w:ascii="Cambria Math" w:hAnsi="Cambria Math"/>
                              </w:rPr>
                            </m:ctrlPr>
                          </m:e>
                          <m:sub>
                            <m:r>
                              <m:rPr>
                                <m:sty m:val="p"/>
                              </m:rPr>
                              <w:rPr>
                                <w:rFonts w:ascii="Cambria Math" w:hAnsi="Cambria Math"/>
                                <w:sz w:val="20"/>
                                <w:szCs w:val="20"/>
                              </w:rPr>
                              <m:t>0</m:t>
                            </m:r>
                            <m:ctrlPr>
                              <w:rPr>
                                <w:rFonts w:ascii="Cambria Math" w:hAnsi="Cambria Math"/>
                              </w:rPr>
                            </m:ctrlPr>
                          </m:sub>
                        </m:sSub>
                      </m:den>
                    </m:f>
                    <m:sSub>
                      <m:sSubPr>
                        <m:ctrlPr>
                          <w:rPr>
                            <w:rFonts w:ascii="Cambria Math" w:hAnsi="Cambria Math"/>
                            <w:sz w:val="20"/>
                            <w:szCs w:val="20"/>
                          </w:rPr>
                        </m:ctrlPr>
                      </m:sSubPr>
                      <m:e>
                        <m:r>
                          <m:rPr>
                            <m:sty m:val="p"/>
                          </m:rPr>
                          <w:rPr>
                            <w:rFonts w:ascii="Cambria Math" w:hAnsi="Cambria Math"/>
                            <w:sz w:val="20"/>
                            <w:szCs w:val="20"/>
                          </w:rPr>
                          <m:t>g</m:t>
                        </m:r>
                        <m:ctrlPr>
                          <w:rPr>
                            <w:rFonts w:ascii="Cambria Math" w:hAnsi="Cambria Math"/>
                          </w:rPr>
                        </m:ctrlPr>
                      </m:e>
                      <m:sub>
                        <m:r>
                          <m:rPr>
                            <m:sty m:val="p"/>
                          </m:rPr>
                          <w:rPr>
                            <w:rFonts w:ascii="Cambria Math" w:hAnsi="Cambria Math"/>
                            <w:sz w:val="20"/>
                            <w:szCs w:val="20"/>
                          </w:rPr>
                          <m:t>i,0</m:t>
                        </m:r>
                        <m:ctrlPr>
                          <w:rPr>
                            <w:rFonts w:ascii="Cambria Math" w:hAnsi="Cambria Math"/>
                          </w:rPr>
                        </m:ctrlPr>
                      </m:sub>
                    </m:sSub>
                  </m:e>
                </m:d>
                <m:sSubSup>
                  <m:sSubSupPr>
                    <m:ctrlPr>
                      <w:rPr>
                        <w:rFonts w:ascii="Cambria Math" w:hAnsi="Cambria Math"/>
                      </w:rPr>
                    </m:ctrlPr>
                  </m:sSubSupPr>
                  <m:e>
                    <m:sSubSup>
                      <m:sSubSupPr>
                        <m:ctrlPr>
                          <w:rPr>
                            <w:rFonts w:ascii="Cambria Math" w:hAnsi="Cambria Math"/>
                          </w:rPr>
                        </m:ctrlPr>
                      </m:sSubSupPr>
                      <m:e>
                        <m:r>
                          <m:rPr>
                            <m:sty m:val="p"/>
                          </m:rPr>
                          <w:rPr>
                            <w:rFonts w:ascii="Cambria Math" w:hAnsi="Cambria Math"/>
                            <w:sz w:val="20"/>
                            <w:szCs w:val="20"/>
                          </w:rPr>
                          <m:t>δ</m:t>
                        </m:r>
                      </m:e>
                      <m:sub>
                        <m:r>
                          <m:rPr>
                            <m:sty m:val="p"/>
                          </m:rPr>
                          <w:rPr>
                            <w:rFonts w:ascii="Cambria Math" w:hAnsi="Cambria Math"/>
                            <w:sz w:val="20"/>
                            <w:szCs w:val="20"/>
                          </w:rPr>
                          <m:t>i,1</m:t>
                        </m:r>
                      </m:sub>
                      <m:sup>
                        <m:r>
                          <m:rPr>
                            <m:sty m:val="p"/>
                          </m:rPr>
                          <w:rPr>
                            <w:rFonts w:ascii="Cambria Math" w:hAnsi="Cambria Math"/>
                            <w:sz w:val="20"/>
                            <w:szCs w:val="20"/>
                          </w:rPr>
                          <m:t>g</m:t>
                        </m:r>
                      </m:sup>
                    </m:sSubSup>
                    <m:r>
                      <m:rPr>
                        <m:sty m:val="p"/>
                      </m:rPr>
                      <w:rPr>
                        <w:rFonts w:ascii="Cambria Math" w:hAnsi="Cambria Math"/>
                        <w:sz w:val="20"/>
                        <w:szCs w:val="20"/>
                      </w:rPr>
                      <m:t xml:space="preserve">  δ</m:t>
                    </m:r>
                  </m:e>
                  <m:sub>
                    <m:r>
                      <m:rPr>
                        <m:sty m:val="p"/>
                      </m:rPr>
                      <w:rPr>
                        <w:rFonts w:ascii="Cambria Math" w:hAnsi="Cambria Math"/>
                        <w:sz w:val="20"/>
                        <w:szCs w:val="20"/>
                      </w:rPr>
                      <m:t>i</m:t>
                    </m:r>
                  </m:sub>
                  <m:sup>
                    <m:r>
                      <w:rPr>
                        <w:rFonts w:ascii="Cambria Math" w:hAnsi="Cambria Math"/>
                      </w:rPr>
                      <m:t>c</m:t>
                    </m:r>
                  </m:sup>
                </m:sSubSup>
                <m:r>
                  <m:rPr>
                    <m:sty m:val="p"/>
                  </m:rPr>
                  <w:rPr>
                    <w:rFonts w:ascii="Cambria Math" w:hAnsi="Cambria Math"/>
                    <w:sz w:val="20"/>
                    <w:szCs w:val="20"/>
                  </w:rPr>
                  <m:t xml:space="preserve"> </m:t>
                </m:r>
                <m:r>
                  <w:rPr>
                    <w:rFonts w:ascii="Cambria Math" w:hAnsi="Cambria Math"/>
                    <w:sz w:val="20"/>
                    <w:szCs w:val="20"/>
                  </w:rPr>
                  <m:t xml:space="preserve">  </m:t>
                </m:r>
              </m:oMath>
            </m:oMathPara>
          </w:p>
          <w:p w:rsidR="00070648" w:rsidRDefault="00BF0729">
            <w:pPr>
              <w:spacing w:after="60" w:line="280" w:lineRule="atLeast"/>
              <w:ind w:left="193" w:hanging="142"/>
              <w:rPr>
                <w:rFonts w:ascii="Cambria Math" w:eastAsiaTheme="minorEastAsia" w:hAnsi="Cambria Math"/>
                <w:sz w:val="20"/>
                <w:szCs w:val="20"/>
              </w:rPr>
            </w:pPr>
            <w:r w:rsidRPr="00222AE9">
              <w:rPr>
                <w:rFonts w:ascii="Cambria Math" w:eastAsiaTheme="minorEastAsia" w:hAnsi="Cambria Math"/>
                <w:sz w:val="20"/>
                <w:szCs w:val="20"/>
              </w:rPr>
              <w:t>This follows the same definitions as the current equation</w:t>
            </w:r>
            <w:r w:rsidR="00070648">
              <w:rPr>
                <w:rFonts w:ascii="Cambria Math" w:eastAsiaTheme="minorEastAsia" w:hAnsi="Cambria Math"/>
                <w:sz w:val="20"/>
                <w:szCs w:val="20"/>
              </w:rPr>
              <w:t xml:space="preserve"> (presented in the box in paragraph </w:t>
            </w:r>
            <w:r w:rsidR="00E851F9">
              <w:rPr>
                <w:rFonts w:ascii="Cambria Math" w:eastAsiaTheme="minorEastAsia" w:hAnsi="Cambria Math"/>
                <w:sz w:val="20"/>
                <w:szCs w:val="20"/>
              </w:rPr>
              <w:fldChar w:fldCharType="begin"/>
            </w:r>
            <w:r w:rsidR="00E851F9">
              <w:rPr>
                <w:rFonts w:ascii="Cambria Math" w:eastAsiaTheme="minorEastAsia" w:hAnsi="Cambria Math"/>
                <w:sz w:val="20"/>
                <w:szCs w:val="20"/>
              </w:rPr>
              <w:instrText xml:space="preserve"> REF _Ref511217732 \r \h </w:instrText>
            </w:r>
            <w:r w:rsidR="00E851F9">
              <w:rPr>
                <w:rFonts w:ascii="Cambria Math" w:eastAsiaTheme="minorEastAsia" w:hAnsi="Cambria Math"/>
                <w:sz w:val="20"/>
                <w:szCs w:val="20"/>
              </w:rPr>
            </w:r>
            <w:r w:rsidR="00E851F9">
              <w:rPr>
                <w:rFonts w:ascii="Cambria Math" w:eastAsiaTheme="minorEastAsia" w:hAnsi="Cambria Math"/>
                <w:sz w:val="20"/>
                <w:szCs w:val="20"/>
              </w:rPr>
              <w:fldChar w:fldCharType="separate"/>
            </w:r>
            <w:r w:rsidR="00402501">
              <w:rPr>
                <w:rFonts w:ascii="Cambria Math" w:eastAsiaTheme="minorEastAsia" w:hAnsi="Cambria Math"/>
                <w:sz w:val="20"/>
                <w:szCs w:val="20"/>
              </w:rPr>
              <w:t>8</w:t>
            </w:r>
            <w:r w:rsidR="00E851F9">
              <w:rPr>
                <w:rFonts w:ascii="Cambria Math" w:eastAsiaTheme="minorEastAsia" w:hAnsi="Cambria Math"/>
                <w:sz w:val="20"/>
                <w:szCs w:val="20"/>
              </w:rPr>
              <w:fldChar w:fldCharType="end"/>
            </w:r>
            <w:r w:rsidR="00070648">
              <w:rPr>
                <w:rFonts w:ascii="Cambria Math" w:eastAsiaTheme="minorEastAsia" w:hAnsi="Cambria Math"/>
                <w:sz w:val="20"/>
                <w:szCs w:val="20"/>
              </w:rPr>
              <w:t>)</w:t>
            </w:r>
          </w:p>
          <w:p w:rsidR="00BF0729" w:rsidRPr="00222AE9" w:rsidRDefault="00BF0729">
            <w:pPr>
              <w:spacing w:after="60" w:line="280" w:lineRule="atLeast"/>
              <w:ind w:left="193" w:hanging="142"/>
              <w:rPr>
                <w:rFonts w:ascii="Cambria Math" w:eastAsiaTheme="minorEastAsia" w:hAnsi="Cambria Math"/>
                <w:sz w:val="20"/>
                <w:szCs w:val="20"/>
              </w:rPr>
            </w:pPr>
            <w:r w:rsidRPr="00222AE9">
              <w:rPr>
                <w:rFonts w:ascii="Cambria Math" w:eastAsiaTheme="minorEastAsia" w:hAnsi="Cambria Math"/>
                <w:sz w:val="20"/>
                <w:szCs w:val="20"/>
              </w:rPr>
              <w:t xml:space="preserve">except, while: </w:t>
            </w:r>
          </w:p>
          <w:p w:rsidR="00D128DD" w:rsidRPr="00D128DD" w:rsidRDefault="00402501" w:rsidP="00D128DD">
            <w:pPr>
              <w:spacing w:after="60" w:line="280" w:lineRule="atLeast"/>
              <w:ind w:left="142" w:hanging="142"/>
              <w:jc w:val="both"/>
              <w:rPr>
                <w:rFonts w:ascii="Cambria Math" w:eastAsiaTheme="minorEastAsia" w:hAnsi="Cambria Math"/>
                <w:sz w:val="20"/>
                <w:szCs w:val="20"/>
              </w:rPr>
            </w:pPr>
            <m:oMathPara>
              <m:oMathParaPr>
                <m:jc m:val="left"/>
              </m:oMathParaPr>
              <m:oMath>
                <m:sSub>
                  <m:sSubPr>
                    <m:ctrlPr>
                      <w:rPr>
                        <w:rFonts w:ascii="Cambria Math" w:hAnsi="Cambria Math"/>
                        <w:i/>
                        <w:sz w:val="20"/>
                        <w:szCs w:val="20"/>
                      </w:rPr>
                    </m:ctrlPr>
                  </m:sSubPr>
                  <m:e>
                    <m:r>
                      <w:rPr>
                        <w:rFonts w:ascii="Cambria Math" w:eastAsiaTheme="minorEastAsia" w:hAnsi="Cambria Math"/>
                        <w:sz w:val="20"/>
                        <w:szCs w:val="20"/>
                      </w:rPr>
                      <m:t>p</m:t>
                    </m:r>
                    <m:ctrlPr>
                      <w:rPr>
                        <w:rFonts w:ascii="Cambria Math" w:hAnsi="Cambria Math"/>
                        <w:i/>
                        <w:szCs w:val="24"/>
                      </w:rPr>
                    </m:ctrlPr>
                  </m:e>
                  <m:sub>
                    <m:r>
                      <w:rPr>
                        <w:rFonts w:ascii="Cambria Math" w:hAnsi="Cambria Math"/>
                        <w:sz w:val="20"/>
                        <w:szCs w:val="20"/>
                      </w:rPr>
                      <m:t xml:space="preserve"> </m:t>
                    </m:r>
                    <m:ctrlPr>
                      <w:rPr>
                        <w:rFonts w:ascii="Cambria Math" w:hAnsi="Cambria Math"/>
                        <w:i/>
                        <w:szCs w:val="24"/>
                      </w:rPr>
                    </m:ctrlPr>
                  </m:sub>
                </m:sSub>
                <m:r>
                  <m:rPr>
                    <m:sty m:val="p"/>
                  </m:rPr>
                  <w:rPr>
                    <w:rFonts w:ascii="Cambria Math" w:hAnsi="Cambria Math"/>
                    <w:sz w:val="20"/>
                    <w:szCs w:val="20"/>
                  </w:rPr>
                  <m:t xml:space="preserve">referred to the population, </m:t>
                </m:r>
              </m:oMath>
            </m:oMathPara>
          </w:p>
          <w:p w:rsidR="00774546" w:rsidRPr="00D128DD" w:rsidRDefault="00774546" w:rsidP="00D128DD">
            <w:pPr>
              <w:spacing w:after="60" w:line="280" w:lineRule="atLeast"/>
              <w:ind w:left="284" w:hanging="142"/>
              <w:jc w:val="both"/>
              <w:rPr>
                <w:rFonts w:ascii="Cambria Math" w:eastAsiaTheme="minorEastAsia" w:hAnsi="Cambria Math"/>
                <w:sz w:val="20"/>
                <w:szCs w:val="20"/>
              </w:rPr>
            </w:pPr>
            <m:oMathPara>
              <m:oMathParaPr>
                <m:jc m:val="left"/>
              </m:oMathParaPr>
              <m:oMath>
                <m:r>
                  <m:rPr>
                    <m:sty m:val="p"/>
                  </m:rPr>
                  <w:rPr>
                    <w:rFonts w:ascii="Cambria Math" w:hAnsi="Cambria Math"/>
                    <w:sz w:val="20"/>
                    <w:szCs w:val="20"/>
                  </w:rPr>
                  <m:t>g refers to the groups using the service</m:t>
                </m:r>
              </m:oMath>
            </m:oMathPara>
          </w:p>
          <w:p w:rsidR="00F44AD3" w:rsidRPr="00D128DD" w:rsidRDefault="00402501" w:rsidP="00D128DD">
            <w:pPr>
              <w:spacing w:after="60" w:line="280" w:lineRule="atLeast"/>
              <w:ind w:left="142" w:hanging="142"/>
              <w:jc w:val="both"/>
              <w:rPr>
                <w:rFonts w:ascii="Cambria Math" w:eastAsiaTheme="minorEastAsia" w:hAnsi="Cambria Math"/>
                <w:sz w:val="20"/>
                <w:szCs w:val="20"/>
              </w:rPr>
            </w:pPr>
            <m:oMathPara>
              <m:oMathParaPr>
                <m:jc m:val="left"/>
              </m:oMathParaPr>
              <m:oMath>
                <m:sSubSup>
                  <m:sSubSupPr>
                    <m:ctrlPr>
                      <w:rPr>
                        <w:rFonts w:ascii="Cambria Math" w:hAnsi="Cambria Math"/>
                      </w:rPr>
                    </m:ctrlPr>
                  </m:sSubSupPr>
                  <m:e>
                    <m:r>
                      <m:rPr>
                        <m:sty m:val="p"/>
                      </m:rPr>
                      <w:rPr>
                        <w:rFonts w:ascii="Cambria Math" w:hAnsi="Cambria Math"/>
                        <w:sz w:val="20"/>
                        <w:szCs w:val="20"/>
                      </w:rPr>
                      <m:t>δ</m:t>
                    </m:r>
                  </m:e>
                  <m:sub>
                    <m:r>
                      <m:rPr>
                        <m:sty m:val="p"/>
                      </m:rPr>
                      <w:rPr>
                        <w:rFonts w:ascii="Cambria Math" w:hAnsi="Cambria Math"/>
                        <w:sz w:val="20"/>
                        <w:szCs w:val="20"/>
                      </w:rPr>
                      <m:t>i,1</m:t>
                    </m:r>
                  </m:sub>
                  <m:sup>
                    <m:r>
                      <m:rPr>
                        <m:sty m:val="p"/>
                      </m:rPr>
                      <w:rPr>
                        <w:rFonts w:ascii="Cambria Math" w:hAnsi="Cambria Math"/>
                        <w:sz w:val="20"/>
                        <w:szCs w:val="20"/>
                      </w:rPr>
                      <m:t>u</m:t>
                    </m:r>
                  </m:sup>
                </m:sSubSup>
                <m:r>
                  <m:rPr>
                    <m:sty m:val="p"/>
                  </m:rPr>
                  <w:rPr>
                    <w:rFonts w:ascii="Cambria Math" w:hAnsi="Cambria Math"/>
                    <w:sz w:val="20"/>
                    <w:szCs w:val="20"/>
                  </w:rPr>
                  <m:t xml:space="preserve"> referred to the category specific disabilities per capita,</m:t>
                </m:r>
              </m:oMath>
            </m:oMathPara>
          </w:p>
          <w:p w:rsidR="00BF0729" w:rsidRPr="00D128DD" w:rsidRDefault="00402501" w:rsidP="00D128DD">
            <w:pPr>
              <w:spacing w:after="60" w:line="280" w:lineRule="atLeast"/>
              <w:ind w:left="284" w:hanging="142"/>
              <w:jc w:val="both"/>
              <w:rPr>
                <w:rFonts w:ascii="Cambria Math" w:eastAsiaTheme="minorEastAsia" w:hAnsi="Cambria Math"/>
                <w:sz w:val="20"/>
                <w:szCs w:val="20"/>
              </w:rPr>
            </w:pPr>
            <m:oMathPara>
              <m:oMathParaPr>
                <m:jc m:val="left"/>
              </m:oMathParaPr>
              <m:oMath>
                <m:sSubSup>
                  <m:sSubSupPr>
                    <m:ctrlPr>
                      <w:rPr>
                        <w:rFonts w:ascii="Cambria Math" w:hAnsi="Cambria Math"/>
                      </w:rPr>
                    </m:ctrlPr>
                  </m:sSubSupPr>
                  <m:e>
                    <m:r>
                      <m:rPr>
                        <m:sty m:val="p"/>
                      </m:rPr>
                      <w:rPr>
                        <w:rFonts w:ascii="Cambria Math" w:hAnsi="Cambria Math"/>
                        <w:sz w:val="20"/>
                        <w:szCs w:val="20"/>
                      </w:rPr>
                      <m:t>δ</m:t>
                    </m:r>
                  </m:e>
                  <m:sub>
                    <m:r>
                      <m:rPr>
                        <m:sty m:val="p"/>
                      </m:rPr>
                      <w:rPr>
                        <w:rFonts w:ascii="Cambria Math" w:hAnsi="Cambria Math"/>
                        <w:sz w:val="20"/>
                        <w:szCs w:val="20"/>
                      </w:rPr>
                      <m:t>i,1</m:t>
                    </m:r>
                  </m:sub>
                  <m:sup>
                    <m:r>
                      <m:rPr>
                        <m:sty m:val="p"/>
                      </m:rPr>
                      <w:rPr>
                        <w:rFonts w:ascii="Cambria Math" w:hAnsi="Cambria Math"/>
                        <w:sz w:val="20"/>
                        <w:szCs w:val="20"/>
                      </w:rPr>
                      <m:t>g</m:t>
                    </m:r>
                  </m:sup>
                </m:sSubSup>
                <m:r>
                  <m:rPr>
                    <m:sty m:val="p"/>
                  </m:rPr>
                  <w:rPr>
                    <w:rFonts w:ascii="Cambria Math" w:hAnsi="Cambria Math"/>
                    <w:sz w:val="20"/>
                    <w:szCs w:val="20"/>
                  </w:rPr>
                  <m:t>refers to the category specific disabilities per user</m:t>
                </m:r>
              </m:oMath>
            </m:oMathPara>
          </w:p>
          <w:p w:rsidR="00D128DD" w:rsidRPr="00D128DD" w:rsidRDefault="00402501" w:rsidP="00D128DD">
            <w:pPr>
              <w:spacing w:after="60" w:line="280" w:lineRule="atLeast"/>
              <w:ind w:left="142" w:hanging="142"/>
              <w:jc w:val="both"/>
              <w:rPr>
                <w:rFonts w:ascii="Cambria Math" w:eastAsiaTheme="minorEastAsia" w:hAnsi="Cambria Math"/>
                <w:sz w:val="20"/>
                <w:szCs w:val="20"/>
              </w:rPr>
            </w:pPr>
            <m:oMathPara>
              <m:oMathParaPr>
                <m:jc m:val="left"/>
              </m:oMathParaPr>
              <m:oMath>
                <m:sSub>
                  <m:sSubPr>
                    <m:ctrlPr>
                      <w:rPr>
                        <w:rFonts w:ascii="Cambria Math" w:hAnsi="Cambria Math"/>
                        <w:sz w:val="20"/>
                        <w:szCs w:val="20"/>
                      </w:rPr>
                    </m:ctrlPr>
                  </m:sSubPr>
                  <m:e>
                    <m:r>
                      <m:rPr>
                        <m:sty m:val="p"/>
                      </m:rPr>
                      <w:rPr>
                        <w:rFonts w:ascii="Cambria Math" w:hAnsi="Cambria Math"/>
                        <w:sz w:val="20"/>
                        <w:szCs w:val="20"/>
                      </w:rPr>
                      <m:t>K</m:t>
                    </m:r>
                    <m:ctrlPr>
                      <w:rPr>
                        <w:rFonts w:ascii="Cambria Math" w:hAnsi="Cambria Math"/>
                      </w:rPr>
                    </m:ctrlPr>
                  </m:e>
                  <m:sub>
                    <m:r>
                      <m:rPr>
                        <m:sty m:val="p"/>
                      </m:rPr>
                      <w:rPr>
                        <w:rFonts w:ascii="Cambria Math" w:hAnsi="Cambria Math"/>
                        <w:sz w:val="20"/>
                        <w:szCs w:val="20"/>
                      </w:rPr>
                      <m:t>0</m:t>
                    </m:r>
                    <m:ctrlPr>
                      <w:rPr>
                        <w:rFonts w:ascii="Cambria Math" w:hAnsi="Cambria Math"/>
                      </w:rPr>
                    </m:ctrlPr>
                  </m:sub>
                </m:sSub>
                <m:r>
                  <m:rPr>
                    <m:sty m:val="p"/>
                  </m:rPr>
                  <w:rPr>
                    <w:rFonts w:ascii="Cambria Math" w:hAnsi="Cambria Math"/>
                    <w:sz w:val="20"/>
                    <w:szCs w:val="20"/>
                  </w:rPr>
                  <m:t xml:space="preserve"> was calculated as</m:t>
                </m:r>
                <m:sSub>
                  <m:sSubPr>
                    <m:ctrlPr>
                      <w:rPr>
                        <w:rFonts w:ascii="Cambria Math" w:hAnsi="Cambria Math"/>
                        <w:sz w:val="20"/>
                        <w:szCs w:val="20"/>
                      </w:rPr>
                    </m:ctrlPr>
                  </m:sSubPr>
                  <m:e>
                    <m:r>
                      <m:rPr>
                        <m:sty m:val="p"/>
                      </m:rPr>
                      <w:rPr>
                        <w:rFonts w:ascii="Cambria Math" w:hAnsi="Cambria Math"/>
                        <w:sz w:val="20"/>
                        <w:szCs w:val="20"/>
                      </w:rPr>
                      <m:t xml:space="preserve"> K</m:t>
                    </m:r>
                    <m:ctrlPr>
                      <w:rPr>
                        <w:rFonts w:ascii="Cambria Math" w:hAnsi="Cambria Math"/>
                      </w:rPr>
                    </m:ctrlPr>
                  </m:e>
                  <m:sub>
                    <m:r>
                      <m:rPr>
                        <m:sty m:val="p"/>
                      </m:rPr>
                      <w:rPr>
                        <w:rFonts w:ascii="Cambria Math" w:hAnsi="Cambria Math"/>
                        <w:sz w:val="20"/>
                        <w:szCs w:val="20"/>
                      </w:rPr>
                      <m:t xml:space="preserve">1 </m:t>
                    </m:r>
                    <m:ctrlPr>
                      <w:rPr>
                        <w:rFonts w:ascii="Cambria Math" w:hAnsi="Cambria Math"/>
                      </w:rPr>
                    </m:ctrlPr>
                  </m:sub>
                </m:sSub>
                <m:r>
                  <m:rPr>
                    <m:sty m:val="p"/>
                  </m:rPr>
                  <w:rPr>
                    <w:rFonts w:ascii="Cambria Math" w:hAnsi="Cambria Math"/>
                    <w:sz w:val="20"/>
                    <w:szCs w:val="20"/>
                  </w:rPr>
                  <m:t>minus net investment in the current method,</m:t>
                </m:r>
              </m:oMath>
            </m:oMathPara>
          </w:p>
          <w:p w:rsidR="00D128DD" w:rsidRPr="00D128DD" w:rsidRDefault="00402501" w:rsidP="00D128DD">
            <w:pPr>
              <w:spacing w:after="60" w:line="280" w:lineRule="atLeast"/>
              <w:ind w:left="284" w:hanging="142"/>
              <w:jc w:val="both"/>
              <w:rPr>
                <w:rFonts w:ascii="Cambria Math" w:eastAsiaTheme="minorEastAsia" w:hAnsi="Cambria Math"/>
                <w:sz w:val="20"/>
                <w:szCs w:val="20"/>
              </w:rPr>
            </w:pPr>
            <m:oMathPara>
              <m:oMathParaPr>
                <m:jc m:val="left"/>
              </m:oMathParaPr>
              <m:oMath>
                <m:sSub>
                  <m:sSubPr>
                    <m:ctrlPr>
                      <w:rPr>
                        <w:rFonts w:ascii="Cambria Math" w:hAnsi="Cambria Math"/>
                        <w:sz w:val="20"/>
                        <w:szCs w:val="20"/>
                      </w:rPr>
                    </m:ctrlPr>
                  </m:sSubPr>
                  <m:e>
                    <m:r>
                      <m:rPr>
                        <m:sty m:val="p"/>
                      </m:rPr>
                      <w:rPr>
                        <w:rFonts w:ascii="Cambria Math" w:hAnsi="Cambria Math"/>
                        <w:sz w:val="20"/>
                        <w:szCs w:val="20"/>
                      </w:rPr>
                      <m:t>K</m:t>
                    </m:r>
                    <m:ctrlPr>
                      <w:rPr>
                        <w:rFonts w:ascii="Cambria Math" w:hAnsi="Cambria Math"/>
                      </w:rPr>
                    </m:ctrlPr>
                  </m:e>
                  <m:sub>
                    <m:r>
                      <m:rPr>
                        <m:sty m:val="p"/>
                      </m:rPr>
                      <w:rPr>
                        <w:rFonts w:ascii="Cambria Math" w:hAnsi="Cambria Math"/>
                        <w:sz w:val="20"/>
                        <w:szCs w:val="20"/>
                      </w:rPr>
                      <m:t>0</m:t>
                    </m:r>
                    <m:ctrlPr>
                      <w:rPr>
                        <w:rFonts w:ascii="Cambria Math" w:hAnsi="Cambria Math"/>
                      </w:rPr>
                    </m:ctrlPr>
                  </m:sub>
                </m:sSub>
                <m:r>
                  <m:rPr>
                    <m:sty m:val="p"/>
                  </m:rPr>
                  <w:rPr>
                    <w:rFonts w:ascii="Cambria Math" w:hAnsi="Cambria Math"/>
                    <w:sz w:val="20"/>
                    <w:szCs w:val="20"/>
                  </w:rPr>
                  <m:t xml:space="preserve"> is calculated as</m:t>
                </m:r>
                <m:sSub>
                  <m:sSubPr>
                    <m:ctrlPr>
                      <w:rPr>
                        <w:rFonts w:ascii="Cambria Math" w:hAnsi="Cambria Math"/>
                        <w:sz w:val="20"/>
                        <w:szCs w:val="20"/>
                      </w:rPr>
                    </m:ctrlPr>
                  </m:sSubPr>
                  <m:e>
                    <m:r>
                      <m:rPr>
                        <m:sty m:val="p"/>
                      </m:rPr>
                      <w:rPr>
                        <w:rFonts w:ascii="Cambria Math" w:hAnsi="Cambria Math"/>
                        <w:sz w:val="20"/>
                        <w:szCs w:val="20"/>
                      </w:rPr>
                      <m:t xml:space="preserve"> K</m:t>
                    </m:r>
                    <m:ctrlPr>
                      <w:rPr>
                        <w:rFonts w:ascii="Cambria Math" w:hAnsi="Cambria Math"/>
                      </w:rPr>
                    </m:ctrlPr>
                  </m:e>
                  <m:sub>
                    <m:r>
                      <m:rPr>
                        <m:sty m:val="p"/>
                      </m:rPr>
                      <w:rPr>
                        <w:rFonts w:ascii="Cambria Math" w:hAnsi="Cambria Math"/>
                        <w:sz w:val="20"/>
                        <w:szCs w:val="20"/>
                      </w:rPr>
                      <m:t xml:space="preserve">1 </m:t>
                    </m:r>
                    <m:ctrlPr>
                      <w:rPr>
                        <w:rFonts w:ascii="Cambria Math" w:hAnsi="Cambria Math"/>
                      </w:rPr>
                    </m:ctrlPr>
                  </m:sub>
                </m:sSub>
                <m:r>
                  <m:rPr>
                    <m:sty m:val="p"/>
                  </m:rPr>
                  <w:rPr>
                    <w:rFonts w:ascii="Cambria Math" w:hAnsi="Cambria Math"/>
                    <w:sz w:val="20"/>
                    <w:szCs w:val="20"/>
                  </w:rPr>
                  <m:t>minus gross investment in the proposed method.</m:t>
                </m:r>
              </m:oMath>
            </m:oMathPara>
          </w:p>
          <w:p w:rsidR="00D128DD" w:rsidRPr="00D128DD" w:rsidRDefault="00D128DD" w:rsidP="00D128DD">
            <w:pPr>
              <w:rPr>
                <w:rFonts w:ascii="Cambria Math" w:eastAsiaTheme="minorEastAsia" w:hAnsi="Cambria Math"/>
                <w:sz w:val="20"/>
                <w:szCs w:val="20"/>
              </w:rPr>
            </w:pPr>
          </w:p>
        </w:tc>
      </w:tr>
    </w:tbl>
    <w:p w:rsidR="00BF0729" w:rsidRPr="007C337D" w:rsidRDefault="007C337D" w:rsidP="007C337D">
      <w:pPr>
        <w:pStyle w:val="CGCNumberedPara"/>
        <w:rPr>
          <w:rFonts w:eastAsiaTheme="minorEastAsia"/>
        </w:rPr>
      </w:pPr>
      <w:r>
        <w:rPr>
          <w:rFonts w:eastAsiaTheme="minorEastAsia"/>
        </w:rPr>
        <w:lastRenderedPageBreak/>
        <w:t xml:space="preserve">This assessment </w:t>
      </w:r>
      <w:proofErr w:type="gramStart"/>
      <w:r>
        <w:rPr>
          <w:rFonts w:eastAsiaTheme="minorEastAsia"/>
        </w:rPr>
        <w:t>would be applied</w:t>
      </w:r>
      <w:proofErr w:type="gramEnd"/>
      <w:r>
        <w:rPr>
          <w:rFonts w:eastAsiaTheme="minorEastAsia"/>
        </w:rPr>
        <w:t xml:space="preserve"> separately to asset stock and investment in each category.</w:t>
      </w:r>
      <w:r w:rsidRPr="007C337D">
        <w:rPr>
          <w:rFonts w:eastAsiaTheme="minorEastAsia"/>
        </w:rPr>
        <w:t xml:space="preserve"> </w:t>
      </w:r>
      <w:r w:rsidR="003B748F" w:rsidRPr="007C337D">
        <w:rPr>
          <w:rFonts w:eastAsiaTheme="minorEastAsia"/>
        </w:rPr>
        <w:t>Using schools as an example, under</w:t>
      </w:r>
      <w:r w:rsidR="00BF0729" w:rsidRPr="007C337D">
        <w:rPr>
          <w:rFonts w:eastAsiaTheme="minorEastAsia"/>
        </w:rPr>
        <w:t xml:space="preserve"> this model:</w:t>
      </w:r>
    </w:p>
    <w:p w:rsidR="00BF0729" w:rsidRPr="003B748F" w:rsidRDefault="00402501" w:rsidP="00BF0729">
      <w:pPr>
        <w:pStyle w:val="CGCBulletlist"/>
        <w:numPr>
          <w:ilvl w:val="0"/>
          <w:numId w:val="42"/>
        </w:numPr>
        <w:tabs>
          <w:tab w:val="clear" w:pos="927"/>
        </w:tabs>
        <w:ind w:left="1134" w:hanging="567"/>
      </w:pP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i,1</m:t>
            </m:r>
          </m:sub>
        </m:sSub>
      </m:oMath>
      <w:r w:rsidR="00AB2C48" w:rsidRPr="003B748F">
        <w:t xml:space="preserve"> </w:t>
      </w:r>
      <w:proofErr w:type="gramStart"/>
      <w:r w:rsidR="00AB2C48">
        <w:rPr>
          <w:rFonts w:eastAsiaTheme="minorEastAsia"/>
        </w:rPr>
        <w:t>and</w:t>
      </w:r>
      <w:proofErr w:type="gramEnd"/>
      <w:r w:rsidR="00AB2C48">
        <w:rPr>
          <w:rFonts w:eastAsiaTheme="minorEastAsia"/>
        </w:rPr>
        <w:t xml:space="preserve"> </w:t>
      </w:r>
      <m:oMath>
        <m:sSub>
          <m:sSubPr>
            <m:ctrlPr>
              <w:rPr>
                <w:rFonts w:ascii="Cambria Math" w:hAnsi="Cambria Math"/>
              </w:rPr>
            </m:ctrlPr>
          </m:sSubPr>
          <m:e>
            <m:r>
              <m:rPr>
                <m:sty m:val="p"/>
              </m:rPr>
              <w:rPr>
                <w:rFonts w:ascii="Cambria Math" w:hAnsi="Cambria Math"/>
              </w:rPr>
              <m:t>g</m:t>
            </m:r>
          </m:e>
          <m:sub>
            <m:r>
              <m:rPr>
                <m:sty m:val="p"/>
              </m:rPr>
              <w:rPr>
                <w:rFonts w:ascii="Cambria Math" w:hAnsi="Cambria Math"/>
              </w:rPr>
              <m:t>i,0</m:t>
            </m:r>
          </m:sub>
        </m:sSub>
      </m:oMath>
      <w:r w:rsidR="00BF0729" w:rsidRPr="003B748F">
        <w:t xml:space="preserve"> </w:t>
      </w:r>
      <w:r w:rsidR="00AB2C48">
        <w:t xml:space="preserve">and </w:t>
      </w:r>
      <w:r w:rsidR="00BF0729" w:rsidRPr="003B748F">
        <w:t xml:space="preserve">would represent the number of government students in State </w:t>
      </w:r>
      <w:proofErr w:type="spellStart"/>
      <w:r w:rsidR="008E7EF4">
        <w:t>i</w:t>
      </w:r>
      <w:proofErr w:type="spellEnd"/>
      <w:r w:rsidR="008E7EF4">
        <w:t xml:space="preserve"> </w:t>
      </w:r>
      <w:r w:rsidR="00AB2C48">
        <w:t>at the end and start of the year.</w:t>
      </w:r>
      <w:r w:rsidR="00BF0729" w:rsidRPr="003B748F">
        <w:t xml:space="preserve"> </w:t>
      </w:r>
    </w:p>
    <w:p w:rsidR="003B748F" w:rsidRDefault="00402501" w:rsidP="003B748F">
      <w:pPr>
        <w:pStyle w:val="CGCBulletlist"/>
        <w:numPr>
          <w:ilvl w:val="0"/>
          <w:numId w:val="42"/>
        </w:numPr>
        <w:tabs>
          <w:tab w:val="clear" w:pos="927"/>
        </w:tabs>
        <w:ind w:left="1134" w:hanging="567"/>
      </w:pPr>
      <m:oMath>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i,1</m:t>
            </m:r>
          </m:sub>
          <m:sup>
            <m:r>
              <m:rPr>
                <m:sty m:val="p"/>
              </m:rPr>
              <w:rPr>
                <w:rFonts w:ascii="Cambria Math" w:hAnsi="Cambria Math"/>
              </w:rPr>
              <m:t>g</m:t>
            </m:r>
          </m:sup>
        </m:sSubSup>
      </m:oMath>
      <w:r w:rsidR="00BF0729">
        <w:t xml:space="preserve"> </w:t>
      </w:r>
      <w:proofErr w:type="gramStart"/>
      <w:r w:rsidR="00BF0729">
        <w:t>would</w:t>
      </w:r>
      <w:proofErr w:type="gramEnd"/>
      <w:r w:rsidR="00BF0729">
        <w:t xml:space="preserve"> represent the extent to which a State’s students </w:t>
      </w:r>
      <w:r w:rsidR="000A1614">
        <w:t xml:space="preserve">required </w:t>
      </w:r>
      <w:r w:rsidR="00BF0729">
        <w:t xml:space="preserve">more expensive </w:t>
      </w:r>
      <w:r w:rsidR="000A1614">
        <w:t xml:space="preserve">capital </w:t>
      </w:r>
      <w:r w:rsidR="00BF0729">
        <w:t>than the national average, but not whether a State had more st</w:t>
      </w:r>
      <w:r w:rsidR="00AB2C48">
        <w:t>udents per capita than average, at the end of the year.</w:t>
      </w:r>
    </w:p>
    <w:p w:rsidR="003B748F" w:rsidRDefault="003B748F" w:rsidP="003B748F">
      <w:pPr>
        <w:pStyle w:val="CGCBulletlist"/>
        <w:numPr>
          <w:ilvl w:val="0"/>
          <w:numId w:val="42"/>
        </w:numPr>
        <w:tabs>
          <w:tab w:val="clear" w:pos="927"/>
        </w:tabs>
        <w:ind w:left="1134" w:hanging="567"/>
      </w:pPr>
      <w:r>
        <w:t>K</w:t>
      </w:r>
      <w:r>
        <w:rPr>
          <w:vertAlign w:val="subscript"/>
        </w:rPr>
        <w:t xml:space="preserve">1 </w:t>
      </w:r>
      <w:r>
        <w:t xml:space="preserve">would represent </w:t>
      </w:r>
      <w:r w:rsidR="00294BDD">
        <w:t xml:space="preserve">stocks </w:t>
      </w:r>
      <w:r w:rsidR="008E7EF4">
        <w:t xml:space="preserve">of </w:t>
      </w:r>
      <w:r w:rsidR="00294BDD">
        <w:t xml:space="preserve">produced </w:t>
      </w:r>
      <w:r w:rsidR="00E851F9">
        <w:t xml:space="preserve">school </w:t>
      </w:r>
      <w:r w:rsidR="00294BDD">
        <w:t>assets and K</w:t>
      </w:r>
      <w:r w:rsidR="00294BDD" w:rsidRPr="00294BDD">
        <w:rPr>
          <w:vertAlign w:val="subscript"/>
        </w:rPr>
        <w:t>0</w:t>
      </w:r>
      <w:r w:rsidR="00294BDD">
        <w:t xml:space="preserve"> </w:t>
      </w:r>
      <w:proofErr w:type="gramStart"/>
      <w:r w:rsidR="00294BDD">
        <w:t>would be calculated</w:t>
      </w:r>
      <w:proofErr w:type="gramEnd"/>
      <w:r w:rsidR="00294BDD">
        <w:t xml:space="preserve"> as K</w:t>
      </w:r>
      <w:r w:rsidR="00294BDD" w:rsidRPr="00294BDD">
        <w:rPr>
          <w:vertAlign w:val="subscript"/>
        </w:rPr>
        <w:t>1</w:t>
      </w:r>
      <w:r w:rsidR="00294BDD">
        <w:rPr>
          <w:vertAlign w:val="subscript"/>
        </w:rPr>
        <w:t xml:space="preserve"> </w:t>
      </w:r>
      <w:r w:rsidR="00294BDD">
        <w:t>les</w:t>
      </w:r>
      <w:r w:rsidR="00375CB7">
        <w:t>s gross investment.</w:t>
      </w:r>
    </w:p>
    <w:p w:rsidR="007E17AA" w:rsidRDefault="007E17AA" w:rsidP="007E17AA">
      <w:pPr>
        <w:pStyle w:val="CGCNumberedPara"/>
      </w:pPr>
      <w:r>
        <w:t xml:space="preserve">The assessment for net borrowing would remain the same as </w:t>
      </w:r>
      <w:r w:rsidR="00375CB7">
        <w:t xml:space="preserve">the 2015 Review method. </w:t>
      </w:r>
      <w:proofErr w:type="gramStart"/>
      <w:r w:rsidR="00375CB7">
        <w:t>Staff propose</w:t>
      </w:r>
      <w:proofErr w:type="gramEnd"/>
      <w:r w:rsidR="00375CB7">
        <w:t xml:space="preserve"> no discount be applied.</w:t>
      </w:r>
    </w:p>
    <w:p w:rsidR="0064671D" w:rsidRDefault="0064671D" w:rsidP="00222AE9">
      <w:pPr>
        <w:pStyle w:val="Heading4"/>
      </w:pPr>
      <w:bookmarkStart w:id="106" w:name="_Toc508716612"/>
      <w:bookmarkStart w:id="107" w:name="_Toc508716728"/>
      <w:bookmarkStart w:id="108" w:name="_Toc508716882"/>
      <w:bookmarkStart w:id="109" w:name="_Toc511816995"/>
      <w:r>
        <w:t>Presentation</w:t>
      </w:r>
      <w:bookmarkEnd w:id="106"/>
      <w:bookmarkEnd w:id="107"/>
      <w:bookmarkEnd w:id="108"/>
      <w:bookmarkEnd w:id="109"/>
      <w:r>
        <w:t xml:space="preserve"> </w:t>
      </w:r>
    </w:p>
    <w:p w:rsidR="00F1690D" w:rsidRDefault="00810573" w:rsidP="0064671D">
      <w:pPr>
        <w:pStyle w:val="CGCNumberedPara"/>
      </w:pPr>
      <w:r>
        <w:t xml:space="preserve">As noted in paragraph </w:t>
      </w:r>
      <w:r>
        <w:fldChar w:fldCharType="begin"/>
      </w:r>
      <w:r>
        <w:instrText xml:space="preserve"> REF _Ref506549664 \r \h </w:instrText>
      </w:r>
      <w:r>
        <w:fldChar w:fldCharType="separate"/>
      </w:r>
      <w:r w:rsidR="00402501">
        <w:t>33</w:t>
      </w:r>
      <w:r>
        <w:fldChar w:fldCharType="end"/>
      </w:r>
      <w:r>
        <w:t xml:space="preserve">, </w:t>
      </w:r>
      <w:r w:rsidR="00375CB7">
        <w:t>functionalising the investment</w:t>
      </w:r>
      <w:r>
        <w:t xml:space="preserve"> assessment, with the separate calculation of investment needs for each category</w:t>
      </w:r>
      <w:r w:rsidR="00BC5B4A">
        <w:t>,</w:t>
      </w:r>
      <w:r>
        <w:t xml:space="preserve"> raises the prospect of whether investment in schools </w:t>
      </w:r>
      <w:proofErr w:type="gramStart"/>
      <w:r>
        <w:t>is best treated</w:t>
      </w:r>
      <w:proofErr w:type="gramEnd"/>
      <w:r>
        <w:t xml:space="preserve"> as part of the schools assessment, part of the investment assessment, or some combination</w:t>
      </w:r>
      <w:r w:rsidR="00F1690D">
        <w:t>.</w:t>
      </w:r>
    </w:p>
    <w:p w:rsidR="00DB1226" w:rsidRDefault="00375CB7" w:rsidP="0064671D">
      <w:pPr>
        <w:pStyle w:val="CGCNumberedPara"/>
      </w:pPr>
      <w:r>
        <w:t>In addition, a</w:t>
      </w:r>
      <w:r w:rsidR="00F1690D" w:rsidRPr="007E17AA">
        <w:t xml:space="preserve">s noted in paragraph </w:t>
      </w:r>
      <w:r w:rsidR="005A441E">
        <w:fldChar w:fldCharType="begin"/>
      </w:r>
      <w:r w:rsidR="005A441E">
        <w:instrText xml:space="preserve"> REF _Ref508279596 \r \h </w:instrText>
      </w:r>
      <w:r w:rsidR="005A441E">
        <w:fldChar w:fldCharType="separate"/>
      </w:r>
      <w:r w:rsidR="00402501">
        <w:t>88</w:t>
      </w:r>
      <w:r w:rsidR="005A441E">
        <w:fldChar w:fldCharType="end"/>
      </w:r>
      <w:r w:rsidR="00F1690D" w:rsidRPr="007E17AA">
        <w:t xml:space="preserve"> the combination of depreciation and net investment combines recurrent and capital elements of the budget</w:t>
      </w:r>
      <w:r w:rsidR="00DB1226" w:rsidRPr="007E17AA">
        <w:t xml:space="preserve">. </w:t>
      </w:r>
      <w:r w:rsidR="000C72B5">
        <w:t>For analysis of recurrent and capital expenditures, the impact of both can be determined separately but this will negate some of the benefits of combining them</w:t>
      </w:r>
      <w:r w:rsidR="00527C27">
        <w:t>.</w:t>
      </w:r>
    </w:p>
    <w:p w:rsidR="00E851F9" w:rsidRPr="00BE5136" w:rsidRDefault="00774CBA" w:rsidP="00E851F9">
      <w:pPr>
        <w:pStyle w:val="CGCNumberedPara"/>
      </w:pPr>
      <w:r w:rsidRPr="00BE5136">
        <w:t>While presentation options</w:t>
      </w:r>
      <w:r w:rsidR="008A06C3" w:rsidRPr="00BE5136">
        <w:t xml:space="preserve"> will be considered</w:t>
      </w:r>
      <w:r w:rsidRPr="00BE5136">
        <w:t xml:space="preserve"> </w:t>
      </w:r>
      <w:r w:rsidR="008A06C3" w:rsidRPr="00BE5136">
        <w:t xml:space="preserve">more fully when the assessments are more settled and </w:t>
      </w:r>
      <w:r w:rsidRPr="00BE5136">
        <w:t>State</w:t>
      </w:r>
      <w:r w:rsidR="008A06C3" w:rsidRPr="00BE5136">
        <w:t xml:space="preserve"> views have been received,</w:t>
      </w:r>
      <w:r w:rsidR="00E752A7" w:rsidRPr="00BE5136">
        <w:t xml:space="preserve"> </w:t>
      </w:r>
      <w:proofErr w:type="gramStart"/>
      <w:r w:rsidR="00DB6137" w:rsidRPr="00BE5136">
        <w:t>staff consider</w:t>
      </w:r>
      <w:proofErr w:type="gramEnd"/>
      <w:r w:rsidR="00DB6137" w:rsidRPr="00BE5136">
        <w:t xml:space="preserve"> it may be best to continue</w:t>
      </w:r>
      <w:r w:rsidR="008A06C3" w:rsidRPr="00BE5136">
        <w:t xml:space="preserve"> to assess investment separately from</w:t>
      </w:r>
      <w:r w:rsidR="00E752A7" w:rsidRPr="00BE5136">
        <w:t xml:space="preserve"> recurrent expenses. </w:t>
      </w:r>
      <w:r w:rsidR="00DB6137" w:rsidRPr="00BE5136">
        <w:t xml:space="preserve">Given the </w:t>
      </w:r>
      <w:r w:rsidR="00E752A7" w:rsidRPr="00BE5136">
        <w:t>relative size and volatile nature of investment expenditure compared with the generally stable nature of recurrent expenditure</w:t>
      </w:r>
      <w:r w:rsidR="00DB6137" w:rsidRPr="00BE5136">
        <w:t>, a</w:t>
      </w:r>
      <w:r w:rsidR="00E752A7" w:rsidRPr="00BE5136">
        <w:t>ssessing investment within the category will likely introduce volatility to the recurrent assessments</w:t>
      </w:r>
      <w:r w:rsidR="00DB6137" w:rsidRPr="00BE5136">
        <w:t xml:space="preserve"> and </w:t>
      </w:r>
      <w:r w:rsidR="00E752A7" w:rsidRPr="00BE5136">
        <w:t xml:space="preserve">dominate redistribution in a category.  </w:t>
      </w:r>
    </w:p>
    <w:p w:rsidR="00272339" w:rsidRPr="00BE5136" w:rsidRDefault="00272339" w:rsidP="00E851F9">
      <w:pPr>
        <w:pStyle w:val="CGCNumberedPara"/>
      </w:pPr>
      <w:r w:rsidRPr="00BE5136">
        <w:t>Because Net borrowing redistributes GST away from fast growing States</w:t>
      </w:r>
      <w:r>
        <w:rPr>
          <w:rStyle w:val="FootnoteReference"/>
        </w:rPr>
        <w:footnoteReference w:id="7"/>
      </w:r>
      <w:r w:rsidRPr="00BE5136">
        <w:t xml:space="preserve"> and Investment towards fast growing States, </w:t>
      </w:r>
      <w:proofErr w:type="gramStart"/>
      <w:r w:rsidRPr="00BE5136">
        <w:t>staff consider</w:t>
      </w:r>
      <w:proofErr w:type="gramEnd"/>
      <w:r w:rsidRPr="00BE5136">
        <w:t xml:space="preserve"> it should remain a separate assessment.</w:t>
      </w:r>
    </w:p>
    <w:p w:rsidR="000C72B5" w:rsidRDefault="000C72B5" w:rsidP="00527C27">
      <w:pPr>
        <w:pStyle w:val="CGCNumberedPara"/>
      </w:pPr>
      <w:r>
        <w:t>We welcome States</w:t>
      </w:r>
      <w:r w:rsidR="00F44AD3">
        <w:t>’</w:t>
      </w:r>
      <w:r>
        <w:t xml:space="preserve"> adv</w:t>
      </w:r>
      <w:r w:rsidR="007C337D">
        <w:t>ice on which presentation framework would make the assessment more transparent and aid the interpretation of results.</w:t>
      </w:r>
      <w:r w:rsidR="000A1614">
        <w:t xml:space="preserve"> </w:t>
      </w:r>
    </w:p>
    <w:tbl>
      <w:tblPr>
        <w:tblStyle w:val="TableGrid"/>
        <w:tblW w:w="0" w:type="auto"/>
        <w:tblLook w:val="04A0" w:firstRow="1" w:lastRow="0" w:firstColumn="1" w:lastColumn="0" w:noHBand="0" w:noVBand="1"/>
      </w:tblPr>
      <w:tblGrid>
        <w:gridCol w:w="9090"/>
      </w:tblGrid>
      <w:tr w:rsidR="00527C27" w:rsidTr="00527C27">
        <w:tc>
          <w:tcPr>
            <w:tcW w:w="9167" w:type="dxa"/>
            <w:tcBorders>
              <w:top w:val="nil"/>
              <w:left w:val="nil"/>
              <w:bottom w:val="nil"/>
              <w:right w:val="nil"/>
            </w:tcBorders>
            <w:shd w:val="clear" w:color="auto" w:fill="D9F3E6"/>
          </w:tcPr>
          <w:p w:rsidR="00527C27" w:rsidRDefault="00527C27" w:rsidP="00AB4B9A">
            <w:r>
              <w:t>Staff propose to recommend the Commission:</w:t>
            </w:r>
          </w:p>
          <w:p w:rsidR="00527C27" w:rsidRDefault="00A461C9" w:rsidP="00527C27">
            <w:pPr>
              <w:pStyle w:val="CGCBulletlist"/>
            </w:pPr>
            <w:proofErr w:type="gramStart"/>
            <w:r>
              <w:t>d</w:t>
            </w:r>
            <w:r w:rsidR="00527C27">
              <w:t>etermine</w:t>
            </w:r>
            <w:proofErr w:type="gramEnd"/>
            <w:r w:rsidR="00527C27">
              <w:t xml:space="preserve"> the best presentation framework based on staff and State recommendations. </w:t>
            </w:r>
          </w:p>
        </w:tc>
      </w:tr>
    </w:tbl>
    <w:p w:rsidR="00E07621" w:rsidRDefault="00E07621" w:rsidP="0064671D">
      <w:pPr>
        <w:pStyle w:val="Heading4"/>
      </w:pPr>
      <w:bookmarkStart w:id="110" w:name="_Toc508716613"/>
      <w:bookmarkStart w:id="111" w:name="_Toc508716729"/>
      <w:bookmarkStart w:id="112" w:name="_Toc508716883"/>
      <w:bookmarkStart w:id="113" w:name="_Toc511816996"/>
      <w:r>
        <w:lastRenderedPageBreak/>
        <w:t>Data / information sought from States</w:t>
      </w:r>
      <w:bookmarkEnd w:id="110"/>
      <w:bookmarkEnd w:id="111"/>
      <w:bookmarkEnd w:id="112"/>
      <w:bookmarkEnd w:id="113"/>
    </w:p>
    <w:bookmarkEnd w:id="6"/>
    <w:bookmarkEnd w:id="7"/>
    <w:bookmarkEnd w:id="8"/>
    <w:bookmarkEnd w:id="9"/>
    <w:bookmarkEnd w:id="10"/>
    <w:bookmarkEnd w:id="11"/>
    <w:bookmarkEnd w:id="12"/>
    <w:bookmarkEnd w:id="13"/>
    <w:p w:rsidR="00527C27" w:rsidRDefault="00222AE9" w:rsidP="00C31056">
      <w:pPr>
        <w:pStyle w:val="CGCNumberedPara"/>
      </w:pPr>
      <w:r>
        <w:t>To complete a functionalised assessment</w:t>
      </w:r>
      <w:r w:rsidR="00527C27">
        <w:t xml:space="preserve"> including a differential assessment of land</w:t>
      </w:r>
      <w:r>
        <w:t xml:space="preserve">, </w:t>
      </w:r>
      <w:r w:rsidR="000A6FFA">
        <w:t xml:space="preserve">in addition to the current data requirements, </w:t>
      </w:r>
      <w:r>
        <w:t xml:space="preserve">States </w:t>
      </w:r>
      <w:proofErr w:type="gramStart"/>
      <w:r>
        <w:t xml:space="preserve">will be </w:t>
      </w:r>
      <w:r w:rsidR="00527C27">
        <w:t>asked</w:t>
      </w:r>
      <w:proofErr w:type="gramEnd"/>
      <w:r>
        <w:t xml:space="preserve"> to provi</w:t>
      </w:r>
      <w:r w:rsidR="00B8793B">
        <w:t xml:space="preserve">de gross investment </w:t>
      </w:r>
      <w:r w:rsidR="000A6FFA">
        <w:t xml:space="preserve">(net investment and depreciation) </w:t>
      </w:r>
      <w:r w:rsidR="00B8793B">
        <w:t>by category for the latest</w:t>
      </w:r>
      <w:r w:rsidR="00B34346">
        <w:t xml:space="preserve"> assessment</w:t>
      </w:r>
      <w:r w:rsidR="00B8793B">
        <w:t xml:space="preserve"> year</w:t>
      </w:r>
      <w:r w:rsidR="000461FA">
        <w:t>.</w:t>
      </w:r>
    </w:p>
    <w:p w:rsidR="00242AA3" w:rsidRDefault="00527C27" w:rsidP="00C343CE">
      <w:pPr>
        <w:pStyle w:val="CGCNumberedPara"/>
      </w:pPr>
      <w:r>
        <w:t>To progress issu</w:t>
      </w:r>
      <w:r w:rsidR="00774CBA">
        <w:t>es related to the valuation of assets</w:t>
      </w:r>
      <w:r w:rsidR="00C31056">
        <w:t xml:space="preserve"> staff</w:t>
      </w:r>
      <w:r>
        <w:t xml:space="preserve"> require States to provide evidence of the presence of a disability</w:t>
      </w:r>
      <w:r w:rsidR="00E033C8">
        <w:t>.</w:t>
      </w:r>
    </w:p>
    <w:p w:rsidR="00D10DA8" w:rsidRDefault="00D10DA8" w:rsidP="00BE5136">
      <w:pPr>
        <w:pStyle w:val="CGCNumberedPara"/>
        <w:numPr>
          <w:ilvl w:val="0"/>
          <w:numId w:val="0"/>
        </w:numPr>
      </w:pPr>
      <w:bookmarkStart w:id="114" w:name="_GoBack"/>
      <w:bookmarkEnd w:id="114"/>
    </w:p>
    <w:sectPr w:rsidR="00D10DA8" w:rsidSect="008B3B64">
      <w:footerReference w:type="default" r:id="rId22"/>
      <w:footerReference w:type="first" r:id="rId23"/>
      <w:pgSz w:w="11899" w:h="16838" w:code="9"/>
      <w:pgMar w:top="1701" w:right="1551"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9A" w:rsidRDefault="00AB4B9A">
      <w:r>
        <w:separator/>
      </w:r>
    </w:p>
  </w:endnote>
  <w:endnote w:type="continuationSeparator" w:id="0">
    <w:p w:rsidR="00AB4B9A" w:rsidRDefault="00AB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A" w:rsidRPr="00875C0F" w:rsidRDefault="00AB4B9A" w:rsidP="00E71B7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652637"/>
      <w:docPartObj>
        <w:docPartGallery w:val="Page Numbers (Bottom of Page)"/>
        <w:docPartUnique/>
      </w:docPartObj>
    </w:sdtPr>
    <w:sdtEndPr/>
    <w:sdtContent>
      <w:p w:rsidR="00AB4B9A" w:rsidRPr="00875C0F" w:rsidRDefault="00402501" w:rsidP="00E71B7E">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3418"/>
      <w:docPartObj>
        <w:docPartGallery w:val="Page Numbers (Bottom of Page)"/>
        <w:docPartUnique/>
      </w:docPartObj>
    </w:sdtPr>
    <w:sdtEndPr/>
    <w:sdtContent>
      <w:p w:rsidR="00AB4B9A" w:rsidRPr="00875C0F" w:rsidRDefault="00402501" w:rsidP="00E71B7E">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A" w:rsidRPr="0011178C" w:rsidRDefault="00AB4B9A" w:rsidP="003929D2">
    <w:pPr>
      <w:pStyle w:val="Footer"/>
      <w:jc w:val="right"/>
    </w:pPr>
    <w:r>
      <w:fldChar w:fldCharType="begin"/>
    </w:r>
    <w:r>
      <w:instrText xml:space="preserve"> PAGE  \* Arabic  \* MERGEFORMAT </w:instrText>
    </w:r>
    <w:r>
      <w:fldChar w:fldCharType="separate"/>
    </w:r>
    <w:r w:rsidR="00402501">
      <w:rPr>
        <w:noProof/>
      </w:rPr>
      <w:t>28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A" w:rsidRPr="007E487F" w:rsidRDefault="00AB4B9A"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40250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9A" w:rsidRDefault="00AB4B9A">
      <w:r>
        <w:separator/>
      </w:r>
    </w:p>
  </w:footnote>
  <w:footnote w:type="continuationSeparator" w:id="0">
    <w:p w:rsidR="00AB4B9A" w:rsidRDefault="00AB4B9A">
      <w:r>
        <w:continuationSeparator/>
      </w:r>
    </w:p>
  </w:footnote>
  <w:footnote w:id="1">
    <w:p w:rsidR="00AB4B9A" w:rsidRDefault="00AB4B9A" w:rsidP="00E0250B">
      <w:pPr>
        <w:pStyle w:val="FootnoteText"/>
      </w:pPr>
      <w:r>
        <w:rPr>
          <w:rStyle w:val="FootnoteReference"/>
        </w:rPr>
        <w:footnoteRef/>
      </w:r>
      <w:r>
        <w:t xml:space="preserve"> Australian Construction Handbook, </w:t>
      </w:r>
      <w:proofErr w:type="spellStart"/>
      <w:r>
        <w:t>Rawlinsons</w:t>
      </w:r>
      <w:proofErr w:type="spellEnd"/>
      <w:r>
        <w:t xml:space="preserve"> Publishing</w:t>
      </w:r>
    </w:p>
  </w:footnote>
  <w:footnote w:id="2">
    <w:p w:rsidR="00AB4B9A" w:rsidRDefault="00AB4B9A">
      <w:pPr>
        <w:pStyle w:val="FootnoteText"/>
      </w:pPr>
      <w:r>
        <w:rPr>
          <w:rStyle w:val="FootnoteReference"/>
        </w:rPr>
        <w:footnoteRef/>
      </w:r>
      <w:r>
        <w:t xml:space="preserve"> </w:t>
      </w:r>
      <w:r>
        <w:tab/>
        <w:t>Roads and urban transport also represent a large proportion of total net investment (average of around 80% over 2014-15 to 2016-17) and asset stocks (about 56%).</w:t>
      </w:r>
    </w:p>
  </w:footnote>
  <w:footnote w:id="3">
    <w:p w:rsidR="00AB4B9A" w:rsidRDefault="00AB4B9A" w:rsidP="00242AA3">
      <w:pPr>
        <w:pStyle w:val="FootnoteText"/>
      </w:pPr>
      <w:r>
        <w:rPr>
          <w:rStyle w:val="FootnoteReference"/>
        </w:rPr>
        <w:footnoteRef/>
      </w:r>
      <w:r>
        <w:t xml:space="preserve"> </w:t>
      </w:r>
      <w:r>
        <w:tab/>
        <w:t xml:space="preserve">The decision </w:t>
      </w:r>
      <w:proofErr w:type="gramStart"/>
      <w:r>
        <w:t>to separately assess</w:t>
      </w:r>
      <w:proofErr w:type="gramEnd"/>
      <w:r>
        <w:t xml:space="preserve"> urban transport investment was made in the 2015 Review with the inclusion of urban transport </w:t>
      </w:r>
      <w:proofErr w:type="spellStart"/>
      <w:r>
        <w:t>PNFCs</w:t>
      </w:r>
      <w:proofErr w:type="spellEnd"/>
      <w:r>
        <w:t>.</w:t>
      </w:r>
    </w:p>
  </w:footnote>
  <w:footnote w:id="4">
    <w:p w:rsidR="00AB4B9A" w:rsidRDefault="00AB4B9A">
      <w:pPr>
        <w:pStyle w:val="FootnoteText"/>
      </w:pPr>
      <w:r>
        <w:rPr>
          <w:rStyle w:val="FootnoteReference"/>
        </w:rPr>
        <w:footnoteRef/>
      </w:r>
      <w:r>
        <w:t xml:space="preserve"> </w:t>
      </w:r>
      <w:r>
        <w:tab/>
        <w:t>GPC refers to the GFS classification used to classify transactions according to their government purpose (e.g. health and education). GPC will soon be replaced by classification of the functions of government – Australia (</w:t>
      </w:r>
      <w:proofErr w:type="spellStart"/>
      <w:r>
        <w:t>COFOG</w:t>
      </w:r>
      <w:proofErr w:type="spellEnd"/>
      <w:r>
        <w:t xml:space="preserve">-A). For more information, see ABS, Australian System of Government Finance Statistics: Concepts, Sources and Methods, Australia, 2015. </w:t>
      </w:r>
    </w:p>
  </w:footnote>
  <w:footnote w:id="5">
    <w:p w:rsidR="00AB4B9A" w:rsidRDefault="00AB4B9A">
      <w:pPr>
        <w:pStyle w:val="FootnoteText"/>
      </w:pPr>
      <w:r>
        <w:rPr>
          <w:rStyle w:val="FootnoteReference"/>
        </w:rPr>
        <w:footnoteRef/>
      </w:r>
      <w:r>
        <w:t xml:space="preserve"> </w:t>
      </w:r>
      <w:r>
        <w:tab/>
        <w:t xml:space="preserve">As Formula (1) </w:t>
      </w:r>
      <w:r>
        <w:rPr>
          <w:rFonts w:eastAsiaTheme="minorEastAsia"/>
        </w:rPr>
        <w:t>i</w:t>
      </w:r>
      <w:r>
        <w:t xml:space="preserve">n the box in paragraph </w:t>
      </w:r>
      <w:r>
        <w:fldChar w:fldCharType="begin"/>
      </w:r>
      <w:r>
        <w:instrText xml:space="preserve"> REF _Ref510604255 \n \h </w:instrText>
      </w:r>
      <w:r>
        <w:fldChar w:fldCharType="separate"/>
      </w:r>
      <w:r>
        <w:t>40</w:t>
      </w:r>
      <w:r>
        <w:fldChar w:fldCharType="end"/>
      </w:r>
      <w:r>
        <w:t xml:space="preserve"> </w:t>
      </w:r>
      <w:proofErr w:type="gramStart"/>
      <w:r>
        <w:t xml:space="preserve">represents </w:t>
      </w:r>
      <w:proofErr w:type="gramEnd"/>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i0</m:t>
            </m:r>
          </m:sub>
        </m:sSub>
        <m: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i1</m:t>
            </m:r>
          </m:sub>
        </m:sSub>
      </m:oMath>
      <w:r>
        <w:t xml:space="preserve">, the formula can be rearranged to solve for </w:t>
      </w:r>
      <m:oMath>
        <m:f>
          <m:fPr>
            <m:ctrlPr>
              <w:rPr>
                <w:rFonts w:ascii="Cambria Math" w:hAnsi="Cambria Math"/>
              </w:rPr>
            </m:ctrlPr>
          </m:fPr>
          <m:num>
            <m:sSub>
              <m:sSubPr>
                <m:ctrlPr>
                  <w:rPr>
                    <w:rFonts w:ascii="Cambria Math" w:hAnsi="Cambria Math"/>
                    <w:i/>
                  </w:rPr>
                </m:ctrlPr>
              </m:sSubPr>
              <m:e>
                <m:r>
                  <w:rPr>
                    <w:rFonts w:ascii="Cambria Math" w:hAnsi="Cambria Math"/>
                  </w:rPr>
                  <m:t>K</m:t>
                </m:r>
              </m:e>
              <m:sub>
                <m:r>
                  <w:rPr>
                    <w:rFonts w:ascii="Cambria Math" w:hAnsi="Cambria Math"/>
                  </w:rPr>
                  <m:t>i</m:t>
                </m:r>
              </m:sub>
            </m:sSub>
          </m:num>
          <m:den>
            <m:r>
              <m:rPr>
                <m:sty m:val="p"/>
              </m:rPr>
              <w:rPr>
                <w:rFonts w:ascii="Cambria Math" w:hAnsi="Cambria Math"/>
              </w:rPr>
              <m:t>K</m:t>
            </m:r>
          </m:den>
        </m:f>
      </m:oMath>
      <w:r>
        <w:rPr>
          <w:rFonts w:eastAsiaTheme="minorEastAsia"/>
        </w:rPr>
        <w:t xml:space="preserve"> (</w:t>
      </w:r>
      <w:r>
        <w:t xml:space="preserve">the share of assessed stock for a State </w:t>
      </w:r>
      <w:proofErr w:type="spellStart"/>
      <w:r>
        <w:t>i</w:t>
      </w:r>
      <w:proofErr w:type="spellEnd"/>
      <w:r>
        <w:t>) at the end and start of the year.</w:t>
      </w:r>
    </w:p>
    <w:p w:rsidR="00AB4B9A" w:rsidRPr="001C5154" w:rsidRDefault="00402501" w:rsidP="00CD54DE">
      <w:pPr>
        <w:jc w:val="center"/>
        <w:rPr>
          <w:rFonts w:eastAsiaTheme="minorEastAsia"/>
          <w:sz w:val="20"/>
          <w:szCs w:val="20"/>
        </w:rPr>
      </w:pPr>
      <m:oMathPara>
        <m:oMath>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K</m:t>
                  </m:r>
                </m:e>
                <m:sub>
                  <m:r>
                    <m:rPr>
                      <m:sty m:val="p"/>
                    </m:rPr>
                    <w:rPr>
                      <w:rFonts w:ascii="Cambria Math" w:hAnsi="Cambria Math"/>
                      <w:sz w:val="20"/>
                      <w:szCs w:val="20"/>
                    </w:rPr>
                    <m:t>i</m:t>
                  </m:r>
                </m:sub>
              </m:sSub>
            </m:num>
            <m:den>
              <m:r>
                <w:rPr>
                  <w:rFonts w:ascii="Cambria Math" w:hAnsi="Cambria Math"/>
                  <w:sz w:val="20"/>
                  <w:szCs w:val="20"/>
                </w:rPr>
                <m:t>K</m:t>
              </m:r>
            </m:den>
          </m:f>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m:t>
                  </m:r>
                </m:sub>
              </m:sSub>
            </m:num>
            <m:den>
              <m:r>
                <m:rPr>
                  <m:sty m:val="p"/>
                </m:rPr>
                <w:rPr>
                  <w:rFonts w:ascii="Cambria Math" w:hAnsi="Cambria Math"/>
                  <w:sz w:val="20"/>
                  <w:szCs w:val="20"/>
                </w:rPr>
                <m:t>P</m:t>
              </m:r>
            </m:den>
          </m:f>
          <m:r>
            <m:rPr>
              <m:sty m:val="p"/>
            </m:rPr>
            <w:rPr>
              <w:rFonts w:ascii="Cambria Math" w:hAnsi="Cambria Math"/>
              <w:sz w:val="20"/>
              <w:szCs w:val="20"/>
            </w:rPr>
            <m:t>×</m:t>
          </m:r>
          <m:f>
            <m:fPr>
              <m:ctrlPr>
                <w:rPr>
                  <w:rFonts w:ascii="Cambria Math" w:hAnsi="Cambria Math"/>
                  <w:sz w:val="20"/>
                  <w:szCs w:val="20"/>
                </w:rPr>
              </m:ctrlPr>
            </m:fPr>
            <m:num>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L</m:t>
                      </m:r>
                    </m:e>
                    <m:sub>
                      <m:r>
                        <m:rPr>
                          <m:sty m:val="p"/>
                        </m:rPr>
                        <w:rPr>
                          <w:rFonts w:ascii="Cambria Math" w:hAnsi="Cambria Math"/>
                          <w:sz w:val="20"/>
                          <w:szCs w:val="20"/>
                        </w:rPr>
                        <m:t>i</m:t>
                      </m:r>
                    </m:sub>
                  </m:sSub>
                </m:num>
                <m:den>
                  <m:r>
                    <m:rPr>
                      <m:sty m:val="p"/>
                    </m:rPr>
                    <w:rPr>
                      <w:rFonts w:ascii="Cambria Math" w:hAnsi="Cambria Math"/>
                      <w:sz w:val="20"/>
                      <w:szCs w:val="20"/>
                    </w:rPr>
                    <m:t>L</m:t>
                  </m:r>
                </m:den>
              </m:f>
            </m:num>
            <m:den>
              <m:f>
                <m:fPr>
                  <m:type m:val="lin"/>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m:t>
                      </m:r>
                    </m:sub>
                  </m:sSub>
                </m:num>
                <m:den>
                  <m:r>
                    <m:rPr>
                      <m:sty m:val="p"/>
                    </m:rPr>
                    <w:rPr>
                      <w:rFonts w:ascii="Cambria Math" w:hAnsi="Cambria Math"/>
                      <w:sz w:val="20"/>
                      <w:szCs w:val="20"/>
                    </w:rPr>
                    <m:t>P</m:t>
                  </m:r>
                </m:den>
              </m:f>
            </m:den>
          </m:f>
        </m:oMath>
      </m:oMathPara>
    </w:p>
    <w:p w:rsidR="00AB4B9A" w:rsidRDefault="00AB4B9A">
      <w:pPr>
        <w:pStyle w:val="FootnoteText"/>
      </w:pPr>
    </w:p>
  </w:footnote>
  <w:footnote w:id="6">
    <w:p w:rsidR="00AB4B9A" w:rsidRDefault="00AB4B9A" w:rsidP="004E4877">
      <w:pPr>
        <w:pStyle w:val="FootnoteText"/>
      </w:pPr>
      <w:r>
        <w:rPr>
          <w:rStyle w:val="FootnoteReference"/>
        </w:rPr>
        <w:footnoteRef/>
      </w:r>
      <w:r>
        <w:t xml:space="preserve"> </w:t>
      </w:r>
      <w:proofErr w:type="gramStart"/>
      <w:r>
        <w:t>The Australian Curriculum, Assessment and Reporting Authority.</w:t>
      </w:r>
      <w:proofErr w:type="gramEnd"/>
    </w:p>
  </w:footnote>
  <w:footnote w:id="7">
    <w:p w:rsidR="00AB4B9A" w:rsidRDefault="00AB4B9A">
      <w:pPr>
        <w:pStyle w:val="FootnoteText"/>
      </w:pPr>
      <w:r>
        <w:rPr>
          <w:rStyle w:val="FootnoteReference"/>
        </w:rPr>
        <w:footnoteRef/>
      </w:r>
      <w:r>
        <w:t xml:space="preserve"> This relationship holds as long as State hold, on average, net financial liabilities.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A" w:rsidRDefault="00AB4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9A" w:rsidRDefault="00AB4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D0C472E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b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377465C"/>
    <w:multiLevelType w:val="hybridMultilevel"/>
    <w:tmpl w:val="C6B0CBF8"/>
    <w:lvl w:ilvl="0" w:tplc="00FAD9CA">
      <w:start w:val="1"/>
      <w:numFmt w:val="decimal"/>
      <w:lvlText w:val="%1)"/>
      <w:lvlJc w:val="left"/>
      <w:pPr>
        <w:ind w:left="720" w:hanging="360"/>
      </w:pPr>
      <w:rPr>
        <w:rFonts w:asciiTheme="minorHAnsi" w:eastAsiaTheme="minorEastAsia" w:hAnsiTheme="minorHAns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6"/>
  </w:num>
  <w:num w:numId="5">
    <w:abstractNumId w:val="16"/>
  </w:num>
  <w:num w:numId="6">
    <w:abstractNumId w:val="4"/>
  </w:num>
  <w:num w:numId="7">
    <w:abstractNumId w:val="4"/>
  </w:num>
  <w:num w:numId="8">
    <w:abstractNumId w:val="4"/>
  </w:num>
  <w:num w:numId="9">
    <w:abstractNumId w:val="4"/>
  </w:num>
  <w:num w:numId="10">
    <w:abstractNumId w:val="15"/>
  </w:num>
  <w:num w:numId="11">
    <w:abstractNumId w:val="5"/>
  </w:num>
  <w:num w:numId="12">
    <w:abstractNumId w:val="1"/>
  </w:num>
  <w:num w:numId="13">
    <w:abstractNumId w:val="16"/>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1"/>
  </w:num>
  <w:num w:numId="21">
    <w:abstractNumId w:val="2"/>
  </w:num>
  <w:num w:numId="22">
    <w:abstractNumId w:val="7"/>
  </w:num>
  <w:num w:numId="23">
    <w:abstractNumId w:val="14"/>
  </w:num>
  <w:num w:numId="24">
    <w:abstractNumId w:val="3"/>
  </w:num>
  <w:num w:numId="25">
    <w:abstractNumId w:val="12"/>
  </w:num>
  <w:num w:numId="26">
    <w:abstractNumId w:val="1"/>
  </w:num>
  <w:num w:numId="27">
    <w:abstractNumId w:val="8"/>
  </w:num>
  <w:num w:numId="28">
    <w:abstractNumId w:val="13"/>
  </w:num>
  <w:num w:numId="29">
    <w:abstractNumId w:val="6"/>
  </w:num>
  <w:num w:numId="30">
    <w:abstractNumId w:val="5"/>
    <w:lvlOverride w:ilvl="0">
      <w:startOverride w:val="1"/>
    </w:lvlOverride>
  </w:num>
  <w:num w:numId="31">
    <w:abstractNumId w:val="15"/>
  </w:num>
  <w:num w:numId="32">
    <w:abstractNumId w:val="1"/>
  </w:num>
  <w:num w:numId="33">
    <w:abstractNumId w:val="5"/>
  </w:num>
  <w:num w:numId="34">
    <w:abstractNumId w:val="16"/>
  </w:num>
  <w:num w:numId="35">
    <w:abstractNumId w:val="9"/>
  </w:num>
  <w:num w:numId="36">
    <w:abstractNumId w:val="15"/>
  </w:num>
  <w:num w:numId="37">
    <w:abstractNumId w:val="1"/>
  </w:num>
  <w:num w:numId="38">
    <w:abstractNumId w:val="5"/>
  </w:num>
  <w:num w:numId="39">
    <w:abstractNumId w:val="16"/>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6"/>
    <w:rsid w:val="00000B19"/>
    <w:rsid w:val="0000146B"/>
    <w:rsid w:val="00004712"/>
    <w:rsid w:val="00006F45"/>
    <w:rsid w:val="00016FE0"/>
    <w:rsid w:val="00021039"/>
    <w:rsid w:val="00022358"/>
    <w:rsid w:val="00022EA9"/>
    <w:rsid w:val="00024745"/>
    <w:rsid w:val="0003081D"/>
    <w:rsid w:val="00032F41"/>
    <w:rsid w:val="00035FB7"/>
    <w:rsid w:val="00036CF4"/>
    <w:rsid w:val="0004123E"/>
    <w:rsid w:val="0004150F"/>
    <w:rsid w:val="00041748"/>
    <w:rsid w:val="00041E84"/>
    <w:rsid w:val="000424EA"/>
    <w:rsid w:val="0004308F"/>
    <w:rsid w:val="00043837"/>
    <w:rsid w:val="00044ADE"/>
    <w:rsid w:val="000461FA"/>
    <w:rsid w:val="00046E79"/>
    <w:rsid w:val="00050DAE"/>
    <w:rsid w:val="00054157"/>
    <w:rsid w:val="00054A7D"/>
    <w:rsid w:val="00056373"/>
    <w:rsid w:val="00061111"/>
    <w:rsid w:val="000624BB"/>
    <w:rsid w:val="000648E8"/>
    <w:rsid w:val="00070648"/>
    <w:rsid w:val="000716DF"/>
    <w:rsid w:val="00073662"/>
    <w:rsid w:val="000756BB"/>
    <w:rsid w:val="00080C87"/>
    <w:rsid w:val="000840EB"/>
    <w:rsid w:val="00093796"/>
    <w:rsid w:val="00094391"/>
    <w:rsid w:val="00096A0F"/>
    <w:rsid w:val="000A1614"/>
    <w:rsid w:val="000A3898"/>
    <w:rsid w:val="000A52A1"/>
    <w:rsid w:val="000A6FFA"/>
    <w:rsid w:val="000A7BFC"/>
    <w:rsid w:val="000B2942"/>
    <w:rsid w:val="000B3557"/>
    <w:rsid w:val="000B4CA1"/>
    <w:rsid w:val="000B64E3"/>
    <w:rsid w:val="000C2A80"/>
    <w:rsid w:val="000C3738"/>
    <w:rsid w:val="000C72B5"/>
    <w:rsid w:val="000C7F8F"/>
    <w:rsid w:val="000D0323"/>
    <w:rsid w:val="000D1354"/>
    <w:rsid w:val="000D1E6E"/>
    <w:rsid w:val="000D7C54"/>
    <w:rsid w:val="000E0210"/>
    <w:rsid w:val="000E6AA5"/>
    <w:rsid w:val="000E70A3"/>
    <w:rsid w:val="000E7ECB"/>
    <w:rsid w:val="000E7F56"/>
    <w:rsid w:val="000F0588"/>
    <w:rsid w:val="000F1CDA"/>
    <w:rsid w:val="000F224F"/>
    <w:rsid w:val="000F2E51"/>
    <w:rsid w:val="000F35C9"/>
    <w:rsid w:val="001039C2"/>
    <w:rsid w:val="00103C02"/>
    <w:rsid w:val="00103DDD"/>
    <w:rsid w:val="001040AD"/>
    <w:rsid w:val="00105C98"/>
    <w:rsid w:val="00107543"/>
    <w:rsid w:val="00110096"/>
    <w:rsid w:val="0011178C"/>
    <w:rsid w:val="00112CF0"/>
    <w:rsid w:val="00112FA9"/>
    <w:rsid w:val="00114888"/>
    <w:rsid w:val="00114CF1"/>
    <w:rsid w:val="001211AB"/>
    <w:rsid w:val="001218B8"/>
    <w:rsid w:val="001232A3"/>
    <w:rsid w:val="001246CF"/>
    <w:rsid w:val="00124ED1"/>
    <w:rsid w:val="00134594"/>
    <w:rsid w:val="00134E8A"/>
    <w:rsid w:val="00136188"/>
    <w:rsid w:val="00136497"/>
    <w:rsid w:val="00137766"/>
    <w:rsid w:val="00141BD1"/>
    <w:rsid w:val="00142D51"/>
    <w:rsid w:val="001441DA"/>
    <w:rsid w:val="00147115"/>
    <w:rsid w:val="001477CE"/>
    <w:rsid w:val="001530D8"/>
    <w:rsid w:val="001540D4"/>
    <w:rsid w:val="001544B2"/>
    <w:rsid w:val="00155D63"/>
    <w:rsid w:val="00156373"/>
    <w:rsid w:val="00157EAB"/>
    <w:rsid w:val="00160B96"/>
    <w:rsid w:val="00165E87"/>
    <w:rsid w:val="0016723A"/>
    <w:rsid w:val="00167928"/>
    <w:rsid w:val="001702FE"/>
    <w:rsid w:val="001704CD"/>
    <w:rsid w:val="00170DC9"/>
    <w:rsid w:val="00171A05"/>
    <w:rsid w:val="00172948"/>
    <w:rsid w:val="00172F3A"/>
    <w:rsid w:val="001730FD"/>
    <w:rsid w:val="00173798"/>
    <w:rsid w:val="00173BE6"/>
    <w:rsid w:val="00173E72"/>
    <w:rsid w:val="001807C0"/>
    <w:rsid w:val="001811DE"/>
    <w:rsid w:val="00184574"/>
    <w:rsid w:val="00187145"/>
    <w:rsid w:val="00191E28"/>
    <w:rsid w:val="001920FE"/>
    <w:rsid w:val="00193A62"/>
    <w:rsid w:val="00196379"/>
    <w:rsid w:val="00197514"/>
    <w:rsid w:val="001A3945"/>
    <w:rsid w:val="001A4336"/>
    <w:rsid w:val="001B0110"/>
    <w:rsid w:val="001B1240"/>
    <w:rsid w:val="001B20BA"/>
    <w:rsid w:val="001B3048"/>
    <w:rsid w:val="001B68B1"/>
    <w:rsid w:val="001B696E"/>
    <w:rsid w:val="001B6A56"/>
    <w:rsid w:val="001B7916"/>
    <w:rsid w:val="001C12BC"/>
    <w:rsid w:val="001C2E0F"/>
    <w:rsid w:val="001C469B"/>
    <w:rsid w:val="001C678B"/>
    <w:rsid w:val="001C6A71"/>
    <w:rsid w:val="001C78A6"/>
    <w:rsid w:val="001D158B"/>
    <w:rsid w:val="001D638B"/>
    <w:rsid w:val="001D6DFA"/>
    <w:rsid w:val="001E116C"/>
    <w:rsid w:val="001E433D"/>
    <w:rsid w:val="001E6180"/>
    <w:rsid w:val="001E674B"/>
    <w:rsid w:val="001E68FC"/>
    <w:rsid w:val="001E72B6"/>
    <w:rsid w:val="001E77E7"/>
    <w:rsid w:val="001F3CED"/>
    <w:rsid w:val="001F4C57"/>
    <w:rsid w:val="001F4F5A"/>
    <w:rsid w:val="001F6C28"/>
    <w:rsid w:val="00200D22"/>
    <w:rsid w:val="00204026"/>
    <w:rsid w:val="00210BA6"/>
    <w:rsid w:val="00212948"/>
    <w:rsid w:val="00217839"/>
    <w:rsid w:val="00222AE9"/>
    <w:rsid w:val="00223995"/>
    <w:rsid w:val="0022416F"/>
    <w:rsid w:val="002256F1"/>
    <w:rsid w:val="00225A3B"/>
    <w:rsid w:val="0022773D"/>
    <w:rsid w:val="0023081D"/>
    <w:rsid w:val="0023116E"/>
    <w:rsid w:val="0023329C"/>
    <w:rsid w:val="00233317"/>
    <w:rsid w:val="00234829"/>
    <w:rsid w:val="00236DC0"/>
    <w:rsid w:val="002373A2"/>
    <w:rsid w:val="00237AD1"/>
    <w:rsid w:val="00242517"/>
    <w:rsid w:val="0024260B"/>
    <w:rsid w:val="00242AA3"/>
    <w:rsid w:val="0024401F"/>
    <w:rsid w:val="002450B0"/>
    <w:rsid w:val="0024569B"/>
    <w:rsid w:val="00246C12"/>
    <w:rsid w:val="00251D4C"/>
    <w:rsid w:val="00252E8F"/>
    <w:rsid w:val="00255B5A"/>
    <w:rsid w:val="00260127"/>
    <w:rsid w:val="00261566"/>
    <w:rsid w:val="00264CF3"/>
    <w:rsid w:val="002671A2"/>
    <w:rsid w:val="00267496"/>
    <w:rsid w:val="002707EA"/>
    <w:rsid w:val="002719FF"/>
    <w:rsid w:val="00272339"/>
    <w:rsid w:val="002724F7"/>
    <w:rsid w:val="00273F0A"/>
    <w:rsid w:val="00274991"/>
    <w:rsid w:val="00275B68"/>
    <w:rsid w:val="00275F0B"/>
    <w:rsid w:val="00282D84"/>
    <w:rsid w:val="002845EA"/>
    <w:rsid w:val="00286094"/>
    <w:rsid w:val="00286EBE"/>
    <w:rsid w:val="00290391"/>
    <w:rsid w:val="0029051D"/>
    <w:rsid w:val="00294BDD"/>
    <w:rsid w:val="00295B70"/>
    <w:rsid w:val="002A2A08"/>
    <w:rsid w:val="002A2D93"/>
    <w:rsid w:val="002A4465"/>
    <w:rsid w:val="002A4E42"/>
    <w:rsid w:val="002A77C3"/>
    <w:rsid w:val="002B10B0"/>
    <w:rsid w:val="002B169C"/>
    <w:rsid w:val="002B504A"/>
    <w:rsid w:val="002B6EFD"/>
    <w:rsid w:val="002B6F33"/>
    <w:rsid w:val="002B79F0"/>
    <w:rsid w:val="002B7F3E"/>
    <w:rsid w:val="002C02A5"/>
    <w:rsid w:val="002C1D9C"/>
    <w:rsid w:val="002C366F"/>
    <w:rsid w:val="002C4CA9"/>
    <w:rsid w:val="002C6887"/>
    <w:rsid w:val="002C7429"/>
    <w:rsid w:val="002D2270"/>
    <w:rsid w:val="002D4431"/>
    <w:rsid w:val="002E0A10"/>
    <w:rsid w:val="002E1C2A"/>
    <w:rsid w:val="002E25A8"/>
    <w:rsid w:val="002E3E32"/>
    <w:rsid w:val="002E5059"/>
    <w:rsid w:val="002E53CA"/>
    <w:rsid w:val="002E69F9"/>
    <w:rsid w:val="002F04DE"/>
    <w:rsid w:val="002F1BAF"/>
    <w:rsid w:val="002F1CD3"/>
    <w:rsid w:val="002F2F3E"/>
    <w:rsid w:val="002F4AC8"/>
    <w:rsid w:val="002F5EB4"/>
    <w:rsid w:val="002F6E28"/>
    <w:rsid w:val="002F7E68"/>
    <w:rsid w:val="00302E5E"/>
    <w:rsid w:val="00305111"/>
    <w:rsid w:val="00307DEF"/>
    <w:rsid w:val="00311D33"/>
    <w:rsid w:val="00313664"/>
    <w:rsid w:val="00314F90"/>
    <w:rsid w:val="003172F9"/>
    <w:rsid w:val="00320C47"/>
    <w:rsid w:val="0033102E"/>
    <w:rsid w:val="00331401"/>
    <w:rsid w:val="00333234"/>
    <w:rsid w:val="00333690"/>
    <w:rsid w:val="00335ED1"/>
    <w:rsid w:val="0033605B"/>
    <w:rsid w:val="00337EF8"/>
    <w:rsid w:val="00342A60"/>
    <w:rsid w:val="0034379D"/>
    <w:rsid w:val="0034646D"/>
    <w:rsid w:val="00347BE5"/>
    <w:rsid w:val="003522E0"/>
    <w:rsid w:val="0035267F"/>
    <w:rsid w:val="0035580D"/>
    <w:rsid w:val="003639FB"/>
    <w:rsid w:val="00363A7B"/>
    <w:rsid w:val="00363BF7"/>
    <w:rsid w:val="003715D6"/>
    <w:rsid w:val="00373460"/>
    <w:rsid w:val="00375CB7"/>
    <w:rsid w:val="00382AE5"/>
    <w:rsid w:val="003929D2"/>
    <w:rsid w:val="00392D0C"/>
    <w:rsid w:val="0039352C"/>
    <w:rsid w:val="00393E3E"/>
    <w:rsid w:val="00393FA5"/>
    <w:rsid w:val="00395C79"/>
    <w:rsid w:val="003964A3"/>
    <w:rsid w:val="003A27BB"/>
    <w:rsid w:val="003A2A04"/>
    <w:rsid w:val="003A5B55"/>
    <w:rsid w:val="003A6F6F"/>
    <w:rsid w:val="003B133E"/>
    <w:rsid w:val="003B5CCA"/>
    <w:rsid w:val="003B673D"/>
    <w:rsid w:val="003B748F"/>
    <w:rsid w:val="003C2577"/>
    <w:rsid w:val="003C30ED"/>
    <w:rsid w:val="003C4448"/>
    <w:rsid w:val="003D22D2"/>
    <w:rsid w:val="003D23DC"/>
    <w:rsid w:val="003D3573"/>
    <w:rsid w:val="003D3D91"/>
    <w:rsid w:val="003D4708"/>
    <w:rsid w:val="003D477A"/>
    <w:rsid w:val="003D5816"/>
    <w:rsid w:val="003E0AC3"/>
    <w:rsid w:val="003E0E0A"/>
    <w:rsid w:val="003E113F"/>
    <w:rsid w:val="003E456F"/>
    <w:rsid w:val="003E6615"/>
    <w:rsid w:val="003E6A58"/>
    <w:rsid w:val="003E79F9"/>
    <w:rsid w:val="003F12E9"/>
    <w:rsid w:val="003F59F4"/>
    <w:rsid w:val="003F6964"/>
    <w:rsid w:val="00402501"/>
    <w:rsid w:val="00404DCD"/>
    <w:rsid w:val="0040735E"/>
    <w:rsid w:val="004077D6"/>
    <w:rsid w:val="00411005"/>
    <w:rsid w:val="004121E7"/>
    <w:rsid w:val="00414E51"/>
    <w:rsid w:val="00417B2F"/>
    <w:rsid w:val="00420F04"/>
    <w:rsid w:val="00422921"/>
    <w:rsid w:val="00423099"/>
    <w:rsid w:val="00424216"/>
    <w:rsid w:val="00424E79"/>
    <w:rsid w:val="00425414"/>
    <w:rsid w:val="0042661C"/>
    <w:rsid w:val="004274B3"/>
    <w:rsid w:val="00434B20"/>
    <w:rsid w:val="00443E83"/>
    <w:rsid w:val="00443EC1"/>
    <w:rsid w:val="0044427E"/>
    <w:rsid w:val="0044630E"/>
    <w:rsid w:val="00446DBB"/>
    <w:rsid w:val="0045164C"/>
    <w:rsid w:val="004519D8"/>
    <w:rsid w:val="00453264"/>
    <w:rsid w:val="00457AE1"/>
    <w:rsid w:val="00462B54"/>
    <w:rsid w:val="00463064"/>
    <w:rsid w:val="004642B9"/>
    <w:rsid w:val="00471A1F"/>
    <w:rsid w:val="00472461"/>
    <w:rsid w:val="004809B8"/>
    <w:rsid w:val="004821B9"/>
    <w:rsid w:val="00483E78"/>
    <w:rsid w:val="004852F3"/>
    <w:rsid w:val="004855F4"/>
    <w:rsid w:val="004874FE"/>
    <w:rsid w:val="00491D88"/>
    <w:rsid w:val="0049605C"/>
    <w:rsid w:val="004965F7"/>
    <w:rsid w:val="00496B4C"/>
    <w:rsid w:val="00497BCC"/>
    <w:rsid w:val="004A4CD8"/>
    <w:rsid w:val="004A7048"/>
    <w:rsid w:val="004B0A0A"/>
    <w:rsid w:val="004B1C4B"/>
    <w:rsid w:val="004B201B"/>
    <w:rsid w:val="004B3D7C"/>
    <w:rsid w:val="004B60CB"/>
    <w:rsid w:val="004B7991"/>
    <w:rsid w:val="004C1CB5"/>
    <w:rsid w:val="004C284F"/>
    <w:rsid w:val="004C4692"/>
    <w:rsid w:val="004C52B0"/>
    <w:rsid w:val="004C55F0"/>
    <w:rsid w:val="004D273F"/>
    <w:rsid w:val="004E2C21"/>
    <w:rsid w:val="004E4877"/>
    <w:rsid w:val="004E5AD8"/>
    <w:rsid w:val="004E6039"/>
    <w:rsid w:val="004E769A"/>
    <w:rsid w:val="004E7FF6"/>
    <w:rsid w:val="005007FB"/>
    <w:rsid w:val="00500ACD"/>
    <w:rsid w:val="00504061"/>
    <w:rsid w:val="00504C5F"/>
    <w:rsid w:val="00505BAE"/>
    <w:rsid w:val="00506956"/>
    <w:rsid w:val="00506F74"/>
    <w:rsid w:val="005119CD"/>
    <w:rsid w:val="00511B45"/>
    <w:rsid w:val="00513785"/>
    <w:rsid w:val="00515380"/>
    <w:rsid w:val="005176CA"/>
    <w:rsid w:val="00523CC4"/>
    <w:rsid w:val="005259E4"/>
    <w:rsid w:val="00527C27"/>
    <w:rsid w:val="00532D10"/>
    <w:rsid w:val="00537A77"/>
    <w:rsid w:val="00541A14"/>
    <w:rsid w:val="00542052"/>
    <w:rsid w:val="00542836"/>
    <w:rsid w:val="00543248"/>
    <w:rsid w:val="00543F9C"/>
    <w:rsid w:val="00546D39"/>
    <w:rsid w:val="00550E84"/>
    <w:rsid w:val="00551368"/>
    <w:rsid w:val="005577B0"/>
    <w:rsid w:val="00562084"/>
    <w:rsid w:val="005656D2"/>
    <w:rsid w:val="00570EED"/>
    <w:rsid w:val="005716FC"/>
    <w:rsid w:val="00573F0C"/>
    <w:rsid w:val="00575DEF"/>
    <w:rsid w:val="00580C4E"/>
    <w:rsid w:val="00583A33"/>
    <w:rsid w:val="0058672A"/>
    <w:rsid w:val="005867D2"/>
    <w:rsid w:val="00591E7B"/>
    <w:rsid w:val="00592B45"/>
    <w:rsid w:val="00594A90"/>
    <w:rsid w:val="005963CC"/>
    <w:rsid w:val="00596E19"/>
    <w:rsid w:val="005A1E4A"/>
    <w:rsid w:val="005A241E"/>
    <w:rsid w:val="005A441E"/>
    <w:rsid w:val="005A5A46"/>
    <w:rsid w:val="005A6FED"/>
    <w:rsid w:val="005B1BC4"/>
    <w:rsid w:val="005B26F4"/>
    <w:rsid w:val="005B6894"/>
    <w:rsid w:val="005B7121"/>
    <w:rsid w:val="005C13B2"/>
    <w:rsid w:val="005C27E3"/>
    <w:rsid w:val="005C37CB"/>
    <w:rsid w:val="005C459C"/>
    <w:rsid w:val="005C5473"/>
    <w:rsid w:val="005C5E47"/>
    <w:rsid w:val="005C7360"/>
    <w:rsid w:val="005D1A9F"/>
    <w:rsid w:val="005D26DD"/>
    <w:rsid w:val="005D2860"/>
    <w:rsid w:val="005D52FA"/>
    <w:rsid w:val="005E266F"/>
    <w:rsid w:val="005E2C89"/>
    <w:rsid w:val="005E44CF"/>
    <w:rsid w:val="005E5734"/>
    <w:rsid w:val="005E73CE"/>
    <w:rsid w:val="005F07DC"/>
    <w:rsid w:val="005F0DD8"/>
    <w:rsid w:val="005F1C8E"/>
    <w:rsid w:val="005F64FB"/>
    <w:rsid w:val="005F6ABC"/>
    <w:rsid w:val="005F7AC6"/>
    <w:rsid w:val="0060251E"/>
    <w:rsid w:val="00602DDE"/>
    <w:rsid w:val="00604220"/>
    <w:rsid w:val="00604C46"/>
    <w:rsid w:val="00611737"/>
    <w:rsid w:val="006146C0"/>
    <w:rsid w:val="00614DE8"/>
    <w:rsid w:val="00622388"/>
    <w:rsid w:val="00622669"/>
    <w:rsid w:val="00622FE1"/>
    <w:rsid w:val="00625CE5"/>
    <w:rsid w:val="00626AD3"/>
    <w:rsid w:val="006322B3"/>
    <w:rsid w:val="00635027"/>
    <w:rsid w:val="0064157C"/>
    <w:rsid w:val="00644A7B"/>
    <w:rsid w:val="0064671D"/>
    <w:rsid w:val="00650DFD"/>
    <w:rsid w:val="006556D9"/>
    <w:rsid w:val="00661C46"/>
    <w:rsid w:val="006652D3"/>
    <w:rsid w:val="00667CF3"/>
    <w:rsid w:val="006769C4"/>
    <w:rsid w:val="00677627"/>
    <w:rsid w:val="00677BD5"/>
    <w:rsid w:val="0068025E"/>
    <w:rsid w:val="006848EB"/>
    <w:rsid w:val="00693C87"/>
    <w:rsid w:val="0069683B"/>
    <w:rsid w:val="006A05C7"/>
    <w:rsid w:val="006A0F27"/>
    <w:rsid w:val="006A3066"/>
    <w:rsid w:val="006A607B"/>
    <w:rsid w:val="006A6E27"/>
    <w:rsid w:val="006A72B0"/>
    <w:rsid w:val="006B0DC3"/>
    <w:rsid w:val="006B3087"/>
    <w:rsid w:val="006B3E4D"/>
    <w:rsid w:val="006C52B9"/>
    <w:rsid w:val="006C5C4D"/>
    <w:rsid w:val="006D1CF3"/>
    <w:rsid w:val="006D1DFE"/>
    <w:rsid w:val="006D37A9"/>
    <w:rsid w:val="006E5BB8"/>
    <w:rsid w:val="006E5D3E"/>
    <w:rsid w:val="006E6BC2"/>
    <w:rsid w:val="006E77BB"/>
    <w:rsid w:val="006F0DA1"/>
    <w:rsid w:val="006F3E41"/>
    <w:rsid w:val="0070150E"/>
    <w:rsid w:val="0070215F"/>
    <w:rsid w:val="00705DB8"/>
    <w:rsid w:val="0070627C"/>
    <w:rsid w:val="00713225"/>
    <w:rsid w:val="0072512A"/>
    <w:rsid w:val="00731EE6"/>
    <w:rsid w:val="00732747"/>
    <w:rsid w:val="00733BB6"/>
    <w:rsid w:val="0073479B"/>
    <w:rsid w:val="007355A6"/>
    <w:rsid w:val="00737A44"/>
    <w:rsid w:val="00740A71"/>
    <w:rsid w:val="007429FE"/>
    <w:rsid w:val="007477C5"/>
    <w:rsid w:val="00747938"/>
    <w:rsid w:val="00750DD3"/>
    <w:rsid w:val="00752DAA"/>
    <w:rsid w:val="007539F5"/>
    <w:rsid w:val="00754ABF"/>
    <w:rsid w:val="00762803"/>
    <w:rsid w:val="00762AFB"/>
    <w:rsid w:val="007649B3"/>
    <w:rsid w:val="00765BA8"/>
    <w:rsid w:val="00765F5D"/>
    <w:rsid w:val="00766007"/>
    <w:rsid w:val="0077053C"/>
    <w:rsid w:val="00770A26"/>
    <w:rsid w:val="00773D18"/>
    <w:rsid w:val="00774546"/>
    <w:rsid w:val="00774CBA"/>
    <w:rsid w:val="00780834"/>
    <w:rsid w:val="00785AA0"/>
    <w:rsid w:val="00794E87"/>
    <w:rsid w:val="007974A3"/>
    <w:rsid w:val="007A0B8A"/>
    <w:rsid w:val="007A0FD3"/>
    <w:rsid w:val="007A1364"/>
    <w:rsid w:val="007A24A0"/>
    <w:rsid w:val="007A407B"/>
    <w:rsid w:val="007A4AB2"/>
    <w:rsid w:val="007A5E68"/>
    <w:rsid w:val="007B1BF7"/>
    <w:rsid w:val="007B2264"/>
    <w:rsid w:val="007B3575"/>
    <w:rsid w:val="007B6E8A"/>
    <w:rsid w:val="007B7BC5"/>
    <w:rsid w:val="007C1B39"/>
    <w:rsid w:val="007C280C"/>
    <w:rsid w:val="007C32B8"/>
    <w:rsid w:val="007C337D"/>
    <w:rsid w:val="007C404B"/>
    <w:rsid w:val="007C4BAE"/>
    <w:rsid w:val="007C6F2E"/>
    <w:rsid w:val="007C7226"/>
    <w:rsid w:val="007D1D3B"/>
    <w:rsid w:val="007D44CE"/>
    <w:rsid w:val="007D5960"/>
    <w:rsid w:val="007D6723"/>
    <w:rsid w:val="007E114E"/>
    <w:rsid w:val="007E17AA"/>
    <w:rsid w:val="007E36E6"/>
    <w:rsid w:val="007E3B60"/>
    <w:rsid w:val="007E487F"/>
    <w:rsid w:val="007E4B2D"/>
    <w:rsid w:val="007E587D"/>
    <w:rsid w:val="007E6757"/>
    <w:rsid w:val="007E71E9"/>
    <w:rsid w:val="007E7C1F"/>
    <w:rsid w:val="007F1873"/>
    <w:rsid w:val="007F1D06"/>
    <w:rsid w:val="007F3664"/>
    <w:rsid w:val="007F5D5A"/>
    <w:rsid w:val="008010D7"/>
    <w:rsid w:val="00802CF9"/>
    <w:rsid w:val="00803443"/>
    <w:rsid w:val="00803961"/>
    <w:rsid w:val="00803E41"/>
    <w:rsid w:val="0080680D"/>
    <w:rsid w:val="00810573"/>
    <w:rsid w:val="00812C05"/>
    <w:rsid w:val="0081322A"/>
    <w:rsid w:val="008154F2"/>
    <w:rsid w:val="008162AB"/>
    <w:rsid w:val="0082565C"/>
    <w:rsid w:val="00832682"/>
    <w:rsid w:val="00842871"/>
    <w:rsid w:val="00843E6F"/>
    <w:rsid w:val="00845625"/>
    <w:rsid w:val="00846E4A"/>
    <w:rsid w:val="00851AF5"/>
    <w:rsid w:val="00851FB5"/>
    <w:rsid w:val="008528EE"/>
    <w:rsid w:val="00854DAA"/>
    <w:rsid w:val="0085589B"/>
    <w:rsid w:val="00856FDA"/>
    <w:rsid w:val="00861CC5"/>
    <w:rsid w:val="00862D9A"/>
    <w:rsid w:val="00863DD8"/>
    <w:rsid w:val="008647DE"/>
    <w:rsid w:val="00864B95"/>
    <w:rsid w:val="0086707F"/>
    <w:rsid w:val="0087138D"/>
    <w:rsid w:val="008758BA"/>
    <w:rsid w:val="008800D3"/>
    <w:rsid w:val="0088223C"/>
    <w:rsid w:val="00883479"/>
    <w:rsid w:val="0088550A"/>
    <w:rsid w:val="00885BD4"/>
    <w:rsid w:val="00886CDD"/>
    <w:rsid w:val="00891DBA"/>
    <w:rsid w:val="0089214D"/>
    <w:rsid w:val="00893C0D"/>
    <w:rsid w:val="00896ECB"/>
    <w:rsid w:val="008A06C3"/>
    <w:rsid w:val="008A20DA"/>
    <w:rsid w:val="008A4E5B"/>
    <w:rsid w:val="008A53C2"/>
    <w:rsid w:val="008B25D7"/>
    <w:rsid w:val="008B3B64"/>
    <w:rsid w:val="008B5C8F"/>
    <w:rsid w:val="008B5F16"/>
    <w:rsid w:val="008B6D3F"/>
    <w:rsid w:val="008B7722"/>
    <w:rsid w:val="008C04A4"/>
    <w:rsid w:val="008C0E5C"/>
    <w:rsid w:val="008C2560"/>
    <w:rsid w:val="008C4FF6"/>
    <w:rsid w:val="008D348B"/>
    <w:rsid w:val="008D36C8"/>
    <w:rsid w:val="008D5730"/>
    <w:rsid w:val="008E2BE4"/>
    <w:rsid w:val="008E5C9A"/>
    <w:rsid w:val="008E6B4E"/>
    <w:rsid w:val="008E7970"/>
    <w:rsid w:val="008E7C34"/>
    <w:rsid w:val="008E7EF4"/>
    <w:rsid w:val="008F0C36"/>
    <w:rsid w:val="008F15CE"/>
    <w:rsid w:val="008F377B"/>
    <w:rsid w:val="008F3E5E"/>
    <w:rsid w:val="0091038F"/>
    <w:rsid w:val="009110EF"/>
    <w:rsid w:val="00915512"/>
    <w:rsid w:val="00917583"/>
    <w:rsid w:val="009233CC"/>
    <w:rsid w:val="009240D8"/>
    <w:rsid w:val="0092523D"/>
    <w:rsid w:val="00931589"/>
    <w:rsid w:val="00933E20"/>
    <w:rsid w:val="0093544F"/>
    <w:rsid w:val="009360D7"/>
    <w:rsid w:val="009362C9"/>
    <w:rsid w:val="00941310"/>
    <w:rsid w:val="00942387"/>
    <w:rsid w:val="00942B7A"/>
    <w:rsid w:val="0094626F"/>
    <w:rsid w:val="009462D2"/>
    <w:rsid w:val="00947ED7"/>
    <w:rsid w:val="00952926"/>
    <w:rsid w:val="009569E6"/>
    <w:rsid w:val="009652D5"/>
    <w:rsid w:val="0096629C"/>
    <w:rsid w:val="00966BE6"/>
    <w:rsid w:val="009677F8"/>
    <w:rsid w:val="00967931"/>
    <w:rsid w:val="00970D69"/>
    <w:rsid w:val="00971146"/>
    <w:rsid w:val="00972A9A"/>
    <w:rsid w:val="00973FAB"/>
    <w:rsid w:val="0098468C"/>
    <w:rsid w:val="00985DFC"/>
    <w:rsid w:val="009902F1"/>
    <w:rsid w:val="00991675"/>
    <w:rsid w:val="00992008"/>
    <w:rsid w:val="00995D01"/>
    <w:rsid w:val="00996409"/>
    <w:rsid w:val="00996D00"/>
    <w:rsid w:val="009973C4"/>
    <w:rsid w:val="009A03DC"/>
    <w:rsid w:val="009A18E7"/>
    <w:rsid w:val="009A367A"/>
    <w:rsid w:val="009A3699"/>
    <w:rsid w:val="009A6CF3"/>
    <w:rsid w:val="009B2E2F"/>
    <w:rsid w:val="009B43BF"/>
    <w:rsid w:val="009B4869"/>
    <w:rsid w:val="009B4A2D"/>
    <w:rsid w:val="009B5A07"/>
    <w:rsid w:val="009C1D7F"/>
    <w:rsid w:val="009C1E0B"/>
    <w:rsid w:val="009D2036"/>
    <w:rsid w:val="009D545A"/>
    <w:rsid w:val="009D6D44"/>
    <w:rsid w:val="009E22FA"/>
    <w:rsid w:val="009E4744"/>
    <w:rsid w:val="009E4EC9"/>
    <w:rsid w:val="009E5D5A"/>
    <w:rsid w:val="009F2262"/>
    <w:rsid w:val="009F3721"/>
    <w:rsid w:val="009F4ADA"/>
    <w:rsid w:val="009F6A0D"/>
    <w:rsid w:val="00A049C8"/>
    <w:rsid w:val="00A06383"/>
    <w:rsid w:val="00A0643A"/>
    <w:rsid w:val="00A0796C"/>
    <w:rsid w:val="00A07991"/>
    <w:rsid w:val="00A10CDE"/>
    <w:rsid w:val="00A1680D"/>
    <w:rsid w:val="00A23AB0"/>
    <w:rsid w:val="00A265C8"/>
    <w:rsid w:val="00A266C5"/>
    <w:rsid w:val="00A309C6"/>
    <w:rsid w:val="00A325E5"/>
    <w:rsid w:val="00A32E4E"/>
    <w:rsid w:val="00A342D6"/>
    <w:rsid w:val="00A40A94"/>
    <w:rsid w:val="00A458A8"/>
    <w:rsid w:val="00A461C9"/>
    <w:rsid w:val="00A4754B"/>
    <w:rsid w:val="00A505DE"/>
    <w:rsid w:val="00A5327C"/>
    <w:rsid w:val="00A5721C"/>
    <w:rsid w:val="00A57A83"/>
    <w:rsid w:val="00A615BC"/>
    <w:rsid w:val="00A63B1C"/>
    <w:rsid w:val="00A66DDD"/>
    <w:rsid w:val="00A67913"/>
    <w:rsid w:val="00A72E91"/>
    <w:rsid w:val="00A75C03"/>
    <w:rsid w:val="00A80171"/>
    <w:rsid w:val="00A81A94"/>
    <w:rsid w:val="00A81D8F"/>
    <w:rsid w:val="00A83221"/>
    <w:rsid w:val="00A8401B"/>
    <w:rsid w:val="00A84FF3"/>
    <w:rsid w:val="00A85D0F"/>
    <w:rsid w:val="00A90492"/>
    <w:rsid w:val="00A9681E"/>
    <w:rsid w:val="00A9685B"/>
    <w:rsid w:val="00AA007A"/>
    <w:rsid w:val="00AA1262"/>
    <w:rsid w:val="00AA221D"/>
    <w:rsid w:val="00AA2F0B"/>
    <w:rsid w:val="00AA35B4"/>
    <w:rsid w:val="00AA5C20"/>
    <w:rsid w:val="00AA74CC"/>
    <w:rsid w:val="00AA77FD"/>
    <w:rsid w:val="00AB0099"/>
    <w:rsid w:val="00AB073E"/>
    <w:rsid w:val="00AB1A13"/>
    <w:rsid w:val="00AB2C48"/>
    <w:rsid w:val="00AB3BB8"/>
    <w:rsid w:val="00AB4B43"/>
    <w:rsid w:val="00AB4B9A"/>
    <w:rsid w:val="00AB4E9F"/>
    <w:rsid w:val="00AC0CE2"/>
    <w:rsid w:val="00AC210F"/>
    <w:rsid w:val="00AC319E"/>
    <w:rsid w:val="00AC56BF"/>
    <w:rsid w:val="00AC63A5"/>
    <w:rsid w:val="00AD0981"/>
    <w:rsid w:val="00AD0EA9"/>
    <w:rsid w:val="00AD69B4"/>
    <w:rsid w:val="00AE3A1E"/>
    <w:rsid w:val="00AE734F"/>
    <w:rsid w:val="00AF0F67"/>
    <w:rsid w:val="00AF2656"/>
    <w:rsid w:val="00AF3D4D"/>
    <w:rsid w:val="00AF4521"/>
    <w:rsid w:val="00AF6110"/>
    <w:rsid w:val="00AF6AC6"/>
    <w:rsid w:val="00AF7EFD"/>
    <w:rsid w:val="00B00610"/>
    <w:rsid w:val="00B00611"/>
    <w:rsid w:val="00B029C1"/>
    <w:rsid w:val="00B04354"/>
    <w:rsid w:val="00B1033A"/>
    <w:rsid w:val="00B11B1C"/>
    <w:rsid w:val="00B162E6"/>
    <w:rsid w:val="00B22703"/>
    <w:rsid w:val="00B22C5F"/>
    <w:rsid w:val="00B2379C"/>
    <w:rsid w:val="00B243B0"/>
    <w:rsid w:val="00B249FC"/>
    <w:rsid w:val="00B317E7"/>
    <w:rsid w:val="00B33A57"/>
    <w:rsid w:val="00B34083"/>
    <w:rsid w:val="00B34346"/>
    <w:rsid w:val="00B3655C"/>
    <w:rsid w:val="00B37728"/>
    <w:rsid w:val="00B421E9"/>
    <w:rsid w:val="00B44614"/>
    <w:rsid w:val="00B45C64"/>
    <w:rsid w:val="00B46919"/>
    <w:rsid w:val="00B46A32"/>
    <w:rsid w:val="00B46B29"/>
    <w:rsid w:val="00B53547"/>
    <w:rsid w:val="00B53597"/>
    <w:rsid w:val="00B55D3E"/>
    <w:rsid w:val="00B570F0"/>
    <w:rsid w:val="00B61D61"/>
    <w:rsid w:val="00B62590"/>
    <w:rsid w:val="00B6729F"/>
    <w:rsid w:val="00B706E2"/>
    <w:rsid w:val="00B7517F"/>
    <w:rsid w:val="00B8142F"/>
    <w:rsid w:val="00B82627"/>
    <w:rsid w:val="00B8528B"/>
    <w:rsid w:val="00B8793B"/>
    <w:rsid w:val="00B90AA7"/>
    <w:rsid w:val="00B92C02"/>
    <w:rsid w:val="00B94335"/>
    <w:rsid w:val="00BA0A8A"/>
    <w:rsid w:val="00BA38F6"/>
    <w:rsid w:val="00BA65E5"/>
    <w:rsid w:val="00BA70D7"/>
    <w:rsid w:val="00BA7274"/>
    <w:rsid w:val="00BB09DF"/>
    <w:rsid w:val="00BB1D01"/>
    <w:rsid w:val="00BB3B37"/>
    <w:rsid w:val="00BB3FC5"/>
    <w:rsid w:val="00BB7CDD"/>
    <w:rsid w:val="00BC1B82"/>
    <w:rsid w:val="00BC2022"/>
    <w:rsid w:val="00BC2B3B"/>
    <w:rsid w:val="00BC3697"/>
    <w:rsid w:val="00BC4579"/>
    <w:rsid w:val="00BC5B4A"/>
    <w:rsid w:val="00BD0403"/>
    <w:rsid w:val="00BD1CFF"/>
    <w:rsid w:val="00BD3D24"/>
    <w:rsid w:val="00BD6CD2"/>
    <w:rsid w:val="00BE5136"/>
    <w:rsid w:val="00BF0729"/>
    <w:rsid w:val="00BF1D4A"/>
    <w:rsid w:val="00BF5317"/>
    <w:rsid w:val="00BF71BF"/>
    <w:rsid w:val="00C0018A"/>
    <w:rsid w:val="00C00905"/>
    <w:rsid w:val="00C0288D"/>
    <w:rsid w:val="00C035B5"/>
    <w:rsid w:val="00C06B69"/>
    <w:rsid w:val="00C11ABD"/>
    <w:rsid w:val="00C14FB2"/>
    <w:rsid w:val="00C15FC7"/>
    <w:rsid w:val="00C176AC"/>
    <w:rsid w:val="00C21EF9"/>
    <w:rsid w:val="00C222F7"/>
    <w:rsid w:val="00C24839"/>
    <w:rsid w:val="00C2553A"/>
    <w:rsid w:val="00C27C23"/>
    <w:rsid w:val="00C31056"/>
    <w:rsid w:val="00C33A3E"/>
    <w:rsid w:val="00C33D9F"/>
    <w:rsid w:val="00C33F19"/>
    <w:rsid w:val="00C343CE"/>
    <w:rsid w:val="00C35B28"/>
    <w:rsid w:val="00C41C84"/>
    <w:rsid w:val="00C4459F"/>
    <w:rsid w:val="00C53EAA"/>
    <w:rsid w:val="00C554D4"/>
    <w:rsid w:val="00C61047"/>
    <w:rsid w:val="00C61B02"/>
    <w:rsid w:val="00C61F1C"/>
    <w:rsid w:val="00C67AA7"/>
    <w:rsid w:val="00C719A2"/>
    <w:rsid w:val="00C72165"/>
    <w:rsid w:val="00C83041"/>
    <w:rsid w:val="00C83641"/>
    <w:rsid w:val="00C85FC9"/>
    <w:rsid w:val="00C87CA0"/>
    <w:rsid w:val="00C90B42"/>
    <w:rsid w:val="00C93C61"/>
    <w:rsid w:val="00C9475D"/>
    <w:rsid w:val="00C95056"/>
    <w:rsid w:val="00C951FD"/>
    <w:rsid w:val="00C95509"/>
    <w:rsid w:val="00C95F68"/>
    <w:rsid w:val="00C974F5"/>
    <w:rsid w:val="00CA0F85"/>
    <w:rsid w:val="00CA2471"/>
    <w:rsid w:val="00CA36A6"/>
    <w:rsid w:val="00CA7F28"/>
    <w:rsid w:val="00CB0213"/>
    <w:rsid w:val="00CB0768"/>
    <w:rsid w:val="00CB131F"/>
    <w:rsid w:val="00CB163B"/>
    <w:rsid w:val="00CB4DCD"/>
    <w:rsid w:val="00CB4F2D"/>
    <w:rsid w:val="00CC1690"/>
    <w:rsid w:val="00CC665A"/>
    <w:rsid w:val="00CD3AF1"/>
    <w:rsid w:val="00CD54DE"/>
    <w:rsid w:val="00CD6826"/>
    <w:rsid w:val="00CE04A0"/>
    <w:rsid w:val="00CE34DC"/>
    <w:rsid w:val="00CE35FF"/>
    <w:rsid w:val="00CF52B1"/>
    <w:rsid w:val="00D037D1"/>
    <w:rsid w:val="00D04A00"/>
    <w:rsid w:val="00D057B7"/>
    <w:rsid w:val="00D079A3"/>
    <w:rsid w:val="00D07FB4"/>
    <w:rsid w:val="00D10DA8"/>
    <w:rsid w:val="00D119D3"/>
    <w:rsid w:val="00D128DD"/>
    <w:rsid w:val="00D15D5B"/>
    <w:rsid w:val="00D15E6C"/>
    <w:rsid w:val="00D21FA8"/>
    <w:rsid w:val="00D22B36"/>
    <w:rsid w:val="00D236B7"/>
    <w:rsid w:val="00D23E48"/>
    <w:rsid w:val="00D244BE"/>
    <w:rsid w:val="00D24738"/>
    <w:rsid w:val="00D25D69"/>
    <w:rsid w:val="00D31243"/>
    <w:rsid w:val="00D354D2"/>
    <w:rsid w:val="00D41994"/>
    <w:rsid w:val="00D43096"/>
    <w:rsid w:val="00D43578"/>
    <w:rsid w:val="00D441BA"/>
    <w:rsid w:val="00D46AB2"/>
    <w:rsid w:val="00D47815"/>
    <w:rsid w:val="00D52AE4"/>
    <w:rsid w:val="00D57C78"/>
    <w:rsid w:val="00D607FF"/>
    <w:rsid w:val="00D656EB"/>
    <w:rsid w:val="00D771FD"/>
    <w:rsid w:val="00D7796D"/>
    <w:rsid w:val="00D81B18"/>
    <w:rsid w:val="00D83541"/>
    <w:rsid w:val="00D85BC2"/>
    <w:rsid w:val="00D91C49"/>
    <w:rsid w:val="00D93A16"/>
    <w:rsid w:val="00D9496D"/>
    <w:rsid w:val="00DA0768"/>
    <w:rsid w:val="00DA161A"/>
    <w:rsid w:val="00DA5818"/>
    <w:rsid w:val="00DA5A94"/>
    <w:rsid w:val="00DB1226"/>
    <w:rsid w:val="00DB2355"/>
    <w:rsid w:val="00DB2E95"/>
    <w:rsid w:val="00DB3BB4"/>
    <w:rsid w:val="00DB6137"/>
    <w:rsid w:val="00DC0F02"/>
    <w:rsid w:val="00DC0F8D"/>
    <w:rsid w:val="00DC2284"/>
    <w:rsid w:val="00DC306E"/>
    <w:rsid w:val="00DC3CA4"/>
    <w:rsid w:val="00DC738F"/>
    <w:rsid w:val="00DD6EAB"/>
    <w:rsid w:val="00DE1C0E"/>
    <w:rsid w:val="00DE4578"/>
    <w:rsid w:val="00DE4B51"/>
    <w:rsid w:val="00DF04EE"/>
    <w:rsid w:val="00DF1A3C"/>
    <w:rsid w:val="00DF3228"/>
    <w:rsid w:val="00DF3E35"/>
    <w:rsid w:val="00DF4810"/>
    <w:rsid w:val="00E0250B"/>
    <w:rsid w:val="00E033C8"/>
    <w:rsid w:val="00E03ED5"/>
    <w:rsid w:val="00E06243"/>
    <w:rsid w:val="00E07169"/>
    <w:rsid w:val="00E07621"/>
    <w:rsid w:val="00E162A4"/>
    <w:rsid w:val="00E1688C"/>
    <w:rsid w:val="00E20BA4"/>
    <w:rsid w:val="00E22665"/>
    <w:rsid w:val="00E24380"/>
    <w:rsid w:val="00E30499"/>
    <w:rsid w:val="00E30B51"/>
    <w:rsid w:val="00E324BB"/>
    <w:rsid w:val="00E328E5"/>
    <w:rsid w:val="00E377E8"/>
    <w:rsid w:val="00E42394"/>
    <w:rsid w:val="00E43371"/>
    <w:rsid w:val="00E43464"/>
    <w:rsid w:val="00E44F88"/>
    <w:rsid w:val="00E46825"/>
    <w:rsid w:val="00E476BD"/>
    <w:rsid w:val="00E47A69"/>
    <w:rsid w:val="00E571BB"/>
    <w:rsid w:val="00E634CB"/>
    <w:rsid w:val="00E63D09"/>
    <w:rsid w:val="00E66CAD"/>
    <w:rsid w:val="00E71B7E"/>
    <w:rsid w:val="00E74435"/>
    <w:rsid w:val="00E752A7"/>
    <w:rsid w:val="00E7588F"/>
    <w:rsid w:val="00E758AD"/>
    <w:rsid w:val="00E75E6D"/>
    <w:rsid w:val="00E77D4E"/>
    <w:rsid w:val="00E81F91"/>
    <w:rsid w:val="00E851F9"/>
    <w:rsid w:val="00E86454"/>
    <w:rsid w:val="00E913DF"/>
    <w:rsid w:val="00E91860"/>
    <w:rsid w:val="00E954B7"/>
    <w:rsid w:val="00E95FA3"/>
    <w:rsid w:val="00E96E5B"/>
    <w:rsid w:val="00E96FDB"/>
    <w:rsid w:val="00EA107B"/>
    <w:rsid w:val="00EA2326"/>
    <w:rsid w:val="00EB1046"/>
    <w:rsid w:val="00EB4912"/>
    <w:rsid w:val="00EB4A21"/>
    <w:rsid w:val="00EB6D31"/>
    <w:rsid w:val="00EB719A"/>
    <w:rsid w:val="00EC014C"/>
    <w:rsid w:val="00EC06CC"/>
    <w:rsid w:val="00EC16F1"/>
    <w:rsid w:val="00EC301F"/>
    <w:rsid w:val="00EC52EC"/>
    <w:rsid w:val="00EC54E8"/>
    <w:rsid w:val="00ED05D6"/>
    <w:rsid w:val="00ED0C6F"/>
    <w:rsid w:val="00ED2FCC"/>
    <w:rsid w:val="00ED685F"/>
    <w:rsid w:val="00ED72AE"/>
    <w:rsid w:val="00EE10E8"/>
    <w:rsid w:val="00EE5F75"/>
    <w:rsid w:val="00EE6CC1"/>
    <w:rsid w:val="00EF0C97"/>
    <w:rsid w:val="00EF2722"/>
    <w:rsid w:val="00EF2904"/>
    <w:rsid w:val="00EF2EED"/>
    <w:rsid w:val="00EF6805"/>
    <w:rsid w:val="00F00508"/>
    <w:rsid w:val="00F01E52"/>
    <w:rsid w:val="00F03AC2"/>
    <w:rsid w:val="00F042DC"/>
    <w:rsid w:val="00F04309"/>
    <w:rsid w:val="00F04817"/>
    <w:rsid w:val="00F07099"/>
    <w:rsid w:val="00F07442"/>
    <w:rsid w:val="00F105EA"/>
    <w:rsid w:val="00F11117"/>
    <w:rsid w:val="00F12541"/>
    <w:rsid w:val="00F129E9"/>
    <w:rsid w:val="00F13114"/>
    <w:rsid w:val="00F1399C"/>
    <w:rsid w:val="00F1690D"/>
    <w:rsid w:val="00F22035"/>
    <w:rsid w:val="00F22D18"/>
    <w:rsid w:val="00F24171"/>
    <w:rsid w:val="00F35129"/>
    <w:rsid w:val="00F36C87"/>
    <w:rsid w:val="00F4168D"/>
    <w:rsid w:val="00F44AD3"/>
    <w:rsid w:val="00F46927"/>
    <w:rsid w:val="00F533CE"/>
    <w:rsid w:val="00F55854"/>
    <w:rsid w:val="00F56813"/>
    <w:rsid w:val="00F5685C"/>
    <w:rsid w:val="00F65625"/>
    <w:rsid w:val="00F66679"/>
    <w:rsid w:val="00F67CDE"/>
    <w:rsid w:val="00F70110"/>
    <w:rsid w:val="00F711DA"/>
    <w:rsid w:val="00F72C93"/>
    <w:rsid w:val="00F72D98"/>
    <w:rsid w:val="00F7735D"/>
    <w:rsid w:val="00F80A88"/>
    <w:rsid w:val="00F81B10"/>
    <w:rsid w:val="00F823F5"/>
    <w:rsid w:val="00F83306"/>
    <w:rsid w:val="00F83F41"/>
    <w:rsid w:val="00F9170D"/>
    <w:rsid w:val="00F93DDA"/>
    <w:rsid w:val="00F94368"/>
    <w:rsid w:val="00F9494C"/>
    <w:rsid w:val="00FA15C8"/>
    <w:rsid w:val="00FA2448"/>
    <w:rsid w:val="00FA2D86"/>
    <w:rsid w:val="00FA348C"/>
    <w:rsid w:val="00FA3F9B"/>
    <w:rsid w:val="00FA6BD5"/>
    <w:rsid w:val="00FB0AD8"/>
    <w:rsid w:val="00FB2210"/>
    <w:rsid w:val="00FB4DBB"/>
    <w:rsid w:val="00FB7C2C"/>
    <w:rsid w:val="00FD680C"/>
    <w:rsid w:val="00FE2C17"/>
    <w:rsid w:val="00FE622E"/>
    <w:rsid w:val="00FE762D"/>
    <w:rsid w:val="00FF072F"/>
    <w:rsid w:val="00FF21ED"/>
    <w:rsid w:val="00FF3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toc 4" w:uiPriority="39"/>
    <w:lsdException w:name="footer" w:uiPriority="99"/>
    <w:lsdException w:name="footnote reference" w:qFormat="1"/>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 w:type="character" w:customStyle="1" w:styleId="CGCTableFootnoteChar">
    <w:name w:val="CGC Table Footnote Char"/>
    <w:basedOn w:val="DefaultParagraphFont"/>
    <w:link w:val="CGCTableFootnote"/>
    <w:rsid w:val="000E70A3"/>
    <w:rPr>
      <w:sz w:val="20"/>
      <w:szCs w:val="24"/>
    </w:rPr>
  </w:style>
  <w:style w:type="character" w:customStyle="1" w:styleId="CGCTableHeadingChar">
    <w:name w:val="CGC Table Heading Char"/>
    <w:basedOn w:val="DefaultParagraphFont"/>
    <w:link w:val="CGCTableHeading"/>
    <w:rsid w:val="000E70A3"/>
    <w:rPr>
      <w:b/>
      <w:sz w:val="24"/>
      <w:szCs w:val="20"/>
    </w:rPr>
  </w:style>
  <w:style w:type="character" w:customStyle="1" w:styleId="CGCTableStubChar">
    <w:name w:val="CGC Table Stub Char"/>
    <w:basedOn w:val="DefaultParagraphFont"/>
    <w:link w:val="CGCTableStub"/>
    <w:rsid w:val="000E70A3"/>
    <w:rPr>
      <w:sz w:val="20"/>
      <w:szCs w:val="20"/>
    </w:rPr>
  </w:style>
  <w:style w:type="character" w:customStyle="1" w:styleId="CGCBulletlistChar">
    <w:name w:val="CGC Bullet list Char"/>
    <w:aliases w:val="CGC List 1 Char,CGC Bullet list Char1"/>
    <w:basedOn w:val="DefaultParagraphFont"/>
    <w:locked/>
    <w:rsid w:val="0098468C"/>
    <w:rPr>
      <w:sz w:val="24"/>
      <w:szCs w:val="20"/>
    </w:rPr>
  </w:style>
  <w:style w:type="paragraph" w:styleId="Revision">
    <w:name w:val="Revision"/>
    <w:hidden/>
    <w:uiPriority w:val="99"/>
    <w:semiHidden/>
    <w:rsid w:val="007E7C1F"/>
    <w:pPr>
      <w:spacing w:after="0" w:line="240" w:lineRule="auto"/>
    </w:pPr>
    <w:rPr>
      <w:sz w:val="24"/>
    </w:rPr>
  </w:style>
  <w:style w:type="character" w:styleId="PlaceholderText">
    <w:name w:val="Placeholder Text"/>
    <w:basedOn w:val="DefaultParagraphFont"/>
    <w:uiPriority w:val="99"/>
    <w:semiHidden/>
    <w:rsid w:val="00A801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toc 4" w:uiPriority="39"/>
    <w:lsdException w:name="footer" w:uiPriority="99"/>
    <w:lsdException w:name="footnote reference" w:qFormat="1"/>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 w:type="character" w:customStyle="1" w:styleId="CGCTableFootnoteChar">
    <w:name w:val="CGC Table Footnote Char"/>
    <w:basedOn w:val="DefaultParagraphFont"/>
    <w:link w:val="CGCTableFootnote"/>
    <w:rsid w:val="000E70A3"/>
    <w:rPr>
      <w:sz w:val="20"/>
      <w:szCs w:val="24"/>
    </w:rPr>
  </w:style>
  <w:style w:type="character" w:customStyle="1" w:styleId="CGCTableHeadingChar">
    <w:name w:val="CGC Table Heading Char"/>
    <w:basedOn w:val="DefaultParagraphFont"/>
    <w:link w:val="CGCTableHeading"/>
    <w:rsid w:val="000E70A3"/>
    <w:rPr>
      <w:b/>
      <w:sz w:val="24"/>
      <w:szCs w:val="20"/>
    </w:rPr>
  </w:style>
  <w:style w:type="character" w:customStyle="1" w:styleId="CGCTableStubChar">
    <w:name w:val="CGC Table Stub Char"/>
    <w:basedOn w:val="DefaultParagraphFont"/>
    <w:link w:val="CGCTableStub"/>
    <w:rsid w:val="000E70A3"/>
    <w:rPr>
      <w:sz w:val="20"/>
      <w:szCs w:val="20"/>
    </w:rPr>
  </w:style>
  <w:style w:type="character" w:customStyle="1" w:styleId="CGCBulletlistChar">
    <w:name w:val="CGC Bullet list Char"/>
    <w:aliases w:val="CGC List 1 Char,CGC Bullet list Char1"/>
    <w:basedOn w:val="DefaultParagraphFont"/>
    <w:locked/>
    <w:rsid w:val="0098468C"/>
    <w:rPr>
      <w:sz w:val="24"/>
      <w:szCs w:val="20"/>
    </w:rPr>
  </w:style>
  <w:style w:type="paragraph" w:styleId="Revision">
    <w:name w:val="Revision"/>
    <w:hidden/>
    <w:uiPriority w:val="99"/>
    <w:semiHidden/>
    <w:rsid w:val="007E7C1F"/>
    <w:pPr>
      <w:spacing w:after="0" w:line="240" w:lineRule="auto"/>
    </w:pPr>
    <w:rPr>
      <w:sz w:val="24"/>
    </w:rPr>
  </w:style>
  <w:style w:type="character" w:styleId="PlaceholderText">
    <w:name w:val="Placeholder Text"/>
    <w:basedOn w:val="DefaultParagraphFont"/>
    <w:uiPriority w:val="99"/>
    <w:semiHidden/>
    <w:rsid w:val="00A801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70866">
      <w:bodyDiv w:val="1"/>
      <w:marLeft w:val="0"/>
      <w:marRight w:val="0"/>
      <w:marTop w:val="0"/>
      <w:marBottom w:val="0"/>
      <w:divBdr>
        <w:top w:val="none" w:sz="0" w:space="0" w:color="auto"/>
        <w:left w:val="none" w:sz="0" w:space="0" w:color="auto"/>
        <w:bottom w:val="none" w:sz="0" w:space="0" w:color="auto"/>
        <w:right w:val="none" w:sz="0" w:space="0" w:color="auto"/>
      </w:divBdr>
    </w:div>
    <w:div w:id="361633341">
      <w:bodyDiv w:val="1"/>
      <w:marLeft w:val="0"/>
      <w:marRight w:val="0"/>
      <w:marTop w:val="0"/>
      <w:marBottom w:val="0"/>
      <w:divBdr>
        <w:top w:val="none" w:sz="0" w:space="0" w:color="auto"/>
        <w:left w:val="none" w:sz="0" w:space="0" w:color="auto"/>
        <w:bottom w:val="none" w:sz="0" w:space="0" w:color="auto"/>
        <w:right w:val="none" w:sz="0" w:space="0" w:color="auto"/>
      </w:divBdr>
    </w:div>
    <w:div w:id="523597010">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998508062">
      <w:bodyDiv w:val="1"/>
      <w:marLeft w:val="0"/>
      <w:marRight w:val="0"/>
      <w:marTop w:val="0"/>
      <w:marBottom w:val="0"/>
      <w:divBdr>
        <w:top w:val="none" w:sz="0" w:space="0" w:color="auto"/>
        <w:left w:val="none" w:sz="0" w:space="0" w:color="auto"/>
        <w:bottom w:val="none" w:sz="0" w:space="0" w:color="auto"/>
        <w:right w:val="none" w:sz="0" w:space="0" w:color="auto"/>
      </w:divBdr>
    </w:div>
    <w:div w:id="1097286357">
      <w:bodyDiv w:val="1"/>
      <w:marLeft w:val="0"/>
      <w:marRight w:val="0"/>
      <w:marTop w:val="0"/>
      <w:marBottom w:val="0"/>
      <w:divBdr>
        <w:top w:val="none" w:sz="0" w:space="0" w:color="auto"/>
        <w:left w:val="none" w:sz="0" w:space="0" w:color="auto"/>
        <w:bottom w:val="none" w:sz="0" w:space="0" w:color="auto"/>
        <w:right w:val="none" w:sz="0" w:space="0" w:color="auto"/>
      </w:divBdr>
    </w:div>
    <w:div w:id="1358383974">
      <w:bodyDiv w:val="1"/>
      <w:marLeft w:val="0"/>
      <w:marRight w:val="0"/>
      <w:marTop w:val="0"/>
      <w:marBottom w:val="0"/>
      <w:divBdr>
        <w:top w:val="none" w:sz="0" w:space="0" w:color="auto"/>
        <w:left w:val="none" w:sz="0" w:space="0" w:color="auto"/>
        <w:bottom w:val="none" w:sz="0" w:space="0" w:color="auto"/>
        <w:right w:val="none" w:sz="0" w:space="0" w:color="auto"/>
      </w:divBdr>
    </w:div>
    <w:div w:id="1487745302">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6539311">
      <w:bodyDiv w:val="1"/>
      <w:marLeft w:val="0"/>
      <w:marRight w:val="0"/>
      <w:marTop w:val="0"/>
      <w:marBottom w:val="0"/>
      <w:divBdr>
        <w:top w:val="none" w:sz="0" w:space="0" w:color="auto"/>
        <w:left w:val="none" w:sz="0" w:space="0" w:color="auto"/>
        <w:bottom w:val="none" w:sz="0" w:space="0" w:color="auto"/>
        <w:right w:val="none" w:sz="0" w:space="0" w:color="auto"/>
      </w:divBdr>
    </w:div>
    <w:div w:id="167911922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88449528">
      <w:bodyDiv w:val="1"/>
      <w:marLeft w:val="0"/>
      <w:marRight w:val="0"/>
      <w:marTop w:val="0"/>
      <w:marBottom w:val="0"/>
      <w:divBdr>
        <w:top w:val="none" w:sz="0" w:space="0" w:color="auto"/>
        <w:left w:val="none" w:sz="0" w:space="0" w:color="auto"/>
        <w:bottom w:val="none" w:sz="0" w:space="0" w:color="auto"/>
        <w:right w:val="none" w:sz="0" w:space="0" w:color="auto"/>
      </w:divBdr>
    </w:div>
    <w:div w:id="21160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y@cgc.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7117-0B7D-438B-9920-B7AD52CA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8727</Words>
  <Characters>50727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2018-04-18T02:11:00Z</dcterms:created>
  <dcterms:modified xsi:type="dcterms:W3CDTF">2018-04-18T02:14:00Z</dcterms:modified>
</cp:coreProperties>
</file>