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ED2" w:rsidRPr="00970E6D" w:rsidRDefault="00067ED2" w:rsidP="00067ED2">
      <w:pPr>
        <w:tabs>
          <w:tab w:val="clear" w:pos="567"/>
        </w:tabs>
        <w:jc w:val="center"/>
        <w:rPr>
          <w:b/>
          <w:bCs/>
        </w:rPr>
      </w:pPr>
      <w:bookmarkStart w:id="0" w:name="_GoBack"/>
      <w:bookmarkEnd w:id="0"/>
      <w:r w:rsidRPr="00970E6D">
        <w:rPr>
          <w:noProof/>
          <w:lang w:eastAsia="en-AU"/>
        </w:rPr>
        <w:drawing>
          <wp:inline distT="0" distB="0" distL="0" distR="0" wp14:anchorId="703AC098" wp14:editId="18FB7E48">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2F4DF8" w:rsidP="00067ED2">
      <w:pPr>
        <w:tabs>
          <w:tab w:val="clear" w:pos="567"/>
        </w:tabs>
        <w:jc w:val="center"/>
        <w:rPr>
          <w:bCs/>
          <w:sz w:val="40"/>
          <w:szCs w:val="40"/>
        </w:rPr>
      </w:pPr>
      <w:r>
        <w:rPr>
          <w:b/>
          <w:sz w:val="40"/>
          <w:szCs w:val="40"/>
        </w:rPr>
        <w:t>WAGE COSTS</w:t>
      </w: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384BF3" w:rsidP="00067ED2">
      <w:pPr>
        <w:tabs>
          <w:tab w:val="clear" w:pos="567"/>
        </w:tabs>
        <w:jc w:val="center"/>
        <w:rPr>
          <w:b/>
          <w:sz w:val="40"/>
          <w:szCs w:val="40"/>
        </w:rPr>
      </w:pPr>
      <w:r>
        <w:rPr>
          <w:b/>
          <w:sz w:val="40"/>
          <w:szCs w:val="40"/>
        </w:rPr>
        <w:t xml:space="preserve">STAFF </w:t>
      </w:r>
      <w:r w:rsidR="00067ED2">
        <w:rPr>
          <w:b/>
          <w:sz w:val="40"/>
          <w:szCs w:val="40"/>
        </w:rPr>
        <w:t>DRAFT ASSESSMENT PAPER</w:t>
      </w:r>
      <w:r w:rsidR="00067ED2">
        <w:rPr>
          <w:b/>
          <w:sz w:val="40"/>
          <w:szCs w:val="40"/>
        </w:rPr>
        <w:br/>
        <w:t>CGC 20</w:t>
      </w:r>
      <w:r w:rsidR="00067ED2" w:rsidRPr="00970E6D">
        <w:rPr>
          <w:b/>
          <w:sz w:val="40"/>
          <w:szCs w:val="40"/>
        </w:rPr>
        <w:t>1</w:t>
      </w:r>
      <w:r w:rsidR="00067ED2">
        <w:rPr>
          <w:b/>
          <w:sz w:val="40"/>
          <w:szCs w:val="40"/>
        </w:rPr>
        <w:t>8</w:t>
      </w:r>
      <w:r w:rsidR="00067ED2" w:rsidRPr="00970E6D">
        <w:rPr>
          <w:b/>
          <w:sz w:val="40"/>
          <w:szCs w:val="40"/>
        </w:rPr>
        <w:t>-</w:t>
      </w:r>
      <w:r w:rsidR="00067ED2">
        <w:rPr>
          <w:b/>
          <w:sz w:val="40"/>
          <w:szCs w:val="40"/>
        </w:rPr>
        <w:t>01/</w:t>
      </w:r>
      <w:r w:rsidR="00913B71">
        <w:rPr>
          <w:b/>
          <w:sz w:val="40"/>
          <w:szCs w:val="40"/>
        </w:rPr>
        <w:t>2</w:t>
      </w:r>
      <w:r w:rsidR="00C45982">
        <w:rPr>
          <w:b/>
          <w:sz w:val="40"/>
          <w:szCs w:val="40"/>
        </w:rPr>
        <w:t>2</w:t>
      </w:r>
      <w:r w:rsidR="00067ED2">
        <w:rPr>
          <w:b/>
          <w:sz w:val="40"/>
          <w:szCs w:val="40"/>
        </w:rPr>
        <w:t>-S</w:t>
      </w: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b/>
          <w:sz w:val="40"/>
          <w:szCs w:val="40"/>
        </w:rPr>
      </w:pPr>
    </w:p>
    <w:p w:rsidR="00067ED2" w:rsidRPr="00970E6D" w:rsidRDefault="00067ED2" w:rsidP="00067ED2">
      <w:pPr>
        <w:tabs>
          <w:tab w:val="clear" w:pos="567"/>
        </w:tabs>
        <w:jc w:val="center"/>
        <w:rPr>
          <w:sz w:val="40"/>
          <w:szCs w:val="40"/>
        </w:rPr>
      </w:pPr>
    </w:p>
    <w:p w:rsidR="00067ED2" w:rsidRPr="00970E6D" w:rsidRDefault="00067ED2" w:rsidP="00067ED2">
      <w:pPr>
        <w:tabs>
          <w:tab w:val="clear" w:pos="567"/>
        </w:tabs>
        <w:jc w:val="right"/>
        <w:rPr>
          <w:b/>
          <w:sz w:val="28"/>
          <w:szCs w:val="28"/>
        </w:rPr>
      </w:pPr>
      <w:r>
        <w:rPr>
          <w:b/>
          <w:sz w:val="28"/>
          <w:szCs w:val="28"/>
        </w:rPr>
        <w:t>APRIL 2018</w:t>
      </w:r>
    </w:p>
    <w:p w:rsidR="00067ED2" w:rsidRPr="00970E6D" w:rsidRDefault="00067ED2" w:rsidP="00067ED2">
      <w:pPr>
        <w:tabs>
          <w:tab w:val="clear" w:pos="567"/>
        </w:tabs>
      </w:pPr>
    </w:p>
    <w:p w:rsidR="00067ED2" w:rsidRPr="00970E6D" w:rsidRDefault="00067ED2" w:rsidP="00067ED2">
      <w:pPr>
        <w:tabs>
          <w:tab w:val="clear" w:pos="567"/>
        </w:tabs>
        <w:sectPr w:rsidR="00067ED2" w:rsidRPr="00970E6D" w:rsidSect="0032676A">
          <w:footerReference w:type="default" r:id="rId10"/>
          <w:footerReference w:type="first" r:id="rId11"/>
          <w:pgSz w:w="11899" w:h="16838" w:code="9"/>
          <w:pgMar w:top="1701" w:right="1474" w:bottom="1701" w:left="1474" w:header="709" w:footer="709" w:gutter="0"/>
          <w:cols w:space="708"/>
          <w:titlePg/>
          <w:docGrid w:linePitch="299"/>
        </w:sectPr>
      </w:pPr>
    </w:p>
    <w:p w:rsidR="00067ED2" w:rsidRDefault="00067ED2" w:rsidP="00067ED2">
      <w:pPr>
        <w:tabs>
          <w:tab w:val="clear" w:pos="567"/>
        </w:tabs>
      </w:pPr>
    </w:p>
    <w:p w:rsidR="00067ED2" w:rsidRDefault="00067ED2" w:rsidP="00067ED2">
      <w:pPr>
        <w:tabs>
          <w:tab w:val="clear" w:pos="567"/>
        </w:tabs>
      </w:pPr>
    </w:p>
    <w:p w:rsidR="00067ED2" w:rsidRDefault="00067ED2" w:rsidP="00067ED2">
      <w:pPr>
        <w:tabs>
          <w:tab w:val="clear" w:pos="567"/>
        </w:tabs>
      </w:pPr>
    </w:p>
    <w:p w:rsidR="00067ED2" w:rsidRDefault="00067ED2" w:rsidP="00067ED2">
      <w:pPr>
        <w:tabs>
          <w:tab w:val="clear" w:pos="567"/>
        </w:tabs>
      </w:pPr>
    </w:p>
    <w:p w:rsidR="00067ED2" w:rsidRDefault="00067ED2" w:rsidP="00067ED2">
      <w:pPr>
        <w:tabs>
          <w:tab w:val="clear" w:pos="567"/>
        </w:tabs>
      </w:pPr>
    </w:p>
    <w:p w:rsidR="00E3723A" w:rsidRDefault="00E3723A" w:rsidP="00067ED2">
      <w:pPr>
        <w:tabs>
          <w:tab w:val="clear" w:pos="567"/>
        </w:tabs>
      </w:pPr>
    </w:p>
    <w:p w:rsidR="00E3723A" w:rsidRDefault="00E3723A" w:rsidP="00067ED2">
      <w:pPr>
        <w:tabs>
          <w:tab w:val="clear" w:pos="567"/>
        </w:tabs>
      </w:pPr>
    </w:p>
    <w:p w:rsidR="00E3723A" w:rsidRDefault="00E3723A" w:rsidP="00067ED2">
      <w:pPr>
        <w:tabs>
          <w:tab w:val="clear" w:pos="567"/>
        </w:tabs>
      </w:pPr>
    </w:p>
    <w:p w:rsidR="00E3723A" w:rsidRDefault="00E3723A" w:rsidP="00067ED2">
      <w:pPr>
        <w:tabs>
          <w:tab w:val="clear" w:pos="567"/>
        </w:tabs>
      </w:pPr>
    </w:p>
    <w:p w:rsidR="00E3723A" w:rsidRDefault="00E3723A" w:rsidP="00067ED2">
      <w:pPr>
        <w:tabs>
          <w:tab w:val="clear" w:pos="567"/>
        </w:tabs>
      </w:pPr>
    </w:p>
    <w:p w:rsidR="00E3723A" w:rsidRDefault="00E3723A" w:rsidP="00067ED2">
      <w:pPr>
        <w:tabs>
          <w:tab w:val="clear" w:pos="567"/>
        </w:tabs>
      </w:pPr>
    </w:p>
    <w:p w:rsidR="00E3723A" w:rsidRDefault="00E3723A" w:rsidP="00067ED2">
      <w:pPr>
        <w:tabs>
          <w:tab w:val="clear" w:pos="567"/>
        </w:tabs>
      </w:pPr>
    </w:p>
    <w:p w:rsidR="00E3723A" w:rsidRDefault="00E3723A" w:rsidP="00067ED2">
      <w:pPr>
        <w:tabs>
          <w:tab w:val="clear" w:pos="567"/>
        </w:tabs>
      </w:pPr>
    </w:p>
    <w:p w:rsidR="005261E2" w:rsidRDefault="005261E2" w:rsidP="00067ED2">
      <w:pPr>
        <w:tabs>
          <w:tab w:val="clear" w:pos="567"/>
        </w:tabs>
      </w:pPr>
    </w:p>
    <w:p w:rsidR="00E3723A" w:rsidRDefault="00E3723A" w:rsidP="00067ED2">
      <w:pPr>
        <w:tabs>
          <w:tab w:val="clear" w:pos="567"/>
        </w:tabs>
      </w:pPr>
    </w:p>
    <w:p w:rsidR="00067ED2" w:rsidRDefault="00067ED2" w:rsidP="00067ED2">
      <w:pPr>
        <w:tabs>
          <w:tab w:val="clear" w:pos="567"/>
        </w:tabs>
      </w:pPr>
    </w:p>
    <w:p w:rsidR="00067ED2" w:rsidRPr="00970E6D" w:rsidRDefault="00067ED2" w:rsidP="00067ED2">
      <w:pPr>
        <w:tabs>
          <w:tab w:val="clear" w:pos="567"/>
        </w:tabs>
      </w:pPr>
    </w:p>
    <w:tbl>
      <w:tblPr>
        <w:tblStyle w:val="TableGrid"/>
        <w:tblW w:w="5000" w:type="pct"/>
        <w:tblLook w:val="01E0" w:firstRow="1" w:lastRow="1" w:firstColumn="1" w:lastColumn="1" w:noHBand="0" w:noVBand="0"/>
      </w:tblPr>
      <w:tblGrid>
        <w:gridCol w:w="2943"/>
        <w:gridCol w:w="6224"/>
      </w:tblGrid>
      <w:tr w:rsidR="00067ED2" w:rsidRPr="00970E6D" w:rsidTr="00C803B0">
        <w:tc>
          <w:tcPr>
            <w:tcW w:w="1605" w:type="pct"/>
            <w:tcBorders>
              <w:top w:val="single" w:sz="4" w:space="0" w:color="auto"/>
              <w:left w:val="single" w:sz="4" w:space="0" w:color="auto"/>
              <w:bottom w:val="single" w:sz="4" w:space="0" w:color="auto"/>
              <w:right w:val="single" w:sz="4" w:space="0" w:color="auto"/>
            </w:tcBorders>
          </w:tcPr>
          <w:p w:rsidR="00067ED2" w:rsidRPr="00970E6D" w:rsidRDefault="00067ED2" w:rsidP="00C803B0">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067ED2" w:rsidRPr="00970E6D" w:rsidRDefault="00AD1138" w:rsidP="00AD1138">
            <w:pPr>
              <w:tabs>
                <w:tab w:val="clear" w:pos="567"/>
              </w:tabs>
            </w:pPr>
            <w:r>
              <w:t>20</w:t>
            </w:r>
            <w:r w:rsidR="00067ED2" w:rsidRPr="00970E6D">
              <w:t xml:space="preserve"> </w:t>
            </w:r>
            <w:r w:rsidR="00067ED2">
              <w:t>April</w:t>
            </w:r>
            <w:r w:rsidR="00067ED2" w:rsidRPr="00970E6D">
              <w:t xml:space="preserve"> 20</w:t>
            </w:r>
            <w:r w:rsidR="00067ED2">
              <w:t>18</w:t>
            </w:r>
          </w:p>
        </w:tc>
      </w:tr>
      <w:tr w:rsidR="00067ED2" w:rsidRPr="00970E6D" w:rsidTr="00C803B0">
        <w:tc>
          <w:tcPr>
            <w:tcW w:w="1605" w:type="pct"/>
            <w:tcBorders>
              <w:top w:val="single" w:sz="4" w:space="0" w:color="auto"/>
              <w:left w:val="single" w:sz="4" w:space="0" w:color="auto"/>
              <w:bottom w:val="single" w:sz="4" w:space="0" w:color="auto"/>
              <w:right w:val="single" w:sz="4" w:space="0" w:color="auto"/>
            </w:tcBorders>
          </w:tcPr>
          <w:p w:rsidR="00067ED2" w:rsidRPr="00970E6D" w:rsidRDefault="00067ED2" w:rsidP="00C803B0">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067ED2" w:rsidRPr="00970E6D" w:rsidRDefault="00067ED2" w:rsidP="00067ED2">
            <w:pPr>
              <w:tabs>
                <w:tab w:val="clear" w:pos="567"/>
              </w:tabs>
            </w:pPr>
            <w:r>
              <w:t xml:space="preserve">Morgan Moa, 6229 8826, </w:t>
            </w:r>
            <w:hyperlink r:id="rId12" w:history="1">
              <w:r w:rsidRPr="00435D2C">
                <w:rPr>
                  <w:rStyle w:val="Hyperlink"/>
                </w:rPr>
                <w:t>morgan.moa@cgc.gov.au</w:t>
              </w:r>
            </w:hyperlink>
            <w:r>
              <w:t xml:space="preserve"> </w:t>
            </w:r>
          </w:p>
        </w:tc>
      </w:tr>
      <w:tr w:rsidR="00067ED2" w:rsidRPr="00970E6D" w:rsidTr="00C803B0">
        <w:tc>
          <w:tcPr>
            <w:tcW w:w="1605" w:type="pct"/>
            <w:tcBorders>
              <w:top w:val="single" w:sz="4" w:space="0" w:color="auto"/>
              <w:left w:val="single" w:sz="4" w:space="0" w:color="auto"/>
              <w:bottom w:val="single" w:sz="4" w:space="0" w:color="auto"/>
              <w:right w:val="single" w:sz="4" w:space="0" w:color="auto"/>
            </w:tcBorders>
          </w:tcPr>
          <w:p w:rsidR="00067ED2" w:rsidRPr="00970E6D" w:rsidRDefault="00067ED2" w:rsidP="00C803B0">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5261E2" w:rsidRDefault="00AD1138" w:rsidP="00C803B0">
            <w:pPr>
              <w:tabs>
                <w:tab w:val="clear" w:pos="567"/>
              </w:tabs>
            </w:pPr>
            <w:r>
              <w:t>31 August 2018</w:t>
            </w:r>
            <w:r w:rsidR="00067ED2" w:rsidRPr="00970E6D">
              <w:t xml:space="preserve">. </w:t>
            </w:r>
          </w:p>
          <w:p w:rsidR="00067ED2" w:rsidRPr="00970E6D" w:rsidRDefault="00067ED2" w:rsidP="00C803B0">
            <w:pPr>
              <w:tabs>
                <w:tab w:val="clear" w:pos="567"/>
              </w:tabs>
            </w:pPr>
            <w:r w:rsidRPr="00970E6D">
              <w:t xml:space="preserve">Submissions should be emailed in Word format to </w:t>
            </w:r>
            <w:hyperlink r:id="rId13" w:history="1">
              <w:r w:rsidRPr="00970E6D">
                <w:rPr>
                  <w:rStyle w:val="Hyperlink"/>
                </w:rPr>
                <w:t>secretary@cgc.gov.au</w:t>
              </w:r>
            </w:hyperlink>
            <w:r w:rsidRPr="00970E6D">
              <w:t xml:space="preserve"> .</w:t>
            </w:r>
          </w:p>
          <w:p w:rsidR="00067ED2" w:rsidRPr="00970E6D" w:rsidRDefault="00067ED2" w:rsidP="00C803B0">
            <w:pPr>
              <w:tabs>
                <w:tab w:val="clear" w:pos="567"/>
              </w:tabs>
            </w:pPr>
            <w:r w:rsidRPr="00970E6D">
              <w:t xml:space="preserve">Submissions of more than </w:t>
            </w:r>
            <w:r>
              <w:t>10</w:t>
            </w:r>
            <w:r w:rsidRPr="00970E6D">
              <w:t xml:space="preserve"> pages in length should include a summary section.</w:t>
            </w:r>
          </w:p>
        </w:tc>
      </w:tr>
      <w:tr w:rsidR="00067ED2" w:rsidRPr="00970E6D" w:rsidTr="00C803B0">
        <w:tc>
          <w:tcPr>
            <w:tcW w:w="1605" w:type="pct"/>
            <w:tcBorders>
              <w:top w:val="single" w:sz="4" w:space="0" w:color="auto"/>
              <w:left w:val="single" w:sz="4" w:space="0" w:color="auto"/>
              <w:bottom w:val="single" w:sz="4" w:space="0" w:color="auto"/>
              <w:right w:val="single" w:sz="4" w:space="0" w:color="auto"/>
            </w:tcBorders>
          </w:tcPr>
          <w:p w:rsidR="00067ED2" w:rsidRPr="00970E6D" w:rsidRDefault="00067ED2" w:rsidP="00C803B0">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067ED2" w:rsidRPr="00CF1294" w:rsidRDefault="00067ED2" w:rsidP="00C803B0">
            <w:pPr>
              <w:tabs>
                <w:tab w:val="clear" w:pos="567"/>
              </w:tabs>
            </w:pPr>
            <w:r w:rsidRPr="00CF1294">
              <w:t xml:space="preserve">It is the </w:t>
            </w:r>
            <w:r>
              <w:t>C</w:t>
            </w:r>
            <w:r w:rsidRPr="00CF1294">
              <w:t xml:space="preserve">ommission’s normal practice to make State submissions available on its website under the CC BY licence, allowing free use of content by third parties. </w:t>
            </w:r>
          </w:p>
          <w:p w:rsidR="00067ED2" w:rsidRPr="00CF1294" w:rsidRDefault="00067ED2" w:rsidP="00C803B0">
            <w:pPr>
              <w:tabs>
                <w:tab w:val="clear" w:pos="567"/>
              </w:tabs>
            </w:pPr>
            <w:r w:rsidRPr="00CF1294">
              <w:rPr>
                <w:noProof/>
                <w:lang w:eastAsia="en-AU"/>
              </w:rPr>
              <w:drawing>
                <wp:inline distT="0" distB="0" distL="0" distR="0" wp14:anchorId="42A1BBDC" wp14:editId="51B0B0A7">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067ED2" w:rsidRPr="00CF1294" w:rsidRDefault="00067ED2" w:rsidP="00C803B0">
            <w:pPr>
              <w:tabs>
                <w:tab w:val="clear" w:pos="567"/>
              </w:tabs>
            </w:pPr>
            <w:r w:rsidRPr="00CF1294">
              <w:t xml:space="preserve">Further information on the CC BY licence can be found </w:t>
            </w:r>
            <w:r w:rsidRPr="00EC79CF">
              <w:t xml:space="preserve">on the </w:t>
            </w:r>
            <w:hyperlink r:id="rId15"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067ED2" w:rsidRPr="00970E6D" w:rsidRDefault="00067ED2" w:rsidP="00AD1138">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AD1138">
              <w:t>C</w:t>
            </w:r>
            <w:r w:rsidRPr="00CF1294">
              <w:t>ommission’s website.</w:t>
            </w:r>
          </w:p>
        </w:tc>
      </w:tr>
    </w:tbl>
    <w:p w:rsidR="00E3723A" w:rsidRDefault="00E3723A">
      <w:pPr>
        <w:tabs>
          <w:tab w:val="clear" w:pos="567"/>
        </w:tabs>
        <w:spacing w:after="200" w:line="276" w:lineRule="auto"/>
        <w:sectPr w:rsidR="00E3723A" w:rsidSect="00E3723A">
          <w:footerReference w:type="default" r:id="rId16"/>
          <w:footerReference w:type="first" r:id="rId17"/>
          <w:pgSz w:w="11899" w:h="16838" w:code="9"/>
          <w:pgMar w:top="1701" w:right="1474" w:bottom="1701" w:left="1474" w:header="709" w:footer="709" w:gutter="0"/>
          <w:pgNumType w:start="1"/>
          <w:cols w:space="708"/>
          <w:docGrid w:linePitch="326"/>
        </w:sectPr>
      </w:pPr>
    </w:p>
    <w:p w:rsidR="00E3723A" w:rsidRDefault="00E3723A" w:rsidP="00E3723A">
      <w:pPr>
        <w:pStyle w:val="Heading1"/>
      </w:pPr>
      <w:r>
        <w:lastRenderedPageBreak/>
        <w:t>Contents</w:t>
      </w:r>
    </w:p>
    <w:p w:rsidR="00384BF3" w:rsidRDefault="00E3723A">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636309" w:history="1"/>
    </w:p>
    <w:p w:rsidR="00384BF3" w:rsidRDefault="000350A2">
      <w:pPr>
        <w:pStyle w:val="TOC1"/>
        <w:rPr>
          <w:rFonts w:eastAsiaTheme="minorEastAsia"/>
          <w:b w:val="0"/>
          <w:bCs w:val="0"/>
          <w:caps w:val="0"/>
          <w:noProof/>
          <w:sz w:val="22"/>
          <w:szCs w:val="22"/>
          <w:lang w:eastAsia="en-AU"/>
        </w:rPr>
      </w:pPr>
      <w:hyperlink w:anchor="_Toc511636310" w:history="1">
        <w:r w:rsidR="00384BF3" w:rsidRPr="009D24AB">
          <w:rPr>
            <w:rStyle w:val="Hyperlink"/>
            <w:noProof/>
          </w:rPr>
          <w:t>2015 Review approach</w:t>
        </w:r>
        <w:r w:rsidR="00384BF3">
          <w:rPr>
            <w:noProof/>
            <w:webHidden/>
          </w:rPr>
          <w:tab/>
        </w:r>
        <w:r w:rsidR="00384BF3">
          <w:rPr>
            <w:noProof/>
            <w:webHidden/>
          </w:rPr>
          <w:fldChar w:fldCharType="begin"/>
        </w:r>
        <w:r w:rsidR="00384BF3">
          <w:rPr>
            <w:noProof/>
            <w:webHidden/>
          </w:rPr>
          <w:instrText xml:space="preserve"> PAGEREF _Toc511636310 \h </w:instrText>
        </w:r>
        <w:r w:rsidR="00384BF3">
          <w:rPr>
            <w:noProof/>
            <w:webHidden/>
          </w:rPr>
        </w:r>
        <w:r w:rsidR="00384BF3">
          <w:rPr>
            <w:noProof/>
            <w:webHidden/>
          </w:rPr>
          <w:fldChar w:fldCharType="separate"/>
        </w:r>
        <w:r w:rsidR="00D6244E">
          <w:rPr>
            <w:noProof/>
            <w:webHidden/>
          </w:rPr>
          <w:t>1</w:t>
        </w:r>
        <w:r w:rsidR="00384BF3">
          <w:rPr>
            <w:noProof/>
            <w:webHidden/>
          </w:rPr>
          <w:fldChar w:fldCharType="end"/>
        </w:r>
      </w:hyperlink>
    </w:p>
    <w:p w:rsidR="00384BF3" w:rsidRDefault="000350A2">
      <w:pPr>
        <w:pStyle w:val="TOC3"/>
        <w:rPr>
          <w:rFonts w:eastAsiaTheme="minorEastAsia"/>
          <w:iCs w:val="0"/>
          <w:caps w:val="0"/>
          <w:noProof/>
          <w:sz w:val="22"/>
          <w:lang w:eastAsia="en-AU"/>
        </w:rPr>
      </w:pPr>
      <w:hyperlink w:anchor="_Toc511636311" w:history="1">
        <w:r w:rsidR="00384BF3" w:rsidRPr="009D24AB">
          <w:rPr>
            <w:rStyle w:val="Hyperlink"/>
            <w:caps w:val="0"/>
            <w:noProof/>
          </w:rPr>
          <w:t>G</w:t>
        </w:r>
        <w:r w:rsidR="00384BF3">
          <w:rPr>
            <w:rStyle w:val="Hyperlink"/>
            <w:caps w:val="0"/>
            <w:noProof/>
          </w:rPr>
          <w:t>ST</w:t>
        </w:r>
        <w:r w:rsidR="00384BF3" w:rsidRPr="009D24AB">
          <w:rPr>
            <w:rStyle w:val="Hyperlink"/>
            <w:caps w:val="0"/>
            <w:noProof/>
          </w:rPr>
          <w:t xml:space="preserve"> redistribution</w:t>
        </w:r>
        <w:r w:rsidR="00384BF3">
          <w:rPr>
            <w:noProof/>
            <w:webHidden/>
          </w:rPr>
          <w:tab/>
        </w:r>
        <w:r w:rsidR="00384BF3">
          <w:rPr>
            <w:noProof/>
            <w:webHidden/>
          </w:rPr>
          <w:fldChar w:fldCharType="begin"/>
        </w:r>
        <w:r w:rsidR="00384BF3">
          <w:rPr>
            <w:noProof/>
            <w:webHidden/>
          </w:rPr>
          <w:instrText xml:space="preserve"> PAGEREF _Toc511636311 \h </w:instrText>
        </w:r>
        <w:r w:rsidR="00384BF3">
          <w:rPr>
            <w:noProof/>
            <w:webHidden/>
          </w:rPr>
        </w:r>
        <w:r w:rsidR="00384BF3">
          <w:rPr>
            <w:noProof/>
            <w:webHidden/>
          </w:rPr>
          <w:fldChar w:fldCharType="separate"/>
        </w:r>
        <w:r w:rsidR="00D6244E">
          <w:rPr>
            <w:noProof/>
            <w:webHidden/>
          </w:rPr>
          <w:t>4</w:t>
        </w:r>
        <w:r w:rsidR="00384BF3">
          <w:rPr>
            <w:noProof/>
            <w:webHidden/>
          </w:rPr>
          <w:fldChar w:fldCharType="end"/>
        </w:r>
      </w:hyperlink>
    </w:p>
    <w:p w:rsidR="00384BF3" w:rsidRDefault="000350A2">
      <w:pPr>
        <w:pStyle w:val="TOC1"/>
        <w:rPr>
          <w:rFonts w:eastAsiaTheme="minorEastAsia"/>
          <w:b w:val="0"/>
          <w:bCs w:val="0"/>
          <w:caps w:val="0"/>
          <w:noProof/>
          <w:sz w:val="22"/>
          <w:szCs w:val="22"/>
          <w:lang w:eastAsia="en-AU"/>
        </w:rPr>
      </w:pPr>
      <w:hyperlink w:anchor="_Toc511636312" w:history="1">
        <w:r w:rsidR="00384BF3" w:rsidRPr="009D24AB">
          <w:rPr>
            <w:rStyle w:val="Hyperlink"/>
            <w:noProof/>
          </w:rPr>
          <w:t>Issues and analysis</w:t>
        </w:r>
        <w:r w:rsidR="00384BF3">
          <w:rPr>
            <w:noProof/>
            <w:webHidden/>
          </w:rPr>
          <w:tab/>
        </w:r>
        <w:r w:rsidR="00384BF3">
          <w:rPr>
            <w:noProof/>
            <w:webHidden/>
          </w:rPr>
          <w:fldChar w:fldCharType="begin"/>
        </w:r>
        <w:r w:rsidR="00384BF3">
          <w:rPr>
            <w:noProof/>
            <w:webHidden/>
          </w:rPr>
          <w:instrText xml:space="preserve"> PAGEREF _Toc511636312 \h </w:instrText>
        </w:r>
        <w:r w:rsidR="00384BF3">
          <w:rPr>
            <w:noProof/>
            <w:webHidden/>
          </w:rPr>
        </w:r>
        <w:r w:rsidR="00384BF3">
          <w:rPr>
            <w:noProof/>
            <w:webHidden/>
          </w:rPr>
          <w:fldChar w:fldCharType="separate"/>
        </w:r>
        <w:r w:rsidR="00D6244E">
          <w:rPr>
            <w:noProof/>
            <w:webHidden/>
          </w:rPr>
          <w:t>4</w:t>
        </w:r>
        <w:r w:rsidR="00384BF3">
          <w:rPr>
            <w:noProof/>
            <w:webHidden/>
          </w:rPr>
          <w:fldChar w:fldCharType="end"/>
        </w:r>
      </w:hyperlink>
    </w:p>
    <w:p w:rsidR="00384BF3" w:rsidRDefault="000350A2">
      <w:pPr>
        <w:pStyle w:val="TOC3"/>
        <w:rPr>
          <w:rFonts w:eastAsiaTheme="minorEastAsia"/>
          <w:iCs w:val="0"/>
          <w:caps w:val="0"/>
          <w:noProof/>
          <w:sz w:val="22"/>
          <w:lang w:eastAsia="en-AU"/>
        </w:rPr>
      </w:pPr>
      <w:hyperlink w:anchor="_Toc511636313" w:history="1">
        <w:r w:rsidR="00384BF3" w:rsidRPr="009D24AB">
          <w:rPr>
            <w:rStyle w:val="Hyperlink"/>
            <w:caps w:val="0"/>
            <w:noProof/>
          </w:rPr>
          <w:t>Recommendations</w:t>
        </w:r>
        <w:r w:rsidR="00384BF3">
          <w:rPr>
            <w:noProof/>
            <w:webHidden/>
          </w:rPr>
          <w:tab/>
        </w:r>
        <w:r w:rsidR="00384BF3">
          <w:rPr>
            <w:noProof/>
            <w:webHidden/>
          </w:rPr>
          <w:fldChar w:fldCharType="begin"/>
        </w:r>
        <w:r w:rsidR="00384BF3">
          <w:rPr>
            <w:noProof/>
            <w:webHidden/>
          </w:rPr>
          <w:instrText xml:space="preserve"> PAGEREF _Toc511636313 \h </w:instrText>
        </w:r>
        <w:r w:rsidR="00384BF3">
          <w:rPr>
            <w:noProof/>
            <w:webHidden/>
          </w:rPr>
        </w:r>
        <w:r w:rsidR="00384BF3">
          <w:rPr>
            <w:noProof/>
            <w:webHidden/>
          </w:rPr>
          <w:fldChar w:fldCharType="separate"/>
        </w:r>
        <w:r w:rsidR="00D6244E">
          <w:rPr>
            <w:noProof/>
            <w:webHidden/>
          </w:rPr>
          <w:t>4</w:t>
        </w:r>
        <w:r w:rsidR="00384BF3">
          <w:rPr>
            <w:noProof/>
            <w:webHidden/>
          </w:rPr>
          <w:fldChar w:fldCharType="end"/>
        </w:r>
      </w:hyperlink>
    </w:p>
    <w:p w:rsidR="00384BF3" w:rsidRDefault="000350A2">
      <w:pPr>
        <w:pStyle w:val="TOC3"/>
        <w:rPr>
          <w:rFonts w:eastAsiaTheme="minorEastAsia"/>
          <w:iCs w:val="0"/>
          <w:caps w:val="0"/>
          <w:noProof/>
          <w:sz w:val="22"/>
          <w:lang w:eastAsia="en-AU"/>
        </w:rPr>
      </w:pPr>
      <w:hyperlink w:anchor="_Toc511636314" w:history="1">
        <w:r w:rsidR="00384BF3" w:rsidRPr="009D24AB">
          <w:rPr>
            <w:rStyle w:val="Hyperlink"/>
            <w:caps w:val="0"/>
            <w:noProof/>
          </w:rPr>
          <w:t>Other issues considered</w:t>
        </w:r>
        <w:r w:rsidR="00384BF3">
          <w:rPr>
            <w:noProof/>
            <w:webHidden/>
          </w:rPr>
          <w:tab/>
        </w:r>
        <w:r w:rsidR="00384BF3">
          <w:rPr>
            <w:noProof/>
            <w:webHidden/>
          </w:rPr>
          <w:fldChar w:fldCharType="begin"/>
        </w:r>
        <w:r w:rsidR="00384BF3">
          <w:rPr>
            <w:noProof/>
            <w:webHidden/>
          </w:rPr>
          <w:instrText xml:space="preserve"> PAGEREF _Toc511636314 \h </w:instrText>
        </w:r>
        <w:r w:rsidR="00384BF3">
          <w:rPr>
            <w:noProof/>
            <w:webHidden/>
          </w:rPr>
        </w:r>
        <w:r w:rsidR="00384BF3">
          <w:rPr>
            <w:noProof/>
            <w:webHidden/>
          </w:rPr>
          <w:fldChar w:fldCharType="separate"/>
        </w:r>
        <w:r w:rsidR="00D6244E">
          <w:rPr>
            <w:noProof/>
            <w:webHidden/>
          </w:rPr>
          <w:t>4</w:t>
        </w:r>
        <w:r w:rsidR="00384BF3">
          <w:rPr>
            <w:noProof/>
            <w:webHidden/>
          </w:rPr>
          <w:fldChar w:fldCharType="end"/>
        </w:r>
      </w:hyperlink>
    </w:p>
    <w:p w:rsidR="00384BF3" w:rsidRDefault="000350A2">
      <w:pPr>
        <w:pStyle w:val="TOC1"/>
        <w:rPr>
          <w:rFonts w:eastAsiaTheme="minorEastAsia"/>
          <w:b w:val="0"/>
          <w:bCs w:val="0"/>
          <w:caps w:val="0"/>
          <w:noProof/>
          <w:sz w:val="22"/>
          <w:szCs w:val="22"/>
          <w:lang w:eastAsia="en-AU"/>
        </w:rPr>
      </w:pPr>
      <w:hyperlink w:anchor="_Toc511636315" w:history="1">
        <w:r w:rsidR="00384BF3" w:rsidRPr="009D24AB">
          <w:rPr>
            <w:rStyle w:val="Hyperlink"/>
            <w:noProof/>
          </w:rPr>
          <w:t>Conclusion and way forward</w:t>
        </w:r>
        <w:r w:rsidR="00384BF3">
          <w:rPr>
            <w:noProof/>
            <w:webHidden/>
          </w:rPr>
          <w:tab/>
        </w:r>
        <w:r w:rsidR="00384BF3">
          <w:rPr>
            <w:noProof/>
            <w:webHidden/>
          </w:rPr>
          <w:fldChar w:fldCharType="begin"/>
        </w:r>
        <w:r w:rsidR="00384BF3">
          <w:rPr>
            <w:noProof/>
            <w:webHidden/>
          </w:rPr>
          <w:instrText xml:space="preserve"> PAGEREF _Toc511636315 \h </w:instrText>
        </w:r>
        <w:r w:rsidR="00384BF3">
          <w:rPr>
            <w:noProof/>
            <w:webHidden/>
          </w:rPr>
        </w:r>
        <w:r w:rsidR="00384BF3">
          <w:rPr>
            <w:noProof/>
            <w:webHidden/>
          </w:rPr>
          <w:fldChar w:fldCharType="separate"/>
        </w:r>
        <w:r w:rsidR="00D6244E">
          <w:rPr>
            <w:noProof/>
            <w:webHidden/>
          </w:rPr>
          <w:t>5</w:t>
        </w:r>
        <w:r w:rsidR="00384BF3">
          <w:rPr>
            <w:noProof/>
            <w:webHidden/>
          </w:rPr>
          <w:fldChar w:fldCharType="end"/>
        </w:r>
      </w:hyperlink>
    </w:p>
    <w:p w:rsidR="00384BF3" w:rsidRDefault="000350A2">
      <w:pPr>
        <w:pStyle w:val="TOC3"/>
        <w:rPr>
          <w:rFonts w:eastAsiaTheme="minorEastAsia"/>
          <w:iCs w:val="0"/>
          <w:caps w:val="0"/>
          <w:noProof/>
          <w:sz w:val="22"/>
          <w:lang w:eastAsia="en-AU"/>
        </w:rPr>
      </w:pPr>
      <w:hyperlink w:anchor="_Toc511636316" w:history="1">
        <w:r w:rsidR="00384BF3" w:rsidRPr="009D24AB">
          <w:rPr>
            <w:rStyle w:val="Hyperlink"/>
            <w:caps w:val="0"/>
            <w:noProof/>
          </w:rPr>
          <w:t>Proposed assessment structure</w:t>
        </w:r>
        <w:r w:rsidR="00384BF3">
          <w:rPr>
            <w:noProof/>
            <w:webHidden/>
          </w:rPr>
          <w:tab/>
        </w:r>
        <w:r w:rsidR="00384BF3">
          <w:rPr>
            <w:noProof/>
            <w:webHidden/>
          </w:rPr>
          <w:fldChar w:fldCharType="begin"/>
        </w:r>
        <w:r w:rsidR="00384BF3">
          <w:rPr>
            <w:noProof/>
            <w:webHidden/>
          </w:rPr>
          <w:instrText xml:space="preserve"> PAGEREF _Toc511636316 \h </w:instrText>
        </w:r>
        <w:r w:rsidR="00384BF3">
          <w:rPr>
            <w:noProof/>
            <w:webHidden/>
          </w:rPr>
        </w:r>
        <w:r w:rsidR="00384BF3">
          <w:rPr>
            <w:noProof/>
            <w:webHidden/>
          </w:rPr>
          <w:fldChar w:fldCharType="separate"/>
        </w:r>
        <w:r w:rsidR="00D6244E">
          <w:rPr>
            <w:noProof/>
            <w:webHidden/>
          </w:rPr>
          <w:t>5</w:t>
        </w:r>
        <w:r w:rsidR="00384BF3">
          <w:rPr>
            <w:noProof/>
            <w:webHidden/>
          </w:rPr>
          <w:fldChar w:fldCharType="end"/>
        </w:r>
      </w:hyperlink>
    </w:p>
    <w:p w:rsidR="00E3723A" w:rsidRDefault="00E3723A" w:rsidP="00E3723A">
      <w:r>
        <w:fldChar w:fldCharType="end"/>
      </w:r>
    </w:p>
    <w:p w:rsidR="00E3723A" w:rsidRDefault="00E3723A" w:rsidP="00E3723A"/>
    <w:p w:rsidR="00E3723A" w:rsidRDefault="00E3723A" w:rsidP="00E3723A"/>
    <w:p w:rsidR="00E3723A" w:rsidRDefault="00E3723A" w:rsidP="00E3723A">
      <w:pPr>
        <w:sectPr w:rsidR="00E3723A" w:rsidSect="0004123E">
          <w:footerReference w:type="default" r:id="rId18"/>
          <w:footerReference w:type="first" r:id="rId19"/>
          <w:pgSz w:w="11899" w:h="16838" w:code="9"/>
          <w:pgMar w:top="1701" w:right="1474" w:bottom="1701" w:left="1474" w:header="709" w:footer="709" w:gutter="0"/>
          <w:cols w:space="708"/>
          <w:titlePg/>
          <w:docGrid w:linePitch="299"/>
        </w:sectPr>
      </w:pPr>
    </w:p>
    <w:p w:rsidR="00DC0F02" w:rsidRDefault="00FA1821" w:rsidP="001850FF">
      <w:pPr>
        <w:pStyle w:val="Heading2"/>
      </w:pPr>
      <w:bookmarkStart w:id="1" w:name="_Toc509232440"/>
      <w:bookmarkStart w:id="2" w:name="_Toc509233511"/>
      <w:bookmarkStart w:id="3" w:name="_Toc509233574"/>
      <w:bookmarkStart w:id="4" w:name="_Toc510087240"/>
      <w:bookmarkStart w:id="5" w:name="_Toc511636309"/>
      <w:r>
        <w:lastRenderedPageBreak/>
        <w:t>Wage Costs</w:t>
      </w:r>
      <w:bookmarkEnd w:id="1"/>
      <w:bookmarkEnd w:id="2"/>
      <w:bookmarkEnd w:id="3"/>
      <w:bookmarkEnd w:id="4"/>
      <w:bookmarkEnd w:id="5"/>
    </w:p>
    <w:p w:rsidR="00467D2C" w:rsidRDefault="00467D2C" w:rsidP="00467D2C">
      <w:pPr>
        <w:pStyle w:val="CGCNumberedPara"/>
      </w:pPr>
      <w:bookmarkStart w:id="6" w:name="_Toc509232441"/>
      <w:bookmarkStart w:id="7" w:name="_Toc509233512"/>
      <w:bookmarkStart w:id="8" w:name="_Toc509233575"/>
      <w:r>
        <w:t>The paper provides the Commission staff proposals for the assessment of wage costs for the 2020 Review.</w:t>
      </w:r>
    </w:p>
    <w:p w:rsidR="00FF0FE2" w:rsidRDefault="00FF0FE2" w:rsidP="00FF0FE2">
      <w:pPr>
        <w:pStyle w:val="Heading3"/>
      </w:pPr>
      <w:bookmarkStart w:id="9" w:name="_Toc511636310"/>
      <w:r>
        <w:t>2015 Review approach</w:t>
      </w:r>
      <w:bookmarkEnd w:id="6"/>
      <w:bookmarkEnd w:id="7"/>
      <w:bookmarkEnd w:id="8"/>
      <w:bookmarkEnd w:id="9"/>
    </w:p>
    <w:p w:rsidR="00CE3ABE" w:rsidRDefault="00CE3ABE" w:rsidP="00CE3ABE">
      <w:pPr>
        <w:pStyle w:val="CGCNumberedPara"/>
        <w:numPr>
          <w:ilvl w:val="1"/>
          <w:numId w:val="37"/>
        </w:numPr>
      </w:pPr>
      <w:r>
        <w:t>State governments employ about one in ten Australian workers. Wages and salaries represent the largest component of State expenditure and account for a significant share of expen</w:t>
      </w:r>
      <w:r w:rsidR="00F43064">
        <w:t>diture</w:t>
      </w:r>
      <w:r>
        <w:t xml:space="preserve"> in nearly every expense category. The wage costs assessment addresses a global disability, rather than the expenses associated with an individual category of service delivery (such as schools or health spending). </w:t>
      </w:r>
    </w:p>
    <w:p w:rsidR="00F34505" w:rsidRDefault="00DE12C8" w:rsidP="00F34505">
      <w:pPr>
        <w:pStyle w:val="CGCNumberedPara"/>
        <w:numPr>
          <w:ilvl w:val="1"/>
          <w:numId w:val="37"/>
        </w:numPr>
      </w:pPr>
      <w:r>
        <w:t>The Commission</w:t>
      </w:r>
      <w:r w:rsidR="00CE3ABE">
        <w:t xml:space="preserve"> model</w:t>
      </w:r>
      <w:r>
        <w:t>s</w:t>
      </w:r>
      <w:r w:rsidR="00CE3ABE">
        <w:t xml:space="preserve"> the wages of the average private sector</w:t>
      </w:r>
      <w:r w:rsidR="004A04DE">
        <w:t xml:space="preserve"> </w:t>
      </w:r>
      <w:r w:rsidR="00CE3ABE">
        <w:t xml:space="preserve">worker in each State, controlling for differences in the characteristics of that worker that are known to affect wage levels, </w:t>
      </w:r>
      <w:r w:rsidR="009D1E4D">
        <w:t>such as</w:t>
      </w:r>
      <w:r w:rsidR="00CE3ABE">
        <w:t xml:space="preserve"> work experience and qualifications. </w:t>
      </w:r>
      <w:r w:rsidR="00F34505">
        <w:t>The model also adjusts for States</w:t>
      </w:r>
      <w:r w:rsidR="00D24E2D">
        <w:t>’ composition of</w:t>
      </w:r>
      <w:r w:rsidR="00F34505">
        <w:t xml:space="preserve"> industry and </w:t>
      </w:r>
      <w:r w:rsidR="00D24E2D">
        <w:t>occupations</w:t>
      </w:r>
      <w:r w:rsidR="00F34505">
        <w:t xml:space="preserve">. </w:t>
      </w:r>
    </w:p>
    <w:p w:rsidR="0000763D" w:rsidRDefault="00F34505" w:rsidP="00F34505">
      <w:pPr>
        <w:pStyle w:val="CGCNumberedPara"/>
        <w:numPr>
          <w:ilvl w:val="1"/>
          <w:numId w:val="37"/>
        </w:numPr>
      </w:pPr>
      <w:r>
        <w:t xml:space="preserve">An additional variable for State of residence allows </w:t>
      </w:r>
      <w:r w:rsidR="00CE3ABE">
        <w:t>us to estimate the influence that State of residence has on the wages of comparable individuals.</w:t>
      </w:r>
      <w:r w:rsidR="00D24E2D">
        <w:t xml:space="preserve"> The wages paid to comparable private sector workers are used as a proxy for the pressures on public sector wages in each State.</w:t>
      </w:r>
      <w:r>
        <w:t xml:space="preserve"> </w:t>
      </w:r>
      <w:r w:rsidR="00CE3ABE">
        <w:t>Our estimate of this wage costs disability in 2016-17 ranges from 8.4% below to 7.2% above</w:t>
      </w:r>
      <w:r w:rsidR="00DE12C8">
        <w:t xml:space="preserve"> the </w:t>
      </w:r>
      <w:r w:rsidR="00067ED2">
        <w:t>national</w:t>
      </w:r>
      <w:r w:rsidR="00DE12C8">
        <w:t xml:space="preserve"> average wage level</w:t>
      </w:r>
      <w:r w:rsidR="00CE3ABE">
        <w:t>.</w:t>
      </w:r>
    </w:p>
    <w:p w:rsidR="00294326" w:rsidRDefault="00FD0433" w:rsidP="00F43064">
      <w:pPr>
        <w:pStyle w:val="CGCNumberedPara"/>
      </w:pPr>
      <w:r>
        <w:t xml:space="preserve">Due to the timing of the release of a new data set, the </w:t>
      </w:r>
      <w:r w:rsidR="00F43064">
        <w:t xml:space="preserve">ABS </w:t>
      </w:r>
      <w:r>
        <w:t>Characteristics of Employees survey (</w:t>
      </w:r>
      <w:proofErr w:type="spellStart"/>
      <w:r>
        <w:t>CoES</w:t>
      </w:r>
      <w:proofErr w:type="spellEnd"/>
      <w:r>
        <w:t xml:space="preserve">), the Commission deferred the 2015 Review of the </w:t>
      </w:r>
      <w:r w:rsidR="0070606A">
        <w:t>wage cost</w:t>
      </w:r>
      <w:r>
        <w:t xml:space="preserve">s assessment. </w:t>
      </w:r>
      <w:r w:rsidR="00294326">
        <w:t xml:space="preserve">The Commission undertook a comprehensive review of the wage costs assessment in the 2016 Update. It decided the best </w:t>
      </w:r>
      <w:proofErr w:type="spellStart"/>
      <w:r w:rsidR="00294326">
        <w:t>HFE</w:t>
      </w:r>
      <w:proofErr w:type="spellEnd"/>
      <w:r w:rsidR="00294326">
        <w:t xml:space="preserve"> outcome would be</w:t>
      </w:r>
      <w:r w:rsidR="00294326" w:rsidRPr="0081267C">
        <w:t xml:space="preserve"> produced by </w:t>
      </w:r>
      <w:r w:rsidR="00B37087">
        <w:t>retaining the</w:t>
      </w:r>
      <w:r w:rsidR="00294326" w:rsidRPr="0081267C">
        <w:t xml:space="preserve"> indexed</w:t>
      </w:r>
      <w:r w:rsidR="00F43064">
        <w:t xml:space="preserve"> ABS</w:t>
      </w:r>
      <w:r w:rsidR="00294326" w:rsidRPr="0081267C">
        <w:t xml:space="preserve"> </w:t>
      </w:r>
      <w:r w:rsidR="00F43064">
        <w:t>S</w:t>
      </w:r>
      <w:r w:rsidR="00553503">
        <w:t xml:space="preserve">urvey of </w:t>
      </w:r>
      <w:r w:rsidR="00F43064">
        <w:t>E</w:t>
      </w:r>
      <w:r w:rsidR="00553503">
        <w:t xml:space="preserve">mployment and </w:t>
      </w:r>
      <w:r w:rsidR="00F43064">
        <w:t>T</w:t>
      </w:r>
      <w:r w:rsidR="00553503">
        <w:t>raining (</w:t>
      </w:r>
      <w:r w:rsidR="00294326" w:rsidRPr="0081267C">
        <w:t>SET</w:t>
      </w:r>
      <w:r w:rsidR="00553503">
        <w:t>)</w:t>
      </w:r>
      <w:r w:rsidR="00294326" w:rsidRPr="0081267C">
        <w:t xml:space="preserve"> </w:t>
      </w:r>
      <w:r w:rsidR="00294326">
        <w:t xml:space="preserve">results for </w:t>
      </w:r>
      <w:r w:rsidR="00294326" w:rsidRPr="0081267C">
        <w:t>2012-13 and 2013-14 (the</w:t>
      </w:r>
      <w:r w:rsidR="00294326">
        <w:t>se</w:t>
      </w:r>
      <w:r w:rsidR="00294326" w:rsidRPr="0081267C">
        <w:t xml:space="preserve"> </w:t>
      </w:r>
      <w:r w:rsidR="00294326">
        <w:t>results were also</w:t>
      </w:r>
      <w:r w:rsidR="00294326" w:rsidRPr="0081267C">
        <w:t xml:space="preserve"> used in the 2015 Review) and</w:t>
      </w:r>
      <w:r w:rsidR="00213CDF">
        <w:t xml:space="preserve"> using</w:t>
      </w:r>
      <w:r w:rsidR="00294326" w:rsidRPr="0081267C">
        <w:t xml:space="preserve"> </w:t>
      </w:r>
      <w:r w:rsidR="00294326">
        <w:t xml:space="preserve">2014 </w:t>
      </w:r>
      <w:r w:rsidR="00D24E2D">
        <w:t xml:space="preserve">results from the new </w:t>
      </w:r>
      <w:proofErr w:type="spellStart"/>
      <w:r w:rsidR="00294326" w:rsidRPr="0081267C">
        <w:t>CoES</w:t>
      </w:r>
      <w:proofErr w:type="spellEnd"/>
      <w:r w:rsidR="00D24E2D">
        <w:t>,</w:t>
      </w:r>
      <w:r w:rsidR="00294326" w:rsidRPr="0081267C">
        <w:t xml:space="preserve"> </w:t>
      </w:r>
      <w:r w:rsidR="00294326">
        <w:t>w</w:t>
      </w:r>
      <w:r w:rsidR="00D24E2D">
        <w:t>ithout qualifications variables,</w:t>
      </w:r>
      <w:r w:rsidR="00294326">
        <w:t xml:space="preserve"> for </w:t>
      </w:r>
      <w:r w:rsidR="00294326" w:rsidRPr="0081267C">
        <w:t>2014</w:t>
      </w:r>
      <w:r w:rsidR="00294326" w:rsidRPr="0081267C">
        <w:noBreakHyphen/>
        <w:t>15</w:t>
      </w:r>
      <w:r w:rsidR="00213CDF">
        <w:t xml:space="preserve"> and </w:t>
      </w:r>
      <w:proofErr w:type="spellStart"/>
      <w:r w:rsidR="00F43064">
        <w:t>CoES</w:t>
      </w:r>
      <w:proofErr w:type="spellEnd"/>
      <w:r w:rsidR="00F43064">
        <w:t>, with qualifications variables, for future years</w:t>
      </w:r>
      <w:r w:rsidR="00294326" w:rsidRPr="0081267C">
        <w:t>.</w:t>
      </w:r>
      <w:r w:rsidR="00213CDF">
        <w:rPr>
          <w:rStyle w:val="FootnoteReference"/>
        </w:rPr>
        <w:footnoteReference w:id="1"/>
      </w:r>
      <w:r w:rsidR="00294326" w:rsidRPr="0081267C">
        <w:t xml:space="preserve"> </w:t>
      </w:r>
    </w:p>
    <w:p w:rsidR="00CE3ABE" w:rsidRDefault="00CE3ABE" w:rsidP="001866CF">
      <w:pPr>
        <w:pStyle w:val="CGCNumberedPara"/>
        <w:numPr>
          <w:ilvl w:val="1"/>
          <w:numId w:val="37"/>
        </w:numPr>
      </w:pPr>
      <w:r>
        <w:fldChar w:fldCharType="begin"/>
      </w:r>
      <w:r>
        <w:instrText xml:space="preserve"> REF _Ref500334492 \h </w:instrText>
      </w:r>
      <w:r>
        <w:fldChar w:fldCharType="separate"/>
      </w:r>
      <w:r w:rsidR="00D6244E">
        <w:t xml:space="preserve">Table </w:t>
      </w:r>
      <w:r w:rsidR="00D6244E">
        <w:rPr>
          <w:noProof/>
        </w:rPr>
        <w:t>1</w:t>
      </w:r>
      <w:r>
        <w:fldChar w:fldCharType="end"/>
      </w:r>
      <w:r>
        <w:t xml:space="preserve"> </w:t>
      </w:r>
      <w:r w:rsidR="0019334F">
        <w:t>shows</w:t>
      </w:r>
      <w:r w:rsidR="0000763D">
        <w:t xml:space="preserve"> </w:t>
      </w:r>
      <w:r>
        <w:t xml:space="preserve">the </w:t>
      </w:r>
      <w:r w:rsidR="00D24E2D">
        <w:t>modelled outcomes</w:t>
      </w:r>
      <w:r w:rsidR="0000763D">
        <w:t xml:space="preserve"> </w:t>
      </w:r>
      <w:r>
        <w:t xml:space="preserve">for each </w:t>
      </w:r>
      <w:r w:rsidR="00D24E2D">
        <w:t>S</w:t>
      </w:r>
      <w:r>
        <w:t xml:space="preserve">tate between </w:t>
      </w:r>
      <w:r w:rsidR="00062670">
        <w:t>2014-15</w:t>
      </w:r>
      <w:r>
        <w:t xml:space="preserve"> and 2016-17.</w:t>
      </w:r>
      <w:r w:rsidR="007B28C4">
        <w:t xml:space="preserve"> </w:t>
      </w:r>
    </w:p>
    <w:p w:rsidR="00CE3ABE" w:rsidRDefault="00CE3ABE" w:rsidP="00D24E2D">
      <w:pPr>
        <w:pStyle w:val="Caption"/>
        <w:ind w:left="0" w:firstLine="0"/>
      </w:pPr>
      <w:bookmarkStart w:id="10" w:name="_Ref500334492"/>
      <w:r>
        <w:lastRenderedPageBreak/>
        <w:t xml:space="preserve">Table </w:t>
      </w:r>
      <w:fldSimple w:instr=" SEQ Table \r 1\* ARABIC ">
        <w:r w:rsidR="00D6244E">
          <w:rPr>
            <w:noProof/>
          </w:rPr>
          <w:t>1</w:t>
        </w:r>
      </w:fldSimple>
      <w:bookmarkEnd w:id="10"/>
      <w:r>
        <w:rPr>
          <w:noProof/>
        </w:rPr>
        <w:t xml:space="preserve"> </w:t>
      </w:r>
      <w:r>
        <w:tab/>
        <w:t>Relative private sector wages, 2018 Update</w:t>
      </w:r>
    </w:p>
    <w:tbl>
      <w:tblPr>
        <w:tblW w:w="5000" w:type="pct"/>
        <w:tblCellMar>
          <w:left w:w="85" w:type="dxa"/>
          <w:right w:w="85" w:type="dxa"/>
        </w:tblCellMar>
        <w:tblLook w:val="0000" w:firstRow="0" w:lastRow="0" w:firstColumn="0" w:lastColumn="0" w:noHBand="0" w:noVBand="0"/>
      </w:tblPr>
      <w:tblGrid>
        <w:gridCol w:w="3209"/>
        <w:gridCol w:w="739"/>
        <w:gridCol w:w="739"/>
        <w:gridCol w:w="739"/>
        <w:gridCol w:w="739"/>
        <w:gridCol w:w="739"/>
        <w:gridCol w:w="739"/>
        <w:gridCol w:w="739"/>
        <w:gridCol w:w="739"/>
      </w:tblGrid>
      <w:tr w:rsidR="00CE3ABE" w:rsidRPr="00802AC1" w:rsidTr="00554301">
        <w:tc>
          <w:tcPr>
            <w:tcW w:w="1759" w:type="pct"/>
            <w:tcBorders>
              <w:top w:val="single" w:sz="6" w:space="0" w:color="auto"/>
              <w:bottom w:val="single" w:sz="6" w:space="0" w:color="auto"/>
            </w:tcBorders>
            <w:vAlign w:val="bottom"/>
          </w:tcPr>
          <w:p w:rsidR="00CE3ABE" w:rsidRPr="00802AC1" w:rsidRDefault="00CE3ABE" w:rsidP="00D24E2D">
            <w:pPr>
              <w:pStyle w:val="CGCTableStub"/>
              <w:rPr>
                <w:rFonts w:cstheme="minorHAnsi"/>
              </w:rPr>
            </w:pPr>
          </w:p>
        </w:tc>
        <w:tc>
          <w:tcPr>
            <w:tcW w:w="405" w:type="pct"/>
            <w:tcBorders>
              <w:top w:val="single" w:sz="6" w:space="0" w:color="auto"/>
              <w:bottom w:val="single" w:sz="6" w:space="0" w:color="auto"/>
            </w:tcBorders>
            <w:vAlign w:val="bottom"/>
          </w:tcPr>
          <w:p w:rsidR="00CE3ABE" w:rsidRPr="00802AC1" w:rsidRDefault="00CE3ABE" w:rsidP="00D24E2D">
            <w:pPr>
              <w:pStyle w:val="TableColHeadings"/>
              <w:rPr>
                <w:rFonts w:cstheme="minorHAnsi"/>
              </w:rPr>
            </w:pPr>
            <w:r w:rsidRPr="00802AC1">
              <w:rPr>
                <w:rFonts w:cstheme="minorHAnsi"/>
              </w:rPr>
              <w:t>NSW</w:t>
            </w:r>
          </w:p>
        </w:tc>
        <w:tc>
          <w:tcPr>
            <w:tcW w:w="405" w:type="pct"/>
            <w:tcBorders>
              <w:top w:val="single" w:sz="6" w:space="0" w:color="auto"/>
              <w:bottom w:val="single" w:sz="6" w:space="0" w:color="auto"/>
            </w:tcBorders>
            <w:vAlign w:val="bottom"/>
          </w:tcPr>
          <w:p w:rsidR="00CE3ABE" w:rsidRPr="00802AC1" w:rsidRDefault="00CE3ABE" w:rsidP="00D24E2D">
            <w:pPr>
              <w:pStyle w:val="TableColHeadings"/>
              <w:rPr>
                <w:rFonts w:cstheme="minorHAnsi"/>
              </w:rPr>
            </w:pPr>
            <w:r w:rsidRPr="00802AC1">
              <w:rPr>
                <w:rFonts w:cstheme="minorHAnsi"/>
              </w:rPr>
              <w:t>Vic</w:t>
            </w:r>
          </w:p>
        </w:tc>
        <w:tc>
          <w:tcPr>
            <w:tcW w:w="405" w:type="pct"/>
            <w:tcBorders>
              <w:top w:val="single" w:sz="6" w:space="0" w:color="auto"/>
              <w:bottom w:val="single" w:sz="6" w:space="0" w:color="auto"/>
            </w:tcBorders>
            <w:vAlign w:val="bottom"/>
          </w:tcPr>
          <w:p w:rsidR="00CE3ABE" w:rsidRPr="00802AC1" w:rsidRDefault="00CE3ABE" w:rsidP="00D24E2D">
            <w:pPr>
              <w:pStyle w:val="TableColHeadings"/>
              <w:rPr>
                <w:rFonts w:cstheme="minorHAnsi"/>
              </w:rPr>
            </w:pPr>
            <w:r w:rsidRPr="00802AC1">
              <w:rPr>
                <w:rFonts w:cstheme="minorHAnsi"/>
              </w:rPr>
              <w:t>Qld</w:t>
            </w:r>
          </w:p>
        </w:tc>
        <w:tc>
          <w:tcPr>
            <w:tcW w:w="405" w:type="pct"/>
            <w:tcBorders>
              <w:top w:val="single" w:sz="6" w:space="0" w:color="auto"/>
              <w:bottom w:val="single" w:sz="6" w:space="0" w:color="auto"/>
            </w:tcBorders>
            <w:vAlign w:val="bottom"/>
          </w:tcPr>
          <w:p w:rsidR="00CE3ABE" w:rsidRPr="00802AC1" w:rsidRDefault="00CE3ABE" w:rsidP="00D24E2D">
            <w:pPr>
              <w:pStyle w:val="TableColHeadings"/>
              <w:rPr>
                <w:rFonts w:cstheme="minorHAnsi"/>
              </w:rPr>
            </w:pPr>
            <w:r w:rsidRPr="00802AC1">
              <w:rPr>
                <w:rFonts w:cstheme="minorHAnsi"/>
              </w:rPr>
              <w:t>WA</w:t>
            </w:r>
          </w:p>
        </w:tc>
        <w:tc>
          <w:tcPr>
            <w:tcW w:w="405" w:type="pct"/>
            <w:tcBorders>
              <w:top w:val="single" w:sz="6" w:space="0" w:color="auto"/>
              <w:bottom w:val="single" w:sz="6" w:space="0" w:color="auto"/>
            </w:tcBorders>
            <w:vAlign w:val="bottom"/>
          </w:tcPr>
          <w:p w:rsidR="00CE3ABE" w:rsidRPr="00802AC1" w:rsidRDefault="00CE3ABE" w:rsidP="00D24E2D">
            <w:pPr>
              <w:pStyle w:val="TableColHeadings"/>
              <w:rPr>
                <w:rFonts w:cstheme="minorHAnsi"/>
              </w:rPr>
            </w:pPr>
            <w:r w:rsidRPr="00802AC1">
              <w:rPr>
                <w:rFonts w:cstheme="minorHAnsi"/>
              </w:rPr>
              <w:t>SA</w:t>
            </w:r>
          </w:p>
        </w:tc>
        <w:tc>
          <w:tcPr>
            <w:tcW w:w="405" w:type="pct"/>
            <w:tcBorders>
              <w:top w:val="single" w:sz="6" w:space="0" w:color="auto"/>
              <w:bottom w:val="single" w:sz="6" w:space="0" w:color="auto"/>
            </w:tcBorders>
            <w:vAlign w:val="bottom"/>
          </w:tcPr>
          <w:p w:rsidR="00CE3ABE" w:rsidRPr="00802AC1" w:rsidRDefault="00CE3ABE" w:rsidP="00D24E2D">
            <w:pPr>
              <w:pStyle w:val="TableColHeadings"/>
              <w:rPr>
                <w:rFonts w:cstheme="minorHAnsi"/>
              </w:rPr>
            </w:pPr>
            <w:proofErr w:type="spellStart"/>
            <w:r w:rsidRPr="00802AC1">
              <w:rPr>
                <w:rFonts w:cstheme="minorHAnsi"/>
              </w:rPr>
              <w:t>Tas</w:t>
            </w:r>
            <w:proofErr w:type="spellEnd"/>
          </w:p>
        </w:tc>
        <w:tc>
          <w:tcPr>
            <w:tcW w:w="405" w:type="pct"/>
            <w:tcBorders>
              <w:top w:val="single" w:sz="6" w:space="0" w:color="auto"/>
              <w:bottom w:val="single" w:sz="6" w:space="0" w:color="auto"/>
            </w:tcBorders>
            <w:vAlign w:val="bottom"/>
          </w:tcPr>
          <w:p w:rsidR="00CE3ABE" w:rsidRPr="00802AC1" w:rsidRDefault="00CE3ABE" w:rsidP="00D24E2D">
            <w:pPr>
              <w:pStyle w:val="TableColHeadings"/>
              <w:rPr>
                <w:rFonts w:cstheme="minorHAnsi"/>
              </w:rPr>
            </w:pPr>
            <w:r w:rsidRPr="00802AC1">
              <w:rPr>
                <w:rFonts w:cstheme="minorHAnsi"/>
              </w:rPr>
              <w:t>ACT</w:t>
            </w:r>
          </w:p>
        </w:tc>
        <w:tc>
          <w:tcPr>
            <w:tcW w:w="405" w:type="pct"/>
            <w:tcBorders>
              <w:top w:val="single" w:sz="6" w:space="0" w:color="auto"/>
              <w:bottom w:val="single" w:sz="6" w:space="0" w:color="auto"/>
            </w:tcBorders>
            <w:vAlign w:val="bottom"/>
          </w:tcPr>
          <w:p w:rsidR="00CE3ABE" w:rsidRPr="00802AC1" w:rsidRDefault="00CE3ABE" w:rsidP="00D24E2D">
            <w:pPr>
              <w:pStyle w:val="TableColHeadings"/>
              <w:rPr>
                <w:rFonts w:cstheme="minorHAnsi"/>
              </w:rPr>
            </w:pPr>
            <w:r w:rsidRPr="00802AC1">
              <w:rPr>
                <w:rFonts w:cstheme="minorHAnsi"/>
              </w:rPr>
              <w:t>NT</w:t>
            </w:r>
          </w:p>
        </w:tc>
      </w:tr>
      <w:tr w:rsidR="00CE3ABE" w:rsidRPr="00802AC1" w:rsidTr="00554301">
        <w:tc>
          <w:tcPr>
            <w:tcW w:w="1759" w:type="pct"/>
            <w:tcMar>
              <w:top w:w="0" w:type="dxa"/>
              <w:bottom w:w="0" w:type="dxa"/>
            </w:tcMar>
            <w:vAlign w:val="bottom"/>
          </w:tcPr>
          <w:p w:rsidR="00CE3ABE" w:rsidRPr="00802AC1" w:rsidRDefault="00CE3ABE" w:rsidP="00D6244E">
            <w:pPr>
              <w:pStyle w:val="TableRowUnits"/>
            </w:pPr>
          </w:p>
        </w:tc>
        <w:tc>
          <w:tcPr>
            <w:tcW w:w="405" w:type="pct"/>
            <w:tcMar>
              <w:top w:w="0" w:type="dxa"/>
              <w:bottom w:w="0" w:type="dxa"/>
            </w:tcMar>
            <w:vAlign w:val="center"/>
          </w:tcPr>
          <w:p w:rsidR="00CE3ABE" w:rsidRPr="00BC309B" w:rsidRDefault="00CE3ABE" w:rsidP="00D6244E">
            <w:pPr>
              <w:pStyle w:val="TableRowUnits"/>
            </w:pPr>
            <w:r w:rsidRPr="00BC309B">
              <w:t>%</w:t>
            </w:r>
          </w:p>
        </w:tc>
        <w:tc>
          <w:tcPr>
            <w:tcW w:w="405" w:type="pct"/>
            <w:tcMar>
              <w:top w:w="0" w:type="dxa"/>
              <w:bottom w:w="0" w:type="dxa"/>
            </w:tcMar>
            <w:vAlign w:val="center"/>
          </w:tcPr>
          <w:p w:rsidR="00CE3ABE" w:rsidRPr="00BC309B" w:rsidRDefault="00CE3ABE" w:rsidP="00D6244E">
            <w:pPr>
              <w:pStyle w:val="TableRowUnits"/>
            </w:pPr>
            <w:r w:rsidRPr="00BC309B">
              <w:t>%</w:t>
            </w:r>
          </w:p>
        </w:tc>
        <w:tc>
          <w:tcPr>
            <w:tcW w:w="405" w:type="pct"/>
            <w:tcMar>
              <w:top w:w="0" w:type="dxa"/>
              <w:bottom w:w="0" w:type="dxa"/>
            </w:tcMar>
            <w:vAlign w:val="center"/>
          </w:tcPr>
          <w:p w:rsidR="00CE3ABE" w:rsidRPr="00BC309B" w:rsidRDefault="00CE3ABE" w:rsidP="00D6244E">
            <w:pPr>
              <w:pStyle w:val="TableRowUnits"/>
            </w:pPr>
            <w:r w:rsidRPr="00BC309B">
              <w:t>%</w:t>
            </w:r>
          </w:p>
        </w:tc>
        <w:tc>
          <w:tcPr>
            <w:tcW w:w="405" w:type="pct"/>
            <w:tcMar>
              <w:top w:w="0" w:type="dxa"/>
              <w:bottom w:w="0" w:type="dxa"/>
            </w:tcMar>
            <w:vAlign w:val="center"/>
          </w:tcPr>
          <w:p w:rsidR="00CE3ABE" w:rsidRPr="00BC309B" w:rsidRDefault="00CE3ABE" w:rsidP="00D6244E">
            <w:pPr>
              <w:pStyle w:val="TableRowUnits"/>
            </w:pPr>
            <w:r w:rsidRPr="00BC309B">
              <w:t>%</w:t>
            </w:r>
          </w:p>
        </w:tc>
        <w:tc>
          <w:tcPr>
            <w:tcW w:w="405" w:type="pct"/>
            <w:tcMar>
              <w:top w:w="0" w:type="dxa"/>
              <w:bottom w:w="0" w:type="dxa"/>
            </w:tcMar>
            <w:vAlign w:val="center"/>
          </w:tcPr>
          <w:p w:rsidR="00CE3ABE" w:rsidRPr="00BC309B" w:rsidRDefault="00CE3ABE" w:rsidP="00D6244E">
            <w:pPr>
              <w:pStyle w:val="TableRowUnits"/>
            </w:pPr>
            <w:r w:rsidRPr="00BC309B">
              <w:t>%</w:t>
            </w:r>
          </w:p>
        </w:tc>
        <w:tc>
          <w:tcPr>
            <w:tcW w:w="405" w:type="pct"/>
            <w:tcMar>
              <w:top w:w="0" w:type="dxa"/>
              <w:bottom w:w="0" w:type="dxa"/>
            </w:tcMar>
            <w:vAlign w:val="center"/>
          </w:tcPr>
          <w:p w:rsidR="00CE3ABE" w:rsidRPr="00BC309B" w:rsidRDefault="00CE3ABE" w:rsidP="00D6244E">
            <w:pPr>
              <w:pStyle w:val="TableRowUnits"/>
            </w:pPr>
            <w:r w:rsidRPr="00BC309B">
              <w:t>%</w:t>
            </w:r>
          </w:p>
        </w:tc>
        <w:tc>
          <w:tcPr>
            <w:tcW w:w="405" w:type="pct"/>
            <w:tcMar>
              <w:top w:w="0" w:type="dxa"/>
              <w:bottom w:w="0" w:type="dxa"/>
            </w:tcMar>
            <w:vAlign w:val="center"/>
          </w:tcPr>
          <w:p w:rsidR="00CE3ABE" w:rsidRPr="00BC309B" w:rsidRDefault="00CE3ABE" w:rsidP="00D6244E">
            <w:pPr>
              <w:pStyle w:val="TableRowUnits"/>
            </w:pPr>
            <w:r w:rsidRPr="00BC309B">
              <w:t>%</w:t>
            </w:r>
          </w:p>
        </w:tc>
        <w:tc>
          <w:tcPr>
            <w:tcW w:w="405" w:type="pct"/>
            <w:tcMar>
              <w:top w:w="0" w:type="dxa"/>
              <w:bottom w:w="0" w:type="dxa"/>
            </w:tcMar>
            <w:vAlign w:val="center"/>
          </w:tcPr>
          <w:p w:rsidR="00CE3ABE" w:rsidRPr="00BC309B" w:rsidRDefault="00CE3ABE" w:rsidP="00D6244E">
            <w:pPr>
              <w:pStyle w:val="TableRowUnits"/>
            </w:pPr>
            <w:r w:rsidRPr="00BC309B">
              <w:t>%</w:t>
            </w:r>
          </w:p>
        </w:tc>
      </w:tr>
      <w:tr w:rsidR="00CE3ABE" w:rsidRPr="00802AC1" w:rsidTr="00554301">
        <w:tc>
          <w:tcPr>
            <w:tcW w:w="1759" w:type="pct"/>
            <w:vAlign w:val="bottom"/>
          </w:tcPr>
          <w:p w:rsidR="00CE3ABE" w:rsidRPr="00BC309B" w:rsidRDefault="00CE3ABE" w:rsidP="008571E0">
            <w:pPr>
              <w:pStyle w:val="TableRowNormal"/>
              <w:jc w:val="left"/>
            </w:pPr>
            <w:r w:rsidRPr="00BC309B">
              <w:t>201</w:t>
            </w:r>
            <w:r>
              <w:t>4-15</w:t>
            </w:r>
          </w:p>
        </w:tc>
        <w:tc>
          <w:tcPr>
            <w:tcW w:w="405" w:type="pct"/>
            <w:vAlign w:val="bottom"/>
          </w:tcPr>
          <w:p w:rsidR="00CE3ABE" w:rsidRPr="00BD7D70" w:rsidRDefault="00CE3ABE" w:rsidP="008571E0">
            <w:pPr>
              <w:pStyle w:val="TableRowNormal"/>
            </w:pPr>
            <w:r w:rsidRPr="00BD7D70">
              <w:t>0.9</w:t>
            </w:r>
          </w:p>
        </w:tc>
        <w:tc>
          <w:tcPr>
            <w:tcW w:w="405" w:type="pct"/>
            <w:vAlign w:val="bottom"/>
          </w:tcPr>
          <w:p w:rsidR="00CE3ABE" w:rsidRPr="00BD7D70" w:rsidRDefault="00CE3ABE" w:rsidP="008571E0">
            <w:pPr>
              <w:pStyle w:val="TableRowNormal"/>
            </w:pPr>
            <w:r w:rsidRPr="00BD7D70">
              <w:t>-1.5</w:t>
            </w:r>
          </w:p>
        </w:tc>
        <w:tc>
          <w:tcPr>
            <w:tcW w:w="405" w:type="pct"/>
            <w:vAlign w:val="bottom"/>
          </w:tcPr>
          <w:p w:rsidR="00CE3ABE" w:rsidRPr="00BD7D70" w:rsidRDefault="00CE3ABE" w:rsidP="008571E0">
            <w:pPr>
              <w:pStyle w:val="TableRowNormal"/>
            </w:pPr>
            <w:r w:rsidRPr="00BD7D70">
              <w:t>-1.7</w:t>
            </w:r>
          </w:p>
        </w:tc>
        <w:tc>
          <w:tcPr>
            <w:tcW w:w="405" w:type="pct"/>
            <w:vAlign w:val="bottom"/>
          </w:tcPr>
          <w:p w:rsidR="00CE3ABE" w:rsidRPr="00BD7D70" w:rsidRDefault="00CE3ABE" w:rsidP="008571E0">
            <w:pPr>
              <w:pStyle w:val="TableRowNormal"/>
            </w:pPr>
            <w:r w:rsidRPr="00BD7D70">
              <w:t>7.7</w:t>
            </w:r>
          </w:p>
        </w:tc>
        <w:tc>
          <w:tcPr>
            <w:tcW w:w="405" w:type="pct"/>
            <w:vAlign w:val="bottom"/>
          </w:tcPr>
          <w:p w:rsidR="00CE3ABE" w:rsidRPr="00BD7D70" w:rsidRDefault="00CE3ABE" w:rsidP="008571E0">
            <w:pPr>
              <w:pStyle w:val="TableRowNormal"/>
            </w:pPr>
            <w:r w:rsidRPr="00BD7D70">
              <w:t>-4.8</w:t>
            </w:r>
          </w:p>
        </w:tc>
        <w:tc>
          <w:tcPr>
            <w:tcW w:w="405" w:type="pct"/>
            <w:vAlign w:val="bottom"/>
          </w:tcPr>
          <w:p w:rsidR="00CE3ABE" w:rsidRPr="00BD7D70" w:rsidRDefault="00CE3ABE" w:rsidP="008571E0">
            <w:pPr>
              <w:pStyle w:val="TableRowNormal"/>
            </w:pPr>
            <w:r w:rsidRPr="00BD7D70">
              <w:t>-8.9</w:t>
            </w:r>
          </w:p>
        </w:tc>
        <w:tc>
          <w:tcPr>
            <w:tcW w:w="405" w:type="pct"/>
            <w:vAlign w:val="bottom"/>
          </w:tcPr>
          <w:p w:rsidR="00CE3ABE" w:rsidRPr="00BD7D70" w:rsidRDefault="00CE3ABE" w:rsidP="008571E0">
            <w:pPr>
              <w:pStyle w:val="TableRowNormal"/>
            </w:pPr>
            <w:r w:rsidRPr="00BD7D70">
              <w:t>3.3</w:t>
            </w:r>
          </w:p>
        </w:tc>
        <w:tc>
          <w:tcPr>
            <w:tcW w:w="405" w:type="pct"/>
            <w:vAlign w:val="bottom"/>
          </w:tcPr>
          <w:p w:rsidR="00CE3ABE" w:rsidRPr="00BD7D70" w:rsidRDefault="00CE3ABE" w:rsidP="008571E0">
            <w:pPr>
              <w:pStyle w:val="TableRowNormal"/>
            </w:pPr>
            <w:r w:rsidRPr="00BD7D70">
              <w:t>9.2</w:t>
            </w:r>
          </w:p>
        </w:tc>
      </w:tr>
      <w:tr w:rsidR="00CE3ABE" w:rsidRPr="00802AC1" w:rsidTr="00CE3ABE">
        <w:tc>
          <w:tcPr>
            <w:tcW w:w="1759" w:type="pct"/>
            <w:vAlign w:val="bottom"/>
          </w:tcPr>
          <w:p w:rsidR="00CE3ABE" w:rsidRPr="00BC309B" w:rsidRDefault="00CE3ABE" w:rsidP="008571E0">
            <w:pPr>
              <w:pStyle w:val="TableRowNormal"/>
              <w:jc w:val="left"/>
            </w:pPr>
            <w:r>
              <w:t>2015-16</w:t>
            </w:r>
          </w:p>
        </w:tc>
        <w:tc>
          <w:tcPr>
            <w:tcW w:w="405" w:type="pct"/>
            <w:vAlign w:val="bottom"/>
          </w:tcPr>
          <w:p w:rsidR="00CE3ABE" w:rsidRPr="00BD7D70" w:rsidRDefault="00CE3ABE" w:rsidP="008571E0">
            <w:pPr>
              <w:pStyle w:val="TableRowNormal"/>
            </w:pPr>
            <w:r w:rsidRPr="00BD7D70">
              <w:t>0.2</w:t>
            </w:r>
          </w:p>
        </w:tc>
        <w:tc>
          <w:tcPr>
            <w:tcW w:w="405" w:type="pct"/>
            <w:vAlign w:val="bottom"/>
          </w:tcPr>
          <w:p w:rsidR="00CE3ABE" w:rsidRPr="00BD7D70" w:rsidRDefault="00CE3ABE" w:rsidP="008571E0">
            <w:pPr>
              <w:pStyle w:val="TableRowNormal"/>
            </w:pPr>
            <w:r w:rsidRPr="00BD7D70">
              <w:t>-1.6</w:t>
            </w:r>
          </w:p>
        </w:tc>
        <w:tc>
          <w:tcPr>
            <w:tcW w:w="405" w:type="pct"/>
            <w:vAlign w:val="bottom"/>
          </w:tcPr>
          <w:p w:rsidR="00CE3ABE" w:rsidRPr="00BD7D70" w:rsidRDefault="00CE3ABE" w:rsidP="008571E0">
            <w:pPr>
              <w:pStyle w:val="TableRowNormal"/>
            </w:pPr>
            <w:r w:rsidRPr="00BD7D70">
              <w:t>-0.2</w:t>
            </w:r>
          </w:p>
        </w:tc>
        <w:tc>
          <w:tcPr>
            <w:tcW w:w="405" w:type="pct"/>
            <w:vAlign w:val="bottom"/>
          </w:tcPr>
          <w:p w:rsidR="00CE3ABE" w:rsidRPr="00BD7D70" w:rsidRDefault="00CE3ABE" w:rsidP="008571E0">
            <w:pPr>
              <w:pStyle w:val="TableRowNormal"/>
            </w:pPr>
            <w:r w:rsidRPr="00BD7D70">
              <w:t>5.5</w:t>
            </w:r>
          </w:p>
        </w:tc>
        <w:tc>
          <w:tcPr>
            <w:tcW w:w="405" w:type="pct"/>
            <w:vAlign w:val="bottom"/>
          </w:tcPr>
          <w:p w:rsidR="00CE3ABE" w:rsidRPr="00BD7D70" w:rsidRDefault="00CE3ABE" w:rsidP="008571E0">
            <w:pPr>
              <w:pStyle w:val="TableRowNormal"/>
            </w:pPr>
            <w:r w:rsidRPr="00BD7D70">
              <w:t>-2.5</w:t>
            </w:r>
          </w:p>
        </w:tc>
        <w:tc>
          <w:tcPr>
            <w:tcW w:w="405" w:type="pct"/>
            <w:vAlign w:val="bottom"/>
          </w:tcPr>
          <w:p w:rsidR="00CE3ABE" w:rsidRPr="00BD7D70" w:rsidRDefault="00CE3ABE" w:rsidP="008571E0">
            <w:pPr>
              <w:pStyle w:val="TableRowNormal"/>
            </w:pPr>
            <w:r w:rsidRPr="00BD7D70">
              <w:t>-7.0</w:t>
            </w:r>
          </w:p>
        </w:tc>
        <w:tc>
          <w:tcPr>
            <w:tcW w:w="405" w:type="pct"/>
            <w:vAlign w:val="bottom"/>
          </w:tcPr>
          <w:p w:rsidR="00CE3ABE" w:rsidRPr="00BD7D70" w:rsidRDefault="00CE3ABE" w:rsidP="008571E0">
            <w:pPr>
              <w:pStyle w:val="TableRowNormal"/>
            </w:pPr>
            <w:r w:rsidRPr="00BD7D70">
              <w:t>5.6</w:t>
            </w:r>
          </w:p>
        </w:tc>
        <w:tc>
          <w:tcPr>
            <w:tcW w:w="405" w:type="pct"/>
            <w:vAlign w:val="bottom"/>
          </w:tcPr>
          <w:p w:rsidR="00CE3ABE" w:rsidRPr="00BD7D70" w:rsidRDefault="00CE3ABE" w:rsidP="008571E0">
            <w:pPr>
              <w:pStyle w:val="TableRowNormal"/>
            </w:pPr>
            <w:r w:rsidRPr="00BD7D70">
              <w:t>6.0</w:t>
            </w:r>
          </w:p>
        </w:tc>
      </w:tr>
      <w:tr w:rsidR="00CE3ABE" w:rsidRPr="00802AC1" w:rsidTr="00CE3ABE">
        <w:tc>
          <w:tcPr>
            <w:tcW w:w="1759" w:type="pct"/>
            <w:tcBorders>
              <w:bottom w:val="single" w:sz="4" w:space="0" w:color="auto"/>
            </w:tcBorders>
            <w:vAlign w:val="bottom"/>
          </w:tcPr>
          <w:p w:rsidR="00CE3ABE" w:rsidRPr="00BC309B" w:rsidRDefault="00CE3ABE" w:rsidP="008571E0">
            <w:pPr>
              <w:pStyle w:val="TableRowNormal"/>
              <w:jc w:val="left"/>
            </w:pPr>
            <w:r>
              <w:t>2016-17</w:t>
            </w:r>
          </w:p>
        </w:tc>
        <w:tc>
          <w:tcPr>
            <w:tcW w:w="405" w:type="pct"/>
            <w:tcBorders>
              <w:bottom w:val="single" w:sz="4" w:space="0" w:color="auto"/>
            </w:tcBorders>
            <w:vAlign w:val="bottom"/>
          </w:tcPr>
          <w:p w:rsidR="00CE3ABE" w:rsidRPr="00BD7D70" w:rsidRDefault="00CE3ABE" w:rsidP="008571E0">
            <w:pPr>
              <w:pStyle w:val="TableRowNormal"/>
            </w:pPr>
            <w:r w:rsidRPr="00BD7D70">
              <w:t>0.2</w:t>
            </w:r>
          </w:p>
        </w:tc>
        <w:tc>
          <w:tcPr>
            <w:tcW w:w="405" w:type="pct"/>
            <w:tcBorders>
              <w:bottom w:val="single" w:sz="4" w:space="0" w:color="auto"/>
            </w:tcBorders>
            <w:vAlign w:val="bottom"/>
          </w:tcPr>
          <w:p w:rsidR="00CE3ABE" w:rsidRPr="00BD7D70" w:rsidRDefault="00CE3ABE" w:rsidP="008571E0">
            <w:pPr>
              <w:pStyle w:val="TableRowNormal"/>
            </w:pPr>
            <w:r w:rsidRPr="00BD7D70">
              <w:t>-1.0</w:t>
            </w:r>
          </w:p>
        </w:tc>
        <w:tc>
          <w:tcPr>
            <w:tcW w:w="405" w:type="pct"/>
            <w:tcBorders>
              <w:bottom w:val="single" w:sz="4" w:space="0" w:color="auto"/>
            </w:tcBorders>
            <w:vAlign w:val="bottom"/>
          </w:tcPr>
          <w:p w:rsidR="00CE3ABE" w:rsidRPr="00BD7D70" w:rsidRDefault="00CE3ABE" w:rsidP="008571E0">
            <w:pPr>
              <w:pStyle w:val="TableRowNormal"/>
            </w:pPr>
            <w:r w:rsidRPr="00BD7D70">
              <w:t>-1.1</w:t>
            </w:r>
          </w:p>
        </w:tc>
        <w:tc>
          <w:tcPr>
            <w:tcW w:w="405" w:type="pct"/>
            <w:tcBorders>
              <w:bottom w:val="single" w:sz="4" w:space="0" w:color="auto"/>
            </w:tcBorders>
            <w:vAlign w:val="bottom"/>
          </w:tcPr>
          <w:p w:rsidR="00CE3ABE" w:rsidRPr="00BD7D70" w:rsidRDefault="00CE3ABE" w:rsidP="008571E0">
            <w:pPr>
              <w:pStyle w:val="TableRowNormal"/>
            </w:pPr>
            <w:r w:rsidRPr="00BD7D70">
              <w:t>5.1</w:t>
            </w:r>
          </w:p>
        </w:tc>
        <w:tc>
          <w:tcPr>
            <w:tcW w:w="405" w:type="pct"/>
            <w:tcBorders>
              <w:bottom w:val="single" w:sz="4" w:space="0" w:color="auto"/>
            </w:tcBorders>
            <w:vAlign w:val="bottom"/>
          </w:tcPr>
          <w:p w:rsidR="00CE3ABE" w:rsidRPr="00BD7D70" w:rsidRDefault="00CE3ABE" w:rsidP="008571E0">
            <w:pPr>
              <w:pStyle w:val="TableRowNormal"/>
            </w:pPr>
            <w:r w:rsidRPr="00BD7D70">
              <w:t>-2.1</w:t>
            </w:r>
          </w:p>
        </w:tc>
        <w:tc>
          <w:tcPr>
            <w:tcW w:w="405" w:type="pct"/>
            <w:tcBorders>
              <w:bottom w:val="single" w:sz="4" w:space="0" w:color="auto"/>
            </w:tcBorders>
            <w:vAlign w:val="bottom"/>
          </w:tcPr>
          <w:p w:rsidR="00CE3ABE" w:rsidRPr="00BD7D70" w:rsidRDefault="00CE3ABE" w:rsidP="008571E0">
            <w:pPr>
              <w:pStyle w:val="TableRowNormal"/>
            </w:pPr>
            <w:r w:rsidRPr="00BD7D70">
              <w:t>-8.4</w:t>
            </w:r>
          </w:p>
        </w:tc>
        <w:tc>
          <w:tcPr>
            <w:tcW w:w="405" w:type="pct"/>
            <w:tcBorders>
              <w:bottom w:val="single" w:sz="4" w:space="0" w:color="auto"/>
            </w:tcBorders>
            <w:vAlign w:val="bottom"/>
          </w:tcPr>
          <w:p w:rsidR="00CE3ABE" w:rsidRPr="00BD7D70" w:rsidRDefault="00CE3ABE" w:rsidP="008571E0">
            <w:pPr>
              <w:pStyle w:val="TableRowNormal"/>
            </w:pPr>
            <w:r w:rsidRPr="00BD7D70">
              <w:t>7.2</w:t>
            </w:r>
          </w:p>
        </w:tc>
        <w:tc>
          <w:tcPr>
            <w:tcW w:w="405" w:type="pct"/>
            <w:tcBorders>
              <w:bottom w:val="single" w:sz="4" w:space="0" w:color="auto"/>
            </w:tcBorders>
            <w:vAlign w:val="bottom"/>
          </w:tcPr>
          <w:p w:rsidR="00CE3ABE" w:rsidRPr="00BD7D70" w:rsidRDefault="00CE3ABE" w:rsidP="008571E0">
            <w:pPr>
              <w:pStyle w:val="TableRowNormal"/>
            </w:pPr>
            <w:r w:rsidRPr="00BD7D70">
              <w:t>6.6</w:t>
            </w:r>
          </w:p>
        </w:tc>
      </w:tr>
    </w:tbl>
    <w:p w:rsidR="00CE3ABE" w:rsidRDefault="00CE3ABE" w:rsidP="00D24E2D">
      <w:pPr>
        <w:pStyle w:val="CGCTableFootnote"/>
        <w:keepNext/>
        <w:keepLines/>
      </w:pPr>
      <w:r>
        <w:t>Source:</w:t>
      </w:r>
      <w:r w:rsidR="00EE1A2E">
        <w:t xml:space="preserve"> </w:t>
      </w:r>
      <w:r w:rsidR="00EE1A2E">
        <w:tab/>
      </w:r>
      <w:r>
        <w:t>Commission staff calculation</w:t>
      </w:r>
      <w:r w:rsidR="008571E0">
        <w:t>.</w:t>
      </w:r>
    </w:p>
    <w:p w:rsidR="009D1E4D" w:rsidRDefault="004352C8" w:rsidP="009D1E4D">
      <w:pPr>
        <w:pStyle w:val="CGCNumberedPara"/>
        <w:keepLines/>
      </w:pPr>
      <w:r>
        <w:t xml:space="preserve">The modelled outcomes </w:t>
      </w:r>
      <w:r w:rsidR="009D1E4D">
        <w:t xml:space="preserve">are then </w:t>
      </w:r>
      <w:r>
        <w:t>discounted by 12.5%.</w:t>
      </w:r>
      <w:r>
        <w:rPr>
          <w:rStyle w:val="FootnoteReference"/>
        </w:rPr>
        <w:footnoteReference w:id="2"/>
      </w:r>
      <w:r>
        <w:t xml:space="preserve"> </w:t>
      </w:r>
      <w:r>
        <w:fldChar w:fldCharType="begin"/>
      </w:r>
      <w:r>
        <w:instrText xml:space="preserve"> REF _Ref468443887 \h </w:instrText>
      </w:r>
      <w:r>
        <w:fldChar w:fldCharType="separate"/>
      </w:r>
      <w:r w:rsidR="00D6244E">
        <w:t xml:space="preserve">Figure </w:t>
      </w:r>
      <w:proofErr w:type="gramStart"/>
      <w:r w:rsidR="00D6244E">
        <w:rPr>
          <w:noProof/>
        </w:rPr>
        <w:t>1</w:t>
      </w:r>
      <w:r>
        <w:fldChar w:fldCharType="end"/>
      </w:r>
      <w:r w:rsidR="009D1E4D">
        <w:t xml:space="preserve"> shows</w:t>
      </w:r>
      <w:proofErr w:type="gramEnd"/>
      <w:r w:rsidR="009D1E4D">
        <w:t xml:space="preserve"> the </w:t>
      </w:r>
      <w:r>
        <w:t>discounted modelled outcomes produced in the 2018 Update.</w:t>
      </w:r>
      <w:r w:rsidR="009D1E4D">
        <w:t xml:space="preserve"> New South Wales, Western Australia, the Australian Capital Territory and the Northern Territory were assessed to have above average wage costs in all years. The other States were assessed to have below average wage costs. </w:t>
      </w:r>
    </w:p>
    <w:p w:rsidR="00591BD2" w:rsidRDefault="00591BD2" w:rsidP="00591BD2">
      <w:pPr>
        <w:pStyle w:val="CGCTableHeading"/>
        <w:spacing w:after="0"/>
      </w:pPr>
      <w:bookmarkStart w:id="11" w:name="_Ref468443887"/>
      <w:r>
        <w:t xml:space="preserve">Figure </w:t>
      </w:r>
      <w:fldSimple w:instr=" SEQ Figure \r 1\* ARABIC ">
        <w:r w:rsidR="00D6244E">
          <w:rPr>
            <w:noProof/>
          </w:rPr>
          <w:t>1</w:t>
        </w:r>
      </w:fldSimple>
      <w:bookmarkEnd w:id="11"/>
      <w:r>
        <w:tab/>
        <w:t xml:space="preserve">Discounted </w:t>
      </w:r>
      <w:r w:rsidR="004352C8">
        <w:t>modelled outcomes</w:t>
      </w:r>
      <w:r>
        <w:t>, 2018 Update</w:t>
      </w:r>
    </w:p>
    <w:p w:rsidR="00062670" w:rsidRDefault="00062670" w:rsidP="00591BD2">
      <w:pPr>
        <w:pStyle w:val="CGCNumberedPara"/>
        <w:numPr>
          <w:ilvl w:val="0"/>
          <w:numId w:val="0"/>
        </w:numPr>
        <w:ind w:left="567" w:hanging="567"/>
        <w:rPr>
          <w:noProof/>
          <w:lang w:eastAsia="en-AU"/>
        </w:rPr>
      </w:pPr>
      <w:r w:rsidRPr="00062670">
        <w:rPr>
          <w:noProof/>
          <w:lang w:eastAsia="en-AU"/>
        </w:rPr>
        <w:drawing>
          <wp:inline distT="0" distB="0" distL="0" distR="0" wp14:anchorId="0F076F40" wp14:editId="2B43B10F">
            <wp:extent cx="5619750" cy="3486150"/>
            <wp:effectExtent l="0" t="0" r="0" b="0"/>
            <wp:docPr id="2" name="Picture 2" descr="This figure shows the discounted modelled outcomes produced in the 2018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0" cy="3486150"/>
                    </a:xfrm>
                    <a:prstGeom prst="rect">
                      <a:avLst/>
                    </a:prstGeom>
                    <a:noFill/>
                    <a:ln>
                      <a:noFill/>
                    </a:ln>
                  </pic:spPr>
                </pic:pic>
              </a:graphicData>
            </a:graphic>
          </wp:inline>
        </w:drawing>
      </w:r>
    </w:p>
    <w:p w:rsidR="00CE3ABE" w:rsidRDefault="00591BD2" w:rsidP="00062670">
      <w:pPr>
        <w:pStyle w:val="CGCTableFootnote"/>
      </w:pPr>
      <w:r w:rsidRPr="00062670">
        <w:t>Source:</w:t>
      </w:r>
      <w:r w:rsidRPr="00062670">
        <w:tab/>
        <w:t xml:space="preserve">Indexed SET results for 2013-14. </w:t>
      </w:r>
      <w:proofErr w:type="spellStart"/>
      <w:r w:rsidRPr="00062670">
        <w:t>CoES</w:t>
      </w:r>
      <w:proofErr w:type="spellEnd"/>
      <w:r w:rsidRPr="00062670">
        <w:t xml:space="preserve"> results for 2014-15, 2015-16 and 2016-17.</w:t>
      </w:r>
    </w:p>
    <w:p w:rsidR="00023BE8" w:rsidRDefault="00023BE8" w:rsidP="006A2568">
      <w:pPr>
        <w:pStyle w:val="CGCNumberedPara"/>
      </w:pPr>
      <w:r>
        <w:t xml:space="preserve">The </w:t>
      </w:r>
      <w:r w:rsidR="004352C8">
        <w:t>discounted modelled outcomes</w:t>
      </w:r>
      <w:r>
        <w:t xml:space="preserve"> are applied to </w:t>
      </w:r>
      <w:r w:rsidR="004352C8">
        <w:t>the proportion of expenses in each category attributable to labour costs</w:t>
      </w:r>
      <w:r>
        <w:t xml:space="preserve">. </w:t>
      </w:r>
      <w:r w:rsidR="008A04B7">
        <w:t>In its review of the assessment</w:t>
      </w:r>
      <w:r w:rsidR="00F43064">
        <w:t xml:space="preserve"> in the 2016 Update</w:t>
      </w:r>
      <w:r w:rsidR="008A04B7">
        <w:t xml:space="preserve">, the Commission decided to calculate those proportions </w:t>
      </w:r>
      <w:r w:rsidR="009D1E4D">
        <w:t xml:space="preserve">using GFS </w:t>
      </w:r>
      <w:r w:rsidR="008A04B7">
        <w:t xml:space="preserve">data for </w:t>
      </w:r>
      <w:r w:rsidR="008A04B7">
        <w:lastRenderedPageBreak/>
        <w:t xml:space="preserve">2011-12 to 2013-14. It decided to keep the proportions fixed in subsequent updates, since they were relatively stable </w:t>
      </w:r>
      <w:r w:rsidR="00C15371">
        <w:t>over time</w:t>
      </w:r>
      <w:r w:rsidR="008A04B7">
        <w:t>.</w:t>
      </w:r>
    </w:p>
    <w:p w:rsidR="000E74FC" w:rsidRDefault="00023BE8" w:rsidP="006A2568">
      <w:pPr>
        <w:pStyle w:val="CGCNumberedPara"/>
      </w:pPr>
      <w:r>
        <w:fldChar w:fldCharType="begin"/>
      </w:r>
      <w:r>
        <w:instrText xml:space="preserve"> REF _Ref468701492 \h </w:instrText>
      </w:r>
      <w:r>
        <w:fldChar w:fldCharType="separate"/>
      </w:r>
      <w:r w:rsidR="00D6244E">
        <w:t>Table </w:t>
      </w:r>
      <w:r w:rsidR="00D6244E">
        <w:rPr>
          <w:noProof/>
        </w:rPr>
        <w:t>2</w:t>
      </w:r>
      <w:r>
        <w:fldChar w:fldCharType="end"/>
      </w:r>
      <w:r>
        <w:t xml:space="preserve"> shows the wage costs proportions for each category</w:t>
      </w:r>
      <w:r w:rsidR="000E74FC">
        <w:t xml:space="preserve">. </w:t>
      </w:r>
      <w:r w:rsidR="00917EC7">
        <w:t xml:space="preserve">The Commission decided to set the wage proportions in </w:t>
      </w:r>
      <w:r w:rsidR="00F43064">
        <w:t xml:space="preserve">the </w:t>
      </w:r>
      <w:r w:rsidR="000E74FC">
        <w:t xml:space="preserve">Housing, </w:t>
      </w:r>
      <w:r w:rsidR="00917EC7">
        <w:t>R</w:t>
      </w:r>
      <w:r w:rsidR="000E74FC">
        <w:t xml:space="preserve">oads and </w:t>
      </w:r>
      <w:r w:rsidR="00917EC7">
        <w:t>T</w:t>
      </w:r>
      <w:r w:rsidR="000E74FC">
        <w:t>ransport</w:t>
      </w:r>
      <w:r w:rsidR="00F43064">
        <w:t xml:space="preserve"> categories</w:t>
      </w:r>
      <w:r w:rsidR="000E74FC">
        <w:t xml:space="preserve"> to the average of the other categories, </w:t>
      </w:r>
      <w:r w:rsidR="00F43064">
        <w:t>because it considered</w:t>
      </w:r>
      <w:r w:rsidR="00917EC7">
        <w:t xml:space="preserve"> a significant amount of wage expenses in these categories were classified as other types of expenses, such as payments to contractors</w:t>
      </w:r>
      <w:r w:rsidR="000E74FC">
        <w:t>.</w:t>
      </w:r>
    </w:p>
    <w:p w:rsidR="00F43064" w:rsidRDefault="00F43064" w:rsidP="006A2568">
      <w:pPr>
        <w:pStyle w:val="CGCNumberedPara"/>
      </w:pPr>
      <w:r>
        <w:t>The Commission decided to set the wage proportion of administrative scale expenses at 80%.</w:t>
      </w:r>
    </w:p>
    <w:p w:rsidR="006A2568" w:rsidRDefault="006A2568" w:rsidP="006A2568">
      <w:pPr>
        <w:pStyle w:val="CGCTableHeading"/>
      </w:pPr>
      <w:bookmarkStart w:id="12" w:name="_Ref468701492"/>
      <w:r>
        <w:t>Table </w:t>
      </w:r>
      <w:fldSimple w:instr=" SEQ Table \* ARABIC ">
        <w:r w:rsidR="00D6244E">
          <w:rPr>
            <w:noProof/>
          </w:rPr>
          <w:t>2</w:t>
        </w:r>
      </w:fldSimple>
      <w:bookmarkEnd w:id="12"/>
      <w:r>
        <w:tab/>
        <w:t xml:space="preserve">Wage costs by category, </w:t>
      </w:r>
      <w:r w:rsidR="00535578">
        <w:t>2013-14 to 2015-16 averages</w:t>
      </w:r>
    </w:p>
    <w:tbl>
      <w:tblPr>
        <w:tblW w:w="4951" w:type="pct"/>
        <w:tblLayout w:type="fixed"/>
        <w:tblCellMar>
          <w:left w:w="0" w:type="dxa"/>
          <w:right w:w="0" w:type="dxa"/>
        </w:tblCellMar>
        <w:tblLook w:val="0000" w:firstRow="0" w:lastRow="0" w:firstColumn="0" w:lastColumn="0" w:noHBand="0" w:noVBand="0"/>
      </w:tblPr>
      <w:tblGrid>
        <w:gridCol w:w="3257"/>
        <w:gridCol w:w="1402"/>
        <w:gridCol w:w="1402"/>
        <w:gridCol w:w="1402"/>
        <w:gridCol w:w="1400"/>
      </w:tblGrid>
      <w:tr w:rsidR="00D263E8" w:rsidRPr="0064373E" w:rsidTr="00D263E8">
        <w:trPr>
          <w:trHeight w:val="305"/>
        </w:trPr>
        <w:tc>
          <w:tcPr>
            <w:tcW w:w="1837" w:type="pct"/>
            <w:tcBorders>
              <w:top w:val="single" w:sz="6" w:space="0" w:color="auto"/>
              <w:bottom w:val="single" w:sz="6" w:space="0" w:color="auto"/>
            </w:tcBorders>
            <w:vAlign w:val="center"/>
          </w:tcPr>
          <w:p w:rsidR="00D263E8" w:rsidRPr="008571E0" w:rsidRDefault="00D263E8" w:rsidP="008571E0">
            <w:pPr>
              <w:pStyle w:val="TableColHeadings"/>
              <w:jc w:val="left"/>
            </w:pPr>
            <w:r w:rsidRPr="008571E0">
              <w:t>Category</w:t>
            </w:r>
          </w:p>
        </w:tc>
        <w:tc>
          <w:tcPr>
            <w:tcW w:w="791" w:type="pct"/>
            <w:tcBorders>
              <w:top w:val="single" w:sz="6" w:space="0" w:color="auto"/>
              <w:bottom w:val="single" w:sz="6" w:space="0" w:color="auto"/>
            </w:tcBorders>
            <w:vAlign w:val="center"/>
          </w:tcPr>
          <w:p w:rsidR="00D263E8" w:rsidRPr="008571E0" w:rsidRDefault="00D263E8" w:rsidP="008571E0">
            <w:pPr>
              <w:pStyle w:val="TableColHeadings"/>
            </w:pPr>
            <w:r w:rsidRPr="008571E0">
              <w:t xml:space="preserve">Wage </w:t>
            </w:r>
            <w:r w:rsidR="008571E0" w:rsidRPr="008571E0">
              <w:t>expenses</w:t>
            </w:r>
          </w:p>
        </w:tc>
        <w:tc>
          <w:tcPr>
            <w:tcW w:w="791" w:type="pct"/>
            <w:tcBorders>
              <w:top w:val="single" w:sz="6" w:space="0" w:color="auto"/>
              <w:bottom w:val="single" w:sz="6" w:space="0" w:color="auto"/>
            </w:tcBorders>
            <w:vAlign w:val="center"/>
          </w:tcPr>
          <w:p w:rsidR="00D263E8" w:rsidRPr="008571E0" w:rsidRDefault="00D263E8" w:rsidP="008571E0">
            <w:pPr>
              <w:pStyle w:val="TableColHeadings"/>
            </w:pPr>
            <w:r w:rsidRPr="008571E0">
              <w:t>Non-wage expenses</w:t>
            </w:r>
          </w:p>
        </w:tc>
        <w:tc>
          <w:tcPr>
            <w:tcW w:w="791" w:type="pct"/>
            <w:tcBorders>
              <w:top w:val="single" w:sz="6" w:space="0" w:color="auto"/>
              <w:bottom w:val="single" w:sz="6" w:space="0" w:color="auto"/>
            </w:tcBorders>
            <w:vAlign w:val="center"/>
          </w:tcPr>
          <w:p w:rsidR="00D263E8" w:rsidRPr="008571E0" w:rsidRDefault="00D263E8" w:rsidP="008571E0">
            <w:pPr>
              <w:pStyle w:val="TableColHeadings"/>
            </w:pPr>
            <w:r w:rsidRPr="008571E0">
              <w:t>Proportion</w:t>
            </w:r>
          </w:p>
        </w:tc>
        <w:tc>
          <w:tcPr>
            <w:tcW w:w="790" w:type="pct"/>
            <w:tcBorders>
              <w:top w:val="single" w:sz="6" w:space="0" w:color="auto"/>
              <w:bottom w:val="single" w:sz="6" w:space="0" w:color="auto"/>
            </w:tcBorders>
            <w:vAlign w:val="center"/>
          </w:tcPr>
          <w:p w:rsidR="00D263E8" w:rsidRPr="008571E0" w:rsidRDefault="00D263E8" w:rsidP="008571E0">
            <w:pPr>
              <w:pStyle w:val="TableColHeadings"/>
            </w:pPr>
            <w:r w:rsidRPr="008571E0">
              <w:t xml:space="preserve">Assessed </w:t>
            </w:r>
            <w:r w:rsidR="008571E0" w:rsidRPr="008571E0">
              <w:t>proportion</w:t>
            </w:r>
          </w:p>
        </w:tc>
      </w:tr>
      <w:tr w:rsidR="00D263E8" w:rsidRPr="0064373E" w:rsidTr="00D263E8">
        <w:trPr>
          <w:trHeight w:val="305"/>
        </w:trPr>
        <w:tc>
          <w:tcPr>
            <w:tcW w:w="1837" w:type="pct"/>
            <w:tcMar>
              <w:top w:w="0" w:type="dxa"/>
              <w:bottom w:w="0" w:type="dxa"/>
            </w:tcMar>
            <w:vAlign w:val="bottom"/>
          </w:tcPr>
          <w:p w:rsidR="00D263E8" w:rsidRPr="004C2420" w:rsidRDefault="00D263E8" w:rsidP="008571E0">
            <w:pPr>
              <w:pStyle w:val="TableRowUnits"/>
            </w:pPr>
          </w:p>
        </w:tc>
        <w:tc>
          <w:tcPr>
            <w:tcW w:w="791" w:type="pct"/>
            <w:tcMar>
              <w:top w:w="0" w:type="dxa"/>
              <w:bottom w:w="0" w:type="dxa"/>
            </w:tcMar>
            <w:vAlign w:val="bottom"/>
          </w:tcPr>
          <w:p w:rsidR="00D263E8" w:rsidRPr="004C2420" w:rsidRDefault="00D263E8" w:rsidP="008571E0">
            <w:pPr>
              <w:pStyle w:val="TableRowUnits"/>
            </w:pPr>
            <w:r w:rsidRPr="004C2420">
              <w:t>$m</w:t>
            </w:r>
          </w:p>
        </w:tc>
        <w:tc>
          <w:tcPr>
            <w:tcW w:w="791" w:type="pct"/>
            <w:tcMar>
              <w:top w:w="0" w:type="dxa"/>
              <w:bottom w:w="0" w:type="dxa"/>
            </w:tcMar>
            <w:vAlign w:val="bottom"/>
          </w:tcPr>
          <w:p w:rsidR="00D263E8" w:rsidRPr="004C2420" w:rsidRDefault="00D263E8" w:rsidP="008571E0">
            <w:pPr>
              <w:pStyle w:val="TableRowUnits"/>
            </w:pPr>
            <w:r w:rsidRPr="004C2420">
              <w:t>$m</w:t>
            </w:r>
          </w:p>
        </w:tc>
        <w:tc>
          <w:tcPr>
            <w:tcW w:w="791" w:type="pct"/>
            <w:tcMar>
              <w:top w:w="0" w:type="dxa"/>
              <w:bottom w:w="0" w:type="dxa"/>
            </w:tcMar>
            <w:vAlign w:val="bottom"/>
          </w:tcPr>
          <w:p w:rsidR="00D263E8" w:rsidRPr="004C2420" w:rsidRDefault="00D263E8" w:rsidP="008571E0">
            <w:pPr>
              <w:pStyle w:val="TableRowUnits"/>
            </w:pPr>
            <w:r>
              <w:t>%</w:t>
            </w:r>
          </w:p>
        </w:tc>
        <w:tc>
          <w:tcPr>
            <w:tcW w:w="790" w:type="pct"/>
            <w:tcMar>
              <w:top w:w="0" w:type="dxa"/>
              <w:bottom w:w="0" w:type="dxa"/>
            </w:tcMar>
            <w:vAlign w:val="bottom"/>
          </w:tcPr>
          <w:p w:rsidR="00D263E8" w:rsidRPr="004C2420" w:rsidRDefault="00D263E8" w:rsidP="008571E0">
            <w:pPr>
              <w:pStyle w:val="TableRowUnits"/>
            </w:pPr>
            <w:r>
              <w:t>%</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 xml:space="preserve">School </w:t>
            </w:r>
            <w:r>
              <w:t>e</w:t>
            </w:r>
            <w:r w:rsidRPr="004C2420">
              <w:t>ducation</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25 687</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8</w:t>
            </w:r>
            <w:r w:rsidR="00B2590A">
              <w:rPr>
                <w:rFonts w:ascii="Calibri" w:hAnsi="Calibri"/>
              </w:rPr>
              <w:t xml:space="preserve"> </w:t>
            </w:r>
            <w:r w:rsidRPr="00D263E8">
              <w:rPr>
                <w:rFonts w:ascii="Calibri" w:hAnsi="Calibri"/>
              </w:rPr>
              <w:t>324</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76</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76</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Post-secondary education</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3 479</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1</w:t>
            </w:r>
            <w:r w:rsidR="00B2590A">
              <w:rPr>
                <w:rFonts w:ascii="Calibri" w:hAnsi="Calibri"/>
              </w:rPr>
              <w:t xml:space="preserve"> </w:t>
            </w:r>
            <w:r w:rsidRPr="00D263E8">
              <w:rPr>
                <w:rFonts w:ascii="Calibri" w:hAnsi="Calibri"/>
              </w:rPr>
              <w:t>435</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71</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71</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Health</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38 786</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20</w:t>
            </w:r>
            <w:r w:rsidR="00B2590A">
              <w:rPr>
                <w:rFonts w:ascii="Calibri" w:hAnsi="Calibri"/>
              </w:rPr>
              <w:t xml:space="preserve"> </w:t>
            </w:r>
            <w:r w:rsidRPr="00D263E8">
              <w:rPr>
                <w:rFonts w:ascii="Calibri" w:hAnsi="Calibri"/>
              </w:rPr>
              <w:t>841</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65</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65</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Housing</w:t>
            </w:r>
            <w:r w:rsidR="007A66DE">
              <w:t>(a)</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 xml:space="preserve"> 519</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2</w:t>
            </w:r>
            <w:r w:rsidR="00B2590A">
              <w:rPr>
                <w:rFonts w:ascii="Calibri" w:hAnsi="Calibri"/>
              </w:rPr>
              <w:t xml:space="preserve"> </w:t>
            </w:r>
            <w:r w:rsidRPr="00D263E8">
              <w:rPr>
                <w:rFonts w:ascii="Calibri" w:hAnsi="Calibri"/>
              </w:rPr>
              <w:t>045</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20</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59</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Welfare</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4 543</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7</w:t>
            </w:r>
            <w:r w:rsidR="00B2590A">
              <w:rPr>
                <w:rFonts w:ascii="Calibri" w:hAnsi="Calibri"/>
              </w:rPr>
              <w:t xml:space="preserve"> </w:t>
            </w:r>
            <w:r w:rsidRPr="00D263E8">
              <w:rPr>
                <w:rFonts w:ascii="Calibri" w:hAnsi="Calibri"/>
              </w:rPr>
              <w:t>286</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38</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38</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Services to communities</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1 588</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3</w:t>
            </w:r>
            <w:r w:rsidR="00B2590A">
              <w:rPr>
                <w:rFonts w:ascii="Calibri" w:hAnsi="Calibri"/>
              </w:rPr>
              <w:t xml:space="preserve"> </w:t>
            </w:r>
            <w:r w:rsidRPr="00D263E8">
              <w:rPr>
                <w:rFonts w:ascii="Calibri" w:hAnsi="Calibri"/>
              </w:rPr>
              <w:t>303</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32</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32</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Justice</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12 767</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4</w:t>
            </w:r>
            <w:r w:rsidR="00B2590A">
              <w:rPr>
                <w:rFonts w:ascii="Calibri" w:hAnsi="Calibri"/>
              </w:rPr>
              <w:t xml:space="preserve"> </w:t>
            </w:r>
            <w:r w:rsidRPr="00D263E8">
              <w:rPr>
                <w:rFonts w:ascii="Calibri" w:hAnsi="Calibri"/>
              </w:rPr>
              <w:t>785</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73</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73</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Roads</w:t>
            </w:r>
            <w:r w:rsidR="007A66DE">
              <w:t>(a)</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1 530</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5</w:t>
            </w:r>
            <w:r w:rsidR="00B2590A">
              <w:rPr>
                <w:rFonts w:ascii="Calibri" w:hAnsi="Calibri"/>
              </w:rPr>
              <w:t xml:space="preserve"> </w:t>
            </w:r>
            <w:r w:rsidRPr="00D263E8">
              <w:rPr>
                <w:rFonts w:ascii="Calibri" w:hAnsi="Calibri"/>
              </w:rPr>
              <w:t>221</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23</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59</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Transport</w:t>
            </w:r>
            <w:r w:rsidR="007A66DE">
              <w:t>(a)</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 xml:space="preserve"> 749</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5</w:t>
            </w:r>
            <w:r w:rsidR="00B2590A">
              <w:rPr>
                <w:rFonts w:ascii="Calibri" w:hAnsi="Calibri"/>
              </w:rPr>
              <w:t xml:space="preserve"> </w:t>
            </w:r>
            <w:r w:rsidRPr="00D263E8">
              <w:rPr>
                <w:rFonts w:ascii="Calibri" w:hAnsi="Calibri"/>
              </w:rPr>
              <w:t>215</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13</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59</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Services to industry</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2 486</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2</w:t>
            </w:r>
            <w:r w:rsidR="00B2590A">
              <w:rPr>
                <w:rFonts w:ascii="Calibri" w:hAnsi="Calibri"/>
              </w:rPr>
              <w:t xml:space="preserve"> </w:t>
            </w:r>
            <w:r w:rsidRPr="00D263E8">
              <w:rPr>
                <w:rFonts w:ascii="Calibri" w:hAnsi="Calibri"/>
              </w:rPr>
              <w:t>612</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49</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49</w:t>
            </w:r>
          </w:p>
        </w:tc>
      </w:tr>
      <w:tr w:rsidR="00D263E8" w:rsidRPr="0064373E" w:rsidTr="00D263E8">
        <w:trPr>
          <w:trHeight w:val="338"/>
        </w:trPr>
        <w:tc>
          <w:tcPr>
            <w:tcW w:w="1837" w:type="pct"/>
            <w:vAlign w:val="bottom"/>
          </w:tcPr>
          <w:p w:rsidR="00D263E8" w:rsidRPr="004C2420" w:rsidRDefault="00D263E8" w:rsidP="008571E0">
            <w:pPr>
              <w:pStyle w:val="TableRowNormal"/>
              <w:jc w:val="left"/>
            </w:pPr>
            <w:r w:rsidRPr="004C2420">
              <w:t>Other expenses</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7 595</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18</w:t>
            </w:r>
            <w:r w:rsidR="00B2590A">
              <w:rPr>
                <w:rFonts w:ascii="Calibri" w:hAnsi="Calibri"/>
              </w:rPr>
              <w:t xml:space="preserve"> </w:t>
            </w:r>
            <w:r w:rsidRPr="00D263E8">
              <w:rPr>
                <w:rFonts w:ascii="Calibri" w:hAnsi="Calibri"/>
              </w:rPr>
              <w:t>263</w:t>
            </w:r>
          </w:p>
        </w:tc>
        <w:tc>
          <w:tcPr>
            <w:tcW w:w="791" w:type="pct"/>
            <w:vAlign w:val="bottom"/>
          </w:tcPr>
          <w:p w:rsidR="00D263E8" w:rsidRPr="00D263E8" w:rsidRDefault="00D263E8" w:rsidP="008571E0">
            <w:pPr>
              <w:pStyle w:val="TableRowNormal"/>
              <w:rPr>
                <w:rFonts w:ascii="Calibri" w:hAnsi="Calibri"/>
              </w:rPr>
            </w:pPr>
            <w:r w:rsidRPr="00D263E8">
              <w:rPr>
                <w:rFonts w:ascii="Calibri" w:hAnsi="Calibri"/>
              </w:rPr>
              <w:t>29</w:t>
            </w:r>
          </w:p>
        </w:tc>
        <w:tc>
          <w:tcPr>
            <w:tcW w:w="790" w:type="pct"/>
            <w:vAlign w:val="bottom"/>
          </w:tcPr>
          <w:p w:rsidR="00D263E8" w:rsidRPr="00D263E8" w:rsidRDefault="00D263E8" w:rsidP="008571E0">
            <w:pPr>
              <w:pStyle w:val="TableRowNormal"/>
              <w:rPr>
                <w:rFonts w:ascii="Calibri" w:hAnsi="Calibri"/>
              </w:rPr>
            </w:pPr>
            <w:r w:rsidRPr="00D263E8">
              <w:rPr>
                <w:rFonts w:ascii="Calibri" w:hAnsi="Calibri"/>
              </w:rPr>
              <w:t>29</w:t>
            </w:r>
          </w:p>
        </w:tc>
      </w:tr>
      <w:tr w:rsidR="00D263E8" w:rsidRPr="0064373E" w:rsidTr="00D263E8">
        <w:trPr>
          <w:trHeight w:val="338"/>
        </w:trPr>
        <w:tc>
          <w:tcPr>
            <w:tcW w:w="1837" w:type="pct"/>
            <w:tcBorders>
              <w:bottom w:val="single" w:sz="4" w:space="0" w:color="auto"/>
            </w:tcBorders>
            <w:vAlign w:val="bottom"/>
          </w:tcPr>
          <w:p w:rsidR="00D263E8" w:rsidRPr="004C2420" w:rsidRDefault="00D263E8" w:rsidP="008571E0">
            <w:pPr>
              <w:pStyle w:val="TableRowNormal"/>
              <w:jc w:val="left"/>
            </w:pPr>
            <w:r w:rsidRPr="004C2420">
              <w:t xml:space="preserve">Total </w:t>
            </w:r>
            <w:proofErr w:type="spellStart"/>
            <w:r>
              <w:t>exc</w:t>
            </w:r>
            <w:proofErr w:type="spellEnd"/>
            <w:r>
              <w:t xml:space="preserve"> housing, roads and transport</w:t>
            </w:r>
          </w:p>
        </w:tc>
        <w:tc>
          <w:tcPr>
            <w:tcW w:w="791" w:type="pct"/>
            <w:tcBorders>
              <w:top w:val="single" w:sz="4" w:space="0" w:color="auto"/>
              <w:bottom w:val="single" w:sz="4" w:space="0" w:color="auto"/>
            </w:tcBorders>
            <w:vAlign w:val="bottom"/>
          </w:tcPr>
          <w:p w:rsidR="00D263E8" w:rsidRPr="00D263E8" w:rsidRDefault="00D263E8" w:rsidP="008571E0">
            <w:pPr>
              <w:pStyle w:val="TableRowNormal"/>
              <w:rPr>
                <w:rFonts w:ascii="Calibri" w:hAnsi="Calibri"/>
              </w:rPr>
            </w:pPr>
            <w:r w:rsidRPr="00D263E8">
              <w:rPr>
                <w:rFonts w:ascii="Calibri" w:hAnsi="Calibri"/>
              </w:rPr>
              <w:t>96 932</w:t>
            </w:r>
          </w:p>
        </w:tc>
        <w:tc>
          <w:tcPr>
            <w:tcW w:w="791" w:type="pct"/>
            <w:tcBorders>
              <w:top w:val="single" w:sz="4" w:space="0" w:color="auto"/>
              <w:bottom w:val="single" w:sz="4" w:space="0" w:color="auto"/>
            </w:tcBorders>
            <w:vAlign w:val="bottom"/>
          </w:tcPr>
          <w:p w:rsidR="00D263E8" w:rsidRPr="00D263E8" w:rsidRDefault="00D263E8" w:rsidP="008571E0">
            <w:pPr>
              <w:pStyle w:val="TableRowNormal"/>
              <w:rPr>
                <w:rFonts w:ascii="Calibri" w:hAnsi="Calibri"/>
              </w:rPr>
            </w:pPr>
            <w:r w:rsidRPr="00D263E8">
              <w:rPr>
                <w:rFonts w:ascii="Calibri" w:hAnsi="Calibri"/>
              </w:rPr>
              <w:t>66</w:t>
            </w:r>
            <w:r w:rsidR="00B2590A">
              <w:rPr>
                <w:rFonts w:ascii="Calibri" w:hAnsi="Calibri"/>
              </w:rPr>
              <w:t xml:space="preserve"> </w:t>
            </w:r>
            <w:r w:rsidRPr="00D263E8">
              <w:rPr>
                <w:rFonts w:ascii="Calibri" w:hAnsi="Calibri"/>
              </w:rPr>
              <w:t>849</w:t>
            </w:r>
          </w:p>
        </w:tc>
        <w:tc>
          <w:tcPr>
            <w:tcW w:w="791" w:type="pct"/>
            <w:tcBorders>
              <w:top w:val="single" w:sz="4" w:space="0" w:color="auto"/>
              <w:bottom w:val="single" w:sz="4" w:space="0" w:color="auto"/>
            </w:tcBorders>
            <w:vAlign w:val="bottom"/>
          </w:tcPr>
          <w:p w:rsidR="00D263E8" w:rsidRPr="00D263E8" w:rsidRDefault="00D263E8" w:rsidP="008571E0">
            <w:pPr>
              <w:pStyle w:val="TableRowNormal"/>
              <w:rPr>
                <w:rFonts w:ascii="Calibri" w:hAnsi="Calibri"/>
              </w:rPr>
            </w:pPr>
            <w:r w:rsidRPr="00D263E8">
              <w:rPr>
                <w:rFonts w:ascii="Calibri" w:hAnsi="Calibri"/>
              </w:rPr>
              <w:t>59</w:t>
            </w:r>
          </w:p>
        </w:tc>
        <w:tc>
          <w:tcPr>
            <w:tcW w:w="790" w:type="pct"/>
            <w:tcBorders>
              <w:top w:val="single" w:sz="4" w:space="0" w:color="auto"/>
              <w:bottom w:val="single" w:sz="4" w:space="0" w:color="auto"/>
            </w:tcBorders>
            <w:vAlign w:val="bottom"/>
          </w:tcPr>
          <w:p w:rsidR="00D263E8" w:rsidRPr="00D263E8" w:rsidRDefault="00D263E8" w:rsidP="008571E0">
            <w:pPr>
              <w:pStyle w:val="TableRowNormal"/>
              <w:rPr>
                <w:rFonts w:ascii="Calibri" w:hAnsi="Calibri"/>
              </w:rPr>
            </w:pPr>
            <w:r w:rsidRPr="00D263E8">
              <w:rPr>
                <w:rFonts w:ascii="Calibri" w:hAnsi="Calibri"/>
              </w:rPr>
              <w:t>59</w:t>
            </w:r>
          </w:p>
        </w:tc>
      </w:tr>
    </w:tbl>
    <w:p w:rsidR="00917EC7" w:rsidRPr="00917EC7" w:rsidRDefault="006A2568" w:rsidP="00F43064">
      <w:pPr>
        <w:pStyle w:val="CGCTableFootnote"/>
      </w:pPr>
      <w:r>
        <w:t>(</w:t>
      </w:r>
      <w:r w:rsidR="007A66DE">
        <w:t>a</w:t>
      </w:r>
      <w:r>
        <w:t>)</w:t>
      </w:r>
      <w:r>
        <w:tab/>
      </w:r>
      <w:r w:rsidR="007A66DE">
        <w:t>Proportions for Housing, Roads and Transport have been set to the average of all other categories</w:t>
      </w:r>
      <w:r>
        <w:t>.</w:t>
      </w:r>
    </w:p>
    <w:p w:rsidR="00C87AA5" w:rsidRDefault="006A2568" w:rsidP="00F07CA8">
      <w:pPr>
        <w:pStyle w:val="CGCTableFootnote"/>
      </w:pPr>
      <w:r>
        <w:t>Source:</w:t>
      </w:r>
      <w:r>
        <w:tab/>
        <w:t xml:space="preserve">GFS </w:t>
      </w:r>
      <w:r w:rsidR="001E0D65">
        <w:t>e</w:t>
      </w:r>
      <w:r>
        <w:t>xpenses from the ABS.</w:t>
      </w:r>
    </w:p>
    <w:p w:rsidR="00701EE4" w:rsidRPr="00701EE4" w:rsidRDefault="003F7C65" w:rsidP="00701EE4">
      <w:pPr>
        <w:pStyle w:val="CGCNumberedPara"/>
      </w:pPr>
      <w:r>
        <w:t>In addition, the Investment assessment uses a capital cost price index derived from a combination of the recurrent factors produced by this assessment, the recurrent Regional costs assessment and the Rawlinson’s construction costs index.</w:t>
      </w:r>
    </w:p>
    <w:p w:rsidR="009317AB" w:rsidRPr="009317AB" w:rsidRDefault="00882C88" w:rsidP="007A66DE">
      <w:pPr>
        <w:pStyle w:val="Heading4"/>
        <w:keepLines/>
      </w:pPr>
      <w:bookmarkStart w:id="13" w:name="_Toc509232442"/>
      <w:bookmarkStart w:id="14" w:name="_Toc509233513"/>
      <w:bookmarkStart w:id="15" w:name="_Toc509233576"/>
      <w:bookmarkStart w:id="16" w:name="_Toc511636311"/>
      <w:r>
        <w:lastRenderedPageBreak/>
        <w:t xml:space="preserve">GST </w:t>
      </w:r>
      <w:r w:rsidR="00467D2C">
        <w:t>re</w:t>
      </w:r>
      <w:r>
        <w:t>distribution</w:t>
      </w:r>
      <w:bookmarkEnd w:id="13"/>
      <w:bookmarkEnd w:id="14"/>
      <w:bookmarkEnd w:id="15"/>
      <w:bookmarkEnd w:id="16"/>
    </w:p>
    <w:p w:rsidR="008A5324" w:rsidRPr="000D4B43" w:rsidRDefault="00AD2EA6" w:rsidP="007A66DE">
      <w:pPr>
        <w:pStyle w:val="CGCNumberedPara"/>
        <w:keepNext/>
        <w:keepLines/>
      </w:pPr>
      <w:r w:rsidRPr="000D4B43">
        <w:rPr>
          <w:szCs w:val="22"/>
        </w:rPr>
        <w:fldChar w:fldCharType="begin"/>
      </w:r>
      <w:r w:rsidRPr="000D4B43">
        <w:rPr>
          <w:szCs w:val="22"/>
        </w:rPr>
        <w:instrText xml:space="preserve"> REF _Ref500253978 \h </w:instrText>
      </w:r>
      <w:r w:rsidR="000D4B43" w:rsidRPr="000D4B43">
        <w:rPr>
          <w:szCs w:val="22"/>
        </w:rPr>
        <w:instrText xml:space="preserve"> \* MERGEFORMAT </w:instrText>
      </w:r>
      <w:r w:rsidRPr="000D4B43">
        <w:rPr>
          <w:szCs w:val="22"/>
        </w:rPr>
      </w:r>
      <w:r w:rsidRPr="000D4B43">
        <w:rPr>
          <w:szCs w:val="22"/>
        </w:rPr>
        <w:fldChar w:fldCharType="separate"/>
      </w:r>
      <w:r w:rsidR="00D6244E">
        <w:t xml:space="preserve">Table </w:t>
      </w:r>
      <w:r w:rsidR="00D6244E">
        <w:rPr>
          <w:noProof/>
        </w:rPr>
        <w:t>3</w:t>
      </w:r>
      <w:r w:rsidRPr="000D4B43">
        <w:rPr>
          <w:szCs w:val="22"/>
        </w:rPr>
        <w:fldChar w:fldCharType="end"/>
      </w:r>
      <w:r w:rsidRPr="000D4B43">
        <w:rPr>
          <w:szCs w:val="22"/>
        </w:rPr>
        <w:t xml:space="preserve"> </w:t>
      </w:r>
      <w:r w:rsidR="00882C88" w:rsidRPr="000D4B43">
        <w:rPr>
          <w:szCs w:val="22"/>
        </w:rPr>
        <w:t>shows</w:t>
      </w:r>
      <w:r w:rsidR="000D4B43" w:rsidRPr="000D4B43">
        <w:rPr>
          <w:szCs w:val="22"/>
        </w:rPr>
        <w:t xml:space="preserve"> the</w:t>
      </w:r>
      <w:r w:rsidR="000D4B43">
        <w:rPr>
          <w:szCs w:val="22"/>
        </w:rPr>
        <w:t xml:space="preserve"> </w:t>
      </w:r>
      <w:r w:rsidR="000D4B43">
        <w:t xml:space="preserve">effect </w:t>
      </w:r>
      <w:r w:rsidR="003F7C65">
        <w:t xml:space="preserve">on the GST distribution </w:t>
      </w:r>
      <w:bookmarkStart w:id="17" w:name="_Ref499713909"/>
      <w:r w:rsidR="003F7C65">
        <w:t xml:space="preserve">of the wage costs assessment. </w:t>
      </w:r>
      <w:r w:rsidR="000D4B43">
        <w:t xml:space="preserve">New South Wales, Western Australia, the </w:t>
      </w:r>
      <w:r w:rsidR="003F7C65">
        <w:t>ACT</w:t>
      </w:r>
      <w:r w:rsidR="000D4B43">
        <w:t xml:space="preserve"> and the Northern Territory are assessed as having higher than average wage costs. </w:t>
      </w:r>
      <w:r w:rsidR="007A66DE">
        <w:t>These</w:t>
      </w:r>
      <w:r w:rsidR="000D4B43">
        <w:t xml:space="preserve"> </w:t>
      </w:r>
      <w:r w:rsidR="001E0D65">
        <w:t>are</w:t>
      </w:r>
      <w:r w:rsidR="000D4B43">
        <w:t xml:space="preserve"> the States that </w:t>
      </w:r>
      <w:r w:rsidR="001E0D65">
        <w:t>have</w:t>
      </w:r>
      <w:r w:rsidR="000D4B43">
        <w:t xml:space="preserve"> the highest private sector wages after adjusting for various human </w:t>
      </w:r>
      <w:proofErr w:type="gramStart"/>
      <w:r w:rsidR="000D4B43">
        <w:t>capital</w:t>
      </w:r>
      <w:proofErr w:type="gramEnd"/>
      <w:r w:rsidR="000D4B43">
        <w:t xml:space="preserve"> attributes</w:t>
      </w:r>
      <w:r w:rsidR="007A66DE">
        <w:t xml:space="preserve">, as shown by their above average modelled outcomes in </w:t>
      </w:r>
      <w:r w:rsidR="007A66DE">
        <w:fldChar w:fldCharType="begin"/>
      </w:r>
      <w:r w:rsidR="007A66DE">
        <w:instrText xml:space="preserve"> REF _Ref468443887 \h </w:instrText>
      </w:r>
      <w:r w:rsidR="007A66DE">
        <w:fldChar w:fldCharType="separate"/>
      </w:r>
      <w:r w:rsidR="00D6244E">
        <w:t xml:space="preserve">Figure </w:t>
      </w:r>
      <w:r w:rsidR="00D6244E">
        <w:rPr>
          <w:noProof/>
        </w:rPr>
        <w:t>1</w:t>
      </w:r>
      <w:r w:rsidR="007A66DE">
        <w:fldChar w:fldCharType="end"/>
      </w:r>
      <w:r w:rsidR="000D4B43">
        <w:t>.</w:t>
      </w:r>
    </w:p>
    <w:p w:rsidR="00882C88" w:rsidRDefault="00AD2EA6" w:rsidP="00AD2EA6">
      <w:pPr>
        <w:pStyle w:val="Caption"/>
      </w:pPr>
      <w:bookmarkStart w:id="18" w:name="_Ref500253978"/>
      <w:bookmarkEnd w:id="17"/>
      <w:r>
        <w:t xml:space="preserve">Table </w:t>
      </w:r>
      <w:fldSimple w:instr=" SEQ Table \* ARABIC ">
        <w:r w:rsidR="00D6244E">
          <w:rPr>
            <w:noProof/>
          </w:rPr>
          <w:t>3</w:t>
        </w:r>
      </w:fldSimple>
      <w:bookmarkEnd w:id="18"/>
      <w:r w:rsidR="00882C88">
        <w:tab/>
      </w:r>
      <w:r w:rsidR="000D4B43">
        <w:t xml:space="preserve">GST </w:t>
      </w:r>
      <w:r w:rsidR="00467D2C">
        <w:t>redistribution,</w:t>
      </w:r>
      <w:r w:rsidR="000D4B43">
        <w:t xml:space="preserve"> </w:t>
      </w:r>
      <w:r w:rsidR="0070606A">
        <w:t>w</w:t>
      </w:r>
      <w:r w:rsidR="000D4B43">
        <w:t>age costs assessment, 2018 Update</w:t>
      </w:r>
    </w:p>
    <w:tbl>
      <w:tblPr>
        <w:tblW w:w="8920" w:type="dxa"/>
        <w:tblInd w:w="93" w:type="dxa"/>
        <w:tblLook w:val="04A0" w:firstRow="1" w:lastRow="0" w:firstColumn="1" w:lastColumn="0" w:noHBand="0" w:noVBand="1"/>
      </w:tblPr>
      <w:tblGrid>
        <w:gridCol w:w="1960"/>
        <w:gridCol w:w="760"/>
        <w:gridCol w:w="760"/>
        <w:gridCol w:w="760"/>
        <w:gridCol w:w="760"/>
        <w:gridCol w:w="760"/>
        <w:gridCol w:w="760"/>
        <w:gridCol w:w="760"/>
        <w:gridCol w:w="760"/>
        <w:gridCol w:w="880"/>
      </w:tblGrid>
      <w:tr w:rsidR="00C26DEA" w:rsidRPr="00C26DEA" w:rsidTr="00C26DEA">
        <w:trPr>
          <w:trHeight w:val="379"/>
        </w:trPr>
        <w:tc>
          <w:tcPr>
            <w:tcW w:w="19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bookmarkStart w:id="19" w:name="RANGE!A4:J6"/>
            <w:r w:rsidRPr="00C26DEA">
              <w:rPr>
                <w:rFonts w:ascii="Calibri" w:eastAsia="Times New Roman" w:hAnsi="Calibri" w:cs="Times New Roman"/>
                <w:sz w:val="20"/>
                <w:szCs w:val="20"/>
                <w:lang w:eastAsia="en-AU"/>
              </w:rPr>
              <w:t> </w:t>
            </w:r>
            <w:bookmarkEnd w:id="19"/>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C26DEA">
              <w:rPr>
                <w:rFonts w:ascii="Calibri" w:eastAsia="Times New Roman" w:hAnsi="Calibri" w:cs="Times New Roman"/>
                <w:sz w:val="20"/>
                <w:szCs w:val="20"/>
                <w:lang w:eastAsia="en-AU"/>
              </w:rPr>
              <w:t>Tas</w:t>
            </w:r>
            <w:proofErr w:type="spellEnd"/>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C26DEA">
              <w:rPr>
                <w:rFonts w:ascii="Calibri" w:eastAsia="Times New Roman" w:hAnsi="Calibri" w:cs="Times New Roman"/>
                <w:sz w:val="20"/>
                <w:szCs w:val="20"/>
                <w:lang w:eastAsia="en-AU"/>
              </w:rPr>
              <w:t>Redist</w:t>
            </w:r>
            <w:proofErr w:type="spellEnd"/>
          </w:p>
        </w:tc>
      </w:tr>
      <w:tr w:rsidR="000D4B43" w:rsidRPr="00C26DEA" w:rsidTr="00C26DEA">
        <w:trPr>
          <w:trHeight w:val="315"/>
        </w:trPr>
        <w:tc>
          <w:tcPr>
            <w:tcW w:w="1960" w:type="dxa"/>
            <w:tcBorders>
              <w:top w:val="nil"/>
              <w:left w:val="nil"/>
              <w:bottom w:val="nil"/>
              <w:right w:val="nil"/>
            </w:tcBorders>
            <w:shd w:val="clear" w:color="auto" w:fill="auto"/>
            <w:noWrap/>
            <w:vAlign w:val="bottom"/>
            <w:hideMark/>
          </w:tcPr>
          <w:p w:rsidR="000D4B43" w:rsidRPr="00C26DEA" w:rsidRDefault="000D4B43" w:rsidP="00C26DEA">
            <w:pPr>
              <w:keepNext/>
              <w:keepLines/>
              <w:tabs>
                <w:tab w:val="clear" w:pos="567"/>
              </w:tabs>
              <w:spacing w:after="0" w:line="240" w:lineRule="auto"/>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Dollars million</w:t>
            </w:r>
          </w:p>
        </w:tc>
        <w:tc>
          <w:tcPr>
            <w:tcW w:w="76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157</w:t>
            </w:r>
          </w:p>
        </w:tc>
        <w:tc>
          <w:tcPr>
            <w:tcW w:w="76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-390</w:t>
            </w:r>
          </w:p>
        </w:tc>
        <w:tc>
          <w:tcPr>
            <w:tcW w:w="76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-228</w:t>
            </w:r>
          </w:p>
        </w:tc>
        <w:tc>
          <w:tcPr>
            <w:tcW w:w="76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712</w:t>
            </w:r>
          </w:p>
        </w:tc>
        <w:tc>
          <w:tcPr>
            <w:tcW w:w="76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-242</w:t>
            </w:r>
          </w:p>
        </w:tc>
        <w:tc>
          <w:tcPr>
            <w:tcW w:w="76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-188</w:t>
            </w:r>
          </w:p>
        </w:tc>
        <w:tc>
          <w:tcPr>
            <w:tcW w:w="76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100</w:t>
            </w:r>
          </w:p>
        </w:tc>
        <w:tc>
          <w:tcPr>
            <w:tcW w:w="76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79</w:t>
            </w:r>
          </w:p>
        </w:tc>
        <w:tc>
          <w:tcPr>
            <w:tcW w:w="880" w:type="dxa"/>
            <w:tcBorders>
              <w:top w:val="nil"/>
              <w:left w:val="nil"/>
              <w:bottom w:val="nil"/>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1 048</w:t>
            </w:r>
          </w:p>
        </w:tc>
      </w:tr>
      <w:tr w:rsidR="000D4B43" w:rsidRPr="00C26DEA" w:rsidTr="00C26DEA">
        <w:trPr>
          <w:trHeight w:val="315"/>
        </w:trPr>
        <w:tc>
          <w:tcPr>
            <w:tcW w:w="1960" w:type="dxa"/>
            <w:tcBorders>
              <w:top w:val="nil"/>
              <w:left w:val="nil"/>
              <w:bottom w:val="single" w:sz="4" w:space="0" w:color="auto"/>
              <w:right w:val="nil"/>
            </w:tcBorders>
            <w:shd w:val="clear" w:color="auto" w:fill="auto"/>
            <w:noWrap/>
            <w:vAlign w:val="bottom"/>
            <w:hideMark/>
          </w:tcPr>
          <w:p w:rsidR="000D4B43" w:rsidRPr="00C26DEA" w:rsidRDefault="000D4B43" w:rsidP="00C26DEA">
            <w:pPr>
              <w:keepNext/>
              <w:keepLines/>
              <w:tabs>
                <w:tab w:val="clear" w:pos="567"/>
              </w:tabs>
              <w:spacing w:after="0" w:line="240" w:lineRule="auto"/>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Dollars per capita</w:t>
            </w:r>
          </w:p>
        </w:tc>
        <w:tc>
          <w:tcPr>
            <w:tcW w:w="76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20</w:t>
            </w:r>
          </w:p>
        </w:tc>
        <w:tc>
          <w:tcPr>
            <w:tcW w:w="76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-60</w:t>
            </w:r>
          </w:p>
        </w:tc>
        <w:tc>
          <w:tcPr>
            <w:tcW w:w="76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-45</w:t>
            </w:r>
          </w:p>
        </w:tc>
        <w:tc>
          <w:tcPr>
            <w:tcW w:w="76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272</w:t>
            </w:r>
          </w:p>
        </w:tc>
        <w:tc>
          <w:tcPr>
            <w:tcW w:w="76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-139</w:t>
            </w:r>
          </w:p>
        </w:tc>
        <w:tc>
          <w:tcPr>
            <w:tcW w:w="76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-358</w:t>
            </w:r>
          </w:p>
        </w:tc>
        <w:tc>
          <w:tcPr>
            <w:tcW w:w="76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239</w:t>
            </w:r>
          </w:p>
        </w:tc>
        <w:tc>
          <w:tcPr>
            <w:tcW w:w="76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322</w:t>
            </w:r>
          </w:p>
        </w:tc>
        <w:tc>
          <w:tcPr>
            <w:tcW w:w="880" w:type="dxa"/>
            <w:tcBorders>
              <w:top w:val="nil"/>
              <w:left w:val="nil"/>
              <w:bottom w:val="single" w:sz="4" w:space="0" w:color="auto"/>
              <w:right w:val="nil"/>
            </w:tcBorders>
            <w:shd w:val="clear" w:color="auto" w:fill="auto"/>
            <w:noWrap/>
            <w:vAlign w:val="bottom"/>
            <w:hideMark/>
          </w:tcPr>
          <w:p w:rsidR="000D4B43" w:rsidRPr="000D4B43" w:rsidRDefault="000D4B43" w:rsidP="000D4B43">
            <w:pPr>
              <w:keepNext/>
              <w:keepLines/>
              <w:tabs>
                <w:tab w:val="clear" w:pos="567"/>
              </w:tabs>
              <w:spacing w:after="0" w:line="240" w:lineRule="auto"/>
              <w:jc w:val="right"/>
              <w:rPr>
                <w:rFonts w:ascii="Calibri" w:eastAsia="Times New Roman" w:hAnsi="Calibri" w:cs="Times New Roman"/>
                <w:sz w:val="20"/>
                <w:szCs w:val="20"/>
                <w:lang w:eastAsia="en-AU"/>
              </w:rPr>
            </w:pPr>
            <w:r w:rsidRPr="000D4B43">
              <w:rPr>
                <w:rFonts w:ascii="Calibri" w:eastAsia="Times New Roman" w:hAnsi="Calibri" w:cs="Times New Roman"/>
                <w:sz w:val="20"/>
                <w:szCs w:val="20"/>
                <w:lang w:eastAsia="en-AU"/>
              </w:rPr>
              <w:t>42</w:t>
            </w:r>
          </w:p>
        </w:tc>
      </w:tr>
    </w:tbl>
    <w:p w:rsidR="00882C88" w:rsidRDefault="00882C88" w:rsidP="00C26DEA">
      <w:pPr>
        <w:pStyle w:val="CGCTableFootnote"/>
        <w:keepNext/>
        <w:keepLines/>
      </w:pPr>
      <w:r>
        <w:t>Source:</w:t>
      </w:r>
      <w:r>
        <w:tab/>
        <w:t>201</w:t>
      </w:r>
      <w:r w:rsidR="003F7C65">
        <w:t>8</w:t>
      </w:r>
      <w:r>
        <w:t> Update.</w:t>
      </w:r>
    </w:p>
    <w:p w:rsidR="00882C88" w:rsidRPr="00FF0FE2" w:rsidRDefault="00882C88" w:rsidP="00882C88">
      <w:pPr>
        <w:pStyle w:val="Heading3"/>
        <w:rPr>
          <w:szCs w:val="24"/>
        </w:rPr>
      </w:pPr>
      <w:bookmarkStart w:id="20" w:name="_Toc509232443"/>
      <w:bookmarkStart w:id="21" w:name="_Toc509233514"/>
      <w:bookmarkStart w:id="22" w:name="_Toc509233577"/>
      <w:bookmarkStart w:id="23" w:name="_Toc511636312"/>
      <w:r>
        <w:t>Issues and analysis</w:t>
      </w:r>
      <w:bookmarkEnd w:id="20"/>
      <w:bookmarkEnd w:id="21"/>
      <w:bookmarkEnd w:id="22"/>
      <w:bookmarkEnd w:id="23"/>
    </w:p>
    <w:p w:rsidR="007A66DE" w:rsidRDefault="005D3C2F" w:rsidP="007A66DE">
      <w:pPr>
        <w:pStyle w:val="CGCNumberedPara"/>
      </w:pPr>
      <w:r w:rsidRPr="00D850B3">
        <w:t xml:space="preserve">There are </w:t>
      </w:r>
      <w:r w:rsidR="00D52FE9">
        <w:t>no</w:t>
      </w:r>
      <w:r w:rsidR="00F07CA8">
        <w:t xml:space="preserve"> major</w:t>
      </w:r>
      <w:r w:rsidR="00D52FE9">
        <w:t xml:space="preserve"> issues </w:t>
      </w:r>
      <w:r w:rsidR="00B959A9">
        <w:t>in</w:t>
      </w:r>
      <w:r w:rsidR="00D52FE9">
        <w:t xml:space="preserve"> the </w:t>
      </w:r>
      <w:r w:rsidR="000D4B43">
        <w:t>wage costs</w:t>
      </w:r>
      <w:r w:rsidR="00810E5A">
        <w:t xml:space="preserve"> </w:t>
      </w:r>
      <w:r w:rsidR="00D52FE9">
        <w:t>assessment for the 2020 Review.</w:t>
      </w:r>
      <w:r w:rsidR="008A5324">
        <w:t xml:space="preserve"> </w:t>
      </w:r>
      <w:r w:rsidR="00B959A9">
        <w:t xml:space="preserve">The assessment is </w:t>
      </w:r>
      <w:r w:rsidR="00810467">
        <w:t>s</w:t>
      </w:r>
      <w:r w:rsidR="00B959A9">
        <w:t xml:space="preserve">upported by a sound conceptual case and evidence that </w:t>
      </w:r>
      <w:r w:rsidR="00810467">
        <w:t>public and private sectors are responsive to the same underlying influences in labour markets.</w:t>
      </w:r>
      <w:r w:rsidR="00B959A9">
        <w:t xml:space="preserve"> </w:t>
      </w:r>
      <w:r w:rsidR="00810467">
        <w:t>T</w:t>
      </w:r>
      <w:r w:rsidR="007A66DE">
        <w:t xml:space="preserve">he </w:t>
      </w:r>
      <w:r w:rsidR="00810467">
        <w:t xml:space="preserve">econometric model uses reliable data and has been found to be fit for purpose by </w:t>
      </w:r>
      <w:r w:rsidR="002769A5">
        <w:t xml:space="preserve">several </w:t>
      </w:r>
      <w:r w:rsidR="00810467">
        <w:t>consultants</w:t>
      </w:r>
      <w:r w:rsidR="002769A5">
        <w:t xml:space="preserve"> previously engaged by the Commission</w:t>
      </w:r>
      <w:r w:rsidR="00810467">
        <w:t xml:space="preserve">. </w:t>
      </w:r>
    </w:p>
    <w:p w:rsidR="006F0244" w:rsidRPr="00E674AF" w:rsidRDefault="006F0244" w:rsidP="006F0244">
      <w:pPr>
        <w:pStyle w:val="Heading4"/>
      </w:pPr>
      <w:bookmarkStart w:id="24" w:name="_Toc509232444"/>
      <w:bookmarkStart w:id="25" w:name="_Toc509233515"/>
      <w:bookmarkStart w:id="26" w:name="_Toc509233578"/>
      <w:bookmarkStart w:id="27" w:name="_Toc511636313"/>
      <w:r w:rsidRPr="00E674AF">
        <w:t>Recommendations</w:t>
      </w:r>
      <w:bookmarkEnd w:id="24"/>
      <w:bookmarkEnd w:id="25"/>
      <w:bookmarkEnd w:id="26"/>
      <w:bookmarkEnd w:id="27"/>
      <w:r w:rsidR="00B6411F">
        <w:t xml:space="preserve"> </w:t>
      </w:r>
    </w:p>
    <w:tbl>
      <w:tblPr>
        <w:tblW w:w="0" w:type="auto"/>
        <w:tblInd w:w="108" w:type="dxa"/>
        <w:shd w:val="clear" w:color="auto" w:fill="D9F3E6"/>
        <w:tblLook w:val="0000" w:firstRow="0" w:lastRow="0" w:firstColumn="0" w:lastColumn="0" w:noHBand="0" w:noVBand="0"/>
      </w:tblPr>
      <w:tblGrid>
        <w:gridCol w:w="8931"/>
      </w:tblGrid>
      <w:tr w:rsidR="006F0244" w:rsidRPr="00E674AF" w:rsidTr="00B15C94">
        <w:tc>
          <w:tcPr>
            <w:tcW w:w="8931" w:type="dxa"/>
            <w:shd w:val="clear" w:color="auto" w:fill="D9F3E6"/>
          </w:tcPr>
          <w:p w:rsidR="006F0244" w:rsidRPr="00E674AF" w:rsidRDefault="006F0244" w:rsidP="00B15C94">
            <w:pPr>
              <w:tabs>
                <w:tab w:val="clear" w:pos="567"/>
              </w:tabs>
              <w:rPr>
                <w:bCs/>
              </w:rPr>
            </w:pPr>
            <w:r w:rsidRPr="00E674AF">
              <w:rPr>
                <w:bCs/>
              </w:rPr>
              <w:t xml:space="preserve">Staff </w:t>
            </w:r>
            <w:r>
              <w:rPr>
                <w:bCs/>
              </w:rPr>
              <w:t xml:space="preserve">propose to </w:t>
            </w:r>
            <w:r w:rsidRPr="00E674AF">
              <w:rPr>
                <w:bCs/>
              </w:rPr>
              <w:t>recommend</w:t>
            </w:r>
            <w:r w:rsidR="009D1E4D">
              <w:rPr>
                <w:bCs/>
              </w:rPr>
              <w:t xml:space="preserve"> that</w:t>
            </w:r>
            <w:r w:rsidRPr="00E674AF">
              <w:rPr>
                <w:bCs/>
              </w:rPr>
              <w:t xml:space="preserve"> the </w:t>
            </w:r>
            <w:r>
              <w:rPr>
                <w:bCs/>
              </w:rPr>
              <w:t>Commission</w:t>
            </w:r>
            <w:r w:rsidR="00BD4AF1">
              <w:rPr>
                <w:bCs/>
              </w:rPr>
              <w:t>:</w:t>
            </w:r>
          </w:p>
          <w:p w:rsidR="009D1E4D" w:rsidRDefault="009D1E4D" w:rsidP="009D1E4D">
            <w:pPr>
              <w:pStyle w:val="CGCBulletlist"/>
            </w:pPr>
            <w:r>
              <w:t>retain its approach to estimating differences in wage costs using</w:t>
            </w:r>
            <w:r w:rsidR="003F7C65">
              <w:t xml:space="preserve"> the 2016 Update econometric model, updated with new </w:t>
            </w:r>
            <w:proofErr w:type="spellStart"/>
            <w:r w:rsidR="003F7C65">
              <w:t>CoES</w:t>
            </w:r>
            <w:proofErr w:type="spellEnd"/>
            <w:r w:rsidR="003F7C65">
              <w:t xml:space="preserve"> data each year</w:t>
            </w:r>
          </w:p>
          <w:p w:rsidR="006F0244" w:rsidRPr="00E674AF" w:rsidRDefault="009D1E4D" w:rsidP="009D1E4D">
            <w:pPr>
              <w:pStyle w:val="CGCBulletlist"/>
            </w:pPr>
            <w:proofErr w:type="gramStart"/>
            <w:r>
              <w:t>update</w:t>
            </w:r>
            <w:proofErr w:type="gramEnd"/>
            <w:r>
              <w:t xml:space="preserve"> the wage proportions of service delivery expenses </w:t>
            </w:r>
            <w:r w:rsidR="003F7C65">
              <w:t xml:space="preserve">based on GFS expense data </w:t>
            </w:r>
            <w:r>
              <w:t xml:space="preserve">in the review, but not update these proportions in subsequent updates. </w:t>
            </w:r>
          </w:p>
        </w:tc>
      </w:tr>
    </w:tbl>
    <w:p w:rsidR="00112953" w:rsidRDefault="00112953" w:rsidP="00FF0FE2">
      <w:pPr>
        <w:pStyle w:val="Heading4"/>
      </w:pPr>
      <w:bookmarkStart w:id="28" w:name="_Toc509232445"/>
      <w:bookmarkStart w:id="29" w:name="_Toc509233516"/>
      <w:bookmarkStart w:id="30" w:name="_Toc509233579"/>
      <w:bookmarkStart w:id="31" w:name="_Toc511636314"/>
      <w:r>
        <w:t>Other issues considered</w:t>
      </w:r>
      <w:bookmarkEnd w:id="28"/>
      <w:bookmarkEnd w:id="29"/>
      <w:bookmarkEnd w:id="30"/>
      <w:bookmarkEnd w:id="31"/>
    </w:p>
    <w:p w:rsidR="00ED03E1" w:rsidRDefault="000D4B43" w:rsidP="00F07CA8">
      <w:pPr>
        <w:pStyle w:val="CGCNumberedPara"/>
      </w:pPr>
      <w:r>
        <w:rPr>
          <w:rStyle w:val="Heading6Char"/>
        </w:rPr>
        <w:t xml:space="preserve">National </w:t>
      </w:r>
      <w:r w:rsidR="003F7C65">
        <w:rPr>
          <w:rStyle w:val="Heading6Char"/>
        </w:rPr>
        <w:t>m</w:t>
      </w:r>
      <w:r>
        <w:rPr>
          <w:rStyle w:val="Heading6Char"/>
        </w:rPr>
        <w:t>arkets</w:t>
      </w:r>
      <w:r w:rsidR="00810E5A" w:rsidRPr="00810E5A">
        <w:rPr>
          <w:rStyle w:val="Heading6Char"/>
        </w:rPr>
        <w:t>.</w:t>
      </w:r>
      <w:r w:rsidR="00810E5A">
        <w:t xml:space="preserve"> </w:t>
      </w:r>
      <w:r w:rsidR="00ED03E1" w:rsidRPr="001E3385">
        <w:t>During the review</w:t>
      </w:r>
      <w:r w:rsidR="007A66DE">
        <w:t xml:space="preserve"> of the assessment</w:t>
      </w:r>
      <w:r w:rsidR="003F7C65">
        <w:t xml:space="preserve"> undertaken in the 2016 Update</w:t>
      </w:r>
      <w:r w:rsidR="00ED03E1" w:rsidRPr="001E3385">
        <w:t>,</w:t>
      </w:r>
      <w:r w:rsidR="00ED03E1">
        <w:t xml:space="preserve"> some States argued that they have to respond to national labour market pressures and </w:t>
      </w:r>
      <w:r w:rsidR="00AF604C">
        <w:t xml:space="preserve">that </w:t>
      </w:r>
      <w:r w:rsidR="00ED03E1">
        <w:t xml:space="preserve">they explicitly compare their wage levels with those in other States. </w:t>
      </w:r>
      <w:r w:rsidR="00ED03E1" w:rsidRPr="0081267C">
        <w:t xml:space="preserve">To the extent that this </w:t>
      </w:r>
      <w:r w:rsidR="00AF604C">
        <w:t xml:space="preserve">was </w:t>
      </w:r>
      <w:r w:rsidR="00ED03E1" w:rsidRPr="0081267C">
        <w:t>average policy and results in</w:t>
      </w:r>
      <w:r w:rsidR="003F7C65">
        <w:t xml:space="preserve"> more</w:t>
      </w:r>
      <w:r w:rsidR="00ED03E1" w:rsidRPr="0081267C">
        <w:t xml:space="preserve"> uniform interstate wage levels, it could mean that the fiscal capacities of States do not diverge for wage related reasons.</w:t>
      </w:r>
      <w:r w:rsidR="00ED03E1">
        <w:t xml:space="preserve"> </w:t>
      </w:r>
    </w:p>
    <w:p w:rsidR="00D52A55" w:rsidRDefault="007A66DE" w:rsidP="007A66DE">
      <w:pPr>
        <w:pStyle w:val="CGCNumberedPara"/>
      </w:pPr>
      <w:r>
        <w:t>T</w:t>
      </w:r>
      <w:r w:rsidR="00ED03E1">
        <w:t xml:space="preserve">he Commission </w:t>
      </w:r>
      <w:r>
        <w:t>did</w:t>
      </w:r>
      <w:r w:rsidR="00ED03E1">
        <w:t xml:space="preserve"> not </w:t>
      </w:r>
      <w:r w:rsidR="003F6301">
        <w:t>consider</w:t>
      </w:r>
      <w:r w:rsidR="00ED03E1">
        <w:t xml:space="preserve"> </w:t>
      </w:r>
      <w:r w:rsidR="003F6301">
        <w:t xml:space="preserve">that </w:t>
      </w:r>
      <w:r w:rsidR="00ED03E1">
        <w:t>th</w:t>
      </w:r>
      <w:r w:rsidR="003F6301">
        <w:t>e</w:t>
      </w:r>
      <w:r w:rsidR="00ED03E1">
        <w:t xml:space="preserve"> available data </w:t>
      </w:r>
      <w:r>
        <w:t>were</w:t>
      </w:r>
      <w:r w:rsidR="00ED03E1">
        <w:t xml:space="preserve"> consistent with uniform interstate wage levels</w:t>
      </w:r>
      <w:r w:rsidR="00D52A55">
        <w:t xml:space="preserve">, nor did it accept the view held by some States that </w:t>
      </w:r>
      <w:r w:rsidR="00D52A55" w:rsidRPr="0081267C">
        <w:lastRenderedPageBreak/>
        <w:t>there exists a significant suite of public sector roles where wages are set at a purely national level.</w:t>
      </w:r>
      <w:r w:rsidR="00D52A55">
        <w:t xml:space="preserve"> </w:t>
      </w:r>
    </w:p>
    <w:p w:rsidR="00ED03E1" w:rsidRDefault="007A66DE" w:rsidP="007A66DE">
      <w:pPr>
        <w:pStyle w:val="CGCNumberedPara"/>
      </w:pPr>
      <w:r>
        <w:t xml:space="preserve">It engaged an </w:t>
      </w:r>
      <w:r w:rsidR="00ED03E1" w:rsidRPr="00475B04">
        <w:t xml:space="preserve">external </w:t>
      </w:r>
      <w:r w:rsidR="001E3385">
        <w:t xml:space="preserve">consultant to </w:t>
      </w:r>
      <w:r w:rsidR="003F7C65">
        <w:t>review</w:t>
      </w:r>
      <w:r w:rsidR="00ED03E1" w:rsidRPr="00475B04">
        <w:t xml:space="preserve"> the conceptual basis of the assessment</w:t>
      </w:r>
      <w:r w:rsidR="003F7C65">
        <w:t xml:space="preserve"> and econometric model</w:t>
      </w:r>
      <w:r w:rsidR="00ED03E1" w:rsidRPr="00475B04">
        <w:t>.</w:t>
      </w:r>
      <w:r w:rsidR="00ED03E1" w:rsidRPr="00475B04">
        <w:rPr>
          <w:vertAlign w:val="superscript"/>
        </w:rPr>
        <w:footnoteReference w:id="3"/>
      </w:r>
      <w:r>
        <w:t xml:space="preserve"> The </w:t>
      </w:r>
      <w:r w:rsidR="006B3CEC">
        <w:t>consultant found some evidence that</w:t>
      </w:r>
      <w:r w:rsidR="00F07CA8">
        <w:t xml:space="preserve"> </w:t>
      </w:r>
      <w:r w:rsidR="00ED03E1" w:rsidRPr="0081267C" w:rsidDel="0011058F">
        <w:t xml:space="preserve">States compete in both a national and a local labour market simultaneously, </w:t>
      </w:r>
      <w:r w:rsidR="006B3CEC">
        <w:t xml:space="preserve">implying </w:t>
      </w:r>
      <w:r w:rsidR="00ED03E1" w:rsidRPr="0081267C" w:rsidDel="0011058F">
        <w:t xml:space="preserve">that States </w:t>
      </w:r>
      <w:r w:rsidR="00D52A55">
        <w:t>set wage levels</w:t>
      </w:r>
      <w:r w:rsidR="00ED03E1" w:rsidRPr="0081267C" w:rsidDel="0011058F">
        <w:t xml:space="preserve"> </w:t>
      </w:r>
      <w:r w:rsidR="00D52A55">
        <w:t xml:space="preserve">with reference to the wages of </w:t>
      </w:r>
      <w:r w:rsidR="00ED03E1" w:rsidRPr="0081267C" w:rsidDel="0011058F">
        <w:t xml:space="preserve">private sector workers in their own State as well as </w:t>
      </w:r>
      <w:r w:rsidR="006B3CEC">
        <w:t xml:space="preserve">to </w:t>
      </w:r>
      <w:r w:rsidR="00ED03E1" w:rsidRPr="0081267C" w:rsidDel="0011058F">
        <w:t>the wages paid to comparable public sector workers in other States.</w:t>
      </w:r>
    </w:p>
    <w:p w:rsidR="00ED03E1" w:rsidRDefault="00D52A55" w:rsidP="00D52FE9">
      <w:pPr>
        <w:pStyle w:val="CGCNumberedPara"/>
      </w:pPr>
      <w:r>
        <w:t xml:space="preserve">The relative importance of these two influences </w:t>
      </w:r>
      <w:r w:rsidR="003F7C65">
        <w:t>wa</w:t>
      </w:r>
      <w:r>
        <w:t xml:space="preserve">s difficult to </w:t>
      </w:r>
      <w:r w:rsidR="00067ED2">
        <w:t>determine</w:t>
      </w:r>
      <w:r>
        <w:t>. Analysis of Census data showed that 60% of people joining the State public service between 2006 and 2011 moved from the private sector in their State, while only 3% moved f</w:t>
      </w:r>
      <w:r w:rsidR="00C15371">
        <w:t>rom</w:t>
      </w:r>
      <w:r>
        <w:t xml:space="preserve"> the State public service in another State. The Commission concluded that the direct impact of competition for labour from other sectors within a State appeared to be stronger than the impact of a national labour market for State public service employees.</w:t>
      </w:r>
    </w:p>
    <w:p w:rsidR="0044190A" w:rsidRDefault="007A66DE" w:rsidP="004E0522">
      <w:pPr>
        <w:pStyle w:val="CGCNumberedPara"/>
      </w:pPr>
      <w:proofErr w:type="gramStart"/>
      <w:r>
        <w:t>Staff have</w:t>
      </w:r>
      <w:proofErr w:type="gramEnd"/>
      <w:r>
        <w:t xml:space="preserve"> not found</w:t>
      </w:r>
      <w:r w:rsidR="00ED03E1">
        <w:t xml:space="preserve"> any additional data </w:t>
      </w:r>
      <w:r>
        <w:t xml:space="preserve">that </w:t>
      </w:r>
      <w:r w:rsidR="002D5C61">
        <w:t xml:space="preserve">suggest </w:t>
      </w:r>
      <w:r>
        <w:t xml:space="preserve">the wages for some </w:t>
      </w:r>
      <w:r w:rsidR="00240510">
        <w:t xml:space="preserve">groups of State </w:t>
      </w:r>
      <w:r>
        <w:t xml:space="preserve">public servants are set </w:t>
      </w:r>
      <w:r w:rsidR="0044190A">
        <w:t>mainly</w:t>
      </w:r>
      <w:r>
        <w:t xml:space="preserve"> with reference to national wage levels</w:t>
      </w:r>
      <w:r w:rsidR="002D5C61">
        <w:t>, or give an indication of the relative importance of national markets in State wage setting</w:t>
      </w:r>
      <w:r>
        <w:t xml:space="preserve">. </w:t>
      </w:r>
    </w:p>
    <w:p w:rsidR="007A66DE" w:rsidRDefault="007A66DE" w:rsidP="004E0522">
      <w:pPr>
        <w:pStyle w:val="CGCNumberedPara"/>
      </w:pPr>
      <w:r>
        <w:t>State views are sought on data or methods that might allow the Commission to measure the influence of national markets on the level of wages paid.</w:t>
      </w:r>
    </w:p>
    <w:p w:rsidR="00FF0FE2" w:rsidRPr="00CA1249" w:rsidRDefault="00FF0FE2" w:rsidP="00384BF3">
      <w:pPr>
        <w:pStyle w:val="Heading3"/>
      </w:pPr>
      <w:bookmarkStart w:id="32" w:name="_Toc509232446"/>
      <w:bookmarkStart w:id="33" w:name="_Toc509233517"/>
      <w:bookmarkStart w:id="34" w:name="_Toc509233580"/>
      <w:bookmarkStart w:id="35" w:name="_Toc511636315"/>
      <w:r w:rsidRPr="00CA1249">
        <w:t>Conclusion and way forward</w:t>
      </w:r>
      <w:bookmarkEnd w:id="32"/>
      <w:bookmarkEnd w:id="33"/>
      <w:bookmarkEnd w:id="34"/>
      <w:bookmarkEnd w:id="35"/>
    </w:p>
    <w:p w:rsidR="00CA1249" w:rsidRDefault="00FC1115" w:rsidP="00CA1249">
      <w:pPr>
        <w:pStyle w:val="CGCNumberedPara"/>
      </w:pPr>
      <w:proofErr w:type="gramStart"/>
      <w:r>
        <w:t>Staff propose</w:t>
      </w:r>
      <w:proofErr w:type="gramEnd"/>
      <w:r>
        <w:t xml:space="preserve"> to</w:t>
      </w:r>
      <w:r w:rsidR="007A66DE">
        <w:t xml:space="preserve"> recommend that the Commission</w:t>
      </w:r>
      <w:r>
        <w:t xml:space="preserve"> </w:t>
      </w:r>
      <w:r w:rsidR="00F07CA8" w:rsidRPr="00FA1821">
        <w:t xml:space="preserve">retain the </w:t>
      </w:r>
      <w:r w:rsidR="00240510">
        <w:t>w</w:t>
      </w:r>
      <w:r w:rsidR="00F07CA8" w:rsidRPr="00FA1821">
        <w:t>age costs assessment</w:t>
      </w:r>
      <w:r w:rsidR="00F07CA8">
        <w:t xml:space="preserve"> methodology </w:t>
      </w:r>
      <w:r w:rsidR="007A66DE">
        <w:t>it</w:t>
      </w:r>
      <w:r w:rsidR="00F07CA8">
        <w:t xml:space="preserve"> adopted in the 2016 Update</w:t>
      </w:r>
      <w:r w:rsidR="0044190A">
        <w:t xml:space="preserve">, and update the results each year with new </w:t>
      </w:r>
      <w:proofErr w:type="spellStart"/>
      <w:r w:rsidR="0044190A">
        <w:t>CoES</w:t>
      </w:r>
      <w:proofErr w:type="spellEnd"/>
      <w:r w:rsidR="0044190A">
        <w:t xml:space="preserve"> data. We also propose to </w:t>
      </w:r>
      <w:r w:rsidR="00240510">
        <w:t>update the wage proportions of expenses to which the wage costs factors are applied</w:t>
      </w:r>
      <w:r>
        <w:t>.</w:t>
      </w:r>
    </w:p>
    <w:p w:rsidR="00FF0FE2" w:rsidRDefault="00FF0FE2" w:rsidP="00384BF3">
      <w:pPr>
        <w:pStyle w:val="Heading4"/>
      </w:pPr>
      <w:bookmarkStart w:id="36" w:name="_Toc511636316"/>
      <w:r>
        <w:t>Proposed assessment structure</w:t>
      </w:r>
      <w:bookmarkEnd w:id="36"/>
    </w:p>
    <w:p w:rsidR="00FF0FE2" w:rsidRDefault="008927C8" w:rsidP="001850FF">
      <w:pPr>
        <w:pStyle w:val="CGCNumberedPara"/>
      </w:pPr>
      <w:r>
        <w:fldChar w:fldCharType="begin"/>
      </w:r>
      <w:r>
        <w:instrText xml:space="preserve"> REF _Ref498679223 \h </w:instrText>
      </w:r>
      <w:r>
        <w:fldChar w:fldCharType="separate"/>
      </w:r>
      <w:r w:rsidR="00D6244E">
        <w:t xml:space="preserve">Table </w:t>
      </w:r>
      <w:r w:rsidR="00D6244E">
        <w:rPr>
          <w:noProof/>
        </w:rPr>
        <w:t>4</w:t>
      </w:r>
      <w:r>
        <w:fldChar w:fldCharType="end"/>
      </w:r>
      <w:r w:rsidR="00FF0FE2" w:rsidRPr="00741FF2">
        <w:t xml:space="preserve"> </w:t>
      </w:r>
      <w:r w:rsidR="00BD4AF1">
        <w:t xml:space="preserve">shows the proposed assessment </w:t>
      </w:r>
      <w:r w:rsidR="00BD4AF1" w:rsidRPr="00741FF2">
        <w:t xml:space="preserve">for </w:t>
      </w:r>
      <w:r w:rsidR="00AF604C">
        <w:t>wa</w:t>
      </w:r>
      <w:r w:rsidR="000D4B43">
        <w:t>ge costs</w:t>
      </w:r>
      <w:r w:rsidR="00BD4AF1" w:rsidRPr="00741FF2">
        <w:t xml:space="preserve"> in the </w:t>
      </w:r>
      <w:r w:rsidR="00BD4AF1">
        <w:t>2020 R</w:t>
      </w:r>
      <w:r w:rsidR="00BD4AF1" w:rsidRPr="00741FF2">
        <w:t>eview</w:t>
      </w:r>
      <w:r w:rsidR="00BD4AF1">
        <w:t>.</w:t>
      </w:r>
    </w:p>
    <w:p w:rsidR="005F02A1" w:rsidRDefault="005F02A1" w:rsidP="005F02A1">
      <w:pPr>
        <w:pStyle w:val="Caption"/>
      </w:pPr>
      <w:bookmarkStart w:id="37" w:name="_Ref498679223"/>
      <w:r>
        <w:lastRenderedPageBreak/>
        <w:t xml:space="preserve">Table </w:t>
      </w:r>
      <w:fldSimple w:instr=" SEQ Table \* ARABIC ">
        <w:r w:rsidR="00D6244E">
          <w:rPr>
            <w:noProof/>
          </w:rPr>
          <w:t>4</w:t>
        </w:r>
      </w:fldSimple>
      <w:bookmarkEnd w:id="37"/>
      <w:r>
        <w:tab/>
        <w:t xml:space="preserve">Proposed </w:t>
      </w:r>
      <w:r w:rsidR="0070606A">
        <w:t>w</w:t>
      </w:r>
      <w:r w:rsidR="000D4B43">
        <w:t>age costs</w:t>
      </w:r>
      <w:r>
        <w:t xml:space="preserve"> </w:t>
      </w:r>
      <w:r w:rsidR="0044190A">
        <w:t>assessment</w:t>
      </w:r>
      <w:r>
        <w:t>, 2020 Review</w:t>
      </w:r>
    </w:p>
    <w:tbl>
      <w:tblPr>
        <w:tblW w:w="9058" w:type="dxa"/>
        <w:tblInd w:w="93" w:type="dxa"/>
        <w:tblLook w:val="04A0" w:firstRow="1" w:lastRow="0" w:firstColumn="1" w:lastColumn="0" w:noHBand="0" w:noVBand="1"/>
      </w:tblPr>
      <w:tblGrid>
        <w:gridCol w:w="1695"/>
        <w:gridCol w:w="7363"/>
      </w:tblGrid>
      <w:tr w:rsidR="00AF604C" w:rsidRPr="005F02A1" w:rsidTr="00AF604C">
        <w:trPr>
          <w:trHeight w:val="287"/>
        </w:trPr>
        <w:tc>
          <w:tcPr>
            <w:tcW w:w="1695" w:type="dxa"/>
            <w:tcBorders>
              <w:top w:val="single" w:sz="4" w:space="0" w:color="auto"/>
              <w:left w:val="nil"/>
              <w:bottom w:val="single" w:sz="4" w:space="0" w:color="auto"/>
              <w:right w:val="nil"/>
            </w:tcBorders>
            <w:shd w:val="clear" w:color="auto" w:fill="auto"/>
            <w:hideMark/>
          </w:tcPr>
          <w:p w:rsidR="00AF604C" w:rsidRPr="00CA1249" w:rsidRDefault="00AF604C" w:rsidP="0091301F">
            <w:pPr>
              <w:pStyle w:val="TableColHeadings"/>
              <w:jc w:val="left"/>
              <w:rPr>
                <w:lang w:eastAsia="en-AU"/>
              </w:rPr>
            </w:pPr>
            <w:r>
              <w:rPr>
                <w:lang w:eastAsia="en-AU"/>
              </w:rPr>
              <w:t>Disability</w:t>
            </w:r>
          </w:p>
        </w:tc>
        <w:tc>
          <w:tcPr>
            <w:tcW w:w="7363" w:type="dxa"/>
            <w:tcBorders>
              <w:top w:val="single" w:sz="4" w:space="0" w:color="auto"/>
              <w:left w:val="nil"/>
              <w:bottom w:val="single" w:sz="4" w:space="0" w:color="auto"/>
              <w:right w:val="nil"/>
            </w:tcBorders>
            <w:shd w:val="clear" w:color="auto" w:fill="auto"/>
            <w:hideMark/>
          </w:tcPr>
          <w:p w:rsidR="00AF604C" w:rsidRPr="00CA1249" w:rsidRDefault="00AF604C" w:rsidP="0091301F">
            <w:pPr>
              <w:pStyle w:val="TableColHeadings"/>
              <w:jc w:val="left"/>
              <w:rPr>
                <w:lang w:eastAsia="en-AU"/>
              </w:rPr>
            </w:pPr>
            <w:r w:rsidRPr="00CA1249">
              <w:rPr>
                <w:lang w:eastAsia="en-AU"/>
              </w:rPr>
              <w:t>Influence measured by disability</w:t>
            </w:r>
          </w:p>
        </w:tc>
      </w:tr>
      <w:tr w:rsidR="00AF604C" w:rsidRPr="005F02A1" w:rsidTr="00AF604C">
        <w:trPr>
          <w:trHeight w:val="802"/>
        </w:trPr>
        <w:tc>
          <w:tcPr>
            <w:tcW w:w="1695" w:type="dxa"/>
            <w:tcBorders>
              <w:top w:val="single" w:sz="4" w:space="0" w:color="auto"/>
              <w:left w:val="nil"/>
              <w:bottom w:val="single" w:sz="4" w:space="0" w:color="auto"/>
              <w:right w:val="nil"/>
            </w:tcBorders>
            <w:shd w:val="clear" w:color="auto" w:fill="auto"/>
            <w:hideMark/>
          </w:tcPr>
          <w:p w:rsidR="00AF604C" w:rsidRPr="00CA1249" w:rsidRDefault="00AF604C" w:rsidP="0091301F">
            <w:pPr>
              <w:pStyle w:val="TableRowNormal"/>
              <w:jc w:val="left"/>
              <w:rPr>
                <w:lang w:eastAsia="en-AU"/>
              </w:rPr>
            </w:pPr>
            <w:r>
              <w:rPr>
                <w:lang w:eastAsia="en-AU"/>
              </w:rPr>
              <w:t>Wage costs</w:t>
            </w:r>
          </w:p>
        </w:tc>
        <w:tc>
          <w:tcPr>
            <w:tcW w:w="7363" w:type="dxa"/>
            <w:tcBorders>
              <w:top w:val="single" w:sz="4" w:space="0" w:color="auto"/>
              <w:left w:val="nil"/>
              <w:bottom w:val="single" w:sz="4" w:space="0" w:color="auto"/>
              <w:right w:val="nil"/>
            </w:tcBorders>
            <w:shd w:val="clear" w:color="auto" w:fill="auto"/>
            <w:hideMark/>
          </w:tcPr>
          <w:p w:rsidR="00AF604C" w:rsidRPr="00CA1249" w:rsidRDefault="00AF604C" w:rsidP="0091301F">
            <w:pPr>
              <w:pStyle w:val="TableRowNormal"/>
              <w:jc w:val="left"/>
              <w:rPr>
                <w:lang w:eastAsia="en-AU"/>
              </w:rPr>
            </w:pPr>
            <w:r w:rsidRPr="00CA1249">
              <w:rPr>
                <w:lang w:eastAsia="en-AU"/>
              </w:rPr>
              <w:t xml:space="preserve">Recognises the </w:t>
            </w:r>
            <w:r>
              <w:rPr>
                <w:lang w:eastAsia="en-AU"/>
              </w:rPr>
              <w:t xml:space="preserve">additional cost to </w:t>
            </w:r>
            <w:r w:rsidRPr="00CA1249">
              <w:rPr>
                <w:lang w:eastAsia="en-AU"/>
              </w:rPr>
              <w:t xml:space="preserve">States </w:t>
            </w:r>
            <w:r>
              <w:rPr>
                <w:lang w:eastAsia="en-AU"/>
              </w:rPr>
              <w:t xml:space="preserve">with higher wage levels for reasons beyond their control. These costs are estimated using an econometric model run on ABS </w:t>
            </w:r>
            <w:proofErr w:type="spellStart"/>
            <w:r>
              <w:rPr>
                <w:lang w:eastAsia="en-AU"/>
              </w:rPr>
              <w:t>CoES</w:t>
            </w:r>
            <w:proofErr w:type="spellEnd"/>
            <w:r>
              <w:rPr>
                <w:lang w:eastAsia="en-AU"/>
              </w:rPr>
              <w:t xml:space="preserve"> data.</w:t>
            </w:r>
          </w:p>
        </w:tc>
      </w:tr>
    </w:tbl>
    <w:p w:rsidR="001850FF" w:rsidRPr="00C21EF9" w:rsidRDefault="008927C8" w:rsidP="008927C8">
      <w:pPr>
        <w:pStyle w:val="CGCTableFootnote"/>
        <w:keepNext/>
        <w:keepLines/>
      </w:pPr>
      <w:r w:rsidRPr="00C21EF9">
        <w:t xml:space="preserve"> </w:t>
      </w:r>
    </w:p>
    <w:sectPr w:rsidR="001850FF" w:rsidRPr="00C21EF9" w:rsidSect="00E3723A">
      <w:footerReference w:type="default" r:id="rId21"/>
      <w:pgSz w:w="11899" w:h="16838" w:code="9"/>
      <w:pgMar w:top="1701" w:right="1474" w:bottom="1701" w:left="1474"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FF" w:rsidRDefault="001850FF">
      <w:r>
        <w:separator/>
      </w:r>
    </w:p>
  </w:endnote>
  <w:endnote w:type="continuationSeparator" w:id="0">
    <w:p w:rsidR="001850FF" w:rsidRDefault="0018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ED2" w:rsidRPr="00875C0F" w:rsidRDefault="00067ED2" w:rsidP="0032676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50579886"/>
      <w:docPartObj>
        <w:docPartGallery w:val="Page Numbers (Bottom of Page)"/>
        <w:docPartUnique/>
      </w:docPartObj>
    </w:sdtPr>
    <w:sdtEndPr/>
    <w:sdtContent>
      <w:p w:rsidR="00067ED2" w:rsidRDefault="00067ED2" w:rsidP="00BC5A15">
        <w:pPr>
          <w:pStyle w:val="Footer"/>
        </w:pPr>
      </w:p>
      <w:p w:rsidR="00067ED2" w:rsidRPr="00875C0F" w:rsidRDefault="000350A2" w:rsidP="0032676A">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AB1A13" w:rsidP="003929D2">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AB1A13"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E3723A">
      <w:rPr>
        <w:noProof/>
      </w:rPr>
      <w:t>2</w:t>
    </w:r>
    <w:r w:rsidR="00F56813">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3A" w:rsidRPr="0011178C" w:rsidRDefault="00E3723A" w:rsidP="003929D2">
    <w:pPr>
      <w:pStyle w:val="Footer"/>
      <w:jc w:val="right"/>
    </w:pPr>
    <w:r>
      <w:fldChar w:fldCharType="begin"/>
    </w:r>
    <w:r>
      <w:instrText xml:space="preserve"> PAGE  \* Arabic  \* MERGEFORMAT </w:instrText>
    </w:r>
    <w:r>
      <w:fldChar w:fldCharType="separate"/>
    </w:r>
    <w:r>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3A" w:rsidRPr="007E487F" w:rsidRDefault="00E3723A" w:rsidP="00DC0F02">
    <w:pPr>
      <w:pStyle w:val="Footer"/>
      <w:tabs>
        <w:tab w:val="right" w:pos="8931"/>
      </w:tabs>
      <w:rPr>
        <w:sz w:val="20"/>
        <w:szCs w:val="20"/>
      </w:rPr>
    </w:pPr>
    <w:r>
      <w:rPr>
        <w:sz w:val="20"/>
        <w:szCs w:val="20"/>
      </w:rPr>
      <w:tab/>
    </w:r>
    <w:r>
      <w:rPr>
        <w:sz w:val="20"/>
        <w:szCs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23A" w:rsidRPr="0011178C" w:rsidRDefault="00E3723A" w:rsidP="003929D2">
    <w:pPr>
      <w:pStyle w:val="Footer"/>
      <w:jc w:val="right"/>
    </w:pPr>
    <w:r>
      <w:fldChar w:fldCharType="begin"/>
    </w:r>
    <w:r>
      <w:instrText xml:space="preserve"> PAGE  \* Arabic  \* MERGEFORMAT </w:instrText>
    </w:r>
    <w:r>
      <w:fldChar w:fldCharType="separate"/>
    </w:r>
    <w:r w:rsidR="000350A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FF" w:rsidRDefault="001850FF">
      <w:r>
        <w:separator/>
      </w:r>
    </w:p>
  </w:footnote>
  <w:footnote w:type="continuationSeparator" w:id="0">
    <w:p w:rsidR="001850FF" w:rsidRDefault="001850FF">
      <w:r>
        <w:continuationSeparator/>
      </w:r>
    </w:p>
  </w:footnote>
  <w:footnote w:id="1">
    <w:p w:rsidR="00213CDF" w:rsidRDefault="00213CDF">
      <w:pPr>
        <w:pStyle w:val="FootnoteText"/>
      </w:pPr>
      <w:r>
        <w:rPr>
          <w:rStyle w:val="FootnoteReference"/>
        </w:rPr>
        <w:footnoteRef/>
      </w:r>
      <w:r>
        <w:t xml:space="preserve"> SET was discontinued after 2009. </w:t>
      </w:r>
      <w:proofErr w:type="spellStart"/>
      <w:r>
        <w:t>CoES</w:t>
      </w:r>
      <w:proofErr w:type="spellEnd"/>
      <w:r>
        <w:t xml:space="preserve"> contains many of the same variables that SET contained.</w:t>
      </w:r>
    </w:p>
  </w:footnote>
  <w:footnote w:id="2">
    <w:p w:rsidR="004352C8" w:rsidRDefault="004352C8" w:rsidP="004352C8">
      <w:pPr>
        <w:pStyle w:val="FootnoteText"/>
      </w:pPr>
      <w:r>
        <w:rPr>
          <w:rStyle w:val="FootnoteReference"/>
        </w:rPr>
        <w:footnoteRef/>
      </w:r>
      <w:r>
        <w:t xml:space="preserve"> </w:t>
      </w:r>
      <w:r>
        <w:tab/>
      </w:r>
      <w:r>
        <w:rPr>
          <w:szCs w:val="22"/>
        </w:rPr>
        <w:t>The Commission</w:t>
      </w:r>
      <w:r w:rsidRPr="0066438A">
        <w:rPr>
          <w:szCs w:val="22"/>
        </w:rPr>
        <w:t xml:space="preserve"> applie</w:t>
      </w:r>
      <w:r>
        <w:rPr>
          <w:szCs w:val="22"/>
        </w:rPr>
        <w:t>s</w:t>
      </w:r>
      <w:r w:rsidRPr="0066438A">
        <w:rPr>
          <w:szCs w:val="22"/>
        </w:rPr>
        <w:t xml:space="preserve"> </w:t>
      </w:r>
      <w:r>
        <w:rPr>
          <w:szCs w:val="22"/>
        </w:rPr>
        <w:t>a</w:t>
      </w:r>
      <w:r w:rsidRPr="0066438A">
        <w:rPr>
          <w:szCs w:val="22"/>
        </w:rPr>
        <w:t xml:space="preserve"> low discount to the </w:t>
      </w:r>
      <w:r>
        <w:rPr>
          <w:szCs w:val="22"/>
        </w:rPr>
        <w:t xml:space="preserve">modelled outcomes because of some uncertainty about how accurately the data capture wage costs, how accurately the model controls for productivity differences and how well private sector wages proxy public sector wage pressures. </w:t>
      </w:r>
    </w:p>
  </w:footnote>
  <w:footnote w:id="3">
    <w:p w:rsidR="00ED03E1" w:rsidRDefault="00ED03E1" w:rsidP="00ED03E1">
      <w:pPr>
        <w:pStyle w:val="FootnoteText"/>
      </w:pPr>
      <w:r w:rsidRPr="00A966AB">
        <w:rPr>
          <w:rStyle w:val="FootnoteReference"/>
        </w:rPr>
        <w:footnoteRef/>
      </w:r>
      <w:r w:rsidRPr="00A966AB">
        <w:t xml:space="preserve"> </w:t>
      </w:r>
      <w:r w:rsidR="001E0D65">
        <w:tab/>
      </w:r>
      <w:proofErr w:type="spellStart"/>
      <w:r w:rsidR="001E0D65">
        <w:t>Mavromaras</w:t>
      </w:r>
      <w:proofErr w:type="spellEnd"/>
      <w:r w:rsidR="001E0D65">
        <w:t>, K;</w:t>
      </w:r>
      <w:r w:rsidRPr="00A966AB">
        <w:t xml:space="preserve"> </w:t>
      </w:r>
      <w:proofErr w:type="spellStart"/>
      <w:r w:rsidRPr="00A966AB">
        <w:t>Mahuteau</w:t>
      </w:r>
      <w:proofErr w:type="spellEnd"/>
      <w:r w:rsidRPr="00A966AB">
        <w:t>, S</w:t>
      </w:r>
      <w:r w:rsidR="001E0D65">
        <w:t>;</w:t>
      </w:r>
      <w:r w:rsidRPr="00A966AB">
        <w:t xml:space="preserve"> Richardson</w:t>
      </w:r>
      <w:r w:rsidR="001E0D65">
        <w:t>;</w:t>
      </w:r>
      <w:r w:rsidRPr="00A966AB">
        <w:t xml:space="preserve"> S, and Zhu</w:t>
      </w:r>
      <w:r w:rsidR="001E0D65">
        <w:t>;</w:t>
      </w:r>
      <w:r w:rsidRPr="00A966AB">
        <w:t xml:space="preserve"> R. </w:t>
      </w:r>
      <w:r w:rsidRPr="00A966AB">
        <w:rPr>
          <w:i/>
        </w:rPr>
        <w:t>Public-private wage differentials in Australia: What are the differences by State and how do they impact GST redistribution decisions.</w:t>
      </w:r>
      <w:r w:rsidRPr="00A966AB">
        <w:t xml:space="preserve"> </w:t>
      </w:r>
      <w:proofErr w:type="gramStart"/>
      <w:r w:rsidRPr="00A966AB">
        <w:t>19 February 2016, National Institute of Labour Studies, Flinders University.</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DC4277A2"/>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FF"/>
    <w:rsid w:val="000015F5"/>
    <w:rsid w:val="0000763D"/>
    <w:rsid w:val="00016FE0"/>
    <w:rsid w:val="00022EA9"/>
    <w:rsid w:val="00023BE8"/>
    <w:rsid w:val="00024745"/>
    <w:rsid w:val="00031534"/>
    <w:rsid w:val="00032F41"/>
    <w:rsid w:val="000350A2"/>
    <w:rsid w:val="0004123E"/>
    <w:rsid w:val="00041748"/>
    <w:rsid w:val="00041E84"/>
    <w:rsid w:val="000424EA"/>
    <w:rsid w:val="00042703"/>
    <w:rsid w:val="00043405"/>
    <w:rsid w:val="00056373"/>
    <w:rsid w:val="00061111"/>
    <w:rsid w:val="000624BB"/>
    <w:rsid w:val="00062670"/>
    <w:rsid w:val="0006427F"/>
    <w:rsid w:val="000648E8"/>
    <w:rsid w:val="00067ED2"/>
    <w:rsid w:val="00070CB8"/>
    <w:rsid w:val="000737FB"/>
    <w:rsid w:val="00093796"/>
    <w:rsid w:val="00095D18"/>
    <w:rsid w:val="000A3898"/>
    <w:rsid w:val="000A52A1"/>
    <w:rsid w:val="000B2942"/>
    <w:rsid w:val="000B3557"/>
    <w:rsid w:val="000B64E3"/>
    <w:rsid w:val="000D1354"/>
    <w:rsid w:val="000D4B43"/>
    <w:rsid w:val="000D7C54"/>
    <w:rsid w:val="000E0210"/>
    <w:rsid w:val="000E5A7F"/>
    <w:rsid w:val="000E6AA5"/>
    <w:rsid w:val="000E74FC"/>
    <w:rsid w:val="000E7F56"/>
    <w:rsid w:val="000F1CDA"/>
    <w:rsid w:val="001039C2"/>
    <w:rsid w:val="001040AD"/>
    <w:rsid w:val="0011178C"/>
    <w:rsid w:val="00112953"/>
    <w:rsid w:val="00112CF0"/>
    <w:rsid w:val="00112F9A"/>
    <w:rsid w:val="001211AB"/>
    <w:rsid w:val="001218B8"/>
    <w:rsid w:val="00124ED1"/>
    <w:rsid w:val="00136497"/>
    <w:rsid w:val="00141BD1"/>
    <w:rsid w:val="001432EB"/>
    <w:rsid w:val="00147115"/>
    <w:rsid w:val="001477CE"/>
    <w:rsid w:val="00164846"/>
    <w:rsid w:val="0016518A"/>
    <w:rsid w:val="0016723A"/>
    <w:rsid w:val="00171A05"/>
    <w:rsid w:val="00172F3A"/>
    <w:rsid w:val="001730FD"/>
    <w:rsid w:val="00173798"/>
    <w:rsid w:val="00173BE6"/>
    <w:rsid w:val="00173E72"/>
    <w:rsid w:val="001807C0"/>
    <w:rsid w:val="001811DE"/>
    <w:rsid w:val="00184DEB"/>
    <w:rsid w:val="001850FF"/>
    <w:rsid w:val="001866CF"/>
    <w:rsid w:val="00187145"/>
    <w:rsid w:val="0019334F"/>
    <w:rsid w:val="001B0110"/>
    <w:rsid w:val="001B3048"/>
    <w:rsid w:val="001B5651"/>
    <w:rsid w:val="001B696E"/>
    <w:rsid w:val="001B6A56"/>
    <w:rsid w:val="001C469B"/>
    <w:rsid w:val="001C6A71"/>
    <w:rsid w:val="001D638B"/>
    <w:rsid w:val="001D6DFA"/>
    <w:rsid w:val="001E0D65"/>
    <w:rsid w:val="001E3385"/>
    <w:rsid w:val="001E6180"/>
    <w:rsid w:val="001E674B"/>
    <w:rsid w:val="001E68FC"/>
    <w:rsid w:val="001F32A9"/>
    <w:rsid w:val="001F3BB1"/>
    <w:rsid w:val="00204026"/>
    <w:rsid w:val="00212948"/>
    <w:rsid w:val="002133E9"/>
    <w:rsid w:val="00213CDF"/>
    <w:rsid w:val="00217839"/>
    <w:rsid w:val="00225A3B"/>
    <w:rsid w:val="0023081D"/>
    <w:rsid w:val="00232C18"/>
    <w:rsid w:val="0023329C"/>
    <w:rsid w:val="00236DC0"/>
    <w:rsid w:val="002373A2"/>
    <w:rsid w:val="00240510"/>
    <w:rsid w:val="00242517"/>
    <w:rsid w:val="0024260B"/>
    <w:rsid w:val="0024401F"/>
    <w:rsid w:val="0024569B"/>
    <w:rsid w:val="00254184"/>
    <w:rsid w:val="00255B5A"/>
    <w:rsid w:val="002652F7"/>
    <w:rsid w:val="00266F24"/>
    <w:rsid w:val="002671A2"/>
    <w:rsid w:val="00267496"/>
    <w:rsid w:val="00275B68"/>
    <w:rsid w:val="002769A5"/>
    <w:rsid w:val="002845EA"/>
    <w:rsid w:val="00285A20"/>
    <w:rsid w:val="00286EBE"/>
    <w:rsid w:val="00294326"/>
    <w:rsid w:val="00295B70"/>
    <w:rsid w:val="00295D1E"/>
    <w:rsid w:val="002A2A08"/>
    <w:rsid w:val="002A2D93"/>
    <w:rsid w:val="002A2F40"/>
    <w:rsid w:val="002A4E42"/>
    <w:rsid w:val="002A77C3"/>
    <w:rsid w:val="002B10B0"/>
    <w:rsid w:val="002B169C"/>
    <w:rsid w:val="002B6EFD"/>
    <w:rsid w:val="002B6F33"/>
    <w:rsid w:val="002B79F0"/>
    <w:rsid w:val="002B7F3E"/>
    <w:rsid w:val="002C1D9C"/>
    <w:rsid w:val="002C366F"/>
    <w:rsid w:val="002C3B9C"/>
    <w:rsid w:val="002C4CA9"/>
    <w:rsid w:val="002D2270"/>
    <w:rsid w:val="002D5C61"/>
    <w:rsid w:val="002E1DC6"/>
    <w:rsid w:val="002E25A8"/>
    <w:rsid w:val="002E3DED"/>
    <w:rsid w:val="002F04DE"/>
    <w:rsid w:val="002F1CD3"/>
    <w:rsid w:val="002F2834"/>
    <w:rsid w:val="002F4DF8"/>
    <w:rsid w:val="002F6E28"/>
    <w:rsid w:val="002F7E68"/>
    <w:rsid w:val="00302E5E"/>
    <w:rsid w:val="00307DEF"/>
    <w:rsid w:val="00311D33"/>
    <w:rsid w:val="00313664"/>
    <w:rsid w:val="00314F90"/>
    <w:rsid w:val="00320DDF"/>
    <w:rsid w:val="00322ED4"/>
    <w:rsid w:val="0033102E"/>
    <w:rsid w:val="00331401"/>
    <w:rsid w:val="00333234"/>
    <w:rsid w:val="00335ED1"/>
    <w:rsid w:val="00337EF8"/>
    <w:rsid w:val="0034124D"/>
    <w:rsid w:val="00342A60"/>
    <w:rsid w:val="0034379D"/>
    <w:rsid w:val="0034646D"/>
    <w:rsid w:val="00347BE5"/>
    <w:rsid w:val="003522E0"/>
    <w:rsid w:val="0035267F"/>
    <w:rsid w:val="0035580D"/>
    <w:rsid w:val="003571D0"/>
    <w:rsid w:val="003639FB"/>
    <w:rsid w:val="00363BF7"/>
    <w:rsid w:val="00382AE5"/>
    <w:rsid w:val="00384BF3"/>
    <w:rsid w:val="00387FE4"/>
    <w:rsid w:val="003920E1"/>
    <w:rsid w:val="003929D2"/>
    <w:rsid w:val="00393FA5"/>
    <w:rsid w:val="003A23BA"/>
    <w:rsid w:val="003A27BB"/>
    <w:rsid w:val="003B673D"/>
    <w:rsid w:val="003C2577"/>
    <w:rsid w:val="003C4448"/>
    <w:rsid w:val="003C5591"/>
    <w:rsid w:val="003D3D91"/>
    <w:rsid w:val="003D4708"/>
    <w:rsid w:val="003D477A"/>
    <w:rsid w:val="003D6C9B"/>
    <w:rsid w:val="003E6615"/>
    <w:rsid w:val="003E79F9"/>
    <w:rsid w:val="003F12E9"/>
    <w:rsid w:val="003F59F4"/>
    <w:rsid w:val="003F6301"/>
    <w:rsid w:val="003F7C65"/>
    <w:rsid w:val="00404DCD"/>
    <w:rsid w:val="004077D6"/>
    <w:rsid w:val="004121E7"/>
    <w:rsid w:val="00413BB5"/>
    <w:rsid w:val="00414E51"/>
    <w:rsid w:val="004201EE"/>
    <w:rsid w:val="00420F04"/>
    <w:rsid w:val="00423099"/>
    <w:rsid w:val="00424E79"/>
    <w:rsid w:val="0042661C"/>
    <w:rsid w:val="004274B3"/>
    <w:rsid w:val="004352C8"/>
    <w:rsid w:val="0044190A"/>
    <w:rsid w:val="00443EC1"/>
    <w:rsid w:val="00453264"/>
    <w:rsid w:val="00462B54"/>
    <w:rsid w:val="00463064"/>
    <w:rsid w:val="00467D2C"/>
    <w:rsid w:val="00472461"/>
    <w:rsid w:val="004809B8"/>
    <w:rsid w:val="004821B9"/>
    <w:rsid w:val="00486854"/>
    <w:rsid w:val="00491D88"/>
    <w:rsid w:val="0049605C"/>
    <w:rsid w:val="004965F7"/>
    <w:rsid w:val="004A04DE"/>
    <w:rsid w:val="004A7048"/>
    <w:rsid w:val="004B0A0A"/>
    <w:rsid w:val="004B1C4B"/>
    <w:rsid w:val="004B1D1F"/>
    <w:rsid w:val="004B51D3"/>
    <w:rsid w:val="004B52BB"/>
    <w:rsid w:val="004B60CB"/>
    <w:rsid w:val="004C1CB5"/>
    <w:rsid w:val="004D5CC5"/>
    <w:rsid w:val="004E0522"/>
    <w:rsid w:val="004E5F72"/>
    <w:rsid w:val="004E769A"/>
    <w:rsid w:val="004F71E3"/>
    <w:rsid w:val="00500ACD"/>
    <w:rsid w:val="005024C6"/>
    <w:rsid w:val="00504061"/>
    <w:rsid w:val="00505BAE"/>
    <w:rsid w:val="00506956"/>
    <w:rsid w:val="00515380"/>
    <w:rsid w:val="005176CA"/>
    <w:rsid w:val="005177E7"/>
    <w:rsid w:val="00520630"/>
    <w:rsid w:val="005261E2"/>
    <w:rsid w:val="00535578"/>
    <w:rsid w:val="00537A77"/>
    <w:rsid w:val="00541A14"/>
    <w:rsid w:val="00543F9C"/>
    <w:rsid w:val="0054503C"/>
    <w:rsid w:val="00546D39"/>
    <w:rsid w:val="00550E84"/>
    <w:rsid w:val="00551368"/>
    <w:rsid w:val="00553503"/>
    <w:rsid w:val="005547F0"/>
    <w:rsid w:val="005577B0"/>
    <w:rsid w:val="00562084"/>
    <w:rsid w:val="0056313A"/>
    <w:rsid w:val="00570EED"/>
    <w:rsid w:val="005716FC"/>
    <w:rsid w:val="00575DEF"/>
    <w:rsid w:val="005831CF"/>
    <w:rsid w:val="00583A33"/>
    <w:rsid w:val="005867D2"/>
    <w:rsid w:val="00591BD2"/>
    <w:rsid w:val="005963CC"/>
    <w:rsid w:val="00596E19"/>
    <w:rsid w:val="005A241E"/>
    <w:rsid w:val="005A6FED"/>
    <w:rsid w:val="005B1BC4"/>
    <w:rsid w:val="005B6858"/>
    <w:rsid w:val="005B6894"/>
    <w:rsid w:val="005C13B2"/>
    <w:rsid w:val="005C27E3"/>
    <w:rsid w:val="005C37CB"/>
    <w:rsid w:val="005C3F7E"/>
    <w:rsid w:val="005C459C"/>
    <w:rsid w:val="005C75D4"/>
    <w:rsid w:val="005D1A9F"/>
    <w:rsid w:val="005D3C2F"/>
    <w:rsid w:val="005D52FA"/>
    <w:rsid w:val="005E266F"/>
    <w:rsid w:val="005E5734"/>
    <w:rsid w:val="005E73CE"/>
    <w:rsid w:val="005F02A1"/>
    <w:rsid w:val="005F059A"/>
    <w:rsid w:val="005F07DC"/>
    <w:rsid w:val="005F5EFC"/>
    <w:rsid w:val="005F64FB"/>
    <w:rsid w:val="00600CC8"/>
    <w:rsid w:val="0060251E"/>
    <w:rsid w:val="00602DDE"/>
    <w:rsid w:val="006075B1"/>
    <w:rsid w:val="00611737"/>
    <w:rsid w:val="00614DE8"/>
    <w:rsid w:val="006170EA"/>
    <w:rsid w:val="00622669"/>
    <w:rsid w:val="00622972"/>
    <w:rsid w:val="00622FE1"/>
    <w:rsid w:val="00625CE5"/>
    <w:rsid w:val="00635027"/>
    <w:rsid w:val="00644A7B"/>
    <w:rsid w:val="0065085B"/>
    <w:rsid w:val="00652628"/>
    <w:rsid w:val="006556D9"/>
    <w:rsid w:val="00655E02"/>
    <w:rsid w:val="00660570"/>
    <w:rsid w:val="00661C46"/>
    <w:rsid w:val="006652D3"/>
    <w:rsid w:val="00667CF3"/>
    <w:rsid w:val="006769C4"/>
    <w:rsid w:val="00676D4B"/>
    <w:rsid w:val="00677627"/>
    <w:rsid w:val="00677BD5"/>
    <w:rsid w:val="0068025E"/>
    <w:rsid w:val="00681FCD"/>
    <w:rsid w:val="00693C87"/>
    <w:rsid w:val="006A05C7"/>
    <w:rsid w:val="006A0FD7"/>
    <w:rsid w:val="006A2568"/>
    <w:rsid w:val="006A607B"/>
    <w:rsid w:val="006A6E27"/>
    <w:rsid w:val="006A72B0"/>
    <w:rsid w:val="006B3CEC"/>
    <w:rsid w:val="006B3E4D"/>
    <w:rsid w:val="006B53BE"/>
    <w:rsid w:val="006C52B9"/>
    <w:rsid w:val="006D0289"/>
    <w:rsid w:val="006D1DFE"/>
    <w:rsid w:val="006D2CB1"/>
    <w:rsid w:val="006D327C"/>
    <w:rsid w:val="006E6BC2"/>
    <w:rsid w:val="006E77BB"/>
    <w:rsid w:val="006F0244"/>
    <w:rsid w:val="006F7255"/>
    <w:rsid w:val="0070150E"/>
    <w:rsid w:val="00701EE4"/>
    <w:rsid w:val="00705DB8"/>
    <w:rsid w:val="0070606A"/>
    <w:rsid w:val="00713225"/>
    <w:rsid w:val="0072267B"/>
    <w:rsid w:val="0072512A"/>
    <w:rsid w:val="00731EE6"/>
    <w:rsid w:val="0073290E"/>
    <w:rsid w:val="007354E3"/>
    <w:rsid w:val="007355A6"/>
    <w:rsid w:val="00740A71"/>
    <w:rsid w:val="0074671F"/>
    <w:rsid w:val="007477C5"/>
    <w:rsid w:val="00747938"/>
    <w:rsid w:val="00754507"/>
    <w:rsid w:val="00754576"/>
    <w:rsid w:val="0075645F"/>
    <w:rsid w:val="007607BC"/>
    <w:rsid w:val="00762AFB"/>
    <w:rsid w:val="00765BA8"/>
    <w:rsid w:val="00766007"/>
    <w:rsid w:val="007660EF"/>
    <w:rsid w:val="00770A26"/>
    <w:rsid w:val="00793C5E"/>
    <w:rsid w:val="007A0440"/>
    <w:rsid w:val="007A1364"/>
    <w:rsid w:val="007A24A0"/>
    <w:rsid w:val="007A4AB2"/>
    <w:rsid w:val="007A5E68"/>
    <w:rsid w:val="007A66DE"/>
    <w:rsid w:val="007B1BF7"/>
    <w:rsid w:val="007B28C4"/>
    <w:rsid w:val="007B59AA"/>
    <w:rsid w:val="007C404B"/>
    <w:rsid w:val="007C4BAE"/>
    <w:rsid w:val="007D1D3B"/>
    <w:rsid w:val="007D5960"/>
    <w:rsid w:val="007E114E"/>
    <w:rsid w:val="007E487F"/>
    <w:rsid w:val="007E4B2D"/>
    <w:rsid w:val="007E587D"/>
    <w:rsid w:val="007E6275"/>
    <w:rsid w:val="007E693A"/>
    <w:rsid w:val="007E71E9"/>
    <w:rsid w:val="007F1D06"/>
    <w:rsid w:val="008000F7"/>
    <w:rsid w:val="008010D7"/>
    <w:rsid w:val="00803443"/>
    <w:rsid w:val="0080680D"/>
    <w:rsid w:val="00810467"/>
    <w:rsid w:val="00810E5A"/>
    <w:rsid w:val="00812C05"/>
    <w:rsid w:val="0081322A"/>
    <w:rsid w:val="008162AB"/>
    <w:rsid w:val="00843E6F"/>
    <w:rsid w:val="00846E4A"/>
    <w:rsid w:val="008470E6"/>
    <w:rsid w:val="00847CAF"/>
    <w:rsid w:val="00851AF5"/>
    <w:rsid w:val="00851FB5"/>
    <w:rsid w:val="008571E0"/>
    <w:rsid w:val="008647DE"/>
    <w:rsid w:val="00864B95"/>
    <w:rsid w:val="00872EC8"/>
    <w:rsid w:val="00876E8A"/>
    <w:rsid w:val="008800D3"/>
    <w:rsid w:val="00882C88"/>
    <w:rsid w:val="00886CDD"/>
    <w:rsid w:val="0089214D"/>
    <w:rsid w:val="008927C8"/>
    <w:rsid w:val="0089393B"/>
    <w:rsid w:val="00893C0D"/>
    <w:rsid w:val="008A025D"/>
    <w:rsid w:val="008A04B7"/>
    <w:rsid w:val="008A20DA"/>
    <w:rsid w:val="008A5324"/>
    <w:rsid w:val="008A7ED4"/>
    <w:rsid w:val="008B5C8F"/>
    <w:rsid w:val="008B5F16"/>
    <w:rsid w:val="008B7722"/>
    <w:rsid w:val="008B773E"/>
    <w:rsid w:val="008C0E5C"/>
    <w:rsid w:val="008D2CBE"/>
    <w:rsid w:val="008D348B"/>
    <w:rsid w:val="008E2BE4"/>
    <w:rsid w:val="008E6B4E"/>
    <w:rsid w:val="008E7970"/>
    <w:rsid w:val="008E7C34"/>
    <w:rsid w:val="008F0C36"/>
    <w:rsid w:val="008F377B"/>
    <w:rsid w:val="008F5B4E"/>
    <w:rsid w:val="0091301F"/>
    <w:rsid w:val="00913B71"/>
    <w:rsid w:val="00915512"/>
    <w:rsid w:val="009165FC"/>
    <w:rsid w:val="00917EC7"/>
    <w:rsid w:val="009233CC"/>
    <w:rsid w:val="009240D8"/>
    <w:rsid w:val="009317AB"/>
    <w:rsid w:val="009360D7"/>
    <w:rsid w:val="009362C9"/>
    <w:rsid w:val="00942387"/>
    <w:rsid w:val="0094626F"/>
    <w:rsid w:val="009462D2"/>
    <w:rsid w:val="009478BE"/>
    <w:rsid w:val="00952479"/>
    <w:rsid w:val="009652D5"/>
    <w:rsid w:val="009677F8"/>
    <w:rsid w:val="009679CC"/>
    <w:rsid w:val="00971146"/>
    <w:rsid w:val="00972A9A"/>
    <w:rsid w:val="009763EC"/>
    <w:rsid w:val="00980BA4"/>
    <w:rsid w:val="00991675"/>
    <w:rsid w:val="00992008"/>
    <w:rsid w:val="00996409"/>
    <w:rsid w:val="00996D00"/>
    <w:rsid w:val="009A03DC"/>
    <w:rsid w:val="009A5D4E"/>
    <w:rsid w:val="009A6CF3"/>
    <w:rsid w:val="009B22CB"/>
    <w:rsid w:val="009B43BF"/>
    <w:rsid w:val="009B4A2D"/>
    <w:rsid w:val="009C1E0B"/>
    <w:rsid w:val="009C6D5E"/>
    <w:rsid w:val="009D1E4D"/>
    <w:rsid w:val="009D545A"/>
    <w:rsid w:val="009D6D44"/>
    <w:rsid w:val="009E22FA"/>
    <w:rsid w:val="009E4744"/>
    <w:rsid w:val="009E4EC9"/>
    <w:rsid w:val="009E5D5A"/>
    <w:rsid w:val="009F2262"/>
    <w:rsid w:val="009F4ADA"/>
    <w:rsid w:val="009F6A0D"/>
    <w:rsid w:val="00A0583B"/>
    <w:rsid w:val="00A05BFF"/>
    <w:rsid w:val="00A07991"/>
    <w:rsid w:val="00A10CDE"/>
    <w:rsid w:val="00A126C3"/>
    <w:rsid w:val="00A1680D"/>
    <w:rsid w:val="00A23AB0"/>
    <w:rsid w:val="00A266C5"/>
    <w:rsid w:val="00A309C6"/>
    <w:rsid w:val="00A32E4E"/>
    <w:rsid w:val="00A45DBA"/>
    <w:rsid w:val="00A46EB1"/>
    <w:rsid w:val="00A505DE"/>
    <w:rsid w:val="00A5327C"/>
    <w:rsid w:val="00A5721C"/>
    <w:rsid w:val="00A65AFD"/>
    <w:rsid w:val="00A66AE5"/>
    <w:rsid w:val="00A67913"/>
    <w:rsid w:val="00A77DF1"/>
    <w:rsid w:val="00A81A94"/>
    <w:rsid w:val="00A829AE"/>
    <w:rsid w:val="00A866D3"/>
    <w:rsid w:val="00A9641E"/>
    <w:rsid w:val="00A9681E"/>
    <w:rsid w:val="00AA007A"/>
    <w:rsid w:val="00AA11C3"/>
    <w:rsid w:val="00AB073E"/>
    <w:rsid w:val="00AB1A13"/>
    <w:rsid w:val="00AB37D2"/>
    <w:rsid w:val="00AB4E9F"/>
    <w:rsid w:val="00AB6F5B"/>
    <w:rsid w:val="00AC210F"/>
    <w:rsid w:val="00AC319E"/>
    <w:rsid w:val="00AD1138"/>
    <w:rsid w:val="00AD2EA6"/>
    <w:rsid w:val="00AD3A1A"/>
    <w:rsid w:val="00AE3A1E"/>
    <w:rsid w:val="00AE734F"/>
    <w:rsid w:val="00AF2656"/>
    <w:rsid w:val="00AF4147"/>
    <w:rsid w:val="00AF604C"/>
    <w:rsid w:val="00AF6110"/>
    <w:rsid w:val="00AF6AC6"/>
    <w:rsid w:val="00B00611"/>
    <w:rsid w:val="00B04354"/>
    <w:rsid w:val="00B12058"/>
    <w:rsid w:val="00B2172B"/>
    <w:rsid w:val="00B249FC"/>
    <w:rsid w:val="00B2590A"/>
    <w:rsid w:val="00B317E7"/>
    <w:rsid w:val="00B33A57"/>
    <w:rsid w:val="00B34083"/>
    <w:rsid w:val="00B37087"/>
    <w:rsid w:val="00B37728"/>
    <w:rsid w:val="00B40B46"/>
    <w:rsid w:val="00B44D61"/>
    <w:rsid w:val="00B45C64"/>
    <w:rsid w:val="00B46A32"/>
    <w:rsid w:val="00B46B29"/>
    <w:rsid w:val="00B53547"/>
    <w:rsid w:val="00B53597"/>
    <w:rsid w:val="00B55D3E"/>
    <w:rsid w:val="00B60258"/>
    <w:rsid w:val="00B62590"/>
    <w:rsid w:val="00B6411F"/>
    <w:rsid w:val="00B66EE5"/>
    <w:rsid w:val="00B6729F"/>
    <w:rsid w:val="00B70B5D"/>
    <w:rsid w:val="00B82627"/>
    <w:rsid w:val="00B90AA7"/>
    <w:rsid w:val="00B94335"/>
    <w:rsid w:val="00B944CC"/>
    <w:rsid w:val="00B959A9"/>
    <w:rsid w:val="00BA65E5"/>
    <w:rsid w:val="00BB09DF"/>
    <w:rsid w:val="00BB3FC5"/>
    <w:rsid w:val="00BB6A17"/>
    <w:rsid w:val="00BC2B3B"/>
    <w:rsid w:val="00BC4579"/>
    <w:rsid w:val="00BC62EF"/>
    <w:rsid w:val="00BC76B9"/>
    <w:rsid w:val="00BD1810"/>
    <w:rsid w:val="00BD3D24"/>
    <w:rsid w:val="00BD4AF1"/>
    <w:rsid w:val="00BD4C97"/>
    <w:rsid w:val="00BF6AAE"/>
    <w:rsid w:val="00C0018A"/>
    <w:rsid w:val="00C00905"/>
    <w:rsid w:val="00C035B5"/>
    <w:rsid w:val="00C05730"/>
    <w:rsid w:val="00C11ABD"/>
    <w:rsid w:val="00C14FB2"/>
    <w:rsid w:val="00C15371"/>
    <w:rsid w:val="00C176AC"/>
    <w:rsid w:val="00C21EF9"/>
    <w:rsid w:val="00C222F7"/>
    <w:rsid w:val="00C24839"/>
    <w:rsid w:val="00C26DEA"/>
    <w:rsid w:val="00C27C23"/>
    <w:rsid w:val="00C41C84"/>
    <w:rsid w:val="00C45982"/>
    <w:rsid w:val="00C554D4"/>
    <w:rsid w:val="00C61B02"/>
    <w:rsid w:val="00C61F83"/>
    <w:rsid w:val="00C63780"/>
    <w:rsid w:val="00C719A2"/>
    <w:rsid w:val="00C72165"/>
    <w:rsid w:val="00C83041"/>
    <w:rsid w:val="00C87AA5"/>
    <w:rsid w:val="00C90B42"/>
    <w:rsid w:val="00C93DC7"/>
    <w:rsid w:val="00C9475D"/>
    <w:rsid w:val="00C95056"/>
    <w:rsid w:val="00C951FD"/>
    <w:rsid w:val="00CA1249"/>
    <w:rsid w:val="00CA1A0B"/>
    <w:rsid w:val="00CA2E76"/>
    <w:rsid w:val="00CA7F28"/>
    <w:rsid w:val="00CB0768"/>
    <w:rsid w:val="00CB131F"/>
    <w:rsid w:val="00CB4DCD"/>
    <w:rsid w:val="00CB4F2D"/>
    <w:rsid w:val="00CC1690"/>
    <w:rsid w:val="00CC2DCA"/>
    <w:rsid w:val="00CC665A"/>
    <w:rsid w:val="00CD4861"/>
    <w:rsid w:val="00CD7F31"/>
    <w:rsid w:val="00CE04A0"/>
    <w:rsid w:val="00CE24C9"/>
    <w:rsid w:val="00CE34DC"/>
    <w:rsid w:val="00CE3ABE"/>
    <w:rsid w:val="00CE6B67"/>
    <w:rsid w:val="00D07FB4"/>
    <w:rsid w:val="00D12F5A"/>
    <w:rsid w:val="00D21225"/>
    <w:rsid w:val="00D21FA8"/>
    <w:rsid w:val="00D23014"/>
    <w:rsid w:val="00D236B7"/>
    <w:rsid w:val="00D23E48"/>
    <w:rsid w:val="00D244BE"/>
    <w:rsid w:val="00D24E2D"/>
    <w:rsid w:val="00D263E8"/>
    <w:rsid w:val="00D43096"/>
    <w:rsid w:val="00D46AB2"/>
    <w:rsid w:val="00D47815"/>
    <w:rsid w:val="00D500C1"/>
    <w:rsid w:val="00D523DE"/>
    <w:rsid w:val="00D52A55"/>
    <w:rsid w:val="00D52FE9"/>
    <w:rsid w:val="00D6244E"/>
    <w:rsid w:val="00D656EB"/>
    <w:rsid w:val="00D73366"/>
    <w:rsid w:val="00D771FD"/>
    <w:rsid w:val="00D7796D"/>
    <w:rsid w:val="00D81B18"/>
    <w:rsid w:val="00D83541"/>
    <w:rsid w:val="00D850B3"/>
    <w:rsid w:val="00D91998"/>
    <w:rsid w:val="00D93A16"/>
    <w:rsid w:val="00D9496D"/>
    <w:rsid w:val="00DA0768"/>
    <w:rsid w:val="00DA161A"/>
    <w:rsid w:val="00DA5A94"/>
    <w:rsid w:val="00DB2355"/>
    <w:rsid w:val="00DB351F"/>
    <w:rsid w:val="00DB3BB4"/>
    <w:rsid w:val="00DC0F02"/>
    <w:rsid w:val="00DC0F8D"/>
    <w:rsid w:val="00DC2284"/>
    <w:rsid w:val="00DC3CA4"/>
    <w:rsid w:val="00DE12C8"/>
    <w:rsid w:val="00DE4578"/>
    <w:rsid w:val="00DF04EE"/>
    <w:rsid w:val="00DF3E35"/>
    <w:rsid w:val="00E03ED5"/>
    <w:rsid w:val="00E06243"/>
    <w:rsid w:val="00E07169"/>
    <w:rsid w:val="00E1688C"/>
    <w:rsid w:val="00E22665"/>
    <w:rsid w:val="00E30499"/>
    <w:rsid w:val="00E30B51"/>
    <w:rsid w:val="00E324BB"/>
    <w:rsid w:val="00E3723A"/>
    <w:rsid w:val="00E377E8"/>
    <w:rsid w:val="00E430CD"/>
    <w:rsid w:val="00E43464"/>
    <w:rsid w:val="00E46DB5"/>
    <w:rsid w:val="00E47A69"/>
    <w:rsid w:val="00E5043B"/>
    <w:rsid w:val="00E5112B"/>
    <w:rsid w:val="00E571BB"/>
    <w:rsid w:val="00E6364D"/>
    <w:rsid w:val="00E71878"/>
    <w:rsid w:val="00E74435"/>
    <w:rsid w:val="00E758AD"/>
    <w:rsid w:val="00E77D4E"/>
    <w:rsid w:val="00E91860"/>
    <w:rsid w:val="00E922D5"/>
    <w:rsid w:val="00E954B7"/>
    <w:rsid w:val="00E96FDB"/>
    <w:rsid w:val="00EA107B"/>
    <w:rsid w:val="00EC04AB"/>
    <w:rsid w:val="00EC0D48"/>
    <w:rsid w:val="00EC16F1"/>
    <w:rsid w:val="00ED03E1"/>
    <w:rsid w:val="00ED05D6"/>
    <w:rsid w:val="00ED0C6F"/>
    <w:rsid w:val="00ED1069"/>
    <w:rsid w:val="00ED2FCC"/>
    <w:rsid w:val="00ED797F"/>
    <w:rsid w:val="00EE09A9"/>
    <w:rsid w:val="00EE1A2E"/>
    <w:rsid w:val="00EE23F4"/>
    <w:rsid w:val="00EE5F75"/>
    <w:rsid w:val="00EE6084"/>
    <w:rsid w:val="00EF2722"/>
    <w:rsid w:val="00EF5DFF"/>
    <w:rsid w:val="00EF6805"/>
    <w:rsid w:val="00EF6818"/>
    <w:rsid w:val="00F00508"/>
    <w:rsid w:val="00F017C5"/>
    <w:rsid w:val="00F01E52"/>
    <w:rsid w:val="00F042DC"/>
    <w:rsid w:val="00F0463B"/>
    <w:rsid w:val="00F07099"/>
    <w:rsid w:val="00F07CA8"/>
    <w:rsid w:val="00F105EA"/>
    <w:rsid w:val="00F11117"/>
    <w:rsid w:val="00F11676"/>
    <w:rsid w:val="00F12541"/>
    <w:rsid w:val="00F14FEF"/>
    <w:rsid w:val="00F22035"/>
    <w:rsid w:val="00F22D18"/>
    <w:rsid w:val="00F34505"/>
    <w:rsid w:val="00F34AEE"/>
    <w:rsid w:val="00F36C87"/>
    <w:rsid w:val="00F43064"/>
    <w:rsid w:val="00F46927"/>
    <w:rsid w:val="00F473B1"/>
    <w:rsid w:val="00F55854"/>
    <w:rsid w:val="00F56813"/>
    <w:rsid w:val="00F70110"/>
    <w:rsid w:val="00F72C93"/>
    <w:rsid w:val="00F80A88"/>
    <w:rsid w:val="00F8237A"/>
    <w:rsid w:val="00F823F5"/>
    <w:rsid w:val="00F86A86"/>
    <w:rsid w:val="00F9170D"/>
    <w:rsid w:val="00F94368"/>
    <w:rsid w:val="00F9494C"/>
    <w:rsid w:val="00F9562B"/>
    <w:rsid w:val="00FA15C8"/>
    <w:rsid w:val="00FA1821"/>
    <w:rsid w:val="00FA2D86"/>
    <w:rsid w:val="00FA348C"/>
    <w:rsid w:val="00FB0AD8"/>
    <w:rsid w:val="00FB4DBB"/>
    <w:rsid w:val="00FC1115"/>
    <w:rsid w:val="00FC32EE"/>
    <w:rsid w:val="00FD0433"/>
    <w:rsid w:val="00FE2C17"/>
    <w:rsid w:val="00FF072F"/>
    <w:rsid w:val="00FF0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1850FF"/>
    <w:rPr>
      <w:sz w:val="20"/>
      <w:szCs w:val="24"/>
    </w:rPr>
  </w:style>
  <w:style w:type="character" w:customStyle="1" w:styleId="CGCParaNoChar">
    <w:name w:val="CGC Para No Char"/>
    <w:aliases w:val="CGC Numbered Para Char"/>
    <w:basedOn w:val="DefaultParagraphFont"/>
    <w:link w:val="CGCNumberedPara"/>
    <w:rsid w:val="00413BB5"/>
    <w:rPr>
      <w:sz w:val="24"/>
      <w:szCs w:val="24"/>
    </w:rPr>
  </w:style>
  <w:style w:type="character" w:customStyle="1" w:styleId="CGCTableStubChar">
    <w:name w:val="CGC Table Stub Char"/>
    <w:basedOn w:val="DefaultParagraphFont"/>
    <w:link w:val="CGCTableStub"/>
    <w:rsid w:val="00660570"/>
    <w:rPr>
      <w:sz w:val="20"/>
      <w:szCs w:val="20"/>
    </w:rPr>
  </w:style>
  <w:style w:type="character" w:customStyle="1" w:styleId="TableRowNormalChar">
    <w:name w:val="TableRowNormal Char"/>
    <w:basedOn w:val="DefaultParagraphFont"/>
    <w:link w:val="TableRowNormal"/>
    <w:locked/>
    <w:rsid w:val="00660570"/>
    <w:rPr>
      <w:sz w:val="20"/>
      <w:szCs w:val="20"/>
    </w:rPr>
  </w:style>
  <w:style w:type="character" w:customStyle="1" w:styleId="CGCBulletlistChar">
    <w:name w:val="CGC Bullet list Char"/>
    <w:aliases w:val="CGC List 1 Char,CGC Bullet list Char1"/>
    <w:basedOn w:val="DefaultParagraphFont"/>
    <w:link w:val="CGCBulletlist"/>
    <w:locked/>
    <w:rsid w:val="00B12058"/>
    <w:rPr>
      <w:sz w:val="24"/>
      <w:szCs w:val="20"/>
    </w:rPr>
  </w:style>
  <w:style w:type="character" w:customStyle="1" w:styleId="CGCTableHeadingChar">
    <w:name w:val="CGC Table Heading Char"/>
    <w:basedOn w:val="DefaultParagraphFont"/>
    <w:link w:val="CGCTableHeading"/>
    <w:rsid w:val="00C87AA5"/>
    <w:rPr>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1850FF"/>
    <w:rPr>
      <w:sz w:val="20"/>
      <w:szCs w:val="24"/>
    </w:rPr>
  </w:style>
  <w:style w:type="character" w:customStyle="1" w:styleId="CGCParaNoChar">
    <w:name w:val="CGC Para No Char"/>
    <w:aliases w:val="CGC Numbered Para Char"/>
    <w:basedOn w:val="DefaultParagraphFont"/>
    <w:link w:val="CGCNumberedPara"/>
    <w:rsid w:val="00413BB5"/>
    <w:rPr>
      <w:sz w:val="24"/>
      <w:szCs w:val="24"/>
    </w:rPr>
  </w:style>
  <w:style w:type="character" w:customStyle="1" w:styleId="CGCTableStubChar">
    <w:name w:val="CGC Table Stub Char"/>
    <w:basedOn w:val="DefaultParagraphFont"/>
    <w:link w:val="CGCTableStub"/>
    <w:rsid w:val="00660570"/>
    <w:rPr>
      <w:sz w:val="20"/>
      <w:szCs w:val="20"/>
    </w:rPr>
  </w:style>
  <w:style w:type="character" w:customStyle="1" w:styleId="TableRowNormalChar">
    <w:name w:val="TableRowNormal Char"/>
    <w:basedOn w:val="DefaultParagraphFont"/>
    <w:link w:val="TableRowNormal"/>
    <w:locked/>
    <w:rsid w:val="00660570"/>
    <w:rPr>
      <w:sz w:val="20"/>
      <w:szCs w:val="20"/>
    </w:rPr>
  </w:style>
  <w:style w:type="character" w:customStyle="1" w:styleId="CGCBulletlistChar">
    <w:name w:val="CGC Bullet list Char"/>
    <w:aliases w:val="CGC List 1 Char,CGC Bullet list Char1"/>
    <w:basedOn w:val="DefaultParagraphFont"/>
    <w:link w:val="CGCBulletlist"/>
    <w:locked/>
    <w:rsid w:val="00B12058"/>
    <w:rPr>
      <w:sz w:val="24"/>
      <w:szCs w:val="20"/>
    </w:rPr>
  </w:style>
  <w:style w:type="character" w:customStyle="1" w:styleId="CGCTableHeadingChar">
    <w:name w:val="CGC Table Heading Char"/>
    <w:basedOn w:val="DefaultParagraphFont"/>
    <w:link w:val="CGCTableHeading"/>
    <w:rsid w:val="00C87AA5"/>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349601874">
      <w:bodyDiv w:val="1"/>
      <w:marLeft w:val="0"/>
      <w:marRight w:val="0"/>
      <w:marTop w:val="0"/>
      <w:marBottom w:val="0"/>
      <w:divBdr>
        <w:top w:val="none" w:sz="0" w:space="0" w:color="auto"/>
        <w:left w:val="none" w:sz="0" w:space="0" w:color="auto"/>
        <w:bottom w:val="none" w:sz="0" w:space="0" w:color="auto"/>
        <w:right w:val="none" w:sz="0" w:space="0" w:color="auto"/>
      </w:divBdr>
    </w:div>
    <w:div w:id="1357609762">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8921701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cgc.gov.a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yperlink" Target="mailto:morgan.moa@cgc.gov.a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reativecommons.org/licenses/by/3.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24EF-EBD9-4C32-B54C-ED5970BA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1597</Words>
  <Characters>9163</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2018-04-18T05:59:00Z</dcterms:created>
  <dcterms:modified xsi:type="dcterms:W3CDTF">2018-04-18T05:59:00Z</dcterms:modified>
</cp:coreProperties>
</file>