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E46998" w14:textId="663D26DB" w:rsidR="001B68B1" w:rsidRPr="00970E6D" w:rsidRDefault="001B68B1" w:rsidP="001B68B1">
      <w:pPr>
        <w:tabs>
          <w:tab w:val="clear" w:pos="567"/>
        </w:tabs>
        <w:jc w:val="center"/>
        <w:rPr>
          <w:b/>
          <w:bCs/>
        </w:rPr>
      </w:pPr>
      <w:bookmarkStart w:id="0" w:name="_Toc106707122"/>
      <w:bookmarkStart w:id="1" w:name="_Toc155675722"/>
      <w:bookmarkStart w:id="2" w:name="_Toc155675934"/>
      <w:bookmarkStart w:id="3" w:name="_Toc155675975"/>
      <w:bookmarkStart w:id="4" w:name="_Toc155676245"/>
      <w:bookmarkStart w:id="5" w:name="_Toc174415768"/>
      <w:bookmarkStart w:id="6" w:name="_Toc106707725"/>
      <w:bookmarkStart w:id="7" w:name="_Toc155675935"/>
      <w:bookmarkStart w:id="8" w:name="_Toc174415770"/>
      <w:bookmarkStart w:id="9" w:name="_Toc174415844"/>
      <w:bookmarkStart w:id="10" w:name="_Toc174415935"/>
      <w:bookmarkStart w:id="11" w:name="_Toc174416620"/>
      <w:bookmarkStart w:id="12" w:name="_Toc174416662"/>
      <w:bookmarkStart w:id="13" w:name="_Toc174416675"/>
      <w:r w:rsidRPr="00970E6D">
        <w:rPr>
          <w:noProof/>
          <w:lang w:eastAsia="en-AU"/>
        </w:rPr>
        <w:drawing>
          <wp:inline distT="0" distB="0" distL="0" distR="0" wp14:anchorId="212F2D0D" wp14:editId="29E00C16">
            <wp:extent cx="2933700" cy="1524600"/>
            <wp:effectExtent l="19050" t="0" r="0" b="0"/>
            <wp:docPr id="1" name="Picture 1" descr="Commonwealth Grants Commiss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C_stackedstrip"/>
                    <pic:cNvPicPr>
                      <a:picLocks noChangeAspect="1" noChangeArrowheads="1"/>
                    </pic:cNvPicPr>
                  </pic:nvPicPr>
                  <pic:blipFill>
                    <a:blip r:embed="rId7" cstate="print"/>
                    <a:srcRect/>
                    <a:stretch>
                      <a:fillRect/>
                    </a:stretch>
                  </pic:blipFill>
                  <pic:spPr bwMode="auto">
                    <a:xfrm>
                      <a:off x="0" y="0"/>
                      <a:ext cx="2933700" cy="1524600"/>
                    </a:xfrm>
                    <a:prstGeom prst="rect">
                      <a:avLst/>
                    </a:prstGeom>
                    <a:noFill/>
                    <a:ln w="9525">
                      <a:noFill/>
                      <a:miter lim="800000"/>
                      <a:headEnd/>
                      <a:tailEnd/>
                    </a:ln>
                  </pic:spPr>
                </pic:pic>
              </a:graphicData>
            </a:graphic>
          </wp:inline>
        </w:drawing>
      </w:r>
    </w:p>
    <w:p w14:paraId="00B3B26E" w14:textId="77777777" w:rsidR="001B68B1" w:rsidRPr="00970E6D" w:rsidRDefault="001B68B1" w:rsidP="001B68B1">
      <w:pPr>
        <w:tabs>
          <w:tab w:val="clear" w:pos="567"/>
        </w:tabs>
        <w:jc w:val="center"/>
        <w:rPr>
          <w:b/>
          <w:sz w:val="40"/>
          <w:szCs w:val="40"/>
        </w:rPr>
      </w:pPr>
    </w:p>
    <w:p w14:paraId="08D0E102" w14:textId="77777777" w:rsidR="001B68B1" w:rsidRPr="00970E6D" w:rsidRDefault="001B68B1" w:rsidP="001B68B1">
      <w:pPr>
        <w:tabs>
          <w:tab w:val="clear" w:pos="567"/>
        </w:tabs>
        <w:jc w:val="center"/>
        <w:rPr>
          <w:b/>
          <w:sz w:val="40"/>
          <w:szCs w:val="40"/>
        </w:rPr>
      </w:pPr>
    </w:p>
    <w:p w14:paraId="5054C24C" w14:textId="77777777" w:rsidR="001B68B1" w:rsidRPr="00970E6D" w:rsidRDefault="001B68B1" w:rsidP="001B68B1">
      <w:pPr>
        <w:tabs>
          <w:tab w:val="clear" w:pos="567"/>
        </w:tabs>
        <w:jc w:val="center"/>
        <w:rPr>
          <w:b/>
          <w:sz w:val="40"/>
          <w:szCs w:val="40"/>
        </w:rPr>
      </w:pPr>
      <w:r w:rsidRPr="00970E6D">
        <w:rPr>
          <w:b/>
          <w:sz w:val="40"/>
          <w:szCs w:val="40"/>
        </w:rPr>
        <w:t>20</w:t>
      </w:r>
      <w:r>
        <w:rPr>
          <w:b/>
          <w:sz w:val="40"/>
          <w:szCs w:val="40"/>
        </w:rPr>
        <w:t>20</w:t>
      </w:r>
      <w:r w:rsidRPr="00970E6D">
        <w:rPr>
          <w:b/>
          <w:sz w:val="40"/>
          <w:szCs w:val="40"/>
        </w:rPr>
        <w:t xml:space="preserve"> REVIEW</w:t>
      </w:r>
    </w:p>
    <w:p w14:paraId="5EAEC845" w14:textId="77777777" w:rsidR="001B68B1" w:rsidRPr="00970E6D" w:rsidRDefault="001B68B1" w:rsidP="001B68B1">
      <w:pPr>
        <w:tabs>
          <w:tab w:val="clear" w:pos="567"/>
        </w:tabs>
        <w:jc w:val="center"/>
        <w:rPr>
          <w:b/>
          <w:sz w:val="40"/>
          <w:szCs w:val="40"/>
        </w:rPr>
      </w:pPr>
    </w:p>
    <w:p w14:paraId="7245DB60" w14:textId="77777777" w:rsidR="001B68B1" w:rsidRPr="00970E6D" w:rsidRDefault="001B68B1" w:rsidP="001B68B1">
      <w:pPr>
        <w:tabs>
          <w:tab w:val="clear" w:pos="567"/>
        </w:tabs>
        <w:jc w:val="center"/>
        <w:rPr>
          <w:b/>
          <w:sz w:val="40"/>
          <w:szCs w:val="40"/>
        </w:rPr>
      </w:pPr>
    </w:p>
    <w:p w14:paraId="7CFDE9AF" w14:textId="77777777" w:rsidR="001B68B1" w:rsidRPr="00970E6D" w:rsidRDefault="001B68B1" w:rsidP="001B68B1">
      <w:pPr>
        <w:tabs>
          <w:tab w:val="clear" w:pos="567"/>
        </w:tabs>
        <w:jc w:val="center"/>
        <w:rPr>
          <w:b/>
          <w:sz w:val="40"/>
          <w:szCs w:val="40"/>
        </w:rPr>
      </w:pPr>
    </w:p>
    <w:p w14:paraId="33FAC97F" w14:textId="77777777" w:rsidR="001B68B1" w:rsidRPr="00970E6D" w:rsidRDefault="001B68B1" w:rsidP="001B68B1">
      <w:pPr>
        <w:tabs>
          <w:tab w:val="clear" w:pos="567"/>
        </w:tabs>
        <w:jc w:val="center"/>
        <w:rPr>
          <w:b/>
          <w:sz w:val="40"/>
          <w:szCs w:val="40"/>
        </w:rPr>
      </w:pPr>
    </w:p>
    <w:p w14:paraId="3710EEC5" w14:textId="664134C1" w:rsidR="001B68B1" w:rsidRPr="00970E6D" w:rsidRDefault="00547390" w:rsidP="001B68B1">
      <w:pPr>
        <w:tabs>
          <w:tab w:val="clear" w:pos="567"/>
        </w:tabs>
        <w:jc w:val="center"/>
        <w:rPr>
          <w:bCs/>
          <w:sz w:val="40"/>
          <w:szCs w:val="40"/>
        </w:rPr>
      </w:pPr>
      <w:r>
        <w:rPr>
          <w:b/>
          <w:sz w:val="40"/>
          <w:szCs w:val="40"/>
        </w:rPr>
        <w:t>GEOGRAPHY USED BY THE COMMISSION</w:t>
      </w:r>
    </w:p>
    <w:p w14:paraId="1FA4C90B" w14:textId="77777777" w:rsidR="001B68B1" w:rsidRPr="00970E6D" w:rsidRDefault="001B68B1" w:rsidP="001B68B1">
      <w:pPr>
        <w:tabs>
          <w:tab w:val="clear" w:pos="567"/>
        </w:tabs>
        <w:jc w:val="center"/>
        <w:rPr>
          <w:b/>
          <w:sz w:val="40"/>
          <w:szCs w:val="40"/>
        </w:rPr>
      </w:pPr>
    </w:p>
    <w:p w14:paraId="0FC17DCC" w14:textId="77777777" w:rsidR="001B68B1" w:rsidRPr="00970E6D" w:rsidRDefault="001B68B1" w:rsidP="001B68B1">
      <w:pPr>
        <w:tabs>
          <w:tab w:val="clear" w:pos="567"/>
        </w:tabs>
        <w:jc w:val="center"/>
        <w:rPr>
          <w:b/>
          <w:sz w:val="40"/>
          <w:szCs w:val="40"/>
        </w:rPr>
      </w:pPr>
    </w:p>
    <w:p w14:paraId="0D03A393" w14:textId="77777777" w:rsidR="001B68B1" w:rsidRPr="00970E6D" w:rsidRDefault="001B68B1" w:rsidP="001B68B1">
      <w:pPr>
        <w:tabs>
          <w:tab w:val="clear" w:pos="567"/>
        </w:tabs>
        <w:jc w:val="center"/>
        <w:rPr>
          <w:b/>
          <w:sz w:val="40"/>
          <w:szCs w:val="40"/>
        </w:rPr>
      </w:pPr>
    </w:p>
    <w:p w14:paraId="5FA6F52C" w14:textId="77777777" w:rsidR="001B68B1" w:rsidRPr="00970E6D" w:rsidRDefault="001B68B1" w:rsidP="001B68B1">
      <w:pPr>
        <w:tabs>
          <w:tab w:val="clear" w:pos="567"/>
        </w:tabs>
        <w:jc w:val="center"/>
        <w:rPr>
          <w:b/>
          <w:sz w:val="40"/>
          <w:szCs w:val="40"/>
        </w:rPr>
      </w:pPr>
    </w:p>
    <w:p w14:paraId="231890B9" w14:textId="2A074577" w:rsidR="001B68B1" w:rsidRPr="00970E6D" w:rsidRDefault="00E2509C" w:rsidP="001B68B1">
      <w:pPr>
        <w:tabs>
          <w:tab w:val="clear" w:pos="567"/>
        </w:tabs>
        <w:jc w:val="center"/>
        <w:rPr>
          <w:b/>
          <w:sz w:val="40"/>
          <w:szCs w:val="40"/>
        </w:rPr>
      </w:pPr>
      <w:r>
        <w:rPr>
          <w:b/>
          <w:sz w:val="40"/>
          <w:szCs w:val="40"/>
        </w:rPr>
        <w:t xml:space="preserve">STAFF </w:t>
      </w:r>
      <w:r w:rsidR="001B68B1">
        <w:rPr>
          <w:b/>
          <w:sz w:val="40"/>
          <w:szCs w:val="40"/>
        </w:rPr>
        <w:t>DRAFT ASSESSMENT PAPER</w:t>
      </w:r>
      <w:r w:rsidR="001B68B1">
        <w:rPr>
          <w:b/>
          <w:sz w:val="40"/>
          <w:szCs w:val="40"/>
        </w:rPr>
        <w:br/>
        <w:t>CGC 20</w:t>
      </w:r>
      <w:r w:rsidR="001B68B1" w:rsidRPr="00970E6D">
        <w:rPr>
          <w:b/>
          <w:sz w:val="40"/>
          <w:szCs w:val="40"/>
        </w:rPr>
        <w:t>1</w:t>
      </w:r>
      <w:r w:rsidR="001B68B1">
        <w:rPr>
          <w:b/>
          <w:sz w:val="40"/>
          <w:szCs w:val="40"/>
        </w:rPr>
        <w:t>8</w:t>
      </w:r>
      <w:r w:rsidR="001B68B1" w:rsidRPr="00970E6D">
        <w:rPr>
          <w:b/>
          <w:sz w:val="40"/>
          <w:szCs w:val="40"/>
        </w:rPr>
        <w:t>-</w:t>
      </w:r>
      <w:r w:rsidR="005D782A">
        <w:rPr>
          <w:b/>
          <w:sz w:val="40"/>
          <w:szCs w:val="40"/>
        </w:rPr>
        <w:t>01</w:t>
      </w:r>
      <w:r w:rsidR="00BA76EA">
        <w:rPr>
          <w:b/>
          <w:sz w:val="40"/>
          <w:szCs w:val="40"/>
        </w:rPr>
        <w:t>-</w:t>
      </w:r>
      <w:r w:rsidR="00087049">
        <w:rPr>
          <w:b/>
          <w:sz w:val="40"/>
          <w:szCs w:val="40"/>
        </w:rPr>
        <w:t>2</w:t>
      </w:r>
      <w:r w:rsidR="004224C2">
        <w:rPr>
          <w:b/>
          <w:sz w:val="40"/>
          <w:szCs w:val="40"/>
        </w:rPr>
        <w:t>3</w:t>
      </w:r>
      <w:r w:rsidR="001B68B1">
        <w:rPr>
          <w:b/>
          <w:sz w:val="40"/>
          <w:szCs w:val="40"/>
        </w:rPr>
        <w:t>-S</w:t>
      </w:r>
    </w:p>
    <w:p w14:paraId="0074C6BA" w14:textId="77777777" w:rsidR="001B68B1" w:rsidRPr="00970E6D" w:rsidRDefault="001B68B1" w:rsidP="001B68B1">
      <w:pPr>
        <w:tabs>
          <w:tab w:val="clear" w:pos="567"/>
        </w:tabs>
        <w:jc w:val="center"/>
        <w:rPr>
          <w:b/>
          <w:sz w:val="40"/>
          <w:szCs w:val="40"/>
        </w:rPr>
      </w:pPr>
    </w:p>
    <w:p w14:paraId="1AF885EB" w14:textId="77777777" w:rsidR="001B68B1" w:rsidRPr="00970E6D" w:rsidRDefault="001B68B1" w:rsidP="001B68B1">
      <w:pPr>
        <w:tabs>
          <w:tab w:val="clear" w:pos="567"/>
        </w:tabs>
        <w:jc w:val="center"/>
        <w:rPr>
          <w:b/>
          <w:sz w:val="40"/>
          <w:szCs w:val="40"/>
        </w:rPr>
      </w:pPr>
    </w:p>
    <w:p w14:paraId="4B3652A0" w14:textId="77777777" w:rsidR="001B68B1" w:rsidRPr="00970E6D" w:rsidRDefault="001B68B1" w:rsidP="001B68B1">
      <w:pPr>
        <w:tabs>
          <w:tab w:val="clear" w:pos="567"/>
        </w:tabs>
        <w:jc w:val="center"/>
        <w:rPr>
          <w:b/>
          <w:sz w:val="40"/>
          <w:szCs w:val="40"/>
        </w:rPr>
      </w:pPr>
    </w:p>
    <w:p w14:paraId="7E0CA9B0" w14:textId="77777777" w:rsidR="001B68B1" w:rsidRPr="00970E6D" w:rsidRDefault="001B68B1" w:rsidP="001B68B1">
      <w:pPr>
        <w:tabs>
          <w:tab w:val="clear" w:pos="567"/>
        </w:tabs>
        <w:jc w:val="center"/>
        <w:rPr>
          <w:sz w:val="40"/>
          <w:szCs w:val="40"/>
        </w:rPr>
      </w:pPr>
    </w:p>
    <w:p w14:paraId="46D6BA20" w14:textId="77777777" w:rsidR="001B68B1" w:rsidRPr="00970E6D" w:rsidRDefault="001B68B1" w:rsidP="001B68B1">
      <w:pPr>
        <w:tabs>
          <w:tab w:val="clear" w:pos="567"/>
        </w:tabs>
        <w:jc w:val="right"/>
        <w:rPr>
          <w:b/>
          <w:sz w:val="28"/>
          <w:szCs w:val="28"/>
        </w:rPr>
      </w:pPr>
      <w:r>
        <w:rPr>
          <w:b/>
          <w:sz w:val="28"/>
          <w:szCs w:val="28"/>
        </w:rPr>
        <w:t>APRIL 2018</w:t>
      </w:r>
    </w:p>
    <w:p w14:paraId="36AF3AC3" w14:textId="77777777" w:rsidR="001B68B1" w:rsidRPr="00970E6D" w:rsidRDefault="001B68B1" w:rsidP="001B68B1">
      <w:pPr>
        <w:tabs>
          <w:tab w:val="clear" w:pos="567"/>
        </w:tabs>
      </w:pPr>
    </w:p>
    <w:p w14:paraId="7B6E1C35" w14:textId="77777777" w:rsidR="001B68B1" w:rsidRPr="00970E6D" w:rsidRDefault="001B68B1" w:rsidP="001B68B1">
      <w:pPr>
        <w:tabs>
          <w:tab w:val="clear" w:pos="567"/>
        </w:tabs>
        <w:sectPr w:rsidR="001B68B1" w:rsidRPr="00970E6D" w:rsidSect="008C6E3A">
          <w:footerReference w:type="default" r:id="rId8"/>
          <w:footerReference w:type="first" r:id="rId9"/>
          <w:pgSz w:w="11899" w:h="16838" w:code="9"/>
          <w:pgMar w:top="1701" w:right="1474" w:bottom="1701" w:left="1474" w:header="709" w:footer="709" w:gutter="0"/>
          <w:pgNumType w:fmt="lowerRoman" w:start="1"/>
          <w:cols w:space="708"/>
          <w:titlePg/>
          <w:docGrid w:linePitch="299"/>
        </w:sectPr>
      </w:pPr>
    </w:p>
    <w:p w14:paraId="6B3EDE46" w14:textId="77777777" w:rsidR="001B68B1" w:rsidRPr="00970E6D" w:rsidRDefault="001B68B1" w:rsidP="001B68B1">
      <w:pPr>
        <w:tabs>
          <w:tab w:val="clear" w:pos="567"/>
        </w:tabs>
      </w:pPr>
    </w:p>
    <w:tbl>
      <w:tblPr>
        <w:tblStyle w:val="TableGrid"/>
        <w:tblW w:w="5000" w:type="pct"/>
        <w:tblLook w:val="01E0" w:firstRow="1" w:lastRow="1" w:firstColumn="1" w:lastColumn="1" w:noHBand="0" w:noVBand="0"/>
      </w:tblPr>
      <w:tblGrid>
        <w:gridCol w:w="2943"/>
        <w:gridCol w:w="6224"/>
      </w:tblGrid>
      <w:tr w:rsidR="001B68B1" w:rsidRPr="00970E6D" w14:paraId="0EE51E8A" w14:textId="77777777" w:rsidTr="00597341">
        <w:tc>
          <w:tcPr>
            <w:tcW w:w="1605" w:type="pct"/>
            <w:tcBorders>
              <w:top w:val="single" w:sz="4" w:space="0" w:color="auto"/>
              <w:left w:val="single" w:sz="4" w:space="0" w:color="auto"/>
              <w:bottom w:val="single" w:sz="4" w:space="0" w:color="auto"/>
              <w:right w:val="single" w:sz="4" w:space="0" w:color="auto"/>
            </w:tcBorders>
          </w:tcPr>
          <w:p w14:paraId="65E2135F" w14:textId="77777777" w:rsidR="001B68B1" w:rsidRPr="00970E6D" w:rsidRDefault="001B68B1" w:rsidP="00597341">
            <w:pPr>
              <w:tabs>
                <w:tab w:val="clear" w:pos="567"/>
              </w:tabs>
            </w:pPr>
            <w:r w:rsidRPr="00970E6D">
              <w:t>Paper issued</w:t>
            </w:r>
          </w:p>
        </w:tc>
        <w:tc>
          <w:tcPr>
            <w:tcW w:w="3395" w:type="pct"/>
            <w:tcBorders>
              <w:top w:val="single" w:sz="4" w:space="0" w:color="auto"/>
              <w:left w:val="single" w:sz="4" w:space="0" w:color="auto"/>
              <w:bottom w:val="single" w:sz="4" w:space="0" w:color="auto"/>
              <w:right w:val="single" w:sz="4" w:space="0" w:color="auto"/>
            </w:tcBorders>
          </w:tcPr>
          <w:p w14:paraId="2D0E0BBD" w14:textId="2B1A51C1" w:rsidR="001B68B1" w:rsidRPr="00970E6D" w:rsidRDefault="00290FD5" w:rsidP="00290FD5">
            <w:pPr>
              <w:tabs>
                <w:tab w:val="clear" w:pos="567"/>
              </w:tabs>
            </w:pPr>
            <w:r>
              <w:t>20 April 2018</w:t>
            </w:r>
          </w:p>
        </w:tc>
      </w:tr>
      <w:tr w:rsidR="001B68B1" w:rsidRPr="00970E6D" w14:paraId="4A90E205" w14:textId="77777777" w:rsidTr="00597341">
        <w:tc>
          <w:tcPr>
            <w:tcW w:w="1605" w:type="pct"/>
            <w:tcBorders>
              <w:top w:val="single" w:sz="4" w:space="0" w:color="auto"/>
              <w:left w:val="single" w:sz="4" w:space="0" w:color="auto"/>
              <w:bottom w:val="single" w:sz="4" w:space="0" w:color="auto"/>
              <w:right w:val="single" w:sz="4" w:space="0" w:color="auto"/>
            </w:tcBorders>
          </w:tcPr>
          <w:p w14:paraId="06D1558D" w14:textId="77777777" w:rsidR="001B68B1" w:rsidRPr="00970E6D" w:rsidRDefault="001B68B1" w:rsidP="00597341">
            <w:pPr>
              <w:tabs>
                <w:tab w:val="clear" w:pos="567"/>
              </w:tabs>
            </w:pPr>
            <w:r w:rsidRPr="00970E6D">
              <w:t>Commission contact officer</w:t>
            </w:r>
          </w:p>
        </w:tc>
        <w:tc>
          <w:tcPr>
            <w:tcW w:w="3395" w:type="pct"/>
            <w:tcBorders>
              <w:top w:val="single" w:sz="4" w:space="0" w:color="auto"/>
              <w:left w:val="single" w:sz="4" w:space="0" w:color="auto"/>
              <w:bottom w:val="single" w:sz="4" w:space="0" w:color="auto"/>
              <w:right w:val="single" w:sz="4" w:space="0" w:color="auto"/>
            </w:tcBorders>
          </w:tcPr>
          <w:p w14:paraId="27CBA54A" w14:textId="08CCCB57" w:rsidR="001B68B1" w:rsidRPr="00970E6D" w:rsidRDefault="00E64892" w:rsidP="00E64892">
            <w:pPr>
              <w:tabs>
                <w:tab w:val="clear" w:pos="567"/>
              </w:tabs>
            </w:pPr>
            <w:r>
              <w:t>Annie Abello,</w:t>
            </w:r>
            <w:r w:rsidR="001B68B1" w:rsidRPr="00970E6D">
              <w:t xml:space="preserve"> </w:t>
            </w:r>
            <w:r>
              <w:t>02 6229 8877</w:t>
            </w:r>
            <w:r w:rsidR="001B68B1" w:rsidRPr="00970E6D">
              <w:t>,</w:t>
            </w:r>
            <w:r w:rsidR="001B68B1" w:rsidRPr="00BB2321">
              <w:rPr>
                <w:szCs w:val="24"/>
              </w:rPr>
              <w:t xml:space="preserve"> </w:t>
            </w:r>
            <w:hyperlink r:id="rId10" w:history="1">
              <w:r w:rsidR="00290FD5" w:rsidRPr="00BB2321">
                <w:rPr>
                  <w:rStyle w:val="Hyperlink"/>
                  <w:rFonts w:ascii="Calibri" w:eastAsiaTheme="minorEastAsia" w:hAnsi="Calibri" w:cs="Calibri"/>
                  <w:noProof/>
                  <w:szCs w:val="24"/>
                  <w:lang w:val="en-US" w:eastAsia="en-AU"/>
                </w:rPr>
                <w:t>annie.abello@cgc.gov.au</w:t>
              </w:r>
            </w:hyperlink>
          </w:p>
        </w:tc>
      </w:tr>
      <w:tr w:rsidR="001B68B1" w:rsidRPr="00970E6D" w14:paraId="51916335" w14:textId="77777777" w:rsidTr="00597341">
        <w:tc>
          <w:tcPr>
            <w:tcW w:w="1605" w:type="pct"/>
            <w:tcBorders>
              <w:top w:val="single" w:sz="4" w:space="0" w:color="auto"/>
              <w:left w:val="single" w:sz="4" w:space="0" w:color="auto"/>
              <w:bottom w:val="single" w:sz="4" w:space="0" w:color="auto"/>
              <w:right w:val="single" w:sz="4" w:space="0" w:color="auto"/>
            </w:tcBorders>
          </w:tcPr>
          <w:p w14:paraId="333BC75D" w14:textId="77777777" w:rsidR="001B68B1" w:rsidRPr="00970E6D" w:rsidRDefault="001B68B1" w:rsidP="00597341">
            <w:pPr>
              <w:tabs>
                <w:tab w:val="clear" w:pos="567"/>
              </w:tabs>
            </w:pPr>
            <w:r w:rsidRPr="00970E6D">
              <w:t>Submissions sought by</w:t>
            </w:r>
          </w:p>
        </w:tc>
        <w:tc>
          <w:tcPr>
            <w:tcW w:w="3395" w:type="pct"/>
            <w:tcBorders>
              <w:top w:val="single" w:sz="4" w:space="0" w:color="auto"/>
              <w:left w:val="single" w:sz="4" w:space="0" w:color="auto"/>
              <w:bottom w:val="single" w:sz="4" w:space="0" w:color="auto"/>
              <w:right w:val="single" w:sz="4" w:space="0" w:color="auto"/>
            </w:tcBorders>
          </w:tcPr>
          <w:p w14:paraId="6DC901B2" w14:textId="77777777" w:rsidR="00353058" w:rsidRDefault="00290FD5" w:rsidP="00597341">
            <w:pPr>
              <w:tabs>
                <w:tab w:val="clear" w:pos="567"/>
              </w:tabs>
            </w:pPr>
            <w:r>
              <w:t xml:space="preserve">31 </w:t>
            </w:r>
            <w:r w:rsidR="00E64892">
              <w:t>August 2018</w:t>
            </w:r>
            <w:r w:rsidR="00353058">
              <w:t>.</w:t>
            </w:r>
          </w:p>
          <w:p w14:paraId="175C03B1" w14:textId="328FA6D3" w:rsidR="001B68B1" w:rsidRPr="00970E6D" w:rsidRDefault="001B68B1" w:rsidP="00597341">
            <w:pPr>
              <w:tabs>
                <w:tab w:val="clear" w:pos="567"/>
              </w:tabs>
            </w:pPr>
            <w:r w:rsidRPr="00970E6D">
              <w:t xml:space="preserve">Submissions should be emailed in Word format to </w:t>
            </w:r>
            <w:hyperlink r:id="rId11" w:history="1">
              <w:r w:rsidRPr="00970E6D">
                <w:rPr>
                  <w:rStyle w:val="Hyperlink"/>
                </w:rPr>
                <w:t>secretary@cgc.gov.au</w:t>
              </w:r>
            </w:hyperlink>
            <w:r w:rsidRPr="00970E6D">
              <w:t>.</w:t>
            </w:r>
          </w:p>
          <w:p w14:paraId="40066D06" w14:textId="77777777" w:rsidR="001B68B1" w:rsidRPr="00970E6D" w:rsidRDefault="001B68B1" w:rsidP="00597341">
            <w:pPr>
              <w:tabs>
                <w:tab w:val="clear" w:pos="567"/>
              </w:tabs>
            </w:pPr>
            <w:r w:rsidRPr="00970E6D">
              <w:t xml:space="preserve">Submissions of more than </w:t>
            </w:r>
            <w:r>
              <w:t>10</w:t>
            </w:r>
            <w:r w:rsidRPr="00970E6D">
              <w:t xml:space="preserve"> pages in length should include a summary section.</w:t>
            </w:r>
          </w:p>
        </w:tc>
      </w:tr>
      <w:tr w:rsidR="001B68B1" w:rsidRPr="00970E6D" w14:paraId="59F7DEBD" w14:textId="77777777" w:rsidTr="00597341">
        <w:tc>
          <w:tcPr>
            <w:tcW w:w="1605" w:type="pct"/>
            <w:tcBorders>
              <w:top w:val="single" w:sz="4" w:space="0" w:color="auto"/>
              <w:left w:val="single" w:sz="4" w:space="0" w:color="auto"/>
              <w:bottom w:val="single" w:sz="4" w:space="0" w:color="auto"/>
              <w:right w:val="single" w:sz="4" w:space="0" w:color="auto"/>
            </w:tcBorders>
          </w:tcPr>
          <w:p w14:paraId="5197D4E6" w14:textId="77777777" w:rsidR="001B68B1" w:rsidRPr="00970E6D" w:rsidRDefault="001B68B1" w:rsidP="00597341">
            <w:pPr>
              <w:tabs>
                <w:tab w:val="clear" w:pos="567"/>
              </w:tabs>
            </w:pPr>
            <w:r w:rsidRPr="00970E6D">
              <w:t>Confidential material</w:t>
            </w:r>
          </w:p>
        </w:tc>
        <w:tc>
          <w:tcPr>
            <w:tcW w:w="3395" w:type="pct"/>
            <w:tcBorders>
              <w:top w:val="single" w:sz="4" w:space="0" w:color="auto"/>
              <w:left w:val="single" w:sz="4" w:space="0" w:color="auto"/>
              <w:bottom w:val="single" w:sz="4" w:space="0" w:color="auto"/>
              <w:right w:val="single" w:sz="4" w:space="0" w:color="auto"/>
            </w:tcBorders>
          </w:tcPr>
          <w:p w14:paraId="48CF63EE" w14:textId="7E84BDD6" w:rsidR="001B68B1" w:rsidRPr="00CF1294" w:rsidRDefault="001B68B1" w:rsidP="00597341">
            <w:pPr>
              <w:tabs>
                <w:tab w:val="clear" w:pos="567"/>
              </w:tabs>
            </w:pPr>
            <w:r w:rsidRPr="00CF1294">
              <w:t xml:space="preserve">It is the </w:t>
            </w:r>
            <w:r w:rsidR="00290FD5">
              <w:t>C</w:t>
            </w:r>
            <w:r w:rsidRPr="00CF1294">
              <w:t xml:space="preserve">ommission’s normal practice to make State submissions available on its website under the CC BY licence, allowing free use of content by third parties. </w:t>
            </w:r>
          </w:p>
          <w:p w14:paraId="57397C46" w14:textId="77777777" w:rsidR="001B68B1" w:rsidRPr="00CF1294" w:rsidRDefault="001B68B1" w:rsidP="00597341">
            <w:pPr>
              <w:tabs>
                <w:tab w:val="clear" w:pos="567"/>
              </w:tabs>
            </w:pPr>
            <w:r w:rsidRPr="00CF1294">
              <w:rPr>
                <w:noProof/>
                <w:lang w:eastAsia="en-AU"/>
              </w:rPr>
              <w:drawing>
                <wp:inline distT="0" distB="0" distL="0" distR="0" wp14:anchorId="133C82F5" wp14:editId="1378B81D">
                  <wp:extent cx="828675" cy="295275"/>
                  <wp:effectExtent l="19050" t="0" r="9525" b="0"/>
                  <wp:docPr id="3" name="Picture 1" descr="Creative Commons - CC BY At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 Attribution"/>
                          <pic:cNvPicPr>
                            <a:picLocks noChangeAspect="1" noChangeArrowheads="1"/>
                          </pic:cNvPicPr>
                        </pic:nvPicPr>
                        <pic:blipFill>
                          <a:blip r:embed="rId12"/>
                          <a:srcRect/>
                          <a:stretch>
                            <a:fillRect/>
                          </a:stretch>
                        </pic:blipFill>
                        <pic:spPr bwMode="auto">
                          <a:xfrm>
                            <a:off x="0" y="0"/>
                            <a:ext cx="828675" cy="295275"/>
                          </a:xfrm>
                          <a:prstGeom prst="rect">
                            <a:avLst/>
                          </a:prstGeom>
                          <a:noFill/>
                          <a:ln w="9525">
                            <a:noFill/>
                            <a:miter lim="800000"/>
                            <a:headEnd/>
                            <a:tailEnd/>
                          </a:ln>
                        </pic:spPr>
                      </pic:pic>
                    </a:graphicData>
                  </a:graphic>
                </wp:inline>
              </w:drawing>
            </w:r>
          </w:p>
          <w:p w14:paraId="536168F6" w14:textId="77777777" w:rsidR="001B68B1" w:rsidRPr="00CF1294" w:rsidRDefault="001B68B1" w:rsidP="00597341">
            <w:pPr>
              <w:tabs>
                <w:tab w:val="clear" w:pos="567"/>
              </w:tabs>
            </w:pPr>
            <w:r w:rsidRPr="00CF1294">
              <w:t xml:space="preserve">Further information on the CC BY licence can be found </w:t>
            </w:r>
            <w:r w:rsidRPr="00EC79CF">
              <w:t xml:space="preserve">on the </w:t>
            </w:r>
            <w:hyperlink r:id="rId13" w:history="1">
              <w:r w:rsidRPr="00841145">
                <w:rPr>
                  <w:rStyle w:val="Hyperlink"/>
                </w:rPr>
                <w:t>Creative Commons website</w:t>
              </w:r>
            </w:hyperlink>
            <w:r w:rsidRPr="00EC79CF">
              <w:t xml:space="preserve"> </w:t>
            </w:r>
            <w:r>
              <w:t>(</w:t>
            </w:r>
            <w:r w:rsidRPr="00841145">
              <w:t>http://creativecommons.org</w:t>
            </w:r>
            <w:r>
              <w:t>).</w:t>
            </w:r>
            <w:r w:rsidRPr="00CF1294">
              <w:t xml:space="preserve"> </w:t>
            </w:r>
          </w:p>
          <w:p w14:paraId="5B0495E8" w14:textId="7F327D2A" w:rsidR="001B68B1" w:rsidRPr="00970E6D" w:rsidRDefault="001B68B1" w:rsidP="00597341">
            <w:pPr>
              <w:tabs>
                <w:tab w:val="clear" w:pos="567"/>
              </w:tabs>
            </w:pPr>
            <w:r w:rsidRPr="00CF1294">
              <w:t>Confidential material contained in submissions must be clearly identified or included in separate attachment/s, and details provided in the covering email. Identified confidential materia</w:t>
            </w:r>
            <w:r w:rsidR="00290FD5">
              <w:t>l will not be published on the C</w:t>
            </w:r>
            <w:r w:rsidRPr="00CF1294">
              <w:t>ommission’s website.</w:t>
            </w:r>
          </w:p>
        </w:tc>
      </w:tr>
    </w:tbl>
    <w:p w14:paraId="1528E35C" w14:textId="77777777" w:rsidR="001B68B1" w:rsidRPr="00970E6D" w:rsidRDefault="001B68B1" w:rsidP="001B68B1">
      <w:pPr>
        <w:tabs>
          <w:tab w:val="clear" w:pos="567"/>
        </w:tabs>
        <w:sectPr w:rsidR="001B68B1" w:rsidRPr="00970E6D" w:rsidSect="00597341">
          <w:headerReference w:type="first" r:id="rId14"/>
          <w:footerReference w:type="first" r:id="rId15"/>
          <w:pgSz w:w="11899" w:h="16838" w:code="9"/>
          <w:pgMar w:top="1701" w:right="1474" w:bottom="1701" w:left="1474" w:header="709" w:footer="709" w:gutter="0"/>
          <w:cols w:space="708"/>
          <w:vAlign w:val="bottom"/>
          <w:titlePg/>
          <w:docGrid w:linePitch="299"/>
        </w:sectPr>
      </w:pPr>
    </w:p>
    <w:p w14:paraId="5CA70D12" w14:textId="77777777" w:rsidR="001B68B1" w:rsidRPr="00970E6D" w:rsidRDefault="001B68B1" w:rsidP="001B68B1">
      <w:pPr>
        <w:pStyle w:val="Heading1"/>
      </w:pPr>
      <w:r w:rsidRPr="00970E6D">
        <w:lastRenderedPageBreak/>
        <w:t>C</w:t>
      </w:r>
      <w:bookmarkEnd w:id="0"/>
      <w:bookmarkEnd w:id="1"/>
      <w:bookmarkEnd w:id="2"/>
      <w:bookmarkEnd w:id="3"/>
      <w:bookmarkEnd w:id="4"/>
      <w:bookmarkEnd w:id="5"/>
      <w:r>
        <w:t>ontents</w:t>
      </w:r>
    </w:p>
    <w:p w14:paraId="0FAD64C7" w14:textId="77777777" w:rsidR="001B68B1" w:rsidRPr="00970E6D" w:rsidRDefault="001B68B1" w:rsidP="001B68B1">
      <w:pPr>
        <w:tabs>
          <w:tab w:val="clear" w:pos="567"/>
        </w:tabs>
      </w:pPr>
    </w:p>
    <w:p w14:paraId="5F03DF7A" w14:textId="77777777" w:rsidR="006802F8" w:rsidRDefault="00EC0472">
      <w:pPr>
        <w:pStyle w:val="TOC1"/>
        <w:rPr>
          <w:rFonts w:eastAsiaTheme="minorEastAsia"/>
          <w:b w:val="0"/>
          <w:bCs w:val="0"/>
          <w:caps w:val="0"/>
          <w:noProof/>
          <w:sz w:val="22"/>
          <w:szCs w:val="22"/>
          <w:lang w:eastAsia="en-AU"/>
        </w:rPr>
      </w:pPr>
      <w:r>
        <w:fldChar w:fldCharType="begin"/>
      </w:r>
      <w:r>
        <w:instrText xml:space="preserve"> TOC \f \h \z \u \t "Heading 2,1,Heading 3,1,Heading 4,3" </w:instrText>
      </w:r>
      <w:r>
        <w:fldChar w:fldCharType="separate"/>
      </w:r>
      <w:hyperlink w:anchor="_Toc511732734" w:history="1">
        <w:r w:rsidR="006802F8" w:rsidRPr="00A7300C">
          <w:rPr>
            <w:rStyle w:val="Hyperlink"/>
            <w:noProof/>
          </w:rPr>
          <w:t>Geography used by the Commission</w:t>
        </w:r>
        <w:r w:rsidR="006802F8">
          <w:rPr>
            <w:noProof/>
            <w:webHidden/>
          </w:rPr>
          <w:tab/>
        </w:r>
        <w:r w:rsidR="006802F8">
          <w:rPr>
            <w:noProof/>
            <w:webHidden/>
          </w:rPr>
          <w:fldChar w:fldCharType="begin"/>
        </w:r>
        <w:r w:rsidR="006802F8">
          <w:rPr>
            <w:noProof/>
            <w:webHidden/>
          </w:rPr>
          <w:instrText xml:space="preserve"> PAGEREF _Toc511732734 \h </w:instrText>
        </w:r>
        <w:r w:rsidR="006802F8">
          <w:rPr>
            <w:noProof/>
            <w:webHidden/>
          </w:rPr>
        </w:r>
        <w:r w:rsidR="006802F8">
          <w:rPr>
            <w:noProof/>
            <w:webHidden/>
          </w:rPr>
          <w:fldChar w:fldCharType="separate"/>
        </w:r>
        <w:r w:rsidR="006802F8">
          <w:rPr>
            <w:noProof/>
            <w:webHidden/>
          </w:rPr>
          <w:t>1</w:t>
        </w:r>
        <w:r w:rsidR="006802F8">
          <w:rPr>
            <w:noProof/>
            <w:webHidden/>
          </w:rPr>
          <w:fldChar w:fldCharType="end"/>
        </w:r>
      </w:hyperlink>
    </w:p>
    <w:p w14:paraId="32A12709" w14:textId="77777777" w:rsidR="006802F8" w:rsidRDefault="002C0581">
      <w:pPr>
        <w:pStyle w:val="TOC1"/>
        <w:rPr>
          <w:rFonts w:eastAsiaTheme="minorEastAsia"/>
          <w:b w:val="0"/>
          <w:bCs w:val="0"/>
          <w:caps w:val="0"/>
          <w:noProof/>
          <w:sz w:val="22"/>
          <w:szCs w:val="22"/>
          <w:lang w:eastAsia="en-AU"/>
        </w:rPr>
      </w:pPr>
      <w:hyperlink w:anchor="_Toc511732735" w:history="1">
        <w:r w:rsidR="006802F8" w:rsidRPr="00A7300C">
          <w:rPr>
            <w:rStyle w:val="Hyperlink"/>
            <w:noProof/>
          </w:rPr>
          <w:t>2015 Review approach</w:t>
        </w:r>
        <w:r w:rsidR="006802F8">
          <w:rPr>
            <w:noProof/>
            <w:webHidden/>
          </w:rPr>
          <w:tab/>
        </w:r>
        <w:r w:rsidR="006802F8">
          <w:rPr>
            <w:noProof/>
            <w:webHidden/>
          </w:rPr>
          <w:fldChar w:fldCharType="begin"/>
        </w:r>
        <w:r w:rsidR="006802F8">
          <w:rPr>
            <w:noProof/>
            <w:webHidden/>
          </w:rPr>
          <w:instrText xml:space="preserve"> PAGEREF _Toc511732735 \h </w:instrText>
        </w:r>
        <w:r w:rsidR="006802F8">
          <w:rPr>
            <w:noProof/>
            <w:webHidden/>
          </w:rPr>
        </w:r>
        <w:r w:rsidR="006802F8">
          <w:rPr>
            <w:noProof/>
            <w:webHidden/>
          </w:rPr>
          <w:fldChar w:fldCharType="separate"/>
        </w:r>
        <w:r w:rsidR="006802F8">
          <w:rPr>
            <w:noProof/>
            <w:webHidden/>
          </w:rPr>
          <w:t>1</w:t>
        </w:r>
        <w:r w:rsidR="006802F8">
          <w:rPr>
            <w:noProof/>
            <w:webHidden/>
          </w:rPr>
          <w:fldChar w:fldCharType="end"/>
        </w:r>
      </w:hyperlink>
    </w:p>
    <w:p w14:paraId="6B634FCC" w14:textId="77777777" w:rsidR="006802F8" w:rsidRDefault="002C0581">
      <w:pPr>
        <w:pStyle w:val="TOC3"/>
        <w:rPr>
          <w:rFonts w:eastAsiaTheme="minorEastAsia"/>
          <w:iCs w:val="0"/>
          <w:noProof/>
          <w:sz w:val="22"/>
          <w:lang w:eastAsia="en-AU"/>
        </w:rPr>
      </w:pPr>
      <w:hyperlink w:anchor="_Toc511732736" w:history="1">
        <w:r w:rsidR="006802F8" w:rsidRPr="00A7300C">
          <w:rPr>
            <w:rStyle w:val="Hyperlink"/>
            <w:noProof/>
          </w:rPr>
          <w:t>The conceptual case for regional costs and service delivery scale</w:t>
        </w:r>
        <w:r w:rsidR="006802F8">
          <w:rPr>
            <w:noProof/>
            <w:webHidden/>
          </w:rPr>
          <w:tab/>
        </w:r>
        <w:r w:rsidR="006802F8">
          <w:rPr>
            <w:noProof/>
            <w:webHidden/>
          </w:rPr>
          <w:fldChar w:fldCharType="begin"/>
        </w:r>
        <w:r w:rsidR="006802F8">
          <w:rPr>
            <w:noProof/>
            <w:webHidden/>
          </w:rPr>
          <w:instrText xml:space="preserve"> PAGEREF _Toc511732736 \h </w:instrText>
        </w:r>
        <w:r w:rsidR="006802F8">
          <w:rPr>
            <w:noProof/>
            <w:webHidden/>
          </w:rPr>
        </w:r>
        <w:r w:rsidR="006802F8">
          <w:rPr>
            <w:noProof/>
            <w:webHidden/>
          </w:rPr>
          <w:fldChar w:fldCharType="separate"/>
        </w:r>
        <w:r w:rsidR="006802F8">
          <w:rPr>
            <w:noProof/>
            <w:webHidden/>
          </w:rPr>
          <w:t>1</w:t>
        </w:r>
        <w:r w:rsidR="006802F8">
          <w:rPr>
            <w:noProof/>
            <w:webHidden/>
          </w:rPr>
          <w:fldChar w:fldCharType="end"/>
        </w:r>
      </w:hyperlink>
    </w:p>
    <w:p w14:paraId="5BF9228B" w14:textId="77777777" w:rsidR="006802F8" w:rsidRDefault="002C0581">
      <w:pPr>
        <w:pStyle w:val="TOC3"/>
        <w:rPr>
          <w:rFonts w:eastAsiaTheme="minorEastAsia"/>
          <w:iCs w:val="0"/>
          <w:noProof/>
          <w:sz w:val="22"/>
          <w:lang w:eastAsia="en-AU"/>
        </w:rPr>
      </w:pPr>
      <w:hyperlink w:anchor="_Toc511732737" w:history="1">
        <w:r w:rsidR="006802F8" w:rsidRPr="00A7300C">
          <w:rPr>
            <w:rStyle w:val="Hyperlink"/>
            <w:noProof/>
          </w:rPr>
          <w:t>The conceptual case for area-based socio-economic status measures by Indigeneity</w:t>
        </w:r>
        <w:r w:rsidR="006802F8">
          <w:rPr>
            <w:noProof/>
            <w:webHidden/>
          </w:rPr>
          <w:tab/>
        </w:r>
        <w:r w:rsidR="006802F8">
          <w:rPr>
            <w:noProof/>
            <w:webHidden/>
          </w:rPr>
          <w:fldChar w:fldCharType="begin"/>
        </w:r>
        <w:r w:rsidR="006802F8">
          <w:rPr>
            <w:noProof/>
            <w:webHidden/>
          </w:rPr>
          <w:instrText xml:space="preserve"> PAGEREF _Toc511732737 \h </w:instrText>
        </w:r>
        <w:r w:rsidR="006802F8">
          <w:rPr>
            <w:noProof/>
            <w:webHidden/>
          </w:rPr>
        </w:r>
        <w:r w:rsidR="006802F8">
          <w:rPr>
            <w:noProof/>
            <w:webHidden/>
          </w:rPr>
          <w:fldChar w:fldCharType="separate"/>
        </w:r>
        <w:r w:rsidR="006802F8">
          <w:rPr>
            <w:noProof/>
            <w:webHidden/>
          </w:rPr>
          <w:t>3</w:t>
        </w:r>
        <w:r w:rsidR="006802F8">
          <w:rPr>
            <w:noProof/>
            <w:webHidden/>
          </w:rPr>
          <w:fldChar w:fldCharType="end"/>
        </w:r>
      </w:hyperlink>
    </w:p>
    <w:p w14:paraId="7FAF1BD0" w14:textId="77777777" w:rsidR="006802F8" w:rsidRDefault="002C0581">
      <w:pPr>
        <w:pStyle w:val="TOC3"/>
        <w:rPr>
          <w:rFonts w:eastAsiaTheme="minorEastAsia"/>
          <w:iCs w:val="0"/>
          <w:noProof/>
          <w:sz w:val="22"/>
          <w:lang w:eastAsia="en-AU"/>
        </w:rPr>
      </w:pPr>
      <w:hyperlink w:anchor="_Toc511732738" w:history="1">
        <w:r w:rsidR="006802F8" w:rsidRPr="00A7300C">
          <w:rPr>
            <w:rStyle w:val="Hyperlink"/>
            <w:noProof/>
          </w:rPr>
          <w:t>Calculation of regional costs</w:t>
        </w:r>
        <w:r w:rsidR="006802F8">
          <w:rPr>
            <w:noProof/>
            <w:webHidden/>
          </w:rPr>
          <w:tab/>
        </w:r>
        <w:r w:rsidR="006802F8">
          <w:rPr>
            <w:noProof/>
            <w:webHidden/>
          </w:rPr>
          <w:fldChar w:fldCharType="begin"/>
        </w:r>
        <w:r w:rsidR="006802F8">
          <w:rPr>
            <w:noProof/>
            <w:webHidden/>
          </w:rPr>
          <w:instrText xml:space="preserve"> PAGEREF _Toc511732738 \h </w:instrText>
        </w:r>
        <w:r w:rsidR="006802F8">
          <w:rPr>
            <w:noProof/>
            <w:webHidden/>
          </w:rPr>
        </w:r>
        <w:r w:rsidR="006802F8">
          <w:rPr>
            <w:noProof/>
            <w:webHidden/>
          </w:rPr>
          <w:fldChar w:fldCharType="separate"/>
        </w:r>
        <w:r w:rsidR="006802F8">
          <w:rPr>
            <w:noProof/>
            <w:webHidden/>
          </w:rPr>
          <w:t>3</w:t>
        </w:r>
        <w:r w:rsidR="006802F8">
          <w:rPr>
            <w:noProof/>
            <w:webHidden/>
          </w:rPr>
          <w:fldChar w:fldCharType="end"/>
        </w:r>
      </w:hyperlink>
    </w:p>
    <w:p w14:paraId="7BCAFB49" w14:textId="77777777" w:rsidR="006802F8" w:rsidRDefault="002C0581">
      <w:pPr>
        <w:pStyle w:val="TOC3"/>
        <w:rPr>
          <w:rFonts w:eastAsiaTheme="minorEastAsia"/>
          <w:iCs w:val="0"/>
          <w:noProof/>
          <w:sz w:val="22"/>
          <w:lang w:eastAsia="en-AU"/>
        </w:rPr>
      </w:pPr>
      <w:hyperlink w:anchor="_Toc511732739" w:history="1">
        <w:r w:rsidR="006802F8" w:rsidRPr="00A7300C">
          <w:rPr>
            <w:rStyle w:val="Hyperlink"/>
            <w:noProof/>
          </w:rPr>
          <w:t>Calculation of socio-economic status in 2015 (and 2018 Update)</w:t>
        </w:r>
        <w:r w:rsidR="006802F8">
          <w:rPr>
            <w:noProof/>
            <w:webHidden/>
          </w:rPr>
          <w:tab/>
        </w:r>
        <w:r w:rsidR="006802F8">
          <w:rPr>
            <w:noProof/>
            <w:webHidden/>
          </w:rPr>
          <w:fldChar w:fldCharType="begin"/>
        </w:r>
        <w:r w:rsidR="006802F8">
          <w:rPr>
            <w:noProof/>
            <w:webHidden/>
          </w:rPr>
          <w:instrText xml:space="preserve"> PAGEREF _Toc511732739 \h </w:instrText>
        </w:r>
        <w:r w:rsidR="006802F8">
          <w:rPr>
            <w:noProof/>
            <w:webHidden/>
          </w:rPr>
        </w:r>
        <w:r w:rsidR="006802F8">
          <w:rPr>
            <w:noProof/>
            <w:webHidden/>
          </w:rPr>
          <w:fldChar w:fldCharType="separate"/>
        </w:r>
        <w:r w:rsidR="006802F8">
          <w:rPr>
            <w:noProof/>
            <w:webHidden/>
          </w:rPr>
          <w:t>5</w:t>
        </w:r>
        <w:r w:rsidR="006802F8">
          <w:rPr>
            <w:noProof/>
            <w:webHidden/>
          </w:rPr>
          <w:fldChar w:fldCharType="end"/>
        </w:r>
      </w:hyperlink>
    </w:p>
    <w:p w14:paraId="3517221F" w14:textId="77777777" w:rsidR="006802F8" w:rsidRDefault="002C0581">
      <w:pPr>
        <w:pStyle w:val="TOC1"/>
        <w:rPr>
          <w:rFonts w:eastAsiaTheme="minorEastAsia"/>
          <w:b w:val="0"/>
          <w:bCs w:val="0"/>
          <w:caps w:val="0"/>
          <w:noProof/>
          <w:sz w:val="22"/>
          <w:szCs w:val="22"/>
          <w:lang w:eastAsia="en-AU"/>
        </w:rPr>
      </w:pPr>
      <w:hyperlink w:anchor="_Toc511732740" w:history="1">
        <w:r w:rsidR="006802F8" w:rsidRPr="00A7300C">
          <w:rPr>
            <w:rStyle w:val="Hyperlink"/>
            <w:noProof/>
          </w:rPr>
          <w:t>Issues and analysis</w:t>
        </w:r>
        <w:r w:rsidR="006802F8">
          <w:rPr>
            <w:noProof/>
            <w:webHidden/>
          </w:rPr>
          <w:tab/>
        </w:r>
        <w:r w:rsidR="006802F8">
          <w:rPr>
            <w:noProof/>
            <w:webHidden/>
          </w:rPr>
          <w:fldChar w:fldCharType="begin"/>
        </w:r>
        <w:r w:rsidR="006802F8">
          <w:rPr>
            <w:noProof/>
            <w:webHidden/>
          </w:rPr>
          <w:instrText xml:space="preserve"> PAGEREF _Toc511732740 \h </w:instrText>
        </w:r>
        <w:r w:rsidR="006802F8">
          <w:rPr>
            <w:noProof/>
            <w:webHidden/>
          </w:rPr>
        </w:r>
        <w:r w:rsidR="006802F8">
          <w:rPr>
            <w:noProof/>
            <w:webHidden/>
          </w:rPr>
          <w:fldChar w:fldCharType="separate"/>
        </w:r>
        <w:r w:rsidR="006802F8">
          <w:rPr>
            <w:noProof/>
            <w:webHidden/>
          </w:rPr>
          <w:t>6</w:t>
        </w:r>
        <w:r w:rsidR="006802F8">
          <w:rPr>
            <w:noProof/>
            <w:webHidden/>
          </w:rPr>
          <w:fldChar w:fldCharType="end"/>
        </w:r>
      </w:hyperlink>
    </w:p>
    <w:p w14:paraId="5384C9D1" w14:textId="77777777" w:rsidR="006802F8" w:rsidRDefault="002C0581">
      <w:pPr>
        <w:pStyle w:val="TOC3"/>
        <w:rPr>
          <w:rFonts w:eastAsiaTheme="minorEastAsia"/>
          <w:iCs w:val="0"/>
          <w:noProof/>
          <w:sz w:val="22"/>
          <w:lang w:eastAsia="en-AU"/>
        </w:rPr>
      </w:pPr>
      <w:hyperlink w:anchor="_Toc511732741" w:history="1">
        <w:r w:rsidR="006802F8" w:rsidRPr="00A7300C">
          <w:rPr>
            <w:rStyle w:val="Hyperlink"/>
            <w:noProof/>
          </w:rPr>
          <w:t>Geography for the regional costs assessment</w:t>
        </w:r>
        <w:r w:rsidR="006802F8">
          <w:rPr>
            <w:noProof/>
            <w:webHidden/>
          </w:rPr>
          <w:tab/>
        </w:r>
        <w:r w:rsidR="006802F8">
          <w:rPr>
            <w:noProof/>
            <w:webHidden/>
          </w:rPr>
          <w:fldChar w:fldCharType="begin"/>
        </w:r>
        <w:r w:rsidR="006802F8">
          <w:rPr>
            <w:noProof/>
            <w:webHidden/>
          </w:rPr>
          <w:instrText xml:space="preserve"> PAGEREF _Toc511732741 \h </w:instrText>
        </w:r>
        <w:r w:rsidR="006802F8">
          <w:rPr>
            <w:noProof/>
            <w:webHidden/>
          </w:rPr>
        </w:r>
        <w:r w:rsidR="006802F8">
          <w:rPr>
            <w:noProof/>
            <w:webHidden/>
          </w:rPr>
          <w:fldChar w:fldCharType="separate"/>
        </w:r>
        <w:r w:rsidR="006802F8">
          <w:rPr>
            <w:noProof/>
            <w:webHidden/>
          </w:rPr>
          <w:t>7</w:t>
        </w:r>
        <w:r w:rsidR="006802F8">
          <w:rPr>
            <w:noProof/>
            <w:webHidden/>
          </w:rPr>
          <w:fldChar w:fldCharType="end"/>
        </w:r>
      </w:hyperlink>
    </w:p>
    <w:p w14:paraId="283F2680" w14:textId="77777777" w:rsidR="006802F8" w:rsidRDefault="002C0581">
      <w:pPr>
        <w:pStyle w:val="TOC3"/>
        <w:rPr>
          <w:rFonts w:eastAsiaTheme="minorEastAsia"/>
          <w:iCs w:val="0"/>
          <w:noProof/>
          <w:sz w:val="22"/>
          <w:lang w:eastAsia="en-AU"/>
        </w:rPr>
      </w:pPr>
      <w:hyperlink w:anchor="_Toc511732742" w:history="1">
        <w:r w:rsidR="006802F8" w:rsidRPr="00A7300C">
          <w:rPr>
            <w:rStyle w:val="Hyperlink"/>
            <w:noProof/>
          </w:rPr>
          <w:t>Broadening the evidence base on regional costs</w:t>
        </w:r>
        <w:r w:rsidR="006802F8">
          <w:rPr>
            <w:noProof/>
            <w:webHidden/>
          </w:rPr>
          <w:tab/>
        </w:r>
        <w:r w:rsidR="006802F8">
          <w:rPr>
            <w:noProof/>
            <w:webHidden/>
          </w:rPr>
          <w:fldChar w:fldCharType="begin"/>
        </w:r>
        <w:r w:rsidR="006802F8">
          <w:rPr>
            <w:noProof/>
            <w:webHidden/>
          </w:rPr>
          <w:instrText xml:space="preserve"> PAGEREF _Toc511732742 \h </w:instrText>
        </w:r>
        <w:r w:rsidR="006802F8">
          <w:rPr>
            <w:noProof/>
            <w:webHidden/>
          </w:rPr>
        </w:r>
        <w:r w:rsidR="006802F8">
          <w:rPr>
            <w:noProof/>
            <w:webHidden/>
          </w:rPr>
          <w:fldChar w:fldCharType="separate"/>
        </w:r>
        <w:r w:rsidR="006802F8">
          <w:rPr>
            <w:noProof/>
            <w:webHidden/>
          </w:rPr>
          <w:t>11</w:t>
        </w:r>
        <w:r w:rsidR="006802F8">
          <w:rPr>
            <w:noProof/>
            <w:webHidden/>
          </w:rPr>
          <w:fldChar w:fldCharType="end"/>
        </w:r>
      </w:hyperlink>
    </w:p>
    <w:p w14:paraId="19B4D298" w14:textId="77777777" w:rsidR="006802F8" w:rsidRDefault="002C0581">
      <w:pPr>
        <w:pStyle w:val="TOC3"/>
        <w:rPr>
          <w:rFonts w:eastAsiaTheme="minorEastAsia"/>
          <w:iCs w:val="0"/>
          <w:noProof/>
          <w:sz w:val="22"/>
          <w:lang w:eastAsia="en-AU"/>
        </w:rPr>
      </w:pPr>
      <w:hyperlink w:anchor="_Toc511732743" w:history="1">
        <w:r w:rsidR="006802F8" w:rsidRPr="00A7300C">
          <w:rPr>
            <w:rStyle w:val="Hyperlink"/>
            <w:noProof/>
          </w:rPr>
          <w:t>Extrapolation</w:t>
        </w:r>
        <w:r w:rsidR="006802F8">
          <w:rPr>
            <w:noProof/>
            <w:webHidden/>
          </w:rPr>
          <w:tab/>
        </w:r>
        <w:r w:rsidR="006802F8">
          <w:rPr>
            <w:noProof/>
            <w:webHidden/>
          </w:rPr>
          <w:fldChar w:fldCharType="begin"/>
        </w:r>
        <w:r w:rsidR="006802F8">
          <w:rPr>
            <w:noProof/>
            <w:webHidden/>
          </w:rPr>
          <w:instrText xml:space="preserve"> PAGEREF _Toc511732743 \h </w:instrText>
        </w:r>
        <w:r w:rsidR="006802F8">
          <w:rPr>
            <w:noProof/>
            <w:webHidden/>
          </w:rPr>
        </w:r>
        <w:r w:rsidR="006802F8">
          <w:rPr>
            <w:noProof/>
            <w:webHidden/>
          </w:rPr>
          <w:fldChar w:fldCharType="separate"/>
        </w:r>
        <w:r w:rsidR="006802F8">
          <w:rPr>
            <w:noProof/>
            <w:webHidden/>
          </w:rPr>
          <w:t>13</w:t>
        </w:r>
        <w:r w:rsidR="006802F8">
          <w:rPr>
            <w:noProof/>
            <w:webHidden/>
          </w:rPr>
          <w:fldChar w:fldCharType="end"/>
        </w:r>
      </w:hyperlink>
    </w:p>
    <w:p w14:paraId="48FFDFBE" w14:textId="77777777" w:rsidR="006802F8" w:rsidRDefault="002C0581">
      <w:pPr>
        <w:pStyle w:val="TOC3"/>
        <w:rPr>
          <w:rFonts w:eastAsiaTheme="minorEastAsia"/>
          <w:iCs w:val="0"/>
          <w:noProof/>
          <w:sz w:val="22"/>
          <w:lang w:eastAsia="en-AU"/>
        </w:rPr>
      </w:pPr>
      <w:hyperlink w:anchor="_Toc511732744" w:history="1">
        <w:r w:rsidR="006802F8" w:rsidRPr="00A7300C">
          <w:rPr>
            <w:rStyle w:val="Hyperlink"/>
            <w:noProof/>
          </w:rPr>
          <w:t>Measure of Indigenous socio-economic disadvantage</w:t>
        </w:r>
        <w:r w:rsidR="006802F8">
          <w:rPr>
            <w:noProof/>
            <w:webHidden/>
          </w:rPr>
          <w:tab/>
        </w:r>
        <w:r w:rsidR="006802F8">
          <w:rPr>
            <w:noProof/>
            <w:webHidden/>
          </w:rPr>
          <w:fldChar w:fldCharType="begin"/>
        </w:r>
        <w:r w:rsidR="006802F8">
          <w:rPr>
            <w:noProof/>
            <w:webHidden/>
          </w:rPr>
          <w:instrText xml:space="preserve"> PAGEREF _Toc511732744 \h </w:instrText>
        </w:r>
        <w:r w:rsidR="006802F8">
          <w:rPr>
            <w:noProof/>
            <w:webHidden/>
          </w:rPr>
        </w:r>
        <w:r w:rsidR="006802F8">
          <w:rPr>
            <w:noProof/>
            <w:webHidden/>
          </w:rPr>
          <w:fldChar w:fldCharType="separate"/>
        </w:r>
        <w:r w:rsidR="006802F8">
          <w:rPr>
            <w:noProof/>
            <w:webHidden/>
          </w:rPr>
          <w:t>14</w:t>
        </w:r>
        <w:r w:rsidR="006802F8">
          <w:rPr>
            <w:noProof/>
            <w:webHidden/>
          </w:rPr>
          <w:fldChar w:fldCharType="end"/>
        </w:r>
      </w:hyperlink>
    </w:p>
    <w:p w14:paraId="1B3763A7" w14:textId="77777777" w:rsidR="006802F8" w:rsidRDefault="002C0581">
      <w:pPr>
        <w:pStyle w:val="TOC3"/>
        <w:rPr>
          <w:rFonts w:eastAsiaTheme="minorEastAsia"/>
          <w:iCs w:val="0"/>
          <w:noProof/>
          <w:sz w:val="22"/>
          <w:lang w:eastAsia="en-AU"/>
        </w:rPr>
      </w:pPr>
      <w:hyperlink w:anchor="_Toc511732745" w:history="1">
        <w:r w:rsidR="006802F8" w:rsidRPr="00A7300C">
          <w:rPr>
            <w:rStyle w:val="Hyperlink"/>
            <w:noProof/>
          </w:rPr>
          <w:t>Other issues considered and settled</w:t>
        </w:r>
        <w:r w:rsidR="006802F8">
          <w:rPr>
            <w:noProof/>
            <w:webHidden/>
          </w:rPr>
          <w:tab/>
        </w:r>
        <w:r w:rsidR="006802F8">
          <w:rPr>
            <w:noProof/>
            <w:webHidden/>
          </w:rPr>
          <w:fldChar w:fldCharType="begin"/>
        </w:r>
        <w:r w:rsidR="006802F8">
          <w:rPr>
            <w:noProof/>
            <w:webHidden/>
          </w:rPr>
          <w:instrText xml:space="preserve"> PAGEREF _Toc511732745 \h </w:instrText>
        </w:r>
        <w:r w:rsidR="006802F8">
          <w:rPr>
            <w:noProof/>
            <w:webHidden/>
          </w:rPr>
        </w:r>
        <w:r w:rsidR="006802F8">
          <w:rPr>
            <w:noProof/>
            <w:webHidden/>
          </w:rPr>
          <w:fldChar w:fldCharType="separate"/>
        </w:r>
        <w:r w:rsidR="006802F8">
          <w:rPr>
            <w:noProof/>
            <w:webHidden/>
          </w:rPr>
          <w:t>17</w:t>
        </w:r>
        <w:r w:rsidR="006802F8">
          <w:rPr>
            <w:noProof/>
            <w:webHidden/>
          </w:rPr>
          <w:fldChar w:fldCharType="end"/>
        </w:r>
      </w:hyperlink>
    </w:p>
    <w:p w14:paraId="36F6B929" w14:textId="77777777" w:rsidR="006802F8" w:rsidRDefault="002C0581">
      <w:pPr>
        <w:pStyle w:val="TOC1"/>
        <w:rPr>
          <w:rFonts w:eastAsiaTheme="minorEastAsia"/>
          <w:b w:val="0"/>
          <w:bCs w:val="0"/>
          <w:caps w:val="0"/>
          <w:noProof/>
          <w:sz w:val="22"/>
          <w:szCs w:val="22"/>
          <w:lang w:eastAsia="en-AU"/>
        </w:rPr>
      </w:pPr>
      <w:hyperlink w:anchor="_Toc511732746" w:history="1">
        <w:r w:rsidR="006802F8" w:rsidRPr="00A7300C">
          <w:rPr>
            <w:rStyle w:val="Hyperlink"/>
            <w:noProof/>
          </w:rPr>
          <w:t>Conclusion and way forward</w:t>
        </w:r>
        <w:r w:rsidR="006802F8">
          <w:rPr>
            <w:noProof/>
            <w:webHidden/>
          </w:rPr>
          <w:tab/>
        </w:r>
        <w:r w:rsidR="006802F8">
          <w:rPr>
            <w:noProof/>
            <w:webHidden/>
          </w:rPr>
          <w:fldChar w:fldCharType="begin"/>
        </w:r>
        <w:r w:rsidR="006802F8">
          <w:rPr>
            <w:noProof/>
            <w:webHidden/>
          </w:rPr>
          <w:instrText xml:space="preserve"> PAGEREF _Toc511732746 \h </w:instrText>
        </w:r>
        <w:r w:rsidR="006802F8">
          <w:rPr>
            <w:noProof/>
            <w:webHidden/>
          </w:rPr>
        </w:r>
        <w:r w:rsidR="006802F8">
          <w:rPr>
            <w:noProof/>
            <w:webHidden/>
          </w:rPr>
          <w:fldChar w:fldCharType="separate"/>
        </w:r>
        <w:r w:rsidR="006802F8">
          <w:rPr>
            <w:noProof/>
            <w:webHidden/>
          </w:rPr>
          <w:t>18</w:t>
        </w:r>
        <w:r w:rsidR="006802F8">
          <w:rPr>
            <w:noProof/>
            <w:webHidden/>
          </w:rPr>
          <w:fldChar w:fldCharType="end"/>
        </w:r>
      </w:hyperlink>
    </w:p>
    <w:p w14:paraId="322A3C47" w14:textId="77777777" w:rsidR="006802F8" w:rsidRDefault="002C0581">
      <w:pPr>
        <w:pStyle w:val="TOC3"/>
        <w:rPr>
          <w:rFonts w:eastAsiaTheme="minorEastAsia"/>
          <w:iCs w:val="0"/>
          <w:noProof/>
          <w:sz w:val="22"/>
          <w:lang w:eastAsia="en-AU"/>
        </w:rPr>
      </w:pPr>
      <w:hyperlink w:anchor="_Toc511732747" w:history="1">
        <w:r w:rsidR="006802F8" w:rsidRPr="00A7300C">
          <w:rPr>
            <w:rStyle w:val="Hyperlink"/>
            <w:noProof/>
          </w:rPr>
          <w:t>Data / information sought from States</w:t>
        </w:r>
        <w:r w:rsidR="006802F8">
          <w:rPr>
            <w:noProof/>
            <w:webHidden/>
          </w:rPr>
          <w:tab/>
        </w:r>
        <w:r w:rsidR="006802F8">
          <w:rPr>
            <w:noProof/>
            <w:webHidden/>
          </w:rPr>
          <w:fldChar w:fldCharType="begin"/>
        </w:r>
        <w:r w:rsidR="006802F8">
          <w:rPr>
            <w:noProof/>
            <w:webHidden/>
          </w:rPr>
          <w:instrText xml:space="preserve"> PAGEREF _Toc511732747 \h </w:instrText>
        </w:r>
        <w:r w:rsidR="006802F8">
          <w:rPr>
            <w:noProof/>
            <w:webHidden/>
          </w:rPr>
        </w:r>
        <w:r w:rsidR="006802F8">
          <w:rPr>
            <w:noProof/>
            <w:webHidden/>
          </w:rPr>
          <w:fldChar w:fldCharType="separate"/>
        </w:r>
        <w:r w:rsidR="006802F8">
          <w:rPr>
            <w:noProof/>
            <w:webHidden/>
          </w:rPr>
          <w:t>18</w:t>
        </w:r>
        <w:r w:rsidR="006802F8">
          <w:rPr>
            <w:noProof/>
            <w:webHidden/>
          </w:rPr>
          <w:fldChar w:fldCharType="end"/>
        </w:r>
      </w:hyperlink>
    </w:p>
    <w:p w14:paraId="1957363A" w14:textId="77777777" w:rsidR="006802F8" w:rsidRDefault="002C0581">
      <w:pPr>
        <w:pStyle w:val="TOC1"/>
        <w:tabs>
          <w:tab w:val="left" w:pos="1830"/>
        </w:tabs>
        <w:rPr>
          <w:rFonts w:eastAsiaTheme="minorEastAsia"/>
          <w:b w:val="0"/>
          <w:bCs w:val="0"/>
          <w:caps w:val="0"/>
          <w:noProof/>
          <w:sz w:val="22"/>
          <w:szCs w:val="22"/>
          <w:lang w:eastAsia="en-AU"/>
        </w:rPr>
      </w:pPr>
      <w:hyperlink w:anchor="_Toc511732748" w:history="1">
        <w:r w:rsidR="006802F8" w:rsidRPr="00A7300C">
          <w:rPr>
            <w:rStyle w:val="Hyperlink"/>
            <w:noProof/>
          </w:rPr>
          <w:t>attachment A</w:t>
        </w:r>
        <w:r w:rsidR="006802F8">
          <w:rPr>
            <w:rFonts w:eastAsiaTheme="minorEastAsia"/>
            <w:b w:val="0"/>
            <w:bCs w:val="0"/>
            <w:caps w:val="0"/>
            <w:noProof/>
            <w:sz w:val="22"/>
            <w:szCs w:val="22"/>
            <w:lang w:eastAsia="en-AU"/>
          </w:rPr>
          <w:tab/>
        </w:r>
        <w:r w:rsidR="006802F8" w:rsidRPr="00A7300C">
          <w:rPr>
            <w:rStyle w:val="Hyperlink"/>
            <w:noProof/>
          </w:rPr>
          <w:t>SEIFA/NISEIFA and IRSEO variables</w:t>
        </w:r>
        <w:r w:rsidR="006802F8">
          <w:rPr>
            <w:noProof/>
            <w:webHidden/>
          </w:rPr>
          <w:tab/>
        </w:r>
        <w:r w:rsidR="006802F8">
          <w:rPr>
            <w:noProof/>
            <w:webHidden/>
          </w:rPr>
          <w:fldChar w:fldCharType="begin"/>
        </w:r>
        <w:r w:rsidR="006802F8">
          <w:rPr>
            <w:noProof/>
            <w:webHidden/>
          </w:rPr>
          <w:instrText xml:space="preserve"> PAGEREF _Toc511732748 \h </w:instrText>
        </w:r>
        <w:r w:rsidR="006802F8">
          <w:rPr>
            <w:noProof/>
            <w:webHidden/>
          </w:rPr>
        </w:r>
        <w:r w:rsidR="006802F8">
          <w:rPr>
            <w:noProof/>
            <w:webHidden/>
          </w:rPr>
          <w:fldChar w:fldCharType="separate"/>
        </w:r>
        <w:r w:rsidR="006802F8">
          <w:rPr>
            <w:noProof/>
            <w:webHidden/>
          </w:rPr>
          <w:t>19</w:t>
        </w:r>
        <w:r w:rsidR="006802F8">
          <w:rPr>
            <w:noProof/>
            <w:webHidden/>
          </w:rPr>
          <w:fldChar w:fldCharType="end"/>
        </w:r>
      </w:hyperlink>
    </w:p>
    <w:p w14:paraId="678CEA95" w14:textId="77777777" w:rsidR="00AB7C5D" w:rsidRPr="00970E6D" w:rsidRDefault="00EC0472" w:rsidP="00EC0472">
      <w:pPr>
        <w:tabs>
          <w:tab w:val="clear" w:pos="567"/>
        </w:tabs>
        <w:sectPr w:rsidR="00AB7C5D" w:rsidRPr="00970E6D" w:rsidSect="00597341">
          <w:headerReference w:type="first" r:id="rId16"/>
          <w:footerReference w:type="first" r:id="rId17"/>
          <w:pgSz w:w="11899" w:h="16838" w:code="9"/>
          <w:pgMar w:top="1701" w:right="1474" w:bottom="1701" w:left="1474" w:header="709" w:footer="709" w:gutter="0"/>
          <w:pgNumType w:fmt="lowerRoman" w:start="1"/>
          <w:cols w:space="708"/>
          <w:titlePg/>
          <w:docGrid w:linePitch="299"/>
        </w:sectPr>
      </w:pPr>
      <w:r>
        <w:fldChar w:fldCharType="end"/>
      </w:r>
    </w:p>
    <w:p w14:paraId="24103357" w14:textId="77777777" w:rsidR="00F83306" w:rsidRDefault="002B4C26" w:rsidP="00F83306">
      <w:pPr>
        <w:pStyle w:val="Heading2"/>
      </w:pPr>
      <w:bookmarkStart w:id="14" w:name="_Toc511732734"/>
      <w:r>
        <w:lastRenderedPageBreak/>
        <w:t xml:space="preserve">Geography </w:t>
      </w:r>
      <w:r w:rsidR="00C16124">
        <w:t>used by the Commission</w:t>
      </w:r>
      <w:bookmarkEnd w:id="14"/>
    </w:p>
    <w:p w14:paraId="7A1E1BC5" w14:textId="3387ADC1" w:rsidR="00C85AB4" w:rsidRDefault="00C16124" w:rsidP="00DB1783">
      <w:pPr>
        <w:pStyle w:val="CGCNumberedPara"/>
      </w:pPr>
      <w:r>
        <w:t xml:space="preserve">This </w:t>
      </w:r>
      <w:r w:rsidR="0080502F">
        <w:t xml:space="preserve">paper </w:t>
      </w:r>
      <w:r w:rsidR="00F113CF">
        <w:t xml:space="preserve">provides Commission staff proposals for </w:t>
      </w:r>
      <w:r w:rsidR="0080502F">
        <w:t xml:space="preserve">the common geographic classifications </w:t>
      </w:r>
      <w:r w:rsidR="00F113CF">
        <w:t xml:space="preserve">to be </w:t>
      </w:r>
      <w:r w:rsidR="0080502F">
        <w:t xml:space="preserve">used </w:t>
      </w:r>
      <w:r w:rsidR="00F113CF">
        <w:t>for the 2020 Review</w:t>
      </w:r>
      <w:r w:rsidR="0080502F">
        <w:t xml:space="preserve">. </w:t>
      </w:r>
    </w:p>
    <w:p w14:paraId="7A7BE7C6" w14:textId="77777777" w:rsidR="00E24270" w:rsidRDefault="00546A7D" w:rsidP="00546A7D">
      <w:pPr>
        <w:pStyle w:val="CGCNumberedPara"/>
      </w:pPr>
      <w:r>
        <w:t xml:space="preserve">Category specific geography </w:t>
      </w:r>
      <w:r w:rsidR="00C54675">
        <w:t xml:space="preserve">is </w:t>
      </w:r>
      <w:r>
        <w:t xml:space="preserve">used in </w:t>
      </w:r>
      <w:r w:rsidR="00C54675">
        <w:t>the T</w:t>
      </w:r>
      <w:r>
        <w:t xml:space="preserve">ransport, </w:t>
      </w:r>
      <w:r w:rsidR="00C54675">
        <w:t>Roads</w:t>
      </w:r>
      <w:r w:rsidR="00EB1A90">
        <w:t>,</w:t>
      </w:r>
      <w:r w:rsidR="00C54675">
        <w:t xml:space="preserve"> </w:t>
      </w:r>
      <w:r>
        <w:t xml:space="preserve">and </w:t>
      </w:r>
      <w:r w:rsidR="00C54675">
        <w:t xml:space="preserve">Services </w:t>
      </w:r>
      <w:r>
        <w:t xml:space="preserve">to communities </w:t>
      </w:r>
      <w:r w:rsidR="00C54675">
        <w:t>assessments. T</w:t>
      </w:r>
      <w:r>
        <w:t xml:space="preserve">hese geographic classifications and their associated issues are considered in the </w:t>
      </w:r>
      <w:r w:rsidR="00E24270">
        <w:t>staff draft assessment papers:</w:t>
      </w:r>
    </w:p>
    <w:p w14:paraId="4B5792F3" w14:textId="208C32CD" w:rsidR="00E24270" w:rsidRPr="00E24270" w:rsidRDefault="00E24270" w:rsidP="00E24270">
      <w:pPr>
        <w:pStyle w:val="CGCBulletlist"/>
        <w:rPr>
          <w:i/>
        </w:rPr>
      </w:pPr>
      <w:r w:rsidRPr="00E24270">
        <w:rPr>
          <w:i/>
        </w:rPr>
        <w:t>CGC 2018-01/15-S, Services to communities</w:t>
      </w:r>
    </w:p>
    <w:p w14:paraId="212DF0CF" w14:textId="79AD4B1E" w:rsidR="00E24270" w:rsidRPr="00E24270" w:rsidRDefault="00E24270" w:rsidP="00E24270">
      <w:pPr>
        <w:pStyle w:val="CGCBulletlist"/>
        <w:rPr>
          <w:i/>
        </w:rPr>
      </w:pPr>
      <w:r w:rsidRPr="00E24270">
        <w:rPr>
          <w:i/>
        </w:rPr>
        <w:t>CGC 2018-01/17-S, Roads</w:t>
      </w:r>
    </w:p>
    <w:p w14:paraId="77DB2D71" w14:textId="35333AAB" w:rsidR="00E24270" w:rsidRPr="00E24270" w:rsidRDefault="00E24270" w:rsidP="00E24270">
      <w:pPr>
        <w:pStyle w:val="CGCBulletlist"/>
        <w:rPr>
          <w:i/>
        </w:rPr>
      </w:pPr>
      <w:r w:rsidRPr="00E24270">
        <w:rPr>
          <w:i/>
        </w:rPr>
        <w:t>CGC 2018-01/18-S, Transport</w:t>
      </w:r>
    </w:p>
    <w:p w14:paraId="06DEFE7E" w14:textId="77777777" w:rsidR="00806985" w:rsidRPr="00806985" w:rsidRDefault="00792DE9" w:rsidP="007C5E05">
      <w:pPr>
        <w:pStyle w:val="Heading3"/>
      </w:pPr>
      <w:bookmarkStart w:id="15" w:name="_Toc511732735"/>
      <w:r>
        <w:t>2015 R</w:t>
      </w:r>
      <w:r w:rsidR="00806985">
        <w:t>eview approach</w:t>
      </w:r>
      <w:bookmarkEnd w:id="15"/>
    </w:p>
    <w:p w14:paraId="3087DE0F" w14:textId="4D9C05FC" w:rsidR="00C54675" w:rsidRDefault="008932EA" w:rsidP="00C668F2">
      <w:pPr>
        <w:pStyle w:val="CGCNumberedPara"/>
      </w:pPr>
      <w:r>
        <w:t>T</w:t>
      </w:r>
      <w:r w:rsidRPr="00821933">
        <w:t xml:space="preserve">he Commission </w:t>
      </w:r>
      <w:r>
        <w:t>uses</w:t>
      </w:r>
      <w:r w:rsidR="00991EB7">
        <w:t xml:space="preserve"> </w:t>
      </w:r>
      <w:r w:rsidR="00E24270">
        <w:t xml:space="preserve">different geographic classifications and approaches to measure different attributes affecting service delivery costs. </w:t>
      </w:r>
    </w:p>
    <w:p w14:paraId="675EAC41" w14:textId="7688A4C2" w:rsidR="008932EA" w:rsidRDefault="008932EA" w:rsidP="00E56D8A">
      <w:pPr>
        <w:pStyle w:val="CGCBulletlist"/>
      </w:pPr>
      <w:r w:rsidRPr="00821933">
        <w:t xml:space="preserve">ABS remoteness areas </w:t>
      </w:r>
      <w:r w:rsidR="00E36723">
        <w:t>to measure:</w:t>
      </w:r>
    </w:p>
    <w:p w14:paraId="36032C68" w14:textId="4953305A" w:rsidR="001A4543" w:rsidRDefault="00B27ED4" w:rsidP="00C54675">
      <w:pPr>
        <w:pStyle w:val="CGCSubbulletlist"/>
      </w:pPr>
      <w:r>
        <w:t>R</w:t>
      </w:r>
      <w:r w:rsidR="00182297" w:rsidRPr="00A421B0">
        <w:t>egional costs</w:t>
      </w:r>
      <w:r w:rsidR="00C54675">
        <w:t xml:space="preserve">, which capture the </w:t>
      </w:r>
      <w:r w:rsidR="00E36723">
        <w:t>cost of delivering comparable services in more or less remote areas</w:t>
      </w:r>
    </w:p>
    <w:p w14:paraId="32CB4FC0" w14:textId="5940C763" w:rsidR="00C54675" w:rsidRDefault="000A23B1" w:rsidP="00C54675">
      <w:pPr>
        <w:pStyle w:val="CGCSubbulletlist"/>
      </w:pPr>
      <w:r>
        <w:t>t</w:t>
      </w:r>
      <w:r w:rsidR="00E36723">
        <w:t>he different use of services by people in more or less remote areas as part of the socio-demographic composition in various expense assessments</w:t>
      </w:r>
      <w:r w:rsidR="00991EB7">
        <w:t>.</w:t>
      </w:r>
    </w:p>
    <w:p w14:paraId="3CBF348B" w14:textId="14E36ECA" w:rsidR="008C34E8" w:rsidRDefault="00B27ED4" w:rsidP="00C54675">
      <w:pPr>
        <w:pStyle w:val="CGCBulletlist"/>
      </w:pPr>
      <w:r>
        <w:t>S</w:t>
      </w:r>
      <w:r w:rsidR="008C34E8" w:rsidRPr="008C34E8">
        <w:t>ervice delivery scale (SDS)</w:t>
      </w:r>
      <w:r w:rsidR="00E36723">
        <w:t>, which measures the additional cost of delivering services in small isolated communities where the economies of scale of larger centres are not possible</w:t>
      </w:r>
      <w:r w:rsidR="008F55A7">
        <w:t>.</w:t>
      </w:r>
    </w:p>
    <w:p w14:paraId="0E4F9064" w14:textId="617A0C8F" w:rsidR="00E30F21" w:rsidRDefault="00991EB7" w:rsidP="00C54675">
      <w:pPr>
        <w:pStyle w:val="CGCBulletlist"/>
      </w:pPr>
      <w:r>
        <w:t>T</w:t>
      </w:r>
      <w:r w:rsidR="00E30F21">
        <w:t>hree area-based measures of socio</w:t>
      </w:r>
      <w:r>
        <w:t>-</w:t>
      </w:r>
      <w:r w:rsidR="00E30F21">
        <w:t>economic status</w:t>
      </w:r>
      <w:r>
        <w:t xml:space="preserve"> are used.</w:t>
      </w:r>
    </w:p>
    <w:p w14:paraId="1D630247" w14:textId="77777777" w:rsidR="00E30F21" w:rsidRDefault="00E30F21" w:rsidP="00C54675">
      <w:pPr>
        <w:pStyle w:val="CGCSubbulletlist"/>
      </w:pPr>
      <w:r>
        <w:t>Socio-</w:t>
      </w:r>
      <w:r w:rsidR="00CB158A">
        <w:t>E</w:t>
      </w:r>
      <w:r>
        <w:t>conomic Index</w:t>
      </w:r>
      <w:r w:rsidR="00CB158A">
        <w:t>es</w:t>
      </w:r>
      <w:r>
        <w:t xml:space="preserve"> for Areas </w:t>
      </w:r>
      <w:r w:rsidR="00CB158A">
        <w:t xml:space="preserve">(SEIFA) </w:t>
      </w:r>
      <w:r w:rsidR="003354EC" w:rsidRPr="003354EC">
        <w:t>Index of Relative Socio-</w:t>
      </w:r>
      <w:r w:rsidR="00CB158A">
        <w:t>E</w:t>
      </w:r>
      <w:r w:rsidR="003354EC" w:rsidRPr="003354EC">
        <w:t>conomic Disadvantage (IRSD)</w:t>
      </w:r>
      <w:r>
        <w:t xml:space="preserve"> is an A</w:t>
      </w:r>
      <w:r w:rsidR="00AB2F12">
        <w:t xml:space="preserve">ustralian Bureau of Statistics (ABS) </w:t>
      </w:r>
      <w:r>
        <w:t>published dataset used where Indigenous splits are not used.</w:t>
      </w:r>
      <w:r w:rsidR="003354EC">
        <w:t xml:space="preserve"> </w:t>
      </w:r>
      <w:r w:rsidR="003354EC" w:rsidRPr="003354EC">
        <w:t xml:space="preserve">Throughout the paper we use the term SEIFA to refer specifically to the </w:t>
      </w:r>
      <w:r w:rsidR="000C5A97">
        <w:t xml:space="preserve">SEIFA </w:t>
      </w:r>
      <w:r w:rsidR="003354EC" w:rsidRPr="003354EC">
        <w:t>IRSD index.</w:t>
      </w:r>
    </w:p>
    <w:p w14:paraId="7A5B2F3D" w14:textId="43DC5648" w:rsidR="00E30F21" w:rsidRDefault="00E30F21" w:rsidP="00C54675">
      <w:pPr>
        <w:pStyle w:val="CGCSubbulletlist"/>
      </w:pPr>
      <w:r>
        <w:t xml:space="preserve">Indigenous Relative Socio-Economic Outcomes (IRSEO) </w:t>
      </w:r>
      <w:r w:rsidR="00E36723">
        <w:t>a</w:t>
      </w:r>
      <w:r>
        <w:t xml:space="preserve">s </w:t>
      </w:r>
      <w:r w:rsidR="004E0ACA">
        <w:t xml:space="preserve">developed </w:t>
      </w:r>
      <w:r>
        <w:t xml:space="preserve">by the Centre for Aboriginal Economic Policy Research (CAEPR) at the Australian National University. </w:t>
      </w:r>
    </w:p>
    <w:p w14:paraId="17302203" w14:textId="77777777" w:rsidR="008C34E8" w:rsidRDefault="00E30F21" w:rsidP="00C54675">
      <w:pPr>
        <w:pStyle w:val="CGCSubbulletlist"/>
      </w:pPr>
      <w:r>
        <w:t xml:space="preserve">The Commission commissioned the ABS to produce </w:t>
      </w:r>
      <w:r w:rsidR="00CB158A">
        <w:t xml:space="preserve">a </w:t>
      </w:r>
      <w:r>
        <w:t xml:space="preserve">non-Indigenous SEIFA (NISEIFA), applying ABS methods for SEIFA to the non-Indigenous population. </w:t>
      </w:r>
    </w:p>
    <w:p w14:paraId="2C958177" w14:textId="77777777" w:rsidR="007C5E05" w:rsidRDefault="007C5E05" w:rsidP="007C5E05">
      <w:pPr>
        <w:pStyle w:val="Heading4"/>
      </w:pPr>
      <w:bookmarkStart w:id="16" w:name="_Toc511732736"/>
      <w:r>
        <w:lastRenderedPageBreak/>
        <w:t>The conceptual case for regional costs</w:t>
      </w:r>
      <w:r w:rsidR="00546A7D">
        <w:t xml:space="preserve"> and service delivery scale</w:t>
      </w:r>
      <w:bookmarkEnd w:id="16"/>
    </w:p>
    <w:p w14:paraId="7E948ACB" w14:textId="77777777" w:rsidR="00AE7D51" w:rsidRPr="00AE7D51" w:rsidRDefault="00AE7D51" w:rsidP="00AE7D51">
      <w:pPr>
        <w:pStyle w:val="CGCNumberedPara"/>
      </w:pPr>
      <w:r w:rsidRPr="00AE7D51">
        <w:t xml:space="preserve">States spend different amounts per capita on people in different regions. In some cases that is because the socio-demographic composition differs and that drives a different level of use. In </w:t>
      </w:r>
      <w:r w:rsidR="0013606D">
        <w:t xml:space="preserve">other </w:t>
      </w:r>
      <w:r w:rsidRPr="00AE7D51">
        <w:t>cases the cost of delivering even the same level of service varies; for example, because labour costs rise in more remote locations</w:t>
      </w:r>
      <w:r>
        <w:t>. The latter concept is what regional costs aims to capture.</w:t>
      </w:r>
    </w:p>
    <w:p w14:paraId="239D8269" w14:textId="759E7B32" w:rsidR="007C5E05" w:rsidRDefault="001A4543" w:rsidP="00B27ED4">
      <w:pPr>
        <w:pStyle w:val="CGCNumberedPara"/>
      </w:pPr>
      <w:r w:rsidRPr="001A4543">
        <w:t>The Regional costs assessment recognises that the costs of providing State services to similar people can vary between regions and generally increase</w:t>
      </w:r>
      <w:r w:rsidR="009A6CD9">
        <w:t>s</w:t>
      </w:r>
      <w:r w:rsidRPr="001A4543">
        <w:t xml:space="preserve"> with remoteness.</w:t>
      </w:r>
      <w:r w:rsidR="007C5E05">
        <w:t xml:space="preserve"> Costs vary with remoteness because:</w:t>
      </w:r>
    </w:p>
    <w:p w14:paraId="6CA0C8F0" w14:textId="04415833" w:rsidR="007C5E05" w:rsidRDefault="007C5E05" w:rsidP="007C5E05">
      <w:pPr>
        <w:pStyle w:val="CGCBulletlist"/>
        <w:numPr>
          <w:ilvl w:val="0"/>
          <w:numId w:val="1"/>
        </w:numPr>
        <w:tabs>
          <w:tab w:val="clear" w:pos="927"/>
        </w:tabs>
        <w:ind w:left="1134" w:hanging="567"/>
      </w:pPr>
      <w:r>
        <w:t xml:space="preserve">remote locations are generally less desirable than urban areas </w:t>
      </w:r>
      <w:r w:rsidR="00EB1A90">
        <w:t xml:space="preserve">so </w:t>
      </w:r>
      <w:r>
        <w:t xml:space="preserve">higher wages or allowances are required </w:t>
      </w:r>
      <w:r w:rsidR="00E36723">
        <w:t>to entice certain categories of staff to work there</w:t>
      </w:r>
    </w:p>
    <w:p w14:paraId="6F49945F" w14:textId="77777777" w:rsidR="007C5E05" w:rsidRDefault="007C5E05" w:rsidP="007C5E05">
      <w:pPr>
        <w:pStyle w:val="CGCBulletlist"/>
        <w:numPr>
          <w:ilvl w:val="0"/>
          <w:numId w:val="1"/>
        </w:numPr>
        <w:tabs>
          <w:tab w:val="clear" w:pos="927"/>
        </w:tabs>
        <w:ind w:left="1134" w:hanging="567"/>
      </w:pPr>
      <w:r>
        <w:t>employee housing is more likely to be provided in remote areas where there are fewer accommodation alternatives</w:t>
      </w:r>
    </w:p>
    <w:p w14:paraId="74CE0402" w14:textId="07DC8A60" w:rsidR="00E36723" w:rsidRDefault="007C5E05" w:rsidP="007C5E05">
      <w:pPr>
        <w:pStyle w:val="CGCBulletlist"/>
        <w:numPr>
          <w:ilvl w:val="0"/>
          <w:numId w:val="1"/>
        </w:numPr>
        <w:tabs>
          <w:tab w:val="clear" w:pos="927"/>
        </w:tabs>
        <w:ind w:left="1134" w:hanging="567"/>
      </w:pPr>
      <w:r>
        <w:t xml:space="preserve">extra costs are incurred on goods </w:t>
      </w:r>
    </w:p>
    <w:p w14:paraId="1E7CB88A" w14:textId="77777777" w:rsidR="007C5E05" w:rsidRDefault="007C5E05" w:rsidP="007C5E05">
      <w:pPr>
        <w:pStyle w:val="CGCBulletlist"/>
        <w:numPr>
          <w:ilvl w:val="0"/>
          <w:numId w:val="1"/>
        </w:numPr>
        <w:tabs>
          <w:tab w:val="clear" w:pos="927"/>
        </w:tabs>
        <w:ind w:left="1134" w:hanging="567"/>
      </w:pPr>
      <w:r>
        <w:t>staff travel over longer distances</w:t>
      </w:r>
    </w:p>
    <w:p w14:paraId="31C04AB2" w14:textId="32B547F0" w:rsidR="007C5E05" w:rsidRDefault="007C5E05" w:rsidP="007C5E05">
      <w:pPr>
        <w:pStyle w:val="CGCBulletlist"/>
        <w:numPr>
          <w:ilvl w:val="0"/>
          <w:numId w:val="1"/>
        </w:numPr>
        <w:tabs>
          <w:tab w:val="clear" w:pos="927"/>
        </w:tabs>
        <w:ind w:left="1134" w:hanging="567"/>
      </w:pPr>
      <w:r>
        <w:t xml:space="preserve">additional inputs are often required (for example, four wheel drive vehicles and additional fuel </w:t>
      </w:r>
      <w:r w:rsidR="00E36723">
        <w:t xml:space="preserve">are </w:t>
      </w:r>
      <w:r>
        <w:t>required for remote policing).</w:t>
      </w:r>
    </w:p>
    <w:p w14:paraId="38FE49DC" w14:textId="270E58B2" w:rsidR="00AE7D51" w:rsidRDefault="00AE7D51" w:rsidP="00CD38AE">
      <w:pPr>
        <w:pStyle w:val="CGCNumberedPara"/>
      </w:pPr>
      <w:r w:rsidRPr="00AE7D51">
        <w:t xml:space="preserve">Conceptually, remoteness may include differences in use (that </w:t>
      </w:r>
      <w:r w:rsidR="006642AE">
        <w:t xml:space="preserve">are </w:t>
      </w:r>
      <w:r w:rsidRPr="00AE7D51">
        <w:t>assess</w:t>
      </w:r>
      <w:r w:rsidR="006642AE">
        <w:t>ed</w:t>
      </w:r>
      <w:r w:rsidRPr="00AE7D51">
        <w:t xml:space="preserve"> as part of socio-demographic composition) as well as differences in costs that </w:t>
      </w:r>
      <w:r w:rsidR="006642AE">
        <w:t xml:space="preserve">are </w:t>
      </w:r>
      <w:r w:rsidRPr="00AE7D51">
        <w:t>assess</w:t>
      </w:r>
      <w:r w:rsidR="006642AE">
        <w:t>ed</w:t>
      </w:r>
      <w:r w:rsidRPr="00AE7D51">
        <w:t xml:space="preserve"> as regional costs. However in practice these tend to be related concepts. For example per student costs are higher in remote areas due to the need to provide allowances, housing and other incentives for teaching staff to locate there. At the same time, greater student needs and lack of learning support infrastructure such as libraries, museums and access to the internet, among other factors, may tend to increase </w:t>
      </w:r>
      <w:r w:rsidR="00E36723">
        <w:t>educational disadvantage which lead States to provide additional resources.</w:t>
      </w:r>
    </w:p>
    <w:p w14:paraId="0E64436F" w14:textId="5BE92785" w:rsidR="00491F44" w:rsidRDefault="00491F44" w:rsidP="00491F44">
      <w:pPr>
        <w:pStyle w:val="CGCNumberedPara"/>
      </w:pPr>
      <w:r w:rsidRPr="001A4543">
        <w:t>The Service delivery scale (SDS) assessment recognises that States experience diseconomies in the provision of certain services to small isolated communities</w:t>
      </w:r>
      <w:r>
        <w:t xml:space="preserve"> that impose above average costs on States because of:</w:t>
      </w:r>
    </w:p>
    <w:p w14:paraId="377BA9E1" w14:textId="77777777" w:rsidR="00491F44" w:rsidRDefault="00491F44" w:rsidP="00491F44">
      <w:pPr>
        <w:pStyle w:val="CGCBulletlist"/>
      </w:pPr>
      <w:r>
        <w:t>the indivisibility of labour</w:t>
      </w:r>
    </w:p>
    <w:p w14:paraId="1E30EB31" w14:textId="77777777" w:rsidR="00491F44" w:rsidRDefault="00491F44" w:rsidP="00491F44">
      <w:pPr>
        <w:pStyle w:val="CGCBulletlist"/>
      </w:pPr>
      <w:r>
        <w:t>unproductive travel time.</w:t>
      </w:r>
    </w:p>
    <w:p w14:paraId="55BB7118" w14:textId="27A7B96B" w:rsidR="00491F44" w:rsidRDefault="00491F44" w:rsidP="00CD38AE">
      <w:pPr>
        <w:pStyle w:val="CGCNumberedPara"/>
      </w:pPr>
      <w:r>
        <w:t>While some small isolated communities may be in more remote locations, areas relatively close to major cities can still be sufficiently isolated as to warrant small schools and other examples of services delivery scale. Similarly, large towns such as Alice Springs and Broome are remote and suffer from the cost</w:t>
      </w:r>
      <w:r w:rsidR="00EB1A90">
        <w:t>s</w:t>
      </w:r>
      <w:r>
        <w:t xml:space="preserve"> associated with remoteness, but not service delivery scale. </w:t>
      </w:r>
    </w:p>
    <w:p w14:paraId="12EE8BB3" w14:textId="77777777" w:rsidR="00787E17" w:rsidRDefault="00787E17">
      <w:pPr>
        <w:tabs>
          <w:tab w:val="clear" w:pos="567"/>
        </w:tabs>
        <w:spacing w:after="200" w:line="276" w:lineRule="auto"/>
        <w:rPr>
          <w:rFonts w:eastAsiaTheme="majorEastAsia" w:cstheme="majorBidi"/>
          <w:b/>
          <w:bCs/>
          <w:iCs/>
          <w:color w:val="2C8558"/>
          <w:sz w:val="32"/>
        </w:rPr>
      </w:pPr>
      <w:r>
        <w:br w:type="page"/>
      </w:r>
    </w:p>
    <w:p w14:paraId="64720DAB" w14:textId="4389B769" w:rsidR="00546A7D" w:rsidRDefault="00EC0472" w:rsidP="00787E17">
      <w:pPr>
        <w:pStyle w:val="Heading4"/>
      </w:pPr>
      <w:bookmarkStart w:id="17" w:name="_Toc511732737"/>
      <w:r>
        <w:lastRenderedPageBreak/>
        <w:t>The c</w:t>
      </w:r>
      <w:r w:rsidR="00546A7D">
        <w:t>onceptual case for area-based socio-economic status measures</w:t>
      </w:r>
      <w:r w:rsidR="000629CA">
        <w:t xml:space="preserve"> </w:t>
      </w:r>
      <w:r w:rsidR="009365F1">
        <w:t>b</w:t>
      </w:r>
      <w:r w:rsidR="000629CA">
        <w:t>y Indigeneity</w:t>
      </w:r>
      <w:bookmarkEnd w:id="17"/>
    </w:p>
    <w:p w14:paraId="06834971" w14:textId="688114A3" w:rsidR="00546A7D" w:rsidRDefault="0021377D" w:rsidP="00DB1783">
      <w:pPr>
        <w:pStyle w:val="CGCNumberedPara"/>
        <w:keepNext/>
      </w:pPr>
      <w:r w:rsidRPr="0021377D">
        <w:t>People of different socio-economic status (SES) make very different use of government services, and the States’ shares of people of low SES var</w:t>
      </w:r>
      <w:r w:rsidR="0090236D">
        <w:t>y</w:t>
      </w:r>
      <w:r w:rsidRPr="0021377D">
        <w:t xml:space="preserve"> markedly. Therefore an assessment of the impact of SES on State expenses is highly material.</w:t>
      </w:r>
    </w:p>
    <w:p w14:paraId="5D854538" w14:textId="05958AD9" w:rsidR="00D05E2D" w:rsidRDefault="00D05E2D" w:rsidP="00B564F7">
      <w:pPr>
        <w:pStyle w:val="CGCNumberedPara"/>
      </w:pPr>
      <w:r>
        <w:t xml:space="preserve">Area-based measures </w:t>
      </w:r>
      <w:r w:rsidR="00FD4274">
        <w:t xml:space="preserve">such as SEIFA </w:t>
      </w:r>
      <w:r>
        <w:t xml:space="preserve">indicate the collective socio-economic characteristics of people living in an area. </w:t>
      </w:r>
      <w:r w:rsidR="00491F44">
        <w:t xml:space="preserve">While </w:t>
      </w:r>
      <w:r w:rsidR="0090236D">
        <w:t>person-</w:t>
      </w:r>
      <w:r w:rsidR="00491F44">
        <w:t>based measures of socio</w:t>
      </w:r>
      <w:r w:rsidR="00AE419E">
        <w:noBreakHyphen/>
      </w:r>
      <w:r w:rsidR="00491F44">
        <w:t>economic status such as income or educational attainment are likely to be better predictors of disadvantage and service use, there is very limited administrative information on service use by these variables. When admitted to hospital or arrested by the police, people are usually asked their address, but are rarely asked their income or educational attainment. A</w:t>
      </w:r>
      <w:r w:rsidR="00131A9A">
        <w:t>rea-based measures of socio-economic status are more generally available</w:t>
      </w:r>
      <w:r w:rsidR="00FD4274">
        <w:t>,</w:t>
      </w:r>
      <w:r>
        <w:t xml:space="preserve"> </w:t>
      </w:r>
      <w:r w:rsidR="00131A9A">
        <w:t xml:space="preserve">widely used </w:t>
      </w:r>
      <w:r w:rsidR="00FD4274">
        <w:t>and well understood</w:t>
      </w:r>
      <w:r w:rsidR="00570AD9">
        <w:t>.</w:t>
      </w:r>
    </w:p>
    <w:p w14:paraId="5BA4B494" w14:textId="77777777" w:rsidR="00991EB7" w:rsidRDefault="003A7718" w:rsidP="009365F1">
      <w:pPr>
        <w:pStyle w:val="CGCNumberedPara"/>
      </w:pPr>
      <w:r>
        <w:t xml:space="preserve">In the 2015 Review, the Commission received terms of reference which required it to </w:t>
      </w:r>
      <w:r w:rsidRPr="00607321">
        <w:rPr>
          <w:rStyle w:val="Heading6Char"/>
          <w:rFonts w:eastAsiaTheme="minorHAnsi" w:cstheme="minorBidi"/>
          <w:b w:val="0"/>
          <w:i w:val="0"/>
          <w:iCs w:val="0"/>
          <w:color w:val="auto"/>
          <w:sz w:val="24"/>
        </w:rPr>
        <w:t>‘develop methods to appropriately capture the changing characteristics of the Indigenous population’</w:t>
      </w:r>
      <w:r>
        <w:rPr>
          <w:rStyle w:val="Heading6Char"/>
          <w:rFonts w:eastAsiaTheme="minorHAnsi" w:cstheme="minorBidi"/>
          <w:b w:val="0"/>
          <w:i w:val="0"/>
          <w:iCs w:val="0"/>
          <w:color w:val="auto"/>
          <w:sz w:val="24"/>
        </w:rPr>
        <w:t xml:space="preserve">. </w:t>
      </w:r>
      <w:r w:rsidR="00FD4274">
        <w:t xml:space="preserve">Indigenous people </w:t>
      </w:r>
      <w:r w:rsidR="00491F44">
        <w:t xml:space="preserve">often </w:t>
      </w:r>
      <w:r w:rsidR="00FD4274">
        <w:t>represent a very small proportion of the population in any area,</w:t>
      </w:r>
      <w:r w:rsidR="0090236D">
        <w:t xml:space="preserve"> so that</w:t>
      </w:r>
      <w:r w:rsidR="00FD4274">
        <w:t xml:space="preserve"> the socio-economic status of Indigenous people does not have a significant contribution to the measured SEIFA score of that area. Therefore SEIFA may not be representative of the socio-economic status of the Indigenous population in each area.</w:t>
      </w:r>
      <w:r w:rsidR="00570AD9">
        <w:t xml:space="preserve"> </w:t>
      </w:r>
    </w:p>
    <w:p w14:paraId="3449FC45" w14:textId="325EF845" w:rsidR="00DC43B1" w:rsidRDefault="00DC43B1" w:rsidP="009365F1">
      <w:pPr>
        <w:pStyle w:val="CGCNumberedPara"/>
      </w:pPr>
      <w:r>
        <w:t>The Commission use</w:t>
      </w:r>
      <w:r w:rsidR="00991EB7">
        <w:t>s</w:t>
      </w:r>
      <w:r>
        <w:t xml:space="preserve"> IRSEO to capture Indigenous specific socio-economic status. This measure reflects the socio-economic status of the population that identifies as Indigenous in each Census, and as the number of people identifying as Indigenous chan</w:t>
      </w:r>
      <w:r w:rsidR="00AE419E">
        <w:t>ges, so can their average socio</w:t>
      </w:r>
      <w:r w:rsidR="00AE419E">
        <w:noBreakHyphen/>
      </w:r>
      <w:r>
        <w:t>economic status. It is also independent of the socio-economic status of the non</w:t>
      </w:r>
      <w:r w:rsidR="00AE419E">
        <w:noBreakHyphen/>
      </w:r>
      <w:r>
        <w:t xml:space="preserve">Indigenous population living in the same area. For example, the non-Indigenous population in parts of Tasmania </w:t>
      </w:r>
      <w:r w:rsidR="00082A94">
        <w:t>are</w:t>
      </w:r>
      <w:r>
        <w:t xml:space="preserve"> among the most disadvantaged of Australia’s non-Indigenous population. The Indigenous population living in those areas may have similar or worse socio-economic status</w:t>
      </w:r>
      <w:r w:rsidR="00F617A4">
        <w:t xml:space="preserve"> than their </w:t>
      </w:r>
      <w:r w:rsidR="009D3C17">
        <w:t>non</w:t>
      </w:r>
      <w:r w:rsidR="009D3C17">
        <w:noBreakHyphen/>
        <w:t xml:space="preserve">Indigenous </w:t>
      </w:r>
      <w:r w:rsidR="00F617A4">
        <w:t xml:space="preserve">neighbours, </w:t>
      </w:r>
      <w:r w:rsidR="0090236D">
        <w:t>but</w:t>
      </w:r>
      <w:r>
        <w:t xml:space="preserve"> compared to the Indigenous population </w:t>
      </w:r>
      <w:r w:rsidR="00F617A4">
        <w:t>in parts of Western Australia and the Northern Territory, they have relatively high socio</w:t>
      </w:r>
      <w:r w:rsidR="009D3C17">
        <w:noBreakHyphen/>
      </w:r>
      <w:r w:rsidR="00F617A4">
        <w:t>economic status.</w:t>
      </w:r>
    </w:p>
    <w:p w14:paraId="6931261A" w14:textId="77777777" w:rsidR="007C5E05" w:rsidRDefault="00B74F9A" w:rsidP="007C5E05">
      <w:pPr>
        <w:pStyle w:val="Heading4"/>
      </w:pPr>
      <w:bookmarkStart w:id="18" w:name="_Toc511732738"/>
      <w:r>
        <w:t>Calculation of r</w:t>
      </w:r>
      <w:r w:rsidR="007C5E05">
        <w:t>egional costs</w:t>
      </w:r>
      <w:bookmarkEnd w:id="18"/>
    </w:p>
    <w:p w14:paraId="1D8F9C92" w14:textId="30AEBE43" w:rsidR="008C34E8" w:rsidRDefault="008C34E8" w:rsidP="008C34E8">
      <w:pPr>
        <w:pStyle w:val="CGCNumberedPara"/>
      </w:pPr>
      <w:r w:rsidRPr="00792DE9">
        <w:t xml:space="preserve">The impact of </w:t>
      </w:r>
      <w:r>
        <w:t xml:space="preserve">regional </w:t>
      </w:r>
      <w:r w:rsidRPr="00792DE9">
        <w:t xml:space="preserve">cost differences on what States </w:t>
      </w:r>
      <w:r w:rsidR="00C668F2">
        <w:t xml:space="preserve">are assessed to </w:t>
      </w:r>
      <w:r w:rsidRPr="00792DE9">
        <w:t>need to spend is estimated by applying a cost gradient</w:t>
      </w:r>
      <w:r w:rsidR="00C668F2">
        <w:t>,</w:t>
      </w:r>
      <w:r w:rsidRPr="00792DE9">
        <w:t xml:space="preserve"> measured on the basis of schools and police data or an average of the two, to the client base for a category where there is a conceptual case for regional cost differences.</w:t>
      </w:r>
      <w:r>
        <w:t xml:space="preserve"> </w:t>
      </w:r>
      <w:r w:rsidRPr="00792DE9">
        <w:t>What States need to spend in each category differs because States have different proportions of clients in each remoteness region.</w:t>
      </w:r>
    </w:p>
    <w:p w14:paraId="297660D0" w14:textId="77777777" w:rsidR="008C34E8" w:rsidRPr="008C34E8" w:rsidRDefault="008C34E8" w:rsidP="007C5E05">
      <w:pPr>
        <w:pStyle w:val="CGCNumberedPara"/>
        <w:numPr>
          <w:ilvl w:val="1"/>
          <w:numId w:val="3"/>
        </w:numPr>
        <w:rPr>
          <w:rStyle w:val="Heading6Char"/>
          <w:rFonts w:eastAsiaTheme="minorHAnsi" w:cstheme="minorBidi"/>
          <w:b w:val="0"/>
          <w:i w:val="0"/>
          <w:iCs w:val="0"/>
          <w:color w:val="auto"/>
          <w:sz w:val="24"/>
        </w:rPr>
      </w:pPr>
      <w:r w:rsidRPr="002037B7">
        <w:lastRenderedPageBreak/>
        <w:t xml:space="preserve">Australian Curriculum, Assessment and Reporting Authority (ACARA) data </w:t>
      </w:r>
      <w:r w:rsidR="00B00E87">
        <w:t>a</w:t>
      </w:r>
      <w:r>
        <w:t xml:space="preserve">re used to develop the </w:t>
      </w:r>
      <w:r w:rsidRPr="002037B7">
        <w:t xml:space="preserve">schools </w:t>
      </w:r>
      <w:r>
        <w:t>regional costs gradient. Data pr</w:t>
      </w:r>
      <w:r w:rsidRPr="002037B7">
        <w:t xml:space="preserve">ovided </w:t>
      </w:r>
      <w:r>
        <w:t xml:space="preserve">by States </w:t>
      </w:r>
      <w:r w:rsidR="00B00E87">
        <w:t xml:space="preserve">have been </w:t>
      </w:r>
      <w:r>
        <w:t xml:space="preserve">used to develop the </w:t>
      </w:r>
      <w:r w:rsidRPr="002037B7">
        <w:t>police regional cost</w:t>
      </w:r>
      <w:r>
        <w:t>s</w:t>
      </w:r>
      <w:r w:rsidRPr="002037B7">
        <w:t xml:space="preserve"> gradient</w:t>
      </w:r>
      <w:r>
        <w:t>.</w:t>
      </w:r>
    </w:p>
    <w:p w14:paraId="3D6CC1E3" w14:textId="23F16607" w:rsidR="007C5E05" w:rsidRDefault="007C5E05" w:rsidP="007C5E05">
      <w:pPr>
        <w:pStyle w:val="CGCNumberedPara"/>
        <w:numPr>
          <w:ilvl w:val="1"/>
          <w:numId w:val="3"/>
        </w:numPr>
      </w:pPr>
      <w:r w:rsidRPr="00356213">
        <w:rPr>
          <w:rStyle w:val="Heading6Char"/>
        </w:rPr>
        <w:t>Schools</w:t>
      </w:r>
      <w:r>
        <w:t xml:space="preserve">. </w:t>
      </w:r>
      <w:r w:rsidR="00D42135">
        <w:t>The Commission derives</w:t>
      </w:r>
      <w:r w:rsidR="001B5131">
        <w:t xml:space="preserve"> student loadings using </w:t>
      </w:r>
      <w:r>
        <w:t>r</w:t>
      </w:r>
      <w:r w:rsidRPr="006F63B4">
        <w:t>egression</w:t>
      </w:r>
      <w:r w:rsidR="001B5131">
        <w:t xml:space="preserve"> modelling</w:t>
      </w:r>
      <w:r>
        <w:t xml:space="preserve"> </w:t>
      </w:r>
      <w:r w:rsidR="001B5131">
        <w:t xml:space="preserve">based </w:t>
      </w:r>
      <w:r w:rsidR="00A91647">
        <w:t xml:space="preserve">on </w:t>
      </w:r>
      <w:r w:rsidRPr="006F63B4">
        <w:t xml:space="preserve">ACARA </w:t>
      </w:r>
      <w:r>
        <w:t>data</w:t>
      </w:r>
      <w:r w:rsidR="001B5131">
        <w:t>.</w:t>
      </w:r>
      <w:r>
        <w:t xml:space="preserve"> </w:t>
      </w:r>
      <w:r w:rsidRPr="00541985">
        <w:t>This g</w:t>
      </w:r>
      <w:r w:rsidR="00B00E87">
        <w:t>ives</w:t>
      </w:r>
      <w:r w:rsidRPr="00541985">
        <w:t xml:space="preserve"> estimates of the impact of Indigenous student numbers, school size, socio-economic status and remoteness on costs</w:t>
      </w:r>
      <w:r>
        <w:t xml:space="preserve">, for schools that are otherwise similar. </w:t>
      </w:r>
      <w:r w:rsidRPr="00920706">
        <w:t xml:space="preserve">The coefficients for each remoteness area </w:t>
      </w:r>
      <w:r w:rsidR="00D42135">
        <w:t>are</w:t>
      </w:r>
      <w:r w:rsidR="00B00E87">
        <w:t xml:space="preserve"> </w:t>
      </w:r>
      <w:r w:rsidRPr="00920706">
        <w:t>used to derive regional cost differences for State government schools</w:t>
      </w:r>
      <w:r>
        <w:t>.</w:t>
      </w:r>
    </w:p>
    <w:p w14:paraId="1056EF65" w14:textId="2693ECC0" w:rsidR="007C5E05" w:rsidRDefault="007C5E05" w:rsidP="007C5E05">
      <w:pPr>
        <w:pStyle w:val="CGCNumberedPara"/>
        <w:numPr>
          <w:ilvl w:val="1"/>
          <w:numId w:val="3"/>
        </w:numPr>
      </w:pPr>
      <w:r w:rsidRPr="00356213">
        <w:rPr>
          <w:rStyle w:val="Heading6Char"/>
        </w:rPr>
        <w:t>Police</w:t>
      </w:r>
      <w:r>
        <w:t xml:space="preserve">. </w:t>
      </w:r>
      <w:r w:rsidR="00D42135">
        <w:t xml:space="preserve">The Commission </w:t>
      </w:r>
      <w:r>
        <w:t>used police staffing and cost data provided by the States for the 2010 Review to calculate average costs per fulltime equivalent employee on wages, employee housing and other non-wage costs, for each remoteness area.  R</w:t>
      </w:r>
      <w:r w:rsidRPr="00BF646E">
        <w:t>egional cost factor</w:t>
      </w:r>
      <w:r>
        <w:t>s were derived using the average costs applied to police use</w:t>
      </w:r>
      <w:r w:rsidR="00AE419E">
        <w:noBreakHyphen/>
      </w:r>
      <w:r>
        <w:t xml:space="preserve">weighted population for each remoteness area. </w:t>
      </w:r>
    </w:p>
    <w:p w14:paraId="722AA591" w14:textId="0067453D" w:rsidR="002948A4" w:rsidRDefault="002948A4" w:rsidP="001619C9">
      <w:pPr>
        <w:pStyle w:val="CGCNumberedPara"/>
      </w:pPr>
      <w:r>
        <w:t>A low level d</w:t>
      </w:r>
      <w:r w:rsidRPr="00883BEE">
        <w:t xml:space="preserve">iscount </w:t>
      </w:r>
      <w:r w:rsidR="00B00E87">
        <w:t xml:space="preserve">has been </w:t>
      </w:r>
      <w:r w:rsidRPr="00883BEE">
        <w:t xml:space="preserve">applied to </w:t>
      </w:r>
      <w:r w:rsidR="001619C9">
        <w:t xml:space="preserve">reflect the more unreliable nature of </w:t>
      </w:r>
      <w:r w:rsidR="001619C9" w:rsidRPr="001619C9">
        <w:t>the available police data in comparison to the ACARA data</w:t>
      </w:r>
      <w:r w:rsidR="001619C9">
        <w:t>.</w:t>
      </w:r>
    </w:p>
    <w:p w14:paraId="691EAE80" w14:textId="24E5F5F2" w:rsidR="003B0B47" w:rsidRPr="003B0B47" w:rsidRDefault="002948A4" w:rsidP="003B0B47">
      <w:pPr>
        <w:pStyle w:val="CGCNumberedPara"/>
      </w:pPr>
      <w:r w:rsidRPr="00880E30">
        <w:rPr>
          <w:rStyle w:val="Heading6Char"/>
        </w:rPr>
        <w:t>Extrapolation to other categories</w:t>
      </w:r>
      <w:r>
        <w:t xml:space="preserve">. </w:t>
      </w:r>
      <w:r w:rsidR="003B0B47" w:rsidRPr="003B0B47">
        <w:t xml:space="preserve">While appropriate regional costs data </w:t>
      </w:r>
      <w:r w:rsidR="00C668F2">
        <w:t>were</w:t>
      </w:r>
      <w:r w:rsidR="003B0B47" w:rsidRPr="003B0B47">
        <w:t xml:space="preserve"> only available for </w:t>
      </w:r>
      <w:r w:rsidR="003B0B47">
        <w:t>schools and police</w:t>
      </w:r>
      <w:r w:rsidR="00C668F2">
        <w:t xml:space="preserve"> at the time of the 2015 Review</w:t>
      </w:r>
      <w:r w:rsidR="003B0B47" w:rsidRPr="003B0B47">
        <w:t xml:space="preserve">, </w:t>
      </w:r>
      <w:r w:rsidR="00D42135">
        <w:t xml:space="preserve">the Commission considered </w:t>
      </w:r>
      <w:r w:rsidR="003B0B47" w:rsidRPr="003B0B47">
        <w:t xml:space="preserve">there </w:t>
      </w:r>
      <w:r w:rsidR="005465B0">
        <w:t xml:space="preserve">was </w:t>
      </w:r>
      <w:r w:rsidR="003B0B47" w:rsidRPr="003B0B47">
        <w:t>a strong conceptual case that costs associated with other categories also increase in more remote areas.</w:t>
      </w:r>
      <w:r w:rsidR="003B0B47">
        <w:t xml:space="preserve"> </w:t>
      </w:r>
      <w:r w:rsidR="003B0B47" w:rsidRPr="003B0B47">
        <w:t xml:space="preserve">In the absence of data directly measuring costs in these areas, </w:t>
      </w:r>
      <w:r w:rsidR="00D42135">
        <w:t xml:space="preserve">it decided </w:t>
      </w:r>
      <w:r w:rsidR="003B0B47" w:rsidRPr="003B0B47">
        <w:t xml:space="preserve">extrapolation </w:t>
      </w:r>
      <w:r w:rsidR="00D42135">
        <w:t>was</w:t>
      </w:r>
      <w:r w:rsidR="003B0B47" w:rsidRPr="003B0B47">
        <w:t xml:space="preserve"> appropriate</w:t>
      </w:r>
      <w:r w:rsidR="003B0B47">
        <w:t>.</w:t>
      </w:r>
    </w:p>
    <w:p w14:paraId="59194408" w14:textId="4A00C5DF" w:rsidR="002948A4" w:rsidRDefault="00D42135" w:rsidP="002948A4">
      <w:pPr>
        <w:pStyle w:val="CGCNumberedPara"/>
        <w:numPr>
          <w:ilvl w:val="1"/>
          <w:numId w:val="3"/>
        </w:numPr>
      </w:pPr>
      <w:r>
        <w:t>The Commission</w:t>
      </w:r>
      <w:r w:rsidR="006642AE">
        <w:t xml:space="preserve"> </w:t>
      </w:r>
      <w:r w:rsidR="002948A4" w:rsidRPr="0046771F">
        <w:t xml:space="preserve">calculated a general </w:t>
      </w:r>
      <w:r w:rsidR="002948A4">
        <w:t xml:space="preserve">cost </w:t>
      </w:r>
      <w:r w:rsidR="002948A4" w:rsidRPr="0046771F">
        <w:t>gradient by taking the average of the schools and police gradients.</w:t>
      </w:r>
      <w:r w:rsidR="002948A4">
        <w:t xml:space="preserve"> </w:t>
      </w:r>
      <w:r w:rsidR="002948A4" w:rsidRPr="0046771F">
        <w:t xml:space="preserve">The Regional cost factors for all categories other than Schools education and Justice </w:t>
      </w:r>
      <w:r>
        <w:t>were</w:t>
      </w:r>
      <w:r w:rsidR="003B0B47">
        <w:t xml:space="preserve"> </w:t>
      </w:r>
      <w:r w:rsidR="002948A4" w:rsidRPr="0046771F">
        <w:t xml:space="preserve">derived using the general gradient and a client base applicable to </w:t>
      </w:r>
      <w:r w:rsidR="002948A4">
        <w:t xml:space="preserve">each </w:t>
      </w:r>
      <w:r w:rsidR="002948A4" w:rsidRPr="0046771F">
        <w:t>category.</w:t>
      </w:r>
    </w:p>
    <w:p w14:paraId="3953D773" w14:textId="77777777" w:rsidR="002948A4" w:rsidRDefault="002948A4" w:rsidP="002948A4">
      <w:pPr>
        <w:pStyle w:val="CGCNumberedPara"/>
        <w:numPr>
          <w:ilvl w:val="1"/>
          <w:numId w:val="3"/>
        </w:numPr>
      </w:pPr>
      <w:r>
        <w:t xml:space="preserve">A </w:t>
      </w:r>
      <w:r w:rsidRPr="00864F18">
        <w:t xml:space="preserve">medium discount </w:t>
      </w:r>
      <w:r w:rsidR="00B00E87">
        <w:t xml:space="preserve">has been </w:t>
      </w:r>
      <w:r>
        <w:t xml:space="preserve">applied </w:t>
      </w:r>
      <w:r w:rsidRPr="00864F18">
        <w:t>to the regional cost factors for all categories where extrapolation occurs</w:t>
      </w:r>
      <w:r>
        <w:t xml:space="preserve">, </w:t>
      </w:r>
      <w:r w:rsidRPr="00864F18">
        <w:t>including for Justi</w:t>
      </w:r>
      <w:r>
        <w:t>ce components other than police</w:t>
      </w:r>
      <w:r w:rsidRPr="00864F18">
        <w:t>.</w:t>
      </w:r>
    </w:p>
    <w:p w14:paraId="607D29DF" w14:textId="49E08DDF" w:rsidR="00852D39" w:rsidRPr="00741FF2" w:rsidRDefault="00852D39" w:rsidP="00852D39">
      <w:pPr>
        <w:pStyle w:val="CGCNumberedPara"/>
      </w:pPr>
      <w:r>
        <w:fldChar w:fldCharType="begin"/>
      </w:r>
      <w:r>
        <w:instrText xml:space="preserve"> REF _Ref322431260 \h </w:instrText>
      </w:r>
      <w:r>
        <w:fldChar w:fldCharType="separate"/>
      </w:r>
      <w:r w:rsidR="00777E11">
        <w:t xml:space="preserve">Table </w:t>
      </w:r>
      <w:r w:rsidR="00777E11">
        <w:rPr>
          <w:noProof/>
        </w:rPr>
        <w:t>1</w:t>
      </w:r>
      <w:r>
        <w:fldChar w:fldCharType="end"/>
      </w:r>
      <w:r>
        <w:t xml:space="preserve"> s</w:t>
      </w:r>
      <w:r w:rsidR="00792DE9" w:rsidRPr="00792DE9">
        <w:t xml:space="preserve">hows </w:t>
      </w:r>
      <w:r w:rsidR="002948A4" w:rsidRPr="00A006C6">
        <w:t>the categories to which the regional costs disability is applied</w:t>
      </w:r>
      <w:r w:rsidR="009D3C17">
        <w:t>, and the associated GST redistribution</w:t>
      </w:r>
      <w:r w:rsidRPr="00A006C6">
        <w:t>.</w:t>
      </w:r>
      <w:r w:rsidR="00CA29AA" w:rsidRPr="00741FF2">
        <w:t xml:space="preserve"> </w:t>
      </w:r>
    </w:p>
    <w:p w14:paraId="3CBC3AB6" w14:textId="044180E2" w:rsidR="00852D39" w:rsidRDefault="00852D39" w:rsidP="0072757B">
      <w:pPr>
        <w:pStyle w:val="CGCTableHeading"/>
      </w:pPr>
      <w:bookmarkStart w:id="19" w:name="_Ref322431260"/>
      <w:r>
        <w:lastRenderedPageBreak/>
        <w:t xml:space="preserve">Table </w:t>
      </w:r>
      <w:r w:rsidR="002C0581">
        <w:fldChar w:fldCharType="begin"/>
      </w:r>
      <w:r w:rsidR="002C0581">
        <w:instrText xml:space="preserve"> SEQ Table \* ARABIC </w:instrText>
      </w:r>
      <w:r w:rsidR="002C0581">
        <w:fldChar w:fldCharType="separate"/>
      </w:r>
      <w:r w:rsidR="00777E11">
        <w:rPr>
          <w:noProof/>
        </w:rPr>
        <w:t>1</w:t>
      </w:r>
      <w:r w:rsidR="002C0581">
        <w:rPr>
          <w:noProof/>
        </w:rPr>
        <w:fldChar w:fldCharType="end"/>
      </w:r>
      <w:bookmarkEnd w:id="19"/>
      <w:r>
        <w:rPr>
          <w:noProof/>
        </w:rPr>
        <w:tab/>
      </w:r>
      <w:r>
        <w:t>Redistribution from EPC, 201</w:t>
      </w:r>
      <w:r w:rsidR="00FD2DA6">
        <w:t>8-19</w:t>
      </w:r>
      <w:r>
        <w:t>, Regional influences</w:t>
      </w:r>
    </w:p>
    <w:tbl>
      <w:tblPr>
        <w:tblW w:w="9026" w:type="dxa"/>
        <w:tblInd w:w="108" w:type="dxa"/>
        <w:tblLook w:val="04A0" w:firstRow="1" w:lastRow="0" w:firstColumn="1" w:lastColumn="0" w:noHBand="0" w:noVBand="1"/>
      </w:tblPr>
      <w:tblGrid>
        <w:gridCol w:w="2521"/>
        <w:gridCol w:w="771"/>
        <w:gridCol w:w="771"/>
        <w:gridCol w:w="712"/>
        <w:gridCol w:w="712"/>
        <w:gridCol w:w="612"/>
        <w:gridCol w:w="712"/>
        <w:gridCol w:w="672"/>
        <w:gridCol w:w="712"/>
        <w:gridCol w:w="831"/>
      </w:tblGrid>
      <w:tr w:rsidR="0072757B" w:rsidRPr="00006A2A" w14:paraId="675A7F88" w14:textId="77777777" w:rsidTr="00BB2321">
        <w:trPr>
          <w:trHeight w:val="379"/>
        </w:trPr>
        <w:tc>
          <w:tcPr>
            <w:tcW w:w="2521" w:type="dxa"/>
            <w:tcBorders>
              <w:top w:val="single" w:sz="4" w:space="0" w:color="auto"/>
              <w:left w:val="nil"/>
              <w:bottom w:val="single" w:sz="4" w:space="0" w:color="auto"/>
              <w:right w:val="nil"/>
            </w:tcBorders>
            <w:shd w:val="clear" w:color="auto" w:fill="auto"/>
            <w:noWrap/>
            <w:vAlign w:val="center"/>
            <w:hideMark/>
          </w:tcPr>
          <w:p w14:paraId="048F8B97"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bookmarkStart w:id="20" w:name="RANGE!B2:K25"/>
            <w:r w:rsidRPr="00006A2A">
              <w:rPr>
                <w:rFonts w:ascii="Calibri" w:eastAsia="Times New Roman" w:hAnsi="Calibri" w:cs="Calibri"/>
                <w:sz w:val="20"/>
                <w:szCs w:val="20"/>
                <w:lang w:eastAsia="en-AU"/>
              </w:rPr>
              <w:t> </w:t>
            </w:r>
            <w:bookmarkEnd w:id="20"/>
          </w:p>
        </w:tc>
        <w:tc>
          <w:tcPr>
            <w:tcW w:w="771" w:type="dxa"/>
            <w:tcBorders>
              <w:top w:val="single" w:sz="4" w:space="0" w:color="auto"/>
              <w:left w:val="nil"/>
              <w:bottom w:val="single" w:sz="4" w:space="0" w:color="auto"/>
              <w:right w:val="nil"/>
            </w:tcBorders>
            <w:shd w:val="clear" w:color="auto" w:fill="auto"/>
            <w:noWrap/>
            <w:vAlign w:val="center"/>
            <w:hideMark/>
          </w:tcPr>
          <w:p w14:paraId="11EAD6DB"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NSW</w:t>
            </w:r>
          </w:p>
        </w:tc>
        <w:tc>
          <w:tcPr>
            <w:tcW w:w="771" w:type="dxa"/>
            <w:tcBorders>
              <w:top w:val="single" w:sz="4" w:space="0" w:color="auto"/>
              <w:left w:val="nil"/>
              <w:bottom w:val="single" w:sz="4" w:space="0" w:color="auto"/>
              <w:right w:val="nil"/>
            </w:tcBorders>
            <w:shd w:val="clear" w:color="auto" w:fill="auto"/>
            <w:noWrap/>
            <w:vAlign w:val="center"/>
            <w:hideMark/>
          </w:tcPr>
          <w:p w14:paraId="79414F78"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Vic</w:t>
            </w:r>
          </w:p>
        </w:tc>
        <w:tc>
          <w:tcPr>
            <w:tcW w:w="712" w:type="dxa"/>
            <w:tcBorders>
              <w:top w:val="single" w:sz="4" w:space="0" w:color="auto"/>
              <w:left w:val="nil"/>
              <w:bottom w:val="single" w:sz="4" w:space="0" w:color="auto"/>
              <w:right w:val="nil"/>
            </w:tcBorders>
            <w:shd w:val="clear" w:color="auto" w:fill="auto"/>
            <w:noWrap/>
            <w:vAlign w:val="center"/>
            <w:hideMark/>
          </w:tcPr>
          <w:p w14:paraId="5992AC79"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Qld</w:t>
            </w:r>
          </w:p>
        </w:tc>
        <w:tc>
          <w:tcPr>
            <w:tcW w:w="712" w:type="dxa"/>
            <w:tcBorders>
              <w:top w:val="single" w:sz="4" w:space="0" w:color="auto"/>
              <w:left w:val="nil"/>
              <w:bottom w:val="single" w:sz="4" w:space="0" w:color="auto"/>
              <w:right w:val="nil"/>
            </w:tcBorders>
            <w:shd w:val="clear" w:color="auto" w:fill="auto"/>
            <w:noWrap/>
            <w:vAlign w:val="center"/>
            <w:hideMark/>
          </w:tcPr>
          <w:p w14:paraId="6AEF7DCA"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WA</w:t>
            </w:r>
          </w:p>
        </w:tc>
        <w:tc>
          <w:tcPr>
            <w:tcW w:w="612" w:type="dxa"/>
            <w:tcBorders>
              <w:top w:val="single" w:sz="4" w:space="0" w:color="auto"/>
              <w:left w:val="nil"/>
              <w:bottom w:val="single" w:sz="4" w:space="0" w:color="auto"/>
              <w:right w:val="nil"/>
            </w:tcBorders>
            <w:shd w:val="clear" w:color="auto" w:fill="auto"/>
            <w:noWrap/>
            <w:vAlign w:val="center"/>
            <w:hideMark/>
          </w:tcPr>
          <w:p w14:paraId="00B9947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SA</w:t>
            </w:r>
          </w:p>
        </w:tc>
        <w:tc>
          <w:tcPr>
            <w:tcW w:w="712" w:type="dxa"/>
            <w:tcBorders>
              <w:top w:val="single" w:sz="4" w:space="0" w:color="auto"/>
              <w:left w:val="nil"/>
              <w:bottom w:val="single" w:sz="4" w:space="0" w:color="auto"/>
              <w:right w:val="nil"/>
            </w:tcBorders>
            <w:shd w:val="clear" w:color="auto" w:fill="auto"/>
            <w:noWrap/>
            <w:vAlign w:val="center"/>
            <w:hideMark/>
          </w:tcPr>
          <w:p w14:paraId="6A804F72"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Tas</w:t>
            </w:r>
          </w:p>
        </w:tc>
        <w:tc>
          <w:tcPr>
            <w:tcW w:w="672" w:type="dxa"/>
            <w:tcBorders>
              <w:top w:val="single" w:sz="4" w:space="0" w:color="auto"/>
              <w:left w:val="nil"/>
              <w:bottom w:val="single" w:sz="4" w:space="0" w:color="auto"/>
              <w:right w:val="nil"/>
            </w:tcBorders>
            <w:shd w:val="clear" w:color="auto" w:fill="auto"/>
            <w:noWrap/>
            <w:vAlign w:val="center"/>
            <w:hideMark/>
          </w:tcPr>
          <w:p w14:paraId="5774C28C"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ACT</w:t>
            </w:r>
          </w:p>
        </w:tc>
        <w:tc>
          <w:tcPr>
            <w:tcW w:w="712" w:type="dxa"/>
            <w:tcBorders>
              <w:top w:val="single" w:sz="4" w:space="0" w:color="auto"/>
              <w:left w:val="nil"/>
              <w:bottom w:val="single" w:sz="4" w:space="0" w:color="auto"/>
              <w:right w:val="nil"/>
            </w:tcBorders>
            <w:shd w:val="clear" w:color="auto" w:fill="auto"/>
            <w:noWrap/>
            <w:vAlign w:val="center"/>
            <w:hideMark/>
          </w:tcPr>
          <w:p w14:paraId="35585D03"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NT</w:t>
            </w:r>
          </w:p>
        </w:tc>
        <w:tc>
          <w:tcPr>
            <w:tcW w:w="831" w:type="dxa"/>
            <w:tcBorders>
              <w:top w:val="single" w:sz="4" w:space="0" w:color="auto"/>
              <w:left w:val="nil"/>
              <w:bottom w:val="single" w:sz="4" w:space="0" w:color="auto"/>
              <w:right w:val="nil"/>
            </w:tcBorders>
            <w:shd w:val="clear" w:color="auto" w:fill="auto"/>
            <w:noWrap/>
            <w:vAlign w:val="center"/>
            <w:hideMark/>
          </w:tcPr>
          <w:p w14:paraId="19F5020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Redist</w:t>
            </w:r>
          </w:p>
        </w:tc>
      </w:tr>
      <w:tr w:rsidR="0072757B" w:rsidRPr="00006A2A" w14:paraId="7548DB97" w14:textId="77777777" w:rsidTr="00BB2321">
        <w:trPr>
          <w:trHeight w:val="259"/>
        </w:trPr>
        <w:tc>
          <w:tcPr>
            <w:tcW w:w="2521" w:type="dxa"/>
            <w:tcBorders>
              <w:top w:val="nil"/>
              <w:left w:val="nil"/>
              <w:bottom w:val="nil"/>
              <w:right w:val="nil"/>
            </w:tcBorders>
            <w:shd w:val="clear" w:color="auto" w:fill="auto"/>
            <w:noWrap/>
            <w:vAlign w:val="bottom"/>
            <w:hideMark/>
          </w:tcPr>
          <w:p w14:paraId="15DB73D4" w14:textId="546A470B" w:rsidR="0072757B" w:rsidRPr="00006A2A" w:rsidRDefault="0072757B" w:rsidP="0072757B">
            <w:pPr>
              <w:keepNext/>
              <w:tabs>
                <w:tab w:val="clear" w:pos="567"/>
              </w:tabs>
              <w:spacing w:after="0" w:line="240" w:lineRule="auto"/>
              <w:rPr>
                <w:rFonts w:ascii="Calibri" w:eastAsia="Times New Roman" w:hAnsi="Calibri" w:cs="Calibri"/>
                <w:b/>
                <w:bCs/>
                <w:sz w:val="20"/>
                <w:szCs w:val="20"/>
                <w:lang w:eastAsia="en-AU"/>
              </w:rPr>
            </w:pPr>
            <w:r w:rsidRPr="00006A2A">
              <w:rPr>
                <w:rFonts w:ascii="Calibri" w:eastAsia="Times New Roman" w:hAnsi="Calibri" w:cs="Calibri"/>
                <w:b/>
                <w:bCs/>
                <w:sz w:val="20"/>
                <w:szCs w:val="20"/>
                <w:lang w:eastAsia="en-AU"/>
              </w:rPr>
              <w:t>Regional cost</w:t>
            </w:r>
            <w:r>
              <w:rPr>
                <w:rFonts w:ascii="Calibri" w:eastAsia="Times New Roman" w:hAnsi="Calibri" w:cs="Calibri"/>
                <w:b/>
                <w:bCs/>
                <w:sz w:val="20"/>
                <w:szCs w:val="20"/>
                <w:lang w:eastAsia="en-AU"/>
              </w:rPr>
              <w:t>s</w:t>
            </w:r>
          </w:p>
        </w:tc>
        <w:tc>
          <w:tcPr>
            <w:tcW w:w="771" w:type="dxa"/>
            <w:tcBorders>
              <w:top w:val="nil"/>
              <w:left w:val="nil"/>
              <w:bottom w:val="nil"/>
              <w:right w:val="nil"/>
            </w:tcBorders>
            <w:shd w:val="clear" w:color="auto" w:fill="auto"/>
            <w:noWrap/>
            <w:vAlign w:val="bottom"/>
            <w:hideMark/>
          </w:tcPr>
          <w:p w14:paraId="1EF74351"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771" w:type="dxa"/>
            <w:tcBorders>
              <w:top w:val="nil"/>
              <w:left w:val="nil"/>
              <w:bottom w:val="nil"/>
              <w:right w:val="nil"/>
            </w:tcBorders>
            <w:shd w:val="clear" w:color="auto" w:fill="auto"/>
            <w:noWrap/>
            <w:vAlign w:val="bottom"/>
            <w:hideMark/>
          </w:tcPr>
          <w:p w14:paraId="0EDE2FDA"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712" w:type="dxa"/>
            <w:tcBorders>
              <w:top w:val="nil"/>
              <w:left w:val="nil"/>
              <w:bottom w:val="nil"/>
              <w:right w:val="nil"/>
            </w:tcBorders>
            <w:shd w:val="clear" w:color="auto" w:fill="auto"/>
            <w:noWrap/>
            <w:vAlign w:val="bottom"/>
            <w:hideMark/>
          </w:tcPr>
          <w:p w14:paraId="7CDE8539"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712" w:type="dxa"/>
            <w:tcBorders>
              <w:top w:val="nil"/>
              <w:left w:val="nil"/>
              <w:bottom w:val="nil"/>
              <w:right w:val="nil"/>
            </w:tcBorders>
            <w:shd w:val="clear" w:color="auto" w:fill="auto"/>
            <w:noWrap/>
            <w:vAlign w:val="bottom"/>
            <w:hideMark/>
          </w:tcPr>
          <w:p w14:paraId="7FA9E366"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612" w:type="dxa"/>
            <w:tcBorders>
              <w:top w:val="nil"/>
              <w:left w:val="nil"/>
              <w:bottom w:val="nil"/>
              <w:right w:val="nil"/>
            </w:tcBorders>
            <w:shd w:val="clear" w:color="auto" w:fill="auto"/>
            <w:noWrap/>
            <w:vAlign w:val="bottom"/>
            <w:hideMark/>
          </w:tcPr>
          <w:p w14:paraId="3385BE76"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712" w:type="dxa"/>
            <w:tcBorders>
              <w:top w:val="nil"/>
              <w:left w:val="nil"/>
              <w:bottom w:val="nil"/>
              <w:right w:val="nil"/>
            </w:tcBorders>
            <w:shd w:val="clear" w:color="auto" w:fill="auto"/>
            <w:noWrap/>
            <w:vAlign w:val="bottom"/>
            <w:hideMark/>
          </w:tcPr>
          <w:p w14:paraId="2CE878D4"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672" w:type="dxa"/>
            <w:tcBorders>
              <w:top w:val="nil"/>
              <w:left w:val="nil"/>
              <w:bottom w:val="nil"/>
              <w:right w:val="nil"/>
            </w:tcBorders>
            <w:shd w:val="clear" w:color="auto" w:fill="auto"/>
            <w:noWrap/>
            <w:vAlign w:val="bottom"/>
            <w:hideMark/>
          </w:tcPr>
          <w:p w14:paraId="6D702D3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712" w:type="dxa"/>
            <w:tcBorders>
              <w:top w:val="nil"/>
              <w:left w:val="nil"/>
              <w:bottom w:val="nil"/>
              <w:right w:val="nil"/>
            </w:tcBorders>
            <w:shd w:val="clear" w:color="auto" w:fill="auto"/>
            <w:noWrap/>
            <w:vAlign w:val="bottom"/>
            <w:hideMark/>
          </w:tcPr>
          <w:p w14:paraId="038271EB"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c>
          <w:tcPr>
            <w:tcW w:w="831" w:type="dxa"/>
            <w:tcBorders>
              <w:top w:val="nil"/>
              <w:left w:val="nil"/>
              <w:bottom w:val="nil"/>
              <w:right w:val="nil"/>
            </w:tcBorders>
            <w:shd w:val="clear" w:color="auto" w:fill="auto"/>
            <w:noWrap/>
            <w:vAlign w:val="bottom"/>
            <w:hideMark/>
          </w:tcPr>
          <w:p w14:paraId="3E58F201"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$m</w:t>
            </w:r>
          </w:p>
        </w:tc>
      </w:tr>
      <w:tr w:rsidR="0072757B" w:rsidRPr="00006A2A" w14:paraId="145AE2C9" w14:textId="77777777" w:rsidTr="00BB2321">
        <w:trPr>
          <w:trHeight w:val="315"/>
        </w:trPr>
        <w:tc>
          <w:tcPr>
            <w:tcW w:w="2521" w:type="dxa"/>
            <w:tcBorders>
              <w:top w:val="nil"/>
              <w:left w:val="nil"/>
              <w:bottom w:val="nil"/>
              <w:right w:val="nil"/>
            </w:tcBorders>
            <w:shd w:val="clear" w:color="auto" w:fill="auto"/>
            <w:noWrap/>
            <w:vAlign w:val="bottom"/>
            <w:hideMark/>
          </w:tcPr>
          <w:p w14:paraId="071D17C9"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Schools</w:t>
            </w:r>
          </w:p>
        </w:tc>
        <w:tc>
          <w:tcPr>
            <w:tcW w:w="771" w:type="dxa"/>
            <w:tcBorders>
              <w:top w:val="nil"/>
              <w:left w:val="nil"/>
              <w:bottom w:val="nil"/>
              <w:right w:val="nil"/>
            </w:tcBorders>
            <w:shd w:val="clear" w:color="auto" w:fill="auto"/>
            <w:noWrap/>
            <w:vAlign w:val="bottom"/>
            <w:hideMark/>
          </w:tcPr>
          <w:p w14:paraId="02262B1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-248</w:t>
            </w:r>
          </w:p>
        </w:tc>
        <w:tc>
          <w:tcPr>
            <w:tcW w:w="771" w:type="dxa"/>
            <w:tcBorders>
              <w:top w:val="nil"/>
              <w:left w:val="nil"/>
              <w:bottom w:val="nil"/>
              <w:right w:val="nil"/>
            </w:tcBorders>
            <w:shd w:val="clear" w:color="auto" w:fill="auto"/>
            <w:noWrap/>
            <w:vAlign w:val="bottom"/>
            <w:hideMark/>
          </w:tcPr>
          <w:p w14:paraId="0D5036F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-164</w:t>
            </w:r>
          </w:p>
        </w:tc>
        <w:tc>
          <w:tcPr>
            <w:tcW w:w="712" w:type="dxa"/>
            <w:tcBorders>
              <w:top w:val="nil"/>
              <w:left w:val="nil"/>
              <w:bottom w:val="nil"/>
              <w:right w:val="nil"/>
            </w:tcBorders>
            <w:shd w:val="clear" w:color="auto" w:fill="auto"/>
            <w:noWrap/>
            <w:vAlign w:val="bottom"/>
            <w:hideMark/>
          </w:tcPr>
          <w:p w14:paraId="5958CC17"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102</w:t>
            </w:r>
          </w:p>
        </w:tc>
        <w:tc>
          <w:tcPr>
            <w:tcW w:w="712" w:type="dxa"/>
            <w:tcBorders>
              <w:top w:val="nil"/>
              <w:left w:val="nil"/>
              <w:bottom w:val="nil"/>
              <w:right w:val="nil"/>
            </w:tcBorders>
            <w:shd w:val="clear" w:color="auto" w:fill="auto"/>
            <w:noWrap/>
            <w:vAlign w:val="bottom"/>
            <w:hideMark/>
          </w:tcPr>
          <w:p w14:paraId="3E9A679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89</w:t>
            </w:r>
          </w:p>
        </w:tc>
        <w:tc>
          <w:tcPr>
            <w:tcW w:w="612" w:type="dxa"/>
            <w:tcBorders>
              <w:top w:val="nil"/>
              <w:left w:val="nil"/>
              <w:bottom w:val="nil"/>
              <w:right w:val="nil"/>
            </w:tcBorders>
            <w:shd w:val="clear" w:color="auto" w:fill="auto"/>
            <w:noWrap/>
            <w:vAlign w:val="bottom"/>
            <w:hideMark/>
          </w:tcPr>
          <w:p w14:paraId="4484BCD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48</w:t>
            </w:r>
          </w:p>
        </w:tc>
        <w:tc>
          <w:tcPr>
            <w:tcW w:w="712" w:type="dxa"/>
            <w:tcBorders>
              <w:top w:val="nil"/>
              <w:left w:val="nil"/>
              <w:bottom w:val="nil"/>
              <w:right w:val="nil"/>
            </w:tcBorders>
            <w:shd w:val="clear" w:color="auto" w:fill="auto"/>
            <w:noWrap/>
            <w:vAlign w:val="bottom"/>
            <w:hideMark/>
          </w:tcPr>
          <w:p w14:paraId="334E15D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56</w:t>
            </w:r>
          </w:p>
        </w:tc>
        <w:tc>
          <w:tcPr>
            <w:tcW w:w="672" w:type="dxa"/>
            <w:tcBorders>
              <w:top w:val="nil"/>
              <w:left w:val="nil"/>
              <w:bottom w:val="nil"/>
              <w:right w:val="nil"/>
            </w:tcBorders>
            <w:shd w:val="clear" w:color="auto" w:fill="auto"/>
            <w:noWrap/>
            <w:vAlign w:val="bottom"/>
            <w:hideMark/>
          </w:tcPr>
          <w:p w14:paraId="55A7E13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-28</w:t>
            </w:r>
          </w:p>
        </w:tc>
        <w:tc>
          <w:tcPr>
            <w:tcW w:w="712" w:type="dxa"/>
            <w:tcBorders>
              <w:top w:val="nil"/>
              <w:left w:val="nil"/>
              <w:bottom w:val="nil"/>
              <w:right w:val="nil"/>
            </w:tcBorders>
            <w:shd w:val="clear" w:color="auto" w:fill="auto"/>
            <w:noWrap/>
            <w:vAlign w:val="bottom"/>
            <w:hideMark/>
          </w:tcPr>
          <w:p w14:paraId="2478099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145</w:t>
            </w:r>
          </w:p>
        </w:tc>
        <w:tc>
          <w:tcPr>
            <w:tcW w:w="831" w:type="dxa"/>
            <w:tcBorders>
              <w:top w:val="nil"/>
              <w:left w:val="nil"/>
              <w:bottom w:val="nil"/>
              <w:right w:val="nil"/>
            </w:tcBorders>
            <w:shd w:val="clear" w:color="auto" w:fill="auto"/>
            <w:noWrap/>
            <w:vAlign w:val="bottom"/>
            <w:hideMark/>
          </w:tcPr>
          <w:p w14:paraId="2C13F2E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440</w:t>
            </w:r>
          </w:p>
        </w:tc>
      </w:tr>
      <w:tr w:rsidR="0072757B" w:rsidRPr="00006A2A" w14:paraId="4FBADF6E" w14:textId="77777777" w:rsidTr="00BB2321">
        <w:trPr>
          <w:trHeight w:val="315"/>
        </w:trPr>
        <w:tc>
          <w:tcPr>
            <w:tcW w:w="2521" w:type="dxa"/>
            <w:tcBorders>
              <w:top w:val="nil"/>
              <w:left w:val="nil"/>
              <w:bottom w:val="nil"/>
              <w:right w:val="nil"/>
            </w:tcBorders>
            <w:shd w:val="clear" w:color="auto" w:fill="auto"/>
            <w:noWrap/>
            <w:vAlign w:val="bottom"/>
            <w:hideMark/>
          </w:tcPr>
          <w:p w14:paraId="7DBB0272"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Health</w:t>
            </w:r>
            <w:r>
              <w:rPr>
                <w:rFonts w:ascii="Calibri" w:eastAsia="Times New Roman" w:hAnsi="Calibri" w:cs="Times New Roman"/>
                <w:sz w:val="20"/>
                <w:szCs w:val="20"/>
                <w:lang w:eastAsia="en-AU"/>
              </w:rPr>
              <w:t xml:space="preserve"> (non-admitted)</w:t>
            </w:r>
          </w:p>
        </w:tc>
        <w:tc>
          <w:tcPr>
            <w:tcW w:w="771" w:type="dxa"/>
            <w:tcBorders>
              <w:top w:val="nil"/>
              <w:left w:val="nil"/>
              <w:bottom w:val="nil"/>
              <w:right w:val="nil"/>
            </w:tcBorders>
            <w:shd w:val="clear" w:color="auto" w:fill="auto"/>
            <w:noWrap/>
            <w:vAlign w:val="bottom"/>
            <w:hideMark/>
          </w:tcPr>
          <w:p w14:paraId="0A59CFE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-17</w:t>
            </w:r>
          </w:p>
        </w:tc>
        <w:tc>
          <w:tcPr>
            <w:tcW w:w="771" w:type="dxa"/>
            <w:tcBorders>
              <w:top w:val="nil"/>
              <w:left w:val="nil"/>
              <w:bottom w:val="nil"/>
              <w:right w:val="nil"/>
            </w:tcBorders>
            <w:shd w:val="clear" w:color="auto" w:fill="auto"/>
            <w:noWrap/>
            <w:vAlign w:val="bottom"/>
            <w:hideMark/>
          </w:tcPr>
          <w:p w14:paraId="328A31A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-20</w:t>
            </w:r>
          </w:p>
        </w:tc>
        <w:tc>
          <w:tcPr>
            <w:tcW w:w="712" w:type="dxa"/>
            <w:tcBorders>
              <w:top w:val="nil"/>
              <w:left w:val="nil"/>
              <w:bottom w:val="nil"/>
              <w:right w:val="nil"/>
            </w:tcBorders>
            <w:shd w:val="clear" w:color="auto" w:fill="auto"/>
            <w:noWrap/>
            <w:vAlign w:val="bottom"/>
            <w:hideMark/>
          </w:tcPr>
          <w:p w14:paraId="7A9EBD5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13</w:t>
            </w:r>
          </w:p>
        </w:tc>
        <w:tc>
          <w:tcPr>
            <w:tcW w:w="712" w:type="dxa"/>
            <w:tcBorders>
              <w:top w:val="nil"/>
              <w:left w:val="nil"/>
              <w:bottom w:val="nil"/>
              <w:right w:val="nil"/>
            </w:tcBorders>
            <w:shd w:val="clear" w:color="auto" w:fill="auto"/>
            <w:noWrap/>
            <w:vAlign w:val="bottom"/>
            <w:hideMark/>
          </w:tcPr>
          <w:p w14:paraId="36D3646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612" w:type="dxa"/>
            <w:tcBorders>
              <w:top w:val="nil"/>
              <w:left w:val="nil"/>
              <w:bottom w:val="nil"/>
              <w:right w:val="nil"/>
            </w:tcBorders>
            <w:shd w:val="clear" w:color="auto" w:fill="auto"/>
            <w:noWrap/>
            <w:vAlign w:val="bottom"/>
            <w:hideMark/>
          </w:tcPr>
          <w:p w14:paraId="66BF0E7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4A99F52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672" w:type="dxa"/>
            <w:tcBorders>
              <w:top w:val="nil"/>
              <w:left w:val="nil"/>
              <w:bottom w:val="nil"/>
              <w:right w:val="nil"/>
            </w:tcBorders>
            <w:shd w:val="clear" w:color="auto" w:fill="auto"/>
            <w:noWrap/>
            <w:vAlign w:val="bottom"/>
            <w:hideMark/>
          </w:tcPr>
          <w:p w14:paraId="0F5E5C1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nil"/>
              <w:right w:val="nil"/>
            </w:tcBorders>
            <w:shd w:val="clear" w:color="auto" w:fill="auto"/>
            <w:noWrap/>
            <w:vAlign w:val="bottom"/>
            <w:hideMark/>
          </w:tcPr>
          <w:p w14:paraId="31FFBB6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12</w:t>
            </w:r>
          </w:p>
        </w:tc>
        <w:tc>
          <w:tcPr>
            <w:tcW w:w="831" w:type="dxa"/>
            <w:tcBorders>
              <w:top w:val="nil"/>
              <w:left w:val="nil"/>
              <w:bottom w:val="nil"/>
              <w:right w:val="nil"/>
            </w:tcBorders>
            <w:shd w:val="clear" w:color="auto" w:fill="auto"/>
            <w:noWrap/>
            <w:vAlign w:val="bottom"/>
            <w:hideMark/>
          </w:tcPr>
          <w:p w14:paraId="3AC5C247"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40</w:t>
            </w:r>
          </w:p>
        </w:tc>
      </w:tr>
      <w:tr w:rsidR="0072757B" w:rsidRPr="00006A2A" w14:paraId="457D2A49" w14:textId="77777777" w:rsidTr="00BB2321">
        <w:trPr>
          <w:trHeight w:val="315"/>
        </w:trPr>
        <w:tc>
          <w:tcPr>
            <w:tcW w:w="2521" w:type="dxa"/>
            <w:tcBorders>
              <w:top w:val="nil"/>
              <w:left w:val="nil"/>
              <w:bottom w:val="nil"/>
              <w:right w:val="nil"/>
            </w:tcBorders>
            <w:shd w:val="clear" w:color="auto" w:fill="auto"/>
            <w:noWrap/>
            <w:vAlign w:val="bottom"/>
            <w:hideMark/>
          </w:tcPr>
          <w:p w14:paraId="4F1A5D4C"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Housing</w:t>
            </w:r>
          </w:p>
        </w:tc>
        <w:tc>
          <w:tcPr>
            <w:tcW w:w="771" w:type="dxa"/>
            <w:tcBorders>
              <w:top w:val="nil"/>
              <w:left w:val="nil"/>
              <w:bottom w:val="nil"/>
              <w:right w:val="nil"/>
            </w:tcBorders>
            <w:shd w:val="clear" w:color="auto" w:fill="auto"/>
            <w:noWrap/>
            <w:vAlign w:val="bottom"/>
            <w:hideMark/>
          </w:tcPr>
          <w:p w14:paraId="4179FA6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-19</w:t>
            </w:r>
          </w:p>
        </w:tc>
        <w:tc>
          <w:tcPr>
            <w:tcW w:w="771" w:type="dxa"/>
            <w:tcBorders>
              <w:top w:val="nil"/>
              <w:left w:val="nil"/>
              <w:bottom w:val="nil"/>
              <w:right w:val="nil"/>
            </w:tcBorders>
            <w:shd w:val="clear" w:color="auto" w:fill="auto"/>
            <w:noWrap/>
            <w:vAlign w:val="bottom"/>
            <w:hideMark/>
          </w:tcPr>
          <w:p w14:paraId="7F87704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-22</w:t>
            </w:r>
          </w:p>
        </w:tc>
        <w:tc>
          <w:tcPr>
            <w:tcW w:w="712" w:type="dxa"/>
            <w:tcBorders>
              <w:top w:val="nil"/>
              <w:left w:val="nil"/>
              <w:bottom w:val="nil"/>
              <w:right w:val="nil"/>
            </w:tcBorders>
            <w:shd w:val="clear" w:color="auto" w:fill="auto"/>
            <w:noWrap/>
            <w:vAlign w:val="bottom"/>
            <w:hideMark/>
          </w:tcPr>
          <w:p w14:paraId="09EAEBC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w:t>
            </w:r>
          </w:p>
        </w:tc>
        <w:tc>
          <w:tcPr>
            <w:tcW w:w="712" w:type="dxa"/>
            <w:tcBorders>
              <w:top w:val="nil"/>
              <w:left w:val="nil"/>
              <w:bottom w:val="nil"/>
              <w:right w:val="nil"/>
            </w:tcBorders>
            <w:shd w:val="clear" w:color="auto" w:fill="auto"/>
            <w:noWrap/>
            <w:vAlign w:val="bottom"/>
            <w:hideMark/>
          </w:tcPr>
          <w:p w14:paraId="1463C33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612" w:type="dxa"/>
            <w:tcBorders>
              <w:top w:val="nil"/>
              <w:left w:val="nil"/>
              <w:bottom w:val="nil"/>
              <w:right w:val="nil"/>
            </w:tcBorders>
            <w:shd w:val="clear" w:color="auto" w:fill="auto"/>
            <w:noWrap/>
            <w:vAlign w:val="bottom"/>
            <w:hideMark/>
          </w:tcPr>
          <w:p w14:paraId="5244652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24EA4D8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672" w:type="dxa"/>
            <w:tcBorders>
              <w:top w:val="nil"/>
              <w:left w:val="nil"/>
              <w:bottom w:val="nil"/>
              <w:right w:val="nil"/>
            </w:tcBorders>
            <w:shd w:val="clear" w:color="auto" w:fill="auto"/>
            <w:noWrap/>
            <w:vAlign w:val="bottom"/>
            <w:hideMark/>
          </w:tcPr>
          <w:p w14:paraId="4BAD409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5094713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13</w:t>
            </w:r>
          </w:p>
        </w:tc>
        <w:tc>
          <w:tcPr>
            <w:tcW w:w="831" w:type="dxa"/>
            <w:tcBorders>
              <w:top w:val="nil"/>
              <w:left w:val="nil"/>
              <w:bottom w:val="nil"/>
              <w:right w:val="nil"/>
            </w:tcBorders>
            <w:shd w:val="clear" w:color="auto" w:fill="auto"/>
            <w:noWrap/>
            <w:vAlign w:val="bottom"/>
            <w:hideMark/>
          </w:tcPr>
          <w:p w14:paraId="69C8554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44</w:t>
            </w:r>
          </w:p>
        </w:tc>
      </w:tr>
      <w:tr w:rsidR="0072757B" w:rsidRPr="00006A2A" w14:paraId="5F27A935" w14:textId="77777777" w:rsidTr="00BB2321">
        <w:trPr>
          <w:trHeight w:val="315"/>
        </w:trPr>
        <w:tc>
          <w:tcPr>
            <w:tcW w:w="2521" w:type="dxa"/>
            <w:tcBorders>
              <w:top w:val="nil"/>
              <w:left w:val="nil"/>
              <w:bottom w:val="nil"/>
              <w:right w:val="nil"/>
            </w:tcBorders>
            <w:shd w:val="clear" w:color="auto" w:fill="auto"/>
            <w:noWrap/>
            <w:vAlign w:val="bottom"/>
            <w:hideMark/>
          </w:tcPr>
          <w:p w14:paraId="6DCC1F03"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Welfare</w:t>
            </w:r>
          </w:p>
        </w:tc>
        <w:tc>
          <w:tcPr>
            <w:tcW w:w="771" w:type="dxa"/>
            <w:tcBorders>
              <w:top w:val="nil"/>
              <w:left w:val="nil"/>
              <w:bottom w:val="nil"/>
              <w:right w:val="nil"/>
            </w:tcBorders>
            <w:shd w:val="clear" w:color="auto" w:fill="auto"/>
            <w:noWrap/>
            <w:vAlign w:val="bottom"/>
            <w:hideMark/>
          </w:tcPr>
          <w:p w14:paraId="4ACEB6E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-27</w:t>
            </w:r>
          </w:p>
        </w:tc>
        <w:tc>
          <w:tcPr>
            <w:tcW w:w="771" w:type="dxa"/>
            <w:tcBorders>
              <w:top w:val="nil"/>
              <w:left w:val="nil"/>
              <w:bottom w:val="nil"/>
              <w:right w:val="nil"/>
            </w:tcBorders>
            <w:shd w:val="clear" w:color="auto" w:fill="auto"/>
            <w:noWrap/>
            <w:vAlign w:val="bottom"/>
            <w:hideMark/>
          </w:tcPr>
          <w:p w14:paraId="774B2BF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-30</w:t>
            </w:r>
          </w:p>
        </w:tc>
        <w:tc>
          <w:tcPr>
            <w:tcW w:w="712" w:type="dxa"/>
            <w:tcBorders>
              <w:top w:val="nil"/>
              <w:left w:val="nil"/>
              <w:bottom w:val="nil"/>
              <w:right w:val="nil"/>
            </w:tcBorders>
            <w:shd w:val="clear" w:color="auto" w:fill="auto"/>
            <w:noWrap/>
            <w:vAlign w:val="bottom"/>
            <w:hideMark/>
          </w:tcPr>
          <w:p w14:paraId="19E23BC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20</w:t>
            </w:r>
          </w:p>
        </w:tc>
        <w:tc>
          <w:tcPr>
            <w:tcW w:w="712" w:type="dxa"/>
            <w:tcBorders>
              <w:top w:val="nil"/>
              <w:left w:val="nil"/>
              <w:bottom w:val="nil"/>
              <w:right w:val="nil"/>
            </w:tcBorders>
            <w:shd w:val="clear" w:color="auto" w:fill="auto"/>
            <w:noWrap/>
            <w:vAlign w:val="bottom"/>
            <w:hideMark/>
          </w:tcPr>
          <w:p w14:paraId="171B4EB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w:t>
            </w:r>
          </w:p>
        </w:tc>
        <w:tc>
          <w:tcPr>
            <w:tcW w:w="612" w:type="dxa"/>
            <w:tcBorders>
              <w:top w:val="nil"/>
              <w:left w:val="nil"/>
              <w:bottom w:val="nil"/>
              <w:right w:val="nil"/>
            </w:tcBorders>
            <w:shd w:val="clear" w:color="auto" w:fill="auto"/>
            <w:noWrap/>
            <w:vAlign w:val="bottom"/>
            <w:hideMark/>
          </w:tcPr>
          <w:p w14:paraId="0DA819D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712" w:type="dxa"/>
            <w:tcBorders>
              <w:top w:val="nil"/>
              <w:left w:val="nil"/>
              <w:bottom w:val="nil"/>
              <w:right w:val="nil"/>
            </w:tcBorders>
            <w:shd w:val="clear" w:color="auto" w:fill="auto"/>
            <w:noWrap/>
            <w:vAlign w:val="bottom"/>
            <w:hideMark/>
          </w:tcPr>
          <w:p w14:paraId="04F38ED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w:t>
            </w:r>
          </w:p>
        </w:tc>
        <w:tc>
          <w:tcPr>
            <w:tcW w:w="672" w:type="dxa"/>
            <w:tcBorders>
              <w:top w:val="nil"/>
              <w:left w:val="nil"/>
              <w:bottom w:val="nil"/>
              <w:right w:val="nil"/>
            </w:tcBorders>
            <w:shd w:val="clear" w:color="auto" w:fill="auto"/>
            <w:noWrap/>
            <w:vAlign w:val="bottom"/>
            <w:hideMark/>
          </w:tcPr>
          <w:p w14:paraId="0EBBAA1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712" w:type="dxa"/>
            <w:tcBorders>
              <w:top w:val="nil"/>
              <w:left w:val="nil"/>
              <w:bottom w:val="nil"/>
              <w:right w:val="nil"/>
            </w:tcBorders>
            <w:shd w:val="clear" w:color="auto" w:fill="auto"/>
            <w:noWrap/>
            <w:vAlign w:val="bottom"/>
            <w:hideMark/>
          </w:tcPr>
          <w:p w14:paraId="507A1CD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18</w:t>
            </w:r>
          </w:p>
        </w:tc>
        <w:tc>
          <w:tcPr>
            <w:tcW w:w="831" w:type="dxa"/>
            <w:tcBorders>
              <w:top w:val="nil"/>
              <w:left w:val="nil"/>
              <w:bottom w:val="nil"/>
              <w:right w:val="nil"/>
            </w:tcBorders>
            <w:shd w:val="clear" w:color="auto" w:fill="auto"/>
            <w:noWrap/>
            <w:vAlign w:val="bottom"/>
            <w:hideMark/>
          </w:tcPr>
          <w:p w14:paraId="77B112B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61</w:t>
            </w:r>
          </w:p>
        </w:tc>
      </w:tr>
      <w:tr w:rsidR="0072757B" w:rsidRPr="00006A2A" w14:paraId="7C9E1CD7" w14:textId="77777777" w:rsidTr="00BB2321">
        <w:trPr>
          <w:trHeight w:val="315"/>
        </w:trPr>
        <w:tc>
          <w:tcPr>
            <w:tcW w:w="2521" w:type="dxa"/>
            <w:tcBorders>
              <w:top w:val="nil"/>
              <w:left w:val="nil"/>
              <w:bottom w:val="nil"/>
              <w:right w:val="nil"/>
            </w:tcBorders>
            <w:shd w:val="clear" w:color="auto" w:fill="auto"/>
            <w:vAlign w:val="bottom"/>
            <w:hideMark/>
          </w:tcPr>
          <w:p w14:paraId="0F932F0C"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Services to communities</w:t>
            </w:r>
          </w:p>
        </w:tc>
        <w:tc>
          <w:tcPr>
            <w:tcW w:w="771" w:type="dxa"/>
            <w:tcBorders>
              <w:top w:val="nil"/>
              <w:left w:val="nil"/>
              <w:bottom w:val="nil"/>
              <w:right w:val="nil"/>
            </w:tcBorders>
            <w:shd w:val="clear" w:color="auto" w:fill="auto"/>
            <w:vAlign w:val="bottom"/>
            <w:hideMark/>
          </w:tcPr>
          <w:p w14:paraId="1C809C3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-23</w:t>
            </w:r>
          </w:p>
        </w:tc>
        <w:tc>
          <w:tcPr>
            <w:tcW w:w="771" w:type="dxa"/>
            <w:tcBorders>
              <w:top w:val="nil"/>
              <w:left w:val="nil"/>
              <w:bottom w:val="nil"/>
              <w:right w:val="nil"/>
            </w:tcBorders>
            <w:shd w:val="clear" w:color="auto" w:fill="auto"/>
            <w:vAlign w:val="bottom"/>
            <w:hideMark/>
          </w:tcPr>
          <w:p w14:paraId="0CF53D4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-26</w:t>
            </w:r>
          </w:p>
        </w:tc>
        <w:tc>
          <w:tcPr>
            <w:tcW w:w="712" w:type="dxa"/>
            <w:tcBorders>
              <w:top w:val="nil"/>
              <w:left w:val="nil"/>
              <w:bottom w:val="nil"/>
              <w:right w:val="nil"/>
            </w:tcBorders>
            <w:shd w:val="clear" w:color="auto" w:fill="auto"/>
            <w:vAlign w:val="bottom"/>
            <w:hideMark/>
          </w:tcPr>
          <w:p w14:paraId="373B893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23</w:t>
            </w:r>
          </w:p>
        </w:tc>
        <w:tc>
          <w:tcPr>
            <w:tcW w:w="712" w:type="dxa"/>
            <w:tcBorders>
              <w:top w:val="nil"/>
              <w:left w:val="nil"/>
              <w:bottom w:val="nil"/>
              <w:right w:val="nil"/>
            </w:tcBorders>
            <w:shd w:val="clear" w:color="auto" w:fill="auto"/>
            <w:vAlign w:val="bottom"/>
            <w:hideMark/>
          </w:tcPr>
          <w:p w14:paraId="020C732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17</w:t>
            </w:r>
          </w:p>
        </w:tc>
        <w:tc>
          <w:tcPr>
            <w:tcW w:w="612" w:type="dxa"/>
            <w:tcBorders>
              <w:top w:val="nil"/>
              <w:left w:val="nil"/>
              <w:bottom w:val="nil"/>
              <w:right w:val="nil"/>
            </w:tcBorders>
            <w:shd w:val="clear" w:color="auto" w:fill="auto"/>
            <w:vAlign w:val="bottom"/>
            <w:hideMark/>
          </w:tcPr>
          <w:p w14:paraId="32A9728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vAlign w:val="bottom"/>
            <w:hideMark/>
          </w:tcPr>
          <w:p w14:paraId="299BB86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672" w:type="dxa"/>
            <w:tcBorders>
              <w:top w:val="nil"/>
              <w:left w:val="nil"/>
              <w:bottom w:val="nil"/>
              <w:right w:val="nil"/>
            </w:tcBorders>
            <w:shd w:val="clear" w:color="auto" w:fill="auto"/>
            <w:vAlign w:val="bottom"/>
            <w:hideMark/>
          </w:tcPr>
          <w:p w14:paraId="55FF297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nil"/>
              <w:right w:val="nil"/>
            </w:tcBorders>
            <w:shd w:val="clear" w:color="auto" w:fill="auto"/>
            <w:vAlign w:val="bottom"/>
            <w:hideMark/>
          </w:tcPr>
          <w:p w14:paraId="38E62AA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w:t>
            </w:r>
          </w:p>
        </w:tc>
        <w:tc>
          <w:tcPr>
            <w:tcW w:w="831" w:type="dxa"/>
            <w:tcBorders>
              <w:top w:val="nil"/>
              <w:left w:val="nil"/>
              <w:bottom w:val="nil"/>
              <w:right w:val="nil"/>
            </w:tcBorders>
            <w:shd w:val="clear" w:color="auto" w:fill="auto"/>
            <w:vAlign w:val="bottom"/>
            <w:hideMark/>
          </w:tcPr>
          <w:p w14:paraId="70FEDE2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51</w:t>
            </w:r>
          </w:p>
        </w:tc>
      </w:tr>
      <w:tr w:rsidR="0072757B" w:rsidRPr="00006A2A" w14:paraId="2DDA8E5B" w14:textId="77777777" w:rsidTr="00BB2321">
        <w:trPr>
          <w:trHeight w:val="315"/>
        </w:trPr>
        <w:tc>
          <w:tcPr>
            <w:tcW w:w="2521" w:type="dxa"/>
            <w:tcBorders>
              <w:top w:val="nil"/>
              <w:left w:val="nil"/>
              <w:bottom w:val="nil"/>
              <w:right w:val="nil"/>
            </w:tcBorders>
            <w:shd w:val="clear" w:color="auto" w:fill="auto"/>
            <w:noWrap/>
            <w:vAlign w:val="bottom"/>
            <w:hideMark/>
          </w:tcPr>
          <w:p w14:paraId="58C562CF"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Justice</w:t>
            </w:r>
          </w:p>
        </w:tc>
        <w:tc>
          <w:tcPr>
            <w:tcW w:w="771" w:type="dxa"/>
            <w:tcBorders>
              <w:top w:val="nil"/>
              <w:left w:val="nil"/>
              <w:bottom w:val="nil"/>
              <w:right w:val="nil"/>
            </w:tcBorders>
            <w:shd w:val="clear" w:color="auto" w:fill="auto"/>
            <w:noWrap/>
            <w:vAlign w:val="bottom"/>
            <w:hideMark/>
          </w:tcPr>
          <w:p w14:paraId="276C7F0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-95</w:t>
            </w:r>
          </w:p>
        </w:tc>
        <w:tc>
          <w:tcPr>
            <w:tcW w:w="771" w:type="dxa"/>
            <w:tcBorders>
              <w:top w:val="nil"/>
              <w:left w:val="nil"/>
              <w:bottom w:val="nil"/>
              <w:right w:val="nil"/>
            </w:tcBorders>
            <w:shd w:val="clear" w:color="auto" w:fill="auto"/>
            <w:noWrap/>
            <w:vAlign w:val="bottom"/>
            <w:hideMark/>
          </w:tcPr>
          <w:p w14:paraId="08523BF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-109</w:t>
            </w:r>
          </w:p>
        </w:tc>
        <w:tc>
          <w:tcPr>
            <w:tcW w:w="712" w:type="dxa"/>
            <w:tcBorders>
              <w:top w:val="nil"/>
              <w:left w:val="nil"/>
              <w:bottom w:val="nil"/>
              <w:right w:val="nil"/>
            </w:tcBorders>
            <w:shd w:val="clear" w:color="auto" w:fill="auto"/>
            <w:noWrap/>
            <w:vAlign w:val="bottom"/>
            <w:hideMark/>
          </w:tcPr>
          <w:p w14:paraId="55D30EF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79</w:t>
            </w:r>
          </w:p>
        </w:tc>
        <w:tc>
          <w:tcPr>
            <w:tcW w:w="712" w:type="dxa"/>
            <w:tcBorders>
              <w:top w:val="nil"/>
              <w:left w:val="nil"/>
              <w:bottom w:val="nil"/>
              <w:right w:val="nil"/>
            </w:tcBorders>
            <w:shd w:val="clear" w:color="auto" w:fill="auto"/>
            <w:noWrap/>
            <w:vAlign w:val="bottom"/>
            <w:hideMark/>
          </w:tcPr>
          <w:p w14:paraId="1CF2790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41</w:t>
            </w:r>
          </w:p>
        </w:tc>
        <w:tc>
          <w:tcPr>
            <w:tcW w:w="612" w:type="dxa"/>
            <w:tcBorders>
              <w:top w:val="nil"/>
              <w:left w:val="nil"/>
              <w:bottom w:val="nil"/>
              <w:right w:val="nil"/>
            </w:tcBorders>
            <w:shd w:val="clear" w:color="auto" w:fill="auto"/>
            <w:noWrap/>
            <w:vAlign w:val="bottom"/>
            <w:hideMark/>
          </w:tcPr>
          <w:p w14:paraId="1D19736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w:t>
            </w:r>
          </w:p>
        </w:tc>
        <w:tc>
          <w:tcPr>
            <w:tcW w:w="712" w:type="dxa"/>
            <w:tcBorders>
              <w:top w:val="nil"/>
              <w:left w:val="nil"/>
              <w:bottom w:val="nil"/>
              <w:right w:val="nil"/>
            </w:tcBorders>
            <w:shd w:val="clear" w:color="auto" w:fill="auto"/>
            <w:noWrap/>
            <w:vAlign w:val="bottom"/>
            <w:hideMark/>
          </w:tcPr>
          <w:p w14:paraId="746C43C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31</w:t>
            </w:r>
          </w:p>
        </w:tc>
        <w:tc>
          <w:tcPr>
            <w:tcW w:w="672" w:type="dxa"/>
            <w:tcBorders>
              <w:top w:val="nil"/>
              <w:left w:val="nil"/>
              <w:bottom w:val="nil"/>
              <w:right w:val="nil"/>
            </w:tcBorders>
            <w:shd w:val="clear" w:color="auto" w:fill="auto"/>
            <w:noWrap/>
            <w:vAlign w:val="bottom"/>
            <w:hideMark/>
          </w:tcPr>
          <w:p w14:paraId="7871069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w:t>
            </w:r>
          </w:p>
        </w:tc>
        <w:tc>
          <w:tcPr>
            <w:tcW w:w="712" w:type="dxa"/>
            <w:tcBorders>
              <w:top w:val="nil"/>
              <w:left w:val="nil"/>
              <w:bottom w:val="nil"/>
              <w:right w:val="nil"/>
            </w:tcBorders>
            <w:shd w:val="clear" w:color="auto" w:fill="auto"/>
            <w:noWrap/>
            <w:vAlign w:val="bottom"/>
            <w:hideMark/>
          </w:tcPr>
          <w:p w14:paraId="23163B27"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54</w:t>
            </w:r>
          </w:p>
        </w:tc>
        <w:tc>
          <w:tcPr>
            <w:tcW w:w="831" w:type="dxa"/>
            <w:tcBorders>
              <w:top w:val="nil"/>
              <w:left w:val="nil"/>
              <w:bottom w:val="nil"/>
              <w:right w:val="nil"/>
            </w:tcBorders>
            <w:shd w:val="clear" w:color="auto" w:fill="auto"/>
            <w:noWrap/>
            <w:vAlign w:val="bottom"/>
            <w:hideMark/>
          </w:tcPr>
          <w:p w14:paraId="26E8037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218</w:t>
            </w:r>
          </w:p>
        </w:tc>
      </w:tr>
      <w:tr w:rsidR="0072757B" w:rsidRPr="00006A2A" w14:paraId="28DA94FA" w14:textId="77777777" w:rsidTr="00BB2321">
        <w:trPr>
          <w:trHeight w:val="315"/>
        </w:trPr>
        <w:tc>
          <w:tcPr>
            <w:tcW w:w="2521" w:type="dxa"/>
            <w:tcBorders>
              <w:top w:val="nil"/>
              <w:left w:val="nil"/>
              <w:bottom w:val="nil"/>
              <w:right w:val="nil"/>
            </w:tcBorders>
            <w:shd w:val="clear" w:color="auto" w:fill="auto"/>
            <w:noWrap/>
            <w:vAlign w:val="bottom"/>
            <w:hideMark/>
          </w:tcPr>
          <w:p w14:paraId="3493F886"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Roads</w:t>
            </w:r>
          </w:p>
        </w:tc>
        <w:tc>
          <w:tcPr>
            <w:tcW w:w="771" w:type="dxa"/>
            <w:tcBorders>
              <w:top w:val="nil"/>
              <w:left w:val="nil"/>
              <w:bottom w:val="nil"/>
              <w:right w:val="nil"/>
            </w:tcBorders>
            <w:shd w:val="clear" w:color="auto" w:fill="auto"/>
            <w:noWrap/>
            <w:vAlign w:val="bottom"/>
            <w:hideMark/>
          </w:tcPr>
          <w:p w14:paraId="2BB200C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771" w:type="dxa"/>
            <w:tcBorders>
              <w:top w:val="nil"/>
              <w:left w:val="nil"/>
              <w:bottom w:val="nil"/>
              <w:right w:val="nil"/>
            </w:tcBorders>
            <w:shd w:val="clear" w:color="auto" w:fill="auto"/>
            <w:noWrap/>
            <w:vAlign w:val="bottom"/>
            <w:hideMark/>
          </w:tcPr>
          <w:p w14:paraId="66D397F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-15</w:t>
            </w:r>
          </w:p>
        </w:tc>
        <w:tc>
          <w:tcPr>
            <w:tcW w:w="712" w:type="dxa"/>
            <w:tcBorders>
              <w:top w:val="nil"/>
              <w:left w:val="nil"/>
              <w:bottom w:val="nil"/>
              <w:right w:val="nil"/>
            </w:tcBorders>
            <w:shd w:val="clear" w:color="auto" w:fill="auto"/>
            <w:noWrap/>
            <w:vAlign w:val="bottom"/>
            <w:hideMark/>
          </w:tcPr>
          <w:p w14:paraId="5E7902B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11</w:t>
            </w:r>
          </w:p>
        </w:tc>
        <w:tc>
          <w:tcPr>
            <w:tcW w:w="712" w:type="dxa"/>
            <w:tcBorders>
              <w:top w:val="nil"/>
              <w:left w:val="nil"/>
              <w:bottom w:val="nil"/>
              <w:right w:val="nil"/>
            </w:tcBorders>
            <w:shd w:val="clear" w:color="auto" w:fill="auto"/>
            <w:noWrap/>
            <w:vAlign w:val="bottom"/>
            <w:hideMark/>
          </w:tcPr>
          <w:p w14:paraId="636A249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w:t>
            </w:r>
          </w:p>
        </w:tc>
        <w:tc>
          <w:tcPr>
            <w:tcW w:w="612" w:type="dxa"/>
            <w:tcBorders>
              <w:top w:val="nil"/>
              <w:left w:val="nil"/>
              <w:bottom w:val="nil"/>
              <w:right w:val="nil"/>
            </w:tcBorders>
            <w:shd w:val="clear" w:color="auto" w:fill="auto"/>
            <w:noWrap/>
            <w:vAlign w:val="bottom"/>
            <w:hideMark/>
          </w:tcPr>
          <w:p w14:paraId="7A0A5CD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nil"/>
              <w:right w:val="nil"/>
            </w:tcBorders>
            <w:shd w:val="clear" w:color="auto" w:fill="auto"/>
            <w:noWrap/>
            <w:vAlign w:val="bottom"/>
            <w:hideMark/>
          </w:tcPr>
          <w:p w14:paraId="7A998A5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672" w:type="dxa"/>
            <w:tcBorders>
              <w:top w:val="nil"/>
              <w:left w:val="nil"/>
              <w:bottom w:val="nil"/>
              <w:right w:val="nil"/>
            </w:tcBorders>
            <w:shd w:val="clear" w:color="auto" w:fill="auto"/>
            <w:noWrap/>
            <w:vAlign w:val="bottom"/>
            <w:hideMark/>
          </w:tcPr>
          <w:p w14:paraId="6F5CEF6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5B599E2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831" w:type="dxa"/>
            <w:tcBorders>
              <w:top w:val="nil"/>
              <w:left w:val="nil"/>
              <w:bottom w:val="nil"/>
              <w:right w:val="nil"/>
            </w:tcBorders>
            <w:shd w:val="clear" w:color="auto" w:fill="auto"/>
            <w:noWrap/>
            <w:vAlign w:val="bottom"/>
            <w:hideMark/>
          </w:tcPr>
          <w:p w14:paraId="1816417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23</w:t>
            </w:r>
          </w:p>
        </w:tc>
      </w:tr>
      <w:tr w:rsidR="0072757B" w:rsidRPr="00006A2A" w14:paraId="09D30865" w14:textId="77777777" w:rsidTr="00BB2321">
        <w:trPr>
          <w:trHeight w:val="315"/>
        </w:trPr>
        <w:tc>
          <w:tcPr>
            <w:tcW w:w="2521" w:type="dxa"/>
            <w:tcBorders>
              <w:top w:val="nil"/>
              <w:left w:val="nil"/>
              <w:bottom w:val="nil"/>
              <w:right w:val="nil"/>
            </w:tcBorders>
            <w:shd w:val="clear" w:color="auto" w:fill="auto"/>
            <w:noWrap/>
            <w:vAlign w:val="bottom"/>
            <w:hideMark/>
          </w:tcPr>
          <w:p w14:paraId="64920260"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Transport</w:t>
            </w:r>
          </w:p>
        </w:tc>
        <w:tc>
          <w:tcPr>
            <w:tcW w:w="771" w:type="dxa"/>
            <w:tcBorders>
              <w:top w:val="nil"/>
              <w:left w:val="nil"/>
              <w:bottom w:val="nil"/>
              <w:right w:val="nil"/>
            </w:tcBorders>
            <w:shd w:val="clear" w:color="auto" w:fill="auto"/>
            <w:noWrap/>
            <w:vAlign w:val="bottom"/>
            <w:hideMark/>
          </w:tcPr>
          <w:p w14:paraId="5072089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w:t>
            </w:r>
          </w:p>
        </w:tc>
        <w:tc>
          <w:tcPr>
            <w:tcW w:w="771" w:type="dxa"/>
            <w:tcBorders>
              <w:top w:val="nil"/>
              <w:left w:val="nil"/>
              <w:bottom w:val="nil"/>
              <w:right w:val="nil"/>
            </w:tcBorders>
            <w:shd w:val="clear" w:color="auto" w:fill="auto"/>
            <w:noWrap/>
            <w:vAlign w:val="bottom"/>
            <w:hideMark/>
          </w:tcPr>
          <w:p w14:paraId="41C19D3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w:t>
            </w:r>
          </w:p>
        </w:tc>
        <w:tc>
          <w:tcPr>
            <w:tcW w:w="712" w:type="dxa"/>
            <w:tcBorders>
              <w:top w:val="nil"/>
              <w:left w:val="nil"/>
              <w:bottom w:val="nil"/>
              <w:right w:val="nil"/>
            </w:tcBorders>
            <w:shd w:val="clear" w:color="auto" w:fill="auto"/>
            <w:noWrap/>
            <w:vAlign w:val="bottom"/>
            <w:hideMark/>
          </w:tcPr>
          <w:p w14:paraId="3BBA396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12" w:type="dxa"/>
            <w:tcBorders>
              <w:top w:val="nil"/>
              <w:left w:val="nil"/>
              <w:bottom w:val="nil"/>
              <w:right w:val="nil"/>
            </w:tcBorders>
            <w:shd w:val="clear" w:color="auto" w:fill="auto"/>
            <w:noWrap/>
            <w:vAlign w:val="bottom"/>
            <w:hideMark/>
          </w:tcPr>
          <w:p w14:paraId="7239E5A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13</w:t>
            </w:r>
          </w:p>
        </w:tc>
        <w:tc>
          <w:tcPr>
            <w:tcW w:w="612" w:type="dxa"/>
            <w:tcBorders>
              <w:top w:val="nil"/>
              <w:left w:val="nil"/>
              <w:bottom w:val="nil"/>
              <w:right w:val="nil"/>
            </w:tcBorders>
            <w:shd w:val="clear" w:color="auto" w:fill="auto"/>
            <w:noWrap/>
            <w:vAlign w:val="bottom"/>
            <w:hideMark/>
          </w:tcPr>
          <w:p w14:paraId="322B6C4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712" w:type="dxa"/>
            <w:tcBorders>
              <w:top w:val="nil"/>
              <w:left w:val="nil"/>
              <w:bottom w:val="nil"/>
              <w:right w:val="nil"/>
            </w:tcBorders>
            <w:shd w:val="clear" w:color="auto" w:fill="auto"/>
            <w:noWrap/>
            <w:vAlign w:val="bottom"/>
            <w:hideMark/>
          </w:tcPr>
          <w:p w14:paraId="46E6373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672" w:type="dxa"/>
            <w:tcBorders>
              <w:top w:val="nil"/>
              <w:left w:val="nil"/>
              <w:bottom w:val="nil"/>
              <w:right w:val="nil"/>
            </w:tcBorders>
            <w:shd w:val="clear" w:color="auto" w:fill="auto"/>
            <w:noWrap/>
            <w:vAlign w:val="bottom"/>
            <w:hideMark/>
          </w:tcPr>
          <w:p w14:paraId="08E0F4C7"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391B27D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831" w:type="dxa"/>
            <w:tcBorders>
              <w:top w:val="nil"/>
              <w:left w:val="nil"/>
              <w:bottom w:val="nil"/>
              <w:right w:val="nil"/>
            </w:tcBorders>
            <w:shd w:val="clear" w:color="auto" w:fill="auto"/>
            <w:noWrap/>
            <w:vAlign w:val="bottom"/>
            <w:hideMark/>
          </w:tcPr>
          <w:p w14:paraId="61D37F9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25</w:t>
            </w:r>
          </w:p>
        </w:tc>
      </w:tr>
      <w:tr w:rsidR="0072757B" w:rsidRPr="00006A2A" w14:paraId="16CF1F28" w14:textId="77777777" w:rsidTr="00BB2321">
        <w:trPr>
          <w:trHeight w:val="315"/>
        </w:trPr>
        <w:tc>
          <w:tcPr>
            <w:tcW w:w="2521" w:type="dxa"/>
            <w:tcBorders>
              <w:top w:val="nil"/>
              <w:left w:val="nil"/>
              <w:bottom w:val="nil"/>
              <w:right w:val="nil"/>
            </w:tcBorders>
            <w:shd w:val="clear" w:color="auto" w:fill="auto"/>
            <w:noWrap/>
            <w:vAlign w:val="bottom"/>
            <w:hideMark/>
          </w:tcPr>
          <w:p w14:paraId="7FF5CF2C"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Services to industry</w:t>
            </w:r>
          </w:p>
        </w:tc>
        <w:tc>
          <w:tcPr>
            <w:tcW w:w="771" w:type="dxa"/>
            <w:tcBorders>
              <w:top w:val="nil"/>
              <w:left w:val="nil"/>
              <w:bottom w:val="nil"/>
              <w:right w:val="nil"/>
            </w:tcBorders>
            <w:shd w:val="clear" w:color="auto" w:fill="auto"/>
            <w:noWrap/>
            <w:vAlign w:val="bottom"/>
            <w:hideMark/>
          </w:tcPr>
          <w:p w14:paraId="1419CBF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-10</w:t>
            </w:r>
          </w:p>
        </w:tc>
        <w:tc>
          <w:tcPr>
            <w:tcW w:w="771" w:type="dxa"/>
            <w:tcBorders>
              <w:top w:val="nil"/>
              <w:left w:val="nil"/>
              <w:bottom w:val="nil"/>
              <w:right w:val="nil"/>
            </w:tcBorders>
            <w:shd w:val="clear" w:color="auto" w:fill="auto"/>
            <w:noWrap/>
            <w:vAlign w:val="bottom"/>
            <w:hideMark/>
          </w:tcPr>
          <w:p w14:paraId="3CB180E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-11</w:t>
            </w:r>
          </w:p>
        </w:tc>
        <w:tc>
          <w:tcPr>
            <w:tcW w:w="712" w:type="dxa"/>
            <w:tcBorders>
              <w:top w:val="nil"/>
              <w:left w:val="nil"/>
              <w:bottom w:val="nil"/>
              <w:right w:val="nil"/>
            </w:tcBorders>
            <w:shd w:val="clear" w:color="auto" w:fill="auto"/>
            <w:noWrap/>
            <w:vAlign w:val="bottom"/>
            <w:hideMark/>
          </w:tcPr>
          <w:p w14:paraId="00AA885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712" w:type="dxa"/>
            <w:tcBorders>
              <w:top w:val="nil"/>
              <w:left w:val="nil"/>
              <w:bottom w:val="nil"/>
              <w:right w:val="nil"/>
            </w:tcBorders>
            <w:shd w:val="clear" w:color="auto" w:fill="auto"/>
            <w:noWrap/>
            <w:vAlign w:val="bottom"/>
            <w:hideMark/>
          </w:tcPr>
          <w:p w14:paraId="293D3F7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612" w:type="dxa"/>
            <w:tcBorders>
              <w:top w:val="nil"/>
              <w:left w:val="nil"/>
              <w:bottom w:val="nil"/>
              <w:right w:val="nil"/>
            </w:tcBorders>
            <w:shd w:val="clear" w:color="auto" w:fill="auto"/>
            <w:noWrap/>
            <w:vAlign w:val="bottom"/>
            <w:hideMark/>
          </w:tcPr>
          <w:p w14:paraId="2DB83AC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0FB3D06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672" w:type="dxa"/>
            <w:tcBorders>
              <w:top w:val="nil"/>
              <w:left w:val="nil"/>
              <w:bottom w:val="nil"/>
              <w:right w:val="nil"/>
            </w:tcBorders>
            <w:shd w:val="clear" w:color="auto" w:fill="auto"/>
            <w:noWrap/>
            <w:vAlign w:val="bottom"/>
            <w:hideMark/>
          </w:tcPr>
          <w:p w14:paraId="004DE08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46ABA7F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w:t>
            </w:r>
          </w:p>
        </w:tc>
        <w:tc>
          <w:tcPr>
            <w:tcW w:w="831" w:type="dxa"/>
            <w:tcBorders>
              <w:top w:val="nil"/>
              <w:left w:val="nil"/>
              <w:bottom w:val="nil"/>
              <w:right w:val="nil"/>
            </w:tcBorders>
            <w:shd w:val="clear" w:color="auto" w:fill="auto"/>
            <w:noWrap/>
            <w:vAlign w:val="bottom"/>
            <w:hideMark/>
          </w:tcPr>
          <w:p w14:paraId="4256CBA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22</w:t>
            </w:r>
          </w:p>
        </w:tc>
      </w:tr>
      <w:tr w:rsidR="0072757B" w:rsidRPr="00006A2A" w14:paraId="7D23EFF2" w14:textId="77777777" w:rsidTr="00BB2321">
        <w:trPr>
          <w:trHeight w:val="315"/>
        </w:trPr>
        <w:tc>
          <w:tcPr>
            <w:tcW w:w="2521" w:type="dxa"/>
            <w:tcBorders>
              <w:top w:val="nil"/>
              <w:left w:val="nil"/>
              <w:bottom w:val="nil"/>
              <w:right w:val="nil"/>
            </w:tcBorders>
            <w:shd w:val="clear" w:color="auto" w:fill="auto"/>
            <w:noWrap/>
            <w:vAlign w:val="bottom"/>
            <w:hideMark/>
          </w:tcPr>
          <w:p w14:paraId="22EB0D70"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Other expenses</w:t>
            </w:r>
          </w:p>
        </w:tc>
        <w:tc>
          <w:tcPr>
            <w:tcW w:w="771" w:type="dxa"/>
            <w:tcBorders>
              <w:top w:val="nil"/>
              <w:left w:val="nil"/>
              <w:bottom w:val="nil"/>
              <w:right w:val="nil"/>
            </w:tcBorders>
            <w:shd w:val="clear" w:color="auto" w:fill="auto"/>
            <w:noWrap/>
            <w:vAlign w:val="bottom"/>
            <w:hideMark/>
          </w:tcPr>
          <w:p w14:paraId="2E6F353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-49</w:t>
            </w:r>
          </w:p>
        </w:tc>
        <w:tc>
          <w:tcPr>
            <w:tcW w:w="771" w:type="dxa"/>
            <w:tcBorders>
              <w:top w:val="nil"/>
              <w:left w:val="nil"/>
              <w:bottom w:val="nil"/>
              <w:right w:val="nil"/>
            </w:tcBorders>
            <w:shd w:val="clear" w:color="auto" w:fill="auto"/>
            <w:noWrap/>
            <w:vAlign w:val="bottom"/>
            <w:hideMark/>
          </w:tcPr>
          <w:p w14:paraId="7B5A3DC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-56</w:t>
            </w:r>
          </w:p>
        </w:tc>
        <w:tc>
          <w:tcPr>
            <w:tcW w:w="712" w:type="dxa"/>
            <w:tcBorders>
              <w:top w:val="nil"/>
              <w:left w:val="nil"/>
              <w:bottom w:val="nil"/>
              <w:right w:val="nil"/>
            </w:tcBorders>
            <w:shd w:val="clear" w:color="auto" w:fill="auto"/>
            <w:noWrap/>
            <w:vAlign w:val="bottom"/>
            <w:hideMark/>
          </w:tcPr>
          <w:p w14:paraId="5001B6B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37</w:t>
            </w:r>
          </w:p>
        </w:tc>
        <w:tc>
          <w:tcPr>
            <w:tcW w:w="712" w:type="dxa"/>
            <w:tcBorders>
              <w:top w:val="nil"/>
              <w:left w:val="nil"/>
              <w:bottom w:val="nil"/>
              <w:right w:val="nil"/>
            </w:tcBorders>
            <w:shd w:val="clear" w:color="auto" w:fill="auto"/>
            <w:noWrap/>
            <w:vAlign w:val="bottom"/>
            <w:hideMark/>
          </w:tcPr>
          <w:p w14:paraId="6CCC65C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17</w:t>
            </w:r>
          </w:p>
        </w:tc>
        <w:tc>
          <w:tcPr>
            <w:tcW w:w="612" w:type="dxa"/>
            <w:tcBorders>
              <w:top w:val="nil"/>
              <w:left w:val="nil"/>
              <w:bottom w:val="nil"/>
              <w:right w:val="nil"/>
            </w:tcBorders>
            <w:shd w:val="clear" w:color="auto" w:fill="auto"/>
            <w:noWrap/>
            <w:vAlign w:val="bottom"/>
            <w:hideMark/>
          </w:tcPr>
          <w:p w14:paraId="7869331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w:t>
            </w:r>
          </w:p>
        </w:tc>
        <w:tc>
          <w:tcPr>
            <w:tcW w:w="712" w:type="dxa"/>
            <w:tcBorders>
              <w:top w:val="nil"/>
              <w:left w:val="nil"/>
              <w:bottom w:val="nil"/>
              <w:right w:val="nil"/>
            </w:tcBorders>
            <w:shd w:val="clear" w:color="auto" w:fill="auto"/>
            <w:noWrap/>
            <w:vAlign w:val="bottom"/>
            <w:hideMark/>
          </w:tcPr>
          <w:p w14:paraId="76DA1BB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17</w:t>
            </w:r>
          </w:p>
        </w:tc>
        <w:tc>
          <w:tcPr>
            <w:tcW w:w="672" w:type="dxa"/>
            <w:tcBorders>
              <w:top w:val="nil"/>
              <w:left w:val="nil"/>
              <w:bottom w:val="nil"/>
              <w:right w:val="nil"/>
            </w:tcBorders>
            <w:shd w:val="clear" w:color="auto" w:fill="auto"/>
            <w:noWrap/>
            <w:vAlign w:val="bottom"/>
            <w:hideMark/>
          </w:tcPr>
          <w:p w14:paraId="286679B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712" w:type="dxa"/>
            <w:tcBorders>
              <w:top w:val="nil"/>
              <w:left w:val="nil"/>
              <w:bottom w:val="nil"/>
              <w:right w:val="nil"/>
            </w:tcBorders>
            <w:shd w:val="clear" w:color="auto" w:fill="auto"/>
            <w:noWrap/>
            <w:vAlign w:val="bottom"/>
            <w:hideMark/>
          </w:tcPr>
          <w:p w14:paraId="7E588F3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33</w:t>
            </w:r>
          </w:p>
        </w:tc>
        <w:tc>
          <w:tcPr>
            <w:tcW w:w="831" w:type="dxa"/>
            <w:tcBorders>
              <w:top w:val="nil"/>
              <w:left w:val="nil"/>
              <w:bottom w:val="nil"/>
              <w:right w:val="nil"/>
            </w:tcBorders>
            <w:shd w:val="clear" w:color="auto" w:fill="auto"/>
            <w:noWrap/>
            <w:vAlign w:val="bottom"/>
            <w:hideMark/>
          </w:tcPr>
          <w:p w14:paraId="267BF99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111</w:t>
            </w:r>
          </w:p>
        </w:tc>
      </w:tr>
      <w:tr w:rsidR="0072757B" w:rsidRPr="00006A2A" w14:paraId="0271E03D" w14:textId="77777777" w:rsidTr="00BB2321">
        <w:trPr>
          <w:trHeight w:val="315"/>
        </w:trPr>
        <w:tc>
          <w:tcPr>
            <w:tcW w:w="2521" w:type="dxa"/>
            <w:tcBorders>
              <w:top w:val="nil"/>
              <w:left w:val="nil"/>
              <w:bottom w:val="nil"/>
              <w:right w:val="nil"/>
            </w:tcBorders>
            <w:shd w:val="clear" w:color="auto" w:fill="auto"/>
            <w:noWrap/>
            <w:vAlign w:val="bottom"/>
            <w:hideMark/>
          </w:tcPr>
          <w:p w14:paraId="66B9170A"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 xml:space="preserve">   Subtotal ($m)</w:t>
            </w:r>
          </w:p>
        </w:tc>
        <w:tc>
          <w:tcPr>
            <w:tcW w:w="771" w:type="dxa"/>
            <w:tcBorders>
              <w:top w:val="single" w:sz="4" w:space="0" w:color="auto"/>
              <w:left w:val="nil"/>
              <w:bottom w:val="nil"/>
              <w:right w:val="nil"/>
            </w:tcBorders>
            <w:shd w:val="clear" w:color="auto" w:fill="auto"/>
            <w:noWrap/>
            <w:vAlign w:val="bottom"/>
            <w:hideMark/>
          </w:tcPr>
          <w:p w14:paraId="65B5CBD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-508</w:t>
            </w:r>
          </w:p>
        </w:tc>
        <w:tc>
          <w:tcPr>
            <w:tcW w:w="771" w:type="dxa"/>
            <w:tcBorders>
              <w:top w:val="single" w:sz="4" w:space="0" w:color="auto"/>
              <w:left w:val="nil"/>
              <w:bottom w:val="nil"/>
              <w:right w:val="nil"/>
            </w:tcBorders>
            <w:shd w:val="clear" w:color="auto" w:fill="auto"/>
            <w:noWrap/>
            <w:vAlign w:val="bottom"/>
            <w:hideMark/>
          </w:tcPr>
          <w:p w14:paraId="0A5A2F4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-461</w:t>
            </w:r>
          </w:p>
        </w:tc>
        <w:tc>
          <w:tcPr>
            <w:tcW w:w="712" w:type="dxa"/>
            <w:tcBorders>
              <w:top w:val="single" w:sz="4" w:space="0" w:color="auto"/>
              <w:left w:val="nil"/>
              <w:bottom w:val="nil"/>
              <w:right w:val="nil"/>
            </w:tcBorders>
            <w:shd w:val="clear" w:color="auto" w:fill="auto"/>
            <w:noWrap/>
            <w:vAlign w:val="bottom"/>
            <w:hideMark/>
          </w:tcPr>
          <w:p w14:paraId="40D4A2C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306</w:t>
            </w:r>
          </w:p>
        </w:tc>
        <w:tc>
          <w:tcPr>
            <w:tcW w:w="712" w:type="dxa"/>
            <w:tcBorders>
              <w:top w:val="single" w:sz="4" w:space="0" w:color="auto"/>
              <w:left w:val="nil"/>
              <w:bottom w:val="nil"/>
              <w:right w:val="nil"/>
            </w:tcBorders>
            <w:shd w:val="clear" w:color="auto" w:fill="auto"/>
            <w:noWrap/>
            <w:vAlign w:val="bottom"/>
            <w:hideMark/>
          </w:tcPr>
          <w:p w14:paraId="3875093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215</w:t>
            </w:r>
          </w:p>
        </w:tc>
        <w:tc>
          <w:tcPr>
            <w:tcW w:w="612" w:type="dxa"/>
            <w:tcBorders>
              <w:top w:val="single" w:sz="4" w:space="0" w:color="auto"/>
              <w:left w:val="nil"/>
              <w:bottom w:val="nil"/>
              <w:right w:val="nil"/>
            </w:tcBorders>
            <w:shd w:val="clear" w:color="auto" w:fill="auto"/>
            <w:noWrap/>
            <w:vAlign w:val="bottom"/>
            <w:hideMark/>
          </w:tcPr>
          <w:p w14:paraId="7CEFCF9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90</w:t>
            </w:r>
          </w:p>
        </w:tc>
        <w:tc>
          <w:tcPr>
            <w:tcW w:w="712" w:type="dxa"/>
            <w:tcBorders>
              <w:top w:val="single" w:sz="4" w:space="0" w:color="auto"/>
              <w:left w:val="nil"/>
              <w:bottom w:val="nil"/>
              <w:right w:val="nil"/>
            </w:tcBorders>
            <w:shd w:val="clear" w:color="auto" w:fill="auto"/>
            <w:noWrap/>
            <w:vAlign w:val="bottom"/>
            <w:hideMark/>
          </w:tcPr>
          <w:p w14:paraId="16FC6FD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129</w:t>
            </w:r>
          </w:p>
        </w:tc>
        <w:tc>
          <w:tcPr>
            <w:tcW w:w="672" w:type="dxa"/>
            <w:tcBorders>
              <w:top w:val="single" w:sz="4" w:space="0" w:color="auto"/>
              <w:left w:val="nil"/>
              <w:bottom w:val="nil"/>
              <w:right w:val="nil"/>
            </w:tcBorders>
            <w:shd w:val="clear" w:color="auto" w:fill="auto"/>
            <w:noWrap/>
            <w:vAlign w:val="bottom"/>
            <w:hideMark/>
          </w:tcPr>
          <w:p w14:paraId="6D5B286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-64</w:t>
            </w:r>
          </w:p>
        </w:tc>
        <w:tc>
          <w:tcPr>
            <w:tcW w:w="712" w:type="dxa"/>
            <w:tcBorders>
              <w:top w:val="single" w:sz="4" w:space="0" w:color="auto"/>
              <w:left w:val="nil"/>
              <w:bottom w:val="nil"/>
              <w:right w:val="nil"/>
            </w:tcBorders>
            <w:shd w:val="clear" w:color="auto" w:fill="auto"/>
            <w:noWrap/>
            <w:vAlign w:val="bottom"/>
            <w:hideMark/>
          </w:tcPr>
          <w:p w14:paraId="5D29D21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295</w:t>
            </w:r>
          </w:p>
        </w:tc>
        <w:tc>
          <w:tcPr>
            <w:tcW w:w="831" w:type="dxa"/>
            <w:tcBorders>
              <w:top w:val="single" w:sz="4" w:space="0" w:color="auto"/>
              <w:left w:val="nil"/>
              <w:bottom w:val="nil"/>
              <w:right w:val="nil"/>
            </w:tcBorders>
            <w:shd w:val="clear" w:color="auto" w:fill="auto"/>
            <w:noWrap/>
            <w:vAlign w:val="bottom"/>
            <w:hideMark/>
          </w:tcPr>
          <w:p w14:paraId="286D416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1 034</w:t>
            </w:r>
          </w:p>
        </w:tc>
      </w:tr>
      <w:tr w:rsidR="0072757B" w:rsidRPr="00006A2A" w14:paraId="04EF2924" w14:textId="77777777" w:rsidTr="00BB2321">
        <w:trPr>
          <w:trHeight w:val="315"/>
        </w:trPr>
        <w:tc>
          <w:tcPr>
            <w:tcW w:w="2521" w:type="dxa"/>
            <w:tcBorders>
              <w:top w:val="nil"/>
              <w:left w:val="nil"/>
              <w:bottom w:val="nil"/>
              <w:right w:val="nil"/>
            </w:tcBorders>
            <w:shd w:val="clear" w:color="auto" w:fill="auto"/>
            <w:noWrap/>
            <w:vAlign w:val="bottom"/>
            <w:hideMark/>
          </w:tcPr>
          <w:p w14:paraId="65B427E6"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 xml:space="preserve">   Subtotal ($pc)</w:t>
            </w:r>
          </w:p>
        </w:tc>
        <w:tc>
          <w:tcPr>
            <w:tcW w:w="771" w:type="dxa"/>
            <w:tcBorders>
              <w:top w:val="nil"/>
              <w:left w:val="nil"/>
              <w:bottom w:val="single" w:sz="4" w:space="0" w:color="auto"/>
              <w:right w:val="nil"/>
            </w:tcBorders>
            <w:shd w:val="clear" w:color="auto" w:fill="auto"/>
            <w:noWrap/>
            <w:vAlign w:val="bottom"/>
            <w:hideMark/>
          </w:tcPr>
          <w:p w14:paraId="4B6B950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-63</w:t>
            </w:r>
          </w:p>
        </w:tc>
        <w:tc>
          <w:tcPr>
            <w:tcW w:w="771" w:type="dxa"/>
            <w:tcBorders>
              <w:top w:val="nil"/>
              <w:left w:val="nil"/>
              <w:bottom w:val="single" w:sz="4" w:space="0" w:color="auto"/>
              <w:right w:val="nil"/>
            </w:tcBorders>
            <w:shd w:val="clear" w:color="auto" w:fill="auto"/>
            <w:noWrap/>
            <w:vAlign w:val="bottom"/>
            <w:hideMark/>
          </w:tcPr>
          <w:p w14:paraId="7941CCD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-71</w:t>
            </w:r>
          </w:p>
        </w:tc>
        <w:tc>
          <w:tcPr>
            <w:tcW w:w="712" w:type="dxa"/>
            <w:tcBorders>
              <w:top w:val="nil"/>
              <w:left w:val="nil"/>
              <w:bottom w:val="single" w:sz="4" w:space="0" w:color="auto"/>
              <w:right w:val="nil"/>
            </w:tcBorders>
            <w:shd w:val="clear" w:color="auto" w:fill="auto"/>
            <w:noWrap/>
            <w:vAlign w:val="bottom"/>
            <w:hideMark/>
          </w:tcPr>
          <w:p w14:paraId="6C5B577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61</w:t>
            </w:r>
          </w:p>
        </w:tc>
        <w:tc>
          <w:tcPr>
            <w:tcW w:w="712" w:type="dxa"/>
            <w:tcBorders>
              <w:top w:val="nil"/>
              <w:left w:val="nil"/>
              <w:bottom w:val="single" w:sz="4" w:space="0" w:color="auto"/>
              <w:right w:val="nil"/>
            </w:tcBorders>
            <w:shd w:val="clear" w:color="auto" w:fill="auto"/>
            <w:noWrap/>
            <w:vAlign w:val="bottom"/>
            <w:hideMark/>
          </w:tcPr>
          <w:p w14:paraId="0738A0C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82</w:t>
            </w:r>
          </w:p>
        </w:tc>
        <w:tc>
          <w:tcPr>
            <w:tcW w:w="612" w:type="dxa"/>
            <w:tcBorders>
              <w:top w:val="nil"/>
              <w:left w:val="nil"/>
              <w:bottom w:val="single" w:sz="4" w:space="0" w:color="auto"/>
              <w:right w:val="nil"/>
            </w:tcBorders>
            <w:shd w:val="clear" w:color="auto" w:fill="auto"/>
            <w:noWrap/>
            <w:vAlign w:val="bottom"/>
            <w:hideMark/>
          </w:tcPr>
          <w:p w14:paraId="227D56C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51</w:t>
            </w:r>
          </w:p>
        </w:tc>
        <w:tc>
          <w:tcPr>
            <w:tcW w:w="712" w:type="dxa"/>
            <w:tcBorders>
              <w:top w:val="nil"/>
              <w:left w:val="nil"/>
              <w:bottom w:val="single" w:sz="4" w:space="0" w:color="auto"/>
              <w:right w:val="nil"/>
            </w:tcBorders>
            <w:shd w:val="clear" w:color="auto" w:fill="auto"/>
            <w:noWrap/>
            <w:vAlign w:val="bottom"/>
            <w:hideMark/>
          </w:tcPr>
          <w:p w14:paraId="3D75D6C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246</w:t>
            </w:r>
          </w:p>
        </w:tc>
        <w:tc>
          <w:tcPr>
            <w:tcW w:w="672" w:type="dxa"/>
            <w:tcBorders>
              <w:top w:val="nil"/>
              <w:left w:val="nil"/>
              <w:bottom w:val="single" w:sz="4" w:space="0" w:color="auto"/>
              <w:right w:val="nil"/>
            </w:tcBorders>
            <w:shd w:val="clear" w:color="auto" w:fill="auto"/>
            <w:noWrap/>
            <w:vAlign w:val="bottom"/>
            <w:hideMark/>
          </w:tcPr>
          <w:p w14:paraId="6CBD274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-154</w:t>
            </w:r>
          </w:p>
        </w:tc>
        <w:tc>
          <w:tcPr>
            <w:tcW w:w="712" w:type="dxa"/>
            <w:tcBorders>
              <w:top w:val="nil"/>
              <w:left w:val="nil"/>
              <w:bottom w:val="single" w:sz="4" w:space="0" w:color="auto"/>
              <w:right w:val="nil"/>
            </w:tcBorders>
            <w:shd w:val="clear" w:color="auto" w:fill="auto"/>
            <w:noWrap/>
            <w:vAlign w:val="bottom"/>
            <w:hideMark/>
          </w:tcPr>
          <w:p w14:paraId="2F995F6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1196</w:t>
            </w:r>
          </w:p>
        </w:tc>
        <w:tc>
          <w:tcPr>
            <w:tcW w:w="831" w:type="dxa"/>
            <w:tcBorders>
              <w:top w:val="nil"/>
              <w:left w:val="nil"/>
              <w:bottom w:val="single" w:sz="4" w:space="0" w:color="auto"/>
              <w:right w:val="nil"/>
            </w:tcBorders>
            <w:shd w:val="clear" w:color="auto" w:fill="auto"/>
            <w:noWrap/>
            <w:vAlign w:val="bottom"/>
            <w:hideMark/>
          </w:tcPr>
          <w:p w14:paraId="29ED054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41</w:t>
            </w:r>
          </w:p>
        </w:tc>
      </w:tr>
      <w:tr w:rsidR="0072757B" w:rsidRPr="00006A2A" w14:paraId="55A07EE5" w14:textId="77777777" w:rsidTr="00BB2321">
        <w:trPr>
          <w:trHeight w:val="315"/>
        </w:trPr>
        <w:tc>
          <w:tcPr>
            <w:tcW w:w="2521" w:type="dxa"/>
            <w:tcBorders>
              <w:top w:val="single" w:sz="4" w:space="0" w:color="auto"/>
              <w:left w:val="nil"/>
              <w:bottom w:val="nil"/>
              <w:right w:val="nil"/>
            </w:tcBorders>
            <w:shd w:val="clear" w:color="auto" w:fill="auto"/>
            <w:noWrap/>
            <w:vAlign w:val="bottom"/>
            <w:hideMark/>
          </w:tcPr>
          <w:p w14:paraId="660A0917" w14:textId="77777777" w:rsidR="0072757B" w:rsidRPr="00006A2A" w:rsidRDefault="0072757B" w:rsidP="0072757B">
            <w:pPr>
              <w:keepNext/>
              <w:tabs>
                <w:tab w:val="clear" w:pos="567"/>
              </w:tabs>
              <w:spacing w:after="0" w:line="240" w:lineRule="auto"/>
              <w:rPr>
                <w:rFonts w:ascii="Calibri" w:eastAsia="Times New Roman" w:hAnsi="Calibri" w:cs="Calibri"/>
                <w:b/>
                <w:bCs/>
                <w:sz w:val="20"/>
                <w:szCs w:val="20"/>
                <w:lang w:eastAsia="en-AU"/>
              </w:rPr>
            </w:pPr>
            <w:r w:rsidRPr="00006A2A">
              <w:rPr>
                <w:rFonts w:ascii="Calibri" w:eastAsia="Times New Roman" w:hAnsi="Calibri" w:cs="Calibri"/>
                <w:b/>
                <w:bCs/>
                <w:sz w:val="20"/>
                <w:szCs w:val="20"/>
                <w:lang w:eastAsia="en-AU"/>
              </w:rPr>
              <w:t>Service delivery scale</w:t>
            </w:r>
          </w:p>
        </w:tc>
        <w:tc>
          <w:tcPr>
            <w:tcW w:w="771" w:type="dxa"/>
            <w:tcBorders>
              <w:top w:val="nil"/>
              <w:left w:val="nil"/>
              <w:bottom w:val="nil"/>
              <w:right w:val="nil"/>
            </w:tcBorders>
            <w:shd w:val="clear" w:color="auto" w:fill="auto"/>
            <w:noWrap/>
            <w:vAlign w:val="bottom"/>
            <w:hideMark/>
          </w:tcPr>
          <w:p w14:paraId="2A0BAE58"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771" w:type="dxa"/>
            <w:tcBorders>
              <w:top w:val="nil"/>
              <w:left w:val="nil"/>
              <w:bottom w:val="nil"/>
              <w:right w:val="nil"/>
            </w:tcBorders>
            <w:shd w:val="clear" w:color="auto" w:fill="auto"/>
            <w:noWrap/>
            <w:vAlign w:val="bottom"/>
            <w:hideMark/>
          </w:tcPr>
          <w:p w14:paraId="1D2C2A88"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712" w:type="dxa"/>
            <w:tcBorders>
              <w:top w:val="nil"/>
              <w:left w:val="nil"/>
              <w:bottom w:val="nil"/>
              <w:right w:val="nil"/>
            </w:tcBorders>
            <w:shd w:val="clear" w:color="auto" w:fill="auto"/>
            <w:noWrap/>
            <w:vAlign w:val="bottom"/>
            <w:hideMark/>
          </w:tcPr>
          <w:p w14:paraId="42685E9A"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712" w:type="dxa"/>
            <w:tcBorders>
              <w:top w:val="nil"/>
              <w:left w:val="nil"/>
              <w:bottom w:val="nil"/>
              <w:right w:val="nil"/>
            </w:tcBorders>
            <w:shd w:val="clear" w:color="auto" w:fill="auto"/>
            <w:noWrap/>
            <w:vAlign w:val="bottom"/>
            <w:hideMark/>
          </w:tcPr>
          <w:p w14:paraId="39020074"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612" w:type="dxa"/>
            <w:tcBorders>
              <w:top w:val="nil"/>
              <w:left w:val="nil"/>
              <w:bottom w:val="nil"/>
              <w:right w:val="nil"/>
            </w:tcBorders>
            <w:shd w:val="clear" w:color="auto" w:fill="auto"/>
            <w:noWrap/>
            <w:vAlign w:val="bottom"/>
            <w:hideMark/>
          </w:tcPr>
          <w:p w14:paraId="1CD8390F"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712" w:type="dxa"/>
            <w:tcBorders>
              <w:top w:val="nil"/>
              <w:left w:val="nil"/>
              <w:bottom w:val="nil"/>
              <w:right w:val="nil"/>
            </w:tcBorders>
            <w:shd w:val="clear" w:color="auto" w:fill="auto"/>
            <w:noWrap/>
            <w:vAlign w:val="bottom"/>
            <w:hideMark/>
          </w:tcPr>
          <w:p w14:paraId="2E11C2E7"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672" w:type="dxa"/>
            <w:tcBorders>
              <w:top w:val="nil"/>
              <w:left w:val="nil"/>
              <w:bottom w:val="nil"/>
              <w:right w:val="nil"/>
            </w:tcBorders>
            <w:shd w:val="clear" w:color="auto" w:fill="auto"/>
            <w:noWrap/>
            <w:vAlign w:val="bottom"/>
            <w:hideMark/>
          </w:tcPr>
          <w:p w14:paraId="7A6ED235"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712" w:type="dxa"/>
            <w:tcBorders>
              <w:top w:val="nil"/>
              <w:left w:val="nil"/>
              <w:bottom w:val="nil"/>
              <w:right w:val="nil"/>
            </w:tcBorders>
            <w:shd w:val="clear" w:color="auto" w:fill="auto"/>
            <w:noWrap/>
            <w:vAlign w:val="bottom"/>
            <w:hideMark/>
          </w:tcPr>
          <w:p w14:paraId="08834799"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c>
          <w:tcPr>
            <w:tcW w:w="831" w:type="dxa"/>
            <w:tcBorders>
              <w:top w:val="nil"/>
              <w:left w:val="nil"/>
              <w:bottom w:val="nil"/>
              <w:right w:val="nil"/>
            </w:tcBorders>
            <w:shd w:val="clear" w:color="auto" w:fill="auto"/>
            <w:noWrap/>
            <w:vAlign w:val="bottom"/>
            <w:hideMark/>
          </w:tcPr>
          <w:p w14:paraId="2F5E744D"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 </w:t>
            </w:r>
          </w:p>
        </w:tc>
      </w:tr>
      <w:tr w:rsidR="0072757B" w:rsidRPr="00006A2A" w14:paraId="33EE71EF" w14:textId="77777777" w:rsidTr="00BB2321">
        <w:trPr>
          <w:trHeight w:val="315"/>
        </w:trPr>
        <w:tc>
          <w:tcPr>
            <w:tcW w:w="2521" w:type="dxa"/>
            <w:tcBorders>
              <w:top w:val="nil"/>
              <w:left w:val="nil"/>
              <w:bottom w:val="nil"/>
              <w:right w:val="nil"/>
            </w:tcBorders>
            <w:shd w:val="clear" w:color="auto" w:fill="auto"/>
            <w:noWrap/>
            <w:vAlign w:val="bottom"/>
            <w:hideMark/>
          </w:tcPr>
          <w:p w14:paraId="0930F7A1"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Schools (State funded)</w:t>
            </w:r>
          </w:p>
        </w:tc>
        <w:tc>
          <w:tcPr>
            <w:tcW w:w="771" w:type="dxa"/>
            <w:tcBorders>
              <w:top w:val="nil"/>
              <w:left w:val="nil"/>
              <w:bottom w:val="nil"/>
              <w:right w:val="nil"/>
            </w:tcBorders>
            <w:shd w:val="clear" w:color="auto" w:fill="auto"/>
            <w:noWrap/>
            <w:vAlign w:val="bottom"/>
            <w:hideMark/>
          </w:tcPr>
          <w:p w14:paraId="3698863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-15</w:t>
            </w:r>
          </w:p>
        </w:tc>
        <w:tc>
          <w:tcPr>
            <w:tcW w:w="771" w:type="dxa"/>
            <w:tcBorders>
              <w:top w:val="nil"/>
              <w:left w:val="nil"/>
              <w:bottom w:val="nil"/>
              <w:right w:val="nil"/>
            </w:tcBorders>
            <w:shd w:val="clear" w:color="auto" w:fill="auto"/>
            <w:noWrap/>
            <w:vAlign w:val="bottom"/>
            <w:hideMark/>
          </w:tcPr>
          <w:p w14:paraId="14611A8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-24</w:t>
            </w:r>
          </w:p>
        </w:tc>
        <w:tc>
          <w:tcPr>
            <w:tcW w:w="712" w:type="dxa"/>
            <w:tcBorders>
              <w:top w:val="nil"/>
              <w:left w:val="nil"/>
              <w:bottom w:val="nil"/>
              <w:right w:val="nil"/>
            </w:tcBorders>
            <w:shd w:val="clear" w:color="auto" w:fill="auto"/>
            <w:noWrap/>
            <w:vAlign w:val="bottom"/>
            <w:hideMark/>
          </w:tcPr>
          <w:p w14:paraId="6C43C29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7E8D56B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10</w:t>
            </w:r>
          </w:p>
        </w:tc>
        <w:tc>
          <w:tcPr>
            <w:tcW w:w="612" w:type="dxa"/>
            <w:tcBorders>
              <w:top w:val="nil"/>
              <w:left w:val="nil"/>
              <w:bottom w:val="nil"/>
              <w:right w:val="nil"/>
            </w:tcBorders>
            <w:shd w:val="clear" w:color="auto" w:fill="auto"/>
            <w:noWrap/>
            <w:vAlign w:val="bottom"/>
            <w:hideMark/>
          </w:tcPr>
          <w:p w14:paraId="0F43F94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17</w:t>
            </w:r>
          </w:p>
        </w:tc>
        <w:tc>
          <w:tcPr>
            <w:tcW w:w="712" w:type="dxa"/>
            <w:tcBorders>
              <w:top w:val="nil"/>
              <w:left w:val="nil"/>
              <w:bottom w:val="nil"/>
              <w:right w:val="nil"/>
            </w:tcBorders>
            <w:shd w:val="clear" w:color="auto" w:fill="auto"/>
            <w:noWrap/>
            <w:vAlign w:val="bottom"/>
            <w:hideMark/>
          </w:tcPr>
          <w:p w14:paraId="3DBDFF9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672" w:type="dxa"/>
            <w:tcBorders>
              <w:top w:val="nil"/>
              <w:left w:val="nil"/>
              <w:bottom w:val="nil"/>
              <w:right w:val="nil"/>
            </w:tcBorders>
            <w:shd w:val="clear" w:color="auto" w:fill="auto"/>
            <w:noWrap/>
            <w:vAlign w:val="bottom"/>
            <w:hideMark/>
          </w:tcPr>
          <w:p w14:paraId="3D02260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167AD2C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10</w:t>
            </w:r>
          </w:p>
        </w:tc>
        <w:tc>
          <w:tcPr>
            <w:tcW w:w="831" w:type="dxa"/>
            <w:tcBorders>
              <w:top w:val="nil"/>
              <w:left w:val="nil"/>
              <w:bottom w:val="nil"/>
              <w:right w:val="nil"/>
            </w:tcBorders>
            <w:shd w:val="clear" w:color="auto" w:fill="auto"/>
            <w:noWrap/>
            <w:vAlign w:val="bottom"/>
            <w:hideMark/>
          </w:tcPr>
          <w:p w14:paraId="00F436F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42</w:t>
            </w:r>
          </w:p>
        </w:tc>
      </w:tr>
      <w:tr w:rsidR="0072757B" w:rsidRPr="00006A2A" w14:paraId="6617FE87" w14:textId="77777777" w:rsidTr="00BB2321">
        <w:trPr>
          <w:trHeight w:val="315"/>
        </w:trPr>
        <w:tc>
          <w:tcPr>
            <w:tcW w:w="2521" w:type="dxa"/>
            <w:tcBorders>
              <w:top w:val="nil"/>
              <w:left w:val="nil"/>
              <w:bottom w:val="nil"/>
              <w:right w:val="nil"/>
            </w:tcBorders>
            <w:shd w:val="clear" w:color="auto" w:fill="auto"/>
            <w:vAlign w:val="bottom"/>
            <w:hideMark/>
          </w:tcPr>
          <w:p w14:paraId="5D95B87D"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Welfare (family and child)</w:t>
            </w:r>
          </w:p>
        </w:tc>
        <w:tc>
          <w:tcPr>
            <w:tcW w:w="771" w:type="dxa"/>
            <w:tcBorders>
              <w:top w:val="nil"/>
              <w:left w:val="nil"/>
              <w:bottom w:val="nil"/>
              <w:right w:val="nil"/>
            </w:tcBorders>
            <w:shd w:val="clear" w:color="auto" w:fill="auto"/>
            <w:vAlign w:val="bottom"/>
            <w:hideMark/>
          </w:tcPr>
          <w:p w14:paraId="53D3708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771" w:type="dxa"/>
            <w:tcBorders>
              <w:top w:val="nil"/>
              <w:left w:val="nil"/>
              <w:bottom w:val="nil"/>
              <w:right w:val="nil"/>
            </w:tcBorders>
            <w:shd w:val="clear" w:color="auto" w:fill="auto"/>
            <w:vAlign w:val="bottom"/>
            <w:hideMark/>
          </w:tcPr>
          <w:p w14:paraId="71900C5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712" w:type="dxa"/>
            <w:tcBorders>
              <w:top w:val="nil"/>
              <w:left w:val="nil"/>
              <w:bottom w:val="nil"/>
              <w:right w:val="nil"/>
            </w:tcBorders>
            <w:shd w:val="clear" w:color="auto" w:fill="auto"/>
            <w:vAlign w:val="bottom"/>
            <w:hideMark/>
          </w:tcPr>
          <w:p w14:paraId="3E36024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nil"/>
              <w:right w:val="nil"/>
            </w:tcBorders>
            <w:shd w:val="clear" w:color="auto" w:fill="auto"/>
            <w:vAlign w:val="bottom"/>
            <w:hideMark/>
          </w:tcPr>
          <w:p w14:paraId="390333B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612" w:type="dxa"/>
            <w:tcBorders>
              <w:top w:val="nil"/>
              <w:left w:val="nil"/>
              <w:bottom w:val="nil"/>
              <w:right w:val="nil"/>
            </w:tcBorders>
            <w:shd w:val="clear" w:color="auto" w:fill="auto"/>
            <w:vAlign w:val="bottom"/>
            <w:hideMark/>
          </w:tcPr>
          <w:p w14:paraId="4AE2E079"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nil"/>
              <w:right w:val="nil"/>
            </w:tcBorders>
            <w:shd w:val="clear" w:color="auto" w:fill="auto"/>
            <w:vAlign w:val="bottom"/>
            <w:hideMark/>
          </w:tcPr>
          <w:p w14:paraId="7CCA4D4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672" w:type="dxa"/>
            <w:tcBorders>
              <w:top w:val="nil"/>
              <w:left w:val="nil"/>
              <w:bottom w:val="nil"/>
              <w:right w:val="nil"/>
            </w:tcBorders>
            <w:shd w:val="clear" w:color="auto" w:fill="auto"/>
            <w:vAlign w:val="bottom"/>
            <w:hideMark/>
          </w:tcPr>
          <w:p w14:paraId="7802CBD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vAlign w:val="bottom"/>
            <w:hideMark/>
          </w:tcPr>
          <w:p w14:paraId="1E53FD4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831" w:type="dxa"/>
            <w:tcBorders>
              <w:top w:val="nil"/>
              <w:left w:val="nil"/>
              <w:bottom w:val="nil"/>
              <w:right w:val="nil"/>
            </w:tcBorders>
            <w:shd w:val="clear" w:color="auto" w:fill="auto"/>
            <w:vAlign w:val="bottom"/>
            <w:hideMark/>
          </w:tcPr>
          <w:p w14:paraId="17279F5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11</w:t>
            </w:r>
          </w:p>
        </w:tc>
      </w:tr>
      <w:tr w:rsidR="0072757B" w:rsidRPr="00006A2A" w14:paraId="42AD1FD4" w14:textId="77777777" w:rsidTr="00BB2321">
        <w:trPr>
          <w:trHeight w:val="555"/>
        </w:trPr>
        <w:tc>
          <w:tcPr>
            <w:tcW w:w="2521" w:type="dxa"/>
            <w:tcBorders>
              <w:top w:val="nil"/>
              <w:left w:val="nil"/>
              <w:bottom w:val="nil"/>
              <w:right w:val="nil"/>
            </w:tcBorders>
            <w:shd w:val="clear" w:color="auto" w:fill="auto"/>
            <w:vAlign w:val="bottom"/>
            <w:hideMark/>
          </w:tcPr>
          <w:p w14:paraId="418C76E8"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Services to communities (utilities subsidies)</w:t>
            </w:r>
          </w:p>
        </w:tc>
        <w:tc>
          <w:tcPr>
            <w:tcW w:w="771" w:type="dxa"/>
            <w:tcBorders>
              <w:top w:val="nil"/>
              <w:left w:val="nil"/>
              <w:bottom w:val="nil"/>
              <w:right w:val="nil"/>
            </w:tcBorders>
            <w:shd w:val="clear" w:color="auto" w:fill="auto"/>
            <w:vAlign w:val="bottom"/>
            <w:hideMark/>
          </w:tcPr>
          <w:p w14:paraId="44BA7168"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71" w:type="dxa"/>
            <w:tcBorders>
              <w:top w:val="nil"/>
              <w:left w:val="nil"/>
              <w:bottom w:val="nil"/>
              <w:right w:val="nil"/>
            </w:tcBorders>
            <w:shd w:val="clear" w:color="auto" w:fill="auto"/>
            <w:vAlign w:val="bottom"/>
            <w:hideMark/>
          </w:tcPr>
          <w:p w14:paraId="3F9D756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vAlign w:val="bottom"/>
            <w:hideMark/>
          </w:tcPr>
          <w:p w14:paraId="16AEBDD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12" w:type="dxa"/>
            <w:tcBorders>
              <w:top w:val="nil"/>
              <w:left w:val="nil"/>
              <w:bottom w:val="nil"/>
              <w:right w:val="nil"/>
            </w:tcBorders>
            <w:shd w:val="clear" w:color="auto" w:fill="auto"/>
            <w:vAlign w:val="bottom"/>
            <w:hideMark/>
          </w:tcPr>
          <w:p w14:paraId="48B6133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612" w:type="dxa"/>
            <w:tcBorders>
              <w:top w:val="nil"/>
              <w:left w:val="nil"/>
              <w:bottom w:val="nil"/>
              <w:right w:val="nil"/>
            </w:tcBorders>
            <w:shd w:val="clear" w:color="auto" w:fill="auto"/>
            <w:vAlign w:val="bottom"/>
            <w:hideMark/>
          </w:tcPr>
          <w:p w14:paraId="0C0BCF3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12" w:type="dxa"/>
            <w:tcBorders>
              <w:top w:val="nil"/>
              <w:left w:val="nil"/>
              <w:bottom w:val="nil"/>
              <w:right w:val="nil"/>
            </w:tcBorders>
            <w:shd w:val="clear" w:color="auto" w:fill="auto"/>
            <w:vAlign w:val="bottom"/>
            <w:hideMark/>
          </w:tcPr>
          <w:p w14:paraId="3C1A421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672" w:type="dxa"/>
            <w:tcBorders>
              <w:top w:val="nil"/>
              <w:left w:val="nil"/>
              <w:bottom w:val="nil"/>
              <w:right w:val="nil"/>
            </w:tcBorders>
            <w:shd w:val="clear" w:color="auto" w:fill="auto"/>
            <w:vAlign w:val="bottom"/>
            <w:hideMark/>
          </w:tcPr>
          <w:p w14:paraId="5666012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12" w:type="dxa"/>
            <w:tcBorders>
              <w:top w:val="nil"/>
              <w:left w:val="nil"/>
              <w:bottom w:val="nil"/>
              <w:right w:val="nil"/>
            </w:tcBorders>
            <w:shd w:val="clear" w:color="auto" w:fill="auto"/>
            <w:vAlign w:val="bottom"/>
            <w:hideMark/>
          </w:tcPr>
          <w:p w14:paraId="224854F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831" w:type="dxa"/>
            <w:tcBorders>
              <w:top w:val="nil"/>
              <w:left w:val="nil"/>
              <w:bottom w:val="nil"/>
              <w:right w:val="nil"/>
            </w:tcBorders>
            <w:shd w:val="clear" w:color="auto" w:fill="auto"/>
            <w:vAlign w:val="bottom"/>
            <w:hideMark/>
          </w:tcPr>
          <w:p w14:paraId="4BEF9ED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r>
      <w:tr w:rsidR="0072757B" w:rsidRPr="00006A2A" w14:paraId="63657238" w14:textId="77777777" w:rsidTr="00BB2321">
        <w:trPr>
          <w:trHeight w:val="315"/>
        </w:trPr>
        <w:tc>
          <w:tcPr>
            <w:tcW w:w="2521" w:type="dxa"/>
            <w:tcBorders>
              <w:top w:val="nil"/>
              <w:left w:val="nil"/>
              <w:bottom w:val="nil"/>
              <w:right w:val="nil"/>
            </w:tcBorders>
            <w:shd w:val="clear" w:color="auto" w:fill="auto"/>
            <w:noWrap/>
            <w:vAlign w:val="bottom"/>
            <w:hideMark/>
          </w:tcPr>
          <w:p w14:paraId="06AAE8AD"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Justice (police)</w:t>
            </w:r>
          </w:p>
        </w:tc>
        <w:tc>
          <w:tcPr>
            <w:tcW w:w="771" w:type="dxa"/>
            <w:tcBorders>
              <w:top w:val="nil"/>
              <w:left w:val="nil"/>
              <w:bottom w:val="nil"/>
              <w:right w:val="nil"/>
            </w:tcBorders>
            <w:shd w:val="clear" w:color="auto" w:fill="auto"/>
            <w:noWrap/>
            <w:vAlign w:val="bottom"/>
            <w:hideMark/>
          </w:tcPr>
          <w:p w14:paraId="65ACF47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w:t>
            </w:r>
          </w:p>
        </w:tc>
        <w:tc>
          <w:tcPr>
            <w:tcW w:w="771" w:type="dxa"/>
            <w:tcBorders>
              <w:top w:val="nil"/>
              <w:left w:val="nil"/>
              <w:bottom w:val="nil"/>
              <w:right w:val="nil"/>
            </w:tcBorders>
            <w:shd w:val="clear" w:color="auto" w:fill="auto"/>
            <w:noWrap/>
            <w:vAlign w:val="bottom"/>
            <w:hideMark/>
          </w:tcPr>
          <w:p w14:paraId="372B34E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-15</w:t>
            </w:r>
          </w:p>
        </w:tc>
        <w:tc>
          <w:tcPr>
            <w:tcW w:w="712" w:type="dxa"/>
            <w:tcBorders>
              <w:top w:val="nil"/>
              <w:left w:val="nil"/>
              <w:bottom w:val="nil"/>
              <w:right w:val="nil"/>
            </w:tcBorders>
            <w:shd w:val="clear" w:color="auto" w:fill="auto"/>
            <w:noWrap/>
            <w:vAlign w:val="bottom"/>
            <w:hideMark/>
          </w:tcPr>
          <w:p w14:paraId="0F983F55"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w:t>
            </w:r>
          </w:p>
        </w:tc>
        <w:tc>
          <w:tcPr>
            <w:tcW w:w="712" w:type="dxa"/>
            <w:tcBorders>
              <w:top w:val="nil"/>
              <w:left w:val="nil"/>
              <w:bottom w:val="nil"/>
              <w:right w:val="nil"/>
            </w:tcBorders>
            <w:shd w:val="clear" w:color="auto" w:fill="auto"/>
            <w:noWrap/>
            <w:vAlign w:val="bottom"/>
            <w:hideMark/>
          </w:tcPr>
          <w:p w14:paraId="5EC25E1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612" w:type="dxa"/>
            <w:tcBorders>
              <w:top w:val="nil"/>
              <w:left w:val="nil"/>
              <w:bottom w:val="nil"/>
              <w:right w:val="nil"/>
            </w:tcBorders>
            <w:shd w:val="clear" w:color="auto" w:fill="auto"/>
            <w:noWrap/>
            <w:vAlign w:val="bottom"/>
            <w:hideMark/>
          </w:tcPr>
          <w:p w14:paraId="619FA93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w:t>
            </w:r>
          </w:p>
        </w:tc>
        <w:tc>
          <w:tcPr>
            <w:tcW w:w="712" w:type="dxa"/>
            <w:tcBorders>
              <w:top w:val="nil"/>
              <w:left w:val="nil"/>
              <w:bottom w:val="nil"/>
              <w:right w:val="nil"/>
            </w:tcBorders>
            <w:shd w:val="clear" w:color="auto" w:fill="auto"/>
            <w:noWrap/>
            <w:vAlign w:val="bottom"/>
            <w:hideMark/>
          </w:tcPr>
          <w:p w14:paraId="452C54B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672" w:type="dxa"/>
            <w:tcBorders>
              <w:top w:val="nil"/>
              <w:left w:val="nil"/>
              <w:bottom w:val="nil"/>
              <w:right w:val="nil"/>
            </w:tcBorders>
            <w:shd w:val="clear" w:color="auto" w:fill="auto"/>
            <w:noWrap/>
            <w:vAlign w:val="bottom"/>
            <w:hideMark/>
          </w:tcPr>
          <w:p w14:paraId="50B9C15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013C46C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6</w:t>
            </w:r>
          </w:p>
        </w:tc>
        <w:tc>
          <w:tcPr>
            <w:tcW w:w="831" w:type="dxa"/>
            <w:tcBorders>
              <w:top w:val="nil"/>
              <w:left w:val="nil"/>
              <w:bottom w:val="nil"/>
              <w:right w:val="nil"/>
            </w:tcBorders>
            <w:shd w:val="clear" w:color="auto" w:fill="auto"/>
            <w:noWrap/>
            <w:vAlign w:val="bottom"/>
            <w:hideMark/>
          </w:tcPr>
          <w:p w14:paraId="007353E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24</w:t>
            </w:r>
          </w:p>
        </w:tc>
      </w:tr>
      <w:tr w:rsidR="0072757B" w:rsidRPr="00006A2A" w14:paraId="0F2DC68F" w14:textId="77777777" w:rsidTr="00BB2321">
        <w:trPr>
          <w:trHeight w:val="315"/>
        </w:trPr>
        <w:tc>
          <w:tcPr>
            <w:tcW w:w="2521" w:type="dxa"/>
            <w:tcBorders>
              <w:top w:val="nil"/>
              <w:left w:val="nil"/>
              <w:bottom w:val="nil"/>
              <w:right w:val="nil"/>
            </w:tcBorders>
            <w:shd w:val="clear" w:color="auto" w:fill="auto"/>
            <w:noWrap/>
            <w:vAlign w:val="bottom"/>
            <w:hideMark/>
          </w:tcPr>
          <w:p w14:paraId="45DBBC60"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Justice (courts)</w:t>
            </w:r>
          </w:p>
        </w:tc>
        <w:tc>
          <w:tcPr>
            <w:tcW w:w="771" w:type="dxa"/>
            <w:tcBorders>
              <w:top w:val="nil"/>
              <w:left w:val="nil"/>
              <w:bottom w:val="nil"/>
              <w:right w:val="nil"/>
            </w:tcBorders>
            <w:shd w:val="clear" w:color="auto" w:fill="auto"/>
            <w:noWrap/>
            <w:vAlign w:val="bottom"/>
            <w:hideMark/>
          </w:tcPr>
          <w:p w14:paraId="19D67AE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71" w:type="dxa"/>
            <w:tcBorders>
              <w:top w:val="nil"/>
              <w:left w:val="nil"/>
              <w:bottom w:val="nil"/>
              <w:right w:val="nil"/>
            </w:tcBorders>
            <w:shd w:val="clear" w:color="auto" w:fill="auto"/>
            <w:noWrap/>
            <w:vAlign w:val="bottom"/>
            <w:hideMark/>
          </w:tcPr>
          <w:p w14:paraId="5436BDF3"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c>
          <w:tcPr>
            <w:tcW w:w="712" w:type="dxa"/>
            <w:tcBorders>
              <w:top w:val="nil"/>
              <w:left w:val="nil"/>
              <w:bottom w:val="nil"/>
              <w:right w:val="nil"/>
            </w:tcBorders>
            <w:shd w:val="clear" w:color="auto" w:fill="auto"/>
            <w:noWrap/>
            <w:vAlign w:val="bottom"/>
            <w:hideMark/>
          </w:tcPr>
          <w:p w14:paraId="5321E3A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562839D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612" w:type="dxa"/>
            <w:tcBorders>
              <w:top w:val="nil"/>
              <w:left w:val="nil"/>
              <w:bottom w:val="nil"/>
              <w:right w:val="nil"/>
            </w:tcBorders>
            <w:shd w:val="clear" w:color="auto" w:fill="auto"/>
            <w:noWrap/>
            <w:vAlign w:val="bottom"/>
            <w:hideMark/>
          </w:tcPr>
          <w:p w14:paraId="6040C13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712" w:type="dxa"/>
            <w:tcBorders>
              <w:top w:val="nil"/>
              <w:left w:val="nil"/>
              <w:bottom w:val="nil"/>
              <w:right w:val="nil"/>
            </w:tcBorders>
            <w:shd w:val="clear" w:color="auto" w:fill="auto"/>
            <w:noWrap/>
            <w:vAlign w:val="bottom"/>
            <w:hideMark/>
          </w:tcPr>
          <w:p w14:paraId="2F40D3A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672" w:type="dxa"/>
            <w:tcBorders>
              <w:top w:val="nil"/>
              <w:left w:val="nil"/>
              <w:bottom w:val="nil"/>
              <w:right w:val="nil"/>
            </w:tcBorders>
            <w:shd w:val="clear" w:color="auto" w:fill="auto"/>
            <w:noWrap/>
            <w:vAlign w:val="bottom"/>
            <w:hideMark/>
          </w:tcPr>
          <w:p w14:paraId="6503F5B2"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0</w:t>
            </w:r>
          </w:p>
        </w:tc>
        <w:tc>
          <w:tcPr>
            <w:tcW w:w="712" w:type="dxa"/>
            <w:tcBorders>
              <w:top w:val="nil"/>
              <w:left w:val="nil"/>
              <w:bottom w:val="nil"/>
              <w:right w:val="nil"/>
            </w:tcBorders>
            <w:shd w:val="clear" w:color="auto" w:fill="auto"/>
            <w:noWrap/>
            <w:vAlign w:val="bottom"/>
            <w:hideMark/>
          </w:tcPr>
          <w:p w14:paraId="63F5939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w:t>
            </w:r>
          </w:p>
        </w:tc>
        <w:tc>
          <w:tcPr>
            <w:tcW w:w="831" w:type="dxa"/>
            <w:tcBorders>
              <w:top w:val="nil"/>
              <w:left w:val="nil"/>
              <w:bottom w:val="nil"/>
              <w:right w:val="nil"/>
            </w:tcBorders>
            <w:shd w:val="clear" w:color="auto" w:fill="auto"/>
            <w:noWrap/>
            <w:vAlign w:val="bottom"/>
            <w:hideMark/>
          </w:tcPr>
          <w:p w14:paraId="5F2AFCB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r>
      <w:tr w:rsidR="0072757B" w:rsidRPr="00006A2A" w14:paraId="08225D30" w14:textId="77777777" w:rsidTr="00BB2321">
        <w:trPr>
          <w:trHeight w:val="315"/>
        </w:trPr>
        <w:tc>
          <w:tcPr>
            <w:tcW w:w="2521" w:type="dxa"/>
            <w:tcBorders>
              <w:top w:val="nil"/>
              <w:left w:val="nil"/>
              <w:bottom w:val="nil"/>
              <w:right w:val="nil"/>
            </w:tcBorders>
            <w:shd w:val="clear" w:color="auto" w:fill="auto"/>
            <w:noWrap/>
            <w:vAlign w:val="bottom"/>
            <w:hideMark/>
          </w:tcPr>
          <w:p w14:paraId="6A2719C3"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 xml:space="preserve">   Subtotal ($m)</w:t>
            </w:r>
          </w:p>
        </w:tc>
        <w:tc>
          <w:tcPr>
            <w:tcW w:w="771" w:type="dxa"/>
            <w:tcBorders>
              <w:top w:val="single" w:sz="4" w:space="0" w:color="auto"/>
              <w:left w:val="nil"/>
              <w:bottom w:val="nil"/>
              <w:right w:val="nil"/>
            </w:tcBorders>
            <w:shd w:val="clear" w:color="auto" w:fill="auto"/>
            <w:noWrap/>
            <w:vAlign w:val="bottom"/>
            <w:hideMark/>
          </w:tcPr>
          <w:p w14:paraId="7914486B"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-29</w:t>
            </w:r>
          </w:p>
        </w:tc>
        <w:tc>
          <w:tcPr>
            <w:tcW w:w="771" w:type="dxa"/>
            <w:tcBorders>
              <w:top w:val="single" w:sz="4" w:space="0" w:color="auto"/>
              <w:left w:val="nil"/>
              <w:bottom w:val="nil"/>
              <w:right w:val="nil"/>
            </w:tcBorders>
            <w:shd w:val="clear" w:color="auto" w:fill="auto"/>
            <w:noWrap/>
            <w:vAlign w:val="bottom"/>
            <w:hideMark/>
          </w:tcPr>
          <w:p w14:paraId="1A2B375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-49</w:t>
            </w:r>
          </w:p>
        </w:tc>
        <w:tc>
          <w:tcPr>
            <w:tcW w:w="712" w:type="dxa"/>
            <w:tcBorders>
              <w:top w:val="single" w:sz="4" w:space="0" w:color="auto"/>
              <w:left w:val="nil"/>
              <w:bottom w:val="nil"/>
              <w:right w:val="nil"/>
            </w:tcBorders>
            <w:shd w:val="clear" w:color="auto" w:fill="auto"/>
            <w:noWrap/>
            <w:vAlign w:val="bottom"/>
            <w:hideMark/>
          </w:tcPr>
          <w:p w14:paraId="06F7ECC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12</w:t>
            </w:r>
          </w:p>
        </w:tc>
        <w:tc>
          <w:tcPr>
            <w:tcW w:w="712" w:type="dxa"/>
            <w:tcBorders>
              <w:top w:val="single" w:sz="4" w:space="0" w:color="auto"/>
              <w:left w:val="nil"/>
              <w:bottom w:val="nil"/>
              <w:right w:val="nil"/>
            </w:tcBorders>
            <w:shd w:val="clear" w:color="auto" w:fill="auto"/>
            <w:noWrap/>
            <w:vAlign w:val="bottom"/>
            <w:hideMark/>
          </w:tcPr>
          <w:p w14:paraId="7043BA7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22</w:t>
            </w:r>
          </w:p>
        </w:tc>
        <w:tc>
          <w:tcPr>
            <w:tcW w:w="612" w:type="dxa"/>
            <w:tcBorders>
              <w:top w:val="single" w:sz="4" w:space="0" w:color="auto"/>
              <w:left w:val="nil"/>
              <w:bottom w:val="nil"/>
              <w:right w:val="nil"/>
            </w:tcBorders>
            <w:shd w:val="clear" w:color="auto" w:fill="auto"/>
            <w:noWrap/>
            <w:vAlign w:val="bottom"/>
            <w:hideMark/>
          </w:tcPr>
          <w:p w14:paraId="7155C3E4"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25</w:t>
            </w:r>
          </w:p>
        </w:tc>
        <w:tc>
          <w:tcPr>
            <w:tcW w:w="712" w:type="dxa"/>
            <w:tcBorders>
              <w:top w:val="single" w:sz="4" w:space="0" w:color="auto"/>
              <w:left w:val="nil"/>
              <w:bottom w:val="nil"/>
              <w:right w:val="nil"/>
            </w:tcBorders>
            <w:shd w:val="clear" w:color="auto" w:fill="auto"/>
            <w:noWrap/>
            <w:vAlign w:val="bottom"/>
            <w:hideMark/>
          </w:tcPr>
          <w:p w14:paraId="0248FF7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672" w:type="dxa"/>
            <w:tcBorders>
              <w:top w:val="single" w:sz="4" w:space="0" w:color="auto"/>
              <w:left w:val="nil"/>
              <w:bottom w:val="nil"/>
              <w:right w:val="nil"/>
            </w:tcBorders>
            <w:shd w:val="clear" w:color="auto" w:fill="auto"/>
            <w:noWrap/>
            <w:vAlign w:val="bottom"/>
            <w:hideMark/>
          </w:tcPr>
          <w:p w14:paraId="457E030D"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-5</w:t>
            </w:r>
          </w:p>
        </w:tc>
        <w:tc>
          <w:tcPr>
            <w:tcW w:w="712" w:type="dxa"/>
            <w:tcBorders>
              <w:top w:val="single" w:sz="4" w:space="0" w:color="auto"/>
              <w:left w:val="nil"/>
              <w:bottom w:val="nil"/>
              <w:right w:val="nil"/>
            </w:tcBorders>
            <w:shd w:val="clear" w:color="auto" w:fill="auto"/>
            <w:noWrap/>
            <w:vAlign w:val="bottom"/>
            <w:hideMark/>
          </w:tcPr>
          <w:p w14:paraId="0E47DCC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21</w:t>
            </w:r>
          </w:p>
        </w:tc>
        <w:tc>
          <w:tcPr>
            <w:tcW w:w="831" w:type="dxa"/>
            <w:tcBorders>
              <w:top w:val="single" w:sz="4" w:space="0" w:color="auto"/>
              <w:left w:val="nil"/>
              <w:bottom w:val="nil"/>
              <w:right w:val="nil"/>
            </w:tcBorders>
            <w:shd w:val="clear" w:color="auto" w:fill="auto"/>
            <w:noWrap/>
            <w:vAlign w:val="bottom"/>
            <w:hideMark/>
          </w:tcPr>
          <w:p w14:paraId="75EC5FC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83</w:t>
            </w:r>
          </w:p>
        </w:tc>
      </w:tr>
      <w:tr w:rsidR="0072757B" w:rsidRPr="00006A2A" w14:paraId="1DD4D74A" w14:textId="77777777" w:rsidTr="00BB2321">
        <w:trPr>
          <w:trHeight w:val="315"/>
        </w:trPr>
        <w:tc>
          <w:tcPr>
            <w:tcW w:w="2521" w:type="dxa"/>
            <w:tcBorders>
              <w:top w:val="nil"/>
              <w:left w:val="nil"/>
              <w:bottom w:val="single" w:sz="4" w:space="0" w:color="auto"/>
              <w:right w:val="nil"/>
            </w:tcBorders>
            <w:shd w:val="clear" w:color="auto" w:fill="auto"/>
            <w:noWrap/>
            <w:vAlign w:val="bottom"/>
            <w:hideMark/>
          </w:tcPr>
          <w:p w14:paraId="295DA779" w14:textId="77777777" w:rsidR="0072757B" w:rsidRPr="00006A2A" w:rsidRDefault="0072757B" w:rsidP="0072757B">
            <w:pPr>
              <w:keepNext/>
              <w:tabs>
                <w:tab w:val="clear" w:pos="567"/>
              </w:tabs>
              <w:spacing w:after="0" w:line="240" w:lineRule="auto"/>
              <w:ind w:left="193" w:hanging="142"/>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 xml:space="preserve">   Subtotal ($pc)</w:t>
            </w:r>
          </w:p>
        </w:tc>
        <w:tc>
          <w:tcPr>
            <w:tcW w:w="771" w:type="dxa"/>
            <w:tcBorders>
              <w:top w:val="nil"/>
              <w:left w:val="nil"/>
              <w:bottom w:val="single" w:sz="4" w:space="0" w:color="auto"/>
              <w:right w:val="nil"/>
            </w:tcBorders>
            <w:shd w:val="clear" w:color="auto" w:fill="auto"/>
            <w:noWrap/>
            <w:vAlign w:val="bottom"/>
            <w:hideMark/>
          </w:tcPr>
          <w:p w14:paraId="08EE86CE"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-4</w:t>
            </w:r>
          </w:p>
        </w:tc>
        <w:tc>
          <w:tcPr>
            <w:tcW w:w="771" w:type="dxa"/>
            <w:tcBorders>
              <w:top w:val="nil"/>
              <w:left w:val="nil"/>
              <w:bottom w:val="single" w:sz="4" w:space="0" w:color="auto"/>
              <w:right w:val="nil"/>
            </w:tcBorders>
            <w:shd w:val="clear" w:color="auto" w:fill="auto"/>
            <w:noWrap/>
            <w:vAlign w:val="bottom"/>
            <w:hideMark/>
          </w:tcPr>
          <w:p w14:paraId="41B64901"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712" w:type="dxa"/>
            <w:tcBorders>
              <w:top w:val="nil"/>
              <w:left w:val="nil"/>
              <w:bottom w:val="single" w:sz="4" w:space="0" w:color="auto"/>
              <w:right w:val="nil"/>
            </w:tcBorders>
            <w:shd w:val="clear" w:color="auto" w:fill="auto"/>
            <w:noWrap/>
            <w:vAlign w:val="bottom"/>
            <w:hideMark/>
          </w:tcPr>
          <w:p w14:paraId="091B7FB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2</w:t>
            </w:r>
          </w:p>
        </w:tc>
        <w:tc>
          <w:tcPr>
            <w:tcW w:w="712" w:type="dxa"/>
            <w:tcBorders>
              <w:top w:val="nil"/>
              <w:left w:val="nil"/>
              <w:bottom w:val="single" w:sz="4" w:space="0" w:color="auto"/>
              <w:right w:val="nil"/>
            </w:tcBorders>
            <w:shd w:val="clear" w:color="auto" w:fill="auto"/>
            <w:noWrap/>
            <w:vAlign w:val="bottom"/>
            <w:hideMark/>
          </w:tcPr>
          <w:p w14:paraId="7F00170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w:t>
            </w:r>
          </w:p>
        </w:tc>
        <w:tc>
          <w:tcPr>
            <w:tcW w:w="612" w:type="dxa"/>
            <w:tcBorders>
              <w:top w:val="nil"/>
              <w:left w:val="nil"/>
              <w:bottom w:val="single" w:sz="4" w:space="0" w:color="auto"/>
              <w:right w:val="nil"/>
            </w:tcBorders>
            <w:shd w:val="clear" w:color="auto" w:fill="auto"/>
            <w:noWrap/>
            <w:vAlign w:val="bottom"/>
            <w:hideMark/>
          </w:tcPr>
          <w:p w14:paraId="417F54AF"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14</w:t>
            </w:r>
          </w:p>
        </w:tc>
        <w:tc>
          <w:tcPr>
            <w:tcW w:w="712" w:type="dxa"/>
            <w:tcBorders>
              <w:top w:val="nil"/>
              <w:left w:val="nil"/>
              <w:bottom w:val="single" w:sz="4" w:space="0" w:color="auto"/>
              <w:right w:val="nil"/>
            </w:tcBorders>
            <w:shd w:val="clear" w:color="auto" w:fill="auto"/>
            <w:noWrap/>
            <w:vAlign w:val="bottom"/>
            <w:hideMark/>
          </w:tcPr>
          <w:p w14:paraId="4CE096D0"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7</w:t>
            </w:r>
          </w:p>
        </w:tc>
        <w:tc>
          <w:tcPr>
            <w:tcW w:w="672" w:type="dxa"/>
            <w:tcBorders>
              <w:top w:val="nil"/>
              <w:left w:val="nil"/>
              <w:bottom w:val="single" w:sz="4" w:space="0" w:color="auto"/>
              <w:right w:val="nil"/>
            </w:tcBorders>
            <w:shd w:val="clear" w:color="auto" w:fill="auto"/>
            <w:noWrap/>
            <w:vAlign w:val="bottom"/>
            <w:hideMark/>
          </w:tcPr>
          <w:p w14:paraId="5F069036"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-12</w:t>
            </w:r>
          </w:p>
        </w:tc>
        <w:tc>
          <w:tcPr>
            <w:tcW w:w="712" w:type="dxa"/>
            <w:tcBorders>
              <w:top w:val="nil"/>
              <w:left w:val="nil"/>
              <w:bottom w:val="single" w:sz="4" w:space="0" w:color="auto"/>
              <w:right w:val="nil"/>
            </w:tcBorders>
            <w:shd w:val="clear" w:color="auto" w:fill="auto"/>
            <w:noWrap/>
            <w:vAlign w:val="bottom"/>
            <w:hideMark/>
          </w:tcPr>
          <w:p w14:paraId="19D761FA"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84</w:t>
            </w:r>
          </w:p>
        </w:tc>
        <w:tc>
          <w:tcPr>
            <w:tcW w:w="831" w:type="dxa"/>
            <w:tcBorders>
              <w:top w:val="nil"/>
              <w:left w:val="nil"/>
              <w:bottom w:val="single" w:sz="4" w:space="0" w:color="auto"/>
              <w:right w:val="nil"/>
            </w:tcBorders>
            <w:shd w:val="clear" w:color="auto" w:fill="auto"/>
            <w:noWrap/>
            <w:vAlign w:val="bottom"/>
            <w:hideMark/>
          </w:tcPr>
          <w:p w14:paraId="76D67F0C" w14:textId="77777777" w:rsidR="0072757B" w:rsidRPr="00006A2A" w:rsidRDefault="0072757B" w:rsidP="0072757B">
            <w:pPr>
              <w:keepNext/>
              <w:tabs>
                <w:tab w:val="clear" w:pos="567"/>
              </w:tabs>
              <w:spacing w:after="0" w:line="240" w:lineRule="auto"/>
              <w:ind w:left="193" w:hanging="142"/>
              <w:jc w:val="right"/>
              <w:rPr>
                <w:rFonts w:ascii="Calibri" w:eastAsia="Times New Roman" w:hAnsi="Calibri" w:cs="Times New Roman"/>
                <w:sz w:val="20"/>
                <w:szCs w:val="20"/>
                <w:lang w:eastAsia="en-AU"/>
              </w:rPr>
            </w:pPr>
            <w:r w:rsidRPr="00006A2A">
              <w:rPr>
                <w:rFonts w:ascii="Calibri" w:eastAsia="Times New Roman" w:hAnsi="Calibri" w:cs="Times New Roman"/>
                <w:sz w:val="20"/>
                <w:szCs w:val="20"/>
                <w:lang w:eastAsia="en-AU"/>
              </w:rPr>
              <w:t>3</w:t>
            </w:r>
          </w:p>
        </w:tc>
      </w:tr>
      <w:tr w:rsidR="0072757B" w:rsidRPr="00006A2A" w14:paraId="61D23956" w14:textId="77777777" w:rsidTr="00BB2321">
        <w:trPr>
          <w:trHeight w:val="315"/>
        </w:trPr>
        <w:tc>
          <w:tcPr>
            <w:tcW w:w="2521" w:type="dxa"/>
            <w:tcBorders>
              <w:top w:val="nil"/>
              <w:left w:val="nil"/>
              <w:bottom w:val="nil"/>
              <w:right w:val="nil"/>
            </w:tcBorders>
            <w:shd w:val="clear" w:color="auto" w:fill="auto"/>
            <w:noWrap/>
            <w:vAlign w:val="bottom"/>
            <w:hideMark/>
          </w:tcPr>
          <w:p w14:paraId="0953E2F7" w14:textId="77777777" w:rsidR="0072757B" w:rsidRPr="00006A2A" w:rsidRDefault="0072757B" w:rsidP="0072757B">
            <w:pPr>
              <w:keepNext/>
              <w:tabs>
                <w:tab w:val="clear" w:pos="567"/>
              </w:tabs>
              <w:spacing w:after="0" w:line="240" w:lineRule="auto"/>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Total ($m)</w:t>
            </w:r>
          </w:p>
        </w:tc>
        <w:tc>
          <w:tcPr>
            <w:tcW w:w="771" w:type="dxa"/>
            <w:tcBorders>
              <w:top w:val="nil"/>
              <w:left w:val="nil"/>
              <w:bottom w:val="nil"/>
              <w:right w:val="nil"/>
            </w:tcBorders>
            <w:shd w:val="clear" w:color="auto" w:fill="auto"/>
            <w:noWrap/>
            <w:vAlign w:val="bottom"/>
            <w:hideMark/>
          </w:tcPr>
          <w:p w14:paraId="7236D03B"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-537</w:t>
            </w:r>
          </w:p>
        </w:tc>
        <w:tc>
          <w:tcPr>
            <w:tcW w:w="771" w:type="dxa"/>
            <w:tcBorders>
              <w:top w:val="nil"/>
              <w:left w:val="nil"/>
              <w:bottom w:val="nil"/>
              <w:right w:val="nil"/>
            </w:tcBorders>
            <w:shd w:val="clear" w:color="auto" w:fill="auto"/>
            <w:noWrap/>
            <w:vAlign w:val="bottom"/>
            <w:hideMark/>
          </w:tcPr>
          <w:p w14:paraId="3BDF519C"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-510</w:t>
            </w:r>
          </w:p>
        </w:tc>
        <w:tc>
          <w:tcPr>
            <w:tcW w:w="712" w:type="dxa"/>
            <w:tcBorders>
              <w:top w:val="nil"/>
              <w:left w:val="nil"/>
              <w:bottom w:val="nil"/>
              <w:right w:val="nil"/>
            </w:tcBorders>
            <w:shd w:val="clear" w:color="auto" w:fill="auto"/>
            <w:noWrap/>
            <w:vAlign w:val="bottom"/>
            <w:hideMark/>
          </w:tcPr>
          <w:p w14:paraId="014A8FFD"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317</w:t>
            </w:r>
          </w:p>
        </w:tc>
        <w:tc>
          <w:tcPr>
            <w:tcW w:w="712" w:type="dxa"/>
            <w:tcBorders>
              <w:top w:val="nil"/>
              <w:left w:val="nil"/>
              <w:bottom w:val="nil"/>
              <w:right w:val="nil"/>
            </w:tcBorders>
            <w:shd w:val="clear" w:color="auto" w:fill="auto"/>
            <w:noWrap/>
            <w:vAlign w:val="bottom"/>
            <w:hideMark/>
          </w:tcPr>
          <w:p w14:paraId="248286DF"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237</w:t>
            </w:r>
          </w:p>
        </w:tc>
        <w:tc>
          <w:tcPr>
            <w:tcW w:w="612" w:type="dxa"/>
            <w:tcBorders>
              <w:top w:val="nil"/>
              <w:left w:val="nil"/>
              <w:bottom w:val="nil"/>
              <w:right w:val="nil"/>
            </w:tcBorders>
            <w:shd w:val="clear" w:color="auto" w:fill="auto"/>
            <w:noWrap/>
            <w:vAlign w:val="bottom"/>
            <w:hideMark/>
          </w:tcPr>
          <w:p w14:paraId="3E7CE81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114</w:t>
            </w:r>
          </w:p>
        </w:tc>
        <w:tc>
          <w:tcPr>
            <w:tcW w:w="712" w:type="dxa"/>
            <w:tcBorders>
              <w:top w:val="nil"/>
              <w:left w:val="nil"/>
              <w:bottom w:val="nil"/>
              <w:right w:val="nil"/>
            </w:tcBorders>
            <w:shd w:val="clear" w:color="auto" w:fill="auto"/>
            <w:noWrap/>
            <w:vAlign w:val="bottom"/>
            <w:hideMark/>
          </w:tcPr>
          <w:p w14:paraId="58DF84FE"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133</w:t>
            </w:r>
          </w:p>
        </w:tc>
        <w:tc>
          <w:tcPr>
            <w:tcW w:w="672" w:type="dxa"/>
            <w:tcBorders>
              <w:top w:val="nil"/>
              <w:left w:val="nil"/>
              <w:bottom w:val="nil"/>
              <w:right w:val="nil"/>
            </w:tcBorders>
            <w:shd w:val="clear" w:color="auto" w:fill="auto"/>
            <w:noWrap/>
            <w:vAlign w:val="bottom"/>
            <w:hideMark/>
          </w:tcPr>
          <w:p w14:paraId="11FDD7E6"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-69</w:t>
            </w:r>
          </w:p>
        </w:tc>
        <w:tc>
          <w:tcPr>
            <w:tcW w:w="712" w:type="dxa"/>
            <w:tcBorders>
              <w:top w:val="nil"/>
              <w:left w:val="nil"/>
              <w:bottom w:val="nil"/>
              <w:right w:val="nil"/>
            </w:tcBorders>
            <w:shd w:val="clear" w:color="auto" w:fill="auto"/>
            <w:noWrap/>
            <w:vAlign w:val="bottom"/>
            <w:hideMark/>
          </w:tcPr>
          <w:p w14:paraId="52503AF1"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315</w:t>
            </w:r>
          </w:p>
        </w:tc>
        <w:tc>
          <w:tcPr>
            <w:tcW w:w="831" w:type="dxa"/>
            <w:tcBorders>
              <w:top w:val="nil"/>
              <w:left w:val="nil"/>
              <w:bottom w:val="nil"/>
              <w:right w:val="nil"/>
            </w:tcBorders>
            <w:shd w:val="clear" w:color="auto" w:fill="auto"/>
            <w:noWrap/>
            <w:vAlign w:val="bottom"/>
            <w:hideMark/>
          </w:tcPr>
          <w:p w14:paraId="6AF205B7"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1117</w:t>
            </w:r>
          </w:p>
        </w:tc>
      </w:tr>
      <w:tr w:rsidR="0072757B" w:rsidRPr="00006A2A" w14:paraId="57918773" w14:textId="77777777" w:rsidTr="00BB2321">
        <w:trPr>
          <w:trHeight w:val="315"/>
        </w:trPr>
        <w:tc>
          <w:tcPr>
            <w:tcW w:w="2521" w:type="dxa"/>
            <w:tcBorders>
              <w:top w:val="nil"/>
              <w:left w:val="nil"/>
              <w:bottom w:val="single" w:sz="4" w:space="0" w:color="auto"/>
              <w:right w:val="nil"/>
            </w:tcBorders>
            <w:shd w:val="clear" w:color="auto" w:fill="auto"/>
            <w:noWrap/>
            <w:vAlign w:val="bottom"/>
            <w:hideMark/>
          </w:tcPr>
          <w:p w14:paraId="58EE7BD2" w14:textId="77777777" w:rsidR="0072757B" w:rsidRPr="00006A2A" w:rsidRDefault="0072757B" w:rsidP="0072757B">
            <w:pPr>
              <w:keepNext/>
              <w:tabs>
                <w:tab w:val="clear" w:pos="567"/>
              </w:tabs>
              <w:spacing w:after="0" w:line="240" w:lineRule="auto"/>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Total ($pc)</w:t>
            </w:r>
          </w:p>
        </w:tc>
        <w:tc>
          <w:tcPr>
            <w:tcW w:w="771" w:type="dxa"/>
            <w:tcBorders>
              <w:top w:val="nil"/>
              <w:left w:val="nil"/>
              <w:bottom w:val="single" w:sz="4" w:space="0" w:color="auto"/>
              <w:right w:val="nil"/>
            </w:tcBorders>
            <w:shd w:val="clear" w:color="auto" w:fill="auto"/>
            <w:noWrap/>
            <w:vAlign w:val="bottom"/>
            <w:hideMark/>
          </w:tcPr>
          <w:p w14:paraId="5011107D"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-67</w:t>
            </w:r>
          </w:p>
        </w:tc>
        <w:tc>
          <w:tcPr>
            <w:tcW w:w="771" w:type="dxa"/>
            <w:tcBorders>
              <w:top w:val="nil"/>
              <w:left w:val="nil"/>
              <w:bottom w:val="single" w:sz="4" w:space="0" w:color="auto"/>
              <w:right w:val="nil"/>
            </w:tcBorders>
            <w:shd w:val="clear" w:color="auto" w:fill="auto"/>
            <w:noWrap/>
            <w:vAlign w:val="bottom"/>
            <w:hideMark/>
          </w:tcPr>
          <w:p w14:paraId="39B26626"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-78</w:t>
            </w:r>
          </w:p>
        </w:tc>
        <w:tc>
          <w:tcPr>
            <w:tcW w:w="712" w:type="dxa"/>
            <w:tcBorders>
              <w:top w:val="nil"/>
              <w:left w:val="nil"/>
              <w:bottom w:val="single" w:sz="4" w:space="0" w:color="auto"/>
              <w:right w:val="nil"/>
            </w:tcBorders>
            <w:shd w:val="clear" w:color="auto" w:fill="auto"/>
            <w:noWrap/>
            <w:vAlign w:val="bottom"/>
            <w:hideMark/>
          </w:tcPr>
          <w:p w14:paraId="0C05986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63</w:t>
            </w:r>
          </w:p>
        </w:tc>
        <w:tc>
          <w:tcPr>
            <w:tcW w:w="712" w:type="dxa"/>
            <w:tcBorders>
              <w:top w:val="nil"/>
              <w:left w:val="nil"/>
              <w:bottom w:val="single" w:sz="4" w:space="0" w:color="auto"/>
              <w:right w:val="nil"/>
            </w:tcBorders>
            <w:shd w:val="clear" w:color="auto" w:fill="auto"/>
            <w:noWrap/>
            <w:vAlign w:val="bottom"/>
            <w:hideMark/>
          </w:tcPr>
          <w:p w14:paraId="4DB342D0"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90</w:t>
            </w:r>
          </w:p>
        </w:tc>
        <w:tc>
          <w:tcPr>
            <w:tcW w:w="612" w:type="dxa"/>
            <w:tcBorders>
              <w:top w:val="nil"/>
              <w:left w:val="nil"/>
              <w:bottom w:val="single" w:sz="4" w:space="0" w:color="auto"/>
              <w:right w:val="nil"/>
            </w:tcBorders>
            <w:shd w:val="clear" w:color="auto" w:fill="auto"/>
            <w:noWrap/>
            <w:vAlign w:val="bottom"/>
            <w:hideMark/>
          </w:tcPr>
          <w:p w14:paraId="7116F848"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66</w:t>
            </w:r>
          </w:p>
        </w:tc>
        <w:tc>
          <w:tcPr>
            <w:tcW w:w="712" w:type="dxa"/>
            <w:tcBorders>
              <w:top w:val="nil"/>
              <w:left w:val="nil"/>
              <w:bottom w:val="single" w:sz="4" w:space="0" w:color="auto"/>
              <w:right w:val="nil"/>
            </w:tcBorders>
            <w:shd w:val="clear" w:color="auto" w:fill="auto"/>
            <w:noWrap/>
            <w:vAlign w:val="bottom"/>
            <w:hideMark/>
          </w:tcPr>
          <w:p w14:paraId="193FD061"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253</w:t>
            </w:r>
          </w:p>
        </w:tc>
        <w:tc>
          <w:tcPr>
            <w:tcW w:w="672" w:type="dxa"/>
            <w:tcBorders>
              <w:top w:val="nil"/>
              <w:left w:val="nil"/>
              <w:bottom w:val="single" w:sz="4" w:space="0" w:color="auto"/>
              <w:right w:val="nil"/>
            </w:tcBorders>
            <w:shd w:val="clear" w:color="auto" w:fill="auto"/>
            <w:noWrap/>
            <w:vAlign w:val="bottom"/>
            <w:hideMark/>
          </w:tcPr>
          <w:p w14:paraId="4029D435"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-166</w:t>
            </w:r>
          </w:p>
        </w:tc>
        <w:tc>
          <w:tcPr>
            <w:tcW w:w="712" w:type="dxa"/>
            <w:tcBorders>
              <w:top w:val="nil"/>
              <w:left w:val="nil"/>
              <w:bottom w:val="single" w:sz="4" w:space="0" w:color="auto"/>
              <w:right w:val="nil"/>
            </w:tcBorders>
            <w:shd w:val="clear" w:color="auto" w:fill="auto"/>
            <w:noWrap/>
            <w:vAlign w:val="bottom"/>
            <w:hideMark/>
          </w:tcPr>
          <w:p w14:paraId="1FBECD39"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1280</w:t>
            </w:r>
          </w:p>
        </w:tc>
        <w:tc>
          <w:tcPr>
            <w:tcW w:w="831" w:type="dxa"/>
            <w:tcBorders>
              <w:top w:val="nil"/>
              <w:left w:val="nil"/>
              <w:bottom w:val="single" w:sz="4" w:space="0" w:color="auto"/>
              <w:right w:val="nil"/>
            </w:tcBorders>
            <w:shd w:val="clear" w:color="auto" w:fill="auto"/>
            <w:noWrap/>
            <w:vAlign w:val="bottom"/>
            <w:hideMark/>
          </w:tcPr>
          <w:p w14:paraId="75D3C09F" w14:textId="77777777" w:rsidR="0072757B" w:rsidRPr="00006A2A" w:rsidRDefault="0072757B" w:rsidP="0072757B">
            <w:pPr>
              <w:keepNext/>
              <w:tabs>
                <w:tab w:val="clear" w:pos="567"/>
              </w:tabs>
              <w:spacing w:after="0" w:line="240" w:lineRule="auto"/>
              <w:jc w:val="right"/>
              <w:rPr>
                <w:rFonts w:ascii="Calibri" w:eastAsia="Times New Roman" w:hAnsi="Calibri" w:cs="Calibri"/>
                <w:sz w:val="20"/>
                <w:szCs w:val="20"/>
                <w:lang w:eastAsia="en-AU"/>
              </w:rPr>
            </w:pPr>
            <w:r w:rsidRPr="00006A2A">
              <w:rPr>
                <w:rFonts w:ascii="Calibri" w:eastAsia="Times New Roman" w:hAnsi="Calibri" w:cs="Calibri"/>
                <w:sz w:val="20"/>
                <w:szCs w:val="20"/>
                <w:lang w:eastAsia="en-AU"/>
              </w:rPr>
              <w:t>44</w:t>
            </w:r>
          </w:p>
        </w:tc>
      </w:tr>
    </w:tbl>
    <w:p w14:paraId="61D23C3C" w14:textId="6B9BCA85" w:rsidR="00CA29AA" w:rsidRDefault="00CA29AA" w:rsidP="0072757B">
      <w:pPr>
        <w:pStyle w:val="CGCDataCaption"/>
        <w:keepNext/>
      </w:pPr>
      <w:r>
        <w:t>Note:</w:t>
      </w:r>
      <w:r>
        <w:tab/>
      </w:r>
      <w:r w:rsidR="0072757B" w:rsidRPr="00CA29AA">
        <w:t>The table only includes those aspects of remoteness that are measured through regional costs</w:t>
      </w:r>
      <w:r w:rsidRPr="00CA29AA">
        <w:t>.</w:t>
      </w:r>
      <w:r w:rsidR="000D0852" w:rsidRPr="00AD64AF">
        <w:rPr>
          <w:highlight w:val="yellow"/>
        </w:rPr>
        <w:t xml:space="preserve"> </w:t>
      </w:r>
    </w:p>
    <w:p w14:paraId="490A0C7A" w14:textId="70FE6D89" w:rsidR="00852D39" w:rsidRPr="00542095" w:rsidRDefault="00852D39" w:rsidP="0072757B">
      <w:pPr>
        <w:pStyle w:val="CGCDataCaption"/>
        <w:keepNext/>
      </w:pPr>
      <w:r w:rsidRPr="00930815">
        <w:t>Source:</w:t>
      </w:r>
      <w:r w:rsidRPr="00930815">
        <w:tab/>
      </w:r>
      <w:r w:rsidRPr="00542095">
        <w:t>Commission calculation, 201</w:t>
      </w:r>
      <w:r w:rsidR="00FD2DA6">
        <w:t>8</w:t>
      </w:r>
      <w:r w:rsidR="00547390">
        <w:t xml:space="preserve"> Update.</w:t>
      </w:r>
    </w:p>
    <w:p w14:paraId="218D7B2A" w14:textId="3A4B8AF5" w:rsidR="00546A7D" w:rsidRDefault="00546A7D" w:rsidP="00546A7D">
      <w:pPr>
        <w:pStyle w:val="Heading4"/>
      </w:pPr>
      <w:bookmarkStart w:id="21" w:name="_Toc511732739"/>
      <w:r>
        <w:t>Calculation of socio-eco</w:t>
      </w:r>
      <w:r w:rsidR="0013606D">
        <w:t>nomic status in 2015 (and 2018 U</w:t>
      </w:r>
      <w:r>
        <w:t>pdate)</w:t>
      </w:r>
      <w:bookmarkEnd w:id="21"/>
    </w:p>
    <w:p w14:paraId="4C07E35F" w14:textId="77777777" w:rsidR="00B81D60" w:rsidRDefault="00A72459" w:rsidP="00B564F7">
      <w:pPr>
        <w:pStyle w:val="CGCNumberedPara"/>
        <w:rPr>
          <w:rStyle w:val="Heading6Char"/>
          <w:rFonts w:eastAsiaTheme="minorHAnsi" w:cstheme="minorBidi"/>
          <w:b w:val="0"/>
          <w:i w:val="0"/>
          <w:iCs w:val="0"/>
          <w:color w:val="auto"/>
          <w:sz w:val="24"/>
        </w:rPr>
      </w:pPr>
      <w:r w:rsidRPr="00B81D60">
        <w:rPr>
          <w:rStyle w:val="Heading6Char"/>
          <w:rFonts w:eastAsiaTheme="minorHAnsi" w:cstheme="minorBidi"/>
          <w:b w:val="0"/>
          <w:i w:val="0"/>
          <w:iCs w:val="0"/>
          <w:color w:val="auto"/>
          <w:sz w:val="24"/>
        </w:rPr>
        <w:t xml:space="preserve">The Commission uses alternative measures of socio-economic status depending on purpose and data availability. When data </w:t>
      </w:r>
      <w:r w:rsidR="00C41079" w:rsidRPr="00B81D60">
        <w:rPr>
          <w:rStyle w:val="Heading6Char"/>
          <w:rFonts w:eastAsiaTheme="minorHAnsi" w:cstheme="minorBidi"/>
          <w:b w:val="0"/>
          <w:i w:val="0"/>
          <w:iCs w:val="0"/>
          <w:color w:val="auto"/>
          <w:sz w:val="24"/>
        </w:rPr>
        <w:t>are</w:t>
      </w:r>
      <w:r w:rsidRPr="00B81D60">
        <w:rPr>
          <w:rStyle w:val="Heading6Char"/>
          <w:rFonts w:eastAsiaTheme="minorHAnsi" w:cstheme="minorBidi"/>
          <w:b w:val="0"/>
          <w:i w:val="0"/>
          <w:iCs w:val="0"/>
          <w:color w:val="auto"/>
          <w:sz w:val="24"/>
        </w:rPr>
        <w:t xml:space="preserve"> differentiated by Indigenous status </w:t>
      </w:r>
      <w:r w:rsidR="006642AE" w:rsidRPr="00B81D60">
        <w:rPr>
          <w:rStyle w:val="Heading6Char"/>
          <w:rFonts w:eastAsiaTheme="minorHAnsi" w:cstheme="minorBidi"/>
          <w:b w:val="0"/>
          <w:i w:val="0"/>
          <w:iCs w:val="0"/>
          <w:color w:val="auto"/>
          <w:sz w:val="24"/>
        </w:rPr>
        <w:t xml:space="preserve">then </w:t>
      </w:r>
      <w:r w:rsidR="00116064" w:rsidRPr="00B81D60">
        <w:rPr>
          <w:rStyle w:val="Heading6Char"/>
          <w:rFonts w:eastAsiaTheme="minorHAnsi" w:cstheme="minorBidi"/>
          <w:b w:val="0"/>
          <w:i w:val="0"/>
          <w:iCs w:val="0"/>
          <w:color w:val="auto"/>
          <w:sz w:val="24"/>
        </w:rPr>
        <w:t>IRSEO</w:t>
      </w:r>
      <w:r w:rsidR="00355EE0" w:rsidRPr="00B81D60">
        <w:rPr>
          <w:rStyle w:val="Heading6Char"/>
          <w:rFonts w:eastAsiaTheme="minorHAnsi" w:cstheme="minorBidi"/>
          <w:b w:val="0"/>
          <w:i w:val="0"/>
          <w:iCs w:val="0"/>
          <w:color w:val="auto"/>
          <w:sz w:val="24"/>
        </w:rPr>
        <w:t xml:space="preserve"> and</w:t>
      </w:r>
      <w:r w:rsidR="001619C9" w:rsidRPr="00B81D60">
        <w:rPr>
          <w:rStyle w:val="Heading6Char"/>
          <w:rFonts w:eastAsiaTheme="minorHAnsi" w:cstheme="minorBidi"/>
          <w:b w:val="0"/>
          <w:i w:val="0"/>
          <w:iCs w:val="0"/>
          <w:color w:val="auto"/>
          <w:sz w:val="24"/>
        </w:rPr>
        <w:t xml:space="preserve"> </w:t>
      </w:r>
      <w:r w:rsidR="0013606D" w:rsidRPr="00B81D60">
        <w:rPr>
          <w:rStyle w:val="Heading6Char"/>
          <w:rFonts w:eastAsiaTheme="minorHAnsi" w:cstheme="minorBidi"/>
          <w:b w:val="0"/>
          <w:i w:val="0"/>
          <w:iCs w:val="0"/>
          <w:color w:val="auto"/>
          <w:sz w:val="24"/>
        </w:rPr>
        <w:t>NISEIFA</w:t>
      </w:r>
      <w:r w:rsidR="00540BF6" w:rsidRPr="00B81D60">
        <w:rPr>
          <w:rStyle w:val="Heading6Char"/>
          <w:rFonts w:eastAsiaTheme="minorHAnsi" w:cstheme="minorBidi"/>
          <w:b w:val="0"/>
          <w:i w:val="0"/>
          <w:iCs w:val="0"/>
          <w:color w:val="auto"/>
          <w:sz w:val="24"/>
        </w:rPr>
        <w:t xml:space="preserve"> are used</w:t>
      </w:r>
      <w:r w:rsidR="00B00E87" w:rsidRPr="00B81D60">
        <w:rPr>
          <w:rStyle w:val="Heading6Char"/>
          <w:rFonts w:eastAsiaTheme="minorHAnsi" w:cstheme="minorBidi"/>
          <w:b w:val="0"/>
          <w:i w:val="0"/>
          <w:iCs w:val="0"/>
          <w:color w:val="auto"/>
          <w:sz w:val="24"/>
        </w:rPr>
        <w:t>,</w:t>
      </w:r>
      <w:r w:rsidR="0013606D" w:rsidRPr="00B81D60">
        <w:rPr>
          <w:rStyle w:val="Heading6Char"/>
          <w:rFonts w:eastAsiaTheme="minorHAnsi" w:cstheme="minorBidi"/>
          <w:b w:val="0"/>
          <w:i w:val="0"/>
          <w:iCs w:val="0"/>
          <w:color w:val="auto"/>
          <w:sz w:val="24"/>
        </w:rPr>
        <w:t xml:space="preserve"> and </w:t>
      </w:r>
      <w:r w:rsidR="00355EE0" w:rsidRPr="00B81D60">
        <w:rPr>
          <w:rStyle w:val="Heading6Char"/>
          <w:rFonts w:eastAsiaTheme="minorHAnsi" w:cstheme="minorBidi"/>
          <w:b w:val="0"/>
          <w:i w:val="0"/>
          <w:iCs w:val="0"/>
          <w:color w:val="auto"/>
          <w:sz w:val="24"/>
        </w:rPr>
        <w:t xml:space="preserve">where it is not, </w:t>
      </w:r>
      <w:r w:rsidR="00540BF6" w:rsidRPr="00B81D60">
        <w:rPr>
          <w:rStyle w:val="Heading6Char"/>
          <w:rFonts w:eastAsiaTheme="minorHAnsi" w:cstheme="minorBidi"/>
          <w:b w:val="0"/>
          <w:i w:val="0"/>
          <w:iCs w:val="0"/>
          <w:color w:val="auto"/>
          <w:sz w:val="24"/>
        </w:rPr>
        <w:t xml:space="preserve">then </w:t>
      </w:r>
      <w:r w:rsidR="0013606D" w:rsidRPr="00B81D60">
        <w:rPr>
          <w:rStyle w:val="Heading6Char"/>
          <w:rFonts w:eastAsiaTheme="minorHAnsi" w:cstheme="minorBidi"/>
          <w:b w:val="0"/>
          <w:i w:val="0"/>
          <w:iCs w:val="0"/>
          <w:color w:val="auto"/>
          <w:sz w:val="24"/>
        </w:rPr>
        <w:t>SEIFA</w:t>
      </w:r>
      <w:r w:rsidR="00540BF6" w:rsidRPr="00B81D60">
        <w:rPr>
          <w:rStyle w:val="Heading6Char"/>
          <w:rFonts w:eastAsiaTheme="minorHAnsi" w:cstheme="minorBidi"/>
          <w:b w:val="0"/>
          <w:i w:val="0"/>
          <w:iCs w:val="0"/>
          <w:color w:val="auto"/>
          <w:sz w:val="24"/>
        </w:rPr>
        <w:t xml:space="preserve"> is used</w:t>
      </w:r>
      <w:r w:rsidR="0013606D" w:rsidRPr="00B81D60">
        <w:rPr>
          <w:rStyle w:val="Heading6Char"/>
          <w:rFonts w:eastAsiaTheme="minorHAnsi" w:cstheme="minorBidi"/>
          <w:b w:val="0"/>
          <w:i w:val="0"/>
          <w:iCs w:val="0"/>
          <w:color w:val="auto"/>
          <w:sz w:val="24"/>
        </w:rPr>
        <w:t>.</w:t>
      </w:r>
    </w:p>
    <w:p w14:paraId="56A75470" w14:textId="62E6D1B4" w:rsidR="00E918A5" w:rsidRDefault="00EC5AA3" w:rsidP="00B564F7">
      <w:pPr>
        <w:pStyle w:val="CGCNumberedPara"/>
      </w:pPr>
      <w:r w:rsidRPr="00EC5AA3">
        <w:rPr>
          <w:rStyle w:val="Heading6Char"/>
        </w:rPr>
        <w:t>SEIFA.</w:t>
      </w:r>
      <w:r>
        <w:t xml:space="preserve"> </w:t>
      </w:r>
      <w:r w:rsidR="00E918A5">
        <w:t xml:space="preserve">SEIFA </w:t>
      </w:r>
      <w:r w:rsidR="00AB2F12">
        <w:t xml:space="preserve">is </w:t>
      </w:r>
      <w:r w:rsidR="00061D3C">
        <w:t xml:space="preserve">a </w:t>
      </w:r>
      <w:r w:rsidR="0076332F">
        <w:t>product developed by the ABS that ranks areas (</w:t>
      </w:r>
      <w:r w:rsidR="00E0383F">
        <w:t xml:space="preserve">Statistical Areas Level 1 or </w:t>
      </w:r>
      <w:r w:rsidR="0076332F">
        <w:t>SA1s)</w:t>
      </w:r>
      <w:r w:rsidR="00E0383F">
        <w:rPr>
          <w:rStyle w:val="FootnoteReference"/>
        </w:rPr>
        <w:footnoteReference w:id="1"/>
      </w:r>
      <w:r w:rsidR="0076332F">
        <w:t xml:space="preserve"> in Australia according to relative socio-economic disadvantage.</w:t>
      </w:r>
      <w:r w:rsidR="000C5A97">
        <w:t xml:space="preserve"> </w:t>
      </w:r>
      <w:r w:rsidR="000C5A97" w:rsidRPr="000C5A97">
        <w:t>The index</w:t>
      </w:r>
      <w:r w:rsidR="000C5A97">
        <w:t xml:space="preserve"> is </w:t>
      </w:r>
      <w:r w:rsidR="000C5A97" w:rsidRPr="000C5A97">
        <w:t>based on information from the five-yearly Census.</w:t>
      </w:r>
    </w:p>
    <w:p w14:paraId="6C5F324A" w14:textId="54EFF9D0" w:rsidR="00CB158A" w:rsidRPr="00CB158A" w:rsidRDefault="00CB158A" w:rsidP="00CB158A">
      <w:pPr>
        <w:pStyle w:val="CGCNumberedPara"/>
      </w:pPr>
      <w:r w:rsidRPr="00CB158A">
        <w:rPr>
          <w:rStyle w:val="Heading6Char"/>
        </w:rPr>
        <w:t>IRSEO.</w:t>
      </w:r>
      <w:r>
        <w:t xml:space="preserve"> </w:t>
      </w:r>
      <w:r w:rsidR="0076332F">
        <w:t>IRSEO</w:t>
      </w:r>
      <w:r w:rsidR="00A72459">
        <w:t xml:space="preserve"> </w:t>
      </w:r>
      <w:r w:rsidR="00116064">
        <w:t xml:space="preserve">is </w:t>
      </w:r>
      <w:r w:rsidRPr="00CB158A">
        <w:t xml:space="preserve">developed </w:t>
      </w:r>
      <w:r w:rsidR="00CE5788">
        <w:t xml:space="preserve">by </w:t>
      </w:r>
      <w:r w:rsidRPr="00CB158A">
        <w:t xml:space="preserve">CAEPR based on the same technique </w:t>
      </w:r>
      <w:r w:rsidR="0076332F">
        <w:t xml:space="preserve">that </w:t>
      </w:r>
      <w:r w:rsidRPr="00CB158A">
        <w:t>the ABS uses to produce SEIFA</w:t>
      </w:r>
      <w:r w:rsidR="00A72459">
        <w:t xml:space="preserve">. It </w:t>
      </w:r>
      <w:r w:rsidRPr="00CB158A">
        <w:t xml:space="preserve">uses a reduced suite of contributing variables </w:t>
      </w:r>
      <w:r w:rsidR="0076332F">
        <w:t xml:space="preserve">that measure </w:t>
      </w:r>
      <w:r w:rsidR="0076332F">
        <w:lastRenderedPageBreak/>
        <w:t xml:space="preserve">advantage. </w:t>
      </w:r>
      <w:r w:rsidR="00355EE0">
        <w:t xml:space="preserve">Because the Indigenous population is much smaller than the non-Indigenous population, IRSEO can only be reliably calculated for the relatively large </w:t>
      </w:r>
      <w:r w:rsidRPr="00CB158A">
        <w:t xml:space="preserve">Indigenous areas rather than the much finer geography available for SEIFA. </w:t>
      </w:r>
    </w:p>
    <w:p w14:paraId="1B19266A" w14:textId="33F11A62" w:rsidR="00CB158A" w:rsidRDefault="00CB158A" w:rsidP="00CB158A">
      <w:pPr>
        <w:pStyle w:val="CGCNumberedPara"/>
      </w:pPr>
      <w:r w:rsidRPr="00CB158A">
        <w:rPr>
          <w:rStyle w:val="Heading6Char"/>
        </w:rPr>
        <w:t>NISEIFA.</w:t>
      </w:r>
      <w:r>
        <w:t xml:space="preserve"> To complement IRSEO, the </w:t>
      </w:r>
      <w:r w:rsidR="0048060A">
        <w:t xml:space="preserve">Commission </w:t>
      </w:r>
      <w:r>
        <w:t>commissioned the ABS to produce a version of SEIFA using only the non-Indigenous population.</w:t>
      </w:r>
      <w:r w:rsidR="00CE5788">
        <w:t xml:space="preserve"> </w:t>
      </w:r>
      <w:r w:rsidR="0076332F">
        <w:t xml:space="preserve">NISEIFA </w:t>
      </w:r>
      <w:r>
        <w:t xml:space="preserve">uses the same variables </w:t>
      </w:r>
      <w:r w:rsidR="00CE5788">
        <w:t xml:space="preserve">and spatial unit </w:t>
      </w:r>
      <w:r>
        <w:t xml:space="preserve">as </w:t>
      </w:r>
      <w:r w:rsidR="0076332F">
        <w:t xml:space="preserve">SEIFA </w:t>
      </w:r>
      <w:r>
        <w:t>but is recalculated for</w:t>
      </w:r>
      <w:r w:rsidR="0076332F">
        <w:t xml:space="preserve"> the non-Indigenous population.</w:t>
      </w:r>
    </w:p>
    <w:p w14:paraId="2EE368C8" w14:textId="37A72058" w:rsidR="00E918A5" w:rsidRDefault="0076332F" w:rsidP="00307C38">
      <w:pPr>
        <w:pStyle w:val="CGCNumberedPara"/>
      </w:pPr>
      <w:r w:rsidRPr="0076332F">
        <w:rPr>
          <w:rStyle w:val="Heading6Char"/>
        </w:rPr>
        <w:t>Updating the SES measures.</w:t>
      </w:r>
      <w:r>
        <w:t xml:space="preserve"> </w:t>
      </w:r>
      <w:r w:rsidR="00E918A5">
        <w:t>For the 2018 Update,</w:t>
      </w:r>
      <w:r w:rsidR="0040432D">
        <w:t xml:space="preserve"> </w:t>
      </w:r>
      <w:r w:rsidR="00061D3C">
        <w:t xml:space="preserve">IRSEO and NISEIFA </w:t>
      </w:r>
      <w:r w:rsidR="003354EC">
        <w:t xml:space="preserve">have been </w:t>
      </w:r>
      <w:r w:rsidR="00061D3C">
        <w:t>updated using the 2016 Census data</w:t>
      </w:r>
      <w:r w:rsidR="00061D3C" w:rsidRPr="00061D3C">
        <w:t xml:space="preserve"> in a way directly comparable with the measures produced from the 2011 Census</w:t>
      </w:r>
      <w:r w:rsidR="00061D3C">
        <w:t xml:space="preserve">. </w:t>
      </w:r>
    </w:p>
    <w:p w14:paraId="653783F1" w14:textId="77777777" w:rsidR="002948A4" w:rsidRDefault="002948A4" w:rsidP="002948A4">
      <w:pPr>
        <w:pStyle w:val="Heading3"/>
      </w:pPr>
      <w:bookmarkStart w:id="22" w:name="_Toc511732740"/>
      <w:r>
        <w:t>Issues and analysis</w:t>
      </w:r>
      <w:bookmarkEnd w:id="22"/>
    </w:p>
    <w:p w14:paraId="1DCD92BD" w14:textId="77777777" w:rsidR="00B17354" w:rsidRPr="00B17354" w:rsidRDefault="00B17354" w:rsidP="00B17354">
      <w:pPr>
        <w:pStyle w:val="CGCNumberedPara"/>
      </w:pPr>
      <w:r w:rsidRPr="00B17354">
        <w:t xml:space="preserve">There are </w:t>
      </w:r>
      <w:r w:rsidR="009122E9">
        <w:t xml:space="preserve">some </w:t>
      </w:r>
      <w:r w:rsidRPr="00B17354">
        <w:t>assessment issues t</w:t>
      </w:r>
      <w:r>
        <w:t xml:space="preserve">hat warrant consideration </w:t>
      </w:r>
      <w:r w:rsidRPr="00B17354">
        <w:t>for the 2020 Review. The</w:t>
      </w:r>
      <w:r>
        <w:t xml:space="preserve">se </w:t>
      </w:r>
      <w:r w:rsidRPr="00B17354">
        <w:t>are:</w:t>
      </w:r>
    </w:p>
    <w:p w14:paraId="72831C7F" w14:textId="77777777" w:rsidR="00B17354" w:rsidRDefault="00106444" w:rsidP="00B17354">
      <w:pPr>
        <w:pStyle w:val="CGCBulletlist"/>
      </w:pPr>
      <w:r>
        <w:t xml:space="preserve">the </w:t>
      </w:r>
      <w:r w:rsidR="00355EE0">
        <w:t xml:space="preserve">most appropriate </w:t>
      </w:r>
      <w:r>
        <w:t>geographic classification</w:t>
      </w:r>
      <w:r w:rsidR="00B17354">
        <w:t xml:space="preserve"> for the regional costs assessment</w:t>
      </w:r>
    </w:p>
    <w:p w14:paraId="2AE92B0D" w14:textId="77777777" w:rsidR="009122E9" w:rsidRDefault="00106444" w:rsidP="00CD38AE">
      <w:pPr>
        <w:pStyle w:val="CGCBulletlist"/>
      </w:pPr>
      <w:r>
        <w:t>the availability of reliable data</w:t>
      </w:r>
      <w:r w:rsidR="00B17354">
        <w:t xml:space="preserve"> to broaden the evidence base for the regional costs assessment</w:t>
      </w:r>
      <w:r w:rsidR="002E4EE9">
        <w:t>,</w:t>
      </w:r>
      <w:r w:rsidR="00A33AAC">
        <w:t xml:space="preserve"> and </w:t>
      </w:r>
      <w:r w:rsidR="002E4EE9">
        <w:t xml:space="preserve">support </w:t>
      </w:r>
      <w:r w:rsidR="00A33AAC">
        <w:t xml:space="preserve">extrapolation </w:t>
      </w:r>
      <w:r w:rsidR="009122E9">
        <w:t xml:space="preserve">to other categories </w:t>
      </w:r>
    </w:p>
    <w:p w14:paraId="4E254F63" w14:textId="7AFE6F45" w:rsidR="00DE4275" w:rsidRDefault="00B40FE4" w:rsidP="00B17354">
      <w:pPr>
        <w:pStyle w:val="CGCBulletlist"/>
      </w:pPr>
      <w:r>
        <w:t xml:space="preserve">the </w:t>
      </w:r>
      <w:r w:rsidR="00A33AAC">
        <w:t xml:space="preserve">variables and geography </w:t>
      </w:r>
      <w:r>
        <w:t xml:space="preserve">used </w:t>
      </w:r>
      <w:r w:rsidR="00A33AAC">
        <w:t xml:space="preserve">to </w:t>
      </w:r>
      <w:r w:rsidR="009122E9">
        <w:t xml:space="preserve">measure Indigenous </w:t>
      </w:r>
      <w:r w:rsidR="00653CF8">
        <w:t>s</w:t>
      </w:r>
      <w:r w:rsidR="00DE4275">
        <w:t xml:space="preserve">ocio-economic </w:t>
      </w:r>
      <w:r w:rsidR="00653CF8">
        <w:t>disadvantage</w:t>
      </w:r>
    </w:p>
    <w:p w14:paraId="5481F94B" w14:textId="0DFFA7CD" w:rsidR="005666E2" w:rsidRDefault="00B40FE4" w:rsidP="00B17354">
      <w:pPr>
        <w:pStyle w:val="CGCBulletlist"/>
      </w:pPr>
      <w:r>
        <w:t xml:space="preserve">the </w:t>
      </w:r>
      <w:r w:rsidR="005666E2">
        <w:t>potential for simplification</w:t>
      </w:r>
      <w:r w:rsidR="00BC76EC">
        <w:t>.</w:t>
      </w:r>
    </w:p>
    <w:p w14:paraId="0863759D" w14:textId="3752CAE1" w:rsidR="00106444" w:rsidRDefault="00106444" w:rsidP="00653CF8">
      <w:pPr>
        <w:pStyle w:val="Heading4"/>
      </w:pPr>
      <w:bookmarkStart w:id="23" w:name="_Toc511732741"/>
      <w:r>
        <w:t>Geography for the regional costs assessment</w:t>
      </w:r>
      <w:bookmarkEnd w:id="23"/>
      <w:r>
        <w:t xml:space="preserve"> </w:t>
      </w:r>
    </w:p>
    <w:p w14:paraId="6AA3CA0B" w14:textId="39403DAD" w:rsidR="00106444" w:rsidRDefault="00106444" w:rsidP="00653CF8">
      <w:pPr>
        <w:pStyle w:val="CGCNumberedPara"/>
        <w:keepNext/>
        <w:numPr>
          <w:ilvl w:val="1"/>
          <w:numId w:val="3"/>
        </w:numPr>
      </w:pPr>
      <w:r>
        <w:t>In the 2015 Review, the Commission moved from SARIA</w:t>
      </w:r>
      <w:r w:rsidR="00AA0CDA">
        <w:rPr>
          <w:rStyle w:val="FootnoteReference"/>
        </w:rPr>
        <w:footnoteReference w:id="2"/>
      </w:r>
      <w:r>
        <w:t xml:space="preserve"> to the ABS </w:t>
      </w:r>
      <w:r w:rsidR="00355EE0">
        <w:t xml:space="preserve">standard </w:t>
      </w:r>
      <w:r>
        <w:t>remoteness areas</w:t>
      </w:r>
      <w:r w:rsidR="00355EE0">
        <w:t xml:space="preserve">. We see no reason to reconsider the decision that ABS remoteness areas are a superior measure of the underlying concept than SARIA. However, an alternative measure </w:t>
      </w:r>
      <w:r w:rsidR="00CC4464">
        <w:t>of remoteness has been developed that warrants consideration</w:t>
      </w:r>
      <w:r w:rsidR="00355EE0">
        <w:t xml:space="preserve">. </w:t>
      </w:r>
    </w:p>
    <w:p w14:paraId="288B092D" w14:textId="6A5D0671" w:rsidR="00106444" w:rsidRDefault="00CC4464" w:rsidP="00106444">
      <w:pPr>
        <w:pStyle w:val="CGCNumberedPara"/>
        <w:numPr>
          <w:ilvl w:val="1"/>
          <w:numId w:val="3"/>
        </w:numPr>
      </w:pPr>
      <w:r>
        <w:t xml:space="preserve">The </w:t>
      </w:r>
      <w:r w:rsidRPr="002C0F52">
        <w:t>Modified Monash Model (MMM)</w:t>
      </w:r>
      <w:r>
        <w:t xml:space="preserve"> is a </w:t>
      </w:r>
      <w:r w:rsidR="00106444">
        <w:t xml:space="preserve">geographical classification </w:t>
      </w:r>
      <w:r>
        <w:t xml:space="preserve">of remoteness developed for the </w:t>
      </w:r>
      <w:r w:rsidR="00106444" w:rsidRPr="002C0F52">
        <w:t xml:space="preserve">Department of Health </w:t>
      </w:r>
      <w:r w:rsidR="00106444">
        <w:t>t</w:t>
      </w:r>
      <w:r w:rsidR="00106444" w:rsidRPr="002C0F52">
        <w:t>o better target incentive payments for rural doctors.</w:t>
      </w:r>
      <w:r w:rsidR="00106444">
        <w:t xml:space="preserve"> </w:t>
      </w:r>
      <w:r>
        <w:t xml:space="preserve">It is based on the same principles as ABS remoteness areas and shares much with it. Its modifications </w:t>
      </w:r>
      <w:r w:rsidR="00106444">
        <w:t>attempt to address concern</w:t>
      </w:r>
      <w:r>
        <w:t>s</w:t>
      </w:r>
      <w:r w:rsidR="00106444">
        <w:t xml:space="preserve"> about </w:t>
      </w:r>
      <w:r w:rsidR="00106444" w:rsidRPr="00D51753">
        <w:t>the disparity between areas in the same remoteness category</w:t>
      </w:r>
      <w:r w:rsidR="00106444">
        <w:t xml:space="preserve">, </w:t>
      </w:r>
      <w:r w:rsidR="00106444" w:rsidRPr="00D51753">
        <w:t xml:space="preserve">particularly inner regional and outer regional </w:t>
      </w:r>
      <w:r w:rsidR="00106444">
        <w:t>areas.</w:t>
      </w:r>
    </w:p>
    <w:p w14:paraId="78EBBC84" w14:textId="4F0A98AA" w:rsidR="00106444" w:rsidRDefault="00106444" w:rsidP="00106444">
      <w:pPr>
        <w:pStyle w:val="CGCNumberedPara"/>
        <w:numPr>
          <w:ilvl w:val="1"/>
          <w:numId w:val="3"/>
        </w:numPr>
      </w:pPr>
      <w:r>
        <w:lastRenderedPageBreak/>
        <w:t xml:space="preserve">The MMM </w:t>
      </w:r>
      <w:r w:rsidRPr="00D20168">
        <w:t>subdivid</w:t>
      </w:r>
      <w:r>
        <w:t xml:space="preserve">es </w:t>
      </w:r>
      <w:r w:rsidRPr="00D20168">
        <w:t xml:space="preserve">areas in Inner and Outer Regional Australia into four categories </w:t>
      </w:r>
      <w:r>
        <w:t xml:space="preserve">(MM2 to MM5) </w:t>
      </w:r>
      <w:r w:rsidRPr="00D20168">
        <w:t xml:space="preserve">based on distance </w:t>
      </w:r>
      <w:r w:rsidR="00564E1C">
        <w:t>from</w:t>
      </w:r>
      <w:r>
        <w:t>,</w:t>
      </w:r>
      <w:r w:rsidRPr="00D20168">
        <w:t xml:space="preserve"> and the size of</w:t>
      </w:r>
      <w:r w:rsidR="0048060A">
        <w:t>,</w:t>
      </w:r>
      <w:r w:rsidRPr="00D20168">
        <w:t xml:space="preserve"> the local town or city</w:t>
      </w:r>
      <w:r>
        <w:t xml:space="preserve"> </w:t>
      </w:r>
      <w:r w:rsidRPr="00D20168">
        <w:t>(</w:t>
      </w:r>
      <w:r>
        <w:t xml:space="preserve">see </w:t>
      </w:r>
      <w:r>
        <w:fldChar w:fldCharType="begin"/>
      </w:r>
      <w:r>
        <w:instrText xml:space="preserve"> REF _Ref487106135 \h </w:instrText>
      </w:r>
      <w:r>
        <w:fldChar w:fldCharType="separate"/>
      </w:r>
      <w:r w:rsidR="00777E11">
        <w:t xml:space="preserve">Table </w:t>
      </w:r>
      <w:r w:rsidR="00777E11">
        <w:rPr>
          <w:noProof/>
        </w:rPr>
        <w:t>2</w:t>
      </w:r>
      <w:r>
        <w:fldChar w:fldCharType="end"/>
      </w:r>
      <w:r>
        <w:t>).</w:t>
      </w:r>
    </w:p>
    <w:p w14:paraId="06AC0480" w14:textId="2A239261" w:rsidR="00106444" w:rsidRDefault="00106444" w:rsidP="00287965">
      <w:pPr>
        <w:pStyle w:val="Caption"/>
        <w:ind w:left="0" w:firstLine="0"/>
      </w:pPr>
      <w:bookmarkStart w:id="24" w:name="_Ref487106135"/>
      <w:r>
        <w:t xml:space="preserve">Table </w:t>
      </w:r>
      <w:r w:rsidR="002C0581">
        <w:fldChar w:fldCharType="begin"/>
      </w:r>
      <w:r w:rsidR="002C0581">
        <w:instrText xml:space="preserve"> SEQ Table \* ARABIC </w:instrText>
      </w:r>
      <w:r w:rsidR="002C0581">
        <w:fldChar w:fldCharType="separate"/>
      </w:r>
      <w:r w:rsidR="00777E11">
        <w:rPr>
          <w:noProof/>
        </w:rPr>
        <w:t>2</w:t>
      </w:r>
      <w:r w:rsidR="002C0581">
        <w:rPr>
          <w:noProof/>
        </w:rPr>
        <w:fldChar w:fldCharType="end"/>
      </w:r>
      <w:bookmarkEnd w:id="24"/>
      <w:r>
        <w:tab/>
        <w:t>Modified Monash categories</w:t>
      </w:r>
    </w:p>
    <w:tbl>
      <w:tblPr>
        <w:tblW w:w="8900" w:type="dxa"/>
        <w:tblInd w:w="108" w:type="dxa"/>
        <w:tblLook w:val="04A0" w:firstRow="1" w:lastRow="0" w:firstColumn="1" w:lastColumn="0" w:noHBand="0" w:noVBand="1"/>
      </w:tblPr>
      <w:tblGrid>
        <w:gridCol w:w="1716"/>
        <w:gridCol w:w="1911"/>
        <w:gridCol w:w="1161"/>
        <w:gridCol w:w="4112"/>
      </w:tblGrid>
      <w:tr w:rsidR="00287965" w:rsidRPr="00287965" w14:paraId="4535A7A4" w14:textId="77777777" w:rsidTr="00287965">
        <w:trPr>
          <w:trHeight w:val="510"/>
        </w:trPr>
        <w:tc>
          <w:tcPr>
            <w:tcW w:w="1720" w:type="dxa"/>
            <w:tcBorders>
              <w:top w:val="single" w:sz="4" w:space="0" w:color="auto"/>
              <w:left w:val="nil"/>
              <w:bottom w:val="single" w:sz="4" w:space="0" w:color="auto"/>
              <w:right w:val="single" w:sz="4" w:space="0" w:color="auto"/>
            </w:tcBorders>
            <w:shd w:val="clear" w:color="auto" w:fill="auto"/>
            <w:vAlign w:val="center"/>
            <w:hideMark/>
          </w:tcPr>
          <w:p w14:paraId="10354F63" w14:textId="3A001DD1" w:rsidR="00287965" w:rsidRPr="00287965" w:rsidRDefault="00B45F20" w:rsidP="00B45F20">
            <w:pPr>
              <w:keepNext/>
              <w:tabs>
                <w:tab w:val="clear" w:pos="567"/>
              </w:tabs>
              <w:spacing w:after="0" w:line="240" w:lineRule="auto"/>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Remoteness</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683334DF"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Modified Monash category</w:t>
            </w:r>
          </w:p>
        </w:tc>
        <w:tc>
          <w:tcPr>
            <w:tcW w:w="5260" w:type="dxa"/>
            <w:gridSpan w:val="2"/>
            <w:tcBorders>
              <w:top w:val="single" w:sz="4" w:space="0" w:color="auto"/>
              <w:left w:val="nil"/>
              <w:bottom w:val="single" w:sz="4" w:space="0" w:color="auto"/>
              <w:right w:val="nil"/>
            </w:tcBorders>
            <w:shd w:val="clear" w:color="auto" w:fill="auto"/>
            <w:vAlign w:val="center"/>
            <w:hideMark/>
          </w:tcPr>
          <w:p w14:paraId="0F8039CA"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Description</w:t>
            </w:r>
          </w:p>
        </w:tc>
      </w:tr>
      <w:tr w:rsidR="00287965" w:rsidRPr="00287965" w14:paraId="5D74EFAE" w14:textId="77777777" w:rsidTr="00287965">
        <w:trPr>
          <w:trHeight w:val="255"/>
        </w:trPr>
        <w:tc>
          <w:tcPr>
            <w:tcW w:w="1720" w:type="dxa"/>
            <w:tcBorders>
              <w:top w:val="nil"/>
              <w:left w:val="nil"/>
              <w:bottom w:val="single" w:sz="4" w:space="0" w:color="auto"/>
              <w:right w:val="single" w:sz="4" w:space="0" w:color="auto"/>
            </w:tcBorders>
            <w:shd w:val="clear" w:color="auto" w:fill="auto"/>
            <w:vAlign w:val="center"/>
            <w:hideMark/>
          </w:tcPr>
          <w:p w14:paraId="366D0D54"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1. Major cities</w:t>
            </w:r>
          </w:p>
        </w:tc>
        <w:tc>
          <w:tcPr>
            <w:tcW w:w="1920" w:type="dxa"/>
            <w:tcBorders>
              <w:top w:val="nil"/>
              <w:left w:val="nil"/>
              <w:bottom w:val="single" w:sz="4" w:space="0" w:color="auto"/>
              <w:right w:val="single" w:sz="4" w:space="0" w:color="auto"/>
            </w:tcBorders>
            <w:shd w:val="clear" w:color="auto" w:fill="auto"/>
            <w:vAlign w:val="center"/>
            <w:hideMark/>
          </w:tcPr>
          <w:p w14:paraId="10A525B0"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1. Major cities</w:t>
            </w:r>
          </w:p>
        </w:tc>
        <w:tc>
          <w:tcPr>
            <w:tcW w:w="5260" w:type="dxa"/>
            <w:gridSpan w:val="2"/>
            <w:tcBorders>
              <w:top w:val="single" w:sz="4" w:space="0" w:color="auto"/>
              <w:left w:val="nil"/>
              <w:bottom w:val="single" w:sz="4" w:space="0" w:color="auto"/>
              <w:right w:val="nil"/>
            </w:tcBorders>
            <w:shd w:val="clear" w:color="auto" w:fill="auto"/>
            <w:vAlign w:val="center"/>
            <w:hideMark/>
          </w:tcPr>
          <w:p w14:paraId="2AA38012" w14:textId="5ABE4730" w:rsidR="00287965" w:rsidRPr="00287965" w:rsidRDefault="00287965" w:rsidP="00B45F20">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 xml:space="preserve">All areas categorised </w:t>
            </w:r>
            <w:r w:rsidR="00B45F20">
              <w:rPr>
                <w:rFonts w:ascii="Calibri" w:eastAsia="Times New Roman" w:hAnsi="Calibri" w:cs="Calibri"/>
                <w:color w:val="000000"/>
                <w:sz w:val="20"/>
                <w:szCs w:val="20"/>
                <w:lang w:eastAsia="en-AU"/>
              </w:rPr>
              <w:t>as major cities</w:t>
            </w:r>
          </w:p>
        </w:tc>
      </w:tr>
      <w:tr w:rsidR="00287965" w:rsidRPr="00287965" w14:paraId="11BF8DA4" w14:textId="77777777" w:rsidTr="00287965">
        <w:trPr>
          <w:trHeight w:val="510"/>
        </w:trPr>
        <w:tc>
          <w:tcPr>
            <w:tcW w:w="1720" w:type="dxa"/>
            <w:vMerge w:val="restart"/>
            <w:tcBorders>
              <w:top w:val="nil"/>
              <w:left w:val="nil"/>
              <w:bottom w:val="nil"/>
              <w:right w:val="single" w:sz="4" w:space="0" w:color="auto"/>
            </w:tcBorders>
            <w:shd w:val="clear" w:color="000000" w:fill="F2F2F2"/>
            <w:vAlign w:val="center"/>
            <w:hideMark/>
          </w:tcPr>
          <w:p w14:paraId="6A1BC871"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2. Inner regional or                                 3. Outer regional</w:t>
            </w:r>
          </w:p>
        </w:tc>
        <w:tc>
          <w:tcPr>
            <w:tcW w:w="1920" w:type="dxa"/>
            <w:tcBorders>
              <w:top w:val="nil"/>
              <w:left w:val="nil"/>
              <w:bottom w:val="nil"/>
              <w:right w:val="single" w:sz="4" w:space="0" w:color="auto"/>
            </w:tcBorders>
            <w:shd w:val="clear" w:color="000000" w:fill="F2F2F2"/>
            <w:vAlign w:val="center"/>
            <w:hideMark/>
          </w:tcPr>
          <w:p w14:paraId="46E575E9"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2. Large regional</w:t>
            </w:r>
          </w:p>
        </w:tc>
        <w:tc>
          <w:tcPr>
            <w:tcW w:w="1120" w:type="dxa"/>
            <w:vMerge w:val="restart"/>
            <w:tcBorders>
              <w:top w:val="nil"/>
              <w:left w:val="single" w:sz="4" w:space="0" w:color="auto"/>
              <w:bottom w:val="nil"/>
              <w:right w:val="single" w:sz="4" w:space="0" w:color="auto"/>
            </w:tcBorders>
            <w:shd w:val="clear" w:color="000000" w:fill="F2F2F2"/>
            <w:vAlign w:val="center"/>
            <w:hideMark/>
          </w:tcPr>
          <w:p w14:paraId="6BE943D5" w14:textId="17BAF091" w:rsidR="00287965" w:rsidRPr="00287965" w:rsidRDefault="00287965" w:rsidP="00B45F20">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 xml:space="preserve">All areas categorised </w:t>
            </w:r>
            <w:r w:rsidR="00B45F20">
              <w:rPr>
                <w:rFonts w:ascii="Calibri" w:eastAsia="Times New Roman" w:hAnsi="Calibri" w:cs="Calibri"/>
                <w:color w:val="000000"/>
                <w:sz w:val="20"/>
                <w:szCs w:val="20"/>
                <w:lang w:eastAsia="en-AU"/>
              </w:rPr>
              <w:t>as inner or outer regional</w:t>
            </w:r>
          </w:p>
        </w:tc>
        <w:tc>
          <w:tcPr>
            <w:tcW w:w="4140" w:type="dxa"/>
            <w:tcBorders>
              <w:top w:val="nil"/>
              <w:left w:val="nil"/>
              <w:bottom w:val="nil"/>
              <w:right w:val="nil"/>
            </w:tcBorders>
            <w:shd w:val="clear" w:color="000000" w:fill="F2F2F2"/>
            <w:vAlign w:val="center"/>
            <w:hideMark/>
          </w:tcPr>
          <w:p w14:paraId="6EDC3A90" w14:textId="765D38EF"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In or within 20</w:t>
            </w:r>
            <w:r w:rsidR="001D1A53">
              <w:rPr>
                <w:rFonts w:ascii="Calibri" w:eastAsia="Times New Roman" w:hAnsi="Calibri" w:cs="Calibri"/>
                <w:color w:val="000000"/>
                <w:sz w:val="20"/>
                <w:szCs w:val="20"/>
                <w:lang w:eastAsia="en-AU"/>
              </w:rPr>
              <w:t xml:space="preserve"> </w:t>
            </w:r>
            <w:r w:rsidRPr="00287965">
              <w:rPr>
                <w:rFonts w:ascii="Calibri" w:eastAsia="Times New Roman" w:hAnsi="Calibri" w:cs="Calibri"/>
                <w:color w:val="000000"/>
                <w:sz w:val="20"/>
                <w:szCs w:val="20"/>
                <w:lang w:eastAsia="en-AU"/>
              </w:rPr>
              <w:t>km road distance of a town with population &gt; 50,000</w:t>
            </w:r>
          </w:p>
        </w:tc>
      </w:tr>
      <w:tr w:rsidR="00287965" w:rsidRPr="00287965" w14:paraId="3A58F392" w14:textId="77777777" w:rsidTr="00287965">
        <w:trPr>
          <w:trHeight w:val="765"/>
        </w:trPr>
        <w:tc>
          <w:tcPr>
            <w:tcW w:w="1720" w:type="dxa"/>
            <w:vMerge/>
            <w:tcBorders>
              <w:top w:val="nil"/>
              <w:left w:val="nil"/>
              <w:bottom w:val="nil"/>
              <w:right w:val="single" w:sz="4" w:space="0" w:color="auto"/>
            </w:tcBorders>
            <w:vAlign w:val="center"/>
            <w:hideMark/>
          </w:tcPr>
          <w:p w14:paraId="7CA992A2"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p>
        </w:tc>
        <w:tc>
          <w:tcPr>
            <w:tcW w:w="1920" w:type="dxa"/>
            <w:tcBorders>
              <w:top w:val="single" w:sz="4" w:space="0" w:color="auto"/>
              <w:left w:val="nil"/>
              <w:bottom w:val="single" w:sz="4" w:space="0" w:color="auto"/>
              <w:right w:val="single" w:sz="4" w:space="0" w:color="auto"/>
            </w:tcBorders>
            <w:shd w:val="clear" w:color="000000" w:fill="F2F2F2"/>
            <w:vAlign w:val="center"/>
            <w:hideMark/>
          </w:tcPr>
          <w:p w14:paraId="106B4AB0"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3. Medium large regional</w:t>
            </w:r>
          </w:p>
        </w:tc>
        <w:tc>
          <w:tcPr>
            <w:tcW w:w="1120" w:type="dxa"/>
            <w:vMerge/>
            <w:tcBorders>
              <w:top w:val="nil"/>
              <w:left w:val="single" w:sz="4" w:space="0" w:color="auto"/>
              <w:bottom w:val="nil"/>
              <w:right w:val="single" w:sz="4" w:space="0" w:color="auto"/>
            </w:tcBorders>
            <w:vAlign w:val="center"/>
            <w:hideMark/>
          </w:tcPr>
          <w:p w14:paraId="7F1D02E6"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p>
        </w:tc>
        <w:tc>
          <w:tcPr>
            <w:tcW w:w="4140" w:type="dxa"/>
            <w:tcBorders>
              <w:top w:val="single" w:sz="4" w:space="0" w:color="auto"/>
              <w:left w:val="nil"/>
              <w:bottom w:val="single" w:sz="4" w:space="0" w:color="auto"/>
              <w:right w:val="nil"/>
            </w:tcBorders>
            <w:shd w:val="clear" w:color="000000" w:fill="F2F2F2"/>
            <w:vAlign w:val="center"/>
            <w:hideMark/>
          </w:tcPr>
          <w:p w14:paraId="17051DE7" w14:textId="69E4B38A" w:rsidR="00287965" w:rsidRPr="00287965" w:rsidRDefault="00287965" w:rsidP="001D1A53">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Not in MM2 and in or within 15</w:t>
            </w:r>
            <w:r w:rsidR="001D1A53">
              <w:rPr>
                <w:rFonts w:ascii="Calibri" w:eastAsia="Times New Roman" w:hAnsi="Calibri" w:cs="Calibri"/>
                <w:color w:val="000000"/>
                <w:sz w:val="20"/>
                <w:szCs w:val="20"/>
                <w:lang w:eastAsia="en-AU"/>
              </w:rPr>
              <w:t xml:space="preserve"> </w:t>
            </w:r>
            <w:r w:rsidRPr="00287965">
              <w:rPr>
                <w:rFonts w:ascii="Calibri" w:eastAsia="Times New Roman" w:hAnsi="Calibri" w:cs="Calibri"/>
                <w:color w:val="000000"/>
                <w:sz w:val="20"/>
                <w:szCs w:val="20"/>
                <w:lang w:eastAsia="en-AU"/>
              </w:rPr>
              <w:t>km road distance, of a town with population between 15,000 and 50,000</w:t>
            </w:r>
          </w:p>
        </w:tc>
      </w:tr>
      <w:tr w:rsidR="00287965" w:rsidRPr="00287965" w14:paraId="3F95ED49" w14:textId="77777777" w:rsidTr="00287965">
        <w:trPr>
          <w:trHeight w:val="765"/>
        </w:trPr>
        <w:tc>
          <w:tcPr>
            <w:tcW w:w="1720" w:type="dxa"/>
            <w:vMerge/>
            <w:tcBorders>
              <w:top w:val="nil"/>
              <w:left w:val="nil"/>
              <w:bottom w:val="nil"/>
              <w:right w:val="single" w:sz="4" w:space="0" w:color="auto"/>
            </w:tcBorders>
            <w:vAlign w:val="center"/>
            <w:hideMark/>
          </w:tcPr>
          <w:p w14:paraId="0184FAEA"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p>
        </w:tc>
        <w:tc>
          <w:tcPr>
            <w:tcW w:w="1920" w:type="dxa"/>
            <w:tcBorders>
              <w:top w:val="nil"/>
              <w:left w:val="nil"/>
              <w:bottom w:val="single" w:sz="4" w:space="0" w:color="auto"/>
              <w:right w:val="single" w:sz="4" w:space="0" w:color="auto"/>
            </w:tcBorders>
            <w:shd w:val="clear" w:color="000000" w:fill="F2F2F2"/>
            <w:vAlign w:val="center"/>
            <w:hideMark/>
          </w:tcPr>
          <w:p w14:paraId="659A926F"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4. Medium regional</w:t>
            </w:r>
          </w:p>
        </w:tc>
        <w:tc>
          <w:tcPr>
            <w:tcW w:w="1120" w:type="dxa"/>
            <w:vMerge/>
            <w:tcBorders>
              <w:top w:val="nil"/>
              <w:left w:val="single" w:sz="4" w:space="0" w:color="auto"/>
              <w:bottom w:val="nil"/>
              <w:right w:val="single" w:sz="4" w:space="0" w:color="auto"/>
            </w:tcBorders>
            <w:vAlign w:val="center"/>
            <w:hideMark/>
          </w:tcPr>
          <w:p w14:paraId="75F0ABB3"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p>
        </w:tc>
        <w:tc>
          <w:tcPr>
            <w:tcW w:w="4140" w:type="dxa"/>
            <w:tcBorders>
              <w:top w:val="nil"/>
              <w:left w:val="nil"/>
              <w:bottom w:val="single" w:sz="4" w:space="0" w:color="auto"/>
              <w:right w:val="nil"/>
            </w:tcBorders>
            <w:shd w:val="clear" w:color="000000" w:fill="F2F2F2"/>
            <w:vAlign w:val="center"/>
            <w:hideMark/>
          </w:tcPr>
          <w:p w14:paraId="2CF7F59A" w14:textId="7FF2B522" w:rsidR="00287965" w:rsidRPr="00287965" w:rsidRDefault="00287965" w:rsidP="001D1A53">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Not in MM2 or MM3, and in or within 10</w:t>
            </w:r>
            <w:r w:rsidR="001D1A53">
              <w:rPr>
                <w:rFonts w:ascii="Calibri" w:eastAsia="Times New Roman" w:hAnsi="Calibri" w:cs="Calibri"/>
                <w:color w:val="000000"/>
                <w:sz w:val="20"/>
                <w:szCs w:val="20"/>
                <w:lang w:eastAsia="en-AU"/>
              </w:rPr>
              <w:t xml:space="preserve"> </w:t>
            </w:r>
            <w:r w:rsidRPr="00287965">
              <w:rPr>
                <w:rFonts w:ascii="Calibri" w:eastAsia="Times New Roman" w:hAnsi="Calibri" w:cs="Calibri"/>
                <w:color w:val="000000"/>
                <w:sz w:val="20"/>
                <w:szCs w:val="20"/>
                <w:lang w:eastAsia="en-AU"/>
              </w:rPr>
              <w:t>km road distance, of a town with population between 5,000 and 15,000</w:t>
            </w:r>
          </w:p>
        </w:tc>
      </w:tr>
      <w:tr w:rsidR="00287965" w:rsidRPr="00287965" w14:paraId="726FB0B7" w14:textId="77777777" w:rsidTr="00287965">
        <w:trPr>
          <w:trHeight w:val="255"/>
        </w:trPr>
        <w:tc>
          <w:tcPr>
            <w:tcW w:w="1720" w:type="dxa"/>
            <w:vMerge/>
            <w:tcBorders>
              <w:top w:val="nil"/>
              <w:left w:val="nil"/>
              <w:bottom w:val="nil"/>
              <w:right w:val="single" w:sz="4" w:space="0" w:color="auto"/>
            </w:tcBorders>
            <w:vAlign w:val="center"/>
            <w:hideMark/>
          </w:tcPr>
          <w:p w14:paraId="75BCE946"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p>
        </w:tc>
        <w:tc>
          <w:tcPr>
            <w:tcW w:w="1920" w:type="dxa"/>
            <w:tcBorders>
              <w:top w:val="nil"/>
              <w:left w:val="nil"/>
              <w:bottom w:val="nil"/>
              <w:right w:val="single" w:sz="4" w:space="0" w:color="auto"/>
            </w:tcBorders>
            <w:shd w:val="clear" w:color="000000" w:fill="F2F2F2"/>
            <w:vAlign w:val="center"/>
            <w:hideMark/>
          </w:tcPr>
          <w:p w14:paraId="6B4E27E0"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5. Small regional</w:t>
            </w:r>
          </w:p>
        </w:tc>
        <w:tc>
          <w:tcPr>
            <w:tcW w:w="1120" w:type="dxa"/>
            <w:tcBorders>
              <w:top w:val="nil"/>
              <w:left w:val="nil"/>
              <w:bottom w:val="single" w:sz="4" w:space="0" w:color="auto"/>
              <w:right w:val="single" w:sz="4" w:space="0" w:color="auto"/>
            </w:tcBorders>
            <w:shd w:val="clear" w:color="000000" w:fill="F2F2F2"/>
            <w:vAlign w:val="center"/>
            <w:hideMark/>
          </w:tcPr>
          <w:p w14:paraId="305CA98C"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18"/>
                <w:szCs w:val="18"/>
                <w:lang w:eastAsia="en-AU"/>
              </w:rPr>
            </w:pPr>
            <w:r w:rsidRPr="00287965">
              <w:rPr>
                <w:rFonts w:ascii="Calibri" w:eastAsia="Times New Roman" w:hAnsi="Calibri" w:cs="Calibri"/>
                <w:color w:val="000000"/>
                <w:sz w:val="18"/>
                <w:szCs w:val="18"/>
                <w:lang w:eastAsia="en-AU"/>
              </w:rPr>
              <w:t> </w:t>
            </w:r>
          </w:p>
        </w:tc>
        <w:tc>
          <w:tcPr>
            <w:tcW w:w="4140" w:type="dxa"/>
            <w:tcBorders>
              <w:top w:val="nil"/>
              <w:left w:val="nil"/>
              <w:bottom w:val="nil"/>
              <w:right w:val="nil"/>
            </w:tcBorders>
            <w:shd w:val="clear" w:color="000000" w:fill="F2F2F2"/>
            <w:vAlign w:val="center"/>
            <w:hideMark/>
          </w:tcPr>
          <w:p w14:paraId="6DE12C5C"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All other areas</w:t>
            </w:r>
          </w:p>
        </w:tc>
      </w:tr>
      <w:tr w:rsidR="00287965" w:rsidRPr="00287965" w14:paraId="3F13B844" w14:textId="77777777" w:rsidTr="00287965">
        <w:trPr>
          <w:trHeight w:val="795"/>
        </w:trPr>
        <w:tc>
          <w:tcPr>
            <w:tcW w:w="1720" w:type="dxa"/>
            <w:tcBorders>
              <w:top w:val="single" w:sz="4" w:space="0" w:color="auto"/>
              <w:left w:val="nil"/>
              <w:bottom w:val="single" w:sz="4" w:space="0" w:color="auto"/>
              <w:right w:val="single" w:sz="4" w:space="0" w:color="auto"/>
            </w:tcBorders>
            <w:shd w:val="clear" w:color="auto" w:fill="auto"/>
            <w:vAlign w:val="center"/>
            <w:hideMark/>
          </w:tcPr>
          <w:p w14:paraId="41DB60E1"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4. Remote</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14:paraId="18207015"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6. Remote</w:t>
            </w:r>
          </w:p>
        </w:tc>
        <w:tc>
          <w:tcPr>
            <w:tcW w:w="5260" w:type="dxa"/>
            <w:gridSpan w:val="2"/>
            <w:tcBorders>
              <w:top w:val="single" w:sz="4" w:space="0" w:color="auto"/>
              <w:left w:val="nil"/>
              <w:bottom w:val="single" w:sz="4" w:space="0" w:color="auto"/>
              <w:right w:val="nil"/>
            </w:tcBorders>
            <w:shd w:val="clear" w:color="auto" w:fill="auto"/>
            <w:vAlign w:val="center"/>
            <w:hideMark/>
          </w:tcPr>
          <w:p w14:paraId="2F788F06" w14:textId="79AB9B73" w:rsidR="00287965" w:rsidRPr="00287965" w:rsidRDefault="00287965" w:rsidP="00B45F20">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 xml:space="preserve">All areas categorised </w:t>
            </w:r>
            <w:r w:rsidR="00B45F20">
              <w:rPr>
                <w:rFonts w:ascii="Calibri" w:eastAsia="Times New Roman" w:hAnsi="Calibri" w:cs="Calibri"/>
                <w:color w:val="000000"/>
                <w:sz w:val="20"/>
                <w:szCs w:val="20"/>
                <w:lang w:eastAsia="en-AU"/>
              </w:rPr>
              <w:t>as remote</w:t>
            </w:r>
            <w:r w:rsidRPr="00287965">
              <w:rPr>
                <w:rFonts w:ascii="Calibri" w:eastAsia="Times New Roman" w:hAnsi="Calibri" w:cs="Calibri"/>
                <w:color w:val="000000"/>
                <w:sz w:val="20"/>
                <w:szCs w:val="20"/>
                <w:lang w:eastAsia="en-AU"/>
              </w:rPr>
              <w:t xml:space="preserve"> that are not on a populated island that is separated from the mainland in the ABS geography and is more than 5km offshore</w:t>
            </w:r>
          </w:p>
        </w:tc>
      </w:tr>
      <w:tr w:rsidR="00287965" w:rsidRPr="00287965" w14:paraId="378E3C7B" w14:textId="77777777" w:rsidTr="00287965">
        <w:trPr>
          <w:trHeight w:val="795"/>
        </w:trPr>
        <w:tc>
          <w:tcPr>
            <w:tcW w:w="1720" w:type="dxa"/>
            <w:tcBorders>
              <w:top w:val="nil"/>
              <w:left w:val="nil"/>
              <w:bottom w:val="single" w:sz="4" w:space="0" w:color="auto"/>
              <w:right w:val="single" w:sz="4" w:space="0" w:color="auto"/>
            </w:tcBorders>
            <w:shd w:val="clear" w:color="auto" w:fill="auto"/>
            <w:vAlign w:val="center"/>
            <w:hideMark/>
          </w:tcPr>
          <w:p w14:paraId="7290CF6F"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5. Very remote</w:t>
            </w:r>
          </w:p>
        </w:tc>
        <w:tc>
          <w:tcPr>
            <w:tcW w:w="1920" w:type="dxa"/>
            <w:tcBorders>
              <w:top w:val="nil"/>
              <w:left w:val="nil"/>
              <w:bottom w:val="single" w:sz="4" w:space="0" w:color="auto"/>
              <w:right w:val="single" w:sz="4" w:space="0" w:color="auto"/>
            </w:tcBorders>
            <w:shd w:val="clear" w:color="auto" w:fill="auto"/>
            <w:vAlign w:val="center"/>
            <w:hideMark/>
          </w:tcPr>
          <w:p w14:paraId="3872C126" w14:textId="77777777" w:rsidR="00287965" w:rsidRPr="00287965" w:rsidRDefault="00287965" w:rsidP="00287965">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7. Very remote</w:t>
            </w:r>
          </w:p>
        </w:tc>
        <w:tc>
          <w:tcPr>
            <w:tcW w:w="5260" w:type="dxa"/>
            <w:gridSpan w:val="2"/>
            <w:tcBorders>
              <w:top w:val="single" w:sz="4" w:space="0" w:color="auto"/>
              <w:left w:val="nil"/>
              <w:bottom w:val="single" w:sz="4" w:space="0" w:color="auto"/>
              <w:right w:val="nil"/>
            </w:tcBorders>
            <w:shd w:val="clear" w:color="auto" w:fill="auto"/>
            <w:vAlign w:val="center"/>
            <w:hideMark/>
          </w:tcPr>
          <w:p w14:paraId="256890F8" w14:textId="4777947F" w:rsidR="00287965" w:rsidRPr="00287965" w:rsidRDefault="00287965" w:rsidP="00B45F20">
            <w:pPr>
              <w:keepNext/>
              <w:tabs>
                <w:tab w:val="clear" w:pos="567"/>
              </w:tabs>
              <w:spacing w:after="0" w:line="240" w:lineRule="auto"/>
              <w:rPr>
                <w:rFonts w:ascii="Calibri" w:eastAsia="Times New Roman" w:hAnsi="Calibri" w:cs="Calibri"/>
                <w:color w:val="000000"/>
                <w:sz w:val="20"/>
                <w:szCs w:val="20"/>
                <w:lang w:eastAsia="en-AU"/>
              </w:rPr>
            </w:pPr>
            <w:r w:rsidRPr="00287965">
              <w:rPr>
                <w:rFonts w:ascii="Calibri" w:eastAsia="Times New Roman" w:hAnsi="Calibri" w:cs="Calibri"/>
                <w:color w:val="000000"/>
                <w:sz w:val="20"/>
                <w:szCs w:val="20"/>
                <w:lang w:eastAsia="en-AU"/>
              </w:rPr>
              <w:t xml:space="preserve">All other areas – that being </w:t>
            </w:r>
            <w:r w:rsidR="00B45F20">
              <w:rPr>
                <w:rFonts w:ascii="Calibri" w:eastAsia="Times New Roman" w:hAnsi="Calibri" w:cs="Calibri"/>
                <w:color w:val="000000"/>
                <w:sz w:val="20"/>
                <w:szCs w:val="20"/>
                <w:lang w:eastAsia="en-AU"/>
              </w:rPr>
              <w:t>very remote</w:t>
            </w:r>
            <w:r w:rsidRPr="00287965">
              <w:rPr>
                <w:rFonts w:ascii="Calibri" w:eastAsia="Times New Roman" w:hAnsi="Calibri" w:cs="Calibri"/>
                <w:color w:val="000000"/>
                <w:sz w:val="20"/>
                <w:szCs w:val="20"/>
                <w:lang w:eastAsia="en-AU"/>
              </w:rPr>
              <w:t xml:space="preserve"> and areas on a populated island that is separated from the mainland in the ABS geography and is more than 5km offshore</w:t>
            </w:r>
          </w:p>
        </w:tc>
      </w:tr>
    </w:tbl>
    <w:p w14:paraId="66B311F9" w14:textId="77777777" w:rsidR="00106444" w:rsidRPr="00D20168" w:rsidRDefault="00106444" w:rsidP="00106444">
      <w:pPr>
        <w:pStyle w:val="Heading5"/>
      </w:pPr>
      <w:r>
        <w:t>Data</w:t>
      </w:r>
    </w:p>
    <w:p w14:paraId="7EC56EBF" w14:textId="74A12C53" w:rsidR="00106444" w:rsidRPr="008D00E7" w:rsidRDefault="00B80DC2" w:rsidP="00106444">
      <w:pPr>
        <w:pStyle w:val="CGCNumberedPara"/>
        <w:numPr>
          <w:ilvl w:val="1"/>
          <w:numId w:val="3"/>
        </w:numPr>
      </w:pPr>
      <w:r>
        <w:t xml:space="preserve">Staff </w:t>
      </w:r>
      <w:r w:rsidR="00106444" w:rsidRPr="008D00E7">
        <w:t>use</w:t>
      </w:r>
      <w:r w:rsidR="00287965">
        <w:t>d</w:t>
      </w:r>
      <w:r w:rsidR="00106444" w:rsidRPr="008D00E7">
        <w:t xml:space="preserve"> geographically disaggregated data on schools and hospitals to consider whether the </w:t>
      </w:r>
      <w:r w:rsidR="00106444">
        <w:t xml:space="preserve">MMM </w:t>
      </w:r>
      <w:r w:rsidR="00106444" w:rsidRPr="008D00E7">
        <w:t xml:space="preserve">classification </w:t>
      </w:r>
      <w:r w:rsidR="00106444">
        <w:t xml:space="preserve">provides a better driver of State spending than </w:t>
      </w:r>
      <w:r w:rsidR="00106444" w:rsidRPr="008D00E7">
        <w:t xml:space="preserve">ABS remoteness areas. </w:t>
      </w:r>
    </w:p>
    <w:bookmarkStart w:id="25" w:name="_Ref494449696"/>
    <w:p w14:paraId="773687CD" w14:textId="3C20D2B4" w:rsidR="00106444" w:rsidRDefault="00106444" w:rsidP="00106444">
      <w:pPr>
        <w:pStyle w:val="CGCNumberedPara"/>
        <w:numPr>
          <w:ilvl w:val="1"/>
          <w:numId w:val="3"/>
        </w:numPr>
      </w:pPr>
      <w:r>
        <w:fldChar w:fldCharType="begin"/>
      </w:r>
      <w:r>
        <w:instrText xml:space="preserve"> REF _Ref506390563 \h </w:instrText>
      </w:r>
      <w:r>
        <w:fldChar w:fldCharType="separate"/>
      </w:r>
      <w:r w:rsidR="00777E11">
        <w:t xml:space="preserve">Figure </w:t>
      </w:r>
      <w:r w:rsidR="00777E11">
        <w:rPr>
          <w:noProof/>
        </w:rPr>
        <w:t>1</w:t>
      </w:r>
      <w:r>
        <w:fldChar w:fldCharType="end"/>
      </w:r>
      <w:bookmarkEnd w:id="25"/>
      <w:r>
        <w:t xml:space="preserve"> s</w:t>
      </w:r>
      <w:r w:rsidRPr="00A011B1">
        <w:t xml:space="preserve">hows </w:t>
      </w:r>
      <w:r>
        <w:t xml:space="preserve">average </w:t>
      </w:r>
      <w:r w:rsidRPr="00A011B1">
        <w:t>State funding per student in government schools by MMM</w:t>
      </w:r>
      <w:r>
        <w:t xml:space="preserve"> and by remoteness</w:t>
      </w:r>
      <w:r w:rsidRPr="00A011B1">
        <w:t xml:space="preserve">. </w:t>
      </w:r>
      <w:r>
        <w:t xml:space="preserve">There is a clear gradient in average funding based on ABS remoteness areas, but little differentiation in average funding per student in MM2, MM3 and MM4 areas. </w:t>
      </w:r>
      <w:r w:rsidR="005666E2">
        <w:t xml:space="preserve">The difference between inner and outer regional areas of ABS remoteness is similar to that found between small regional (MM5) and the other regional categories (MM2 to MM4). However, splitting these other regional categories offers very little additional explanatory power. </w:t>
      </w:r>
    </w:p>
    <w:p w14:paraId="0204AB67" w14:textId="15F48987" w:rsidR="00106444" w:rsidRPr="00106444" w:rsidRDefault="00106444" w:rsidP="00106444">
      <w:pPr>
        <w:pStyle w:val="Caption"/>
      </w:pPr>
      <w:bookmarkStart w:id="26" w:name="_Ref506390563"/>
      <w:r>
        <w:lastRenderedPageBreak/>
        <w:t xml:space="preserve">Figure </w:t>
      </w:r>
      <w:r w:rsidR="002C0581">
        <w:fldChar w:fldCharType="begin"/>
      </w:r>
      <w:r w:rsidR="002C0581">
        <w:instrText xml:space="preserve"> SEQ Figure \* ARABIC </w:instrText>
      </w:r>
      <w:r w:rsidR="002C0581">
        <w:fldChar w:fldCharType="separate"/>
      </w:r>
      <w:r w:rsidR="00777E11">
        <w:rPr>
          <w:noProof/>
        </w:rPr>
        <w:t>1</w:t>
      </w:r>
      <w:r w:rsidR="002C0581">
        <w:rPr>
          <w:noProof/>
        </w:rPr>
        <w:fldChar w:fldCharType="end"/>
      </w:r>
      <w:bookmarkEnd w:id="26"/>
      <w:r>
        <w:tab/>
      </w:r>
      <w:r w:rsidRPr="00106444">
        <w:t>Funding per student, government schools, 2015</w:t>
      </w:r>
    </w:p>
    <w:p w14:paraId="38CA356B" w14:textId="5E2F1F08" w:rsidR="00C9180F" w:rsidRDefault="00B564F7" w:rsidP="00C9180F">
      <w:pPr>
        <w:pStyle w:val="NoSpacing"/>
      </w:pPr>
      <w:r w:rsidRPr="00B564F7">
        <w:rPr>
          <w:noProof/>
          <w:lang w:eastAsia="en-AU"/>
        </w:rPr>
        <w:drawing>
          <wp:inline distT="0" distB="0" distL="0" distR="0" wp14:anchorId="08E439DE" wp14:editId="4B6CB87D">
            <wp:extent cx="5543550" cy="3326130"/>
            <wp:effectExtent l="0" t="0" r="0" b="7620"/>
            <wp:docPr id="7" name="Picture 7" descr="Figure 1 shows average funding per student in government schools by MMM and by remoteness."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3326130"/>
                    </a:xfrm>
                    <a:prstGeom prst="rect">
                      <a:avLst/>
                    </a:prstGeom>
                    <a:noFill/>
                    <a:ln>
                      <a:noFill/>
                    </a:ln>
                  </pic:spPr>
                </pic:pic>
              </a:graphicData>
            </a:graphic>
          </wp:inline>
        </w:drawing>
      </w:r>
    </w:p>
    <w:p w14:paraId="3E00C401" w14:textId="3789B3F9" w:rsidR="00106444" w:rsidRDefault="00106444" w:rsidP="00106444">
      <w:pPr>
        <w:pStyle w:val="CGCDataCaption"/>
        <w:ind w:left="0" w:firstLine="0"/>
      </w:pPr>
      <w:r>
        <w:t>Source:</w:t>
      </w:r>
      <w:r>
        <w:tab/>
        <w:t>Commission calculation using 2015 ACARA data.</w:t>
      </w:r>
      <w:r w:rsidR="00C651E8" w:rsidRPr="00C651E8">
        <w:t xml:space="preserve"> </w:t>
      </w:r>
    </w:p>
    <w:p w14:paraId="3E6C352B" w14:textId="6A6660EC" w:rsidR="00106444" w:rsidRDefault="00106444" w:rsidP="00106444">
      <w:pPr>
        <w:pStyle w:val="CGCNumberedPara"/>
        <w:numPr>
          <w:ilvl w:val="1"/>
          <w:numId w:val="3"/>
        </w:numPr>
      </w:pPr>
      <w:r>
        <w:fldChar w:fldCharType="begin"/>
      </w:r>
      <w:r>
        <w:instrText xml:space="preserve"> REF _Ref494812245 \h </w:instrText>
      </w:r>
      <w:r>
        <w:fldChar w:fldCharType="separate"/>
      </w:r>
      <w:r w:rsidR="00777E11">
        <w:t xml:space="preserve">Figure </w:t>
      </w:r>
      <w:r w:rsidR="00777E11">
        <w:rPr>
          <w:noProof/>
        </w:rPr>
        <w:t>2</w:t>
      </w:r>
      <w:r>
        <w:fldChar w:fldCharType="end"/>
      </w:r>
      <w:r w:rsidRPr="008C581D">
        <w:t xml:space="preserve"> shows </w:t>
      </w:r>
      <w:r>
        <w:t xml:space="preserve">average </w:t>
      </w:r>
      <w:r w:rsidRPr="008C581D">
        <w:t xml:space="preserve">age-standardised </w:t>
      </w:r>
      <w:r w:rsidR="00564E1C" w:rsidRPr="008D00E7">
        <w:t xml:space="preserve">National Weighted Activity Units </w:t>
      </w:r>
      <w:r w:rsidR="00564E1C">
        <w:t>(</w:t>
      </w:r>
      <w:r w:rsidRPr="008C581D">
        <w:t>NWAU</w:t>
      </w:r>
      <w:r w:rsidR="00564E1C">
        <w:t>)</w:t>
      </w:r>
      <w:r w:rsidRPr="008C581D">
        <w:t xml:space="preserve"> per thousand persons by MMM</w:t>
      </w:r>
      <w:r>
        <w:t xml:space="preserve"> and remoteness</w:t>
      </w:r>
      <w:r w:rsidRPr="008C581D">
        <w:t xml:space="preserve">. </w:t>
      </w:r>
      <w:r>
        <w:t xml:space="preserve">There is a clear gradient in average </w:t>
      </w:r>
      <w:r w:rsidR="00DC2AAB">
        <w:t xml:space="preserve">hospital admissions </w:t>
      </w:r>
      <w:r>
        <w:t>funding except between major cit</w:t>
      </w:r>
      <w:r w:rsidR="00B34FCD">
        <w:t>ies</w:t>
      </w:r>
      <w:r>
        <w:t xml:space="preserve"> and inner regional areas. There is some difference in the rate between MM2 and the other MM groups, but little differentiation between MM3, MM4 and MM5. </w:t>
      </w:r>
    </w:p>
    <w:p w14:paraId="584082DE" w14:textId="15044125" w:rsidR="00106444" w:rsidRDefault="00106444" w:rsidP="00106444">
      <w:pPr>
        <w:pStyle w:val="Caption"/>
      </w:pPr>
      <w:bookmarkStart w:id="27" w:name="_Ref494812245"/>
      <w:r>
        <w:lastRenderedPageBreak/>
        <w:t xml:space="preserve">Figure </w:t>
      </w:r>
      <w:r w:rsidR="002C0581">
        <w:fldChar w:fldCharType="begin"/>
      </w:r>
      <w:r w:rsidR="002C0581">
        <w:instrText xml:space="preserve"> SEQ Figure \* ARABIC </w:instrText>
      </w:r>
      <w:r w:rsidR="002C0581">
        <w:fldChar w:fldCharType="separate"/>
      </w:r>
      <w:r w:rsidR="00777E11">
        <w:rPr>
          <w:noProof/>
        </w:rPr>
        <w:t>2</w:t>
      </w:r>
      <w:r w:rsidR="002C0581">
        <w:rPr>
          <w:noProof/>
        </w:rPr>
        <w:fldChar w:fldCharType="end"/>
      </w:r>
      <w:bookmarkEnd w:id="27"/>
      <w:r>
        <w:tab/>
        <w:t xml:space="preserve">NWAU rate, </w:t>
      </w:r>
      <w:r w:rsidR="00DC2AAB">
        <w:t xml:space="preserve">hospital </w:t>
      </w:r>
      <w:r>
        <w:t>admissions, 2013</w:t>
      </w:r>
    </w:p>
    <w:p w14:paraId="52BEEB3F" w14:textId="5D3954EF" w:rsidR="00C9180F" w:rsidRDefault="00F30AE8" w:rsidP="00C9180F">
      <w:pPr>
        <w:pStyle w:val="NoSpacing"/>
      </w:pPr>
      <w:r w:rsidRPr="00F30AE8">
        <w:rPr>
          <w:noProof/>
          <w:lang w:eastAsia="en-AU"/>
        </w:rPr>
        <w:drawing>
          <wp:inline distT="0" distB="0" distL="0" distR="0" wp14:anchorId="0AE03920" wp14:editId="2174902E">
            <wp:extent cx="5556250" cy="3333750"/>
            <wp:effectExtent l="0" t="0" r="6350" b="0"/>
            <wp:docPr id="8" name="Picture 8" descr="Figure 2 shows average National Weighted Activity Units (NWAU) per thousand persons by MMM and remoteness." title="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56250" cy="3333750"/>
                    </a:xfrm>
                    <a:prstGeom prst="rect">
                      <a:avLst/>
                    </a:prstGeom>
                    <a:noFill/>
                    <a:ln>
                      <a:noFill/>
                    </a:ln>
                  </pic:spPr>
                </pic:pic>
              </a:graphicData>
            </a:graphic>
          </wp:inline>
        </w:drawing>
      </w:r>
    </w:p>
    <w:p w14:paraId="3F0B0185" w14:textId="41897E4B" w:rsidR="00C651E8" w:rsidRDefault="00106444" w:rsidP="001D1A53">
      <w:pPr>
        <w:pStyle w:val="CGCTableFootnote"/>
        <w:ind w:left="0" w:firstLine="0"/>
      </w:pPr>
      <w:r w:rsidRPr="001D1A53">
        <w:t>Source:</w:t>
      </w:r>
      <w:r w:rsidRPr="001D1A53">
        <w:tab/>
        <w:t>Commission calculation using 2013 IHPA data.</w:t>
      </w:r>
    </w:p>
    <w:p w14:paraId="24460FF4" w14:textId="77777777" w:rsidR="00106444" w:rsidRDefault="00106444" w:rsidP="00C651E8">
      <w:pPr>
        <w:pStyle w:val="Heading5"/>
      </w:pPr>
      <w:r>
        <w:t>Analysis</w:t>
      </w:r>
    </w:p>
    <w:p w14:paraId="2EDEC5CE" w14:textId="740C6453" w:rsidR="00106444" w:rsidRDefault="00540BF6" w:rsidP="00106444">
      <w:pPr>
        <w:pStyle w:val="CGCNumberedPara"/>
        <w:numPr>
          <w:ilvl w:val="1"/>
          <w:numId w:val="3"/>
        </w:numPr>
      </w:pPr>
      <w:r>
        <w:t xml:space="preserve">Staff </w:t>
      </w:r>
      <w:r w:rsidR="00106444">
        <w:t xml:space="preserve">estimated regression models using the schools and hospitals data to test whether the MMM classification of remoteness is better </w:t>
      </w:r>
      <w:r w:rsidR="00CD4075">
        <w:t xml:space="preserve">correlated with </w:t>
      </w:r>
      <w:r w:rsidR="00106444">
        <w:t xml:space="preserve">overall costs. Both schools and hospital regressions include socio-economic status and remoteness area variables. </w:t>
      </w:r>
    </w:p>
    <w:p w14:paraId="33573239" w14:textId="77777777" w:rsidR="00106444" w:rsidRDefault="00106444" w:rsidP="00106444">
      <w:pPr>
        <w:pStyle w:val="CGCBulletlist"/>
        <w:numPr>
          <w:ilvl w:val="0"/>
          <w:numId w:val="1"/>
        </w:numPr>
        <w:tabs>
          <w:tab w:val="clear" w:pos="927"/>
        </w:tabs>
        <w:ind w:left="1134" w:hanging="567"/>
      </w:pPr>
      <w:r>
        <w:t>The hospitals regression predicted age standardised NWAU per thousand persons.</w:t>
      </w:r>
    </w:p>
    <w:p w14:paraId="332E8C00" w14:textId="1E952A15" w:rsidR="00106444" w:rsidRDefault="00106444" w:rsidP="00106444">
      <w:pPr>
        <w:pStyle w:val="CGCBulletlist"/>
        <w:numPr>
          <w:ilvl w:val="0"/>
          <w:numId w:val="1"/>
        </w:numPr>
        <w:tabs>
          <w:tab w:val="clear" w:pos="927"/>
        </w:tabs>
        <w:ind w:left="1134" w:hanging="567"/>
      </w:pPr>
      <w:r>
        <w:t xml:space="preserve">The schools regression predicted funding per student and also took into account school size, whether it is a primary, secondary or combined school and a </w:t>
      </w:r>
      <w:r w:rsidR="00B70713">
        <w:t xml:space="preserve">range </w:t>
      </w:r>
      <w:r>
        <w:t xml:space="preserve">of other variables included in the schools </w:t>
      </w:r>
      <w:r w:rsidR="00564E1C">
        <w:t xml:space="preserve">category regression </w:t>
      </w:r>
      <w:r>
        <w:t>model.</w:t>
      </w:r>
    </w:p>
    <w:p w14:paraId="1BBDA6EE" w14:textId="0707642A" w:rsidR="00106444" w:rsidRDefault="00106444" w:rsidP="00106444">
      <w:pPr>
        <w:pStyle w:val="CGCNumberedPara"/>
        <w:numPr>
          <w:ilvl w:val="1"/>
          <w:numId w:val="3"/>
        </w:numPr>
      </w:pPr>
      <w:r>
        <w:fldChar w:fldCharType="begin"/>
      </w:r>
      <w:r>
        <w:instrText xml:space="preserve"> REF _Ref494466863 \h </w:instrText>
      </w:r>
      <w:r>
        <w:fldChar w:fldCharType="separate"/>
      </w:r>
      <w:r w:rsidR="00777E11">
        <w:t xml:space="preserve">Figure </w:t>
      </w:r>
      <w:r w:rsidR="00777E11">
        <w:rPr>
          <w:noProof/>
        </w:rPr>
        <w:t>3</w:t>
      </w:r>
      <w:r>
        <w:fldChar w:fldCharType="end"/>
      </w:r>
      <w:r>
        <w:t xml:space="preserve"> shows the impact of remoteness on hospital costs using alternative measures of remoteness</w:t>
      </w:r>
      <w:r w:rsidR="00B70713">
        <w:t>, relative to the cost in major cities</w:t>
      </w:r>
      <w:r w:rsidR="00BB2321">
        <w:t>,</w:t>
      </w:r>
      <w:r w:rsidR="00CD4075">
        <w:t xml:space="preserve"> as part of a regression explaining </w:t>
      </w:r>
      <w:r w:rsidR="00E73B2A">
        <w:t>age standardised hospital spending per capita in different postcodes</w:t>
      </w:r>
      <w:r>
        <w:t xml:space="preserve">. Using MMM instead of remoteness areas decreases the explanatory power of the model slightly from 52.7% to 51.8%. </w:t>
      </w:r>
    </w:p>
    <w:p w14:paraId="55B9C483" w14:textId="48C2EC0C" w:rsidR="00106444" w:rsidRDefault="00BB2321" w:rsidP="00E56D8A">
      <w:pPr>
        <w:pStyle w:val="CGCNumberedPara"/>
      </w:pPr>
      <w:r>
        <w:t xml:space="preserve">Using </w:t>
      </w:r>
      <w:r w:rsidR="00106444">
        <w:t>ABS remoteness area</w:t>
      </w:r>
      <w:r w:rsidR="00C37F9C">
        <w:t>s</w:t>
      </w:r>
      <w:r w:rsidR="00B70713">
        <w:t xml:space="preserve"> </w:t>
      </w:r>
      <w:r>
        <w:t xml:space="preserve">we observe </w:t>
      </w:r>
      <w:r w:rsidR="00B70713">
        <w:t>increas</w:t>
      </w:r>
      <w:r w:rsidR="00BC76EC">
        <w:t xml:space="preserve">ing </w:t>
      </w:r>
      <w:r w:rsidR="00B70713">
        <w:t>cost</w:t>
      </w:r>
      <w:r w:rsidR="00991EB7">
        <w:t>s</w:t>
      </w:r>
      <w:r w:rsidR="00B70713">
        <w:t xml:space="preserve"> with increasing remoteness, although major city patients are more expensive than inner regional patients. </w:t>
      </w:r>
    </w:p>
    <w:p w14:paraId="52B4BD71" w14:textId="31DE8644" w:rsidR="00106444" w:rsidRDefault="00B70713" w:rsidP="00E56D8A">
      <w:pPr>
        <w:pStyle w:val="CGCNumberedPara"/>
      </w:pPr>
      <w:r>
        <w:t>U</w:t>
      </w:r>
      <w:r w:rsidR="0085028C">
        <w:t>sing</w:t>
      </w:r>
      <w:r>
        <w:t xml:space="preserve"> </w:t>
      </w:r>
      <w:r w:rsidR="00402290">
        <w:t xml:space="preserve">MMM we observe </w:t>
      </w:r>
      <w:r>
        <w:t xml:space="preserve">little differences </w:t>
      </w:r>
      <w:r w:rsidR="00616028">
        <w:t xml:space="preserve">in the </w:t>
      </w:r>
      <w:r>
        <w:t xml:space="preserve">cost </w:t>
      </w:r>
      <w:r w:rsidR="00402290">
        <w:t xml:space="preserve">between </w:t>
      </w:r>
      <w:r>
        <w:t>the regional classifications</w:t>
      </w:r>
      <w:r w:rsidR="00616028">
        <w:t>.</w:t>
      </w:r>
    </w:p>
    <w:p w14:paraId="7AD46872" w14:textId="47EB924E" w:rsidR="00106444" w:rsidRDefault="00106444" w:rsidP="00106444">
      <w:pPr>
        <w:pStyle w:val="Caption"/>
      </w:pPr>
      <w:bookmarkStart w:id="28" w:name="_Ref494466863"/>
      <w:r>
        <w:lastRenderedPageBreak/>
        <w:t xml:space="preserve">Figure </w:t>
      </w:r>
      <w:r w:rsidR="002C0581">
        <w:fldChar w:fldCharType="begin"/>
      </w:r>
      <w:r w:rsidR="002C0581">
        <w:instrText xml:space="preserve"> SEQ Figure \* ARABIC </w:instrText>
      </w:r>
      <w:r w:rsidR="002C0581">
        <w:fldChar w:fldCharType="separate"/>
      </w:r>
      <w:r w:rsidR="00777E11">
        <w:rPr>
          <w:noProof/>
        </w:rPr>
        <w:t>3</w:t>
      </w:r>
      <w:r w:rsidR="002C0581">
        <w:rPr>
          <w:noProof/>
        </w:rPr>
        <w:fldChar w:fldCharType="end"/>
      </w:r>
      <w:bookmarkEnd w:id="28"/>
      <w:r w:rsidRPr="004D3CC8">
        <w:tab/>
        <w:t xml:space="preserve">Impact of remoteness on </w:t>
      </w:r>
      <w:r w:rsidR="008D5C32">
        <w:t>hospital costs, 2013</w:t>
      </w:r>
    </w:p>
    <w:p w14:paraId="3358A4A9" w14:textId="72653FB4" w:rsidR="002C0581" w:rsidRDefault="002C0581" w:rsidP="002C0581">
      <w:r>
        <w:rPr>
          <w:noProof/>
          <w:lang w:eastAsia="en-AU"/>
        </w:rPr>
        <w:drawing>
          <wp:inline distT="0" distB="0" distL="0" distR="0" wp14:anchorId="0E8B4147" wp14:editId="54C71579">
            <wp:extent cx="5326927" cy="30099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331078" cy="3012246"/>
                    </a:xfrm>
                    <a:prstGeom prst="rect">
                      <a:avLst/>
                    </a:prstGeom>
                    <a:noFill/>
                  </pic:spPr>
                </pic:pic>
              </a:graphicData>
            </a:graphic>
          </wp:inline>
        </w:drawing>
      </w:r>
    </w:p>
    <w:p w14:paraId="452B2EAA" w14:textId="77777777" w:rsidR="00106444" w:rsidRPr="00706617" w:rsidRDefault="00106444" w:rsidP="00106444">
      <w:pPr>
        <w:pStyle w:val="CGCDataCaption"/>
      </w:pPr>
      <w:r>
        <w:t>Source:</w:t>
      </w:r>
      <w:r>
        <w:tab/>
        <w:t>Commission calculation using 2013 IHPA data.</w:t>
      </w:r>
    </w:p>
    <w:p w14:paraId="24AA1B82" w14:textId="57E29BF1" w:rsidR="00106444" w:rsidRPr="00050B12" w:rsidRDefault="00106444" w:rsidP="00DB1783">
      <w:pPr>
        <w:pStyle w:val="CGCNumberedPara"/>
      </w:pPr>
      <w:r>
        <w:fldChar w:fldCharType="begin"/>
      </w:r>
      <w:r>
        <w:instrText xml:space="preserve"> REF _Ref494812379 \h </w:instrText>
      </w:r>
      <w:r w:rsidR="00787E17">
        <w:instrText xml:space="preserve"> \* MERGEFORMAT </w:instrText>
      </w:r>
      <w:r>
        <w:fldChar w:fldCharType="separate"/>
      </w:r>
      <w:r w:rsidR="00777E11">
        <w:t xml:space="preserve">Figure </w:t>
      </w:r>
      <w:r w:rsidR="00777E11">
        <w:rPr>
          <w:noProof/>
        </w:rPr>
        <w:t>4</w:t>
      </w:r>
      <w:r>
        <w:fldChar w:fldCharType="end"/>
      </w:r>
      <w:r>
        <w:t xml:space="preserve"> shows the </w:t>
      </w:r>
      <w:r w:rsidR="00B70713">
        <w:t xml:space="preserve">effect </w:t>
      </w:r>
      <w:r>
        <w:t>of remoteness on State funding per student</w:t>
      </w:r>
      <w:r w:rsidR="007725D8">
        <w:t xml:space="preserve"> in government schools</w:t>
      </w:r>
      <w:r w:rsidR="00464D72">
        <w:t xml:space="preserve">, as part of a regression explaining </w:t>
      </w:r>
      <w:bookmarkStart w:id="29" w:name="_GoBack"/>
      <w:bookmarkEnd w:id="29"/>
      <w:r w:rsidR="00464D72">
        <w:t>spending per student in different postcodes</w:t>
      </w:r>
      <w:r>
        <w:t>. Both models have very similar explanatory power.</w:t>
      </w:r>
      <w:r w:rsidR="00B70713">
        <w:t xml:space="preserve"> </w:t>
      </w:r>
      <w:r>
        <w:t>By ABS remoteness area we see the expected upward gradient</w:t>
      </w:r>
      <w:r w:rsidR="00402290">
        <w:t xml:space="preserve"> although only slight differences between inner and outer regional areas</w:t>
      </w:r>
      <w:r>
        <w:t>.</w:t>
      </w:r>
      <w:r w:rsidR="00B70713">
        <w:t xml:space="preserve"> </w:t>
      </w:r>
      <w:r w:rsidR="00402290">
        <w:t>By MMM we observe some d</w:t>
      </w:r>
      <w:r>
        <w:t xml:space="preserve">ifferences in </w:t>
      </w:r>
      <w:r w:rsidRPr="00050B12">
        <w:t xml:space="preserve">per student cost </w:t>
      </w:r>
      <w:r w:rsidR="00402290">
        <w:t>but</w:t>
      </w:r>
      <w:r>
        <w:t xml:space="preserve"> there is no </w:t>
      </w:r>
      <w:r w:rsidRPr="00050B12">
        <w:t xml:space="preserve">clear upward or downward pattern </w:t>
      </w:r>
      <w:r w:rsidR="00402290">
        <w:t>with increasing remoteness</w:t>
      </w:r>
      <w:r w:rsidR="00B70713">
        <w:t xml:space="preserve"> among the regional categories</w:t>
      </w:r>
      <w:r>
        <w:t>.</w:t>
      </w:r>
      <w:r w:rsidR="00616028">
        <w:t xml:space="preserve"> The rate for MM5 is below the rate for major cities.</w:t>
      </w:r>
    </w:p>
    <w:p w14:paraId="2CEE0559" w14:textId="6082EAE0" w:rsidR="00106444" w:rsidRDefault="00106444" w:rsidP="00106444">
      <w:pPr>
        <w:pStyle w:val="Caption"/>
      </w:pPr>
      <w:bookmarkStart w:id="30" w:name="_Ref494812379"/>
      <w:r>
        <w:t xml:space="preserve">Figure </w:t>
      </w:r>
      <w:r w:rsidR="002C0581">
        <w:fldChar w:fldCharType="begin"/>
      </w:r>
      <w:r w:rsidR="002C0581">
        <w:instrText xml:space="preserve"> SEQ Figure \* ARABIC </w:instrText>
      </w:r>
      <w:r w:rsidR="002C0581">
        <w:fldChar w:fldCharType="separate"/>
      </w:r>
      <w:r w:rsidR="00777E11">
        <w:rPr>
          <w:noProof/>
        </w:rPr>
        <w:t>4</w:t>
      </w:r>
      <w:r w:rsidR="002C0581">
        <w:rPr>
          <w:noProof/>
        </w:rPr>
        <w:fldChar w:fldCharType="end"/>
      </w:r>
      <w:bookmarkEnd w:id="30"/>
      <w:r>
        <w:tab/>
      </w:r>
      <w:r w:rsidRPr="00366484">
        <w:t xml:space="preserve">Impact of remoteness on </w:t>
      </w:r>
      <w:r>
        <w:t>school funding</w:t>
      </w:r>
      <w:r w:rsidRPr="00366484">
        <w:t>,</w:t>
      </w:r>
      <w:r>
        <w:t xml:space="preserve"> </w:t>
      </w:r>
      <w:r w:rsidR="007725D8">
        <w:t xml:space="preserve">government schools, </w:t>
      </w:r>
      <w:r w:rsidRPr="00366484">
        <w:t>201</w:t>
      </w:r>
      <w:r>
        <w:t>5</w:t>
      </w:r>
    </w:p>
    <w:p w14:paraId="0E58D40E" w14:textId="50EDA91E" w:rsidR="00106444" w:rsidRPr="009B6D65" w:rsidRDefault="002C0581" w:rsidP="002C0581">
      <w:r>
        <w:rPr>
          <w:noProof/>
          <w:lang w:eastAsia="en-AU"/>
        </w:rPr>
        <w:drawing>
          <wp:inline distT="0" distB="0" distL="0" distR="0" wp14:anchorId="52979A57" wp14:editId="46204528">
            <wp:extent cx="5229225" cy="289607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37689" cy="2900760"/>
                    </a:xfrm>
                    <a:prstGeom prst="rect">
                      <a:avLst/>
                    </a:prstGeom>
                    <a:noFill/>
                  </pic:spPr>
                </pic:pic>
              </a:graphicData>
            </a:graphic>
          </wp:inline>
        </w:drawing>
      </w:r>
      <w:r w:rsidR="00106444" w:rsidRPr="009B6D65">
        <w:t>Source:</w:t>
      </w:r>
      <w:r w:rsidR="00106444" w:rsidRPr="009B6D65">
        <w:tab/>
        <w:t>Commission calculation using 2015 ACARA data.</w:t>
      </w:r>
    </w:p>
    <w:p w14:paraId="00CBC4CD" w14:textId="56AB7161" w:rsidR="007725D8" w:rsidRDefault="00106444" w:rsidP="007725D8">
      <w:pPr>
        <w:pStyle w:val="CGCNumberedPara"/>
      </w:pPr>
      <w:r>
        <w:lastRenderedPageBreak/>
        <w:t xml:space="preserve">The analysis shows that the MMM classification is not a better </w:t>
      </w:r>
      <w:r w:rsidR="00564E1C">
        <w:t>proxy</w:t>
      </w:r>
      <w:r>
        <w:t xml:space="preserve"> of </w:t>
      </w:r>
      <w:r w:rsidR="0048060A">
        <w:t>State</w:t>
      </w:r>
      <w:r>
        <w:t xml:space="preserve"> spending than ABS remoteness areas. </w:t>
      </w:r>
      <w:r w:rsidR="000B290D">
        <w:t xml:space="preserve">The </w:t>
      </w:r>
      <w:r w:rsidR="0048060A">
        <w:t xml:space="preserve">extra </w:t>
      </w:r>
      <w:r w:rsidR="000B290D">
        <w:t xml:space="preserve">complexity associated with having an additional two categories of remoteness does not appear to add any additional explanatory power. </w:t>
      </w:r>
    </w:p>
    <w:p w14:paraId="2449AA4A" w14:textId="77777777" w:rsidR="00134271" w:rsidRPr="009C39A3" w:rsidRDefault="00134271" w:rsidP="009C39A3">
      <w:pPr>
        <w:pStyle w:val="NoSpacing"/>
      </w:pPr>
    </w:p>
    <w:tbl>
      <w:tblPr>
        <w:tblW w:w="0" w:type="auto"/>
        <w:tblInd w:w="108" w:type="dxa"/>
        <w:shd w:val="clear" w:color="auto" w:fill="D9F3E6"/>
        <w:tblLook w:val="04A0" w:firstRow="1" w:lastRow="0" w:firstColumn="1" w:lastColumn="0" w:noHBand="0" w:noVBand="1"/>
      </w:tblPr>
      <w:tblGrid>
        <w:gridCol w:w="8931"/>
      </w:tblGrid>
      <w:tr w:rsidR="00E47A94" w:rsidRPr="00E674AF" w14:paraId="12B8AB84" w14:textId="77777777" w:rsidTr="00AB7C5D">
        <w:tc>
          <w:tcPr>
            <w:tcW w:w="8931" w:type="dxa"/>
            <w:shd w:val="clear" w:color="auto" w:fill="D9F3E6"/>
          </w:tcPr>
          <w:p w14:paraId="3916AD1B" w14:textId="77777777" w:rsidR="002E4EE9" w:rsidRDefault="00E47A94" w:rsidP="009C39A3">
            <w:r w:rsidRPr="00B7517F">
              <w:t>Staff prop</w:t>
            </w:r>
            <w:r>
              <w:t>ose to recommend the Commission</w:t>
            </w:r>
            <w:r w:rsidR="002E4EE9">
              <w:t>:</w:t>
            </w:r>
          </w:p>
          <w:p w14:paraId="35FBAA15" w14:textId="77777777" w:rsidR="007725D8" w:rsidRPr="00E674AF" w:rsidRDefault="001F2D87" w:rsidP="001F2D87">
            <w:pPr>
              <w:pStyle w:val="CGCBulletlist"/>
            </w:pPr>
            <w:r>
              <w:t xml:space="preserve"> c</w:t>
            </w:r>
            <w:r w:rsidR="00E47A94">
              <w:t>ontinue us</w:t>
            </w:r>
            <w:r>
              <w:t xml:space="preserve">ing </w:t>
            </w:r>
            <w:r w:rsidR="00E47A94">
              <w:t xml:space="preserve">ABS remoteness areas </w:t>
            </w:r>
            <w:r w:rsidR="00371327">
              <w:t xml:space="preserve">geography </w:t>
            </w:r>
            <w:r w:rsidR="001E60A9">
              <w:t>across all categories</w:t>
            </w:r>
            <w:r w:rsidR="00E47A94">
              <w:t>.</w:t>
            </w:r>
          </w:p>
        </w:tc>
      </w:tr>
    </w:tbl>
    <w:p w14:paraId="5198B028" w14:textId="77777777" w:rsidR="005A25B7" w:rsidRDefault="005A25B7" w:rsidP="005A25B7">
      <w:pPr>
        <w:pStyle w:val="Heading4"/>
      </w:pPr>
      <w:bookmarkStart w:id="31" w:name="_Toc511732742"/>
      <w:r>
        <w:t>Broadening the evidence base on regional costs</w:t>
      </w:r>
      <w:bookmarkEnd w:id="31"/>
    </w:p>
    <w:p w14:paraId="69AADA20" w14:textId="2718D42B" w:rsidR="005A25B7" w:rsidRPr="004362EB" w:rsidRDefault="005A25B7" w:rsidP="005A25B7">
      <w:pPr>
        <w:pStyle w:val="CGCNumberedPara"/>
        <w:numPr>
          <w:ilvl w:val="1"/>
          <w:numId w:val="3"/>
        </w:numPr>
      </w:pPr>
      <w:r>
        <w:t xml:space="preserve">In the 2015 Review, the Commission measured regional costs in schools and police, and extrapolated from the experience of these services to other services. Other services are delivered in a very different way. Staff consider that broadening the evidence base for the regional costs assessment is important in this review. </w:t>
      </w:r>
      <w:r w:rsidR="00FE7676">
        <w:t>R</w:t>
      </w:r>
      <w:r>
        <w:t>egional costs data for a range of different State services</w:t>
      </w:r>
      <w:r w:rsidR="00FE7676">
        <w:t xml:space="preserve"> are considered below</w:t>
      </w:r>
      <w:r>
        <w:t>.</w:t>
      </w:r>
    </w:p>
    <w:p w14:paraId="5A7EF788" w14:textId="77777777" w:rsidR="005A25B7" w:rsidRDefault="005A25B7" w:rsidP="005A25B7">
      <w:pPr>
        <w:pStyle w:val="Heading5"/>
      </w:pPr>
      <w:r>
        <w:t>Government school education</w:t>
      </w:r>
    </w:p>
    <w:p w14:paraId="53EB0A8D" w14:textId="71B21F9B" w:rsidR="005A25B7" w:rsidRPr="008D5C32" w:rsidRDefault="005A25B7" w:rsidP="005A25B7">
      <w:pPr>
        <w:pStyle w:val="CGCNumberedPara"/>
        <w:numPr>
          <w:ilvl w:val="1"/>
          <w:numId w:val="3"/>
        </w:numPr>
      </w:pPr>
      <w:r w:rsidRPr="008D5C32">
        <w:t>In the 2015 Review regional cost loadings were estimating using a very basic model. For the 2020 Review</w:t>
      </w:r>
      <w:r w:rsidR="000B290D">
        <w:t xml:space="preserve">, staff propose to modify this model, as described in </w:t>
      </w:r>
      <w:r w:rsidR="00A2208D">
        <w:t xml:space="preserve">Staff </w:t>
      </w:r>
      <w:r w:rsidR="001619C9" w:rsidRPr="00A2208D">
        <w:t xml:space="preserve">Draft </w:t>
      </w:r>
      <w:r w:rsidR="000016F9">
        <w:t>A</w:t>
      </w:r>
      <w:r w:rsidR="001619C9" w:rsidRPr="00A2208D">
        <w:t xml:space="preserve">ssessment </w:t>
      </w:r>
      <w:r w:rsidR="000016F9">
        <w:t>P</w:t>
      </w:r>
      <w:r w:rsidR="001619C9" w:rsidRPr="00A2208D">
        <w:t xml:space="preserve">aper </w:t>
      </w:r>
      <w:r w:rsidR="00A2208D">
        <w:rPr>
          <w:i/>
        </w:rPr>
        <w:t xml:space="preserve">CGC 2018-01/10-S, </w:t>
      </w:r>
      <w:r w:rsidR="001619C9" w:rsidRPr="00DB1783">
        <w:rPr>
          <w:i/>
        </w:rPr>
        <w:t>Schools education</w:t>
      </w:r>
      <w:r w:rsidR="000B290D">
        <w:t xml:space="preserve">. The final specifications of that model have not yet been determined. As such, this paper </w:t>
      </w:r>
      <w:r w:rsidR="00BD0898">
        <w:t xml:space="preserve">does not contain regional cost loadings for schools. </w:t>
      </w:r>
    </w:p>
    <w:p w14:paraId="66041502" w14:textId="77777777" w:rsidR="005A25B7" w:rsidRDefault="005A25B7" w:rsidP="005A25B7">
      <w:pPr>
        <w:pStyle w:val="Heading5"/>
      </w:pPr>
      <w:r>
        <w:t>Post-secondary education</w:t>
      </w:r>
    </w:p>
    <w:p w14:paraId="45A6D68D" w14:textId="1DC8FCFF" w:rsidR="00E11B9C" w:rsidRDefault="005A25B7" w:rsidP="005A25B7">
      <w:pPr>
        <w:pStyle w:val="CGCNumberedPara"/>
        <w:numPr>
          <w:ilvl w:val="1"/>
          <w:numId w:val="3"/>
        </w:numPr>
      </w:pPr>
      <w:r>
        <w:t>Most States apply regional loadings to subsidise Vocational education</w:t>
      </w:r>
      <w:r w:rsidR="007453AA">
        <w:t xml:space="preserve"> and</w:t>
      </w:r>
      <w:r>
        <w:t xml:space="preserve"> training (VET). The loadings are State-specific, being a percentage added to the cost of training in the </w:t>
      </w:r>
      <w:r w:rsidR="00E11B9C">
        <w:t xml:space="preserve">capital city </w:t>
      </w:r>
      <w:r>
        <w:t xml:space="preserve">of </w:t>
      </w:r>
      <w:r w:rsidR="00E11B9C">
        <w:t xml:space="preserve">each </w:t>
      </w:r>
      <w:r>
        <w:t xml:space="preserve">State. </w:t>
      </w:r>
    </w:p>
    <w:p w14:paraId="2C81BD7C" w14:textId="0C9EABF7" w:rsidR="005A25B7" w:rsidRPr="009B3E05" w:rsidRDefault="00E11B9C" w:rsidP="005A25B7">
      <w:pPr>
        <w:pStyle w:val="CGCNumberedPara"/>
        <w:numPr>
          <w:ilvl w:val="1"/>
          <w:numId w:val="3"/>
        </w:numPr>
      </w:pPr>
      <w:r>
        <w:t xml:space="preserve">Staff propose to use these data to estimate </w:t>
      </w:r>
      <w:r w:rsidR="009F2D60">
        <w:t xml:space="preserve">a </w:t>
      </w:r>
      <w:r>
        <w:t>regional costs gradient for post</w:t>
      </w:r>
      <w:r w:rsidR="00AE419E">
        <w:noBreakHyphen/>
      </w:r>
      <w:r>
        <w:t>secondary education.</w:t>
      </w:r>
    </w:p>
    <w:p w14:paraId="5A7A11FC" w14:textId="1370D83F" w:rsidR="009F1D15" w:rsidRPr="00C40FC9" w:rsidRDefault="00E46AA3" w:rsidP="00FC7B1C">
      <w:pPr>
        <w:pStyle w:val="CGCNumberedPara"/>
        <w:numPr>
          <w:ilvl w:val="1"/>
          <w:numId w:val="3"/>
        </w:numPr>
      </w:pPr>
      <w:r>
        <w:t xml:space="preserve">The State loadings are provided in </w:t>
      </w:r>
      <w:r>
        <w:fldChar w:fldCharType="begin"/>
      </w:r>
      <w:r>
        <w:instrText xml:space="preserve"> REF _Ref497208252 \h </w:instrText>
      </w:r>
      <w:r>
        <w:fldChar w:fldCharType="separate"/>
      </w:r>
      <w:r w:rsidR="00777E11">
        <w:t xml:space="preserve">Table </w:t>
      </w:r>
      <w:r w:rsidR="00777E11">
        <w:rPr>
          <w:noProof/>
        </w:rPr>
        <w:t>3</w:t>
      </w:r>
      <w:r>
        <w:fldChar w:fldCharType="end"/>
      </w:r>
      <w:r>
        <w:t xml:space="preserve">. The loadings vary </w:t>
      </w:r>
      <w:r w:rsidR="00C37F9C">
        <w:t>across States</w:t>
      </w:r>
      <w:r>
        <w:t xml:space="preserve"> reflecting the</w:t>
      </w:r>
      <w:r w:rsidR="00C37F9C">
        <w:t>ir</w:t>
      </w:r>
      <w:r>
        <w:t xml:space="preserve"> different remoteness profiles. </w:t>
      </w:r>
      <w:r w:rsidRPr="00C40FC9">
        <w:t xml:space="preserve">The </w:t>
      </w:r>
      <w:r>
        <w:t xml:space="preserve">average </w:t>
      </w:r>
      <w:r w:rsidRPr="00C40FC9">
        <w:t xml:space="preserve">loadings for remote and very remote areas are higher than </w:t>
      </w:r>
      <w:r w:rsidR="00925613">
        <w:t xml:space="preserve">the </w:t>
      </w:r>
      <w:r w:rsidR="00F617A4">
        <w:t>2015-based</w:t>
      </w:r>
      <w:r w:rsidR="00925613">
        <w:t xml:space="preserve"> gradients </w:t>
      </w:r>
      <w:r w:rsidRPr="00C40FC9">
        <w:t>for schools and police.</w:t>
      </w:r>
    </w:p>
    <w:p w14:paraId="58C37788" w14:textId="5E63535F" w:rsidR="005A25B7" w:rsidRDefault="00E46AA3" w:rsidP="00FC7B1C">
      <w:pPr>
        <w:pStyle w:val="Caption"/>
      </w:pPr>
      <w:bookmarkStart w:id="32" w:name="_Ref497208252"/>
      <w:bookmarkStart w:id="33" w:name="_Ref496775552"/>
      <w:r>
        <w:lastRenderedPageBreak/>
        <w:t xml:space="preserve">Table </w:t>
      </w:r>
      <w:r w:rsidR="002C0581">
        <w:fldChar w:fldCharType="begin"/>
      </w:r>
      <w:r w:rsidR="002C0581">
        <w:instrText xml:space="preserve"> SEQ Table \* ARABIC </w:instrText>
      </w:r>
      <w:r w:rsidR="002C0581">
        <w:fldChar w:fldCharType="separate"/>
      </w:r>
      <w:r w:rsidR="00777E11">
        <w:rPr>
          <w:noProof/>
        </w:rPr>
        <w:t>3</w:t>
      </w:r>
      <w:r w:rsidR="002C0581">
        <w:rPr>
          <w:noProof/>
        </w:rPr>
        <w:fldChar w:fldCharType="end"/>
      </w:r>
      <w:bookmarkEnd w:id="32"/>
      <w:r w:rsidR="005A25B7">
        <w:tab/>
        <w:t>Regional cost loadings, Post-secondary education</w:t>
      </w:r>
      <w:bookmarkEnd w:id="33"/>
    </w:p>
    <w:tbl>
      <w:tblPr>
        <w:tblW w:w="8880" w:type="dxa"/>
        <w:tblLayout w:type="fixed"/>
        <w:tblCellMar>
          <w:left w:w="0" w:type="dxa"/>
          <w:right w:w="0" w:type="dxa"/>
        </w:tblCellMar>
        <w:tblLook w:val="04A0" w:firstRow="1" w:lastRow="0" w:firstColumn="1" w:lastColumn="0" w:noHBand="0" w:noVBand="1"/>
      </w:tblPr>
      <w:tblGrid>
        <w:gridCol w:w="1500"/>
        <w:gridCol w:w="820"/>
        <w:gridCol w:w="820"/>
        <w:gridCol w:w="820"/>
        <w:gridCol w:w="820"/>
        <w:gridCol w:w="820"/>
        <w:gridCol w:w="820"/>
        <w:gridCol w:w="820"/>
        <w:gridCol w:w="820"/>
        <w:gridCol w:w="820"/>
      </w:tblGrid>
      <w:tr w:rsidR="005005DB" w:rsidRPr="005005DB" w14:paraId="2173E1E3" w14:textId="77777777" w:rsidTr="005269D3">
        <w:trPr>
          <w:trHeight w:val="375"/>
        </w:trPr>
        <w:tc>
          <w:tcPr>
            <w:tcW w:w="1500" w:type="dxa"/>
            <w:tcBorders>
              <w:top w:val="single" w:sz="4" w:space="0" w:color="auto"/>
              <w:left w:val="nil"/>
              <w:bottom w:val="single" w:sz="4" w:space="0" w:color="auto"/>
              <w:right w:val="nil"/>
            </w:tcBorders>
            <w:shd w:val="clear" w:color="000000" w:fill="FFFFFF"/>
            <w:noWrap/>
            <w:vAlign w:val="center"/>
            <w:hideMark/>
          </w:tcPr>
          <w:p w14:paraId="5E92DA1B"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Remoteness</w:t>
            </w:r>
          </w:p>
        </w:tc>
        <w:tc>
          <w:tcPr>
            <w:tcW w:w="820" w:type="dxa"/>
            <w:tcBorders>
              <w:top w:val="single" w:sz="4" w:space="0" w:color="auto"/>
              <w:left w:val="nil"/>
              <w:bottom w:val="single" w:sz="4" w:space="0" w:color="auto"/>
              <w:right w:val="nil"/>
            </w:tcBorders>
            <w:shd w:val="clear" w:color="000000" w:fill="FFFFFF"/>
            <w:noWrap/>
            <w:vAlign w:val="center"/>
            <w:hideMark/>
          </w:tcPr>
          <w:p w14:paraId="42C6249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NSW</w:t>
            </w:r>
          </w:p>
        </w:tc>
        <w:tc>
          <w:tcPr>
            <w:tcW w:w="820" w:type="dxa"/>
            <w:tcBorders>
              <w:top w:val="single" w:sz="4" w:space="0" w:color="auto"/>
              <w:left w:val="nil"/>
              <w:bottom w:val="single" w:sz="4" w:space="0" w:color="auto"/>
              <w:right w:val="nil"/>
            </w:tcBorders>
            <w:shd w:val="clear" w:color="000000" w:fill="FFFFFF"/>
            <w:noWrap/>
            <w:vAlign w:val="center"/>
            <w:hideMark/>
          </w:tcPr>
          <w:p w14:paraId="4677569A" w14:textId="6DD7D369"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V</w:t>
            </w:r>
            <w:r w:rsidR="001144DD">
              <w:rPr>
                <w:rFonts w:ascii="Calibri" w:eastAsia="Times New Roman" w:hAnsi="Calibri" w:cs="Calibri"/>
                <w:color w:val="000000"/>
                <w:sz w:val="20"/>
                <w:szCs w:val="20"/>
                <w:lang w:eastAsia="en-AU"/>
              </w:rPr>
              <w:t>ic</w:t>
            </w:r>
          </w:p>
        </w:tc>
        <w:tc>
          <w:tcPr>
            <w:tcW w:w="820" w:type="dxa"/>
            <w:tcBorders>
              <w:top w:val="single" w:sz="4" w:space="0" w:color="auto"/>
              <w:left w:val="nil"/>
              <w:bottom w:val="single" w:sz="4" w:space="0" w:color="auto"/>
              <w:right w:val="nil"/>
            </w:tcBorders>
            <w:shd w:val="clear" w:color="000000" w:fill="FFFFFF"/>
            <w:noWrap/>
            <w:vAlign w:val="center"/>
            <w:hideMark/>
          </w:tcPr>
          <w:p w14:paraId="6B423B4B" w14:textId="05CB5EC5"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Q</w:t>
            </w:r>
            <w:r w:rsidR="001144DD">
              <w:rPr>
                <w:rFonts w:ascii="Calibri" w:eastAsia="Times New Roman" w:hAnsi="Calibri" w:cs="Calibri"/>
                <w:color w:val="000000"/>
                <w:sz w:val="20"/>
                <w:szCs w:val="20"/>
                <w:lang w:eastAsia="en-AU"/>
              </w:rPr>
              <w:t>ld</w:t>
            </w:r>
          </w:p>
        </w:tc>
        <w:tc>
          <w:tcPr>
            <w:tcW w:w="820" w:type="dxa"/>
            <w:tcBorders>
              <w:top w:val="single" w:sz="4" w:space="0" w:color="auto"/>
              <w:left w:val="nil"/>
              <w:bottom w:val="single" w:sz="4" w:space="0" w:color="auto"/>
              <w:right w:val="nil"/>
            </w:tcBorders>
            <w:shd w:val="clear" w:color="000000" w:fill="FFFFFF"/>
            <w:noWrap/>
            <w:vAlign w:val="center"/>
            <w:hideMark/>
          </w:tcPr>
          <w:p w14:paraId="66E994EB"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WA</w:t>
            </w:r>
          </w:p>
        </w:tc>
        <w:tc>
          <w:tcPr>
            <w:tcW w:w="820" w:type="dxa"/>
            <w:tcBorders>
              <w:top w:val="single" w:sz="4" w:space="0" w:color="auto"/>
              <w:left w:val="nil"/>
              <w:bottom w:val="single" w:sz="4" w:space="0" w:color="auto"/>
              <w:right w:val="nil"/>
            </w:tcBorders>
            <w:shd w:val="clear" w:color="000000" w:fill="FFFFFF"/>
            <w:noWrap/>
            <w:vAlign w:val="center"/>
            <w:hideMark/>
          </w:tcPr>
          <w:p w14:paraId="2A02F222"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SA</w:t>
            </w:r>
          </w:p>
        </w:tc>
        <w:tc>
          <w:tcPr>
            <w:tcW w:w="820" w:type="dxa"/>
            <w:tcBorders>
              <w:top w:val="single" w:sz="4" w:space="0" w:color="auto"/>
              <w:left w:val="nil"/>
              <w:bottom w:val="single" w:sz="4" w:space="0" w:color="auto"/>
              <w:right w:val="nil"/>
            </w:tcBorders>
            <w:shd w:val="clear" w:color="000000" w:fill="FFFFFF"/>
            <w:noWrap/>
            <w:vAlign w:val="center"/>
            <w:hideMark/>
          </w:tcPr>
          <w:p w14:paraId="4E0FD85E" w14:textId="6E44606F"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T</w:t>
            </w:r>
            <w:r w:rsidR="001144DD">
              <w:rPr>
                <w:rFonts w:ascii="Calibri" w:eastAsia="Times New Roman" w:hAnsi="Calibri" w:cs="Calibri"/>
                <w:color w:val="000000"/>
                <w:sz w:val="20"/>
                <w:szCs w:val="20"/>
                <w:lang w:eastAsia="en-AU"/>
              </w:rPr>
              <w:t>as</w:t>
            </w:r>
            <w:r>
              <w:rPr>
                <w:rFonts w:ascii="Calibri" w:eastAsia="Times New Roman" w:hAnsi="Calibri" w:cs="Calibri"/>
                <w:color w:val="000000"/>
                <w:sz w:val="20"/>
                <w:szCs w:val="20"/>
                <w:lang w:eastAsia="en-AU"/>
              </w:rPr>
              <w:t>(a)</w:t>
            </w:r>
          </w:p>
        </w:tc>
        <w:tc>
          <w:tcPr>
            <w:tcW w:w="820" w:type="dxa"/>
            <w:tcBorders>
              <w:top w:val="single" w:sz="4" w:space="0" w:color="auto"/>
              <w:left w:val="nil"/>
              <w:bottom w:val="single" w:sz="4" w:space="0" w:color="auto"/>
              <w:right w:val="nil"/>
            </w:tcBorders>
            <w:shd w:val="clear" w:color="000000" w:fill="FFFFFF"/>
            <w:noWrap/>
            <w:vAlign w:val="center"/>
            <w:hideMark/>
          </w:tcPr>
          <w:p w14:paraId="50EC7C11"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ACT</w:t>
            </w:r>
          </w:p>
        </w:tc>
        <w:tc>
          <w:tcPr>
            <w:tcW w:w="820" w:type="dxa"/>
            <w:tcBorders>
              <w:top w:val="single" w:sz="4" w:space="0" w:color="auto"/>
              <w:left w:val="nil"/>
              <w:bottom w:val="single" w:sz="4" w:space="0" w:color="auto"/>
              <w:right w:val="nil"/>
            </w:tcBorders>
            <w:shd w:val="clear" w:color="000000" w:fill="FFFFFF"/>
            <w:noWrap/>
            <w:vAlign w:val="center"/>
            <w:hideMark/>
          </w:tcPr>
          <w:p w14:paraId="1B6083ED" w14:textId="390452C8"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NT</w:t>
            </w:r>
            <w:r>
              <w:rPr>
                <w:rFonts w:ascii="Calibri" w:eastAsia="Times New Roman" w:hAnsi="Calibri" w:cs="Calibri"/>
                <w:color w:val="000000"/>
                <w:sz w:val="20"/>
                <w:szCs w:val="20"/>
                <w:lang w:eastAsia="en-AU"/>
              </w:rPr>
              <w:t>(a)</w:t>
            </w:r>
          </w:p>
        </w:tc>
        <w:tc>
          <w:tcPr>
            <w:tcW w:w="820" w:type="dxa"/>
            <w:tcBorders>
              <w:top w:val="single" w:sz="4" w:space="0" w:color="auto"/>
              <w:left w:val="nil"/>
              <w:bottom w:val="single" w:sz="4" w:space="0" w:color="auto"/>
              <w:right w:val="nil"/>
            </w:tcBorders>
            <w:shd w:val="clear" w:color="000000" w:fill="FFFFFF"/>
            <w:noWrap/>
            <w:vAlign w:val="center"/>
            <w:hideMark/>
          </w:tcPr>
          <w:p w14:paraId="60B1D637" w14:textId="093825C2" w:rsidR="005005DB" w:rsidRPr="005005DB" w:rsidRDefault="00163BC8"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Total</w:t>
            </w:r>
          </w:p>
        </w:tc>
      </w:tr>
      <w:tr w:rsidR="005005DB" w:rsidRPr="005005DB" w14:paraId="20D06061" w14:textId="77777777" w:rsidTr="005269D3">
        <w:trPr>
          <w:trHeight w:val="315"/>
        </w:trPr>
        <w:tc>
          <w:tcPr>
            <w:tcW w:w="1500" w:type="dxa"/>
            <w:tcBorders>
              <w:top w:val="nil"/>
              <w:left w:val="nil"/>
              <w:bottom w:val="nil"/>
              <w:right w:val="nil"/>
            </w:tcBorders>
            <w:shd w:val="clear" w:color="000000" w:fill="FFFFFF"/>
            <w:noWrap/>
            <w:vAlign w:val="bottom"/>
            <w:hideMark/>
          </w:tcPr>
          <w:p w14:paraId="75AD7623"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Major cities</w:t>
            </w:r>
          </w:p>
        </w:tc>
        <w:tc>
          <w:tcPr>
            <w:tcW w:w="820" w:type="dxa"/>
            <w:tcBorders>
              <w:top w:val="nil"/>
              <w:left w:val="nil"/>
              <w:bottom w:val="nil"/>
              <w:right w:val="nil"/>
            </w:tcBorders>
            <w:shd w:val="clear" w:color="000000" w:fill="FFFFFF"/>
            <w:noWrap/>
            <w:vAlign w:val="bottom"/>
            <w:hideMark/>
          </w:tcPr>
          <w:p w14:paraId="1A9A1128"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2390E980"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1.01</w:t>
            </w:r>
          </w:p>
        </w:tc>
        <w:tc>
          <w:tcPr>
            <w:tcW w:w="820" w:type="dxa"/>
            <w:tcBorders>
              <w:top w:val="nil"/>
              <w:left w:val="nil"/>
              <w:bottom w:val="nil"/>
              <w:right w:val="nil"/>
            </w:tcBorders>
            <w:shd w:val="clear" w:color="000000" w:fill="FFFFFF"/>
            <w:noWrap/>
            <w:vAlign w:val="bottom"/>
            <w:hideMark/>
          </w:tcPr>
          <w:p w14:paraId="095A8F4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72380822"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6A9D0306"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2489F4FE"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nil"/>
              <w:right w:val="nil"/>
            </w:tcBorders>
            <w:shd w:val="clear" w:color="000000" w:fill="FFFFFF"/>
            <w:noWrap/>
            <w:vAlign w:val="bottom"/>
            <w:hideMark/>
          </w:tcPr>
          <w:p w14:paraId="5B8878C2"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1D8D8511"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nil"/>
              <w:right w:val="nil"/>
            </w:tcBorders>
            <w:shd w:val="clear" w:color="000000" w:fill="FFFFFF"/>
            <w:noWrap/>
            <w:vAlign w:val="bottom"/>
            <w:hideMark/>
          </w:tcPr>
          <w:p w14:paraId="5936A7CE"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r>
      <w:tr w:rsidR="005005DB" w:rsidRPr="005005DB" w14:paraId="1A97DCEF" w14:textId="77777777" w:rsidTr="005269D3">
        <w:trPr>
          <w:trHeight w:val="315"/>
        </w:trPr>
        <w:tc>
          <w:tcPr>
            <w:tcW w:w="1500" w:type="dxa"/>
            <w:tcBorders>
              <w:top w:val="nil"/>
              <w:left w:val="nil"/>
              <w:bottom w:val="nil"/>
              <w:right w:val="nil"/>
            </w:tcBorders>
            <w:shd w:val="clear" w:color="000000" w:fill="FFFFFF"/>
            <w:noWrap/>
            <w:vAlign w:val="bottom"/>
            <w:hideMark/>
          </w:tcPr>
          <w:p w14:paraId="750E3B35"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Inner regional</w:t>
            </w:r>
          </w:p>
        </w:tc>
        <w:tc>
          <w:tcPr>
            <w:tcW w:w="820" w:type="dxa"/>
            <w:tcBorders>
              <w:top w:val="nil"/>
              <w:left w:val="nil"/>
              <w:bottom w:val="nil"/>
              <w:right w:val="nil"/>
            </w:tcBorders>
            <w:shd w:val="clear" w:color="000000" w:fill="FFFFFF"/>
            <w:noWrap/>
            <w:vAlign w:val="bottom"/>
            <w:hideMark/>
          </w:tcPr>
          <w:p w14:paraId="3E025584"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1.10</w:t>
            </w:r>
          </w:p>
        </w:tc>
        <w:tc>
          <w:tcPr>
            <w:tcW w:w="820" w:type="dxa"/>
            <w:tcBorders>
              <w:top w:val="nil"/>
              <w:left w:val="nil"/>
              <w:bottom w:val="nil"/>
              <w:right w:val="nil"/>
            </w:tcBorders>
            <w:shd w:val="clear" w:color="000000" w:fill="FFFFFF"/>
            <w:noWrap/>
            <w:vAlign w:val="bottom"/>
            <w:hideMark/>
          </w:tcPr>
          <w:p w14:paraId="7A978D21"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1.10</w:t>
            </w:r>
          </w:p>
        </w:tc>
        <w:tc>
          <w:tcPr>
            <w:tcW w:w="820" w:type="dxa"/>
            <w:tcBorders>
              <w:top w:val="nil"/>
              <w:left w:val="nil"/>
              <w:bottom w:val="nil"/>
              <w:right w:val="nil"/>
            </w:tcBorders>
            <w:shd w:val="clear" w:color="000000" w:fill="FFFFFF"/>
            <w:noWrap/>
            <w:vAlign w:val="bottom"/>
            <w:hideMark/>
          </w:tcPr>
          <w:p w14:paraId="230E2593"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1.14</w:t>
            </w:r>
          </w:p>
        </w:tc>
        <w:tc>
          <w:tcPr>
            <w:tcW w:w="820" w:type="dxa"/>
            <w:tcBorders>
              <w:top w:val="nil"/>
              <w:left w:val="nil"/>
              <w:bottom w:val="nil"/>
              <w:right w:val="nil"/>
            </w:tcBorders>
            <w:shd w:val="clear" w:color="000000" w:fill="FFFFFF"/>
            <w:noWrap/>
            <w:vAlign w:val="bottom"/>
            <w:hideMark/>
          </w:tcPr>
          <w:p w14:paraId="70C4322B"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1.11</w:t>
            </w:r>
          </w:p>
        </w:tc>
        <w:tc>
          <w:tcPr>
            <w:tcW w:w="820" w:type="dxa"/>
            <w:tcBorders>
              <w:top w:val="nil"/>
              <w:left w:val="nil"/>
              <w:bottom w:val="nil"/>
              <w:right w:val="nil"/>
            </w:tcBorders>
            <w:shd w:val="clear" w:color="000000" w:fill="FFFFFF"/>
            <w:noWrap/>
            <w:vAlign w:val="bottom"/>
            <w:hideMark/>
          </w:tcPr>
          <w:p w14:paraId="31C59D8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0539DC81" w14:textId="38A538E0"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w:t>
            </w:r>
            <w:r w:rsidR="00C91582">
              <w:rPr>
                <w:rFonts w:ascii="Calibri" w:eastAsia="Times New Roman" w:hAnsi="Calibri" w:cs="Calibri"/>
                <w:color w:val="000000"/>
                <w:sz w:val="20"/>
                <w:szCs w:val="20"/>
                <w:lang w:eastAsia="en-AU"/>
              </w:rPr>
              <w:t>0</w:t>
            </w:r>
          </w:p>
        </w:tc>
        <w:tc>
          <w:tcPr>
            <w:tcW w:w="820" w:type="dxa"/>
            <w:tcBorders>
              <w:top w:val="nil"/>
              <w:left w:val="nil"/>
              <w:bottom w:val="nil"/>
              <w:right w:val="nil"/>
            </w:tcBorders>
            <w:shd w:val="clear" w:color="000000" w:fill="FFFFFF"/>
            <w:noWrap/>
            <w:vAlign w:val="bottom"/>
            <w:hideMark/>
          </w:tcPr>
          <w:p w14:paraId="17CCEFC5"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2C17272B"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nil"/>
              <w:right w:val="nil"/>
            </w:tcBorders>
            <w:shd w:val="clear" w:color="000000" w:fill="FFFFFF"/>
            <w:noWrap/>
            <w:vAlign w:val="bottom"/>
            <w:hideMark/>
          </w:tcPr>
          <w:p w14:paraId="0F4664DB" w14:textId="79C65DA2"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w:t>
            </w:r>
            <w:r w:rsidR="00C91582">
              <w:rPr>
                <w:rFonts w:ascii="Calibri" w:eastAsia="Times New Roman" w:hAnsi="Calibri" w:cs="Calibri"/>
                <w:color w:val="000000"/>
                <w:sz w:val="20"/>
                <w:szCs w:val="20"/>
                <w:lang w:eastAsia="en-AU"/>
              </w:rPr>
              <w:t>0</w:t>
            </w:r>
          </w:p>
        </w:tc>
      </w:tr>
      <w:tr w:rsidR="005005DB" w:rsidRPr="005005DB" w14:paraId="2F94185D" w14:textId="77777777" w:rsidTr="005269D3">
        <w:trPr>
          <w:trHeight w:val="315"/>
        </w:trPr>
        <w:tc>
          <w:tcPr>
            <w:tcW w:w="1500" w:type="dxa"/>
            <w:tcBorders>
              <w:top w:val="nil"/>
              <w:left w:val="nil"/>
              <w:bottom w:val="nil"/>
              <w:right w:val="nil"/>
            </w:tcBorders>
            <w:shd w:val="clear" w:color="000000" w:fill="FFFFFF"/>
            <w:noWrap/>
            <w:vAlign w:val="bottom"/>
            <w:hideMark/>
          </w:tcPr>
          <w:p w14:paraId="4F037937"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Outer regional</w:t>
            </w:r>
          </w:p>
        </w:tc>
        <w:tc>
          <w:tcPr>
            <w:tcW w:w="820" w:type="dxa"/>
            <w:tcBorders>
              <w:top w:val="nil"/>
              <w:left w:val="nil"/>
              <w:bottom w:val="nil"/>
              <w:right w:val="nil"/>
            </w:tcBorders>
            <w:shd w:val="clear" w:color="000000" w:fill="FFFFFF"/>
            <w:noWrap/>
            <w:vAlign w:val="bottom"/>
            <w:hideMark/>
          </w:tcPr>
          <w:p w14:paraId="534E1C41"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1.10</w:t>
            </w:r>
          </w:p>
        </w:tc>
        <w:tc>
          <w:tcPr>
            <w:tcW w:w="820" w:type="dxa"/>
            <w:tcBorders>
              <w:top w:val="nil"/>
              <w:left w:val="nil"/>
              <w:bottom w:val="nil"/>
              <w:right w:val="nil"/>
            </w:tcBorders>
            <w:shd w:val="clear" w:color="000000" w:fill="FFFFFF"/>
            <w:noWrap/>
            <w:vAlign w:val="bottom"/>
            <w:hideMark/>
          </w:tcPr>
          <w:p w14:paraId="769ECB51"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1.10</w:t>
            </w:r>
          </w:p>
        </w:tc>
        <w:tc>
          <w:tcPr>
            <w:tcW w:w="820" w:type="dxa"/>
            <w:tcBorders>
              <w:top w:val="nil"/>
              <w:left w:val="nil"/>
              <w:bottom w:val="nil"/>
              <w:right w:val="nil"/>
            </w:tcBorders>
            <w:shd w:val="clear" w:color="000000" w:fill="FFFFFF"/>
            <w:noWrap/>
            <w:vAlign w:val="bottom"/>
            <w:hideMark/>
          </w:tcPr>
          <w:p w14:paraId="44EADD3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1.17</w:t>
            </w:r>
          </w:p>
        </w:tc>
        <w:tc>
          <w:tcPr>
            <w:tcW w:w="820" w:type="dxa"/>
            <w:tcBorders>
              <w:top w:val="nil"/>
              <w:left w:val="nil"/>
              <w:bottom w:val="nil"/>
              <w:right w:val="nil"/>
            </w:tcBorders>
            <w:shd w:val="clear" w:color="000000" w:fill="FFFFFF"/>
            <w:noWrap/>
            <w:vAlign w:val="bottom"/>
            <w:hideMark/>
          </w:tcPr>
          <w:p w14:paraId="0136158D"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1.33</w:t>
            </w:r>
          </w:p>
        </w:tc>
        <w:tc>
          <w:tcPr>
            <w:tcW w:w="820" w:type="dxa"/>
            <w:tcBorders>
              <w:top w:val="nil"/>
              <w:left w:val="nil"/>
              <w:bottom w:val="nil"/>
              <w:right w:val="nil"/>
            </w:tcBorders>
            <w:shd w:val="clear" w:color="000000" w:fill="FFFFFF"/>
            <w:noWrap/>
            <w:vAlign w:val="bottom"/>
            <w:hideMark/>
          </w:tcPr>
          <w:p w14:paraId="12E57208"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1.12</w:t>
            </w:r>
          </w:p>
        </w:tc>
        <w:tc>
          <w:tcPr>
            <w:tcW w:w="820" w:type="dxa"/>
            <w:tcBorders>
              <w:top w:val="nil"/>
              <w:left w:val="nil"/>
              <w:bottom w:val="nil"/>
              <w:right w:val="nil"/>
            </w:tcBorders>
            <w:shd w:val="clear" w:color="000000" w:fill="FFFFFF"/>
            <w:noWrap/>
            <w:vAlign w:val="bottom"/>
            <w:hideMark/>
          </w:tcPr>
          <w:p w14:paraId="07544C0B" w14:textId="127D3D92"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w:t>
            </w:r>
            <w:r w:rsidR="00C91582">
              <w:rPr>
                <w:rFonts w:ascii="Calibri" w:eastAsia="Times New Roman" w:hAnsi="Calibri" w:cs="Calibri"/>
                <w:color w:val="000000"/>
                <w:sz w:val="20"/>
                <w:szCs w:val="20"/>
                <w:lang w:eastAsia="en-AU"/>
              </w:rPr>
              <w:t>0</w:t>
            </w:r>
          </w:p>
        </w:tc>
        <w:tc>
          <w:tcPr>
            <w:tcW w:w="820" w:type="dxa"/>
            <w:tcBorders>
              <w:top w:val="nil"/>
              <w:left w:val="nil"/>
              <w:bottom w:val="nil"/>
              <w:right w:val="nil"/>
            </w:tcBorders>
            <w:shd w:val="clear" w:color="000000" w:fill="FFFFFF"/>
            <w:noWrap/>
            <w:vAlign w:val="bottom"/>
            <w:hideMark/>
          </w:tcPr>
          <w:p w14:paraId="47F5E447"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1.00</w:t>
            </w:r>
          </w:p>
        </w:tc>
        <w:tc>
          <w:tcPr>
            <w:tcW w:w="820" w:type="dxa"/>
            <w:tcBorders>
              <w:top w:val="nil"/>
              <w:left w:val="nil"/>
              <w:bottom w:val="nil"/>
              <w:right w:val="nil"/>
            </w:tcBorders>
            <w:shd w:val="clear" w:color="000000" w:fill="FFFFFF"/>
            <w:noWrap/>
            <w:vAlign w:val="bottom"/>
            <w:hideMark/>
          </w:tcPr>
          <w:p w14:paraId="3F43424F" w14:textId="7B1FDB86"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19</w:t>
            </w:r>
          </w:p>
        </w:tc>
        <w:tc>
          <w:tcPr>
            <w:tcW w:w="820" w:type="dxa"/>
            <w:tcBorders>
              <w:top w:val="nil"/>
              <w:left w:val="nil"/>
              <w:bottom w:val="nil"/>
              <w:right w:val="nil"/>
            </w:tcBorders>
            <w:shd w:val="clear" w:color="000000" w:fill="FFFFFF"/>
            <w:noWrap/>
            <w:vAlign w:val="bottom"/>
            <w:hideMark/>
          </w:tcPr>
          <w:p w14:paraId="1253B003" w14:textId="689F63A5"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16</w:t>
            </w:r>
          </w:p>
        </w:tc>
      </w:tr>
      <w:tr w:rsidR="005005DB" w:rsidRPr="005005DB" w14:paraId="3606B2AF" w14:textId="77777777" w:rsidTr="005269D3">
        <w:trPr>
          <w:trHeight w:val="315"/>
        </w:trPr>
        <w:tc>
          <w:tcPr>
            <w:tcW w:w="1500" w:type="dxa"/>
            <w:tcBorders>
              <w:top w:val="nil"/>
              <w:left w:val="nil"/>
              <w:bottom w:val="nil"/>
              <w:right w:val="nil"/>
            </w:tcBorders>
            <w:shd w:val="clear" w:color="000000" w:fill="FFFFFF"/>
            <w:noWrap/>
            <w:vAlign w:val="bottom"/>
            <w:hideMark/>
          </w:tcPr>
          <w:p w14:paraId="5F77873E"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Remote</w:t>
            </w:r>
          </w:p>
        </w:tc>
        <w:tc>
          <w:tcPr>
            <w:tcW w:w="820" w:type="dxa"/>
            <w:tcBorders>
              <w:top w:val="nil"/>
              <w:left w:val="nil"/>
              <w:bottom w:val="nil"/>
              <w:right w:val="nil"/>
            </w:tcBorders>
            <w:shd w:val="clear" w:color="000000" w:fill="FFFFFF"/>
            <w:noWrap/>
            <w:vAlign w:val="bottom"/>
            <w:hideMark/>
          </w:tcPr>
          <w:p w14:paraId="078C3F1A"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1.20</w:t>
            </w:r>
          </w:p>
        </w:tc>
        <w:tc>
          <w:tcPr>
            <w:tcW w:w="820" w:type="dxa"/>
            <w:tcBorders>
              <w:top w:val="nil"/>
              <w:left w:val="nil"/>
              <w:bottom w:val="nil"/>
              <w:right w:val="nil"/>
            </w:tcBorders>
            <w:shd w:val="clear" w:color="000000" w:fill="FFFFFF"/>
            <w:noWrap/>
            <w:vAlign w:val="bottom"/>
            <w:hideMark/>
          </w:tcPr>
          <w:p w14:paraId="2A5D794D"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1.10</w:t>
            </w:r>
          </w:p>
        </w:tc>
        <w:tc>
          <w:tcPr>
            <w:tcW w:w="820" w:type="dxa"/>
            <w:tcBorders>
              <w:top w:val="nil"/>
              <w:left w:val="nil"/>
              <w:bottom w:val="nil"/>
              <w:right w:val="nil"/>
            </w:tcBorders>
            <w:shd w:val="clear" w:color="000000" w:fill="FFFFFF"/>
            <w:noWrap/>
            <w:vAlign w:val="bottom"/>
            <w:hideMark/>
          </w:tcPr>
          <w:p w14:paraId="5F0342EE"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1.52</w:t>
            </w:r>
          </w:p>
        </w:tc>
        <w:tc>
          <w:tcPr>
            <w:tcW w:w="820" w:type="dxa"/>
            <w:tcBorders>
              <w:top w:val="nil"/>
              <w:left w:val="nil"/>
              <w:bottom w:val="nil"/>
              <w:right w:val="nil"/>
            </w:tcBorders>
            <w:shd w:val="clear" w:color="000000" w:fill="FFFFFF"/>
            <w:noWrap/>
            <w:vAlign w:val="bottom"/>
            <w:hideMark/>
          </w:tcPr>
          <w:p w14:paraId="1B2B9B00"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1.96</w:t>
            </w:r>
          </w:p>
        </w:tc>
        <w:tc>
          <w:tcPr>
            <w:tcW w:w="820" w:type="dxa"/>
            <w:tcBorders>
              <w:top w:val="nil"/>
              <w:left w:val="nil"/>
              <w:bottom w:val="nil"/>
              <w:right w:val="nil"/>
            </w:tcBorders>
            <w:shd w:val="clear" w:color="000000" w:fill="FFFFFF"/>
            <w:noWrap/>
            <w:vAlign w:val="bottom"/>
            <w:hideMark/>
          </w:tcPr>
          <w:p w14:paraId="72E6101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1.23</w:t>
            </w:r>
          </w:p>
        </w:tc>
        <w:tc>
          <w:tcPr>
            <w:tcW w:w="820" w:type="dxa"/>
            <w:tcBorders>
              <w:top w:val="nil"/>
              <w:left w:val="nil"/>
              <w:bottom w:val="nil"/>
              <w:right w:val="nil"/>
            </w:tcBorders>
            <w:shd w:val="clear" w:color="000000" w:fill="FFFFFF"/>
            <w:noWrap/>
            <w:vAlign w:val="bottom"/>
            <w:hideMark/>
          </w:tcPr>
          <w:p w14:paraId="7F04FC74" w14:textId="34EDEAAA"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w:t>
            </w:r>
            <w:r w:rsidR="00C91582">
              <w:rPr>
                <w:rFonts w:ascii="Calibri" w:eastAsia="Times New Roman" w:hAnsi="Calibri" w:cs="Calibri"/>
                <w:color w:val="000000"/>
                <w:sz w:val="20"/>
                <w:szCs w:val="20"/>
                <w:lang w:eastAsia="en-AU"/>
              </w:rPr>
              <w:t>0</w:t>
            </w:r>
          </w:p>
        </w:tc>
        <w:tc>
          <w:tcPr>
            <w:tcW w:w="820" w:type="dxa"/>
            <w:tcBorders>
              <w:top w:val="nil"/>
              <w:left w:val="nil"/>
              <w:bottom w:val="nil"/>
              <w:right w:val="nil"/>
            </w:tcBorders>
            <w:shd w:val="clear" w:color="000000" w:fill="FFFFFF"/>
            <w:noWrap/>
            <w:vAlign w:val="bottom"/>
            <w:hideMark/>
          </w:tcPr>
          <w:p w14:paraId="7D55D8C3"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nil"/>
              <w:right w:val="nil"/>
            </w:tcBorders>
            <w:shd w:val="clear" w:color="000000" w:fill="FFFFFF"/>
            <w:noWrap/>
            <w:vAlign w:val="bottom"/>
            <w:hideMark/>
          </w:tcPr>
          <w:p w14:paraId="61699CF6" w14:textId="230DFDCB"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26</w:t>
            </w:r>
          </w:p>
        </w:tc>
        <w:tc>
          <w:tcPr>
            <w:tcW w:w="820" w:type="dxa"/>
            <w:tcBorders>
              <w:top w:val="nil"/>
              <w:left w:val="nil"/>
              <w:bottom w:val="nil"/>
              <w:right w:val="nil"/>
            </w:tcBorders>
            <w:shd w:val="clear" w:color="000000" w:fill="FFFFFF"/>
            <w:noWrap/>
            <w:vAlign w:val="bottom"/>
            <w:hideMark/>
          </w:tcPr>
          <w:p w14:paraId="2BB76767" w14:textId="26D6647A"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.62</w:t>
            </w:r>
          </w:p>
        </w:tc>
      </w:tr>
      <w:tr w:rsidR="005005DB" w:rsidRPr="005005DB" w14:paraId="31566827" w14:textId="77777777" w:rsidTr="005269D3">
        <w:trPr>
          <w:trHeight w:val="315"/>
        </w:trPr>
        <w:tc>
          <w:tcPr>
            <w:tcW w:w="1500" w:type="dxa"/>
            <w:tcBorders>
              <w:top w:val="nil"/>
              <w:left w:val="nil"/>
              <w:bottom w:val="single" w:sz="4" w:space="0" w:color="auto"/>
              <w:right w:val="nil"/>
            </w:tcBorders>
            <w:shd w:val="clear" w:color="000000" w:fill="FFFFFF"/>
            <w:noWrap/>
            <w:vAlign w:val="bottom"/>
            <w:hideMark/>
          </w:tcPr>
          <w:p w14:paraId="3A01BC5D" w14:textId="77777777" w:rsidR="005005DB" w:rsidRPr="005005DB" w:rsidRDefault="005005DB" w:rsidP="005269D3">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Very remote</w:t>
            </w:r>
          </w:p>
        </w:tc>
        <w:tc>
          <w:tcPr>
            <w:tcW w:w="820" w:type="dxa"/>
            <w:tcBorders>
              <w:top w:val="nil"/>
              <w:left w:val="nil"/>
              <w:bottom w:val="single" w:sz="4" w:space="0" w:color="auto"/>
              <w:right w:val="nil"/>
            </w:tcBorders>
            <w:shd w:val="clear" w:color="000000" w:fill="FFFFFF"/>
            <w:noWrap/>
            <w:vAlign w:val="bottom"/>
            <w:hideMark/>
          </w:tcPr>
          <w:p w14:paraId="6FA41EFD"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1.20</w:t>
            </w:r>
          </w:p>
        </w:tc>
        <w:tc>
          <w:tcPr>
            <w:tcW w:w="820" w:type="dxa"/>
            <w:tcBorders>
              <w:top w:val="nil"/>
              <w:left w:val="nil"/>
              <w:bottom w:val="single" w:sz="4" w:space="0" w:color="auto"/>
              <w:right w:val="nil"/>
            </w:tcBorders>
            <w:shd w:val="clear" w:color="000000" w:fill="FFFFFF"/>
            <w:noWrap/>
            <w:vAlign w:val="bottom"/>
            <w:hideMark/>
          </w:tcPr>
          <w:p w14:paraId="0645BCA3"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single" w:sz="4" w:space="0" w:color="auto"/>
              <w:right w:val="nil"/>
            </w:tcBorders>
            <w:shd w:val="clear" w:color="000000" w:fill="FFFFFF"/>
            <w:noWrap/>
            <w:vAlign w:val="bottom"/>
            <w:hideMark/>
          </w:tcPr>
          <w:p w14:paraId="3C625BE8"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1.92</w:t>
            </w:r>
          </w:p>
        </w:tc>
        <w:tc>
          <w:tcPr>
            <w:tcW w:w="820" w:type="dxa"/>
            <w:tcBorders>
              <w:top w:val="nil"/>
              <w:left w:val="nil"/>
              <w:bottom w:val="single" w:sz="4" w:space="0" w:color="auto"/>
              <w:right w:val="nil"/>
            </w:tcBorders>
            <w:shd w:val="clear" w:color="000000" w:fill="FFFFFF"/>
            <w:noWrap/>
            <w:vAlign w:val="bottom"/>
            <w:hideMark/>
          </w:tcPr>
          <w:p w14:paraId="246CB0F2"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1.97</w:t>
            </w:r>
          </w:p>
        </w:tc>
        <w:tc>
          <w:tcPr>
            <w:tcW w:w="820" w:type="dxa"/>
            <w:tcBorders>
              <w:top w:val="nil"/>
              <w:left w:val="nil"/>
              <w:bottom w:val="single" w:sz="4" w:space="0" w:color="auto"/>
              <w:right w:val="nil"/>
            </w:tcBorders>
            <w:shd w:val="clear" w:color="000000" w:fill="FFFFFF"/>
            <w:noWrap/>
            <w:vAlign w:val="bottom"/>
            <w:hideMark/>
          </w:tcPr>
          <w:p w14:paraId="78CCE956"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1.36</w:t>
            </w:r>
          </w:p>
        </w:tc>
        <w:tc>
          <w:tcPr>
            <w:tcW w:w="820" w:type="dxa"/>
            <w:tcBorders>
              <w:top w:val="nil"/>
              <w:left w:val="nil"/>
              <w:bottom w:val="single" w:sz="4" w:space="0" w:color="auto"/>
              <w:right w:val="nil"/>
            </w:tcBorders>
            <w:shd w:val="clear" w:color="000000" w:fill="FFFFFF"/>
            <w:noWrap/>
            <w:vAlign w:val="bottom"/>
            <w:hideMark/>
          </w:tcPr>
          <w:p w14:paraId="682075A3" w14:textId="46FE08E6"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1.1</w:t>
            </w:r>
            <w:r w:rsidR="00C91582">
              <w:rPr>
                <w:rFonts w:ascii="Calibri" w:eastAsia="Times New Roman" w:hAnsi="Calibri" w:cs="Calibri"/>
                <w:color w:val="000000"/>
                <w:sz w:val="20"/>
                <w:szCs w:val="20"/>
                <w:lang w:eastAsia="en-AU"/>
              </w:rPr>
              <w:t>0</w:t>
            </w:r>
          </w:p>
        </w:tc>
        <w:tc>
          <w:tcPr>
            <w:tcW w:w="820" w:type="dxa"/>
            <w:tcBorders>
              <w:top w:val="nil"/>
              <w:left w:val="nil"/>
              <w:bottom w:val="single" w:sz="4" w:space="0" w:color="auto"/>
              <w:right w:val="nil"/>
            </w:tcBorders>
            <w:shd w:val="clear" w:color="000000" w:fill="FFFFFF"/>
            <w:noWrap/>
            <w:vAlign w:val="bottom"/>
            <w:hideMark/>
          </w:tcPr>
          <w:p w14:paraId="404DCF8C" w14:textId="77777777"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n a</w:t>
            </w:r>
          </w:p>
        </w:tc>
        <w:tc>
          <w:tcPr>
            <w:tcW w:w="820" w:type="dxa"/>
            <w:tcBorders>
              <w:top w:val="nil"/>
              <w:left w:val="nil"/>
              <w:bottom w:val="single" w:sz="4" w:space="0" w:color="auto"/>
              <w:right w:val="nil"/>
            </w:tcBorders>
            <w:shd w:val="clear" w:color="000000" w:fill="FFFFFF"/>
            <w:noWrap/>
            <w:vAlign w:val="bottom"/>
            <w:hideMark/>
          </w:tcPr>
          <w:p w14:paraId="042005D4" w14:textId="569AC8D3" w:rsidR="005005DB" w:rsidRPr="005005DB" w:rsidRDefault="005005DB"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sidRPr="005005DB">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76</w:t>
            </w:r>
          </w:p>
        </w:tc>
        <w:tc>
          <w:tcPr>
            <w:tcW w:w="820" w:type="dxa"/>
            <w:tcBorders>
              <w:top w:val="nil"/>
              <w:left w:val="nil"/>
              <w:bottom w:val="single" w:sz="4" w:space="0" w:color="auto"/>
              <w:right w:val="nil"/>
            </w:tcBorders>
            <w:shd w:val="clear" w:color="000000" w:fill="FFFFFF"/>
            <w:noWrap/>
            <w:vAlign w:val="bottom"/>
            <w:hideMark/>
          </w:tcPr>
          <w:p w14:paraId="5B8C52EE" w14:textId="0FFCF7DA" w:rsidR="005005DB" w:rsidRPr="005005DB" w:rsidRDefault="004561C1" w:rsidP="005269D3">
            <w:pPr>
              <w:keepNext/>
              <w:keepLines/>
              <w:tabs>
                <w:tab w:val="clear" w:pos="567"/>
              </w:tabs>
              <w:spacing w:after="0" w:line="240" w:lineRule="auto"/>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1</w:t>
            </w:r>
            <w:r w:rsidR="00C91582">
              <w:rPr>
                <w:rFonts w:ascii="Calibri" w:eastAsia="Times New Roman" w:hAnsi="Calibri" w:cs="Calibri"/>
                <w:color w:val="000000"/>
                <w:sz w:val="20"/>
                <w:szCs w:val="20"/>
                <w:lang w:eastAsia="en-AU"/>
              </w:rPr>
              <w:t>.87</w:t>
            </w:r>
          </w:p>
        </w:tc>
      </w:tr>
    </w:tbl>
    <w:p w14:paraId="17D8FF2D" w14:textId="7D141A92" w:rsidR="00E11B9C" w:rsidRDefault="005A25B7" w:rsidP="00FC7B1C">
      <w:pPr>
        <w:pStyle w:val="CGCTableFootnote"/>
        <w:keepNext/>
      </w:pPr>
      <w:r>
        <w:t>(a)</w:t>
      </w:r>
      <w:r>
        <w:tab/>
      </w:r>
      <w:r w:rsidR="00E11B9C">
        <w:t xml:space="preserve">For Tasmania and the NT State loadings are relative to Hobart and Darwin. As </w:t>
      </w:r>
      <w:r w:rsidR="009F1D15">
        <w:t xml:space="preserve">these are </w:t>
      </w:r>
      <w:r w:rsidR="00E11B9C">
        <w:t>classif</w:t>
      </w:r>
      <w:r w:rsidR="009F1D15">
        <w:t>ied</w:t>
      </w:r>
      <w:r w:rsidR="00E11B9C">
        <w:t xml:space="preserve"> </w:t>
      </w:r>
      <w:r w:rsidR="009F1D15">
        <w:t xml:space="preserve">as </w:t>
      </w:r>
      <w:r w:rsidR="00E11B9C">
        <w:t>inner regional and outer regional areas respectively, rather than major cities</w:t>
      </w:r>
      <w:r w:rsidR="009F1D15">
        <w:t>,</w:t>
      </w:r>
      <w:r w:rsidR="00E11B9C">
        <w:t xml:space="preserve"> the loadings have been scaled up to be relative to major cities</w:t>
      </w:r>
      <w:r w:rsidR="00E11B9C" w:rsidRPr="009B3E05">
        <w:t xml:space="preserve">. Adjustment factors </w:t>
      </w:r>
      <w:r w:rsidR="00E11B9C">
        <w:t>a</w:t>
      </w:r>
      <w:r w:rsidR="00E11B9C" w:rsidRPr="009B3E05">
        <w:t>re based on the average loadings of the other States for inner regional and outer regional areas of 1.1</w:t>
      </w:r>
      <w:r w:rsidR="00C91582">
        <w:t>0</w:t>
      </w:r>
      <w:r w:rsidR="00E11B9C" w:rsidRPr="009B3E05">
        <w:t xml:space="preserve"> and 1.1</w:t>
      </w:r>
      <w:r w:rsidR="00C91582">
        <w:t>6</w:t>
      </w:r>
      <w:r w:rsidR="00E11B9C" w:rsidRPr="009B3E05">
        <w:t xml:space="preserve"> respectively</w:t>
      </w:r>
      <w:r w:rsidR="009F1D15">
        <w:t>.</w:t>
      </w:r>
    </w:p>
    <w:p w14:paraId="03636BCB" w14:textId="77777777" w:rsidR="005A25B7" w:rsidRDefault="005A25B7" w:rsidP="00DB1783">
      <w:pPr>
        <w:pStyle w:val="CGCTableFootnote"/>
        <w:keepNext/>
      </w:pPr>
      <w:r>
        <w:t>Source:</w:t>
      </w:r>
      <w:r>
        <w:tab/>
        <w:t>Commission calculation.</w:t>
      </w:r>
    </w:p>
    <w:p w14:paraId="182AFA54" w14:textId="1ACAC406" w:rsidR="009F2D60" w:rsidRDefault="009F2D60" w:rsidP="00DB1783">
      <w:pPr>
        <w:pStyle w:val="CGCNumberedPara"/>
      </w:pPr>
      <w:r w:rsidRPr="009F1D15">
        <w:t>As the loadings have been calculated based on cost subsidies, the magnitude of the subsidies may reflect not only costs, but also State priorities and relative resources</w:t>
      </w:r>
      <w:r w:rsidR="001D3A6C">
        <w:t>, and t</w:t>
      </w:r>
      <w:r w:rsidRPr="009F1D15">
        <w:t>he standard of service provided in different regions may not be comparable.</w:t>
      </w:r>
      <w:r w:rsidR="00E12BE2">
        <w:t xml:space="preserve"> Nevertheless, staff consider that the loadings </w:t>
      </w:r>
      <w:r w:rsidR="00003F30">
        <w:t xml:space="preserve">calculated </w:t>
      </w:r>
      <w:r w:rsidR="00E12BE2">
        <w:t>mainly reflect costs.</w:t>
      </w:r>
    </w:p>
    <w:p w14:paraId="43D2291B" w14:textId="3B786BAD" w:rsidR="005A25B7" w:rsidRDefault="00546A7D" w:rsidP="005A25B7">
      <w:pPr>
        <w:pStyle w:val="Heading5"/>
      </w:pPr>
      <w:r>
        <w:t>H</w:t>
      </w:r>
      <w:r w:rsidR="00DE1409">
        <w:t>ospitals</w:t>
      </w:r>
    </w:p>
    <w:p w14:paraId="707FBA50" w14:textId="0456EE6E" w:rsidR="00000D34" w:rsidRDefault="00E8583A" w:rsidP="00597341">
      <w:pPr>
        <w:pStyle w:val="CGCNumberedPara"/>
        <w:numPr>
          <w:ilvl w:val="1"/>
          <w:numId w:val="3"/>
        </w:numPr>
      </w:pPr>
      <w:r>
        <w:t>The Independent Hospital Pricing Authority (IHPA) estimates remoteness adjustment</w:t>
      </w:r>
      <w:r w:rsidR="009F2D60">
        <w:t>s</w:t>
      </w:r>
      <w:r>
        <w:t xml:space="preserve"> or the extent that remoteness of patient residence explains ave</w:t>
      </w:r>
      <w:r w:rsidR="0059735D">
        <w:t xml:space="preserve">rage cost per hospital </w:t>
      </w:r>
      <w:r w:rsidR="00195C60">
        <w:t>admission.</w:t>
      </w:r>
    </w:p>
    <w:p w14:paraId="6F1B702B" w14:textId="362B9F3B" w:rsidR="00597341" w:rsidRDefault="00E8583A" w:rsidP="00597341">
      <w:pPr>
        <w:pStyle w:val="CGCNumberedPara"/>
        <w:numPr>
          <w:ilvl w:val="1"/>
          <w:numId w:val="3"/>
        </w:numPr>
      </w:pPr>
      <w:r>
        <w:t xml:space="preserve">This is based on a regression model </w:t>
      </w:r>
      <w:r w:rsidR="005B3588">
        <w:t xml:space="preserve">on </w:t>
      </w:r>
      <w:r w:rsidR="007A1365">
        <w:t xml:space="preserve">admitted patient </w:t>
      </w:r>
      <w:r w:rsidR="005B3588">
        <w:t xml:space="preserve">hospital services </w:t>
      </w:r>
      <w:r w:rsidR="00F24198">
        <w:t>using activity based funding (ABF)</w:t>
      </w:r>
      <w:r w:rsidR="005B3588">
        <w:t xml:space="preserve">. </w:t>
      </w:r>
      <w:r w:rsidR="00F24198">
        <w:t xml:space="preserve">The model </w:t>
      </w:r>
      <w:r>
        <w:t xml:space="preserve">includes factors that </w:t>
      </w:r>
      <w:r w:rsidR="00B45F20">
        <w:t xml:space="preserve">contribute to </w:t>
      </w:r>
      <w:r w:rsidR="0059735D">
        <w:t xml:space="preserve">variations in </w:t>
      </w:r>
      <w:r w:rsidR="00597341">
        <w:t xml:space="preserve">the </w:t>
      </w:r>
      <w:r w:rsidR="00C53E1B">
        <w:t>cost</w:t>
      </w:r>
      <w:r w:rsidR="00597341">
        <w:t xml:space="preserve"> of patient </w:t>
      </w:r>
      <w:r w:rsidR="0059735D">
        <w:t xml:space="preserve">admissions </w:t>
      </w:r>
      <w:r w:rsidR="00C53E1B">
        <w:t xml:space="preserve">such as </w:t>
      </w:r>
      <w:r w:rsidR="00261AF2">
        <w:t xml:space="preserve">condition and treatment, </w:t>
      </w:r>
      <w:r w:rsidR="008C3D6C">
        <w:t>Indigenous</w:t>
      </w:r>
      <w:r w:rsidR="00C53E1B">
        <w:t xml:space="preserve"> status, </w:t>
      </w:r>
      <w:r w:rsidR="0053166B">
        <w:t xml:space="preserve">patient age (paediatric adjustment), </w:t>
      </w:r>
      <w:r w:rsidR="0059735D">
        <w:t xml:space="preserve">private patient service and accommodation, and </w:t>
      </w:r>
      <w:r w:rsidR="0053166B">
        <w:t>radiotherapy-, dialysis-</w:t>
      </w:r>
      <w:r w:rsidR="00597341">
        <w:t xml:space="preserve"> and </w:t>
      </w:r>
      <w:r w:rsidR="008F2FAE">
        <w:t>i</w:t>
      </w:r>
      <w:r w:rsidR="0053166B">
        <w:t xml:space="preserve">ntensive </w:t>
      </w:r>
      <w:r w:rsidR="008F2FAE">
        <w:t>c</w:t>
      </w:r>
      <w:r w:rsidR="0053166B">
        <w:t xml:space="preserve">are </w:t>
      </w:r>
      <w:r w:rsidR="008F2FAE">
        <w:t>u</w:t>
      </w:r>
      <w:r w:rsidR="0053166B">
        <w:t>nit-related procedures.</w:t>
      </w:r>
      <w:r w:rsidR="00597341">
        <w:rPr>
          <w:rStyle w:val="FootnoteReference"/>
        </w:rPr>
        <w:footnoteReference w:id="3"/>
      </w:r>
    </w:p>
    <w:p w14:paraId="0AAB0B0C" w14:textId="7D4A4F43" w:rsidR="00000D34" w:rsidRDefault="00597341" w:rsidP="008F2FAE">
      <w:pPr>
        <w:pStyle w:val="CGCNumberedPara"/>
        <w:numPr>
          <w:ilvl w:val="1"/>
          <w:numId w:val="3"/>
        </w:numPr>
      </w:pPr>
      <w:r>
        <w:t xml:space="preserve">The IHPA approach is broadly similar </w:t>
      </w:r>
      <w:r w:rsidRPr="00597341">
        <w:t>to the approach we would take</w:t>
      </w:r>
      <w:r w:rsidR="0059735D">
        <w:t xml:space="preserve"> to estimate a regional cost gradient based on cost per comparable service. </w:t>
      </w:r>
      <w:r w:rsidRPr="00597341">
        <w:t xml:space="preserve">As such, </w:t>
      </w:r>
      <w:r w:rsidR="00540BF6">
        <w:t xml:space="preserve">staff </w:t>
      </w:r>
      <w:r w:rsidRPr="00597341">
        <w:t xml:space="preserve">propose </w:t>
      </w:r>
      <w:r w:rsidR="001E60A9">
        <w:t xml:space="preserve">to </w:t>
      </w:r>
      <w:r w:rsidR="00925613">
        <w:t xml:space="preserve">base </w:t>
      </w:r>
      <w:r w:rsidR="00540BF6">
        <w:t xml:space="preserve">the </w:t>
      </w:r>
      <w:r w:rsidR="00925613">
        <w:t xml:space="preserve">health regional cost gradient on </w:t>
      </w:r>
      <w:r w:rsidRPr="00597341">
        <w:t xml:space="preserve">IHPA </w:t>
      </w:r>
      <w:r w:rsidR="007A1365">
        <w:t>calculations.</w:t>
      </w:r>
    </w:p>
    <w:p w14:paraId="101BA4CF" w14:textId="777647A5" w:rsidR="00925613" w:rsidRDefault="00925613" w:rsidP="007A1365">
      <w:pPr>
        <w:pStyle w:val="CGCNumberedPara"/>
        <w:numPr>
          <w:ilvl w:val="1"/>
          <w:numId w:val="3"/>
        </w:numPr>
      </w:pPr>
      <w:r>
        <w:t xml:space="preserve">In its latest 2018-19 calculations, IHPA </w:t>
      </w:r>
      <w:r w:rsidR="00450D49">
        <w:t>has</w:t>
      </w:r>
      <w:r>
        <w:t xml:space="preserve"> made changes to </w:t>
      </w:r>
      <w:r w:rsidR="00450D49">
        <w:t xml:space="preserve">its </w:t>
      </w:r>
      <w:r>
        <w:t xml:space="preserve">modelling. For admitted patient services, </w:t>
      </w:r>
      <w:r w:rsidR="00450D49">
        <w:t xml:space="preserve">it estimates the effect of both </w:t>
      </w:r>
      <w:r>
        <w:t xml:space="preserve">patient residence remoteness </w:t>
      </w:r>
      <w:r w:rsidR="00450D49">
        <w:t xml:space="preserve">and </w:t>
      </w:r>
      <w:r>
        <w:t xml:space="preserve">patient </w:t>
      </w:r>
      <w:r w:rsidRPr="000019C2">
        <w:rPr>
          <w:i/>
        </w:rPr>
        <w:t>treatment</w:t>
      </w:r>
      <w:r>
        <w:t xml:space="preserve"> </w:t>
      </w:r>
      <w:r w:rsidR="00450D49">
        <w:t xml:space="preserve">(hospital location) </w:t>
      </w:r>
      <w:r>
        <w:t>remoteness</w:t>
      </w:r>
      <w:r w:rsidR="00450D49">
        <w:t xml:space="preserve">. </w:t>
      </w:r>
      <w:r>
        <w:t xml:space="preserve"> For emergency department services, </w:t>
      </w:r>
      <w:r w:rsidR="007A1365">
        <w:t xml:space="preserve">for the first time </w:t>
      </w:r>
      <w:r w:rsidR="00450D49">
        <w:t xml:space="preserve">it </w:t>
      </w:r>
      <w:r w:rsidR="007A1365">
        <w:t>estimate</w:t>
      </w:r>
      <w:r w:rsidR="00450D49">
        <w:t>s</w:t>
      </w:r>
      <w:r w:rsidR="007A1365">
        <w:t xml:space="preserve"> </w:t>
      </w:r>
      <w:r w:rsidR="00450D49">
        <w:t xml:space="preserve">a </w:t>
      </w:r>
      <w:r w:rsidR="007A1365">
        <w:t>patient residence remoteness</w:t>
      </w:r>
      <w:r w:rsidR="00450D49">
        <w:t xml:space="preserve"> effect</w:t>
      </w:r>
      <w:r w:rsidR="007A1365">
        <w:t xml:space="preserve"> (see </w:t>
      </w:r>
      <w:r w:rsidR="007A1365">
        <w:fldChar w:fldCharType="begin"/>
      </w:r>
      <w:r w:rsidR="007A1365">
        <w:instrText xml:space="preserve"> REF _Ref506456699 \h </w:instrText>
      </w:r>
      <w:r w:rsidR="007A1365">
        <w:fldChar w:fldCharType="separate"/>
      </w:r>
      <w:r w:rsidR="00777E11">
        <w:t xml:space="preserve">Table </w:t>
      </w:r>
      <w:r w:rsidR="00777E11">
        <w:rPr>
          <w:noProof/>
        </w:rPr>
        <w:t>4</w:t>
      </w:r>
      <w:r w:rsidR="007A1365">
        <w:fldChar w:fldCharType="end"/>
      </w:r>
      <w:r w:rsidR="007A1365">
        <w:t>).</w:t>
      </w:r>
      <w:r w:rsidR="00F617A4">
        <w:t xml:space="preserve"> </w:t>
      </w:r>
    </w:p>
    <w:p w14:paraId="03C9060F" w14:textId="19CAD458" w:rsidR="00BB00D1" w:rsidRDefault="00000D34" w:rsidP="00000D34">
      <w:pPr>
        <w:pStyle w:val="Caption"/>
      </w:pPr>
      <w:bookmarkStart w:id="34" w:name="_Ref506456699"/>
      <w:r>
        <w:lastRenderedPageBreak/>
        <w:t xml:space="preserve">Table </w:t>
      </w:r>
      <w:r w:rsidR="002C0581">
        <w:fldChar w:fldCharType="begin"/>
      </w:r>
      <w:r w:rsidR="002C0581">
        <w:instrText xml:space="preserve"> SEQ Table \* ARABIC </w:instrText>
      </w:r>
      <w:r w:rsidR="002C0581">
        <w:fldChar w:fldCharType="separate"/>
      </w:r>
      <w:r w:rsidR="00777E11">
        <w:rPr>
          <w:noProof/>
        </w:rPr>
        <w:t>4</w:t>
      </w:r>
      <w:r w:rsidR="002C0581">
        <w:rPr>
          <w:noProof/>
        </w:rPr>
        <w:fldChar w:fldCharType="end"/>
      </w:r>
      <w:bookmarkEnd w:id="34"/>
      <w:r>
        <w:tab/>
        <w:t xml:space="preserve">Regional cost loadings, </w:t>
      </w:r>
      <w:r w:rsidR="00BB00D1">
        <w:t>hospital services, 2018-19</w:t>
      </w:r>
    </w:p>
    <w:tbl>
      <w:tblPr>
        <w:tblW w:w="8900" w:type="dxa"/>
        <w:tblLayout w:type="fixed"/>
        <w:tblCellMar>
          <w:left w:w="0" w:type="dxa"/>
          <w:right w:w="0" w:type="dxa"/>
        </w:tblCellMar>
        <w:tblLook w:val="04A0" w:firstRow="1" w:lastRow="0" w:firstColumn="1" w:lastColumn="0" w:noHBand="0" w:noVBand="1"/>
      </w:tblPr>
      <w:tblGrid>
        <w:gridCol w:w="2140"/>
        <w:gridCol w:w="2054"/>
        <w:gridCol w:w="2226"/>
        <w:gridCol w:w="668"/>
        <w:gridCol w:w="1812"/>
      </w:tblGrid>
      <w:tr w:rsidR="00BB00D1" w:rsidRPr="00BB00D1" w14:paraId="3A534CF2" w14:textId="77777777" w:rsidTr="00450D49">
        <w:trPr>
          <w:trHeight w:val="315"/>
        </w:trPr>
        <w:tc>
          <w:tcPr>
            <w:tcW w:w="2140" w:type="dxa"/>
            <w:tcBorders>
              <w:top w:val="single" w:sz="4" w:space="0" w:color="auto"/>
              <w:left w:val="nil"/>
              <w:bottom w:val="nil"/>
              <w:right w:val="nil"/>
            </w:tcBorders>
            <w:shd w:val="clear" w:color="auto" w:fill="auto"/>
            <w:noWrap/>
            <w:vAlign w:val="center"/>
            <w:hideMark/>
          </w:tcPr>
          <w:p w14:paraId="61AB3506"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w:t>
            </w:r>
          </w:p>
        </w:tc>
        <w:tc>
          <w:tcPr>
            <w:tcW w:w="4280" w:type="dxa"/>
            <w:gridSpan w:val="2"/>
            <w:tcBorders>
              <w:top w:val="single" w:sz="4" w:space="0" w:color="auto"/>
              <w:left w:val="nil"/>
              <w:bottom w:val="single" w:sz="4" w:space="0" w:color="auto"/>
              <w:right w:val="nil"/>
            </w:tcBorders>
            <w:shd w:val="clear" w:color="auto" w:fill="auto"/>
            <w:noWrap/>
            <w:vAlign w:val="center"/>
            <w:hideMark/>
          </w:tcPr>
          <w:p w14:paraId="001E0332" w14:textId="5CB0139A" w:rsidR="00BB00D1" w:rsidRPr="00BB00D1" w:rsidRDefault="00BB00D1" w:rsidP="00450D49">
            <w:pPr>
              <w:keepNext/>
              <w:keepLines/>
              <w:tabs>
                <w:tab w:val="clear" w:pos="567"/>
              </w:tabs>
              <w:spacing w:after="0" w:line="240" w:lineRule="auto"/>
              <w:ind w:left="193" w:hanging="142"/>
              <w:jc w:val="center"/>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Admitted patients</w:t>
            </w:r>
            <w:r w:rsidR="007A1365">
              <w:rPr>
                <w:rFonts w:ascii="Calibri" w:eastAsia="Times New Roman" w:hAnsi="Calibri" w:cs="Calibri"/>
                <w:color w:val="000000"/>
                <w:sz w:val="20"/>
                <w:szCs w:val="20"/>
                <w:lang w:eastAsia="en-AU"/>
              </w:rPr>
              <w:t xml:space="preserve">  – ABF</w:t>
            </w:r>
          </w:p>
        </w:tc>
        <w:tc>
          <w:tcPr>
            <w:tcW w:w="668" w:type="dxa"/>
            <w:tcBorders>
              <w:top w:val="single" w:sz="4" w:space="0" w:color="auto"/>
              <w:left w:val="nil"/>
              <w:bottom w:val="nil"/>
              <w:right w:val="nil"/>
            </w:tcBorders>
            <w:shd w:val="clear" w:color="auto" w:fill="auto"/>
            <w:noWrap/>
            <w:vAlign w:val="center"/>
            <w:hideMark/>
          </w:tcPr>
          <w:p w14:paraId="1A6D4ABE"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w:t>
            </w:r>
          </w:p>
        </w:tc>
        <w:tc>
          <w:tcPr>
            <w:tcW w:w="1812" w:type="dxa"/>
            <w:tcBorders>
              <w:top w:val="single" w:sz="4" w:space="0" w:color="auto"/>
              <w:left w:val="nil"/>
              <w:bottom w:val="single" w:sz="4" w:space="0" w:color="auto"/>
              <w:right w:val="nil"/>
            </w:tcBorders>
            <w:shd w:val="clear" w:color="auto" w:fill="auto"/>
            <w:noWrap/>
            <w:vAlign w:val="center"/>
            <w:hideMark/>
          </w:tcPr>
          <w:p w14:paraId="6DD909A1"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Emergency depts.</w:t>
            </w:r>
          </w:p>
        </w:tc>
      </w:tr>
      <w:tr w:rsidR="00BB00D1" w:rsidRPr="00BB00D1" w14:paraId="0C2733FE" w14:textId="77777777" w:rsidTr="00450D49">
        <w:trPr>
          <w:trHeight w:val="315"/>
        </w:trPr>
        <w:tc>
          <w:tcPr>
            <w:tcW w:w="2140" w:type="dxa"/>
            <w:tcBorders>
              <w:top w:val="nil"/>
              <w:left w:val="nil"/>
              <w:bottom w:val="single" w:sz="4" w:space="0" w:color="auto"/>
              <w:right w:val="nil"/>
            </w:tcBorders>
            <w:shd w:val="clear" w:color="auto" w:fill="auto"/>
            <w:noWrap/>
            <w:vAlign w:val="bottom"/>
            <w:hideMark/>
          </w:tcPr>
          <w:p w14:paraId="28BBBBB4"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w:t>
            </w:r>
          </w:p>
        </w:tc>
        <w:tc>
          <w:tcPr>
            <w:tcW w:w="2054" w:type="dxa"/>
            <w:tcBorders>
              <w:top w:val="nil"/>
              <w:left w:val="nil"/>
              <w:bottom w:val="single" w:sz="4" w:space="0" w:color="auto"/>
              <w:right w:val="nil"/>
            </w:tcBorders>
            <w:shd w:val="clear" w:color="auto" w:fill="auto"/>
            <w:noWrap/>
            <w:vAlign w:val="bottom"/>
            <w:hideMark/>
          </w:tcPr>
          <w:p w14:paraId="451CAF6C" w14:textId="0FA78645"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xml:space="preserve">Patient </w:t>
            </w:r>
            <w:r w:rsidR="007453AA">
              <w:rPr>
                <w:rFonts w:ascii="Calibri" w:eastAsia="Times New Roman" w:hAnsi="Calibri" w:cs="Calibri"/>
                <w:color w:val="000000"/>
                <w:sz w:val="20"/>
                <w:szCs w:val="20"/>
                <w:lang w:eastAsia="en-AU"/>
              </w:rPr>
              <w:t>residence</w:t>
            </w:r>
          </w:p>
        </w:tc>
        <w:tc>
          <w:tcPr>
            <w:tcW w:w="2226" w:type="dxa"/>
            <w:tcBorders>
              <w:top w:val="nil"/>
              <w:left w:val="nil"/>
              <w:bottom w:val="single" w:sz="4" w:space="0" w:color="auto"/>
              <w:right w:val="nil"/>
            </w:tcBorders>
            <w:shd w:val="clear" w:color="auto" w:fill="auto"/>
            <w:noWrap/>
            <w:vAlign w:val="bottom"/>
            <w:hideMark/>
          </w:tcPr>
          <w:p w14:paraId="7882A390" w14:textId="28D6CC53"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Hospital location</w:t>
            </w:r>
          </w:p>
        </w:tc>
        <w:tc>
          <w:tcPr>
            <w:tcW w:w="668" w:type="dxa"/>
            <w:tcBorders>
              <w:top w:val="nil"/>
              <w:left w:val="nil"/>
              <w:bottom w:val="single" w:sz="4" w:space="0" w:color="auto"/>
              <w:right w:val="nil"/>
            </w:tcBorders>
            <w:shd w:val="clear" w:color="auto" w:fill="auto"/>
            <w:noWrap/>
            <w:vAlign w:val="bottom"/>
            <w:hideMark/>
          </w:tcPr>
          <w:p w14:paraId="46C9C9A4"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w:t>
            </w:r>
          </w:p>
        </w:tc>
        <w:tc>
          <w:tcPr>
            <w:tcW w:w="1812" w:type="dxa"/>
            <w:tcBorders>
              <w:top w:val="single" w:sz="4" w:space="0" w:color="auto"/>
              <w:left w:val="nil"/>
              <w:bottom w:val="single" w:sz="4" w:space="0" w:color="auto"/>
              <w:right w:val="nil"/>
            </w:tcBorders>
            <w:shd w:val="clear" w:color="auto" w:fill="auto"/>
            <w:noWrap/>
            <w:vAlign w:val="bottom"/>
            <w:hideMark/>
          </w:tcPr>
          <w:p w14:paraId="46497C02" w14:textId="67E1962E" w:rsidR="00BB00D1" w:rsidRPr="00BB00D1" w:rsidRDefault="007A1365"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 xml:space="preserve">Patient </w:t>
            </w:r>
            <w:r w:rsidR="007453AA">
              <w:rPr>
                <w:rFonts w:ascii="Calibri" w:eastAsia="Times New Roman" w:hAnsi="Calibri" w:cs="Calibri"/>
                <w:color w:val="000000"/>
                <w:sz w:val="20"/>
                <w:szCs w:val="20"/>
                <w:lang w:eastAsia="en-AU"/>
              </w:rPr>
              <w:t>residence</w:t>
            </w:r>
            <w:r w:rsidR="00BB00D1" w:rsidRPr="00BB00D1">
              <w:rPr>
                <w:rFonts w:ascii="Calibri" w:eastAsia="Times New Roman" w:hAnsi="Calibri" w:cs="Calibri"/>
                <w:color w:val="000000"/>
                <w:sz w:val="20"/>
                <w:szCs w:val="20"/>
                <w:lang w:eastAsia="en-AU"/>
              </w:rPr>
              <w:t> </w:t>
            </w:r>
          </w:p>
        </w:tc>
      </w:tr>
      <w:tr w:rsidR="00BB00D1" w:rsidRPr="00BB00D1" w14:paraId="289C0B58" w14:textId="77777777" w:rsidTr="00450D49">
        <w:trPr>
          <w:trHeight w:val="315"/>
        </w:trPr>
        <w:tc>
          <w:tcPr>
            <w:tcW w:w="2140" w:type="dxa"/>
            <w:tcBorders>
              <w:top w:val="nil"/>
              <w:left w:val="nil"/>
              <w:bottom w:val="nil"/>
              <w:right w:val="nil"/>
            </w:tcBorders>
            <w:shd w:val="clear" w:color="000000" w:fill="FFFFFF"/>
            <w:noWrap/>
            <w:vAlign w:val="bottom"/>
            <w:hideMark/>
          </w:tcPr>
          <w:p w14:paraId="570253E4"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Major cities</w:t>
            </w:r>
          </w:p>
        </w:tc>
        <w:tc>
          <w:tcPr>
            <w:tcW w:w="2054" w:type="dxa"/>
            <w:tcBorders>
              <w:top w:val="nil"/>
              <w:left w:val="nil"/>
              <w:bottom w:val="nil"/>
              <w:right w:val="nil"/>
            </w:tcBorders>
            <w:shd w:val="clear" w:color="auto" w:fill="auto"/>
            <w:noWrap/>
            <w:vAlign w:val="bottom"/>
            <w:hideMark/>
          </w:tcPr>
          <w:p w14:paraId="0F5929A6"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c>
          <w:tcPr>
            <w:tcW w:w="2226" w:type="dxa"/>
            <w:tcBorders>
              <w:top w:val="nil"/>
              <w:left w:val="nil"/>
              <w:bottom w:val="nil"/>
              <w:right w:val="nil"/>
            </w:tcBorders>
            <w:shd w:val="clear" w:color="auto" w:fill="auto"/>
            <w:noWrap/>
            <w:vAlign w:val="bottom"/>
            <w:hideMark/>
          </w:tcPr>
          <w:p w14:paraId="6A9F7448"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c>
          <w:tcPr>
            <w:tcW w:w="668" w:type="dxa"/>
            <w:tcBorders>
              <w:top w:val="nil"/>
              <w:left w:val="nil"/>
              <w:bottom w:val="nil"/>
              <w:right w:val="nil"/>
            </w:tcBorders>
            <w:shd w:val="clear" w:color="auto" w:fill="auto"/>
            <w:noWrap/>
            <w:vAlign w:val="bottom"/>
            <w:hideMark/>
          </w:tcPr>
          <w:p w14:paraId="023CEA17"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p>
        </w:tc>
        <w:tc>
          <w:tcPr>
            <w:tcW w:w="1812" w:type="dxa"/>
            <w:tcBorders>
              <w:top w:val="nil"/>
              <w:left w:val="nil"/>
              <w:bottom w:val="nil"/>
              <w:right w:val="nil"/>
            </w:tcBorders>
            <w:shd w:val="clear" w:color="auto" w:fill="auto"/>
            <w:noWrap/>
            <w:vAlign w:val="bottom"/>
            <w:hideMark/>
          </w:tcPr>
          <w:p w14:paraId="75ED3876"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r>
      <w:tr w:rsidR="00BB00D1" w:rsidRPr="00BB00D1" w14:paraId="6FCFA0FD" w14:textId="77777777" w:rsidTr="00450D49">
        <w:trPr>
          <w:trHeight w:val="315"/>
        </w:trPr>
        <w:tc>
          <w:tcPr>
            <w:tcW w:w="2140" w:type="dxa"/>
            <w:tcBorders>
              <w:top w:val="nil"/>
              <w:left w:val="nil"/>
              <w:bottom w:val="nil"/>
              <w:right w:val="nil"/>
            </w:tcBorders>
            <w:shd w:val="clear" w:color="000000" w:fill="FFFFFF"/>
            <w:noWrap/>
            <w:vAlign w:val="bottom"/>
            <w:hideMark/>
          </w:tcPr>
          <w:p w14:paraId="056BFEEC"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Inner regional</w:t>
            </w:r>
          </w:p>
        </w:tc>
        <w:tc>
          <w:tcPr>
            <w:tcW w:w="2054" w:type="dxa"/>
            <w:tcBorders>
              <w:top w:val="nil"/>
              <w:left w:val="nil"/>
              <w:bottom w:val="nil"/>
              <w:right w:val="nil"/>
            </w:tcBorders>
            <w:shd w:val="clear" w:color="auto" w:fill="auto"/>
            <w:noWrap/>
            <w:vAlign w:val="bottom"/>
            <w:hideMark/>
          </w:tcPr>
          <w:p w14:paraId="1B1F4FF2"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c>
          <w:tcPr>
            <w:tcW w:w="2226" w:type="dxa"/>
            <w:tcBorders>
              <w:top w:val="nil"/>
              <w:left w:val="nil"/>
              <w:bottom w:val="nil"/>
              <w:right w:val="nil"/>
            </w:tcBorders>
            <w:shd w:val="clear" w:color="auto" w:fill="auto"/>
            <w:noWrap/>
            <w:vAlign w:val="bottom"/>
            <w:hideMark/>
          </w:tcPr>
          <w:p w14:paraId="1B4AB0D6"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c>
          <w:tcPr>
            <w:tcW w:w="668" w:type="dxa"/>
            <w:tcBorders>
              <w:top w:val="nil"/>
              <w:left w:val="nil"/>
              <w:bottom w:val="nil"/>
              <w:right w:val="nil"/>
            </w:tcBorders>
            <w:shd w:val="clear" w:color="auto" w:fill="auto"/>
            <w:noWrap/>
            <w:vAlign w:val="bottom"/>
            <w:hideMark/>
          </w:tcPr>
          <w:p w14:paraId="1B6EC4E1"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p>
        </w:tc>
        <w:tc>
          <w:tcPr>
            <w:tcW w:w="1812" w:type="dxa"/>
            <w:tcBorders>
              <w:top w:val="nil"/>
              <w:left w:val="nil"/>
              <w:bottom w:val="nil"/>
              <w:right w:val="nil"/>
            </w:tcBorders>
            <w:shd w:val="clear" w:color="auto" w:fill="auto"/>
            <w:noWrap/>
            <w:vAlign w:val="bottom"/>
            <w:hideMark/>
          </w:tcPr>
          <w:p w14:paraId="0383BBFE"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r>
      <w:tr w:rsidR="00BB00D1" w:rsidRPr="00BB00D1" w14:paraId="4A826FE8" w14:textId="77777777" w:rsidTr="00450D49">
        <w:trPr>
          <w:trHeight w:val="315"/>
        </w:trPr>
        <w:tc>
          <w:tcPr>
            <w:tcW w:w="2140" w:type="dxa"/>
            <w:tcBorders>
              <w:top w:val="nil"/>
              <w:left w:val="nil"/>
              <w:bottom w:val="nil"/>
              <w:right w:val="nil"/>
            </w:tcBorders>
            <w:shd w:val="clear" w:color="000000" w:fill="FFFFFF"/>
            <w:noWrap/>
            <w:vAlign w:val="bottom"/>
            <w:hideMark/>
          </w:tcPr>
          <w:p w14:paraId="0B600013"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Outer regional</w:t>
            </w:r>
          </w:p>
        </w:tc>
        <w:tc>
          <w:tcPr>
            <w:tcW w:w="2054" w:type="dxa"/>
            <w:tcBorders>
              <w:top w:val="nil"/>
              <w:left w:val="nil"/>
              <w:bottom w:val="nil"/>
              <w:right w:val="nil"/>
            </w:tcBorders>
            <w:shd w:val="clear" w:color="auto" w:fill="auto"/>
            <w:noWrap/>
            <w:vAlign w:val="bottom"/>
            <w:hideMark/>
          </w:tcPr>
          <w:p w14:paraId="7CEF9D9C"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1.08</w:t>
            </w:r>
          </w:p>
        </w:tc>
        <w:tc>
          <w:tcPr>
            <w:tcW w:w="2226" w:type="dxa"/>
            <w:tcBorders>
              <w:top w:val="nil"/>
              <w:left w:val="nil"/>
              <w:bottom w:val="nil"/>
              <w:right w:val="nil"/>
            </w:tcBorders>
            <w:shd w:val="clear" w:color="auto" w:fill="auto"/>
            <w:noWrap/>
            <w:vAlign w:val="bottom"/>
            <w:hideMark/>
          </w:tcPr>
          <w:p w14:paraId="0F7E592B"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c>
          <w:tcPr>
            <w:tcW w:w="668" w:type="dxa"/>
            <w:tcBorders>
              <w:top w:val="nil"/>
              <w:left w:val="nil"/>
              <w:bottom w:val="nil"/>
              <w:right w:val="nil"/>
            </w:tcBorders>
            <w:shd w:val="clear" w:color="auto" w:fill="auto"/>
            <w:noWrap/>
            <w:vAlign w:val="bottom"/>
            <w:hideMark/>
          </w:tcPr>
          <w:p w14:paraId="7D2F84E2"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p>
        </w:tc>
        <w:tc>
          <w:tcPr>
            <w:tcW w:w="1812" w:type="dxa"/>
            <w:tcBorders>
              <w:top w:val="nil"/>
              <w:left w:val="nil"/>
              <w:bottom w:val="nil"/>
              <w:right w:val="nil"/>
            </w:tcBorders>
            <w:shd w:val="clear" w:color="auto" w:fill="auto"/>
            <w:noWrap/>
            <w:vAlign w:val="bottom"/>
            <w:hideMark/>
          </w:tcPr>
          <w:p w14:paraId="2309D022"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1.00</w:t>
            </w:r>
          </w:p>
        </w:tc>
      </w:tr>
      <w:tr w:rsidR="00BB00D1" w:rsidRPr="00BB00D1" w14:paraId="5C076958" w14:textId="77777777" w:rsidTr="00450D49">
        <w:trPr>
          <w:trHeight w:val="315"/>
        </w:trPr>
        <w:tc>
          <w:tcPr>
            <w:tcW w:w="2140" w:type="dxa"/>
            <w:tcBorders>
              <w:top w:val="nil"/>
              <w:left w:val="nil"/>
              <w:bottom w:val="nil"/>
              <w:right w:val="nil"/>
            </w:tcBorders>
            <w:shd w:val="clear" w:color="000000" w:fill="FFFFFF"/>
            <w:noWrap/>
            <w:vAlign w:val="bottom"/>
            <w:hideMark/>
          </w:tcPr>
          <w:p w14:paraId="090C0308"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Remote</w:t>
            </w:r>
          </w:p>
        </w:tc>
        <w:tc>
          <w:tcPr>
            <w:tcW w:w="2054" w:type="dxa"/>
            <w:tcBorders>
              <w:top w:val="nil"/>
              <w:left w:val="nil"/>
              <w:bottom w:val="nil"/>
              <w:right w:val="nil"/>
            </w:tcBorders>
            <w:shd w:val="clear" w:color="auto" w:fill="auto"/>
            <w:noWrap/>
            <w:vAlign w:val="bottom"/>
            <w:hideMark/>
          </w:tcPr>
          <w:p w14:paraId="2CDD0507"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1.25</w:t>
            </w:r>
          </w:p>
        </w:tc>
        <w:tc>
          <w:tcPr>
            <w:tcW w:w="2226" w:type="dxa"/>
            <w:tcBorders>
              <w:top w:val="nil"/>
              <w:left w:val="nil"/>
              <w:bottom w:val="nil"/>
              <w:right w:val="nil"/>
            </w:tcBorders>
            <w:shd w:val="clear" w:color="auto" w:fill="auto"/>
            <w:noWrap/>
            <w:vAlign w:val="bottom"/>
            <w:hideMark/>
          </w:tcPr>
          <w:p w14:paraId="36169D15"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1.08</w:t>
            </w:r>
          </w:p>
        </w:tc>
        <w:tc>
          <w:tcPr>
            <w:tcW w:w="668" w:type="dxa"/>
            <w:tcBorders>
              <w:top w:val="nil"/>
              <w:left w:val="nil"/>
              <w:bottom w:val="nil"/>
              <w:right w:val="nil"/>
            </w:tcBorders>
            <w:shd w:val="clear" w:color="auto" w:fill="auto"/>
            <w:noWrap/>
            <w:vAlign w:val="bottom"/>
            <w:hideMark/>
          </w:tcPr>
          <w:p w14:paraId="1C9509AB"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p>
        </w:tc>
        <w:tc>
          <w:tcPr>
            <w:tcW w:w="1812" w:type="dxa"/>
            <w:tcBorders>
              <w:top w:val="nil"/>
              <w:left w:val="nil"/>
              <w:bottom w:val="nil"/>
              <w:right w:val="nil"/>
            </w:tcBorders>
            <w:shd w:val="clear" w:color="auto" w:fill="auto"/>
            <w:noWrap/>
            <w:vAlign w:val="bottom"/>
            <w:hideMark/>
          </w:tcPr>
          <w:p w14:paraId="1CA0B333"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1.22</w:t>
            </w:r>
          </w:p>
        </w:tc>
      </w:tr>
      <w:tr w:rsidR="00BB00D1" w:rsidRPr="00BB00D1" w14:paraId="2670B4A9" w14:textId="77777777" w:rsidTr="00450D49">
        <w:trPr>
          <w:trHeight w:val="315"/>
        </w:trPr>
        <w:tc>
          <w:tcPr>
            <w:tcW w:w="2140" w:type="dxa"/>
            <w:tcBorders>
              <w:top w:val="nil"/>
              <w:left w:val="nil"/>
              <w:bottom w:val="single" w:sz="4" w:space="0" w:color="auto"/>
              <w:right w:val="nil"/>
            </w:tcBorders>
            <w:shd w:val="clear" w:color="000000" w:fill="FFFFFF"/>
            <w:noWrap/>
            <w:vAlign w:val="bottom"/>
            <w:hideMark/>
          </w:tcPr>
          <w:p w14:paraId="23612931"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Very remote</w:t>
            </w:r>
          </w:p>
        </w:tc>
        <w:tc>
          <w:tcPr>
            <w:tcW w:w="2054" w:type="dxa"/>
            <w:tcBorders>
              <w:top w:val="nil"/>
              <w:left w:val="nil"/>
              <w:bottom w:val="single" w:sz="4" w:space="0" w:color="auto"/>
              <w:right w:val="nil"/>
            </w:tcBorders>
            <w:shd w:val="clear" w:color="auto" w:fill="auto"/>
            <w:noWrap/>
            <w:vAlign w:val="bottom"/>
            <w:hideMark/>
          </w:tcPr>
          <w:p w14:paraId="6175F692"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1.29</w:t>
            </w:r>
          </w:p>
        </w:tc>
        <w:tc>
          <w:tcPr>
            <w:tcW w:w="2226" w:type="dxa"/>
            <w:tcBorders>
              <w:top w:val="nil"/>
              <w:left w:val="nil"/>
              <w:bottom w:val="single" w:sz="4" w:space="0" w:color="auto"/>
              <w:right w:val="nil"/>
            </w:tcBorders>
            <w:shd w:val="clear" w:color="auto" w:fill="auto"/>
            <w:noWrap/>
            <w:vAlign w:val="bottom"/>
            <w:hideMark/>
          </w:tcPr>
          <w:p w14:paraId="05811A9B"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1.12</w:t>
            </w:r>
          </w:p>
        </w:tc>
        <w:tc>
          <w:tcPr>
            <w:tcW w:w="668" w:type="dxa"/>
            <w:tcBorders>
              <w:top w:val="nil"/>
              <w:left w:val="nil"/>
              <w:bottom w:val="single" w:sz="4" w:space="0" w:color="auto"/>
              <w:right w:val="nil"/>
            </w:tcBorders>
            <w:shd w:val="clear" w:color="auto" w:fill="auto"/>
            <w:noWrap/>
            <w:vAlign w:val="bottom"/>
            <w:hideMark/>
          </w:tcPr>
          <w:p w14:paraId="44E65E70" w14:textId="77777777" w:rsidR="00BB00D1" w:rsidRPr="00BB00D1" w:rsidRDefault="00BB00D1" w:rsidP="00450D49">
            <w:pPr>
              <w:keepNext/>
              <w:keepLines/>
              <w:tabs>
                <w:tab w:val="clear" w:pos="567"/>
              </w:tabs>
              <w:spacing w:after="0" w:line="240" w:lineRule="auto"/>
              <w:ind w:left="193" w:hanging="142"/>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 </w:t>
            </w:r>
          </w:p>
        </w:tc>
        <w:tc>
          <w:tcPr>
            <w:tcW w:w="1812" w:type="dxa"/>
            <w:tcBorders>
              <w:top w:val="nil"/>
              <w:left w:val="nil"/>
              <w:bottom w:val="single" w:sz="4" w:space="0" w:color="auto"/>
              <w:right w:val="nil"/>
            </w:tcBorders>
            <w:shd w:val="clear" w:color="auto" w:fill="auto"/>
            <w:noWrap/>
            <w:vAlign w:val="bottom"/>
            <w:hideMark/>
          </w:tcPr>
          <w:p w14:paraId="54C1B605" w14:textId="77777777" w:rsidR="00BB00D1" w:rsidRPr="00BB00D1" w:rsidRDefault="00BB00D1" w:rsidP="00450D49">
            <w:pPr>
              <w:keepNext/>
              <w:keepLines/>
              <w:tabs>
                <w:tab w:val="clear" w:pos="567"/>
              </w:tabs>
              <w:spacing w:after="0" w:line="240" w:lineRule="auto"/>
              <w:ind w:left="193" w:hanging="142"/>
              <w:jc w:val="right"/>
              <w:rPr>
                <w:rFonts w:ascii="Calibri" w:eastAsia="Times New Roman" w:hAnsi="Calibri" w:cs="Calibri"/>
                <w:color w:val="000000"/>
                <w:sz w:val="20"/>
                <w:szCs w:val="20"/>
                <w:lang w:eastAsia="en-AU"/>
              </w:rPr>
            </w:pPr>
            <w:r w:rsidRPr="00BB00D1">
              <w:rPr>
                <w:rFonts w:ascii="Calibri" w:eastAsia="Times New Roman" w:hAnsi="Calibri" w:cs="Calibri"/>
                <w:color w:val="000000"/>
                <w:sz w:val="20"/>
                <w:szCs w:val="20"/>
                <w:lang w:eastAsia="en-AU"/>
              </w:rPr>
              <w:t>1.22</w:t>
            </w:r>
          </w:p>
        </w:tc>
      </w:tr>
    </w:tbl>
    <w:p w14:paraId="52ECA461" w14:textId="78068DBC" w:rsidR="00BB00D1" w:rsidRPr="00000D34" w:rsidRDefault="00BB00D1" w:rsidP="00BB00D1">
      <w:pPr>
        <w:pStyle w:val="CGCTableFootnote"/>
      </w:pPr>
      <w:r>
        <w:t>Source:</w:t>
      </w:r>
      <w:r>
        <w:tab/>
        <w:t>IHPA</w:t>
      </w:r>
      <w:r w:rsidR="00BC76EC">
        <w:t>,</w:t>
      </w:r>
      <w:r>
        <w:t xml:space="preserve"> </w:t>
      </w:r>
      <w:r w:rsidRPr="00BC76EC">
        <w:rPr>
          <w:i/>
        </w:rPr>
        <w:t>National Efficient Price Determination, 2018-19.</w:t>
      </w:r>
    </w:p>
    <w:p w14:paraId="77E24F70" w14:textId="0A516157" w:rsidR="00F24198" w:rsidRDefault="000019C2" w:rsidP="005A25B7">
      <w:pPr>
        <w:pStyle w:val="CGCNumberedPara"/>
        <w:numPr>
          <w:ilvl w:val="1"/>
          <w:numId w:val="3"/>
        </w:numPr>
      </w:pPr>
      <w:r>
        <w:t xml:space="preserve">It is not yet clear whether the appropriate indicator is to use the Patient address loading, the hospital location loading, or a combination of both effects. </w:t>
      </w:r>
      <w:r w:rsidR="007A1365">
        <w:t xml:space="preserve">Staff </w:t>
      </w:r>
      <w:r w:rsidR="00A76679">
        <w:t xml:space="preserve">will work with IHPA to </w:t>
      </w:r>
      <w:r w:rsidR="007A1365">
        <w:t>determine the</w:t>
      </w:r>
      <w:r w:rsidR="00A76679">
        <w:t xml:space="preserve"> best way to </w:t>
      </w:r>
      <w:r>
        <w:t xml:space="preserve">interpret </w:t>
      </w:r>
      <w:r w:rsidR="00A76679">
        <w:t xml:space="preserve">these estimates </w:t>
      </w:r>
      <w:r>
        <w:t xml:space="preserve">and incorporate them </w:t>
      </w:r>
      <w:r w:rsidR="00A76679">
        <w:t>into our</w:t>
      </w:r>
      <w:r w:rsidR="00A6342C">
        <w:t xml:space="preserve"> assessment of regional costs</w:t>
      </w:r>
    </w:p>
    <w:p w14:paraId="2431546E" w14:textId="7FB55DF4" w:rsidR="005A25B7" w:rsidRDefault="005A25B7" w:rsidP="005A25B7">
      <w:pPr>
        <w:pStyle w:val="Heading5"/>
      </w:pPr>
      <w:r>
        <w:t>Police</w:t>
      </w:r>
    </w:p>
    <w:p w14:paraId="4E649F59" w14:textId="53695C06" w:rsidR="005A25B7" w:rsidRDefault="00261AF2" w:rsidP="006A12B2">
      <w:pPr>
        <w:pStyle w:val="CGCNumberedPara"/>
        <w:numPr>
          <w:ilvl w:val="1"/>
          <w:numId w:val="3"/>
        </w:numPr>
      </w:pPr>
      <w:r>
        <w:t>States have provided up to date data on police costs and service in different regions. The methods proposed by staff to develop the Police assessment</w:t>
      </w:r>
      <w:r w:rsidR="00FC7B1C">
        <w:t>, including the cost weights for different remoteness areas</w:t>
      </w:r>
      <w:r w:rsidR="000A23B1">
        <w:t>,</w:t>
      </w:r>
      <w:r>
        <w:t xml:space="preserve"> are described in </w:t>
      </w:r>
      <w:r w:rsidR="00A2208D" w:rsidRPr="00A2208D">
        <w:t xml:space="preserve">Staff </w:t>
      </w:r>
      <w:r w:rsidR="009F2D60" w:rsidRPr="00A2208D">
        <w:t xml:space="preserve">Draft </w:t>
      </w:r>
      <w:r w:rsidR="000016F9">
        <w:t>A</w:t>
      </w:r>
      <w:r w:rsidR="009F2D60" w:rsidRPr="00A2208D">
        <w:t xml:space="preserve">ssessment </w:t>
      </w:r>
      <w:r w:rsidR="000016F9">
        <w:t>P</w:t>
      </w:r>
      <w:r w:rsidR="009F2D60" w:rsidRPr="00A2208D">
        <w:t>aper</w:t>
      </w:r>
      <w:r w:rsidR="009F2D60" w:rsidRPr="00DB1783">
        <w:rPr>
          <w:i/>
        </w:rPr>
        <w:t xml:space="preserve"> </w:t>
      </w:r>
      <w:r w:rsidR="00A2208D" w:rsidRPr="00A2208D">
        <w:rPr>
          <w:i/>
        </w:rPr>
        <w:t xml:space="preserve">CGC </w:t>
      </w:r>
      <w:r w:rsidR="009F2D60" w:rsidRPr="00A2208D">
        <w:rPr>
          <w:i/>
        </w:rPr>
        <w:t>AP 2018-01/1</w:t>
      </w:r>
      <w:r w:rsidR="00A2208D">
        <w:rPr>
          <w:i/>
        </w:rPr>
        <w:t>6</w:t>
      </w:r>
      <w:r w:rsidR="009F2D60" w:rsidRPr="00A2208D">
        <w:rPr>
          <w:i/>
        </w:rPr>
        <w:t>-S</w:t>
      </w:r>
      <w:r w:rsidR="00A2208D" w:rsidRPr="00A2208D">
        <w:rPr>
          <w:i/>
        </w:rPr>
        <w:t>, Justice</w:t>
      </w:r>
      <w:r w:rsidR="006A12B2">
        <w:t xml:space="preserve">. </w:t>
      </w:r>
      <w:r w:rsidR="00F617A4">
        <w:t xml:space="preserve">It is not </w:t>
      </w:r>
      <w:r w:rsidR="00450D49">
        <w:t xml:space="preserve">yet </w:t>
      </w:r>
      <w:r w:rsidR="00F617A4">
        <w:t>clear whether the new approach to assess costs in police is capturing generali</w:t>
      </w:r>
      <w:r w:rsidR="00777E11">
        <w:t>za</w:t>
      </w:r>
      <w:r w:rsidR="00F617A4">
        <w:t xml:space="preserve">ble regional costs, or whether it reflects differences in use of police services in different regions in a way that cannot be assumed for other services. </w:t>
      </w:r>
    </w:p>
    <w:p w14:paraId="210EAB0E" w14:textId="0E82068C" w:rsidR="001412D2" w:rsidRDefault="001412D2" w:rsidP="001412D2">
      <w:pPr>
        <w:pStyle w:val="Heading5"/>
      </w:pPr>
      <w:r>
        <w:t>Potential for simplification</w:t>
      </w:r>
    </w:p>
    <w:p w14:paraId="7878145A" w14:textId="6DFB05D0" w:rsidR="00E12BE2" w:rsidRDefault="00E12BE2" w:rsidP="00E12BE2">
      <w:pPr>
        <w:pStyle w:val="CGCNumberedPara"/>
        <w:numPr>
          <w:ilvl w:val="1"/>
          <w:numId w:val="3"/>
        </w:numPr>
      </w:pPr>
      <w:r>
        <w:t>The cost gradients between services will be compared, and a single measure for all categories will be considered if the differences between gradients are not significant.</w:t>
      </w:r>
    </w:p>
    <w:p w14:paraId="521AEFE0" w14:textId="77777777" w:rsidR="00464D72" w:rsidRDefault="00464D72" w:rsidP="009C39A3">
      <w:pPr>
        <w:pStyle w:val="NoSpacing"/>
      </w:pPr>
    </w:p>
    <w:tbl>
      <w:tblPr>
        <w:tblW w:w="0" w:type="auto"/>
        <w:tblInd w:w="108" w:type="dxa"/>
        <w:shd w:val="clear" w:color="auto" w:fill="D9F3E6"/>
        <w:tblLook w:val="04A0" w:firstRow="1" w:lastRow="0" w:firstColumn="1" w:lastColumn="0" w:noHBand="0" w:noVBand="1"/>
      </w:tblPr>
      <w:tblGrid>
        <w:gridCol w:w="8931"/>
      </w:tblGrid>
      <w:tr w:rsidR="009122E9" w:rsidRPr="00E674AF" w14:paraId="2F1F838C" w14:textId="77777777" w:rsidTr="00CD38AE">
        <w:tc>
          <w:tcPr>
            <w:tcW w:w="8931" w:type="dxa"/>
            <w:shd w:val="clear" w:color="auto" w:fill="D9F3E6"/>
          </w:tcPr>
          <w:p w14:paraId="49D61F2E" w14:textId="67B30405" w:rsidR="00FC7B1C" w:rsidRPr="00E674AF" w:rsidRDefault="009122E9" w:rsidP="009C39A3">
            <w:r w:rsidRPr="00B7517F">
              <w:t>Staff propose to recommend the Commission</w:t>
            </w:r>
            <w:r w:rsidR="006A12B2">
              <w:t>:</w:t>
            </w:r>
          </w:p>
          <w:p w14:paraId="6045EE72" w14:textId="35299370" w:rsidR="009122E9" w:rsidRDefault="006A12B2" w:rsidP="000C3B9A">
            <w:pPr>
              <w:pStyle w:val="CGCBulletlist"/>
            </w:pPr>
            <w:r>
              <w:t xml:space="preserve">develop a regional costs assessment using data from </w:t>
            </w:r>
            <w:r w:rsidR="00C93D87">
              <w:t>s</w:t>
            </w:r>
            <w:r>
              <w:t>chools</w:t>
            </w:r>
            <w:r w:rsidR="00A660F4">
              <w:t xml:space="preserve">, police, </w:t>
            </w:r>
            <w:r w:rsidR="00223D77">
              <w:t>post</w:t>
            </w:r>
            <w:r w:rsidR="000C3B9A">
              <w:noBreakHyphen/>
            </w:r>
            <w:r w:rsidR="00223D77">
              <w:t>secondary education</w:t>
            </w:r>
            <w:r w:rsidR="00A660F4">
              <w:t xml:space="preserve"> and </w:t>
            </w:r>
            <w:r w:rsidR="00223D77">
              <w:t>hospitals</w:t>
            </w:r>
          </w:p>
          <w:p w14:paraId="42C232B1" w14:textId="4584561B" w:rsidR="00DE3188" w:rsidRPr="00E674AF" w:rsidRDefault="00DE3188" w:rsidP="005269D3">
            <w:pPr>
              <w:pStyle w:val="CGCBulletlist"/>
            </w:pPr>
            <w:r>
              <w:t>test whether there are significant differences in the cost gradients between these services and</w:t>
            </w:r>
            <w:r w:rsidR="005269D3">
              <w:t>,</w:t>
            </w:r>
            <w:r>
              <w:t xml:space="preserve"> if not</w:t>
            </w:r>
            <w:r w:rsidR="005269D3">
              <w:t>,</w:t>
            </w:r>
            <w:r>
              <w:t xml:space="preserve"> use a single measure for all categories.</w:t>
            </w:r>
          </w:p>
        </w:tc>
      </w:tr>
    </w:tbl>
    <w:p w14:paraId="67066421" w14:textId="77777777" w:rsidR="005A25B7" w:rsidRDefault="005A25B7" w:rsidP="005A25B7">
      <w:pPr>
        <w:pStyle w:val="Heading4"/>
      </w:pPr>
      <w:bookmarkStart w:id="35" w:name="_Toc511732743"/>
      <w:r>
        <w:t>Extrapolation</w:t>
      </w:r>
      <w:bookmarkEnd w:id="35"/>
    </w:p>
    <w:p w14:paraId="7B3C30C2" w14:textId="22BF237E" w:rsidR="000D316A" w:rsidRDefault="000D316A" w:rsidP="000D316A">
      <w:pPr>
        <w:pStyle w:val="CGCNumberedPara"/>
      </w:pPr>
      <w:r>
        <w:t xml:space="preserve">While the range of services for which we can measure regional costs has expanded, there remain some services where staff consider a conceptual case for regional costs exists but for which little direct evidence or assessment is available. </w:t>
      </w:r>
      <w:r w:rsidR="00D70F4E">
        <w:t xml:space="preserve">Staff consider there is a strong conceptual case for such a disability in </w:t>
      </w:r>
      <w:r>
        <w:t xml:space="preserve">Health (non-admitted patients), Housing, Welfare, Justice (prisons and courts), Services to communities, </w:t>
      </w:r>
      <w:r>
        <w:lastRenderedPageBreak/>
        <w:t>Services to industry, Roads, Transport and Other expenses.</w:t>
      </w:r>
      <w:r w:rsidR="00D70F4E">
        <w:t xml:space="preserve"> In the 2010 Review, this conceptual case was validated using data from Queensland, Western Australia, Tasmania and the </w:t>
      </w:r>
      <w:r w:rsidR="00C605C3">
        <w:t>Australian Institute of Health and Welfare (</w:t>
      </w:r>
      <w:r w:rsidR="00D70F4E">
        <w:t>AIHW</w:t>
      </w:r>
      <w:r w:rsidR="00C605C3">
        <w:t>)</w:t>
      </w:r>
      <w:r w:rsidR="00D70F4E">
        <w:t>. Staff intend to seek data testing the validity of the conceptual case for extrapolation</w:t>
      </w:r>
      <w:r w:rsidR="00AF7DF2">
        <w:t xml:space="preserve"> through a data request to States in </w:t>
      </w:r>
      <w:r w:rsidR="00450D49">
        <w:t>May</w:t>
      </w:r>
      <w:r w:rsidR="005465B0">
        <w:t xml:space="preserve"> </w:t>
      </w:r>
      <w:r w:rsidR="00AF7DF2">
        <w:t>this year</w:t>
      </w:r>
      <w:r w:rsidR="00D70F4E">
        <w:t xml:space="preserve">. </w:t>
      </w:r>
    </w:p>
    <w:p w14:paraId="38DE899E" w14:textId="55D2940C" w:rsidR="00E47A94" w:rsidRDefault="000D316A" w:rsidP="00E47A94">
      <w:pPr>
        <w:pStyle w:val="CGCNumberedPara"/>
        <w:shd w:val="clear" w:color="auto" w:fill="FFFFFF" w:themeFill="background1"/>
      </w:pPr>
      <w:r>
        <w:t>Staff consider an extrapolated gradient remains appropriate. This can be calculated as the average of category-specific regional loadings</w:t>
      </w:r>
      <w:r w:rsidR="00E47A94">
        <w:t>.</w:t>
      </w:r>
    </w:p>
    <w:p w14:paraId="1B8B743D" w14:textId="67F741E5" w:rsidR="00AA531D" w:rsidRDefault="00BB00D1" w:rsidP="000D316A">
      <w:pPr>
        <w:pStyle w:val="CGCNumberedPara"/>
      </w:pPr>
      <w:r>
        <w:t>If t</w:t>
      </w:r>
      <w:r w:rsidR="00AA531D">
        <w:t xml:space="preserve">he cost gradients for different categories vary considerably, </w:t>
      </w:r>
      <w:r>
        <w:t>t</w:t>
      </w:r>
      <w:r w:rsidR="00AA531D">
        <w:t>he Commission will be faced with a choice on how to extrapolate this to other categories. It could:</w:t>
      </w:r>
    </w:p>
    <w:p w14:paraId="4FF70D51" w14:textId="23AC8E67" w:rsidR="00AA531D" w:rsidRDefault="000C3B9A" w:rsidP="00DB1783">
      <w:pPr>
        <w:pStyle w:val="CGCBulletlist"/>
      </w:pPr>
      <w:r>
        <w:t>t</w:t>
      </w:r>
      <w:r w:rsidR="00AA531D">
        <w:t>ake a simple average and discount appropriately for the uncertainty associated with the variab</w:t>
      </w:r>
      <w:r>
        <w:t>ility of the category gradients</w:t>
      </w:r>
    </w:p>
    <w:p w14:paraId="53C6CF5D" w14:textId="076060C1" w:rsidR="00AA531D" w:rsidRDefault="000C3B9A" w:rsidP="00DB1783">
      <w:pPr>
        <w:pStyle w:val="CGCBulletlist"/>
      </w:pPr>
      <w:r>
        <w:t>e</w:t>
      </w:r>
      <w:r w:rsidR="00AA531D">
        <w:t>xtrapolate gradients from</w:t>
      </w:r>
      <w:r w:rsidR="00C93D87">
        <w:t xml:space="preserve"> specific categories</w:t>
      </w:r>
      <w:r w:rsidR="00AA531D">
        <w:t xml:space="preserve">, depending on how comparable service delivery models are, as is currently done for </w:t>
      </w:r>
      <w:r w:rsidR="00D9668C">
        <w:t>S</w:t>
      </w:r>
      <w:r>
        <w:t>ervice delivery scale</w:t>
      </w:r>
    </w:p>
    <w:p w14:paraId="704A6DA2" w14:textId="056543D2" w:rsidR="000D316A" w:rsidRDefault="000C3B9A" w:rsidP="00DB1783">
      <w:pPr>
        <w:pStyle w:val="CGCBulletlist"/>
      </w:pPr>
      <w:r>
        <w:t>u</w:t>
      </w:r>
      <w:r w:rsidR="00AA531D">
        <w:t>se a measure with the lowest, or near the lowest</w:t>
      </w:r>
      <w:r w:rsidR="00FD3C73">
        <w:t>,</w:t>
      </w:r>
      <w:r w:rsidR="00AA531D">
        <w:t xml:space="preserve"> gradient on the assumption that that reflects the measure with the least prospect of double counting higher service use in remote areas, and the greatest chance of being a pure cost gradient. </w:t>
      </w:r>
    </w:p>
    <w:p w14:paraId="6CC14D08" w14:textId="342B3326" w:rsidR="00C40762" w:rsidRDefault="00C40762" w:rsidP="00C40762">
      <w:pPr>
        <w:pStyle w:val="CGCNumberedPara"/>
      </w:pPr>
      <w:r>
        <w:t>In all cases the Commission will need to consider whether a discount is appropriate.</w:t>
      </w:r>
    </w:p>
    <w:p w14:paraId="785613C4" w14:textId="77777777" w:rsidR="00464D72" w:rsidRDefault="00464D72" w:rsidP="009C39A3">
      <w:pPr>
        <w:pStyle w:val="NoSpacing"/>
      </w:pPr>
    </w:p>
    <w:tbl>
      <w:tblPr>
        <w:tblW w:w="0" w:type="auto"/>
        <w:tblInd w:w="108" w:type="dxa"/>
        <w:shd w:val="clear" w:color="auto" w:fill="D9F3E6"/>
        <w:tblLook w:val="04A0" w:firstRow="1" w:lastRow="0" w:firstColumn="1" w:lastColumn="0" w:noHBand="0" w:noVBand="1"/>
      </w:tblPr>
      <w:tblGrid>
        <w:gridCol w:w="8931"/>
      </w:tblGrid>
      <w:tr w:rsidR="00B7517F" w:rsidRPr="00E674AF" w14:paraId="3B350CED" w14:textId="77777777" w:rsidTr="00597341">
        <w:tc>
          <w:tcPr>
            <w:tcW w:w="8931" w:type="dxa"/>
            <w:shd w:val="clear" w:color="auto" w:fill="D9F3E6"/>
          </w:tcPr>
          <w:p w14:paraId="6FDE4CE6" w14:textId="77777777" w:rsidR="00B7517F" w:rsidRPr="00E674AF" w:rsidRDefault="00B7517F" w:rsidP="009C39A3">
            <w:r w:rsidRPr="00B7517F">
              <w:t>Staff propose to recommend the Commission:</w:t>
            </w:r>
          </w:p>
          <w:p w14:paraId="3E390F90" w14:textId="528C4664" w:rsidR="00E11768" w:rsidRDefault="00E11768" w:rsidP="00CC6063">
            <w:pPr>
              <w:pStyle w:val="CGCBulletlist"/>
            </w:pPr>
            <w:r>
              <w:t xml:space="preserve">send a data request to States for current data on </w:t>
            </w:r>
            <w:r w:rsidR="00BD0898">
              <w:t>State spending by region</w:t>
            </w:r>
            <w:r w:rsidR="00450D49">
              <w:t xml:space="preserve"> by service</w:t>
            </w:r>
          </w:p>
          <w:p w14:paraId="3C950030" w14:textId="3F3F0996" w:rsidR="00B7517F" w:rsidRPr="00E674AF" w:rsidRDefault="00676D7E" w:rsidP="00A2208D">
            <w:pPr>
              <w:pStyle w:val="CGCBulletlist"/>
              <w:numPr>
                <w:ilvl w:val="0"/>
                <w:numId w:val="1"/>
              </w:numPr>
              <w:tabs>
                <w:tab w:val="clear" w:pos="927"/>
                <w:tab w:val="clear" w:pos="1134"/>
              </w:tabs>
              <w:ind w:left="1134" w:hanging="567"/>
            </w:pPr>
            <w:r>
              <w:t>c</w:t>
            </w:r>
            <w:r w:rsidR="007725D8">
              <w:t xml:space="preserve">ontinue </w:t>
            </w:r>
            <w:r w:rsidR="00CC6063">
              <w:t xml:space="preserve">applying </w:t>
            </w:r>
            <w:r w:rsidR="00AF7DF2">
              <w:t>a</w:t>
            </w:r>
            <w:r w:rsidR="0024275F">
              <w:t xml:space="preserve"> regional cost disability </w:t>
            </w:r>
            <w:r w:rsidR="00CC6063">
              <w:t xml:space="preserve">to </w:t>
            </w:r>
            <w:r w:rsidR="007725D8">
              <w:t>services where a conceptua</w:t>
            </w:r>
            <w:r w:rsidR="00CC6063">
              <w:t>l case has been identified</w:t>
            </w:r>
            <w:r w:rsidR="004F4367">
              <w:t>.</w:t>
            </w:r>
          </w:p>
        </w:tc>
      </w:tr>
    </w:tbl>
    <w:p w14:paraId="7D3DB19E" w14:textId="77777777" w:rsidR="00DE1409" w:rsidRDefault="00153290" w:rsidP="00DE4275">
      <w:pPr>
        <w:pStyle w:val="Heading4"/>
      </w:pPr>
      <w:bookmarkStart w:id="36" w:name="_Toc511732744"/>
      <w:r>
        <w:t>Me</w:t>
      </w:r>
      <w:r w:rsidR="00DE1409">
        <w:t>asur</w:t>
      </w:r>
      <w:r w:rsidR="009E7A06">
        <w:t>e</w:t>
      </w:r>
      <w:r>
        <w:t xml:space="preserve"> of </w:t>
      </w:r>
      <w:r w:rsidR="00DE1409">
        <w:t xml:space="preserve">Indigenous socio-economic </w:t>
      </w:r>
      <w:r>
        <w:t>disadvantage</w:t>
      </w:r>
      <w:bookmarkEnd w:id="36"/>
    </w:p>
    <w:p w14:paraId="31234CF6" w14:textId="62F5A4E1" w:rsidR="002D6BC5" w:rsidRPr="00CB158A" w:rsidRDefault="007A1365" w:rsidP="002D6BC5">
      <w:pPr>
        <w:pStyle w:val="CGCNumberedPara"/>
      </w:pPr>
      <w:r>
        <w:t>In response to the 2015 Review terms of reference requiring us to ‘develop methods to appropriately capture the changing characteristics of the Indigenous population’</w:t>
      </w:r>
      <w:r w:rsidR="002D6BC5">
        <w:t>,</w:t>
      </w:r>
      <w:r>
        <w:t xml:space="preserve"> the Commission </w:t>
      </w:r>
      <w:r w:rsidR="002D6BC5" w:rsidRPr="00E645C7">
        <w:rPr>
          <w:rStyle w:val="Heading6Char"/>
          <w:rFonts w:eastAsiaTheme="minorHAnsi" w:cstheme="minorBidi"/>
          <w:b w:val="0"/>
          <w:i w:val="0"/>
          <w:iCs w:val="0"/>
          <w:color w:val="auto"/>
          <w:sz w:val="24"/>
        </w:rPr>
        <w:t xml:space="preserve">adopted </w:t>
      </w:r>
      <w:r w:rsidR="002D6BC5">
        <w:rPr>
          <w:rStyle w:val="Heading6Char"/>
          <w:rFonts w:eastAsiaTheme="minorHAnsi" w:cstheme="minorBidi"/>
          <w:b w:val="0"/>
          <w:i w:val="0"/>
          <w:iCs w:val="0"/>
          <w:color w:val="auto"/>
          <w:sz w:val="24"/>
        </w:rPr>
        <w:t xml:space="preserve">IRSEO as the </w:t>
      </w:r>
      <w:r w:rsidR="002D6BC5" w:rsidRPr="003A2A66">
        <w:t>geographic socio-economic index for</w:t>
      </w:r>
      <w:r w:rsidR="002D6BC5">
        <w:t xml:space="preserve"> the</w:t>
      </w:r>
      <w:r w:rsidR="002D6BC5" w:rsidRPr="003A2A66">
        <w:t xml:space="preserve"> Indigenous p</w:t>
      </w:r>
      <w:r w:rsidR="002D6BC5">
        <w:t>opulation</w:t>
      </w:r>
      <w:r w:rsidR="002D6BC5" w:rsidRPr="003A2A66">
        <w:t>.</w:t>
      </w:r>
    </w:p>
    <w:p w14:paraId="42D3EC37" w14:textId="6C619E13" w:rsidR="00C81377" w:rsidRDefault="00524978" w:rsidP="006516AE">
      <w:pPr>
        <w:pStyle w:val="CGCNumberedPara"/>
      </w:pPr>
      <w:r>
        <w:t xml:space="preserve">In the 2015 Review </w:t>
      </w:r>
      <w:r w:rsidR="00C81377">
        <w:t>and 2018 Update</w:t>
      </w:r>
      <w:r w:rsidR="00232FF9">
        <w:t>,</w:t>
      </w:r>
      <w:r w:rsidR="00C81377">
        <w:t xml:space="preserve"> </w:t>
      </w:r>
      <w:r w:rsidR="00232FF9">
        <w:t xml:space="preserve">some </w:t>
      </w:r>
      <w:r w:rsidR="00C81377">
        <w:t xml:space="preserve">States </w:t>
      </w:r>
      <w:r w:rsidR="008C3D6C">
        <w:t xml:space="preserve">had raised </w:t>
      </w:r>
      <w:r w:rsidR="00232FF9">
        <w:t xml:space="preserve">concerns </w:t>
      </w:r>
      <w:r>
        <w:t xml:space="preserve">with </w:t>
      </w:r>
      <w:r w:rsidRPr="00524978">
        <w:t>technical aspects of IRSEO</w:t>
      </w:r>
      <w:r w:rsidR="003F057E">
        <w:t>.</w:t>
      </w:r>
      <w:r w:rsidR="00B82C09">
        <w:t xml:space="preserve"> </w:t>
      </w:r>
      <w:r w:rsidR="00C81377">
        <w:t xml:space="preserve">This section </w:t>
      </w:r>
      <w:r w:rsidR="00232FF9">
        <w:t xml:space="preserve">discusses </w:t>
      </w:r>
      <w:r w:rsidR="00C81377">
        <w:t>those issues.</w:t>
      </w:r>
    </w:p>
    <w:p w14:paraId="5719D086" w14:textId="77777777" w:rsidR="00B94551" w:rsidRDefault="00B94551" w:rsidP="00B94551">
      <w:pPr>
        <w:pStyle w:val="Heading5"/>
      </w:pPr>
      <w:r>
        <w:t xml:space="preserve">Choice of </w:t>
      </w:r>
      <w:r w:rsidR="00F04222">
        <w:t>indicators</w:t>
      </w:r>
    </w:p>
    <w:p w14:paraId="146176A7" w14:textId="30C37C34" w:rsidR="00C81377" w:rsidRDefault="00C81377" w:rsidP="00C81377">
      <w:pPr>
        <w:pStyle w:val="CGCNumberedPara"/>
      </w:pPr>
      <w:r>
        <w:t xml:space="preserve">Some States </w:t>
      </w:r>
      <w:r w:rsidRPr="003F057E">
        <w:t>support</w:t>
      </w:r>
      <w:r>
        <w:t>ed the</w:t>
      </w:r>
      <w:r w:rsidRPr="003F057E">
        <w:t xml:space="preserve"> use of IRSEO and NISEIFA for the Indigenous and non</w:t>
      </w:r>
      <w:r w:rsidR="00F6064C">
        <w:noBreakHyphen/>
      </w:r>
      <w:r w:rsidRPr="003F057E">
        <w:t xml:space="preserve">Indigenous populations but </w:t>
      </w:r>
      <w:r>
        <w:t xml:space="preserve">remained </w:t>
      </w:r>
      <w:r w:rsidRPr="003F057E">
        <w:t>concerned about the robustness and fitness</w:t>
      </w:r>
      <w:r w:rsidR="00AE419E">
        <w:noBreakHyphen/>
      </w:r>
      <w:r w:rsidRPr="003F057E">
        <w:t xml:space="preserve">for-purpose of IRSEO because </w:t>
      </w:r>
      <w:r w:rsidR="00DC6C65">
        <w:t>it</w:t>
      </w:r>
      <w:r>
        <w:t xml:space="preserve"> </w:t>
      </w:r>
      <w:r w:rsidR="00DC6C65">
        <w:t xml:space="preserve">was </w:t>
      </w:r>
      <w:r w:rsidRPr="003F057E">
        <w:t xml:space="preserve">constructed to measure the positive aspects of socio-economic status. </w:t>
      </w:r>
    </w:p>
    <w:p w14:paraId="416B0B7E" w14:textId="0EC67963" w:rsidR="00A14C0C" w:rsidRDefault="00E56D8A" w:rsidP="004D382D">
      <w:pPr>
        <w:pStyle w:val="CGCNumberedPara"/>
      </w:pPr>
      <w:r>
        <w:lastRenderedPageBreak/>
        <w:t>Staff consider that for most variables used in IRSEO</w:t>
      </w:r>
      <w:r w:rsidR="00C93D87">
        <w:t>,</w:t>
      </w:r>
      <w:r>
        <w:t xml:space="preserve"> advantage and disadvantage are mirror images of the same concept. For example the proportion of the Indigenous population aged 15 years and over with an education qualification is 32%. If </w:t>
      </w:r>
      <w:r w:rsidR="00540BF6">
        <w:t xml:space="preserve">the indicator </w:t>
      </w:r>
      <w:r>
        <w:t>were reverse</w:t>
      </w:r>
      <w:r w:rsidR="00540BF6">
        <w:t>d</w:t>
      </w:r>
      <w:r>
        <w:t xml:space="preserve"> to look at disadvantage, the proportion with no qualification would be 68% (100 minus 32). Using the revised proportions that measure disadvantage rather than advantage would result in the same IRSEO index, as the relationships among the indicators would not have changed. The possible exception to that principle is the indicator </w:t>
      </w:r>
      <w:r w:rsidR="00A14C0C">
        <w:t xml:space="preserve">on </w:t>
      </w:r>
      <w:r w:rsidR="004A5902">
        <w:t xml:space="preserve">proportion of the population employed as a manager or professional. While this is a measure of advantage, its inverse may not be a measure of disadvantage. </w:t>
      </w:r>
    </w:p>
    <w:p w14:paraId="1422A5C8" w14:textId="22D1FE8E" w:rsidR="003F057E" w:rsidRDefault="003F057E" w:rsidP="00AF7DF2">
      <w:pPr>
        <w:pStyle w:val="CGCNumberedPara"/>
        <w:tabs>
          <w:tab w:val="clear" w:pos="567"/>
        </w:tabs>
      </w:pPr>
      <w:r>
        <w:t xml:space="preserve">IRSEO uses different variables to those used in SEIFA </w:t>
      </w:r>
      <w:r w:rsidRPr="00524978">
        <w:t>(see</w:t>
      </w:r>
      <w:r w:rsidR="00DF3D36">
        <w:t xml:space="preserve"> </w:t>
      </w:r>
      <w:r w:rsidR="00DF3D36">
        <w:fldChar w:fldCharType="begin"/>
      </w:r>
      <w:r w:rsidR="00DF3D36">
        <w:instrText xml:space="preserve"> REF _Ref508200569 \h </w:instrText>
      </w:r>
      <w:r w:rsidR="00DF3D36">
        <w:fldChar w:fldCharType="separate"/>
      </w:r>
      <w:r w:rsidR="00DC6C65">
        <w:t>Attachment A</w:t>
      </w:r>
      <w:r w:rsidR="00DF3D36">
        <w:fldChar w:fldCharType="end"/>
      </w:r>
      <w:r w:rsidRPr="00524978">
        <w:t xml:space="preserve"> for </w:t>
      </w:r>
      <w:r>
        <w:t xml:space="preserve">comparison </w:t>
      </w:r>
      <w:r w:rsidR="00F04222">
        <w:t>of IRSEO and SEIFA indicators</w:t>
      </w:r>
      <w:r>
        <w:t>)</w:t>
      </w:r>
      <w:r w:rsidR="00B82C09">
        <w:t xml:space="preserve">. </w:t>
      </w:r>
      <w:r w:rsidR="00187435">
        <w:t xml:space="preserve">Some </w:t>
      </w:r>
      <w:r w:rsidR="00BB620A">
        <w:t>differences are:</w:t>
      </w:r>
    </w:p>
    <w:p w14:paraId="103EB6E9" w14:textId="77777777" w:rsidR="001E7B2B" w:rsidRDefault="00B82C09" w:rsidP="00BB620A">
      <w:pPr>
        <w:pStyle w:val="CGCBulletlist"/>
      </w:pPr>
      <w:r>
        <w:t xml:space="preserve">IRSEO is based on nine person-level indicators </w:t>
      </w:r>
      <w:r w:rsidR="001E7B2B">
        <w:t xml:space="preserve">that measure aspects of </w:t>
      </w:r>
      <w:r>
        <w:t>income, educat</w:t>
      </w:r>
      <w:r w:rsidR="001E7B2B">
        <w:t>ion</w:t>
      </w:r>
      <w:r>
        <w:t xml:space="preserve">, </w:t>
      </w:r>
      <w:r w:rsidR="001E7B2B">
        <w:t xml:space="preserve">labour force, </w:t>
      </w:r>
      <w:r>
        <w:t>occupation, h</w:t>
      </w:r>
      <w:r w:rsidR="001E7B2B">
        <w:t xml:space="preserve">ousing cost and housing adequacy. All </w:t>
      </w:r>
      <w:r w:rsidR="00C81377">
        <w:t xml:space="preserve">indicators </w:t>
      </w:r>
      <w:r w:rsidR="001E7B2B">
        <w:t>measure advantage rather than disadvantage.</w:t>
      </w:r>
    </w:p>
    <w:p w14:paraId="50FBC689" w14:textId="77777777" w:rsidR="001E7B2B" w:rsidRDefault="001E7B2B" w:rsidP="00BB620A">
      <w:pPr>
        <w:pStyle w:val="CGCBulletlist"/>
      </w:pPr>
      <w:r>
        <w:t xml:space="preserve">SEIFA is based on </w:t>
      </w:r>
      <w:r w:rsidR="00E32FD5">
        <w:t xml:space="preserve">15 </w:t>
      </w:r>
      <w:r>
        <w:t>person</w:t>
      </w:r>
      <w:r w:rsidR="00E32FD5">
        <w:t xml:space="preserve">-level or </w:t>
      </w:r>
      <w:r>
        <w:t>family</w:t>
      </w:r>
      <w:r w:rsidR="00E32FD5">
        <w:t>/</w:t>
      </w:r>
      <w:r>
        <w:t>dwelling-level indicators. In addition to the basic aspects measured in IRSEO, it also includes indicators on lack of access to a car, the internet, disability, facility to speak English</w:t>
      </w:r>
      <w:r w:rsidR="00E32FD5">
        <w:t>,</w:t>
      </w:r>
      <w:r>
        <w:t xml:space="preserve"> single parent </w:t>
      </w:r>
      <w:r w:rsidR="00E32FD5">
        <w:t xml:space="preserve">families </w:t>
      </w:r>
      <w:r>
        <w:t>and separated or divorced</w:t>
      </w:r>
      <w:r w:rsidR="00E32FD5">
        <w:t xml:space="preserve"> status.</w:t>
      </w:r>
    </w:p>
    <w:p w14:paraId="65FC50F5" w14:textId="77777777" w:rsidR="00E56D8A" w:rsidRDefault="00E56D8A" w:rsidP="006516AE">
      <w:pPr>
        <w:pStyle w:val="CGCNumberedPara"/>
      </w:pPr>
      <w:r>
        <w:t xml:space="preserve">While some States consider that our measure of Indigenous disadvantage should mirror that used for non-Indigenous disadvantage, staff consider that if experts in the field consider that Indigenous disadvantage is different from non-Indigenous disadvantage, our measures should use the best available and most relevant indicators. </w:t>
      </w:r>
    </w:p>
    <w:p w14:paraId="1BBAA305" w14:textId="19E44963" w:rsidR="007E71D1" w:rsidRDefault="007E71D1" w:rsidP="006516AE">
      <w:pPr>
        <w:pStyle w:val="CGCNumberedPara"/>
      </w:pPr>
      <w:r>
        <w:t xml:space="preserve">IRSEO only includes </w:t>
      </w:r>
      <w:r w:rsidR="00E32FD5">
        <w:t>person-level variables</w:t>
      </w:r>
      <w:r w:rsidR="00BB620A">
        <w:t xml:space="preserve"> so it does </w:t>
      </w:r>
      <w:r w:rsidR="002E0B69">
        <w:t xml:space="preserve">not </w:t>
      </w:r>
      <w:r w:rsidR="00BB620A">
        <w:t>rely on a standard definition of what Indigenous households include or h</w:t>
      </w:r>
      <w:r>
        <w:t>ow to deal with households with a mix of Indigenous and non-Indigenous persons</w:t>
      </w:r>
      <w:r w:rsidR="00BB620A">
        <w:t xml:space="preserve">. </w:t>
      </w:r>
    </w:p>
    <w:p w14:paraId="620CAC63" w14:textId="77777777" w:rsidR="00E56971" w:rsidRDefault="00187435" w:rsidP="006516AE">
      <w:pPr>
        <w:pStyle w:val="CGCNumberedPara"/>
      </w:pPr>
      <w:r>
        <w:t xml:space="preserve">In summary, while the current version of IRSEO uses different indicators from SEIFA that measure advantage rather than disadvantage, </w:t>
      </w:r>
      <w:r w:rsidR="00E56971">
        <w:t xml:space="preserve">the resulting index is comparable with and can be used in </w:t>
      </w:r>
      <w:r w:rsidR="00B00E87">
        <w:t>conjunction</w:t>
      </w:r>
      <w:r w:rsidR="00E56971">
        <w:t xml:space="preserve"> with NISEIFA.</w:t>
      </w:r>
    </w:p>
    <w:p w14:paraId="1B3E4D4D" w14:textId="77777777" w:rsidR="00B94551" w:rsidRDefault="00B94551" w:rsidP="00B94551">
      <w:pPr>
        <w:pStyle w:val="Heading5"/>
      </w:pPr>
      <w:r>
        <w:t>Geograph</w:t>
      </w:r>
      <w:r w:rsidR="00F04222">
        <w:t xml:space="preserve">ic </w:t>
      </w:r>
      <w:r w:rsidR="00187435">
        <w:t>classification</w:t>
      </w:r>
    </w:p>
    <w:p w14:paraId="402835B3" w14:textId="65CDA15E" w:rsidR="00BB1570" w:rsidRDefault="00232FF9" w:rsidP="005A0DE1">
      <w:pPr>
        <w:pStyle w:val="CGCNumberedPara"/>
      </w:pPr>
      <w:r>
        <w:t>IRSEO is calculated based on Indigenous areas</w:t>
      </w:r>
      <w:r w:rsidR="00BB1570">
        <w:t xml:space="preserve"> rather </w:t>
      </w:r>
      <w:r w:rsidR="005A0DE1">
        <w:t xml:space="preserve">than the </w:t>
      </w:r>
      <w:r>
        <w:t>SA1s</w:t>
      </w:r>
      <w:r w:rsidR="005A0DE1">
        <w:t xml:space="preserve"> that SEIFA is based </w:t>
      </w:r>
      <w:r w:rsidR="00BB1570">
        <w:t>up</w:t>
      </w:r>
      <w:r w:rsidR="005A0DE1">
        <w:t>on</w:t>
      </w:r>
      <w:r>
        <w:t xml:space="preserve">. </w:t>
      </w:r>
      <w:r w:rsidR="00BB1570">
        <w:t xml:space="preserve">The larger geography used for IRSEO reflects the smallest consistent geography with sufficient Indigenous </w:t>
      </w:r>
      <w:r w:rsidR="00F6064C">
        <w:t xml:space="preserve">population </w:t>
      </w:r>
      <w:r w:rsidR="00BB1570">
        <w:t xml:space="preserve">to produce reliable estimates across all </w:t>
      </w:r>
      <w:r w:rsidR="00F6064C">
        <w:t>areas</w:t>
      </w:r>
      <w:r w:rsidR="00BB1570">
        <w:t>.</w:t>
      </w:r>
    </w:p>
    <w:p w14:paraId="61A0ECBE" w14:textId="05478F49" w:rsidR="00BB1570" w:rsidRDefault="00BB1570" w:rsidP="00BB1570">
      <w:pPr>
        <w:pStyle w:val="CGCNumberedPara"/>
      </w:pPr>
      <w:r>
        <w:t>However, it is acknowledged that some Indigenous areas contain very large Indigenous populations, and that diversity within these areas is lost when using IRSEO.</w:t>
      </w:r>
      <w:r w:rsidR="007A6733">
        <w:t xml:space="preserve"> </w:t>
      </w:r>
      <w:r w:rsidR="005A0DE1">
        <w:t xml:space="preserve">For example, </w:t>
      </w:r>
      <w:r w:rsidR="000722B5">
        <w:t xml:space="preserve">Brisbane city is a single Indigenous area, with over 20,000 </w:t>
      </w:r>
      <w:r w:rsidR="000722B5">
        <w:lastRenderedPageBreak/>
        <w:t>Indigenous people and over 1 million non-Indigenous. It is</w:t>
      </w:r>
      <w:r>
        <w:t xml:space="preserve"> classified as ‘least disadvantaged’</w:t>
      </w:r>
      <w:r w:rsidR="000722B5">
        <w:t xml:space="preserve"> Indigenous area</w:t>
      </w:r>
      <w:r>
        <w:t>. While there are pockets of disadvantage in some areas/suburbs, the aggregated geographic classification used masks such disparities.</w:t>
      </w:r>
    </w:p>
    <w:p w14:paraId="75A71142" w14:textId="77777777" w:rsidR="00C81377" w:rsidRDefault="00C81377" w:rsidP="00C81377">
      <w:pPr>
        <w:pStyle w:val="Heading5"/>
      </w:pPr>
      <w:r>
        <w:t>Development of IRSEO+</w:t>
      </w:r>
    </w:p>
    <w:p w14:paraId="254E01D2" w14:textId="7A1729D0" w:rsidR="006E1515" w:rsidRDefault="00C81377" w:rsidP="00C81377">
      <w:pPr>
        <w:pStyle w:val="CGCNumberedPara"/>
      </w:pPr>
      <w:r w:rsidRPr="00C81377">
        <w:t>CAEPR is currently developing a revised version of IRSEO</w:t>
      </w:r>
      <w:r w:rsidR="006E1515">
        <w:t xml:space="preserve"> </w:t>
      </w:r>
      <w:r w:rsidR="00E56971">
        <w:t xml:space="preserve">— </w:t>
      </w:r>
      <w:r w:rsidR="006E1515">
        <w:t>IRSEO+</w:t>
      </w:r>
      <w:r w:rsidR="00E56971">
        <w:t xml:space="preserve">. </w:t>
      </w:r>
    </w:p>
    <w:p w14:paraId="3CA89E0C" w14:textId="4A3FD531" w:rsidR="00106B1E" w:rsidRPr="00106B1E" w:rsidRDefault="00E118D6" w:rsidP="00E11768">
      <w:pPr>
        <w:pStyle w:val="CGCNumberedPara"/>
      </w:pPr>
      <w:r>
        <w:t xml:space="preserve">CAEPR propose to develop </w:t>
      </w:r>
      <w:r w:rsidR="00C81377">
        <w:t xml:space="preserve">IRSEO+ </w:t>
      </w:r>
      <w:r>
        <w:t xml:space="preserve">using </w:t>
      </w:r>
      <w:r w:rsidR="00C81377">
        <w:t>a new</w:t>
      </w:r>
      <w:r>
        <w:t>, purpose built,</w:t>
      </w:r>
      <w:r w:rsidR="00C81377">
        <w:t xml:space="preserve"> </w:t>
      </w:r>
      <w:r w:rsidR="00106B1E" w:rsidRPr="00106B1E">
        <w:t>geographic classification with sufficient Indigenous population to produce reliable IRSEO estimates, and enough non-</w:t>
      </w:r>
      <w:r w:rsidR="008C3D6C">
        <w:t>Indigenous</w:t>
      </w:r>
      <w:r w:rsidR="00043EED">
        <w:t xml:space="preserve"> population for comparison. The new classification will be</w:t>
      </w:r>
      <w:r w:rsidR="005A0DE1">
        <w:t xml:space="preserve"> </w:t>
      </w:r>
      <w:r w:rsidR="00043EED">
        <w:t>m</w:t>
      </w:r>
      <w:r w:rsidR="00106B1E" w:rsidRPr="00106B1E">
        <w:t>ore disaggregated than</w:t>
      </w:r>
      <w:r w:rsidR="00043EED">
        <w:t xml:space="preserve"> Indigenous areas</w:t>
      </w:r>
      <w:r w:rsidR="005A0DE1">
        <w:t xml:space="preserve">. It will be </w:t>
      </w:r>
      <w:r w:rsidR="00043EED">
        <w:t>s</w:t>
      </w:r>
      <w:r w:rsidR="00106B1E" w:rsidRPr="00106B1E">
        <w:t xml:space="preserve">maller than </w:t>
      </w:r>
      <w:r w:rsidR="00E0383F">
        <w:t>Statistical Area Level 2s (</w:t>
      </w:r>
      <w:r w:rsidR="00106B1E" w:rsidRPr="00106B1E">
        <w:t>SA2s</w:t>
      </w:r>
      <w:r w:rsidR="00E0383F">
        <w:t>)</w:t>
      </w:r>
      <w:r w:rsidR="00E0383F">
        <w:rPr>
          <w:rStyle w:val="FootnoteReference"/>
        </w:rPr>
        <w:footnoteReference w:id="4"/>
      </w:r>
      <w:r w:rsidR="00106B1E" w:rsidRPr="00106B1E">
        <w:t xml:space="preserve"> for areas with </w:t>
      </w:r>
      <w:r>
        <w:t xml:space="preserve">large </w:t>
      </w:r>
      <w:r w:rsidR="008C3D6C">
        <w:t>Indigenous</w:t>
      </w:r>
      <w:r w:rsidR="00106B1E" w:rsidRPr="00106B1E">
        <w:t xml:space="preserve"> populations, and larger than SA2s for areas with small </w:t>
      </w:r>
      <w:r w:rsidR="008C3D6C">
        <w:t>Indigenous</w:t>
      </w:r>
      <w:r w:rsidR="00106B1E" w:rsidRPr="00106B1E">
        <w:t xml:space="preserve"> populations.</w:t>
      </w:r>
    </w:p>
    <w:p w14:paraId="2BC3F426" w14:textId="5A47577F" w:rsidR="00E118D6" w:rsidRDefault="00E118D6" w:rsidP="00E11768">
      <w:pPr>
        <w:pStyle w:val="CGCNumberedPara"/>
      </w:pPr>
      <w:r>
        <w:t>The development of SEIFA, NISEIFA and IRSEO ha</w:t>
      </w:r>
      <w:r w:rsidR="003F5C45">
        <w:t>ve</w:t>
      </w:r>
      <w:r>
        <w:t xml:space="preserve"> been based on the extent to which different aspects of disadvantage correlate with each other, and therefore with a common concept of disadvantage. In consultation with the </w:t>
      </w:r>
      <w:r w:rsidR="00FD3C73">
        <w:t>Commission</w:t>
      </w:r>
      <w:r>
        <w:t xml:space="preserve">, CAEPR are considering also developing an index based on a regression predicting aspects of State service use. </w:t>
      </w:r>
    </w:p>
    <w:p w14:paraId="177A1BB7" w14:textId="77777777" w:rsidR="00C526AD" w:rsidRDefault="00E118D6" w:rsidP="00E11768">
      <w:pPr>
        <w:pStyle w:val="CGCNumberedPara"/>
      </w:pPr>
      <w:r>
        <w:t>One possible indicator of socio-economic status among the Indigenous population is consistency in identification.</w:t>
      </w:r>
      <w:r w:rsidR="00C526AD">
        <w:t xml:space="preserve"> CAEPR are considering including a variable on change in identification between the 2011 and 2016 censuses, which may contribute to the measure of Indigenous socio-economic status. </w:t>
      </w:r>
    </w:p>
    <w:p w14:paraId="42860104" w14:textId="32054300" w:rsidR="00C526AD" w:rsidRDefault="00C526AD" w:rsidP="00E11768">
      <w:pPr>
        <w:pStyle w:val="CGCNumberedPara"/>
      </w:pPr>
      <w:r>
        <w:t>CAEPR intend to complete the development of IRSEO</w:t>
      </w:r>
      <w:r w:rsidR="008613A4">
        <w:t>+</w:t>
      </w:r>
      <w:r>
        <w:t xml:space="preserve"> by July 2018, with consultation with stakeholders well before that. While at the time of writing</w:t>
      </w:r>
      <w:r w:rsidR="00B81D60">
        <w:t>,</w:t>
      </w:r>
      <w:r>
        <w:t xml:space="preserve"> this process has not </w:t>
      </w:r>
      <w:r w:rsidR="00931DB4">
        <w:t xml:space="preserve">yet </w:t>
      </w:r>
      <w:r>
        <w:t>be</w:t>
      </w:r>
      <w:r w:rsidR="00931DB4">
        <w:t>en d</w:t>
      </w:r>
      <w:r>
        <w:t>etermined</w:t>
      </w:r>
      <w:r w:rsidR="00501F30">
        <w:t>. When it is, s</w:t>
      </w:r>
      <w:r>
        <w:t>taff will ensure that States are invited to participate in the consultative process on the development of IRSEO</w:t>
      </w:r>
      <w:r w:rsidR="008613A4">
        <w:t>+</w:t>
      </w:r>
      <w:r>
        <w:t>.</w:t>
      </w:r>
    </w:p>
    <w:p w14:paraId="0EE82A53" w14:textId="77777777" w:rsidR="00B401DA" w:rsidRDefault="00B401DA" w:rsidP="009C39A3">
      <w:pPr>
        <w:pStyle w:val="NoSpacing"/>
      </w:pPr>
    </w:p>
    <w:tbl>
      <w:tblPr>
        <w:tblW w:w="0" w:type="auto"/>
        <w:tblInd w:w="108" w:type="dxa"/>
        <w:shd w:val="clear" w:color="auto" w:fill="D9F3E6"/>
        <w:tblLook w:val="04A0" w:firstRow="1" w:lastRow="0" w:firstColumn="1" w:lastColumn="0" w:noHBand="0" w:noVBand="1"/>
      </w:tblPr>
      <w:tblGrid>
        <w:gridCol w:w="8931"/>
      </w:tblGrid>
      <w:tr w:rsidR="00043EED" w:rsidRPr="00E674AF" w14:paraId="16A11647" w14:textId="77777777" w:rsidTr="006516AE">
        <w:tc>
          <w:tcPr>
            <w:tcW w:w="8931" w:type="dxa"/>
            <w:shd w:val="clear" w:color="auto" w:fill="D9F3E6"/>
          </w:tcPr>
          <w:p w14:paraId="5040CF40" w14:textId="77777777" w:rsidR="00043EED" w:rsidRPr="009C39A3" w:rsidRDefault="00043EED" w:rsidP="00B401DA">
            <w:r w:rsidRPr="009C39A3">
              <w:t>Staff propose to recommend the Commission:</w:t>
            </w:r>
          </w:p>
          <w:p w14:paraId="615BB7A5" w14:textId="7F700964" w:rsidR="00043EED" w:rsidRPr="00E674AF" w:rsidRDefault="000C3B9A" w:rsidP="00577BAD">
            <w:pPr>
              <w:pStyle w:val="CGCBulletlist"/>
              <w:numPr>
                <w:ilvl w:val="0"/>
                <w:numId w:val="1"/>
              </w:numPr>
              <w:tabs>
                <w:tab w:val="clear" w:pos="927"/>
                <w:tab w:val="clear" w:pos="1134"/>
              </w:tabs>
              <w:ind w:left="1134" w:hanging="567"/>
            </w:pPr>
            <w:r>
              <w:t>l</w:t>
            </w:r>
            <w:r w:rsidR="00577BAD">
              <w:t xml:space="preserve">ook into the merits of </w:t>
            </w:r>
            <w:r w:rsidR="00043EED">
              <w:t xml:space="preserve">IRSEO+ as a better measure of Indigenous SES once this </w:t>
            </w:r>
            <w:r w:rsidR="00577BAD">
              <w:t xml:space="preserve">becomes </w:t>
            </w:r>
            <w:r w:rsidR="00043EED">
              <w:t>available.</w:t>
            </w:r>
          </w:p>
        </w:tc>
      </w:tr>
    </w:tbl>
    <w:p w14:paraId="3CE05365" w14:textId="77777777" w:rsidR="00DE1409" w:rsidRPr="00741FF2" w:rsidRDefault="00DE1409" w:rsidP="00DE1409">
      <w:pPr>
        <w:pStyle w:val="Heading4"/>
      </w:pPr>
      <w:bookmarkStart w:id="37" w:name="_Toc511732745"/>
      <w:r w:rsidRPr="00741FF2">
        <w:lastRenderedPageBreak/>
        <w:t>Other issues considered</w:t>
      </w:r>
      <w:r>
        <w:t xml:space="preserve"> and settled</w:t>
      </w:r>
      <w:bookmarkEnd w:id="37"/>
    </w:p>
    <w:p w14:paraId="04EC2CFA" w14:textId="77777777" w:rsidR="00DE1409" w:rsidRPr="00DE1409" w:rsidRDefault="00DE1409" w:rsidP="00DE1409">
      <w:pPr>
        <w:pStyle w:val="Heading5"/>
        <w:rPr>
          <w:rFonts w:eastAsiaTheme="minorHAnsi" w:cstheme="minorBidi"/>
          <w:color w:val="auto"/>
          <w:sz w:val="24"/>
        </w:rPr>
      </w:pPr>
      <w:r w:rsidRPr="00DE1409">
        <w:t>Service delivery scale</w:t>
      </w:r>
    </w:p>
    <w:p w14:paraId="738619C8" w14:textId="278CEEF3" w:rsidR="00941910" w:rsidRPr="00941910" w:rsidRDefault="00312D49" w:rsidP="00941910">
      <w:pPr>
        <w:pStyle w:val="CGCNumberedPara"/>
      </w:pPr>
      <w:r>
        <w:t xml:space="preserve">The </w:t>
      </w:r>
      <w:r w:rsidR="00941910" w:rsidRPr="00941910">
        <w:t xml:space="preserve">service delivery </w:t>
      </w:r>
      <w:r>
        <w:t xml:space="preserve">scale </w:t>
      </w:r>
      <w:r w:rsidR="000C3B9A">
        <w:t xml:space="preserve">(SDS) </w:t>
      </w:r>
      <w:r>
        <w:t xml:space="preserve">assessment </w:t>
      </w:r>
      <w:r w:rsidR="00941910" w:rsidRPr="00941910">
        <w:t xml:space="preserve">captures the impact of diseconomies of scale stemming from service provision being on a smaller scale in isolated areas than in more accessible areas. </w:t>
      </w:r>
    </w:p>
    <w:p w14:paraId="7A97F8E0" w14:textId="6F8AA73E" w:rsidR="00095315" w:rsidRDefault="00941640" w:rsidP="0024275F">
      <w:pPr>
        <w:pStyle w:val="CGCNumberedPara"/>
      </w:pPr>
      <w:r>
        <w:t xml:space="preserve">The Commission </w:t>
      </w:r>
      <w:r w:rsidR="00941910">
        <w:t>define</w:t>
      </w:r>
      <w:r>
        <w:t>s</w:t>
      </w:r>
      <w:r w:rsidR="00941910">
        <w:t xml:space="preserve"> </w:t>
      </w:r>
      <w:r w:rsidR="003E2816" w:rsidRPr="003E2816">
        <w:t xml:space="preserve">SDS areas </w:t>
      </w:r>
      <w:r w:rsidR="003E2816">
        <w:t xml:space="preserve">as those </w:t>
      </w:r>
      <w:r w:rsidR="003E2816" w:rsidRPr="003E2816">
        <w:t>more than 50 km from town</w:t>
      </w:r>
      <w:r w:rsidR="00FB25EF">
        <w:t>s</w:t>
      </w:r>
      <w:r w:rsidR="003E2816" w:rsidRPr="003E2816">
        <w:t xml:space="preserve"> of 5 000 people b</w:t>
      </w:r>
      <w:r w:rsidR="00557005">
        <w:t xml:space="preserve">ased on </w:t>
      </w:r>
      <w:r w:rsidR="003E2816" w:rsidRPr="003E2816">
        <w:t xml:space="preserve">analysis of Census data </w:t>
      </w:r>
      <w:r w:rsidR="00557005">
        <w:t xml:space="preserve">staffing patterns </w:t>
      </w:r>
      <w:r w:rsidR="003E2816" w:rsidRPr="003E2816">
        <w:t>for school and police services</w:t>
      </w:r>
      <w:r w:rsidR="00557005">
        <w:t xml:space="preserve">. </w:t>
      </w:r>
      <w:r w:rsidR="00095315">
        <w:t xml:space="preserve">ACARA data on fixed cost per school and average school size </w:t>
      </w:r>
      <w:r>
        <w:t xml:space="preserve">have been used </w:t>
      </w:r>
      <w:r w:rsidR="00095315">
        <w:t>to measure SDS in the Schools education category</w:t>
      </w:r>
      <w:r w:rsidR="00557005">
        <w:t xml:space="preserve"> and </w:t>
      </w:r>
      <w:r w:rsidR="00095315">
        <w:t>extrapolate</w:t>
      </w:r>
      <w:r>
        <w:t>d</w:t>
      </w:r>
      <w:r w:rsidR="00FB25EF">
        <w:t xml:space="preserve"> t</w:t>
      </w:r>
      <w:r w:rsidR="00095315">
        <w:t xml:space="preserve">o the Services to communities assessment. </w:t>
      </w:r>
      <w:r>
        <w:t>P</w:t>
      </w:r>
      <w:r w:rsidR="00095315">
        <w:t xml:space="preserve">olice staffing patterns </w:t>
      </w:r>
      <w:r>
        <w:t xml:space="preserve">have been used </w:t>
      </w:r>
      <w:r w:rsidR="00095315">
        <w:t>to measure SDS in police and extrapolate</w:t>
      </w:r>
      <w:r>
        <w:t>d</w:t>
      </w:r>
      <w:r w:rsidR="00095315">
        <w:t xml:space="preserve"> to courts and to family and child welfare services. </w:t>
      </w:r>
    </w:p>
    <w:p w14:paraId="3333A6E2" w14:textId="3C527AB0" w:rsidR="00A56DBD" w:rsidRPr="00A56DBD" w:rsidRDefault="00941640" w:rsidP="0024275F">
      <w:pPr>
        <w:pStyle w:val="CGCNumberedPara"/>
        <w:numPr>
          <w:ilvl w:val="1"/>
          <w:numId w:val="3"/>
        </w:numPr>
      </w:pPr>
      <w:r>
        <w:t xml:space="preserve">Staff </w:t>
      </w:r>
      <w:r w:rsidR="00557005">
        <w:t>acknowledge the conceptual simplification</w:t>
      </w:r>
      <w:r w:rsidR="0074765C">
        <w:t>s</w:t>
      </w:r>
      <w:r w:rsidR="00557005">
        <w:t xml:space="preserve"> in the assessment. However given the am</w:t>
      </w:r>
      <w:r w:rsidR="00312D49">
        <w:t xml:space="preserve">ount of GST redistributed </w:t>
      </w:r>
      <w:r w:rsidR="00557005">
        <w:t>(</w:t>
      </w:r>
      <w:r w:rsidR="0074765C">
        <w:t xml:space="preserve">see </w:t>
      </w:r>
      <w:r w:rsidR="00557005">
        <w:fldChar w:fldCharType="begin"/>
      </w:r>
      <w:r w:rsidR="00557005">
        <w:instrText xml:space="preserve"> REF _Ref322431260 \h </w:instrText>
      </w:r>
      <w:r w:rsidR="00557005">
        <w:fldChar w:fldCharType="separate"/>
      </w:r>
      <w:r w:rsidR="00777E11">
        <w:t xml:space="preserve">Table </w:t>
      </w:r>
      <w:r w:rsidR="00777E11">
        <w:rPr>
          <w:noProof/>
        </w:rPr>
        <w:t>1</w:t>
      </w:r>
      <w:r w:rsidR="00557005">
        <w:fldChar w:fldCharType="end"/>
      </w:r>
      <w:r w:rsidR="00557005">
        <w:t xml:space="preserve">) </w:t>
      </w:r>
      <w:r w:rsidR="00312D49">
        <w:t xml:space="preserve">is </w:t>
      </w:r>
      <w:r w:rsidR="00C526AD">
        <w:t>relatively small</w:t>
      </w:r>
      <w:r w:rsidR="00557005">
        <w:t xml:space="preserve">, any changes made would be </w:t>
      </w:r>
      <w:r w:rsidR="00475D35">
        <w:t xml:space="preserve">unlikely to materially improve </w:t>
      </w:r>
      <w:r w:rsidR="00FB25EF">
        <w:t xml:space="preserve">the </w:t>
      </w:r>
      <w:r w:rsidR="00475D35">
        <w:t>assessment even with significant incre</w:t>
      </w:r>
      <w:r w:rsidR="00557005">
        <w:t>ase in complexity.</w:t>
      </w:r>
      <w:r w:rsidR="00FB25EF">
        <w:t xml:space="preserve"> </w:t>
      </w:r>
      <w:r w:rsidR="007D4DCE">
        <w:t xml:space="preserve">For the </w:t>
      </w:r>
      <w:r w:rsidR="00C526AD">
        <w:t xml:space="preserve">2020 </w:t>
      </w:r>
      <w:r w:rsidR="00D9668C">
        <w:t>R</w:t>
      </w:r>
      <w:r w:rsidR="007D4DCE">
        <w:t xml:space="preserve">eview </w:t>
      </w:r>
      <w:r w:rsidR="00C526AD">
        <w:t xml:space="preserve">staff propose to </w:t>
      </w:r>
      <w:r w:rsidR="007D4DCE">
        <w:t xml:space="preserve">maintain the current methodology </w:t>
      </w:r>
      <w:r w:rsidR="00C526AD">
        <w:t>with updated data.</w:t>
      </w:r>
      <w:r w:rsidR="00FB25EF">
        <w:t xml:space="preserve"> </w:t>
      </w:r>
    </w:p>
    <w:p w14:paraId="5F95E92B" w14:textId="77777777" w:rsidR="00DE1409" w:rsidRDefault="00DE1409" w:rsidP="00DE1409">
      <w:pPr>
        <w:pStyle w:val="Heading5"/>
      </w:pPr>
      <w:r>
        <w:t>SEIFA</w:t>
      </w:r>
    </w:p>
    <w:p w14:paraId="151EF1E3" w14:textId="4E0075A9" w:rsidR="00DE1409" w:rsidRDefault="00C526AD" w:rsidP="00DE1409">
      <w:pPr>
        <w:pStyle w:val="CGCNumberedPara"/>
        <w:numPr>
          <w:ilvl w:val="1"/>
          <w:numId w:val="3"/>
        </w:numPr>
      </w:pPr>
      <w:r>
        <w:t xml:space="preserve">Staff consider </w:t>
      </w:r>
      <w:r w:rsidR="00A56DBD" w:rsidRPr="00524978">
        <w:t xml:space="preserve">SEIFA </w:t>
      </w:r>
      <w:r w:rsidR="0074765C">
        <w:t>i</w:t>
      </w:r>
      <w:r w:rsidR="00A56DBD" w:rsidRPr="00524978">
        <w:t xml:space="preserve">s the most appropriate area-based </w:t>
      </w:r>
      <w:r w:rsidR="0074765C">
        <w:t xml:space="preserve">SES </w:t>
      </w:r>
      <w:r w:rsidR="00A56DBD" w:rsidRPr="00524978">
        <w:t>measure</w:t>
      </w:r>
      <w:r w:rsidR="00A56DBD">
        <w:t xml:space="preserve"> </w:t>
      </w:r>
      <w:r w:rsidR="007D4DCE">
        <w:t xml:space="preserve">for the total population, </w:t>
      </w:r>
      <w:r w:rsidR="00501F30">
        <w:t xml:space="preserve">it is used in assessments which do not include data split </w:t>
      </w:r>
      <w:r w:rsidR="0074765C">
        <w:t>by I</w:t>
      </w:r>
      <w:r w:rsidR="007D4DCE">
        <w:t>ndigenous s</w:t>
      </w:r>
      <w:r w:rsidR="0074765C">
        <w:t>tatus</w:t>
      </w:r>
      <w:r w:rsidR="007D4DCE">
        <w:t>.</w:t>
      </w:r>
      <w:r w:rsidR="00A56DBD">
        <w:t xml:space="preserve"> </w:t>
      </w:r>
      <w:r w:rsidR="00FB25EF">
        <w:t xml:space="preserve">We </w:t>
      </w:r>
      <w:r>
        <w:t xml:space="preserve">propose to </w:t>
      </w:r>
      <w:r w:rsidR="00FB25EF">
        <w:t xml:space="preserve">continue to use SEIFA </w:t>
      </w:r>
      <w:r w:rsidR="007D4DCE">
        <w:t>for this purpose.</w:t>
      </w:r>
    </w:p>
    <w:p w14:paraId="5F324E15" w14:textId="77777777" w:rsidR="00DE1409" w:rsidRDefault="00DE1409" w:rsidP="00DE1409">
      <w:pPr>
        <w:pStyle w:val="Heading5"/>
      </w:pPr>
      <w:r>
        <w:t>NISEIFA</w:t>
      </w:r>
    </w:p>
    <w:p w14:paraId="27EA5372" w14:textId="7DDEAB0B" w:rsidR="007D4DCE" w:rsidRDefault="00C526AD" w:rsidP="0024275F">
      <w:pPr>
        <w:pStyle w:val="CGCNumberedPara"/>
        <w:numPr>
          <w:ilvl w:val="1"/>
          <w:numId w:val="3"/>
        </w:numPr>
      </w:pPr>
      <w:r>
        <w:t xml:space="preserve">Staff consider </w:t>
      </w:r>
      <w:r w:rsidR="00524978" w:rsidRPr="00524978">
        <w:t xml:space="preserve">NISEIFA </w:t>
      </w:r>
      <w:r w:rsidR="0074765C">
        <w:t>i</w:t>
      </w:r>
      <w:r w:rsidR="00524978" w:rsidRPr="00524978">
        <w:t xml:space="preserve">s the most appropriate area-based </w:t>
      </w:r>
      <w:r w:rsidR="0074765C">
        <w:t xml:space="preserve">SES </w:t>
      </w:r>
      <w:r w:rsidR="00524978" w:rsidRPr="00524978">
        <w:t>measure for the non</w:t>
      </w:r>
      <w:r w:rsidR="00AE419E">
        <w:noBreakHyphen/>
      </w:r>
      <w:r w:rsidR="00524978" w:rsidRPr="00524978">
        <w:t>Indigenous population.</w:t>
      </w:r>
      <w:r w:rsidR="00FB25EF">
        <w:t xml:space="preserve"> We </w:t>
      </w:r>
      <w:r>
        <w:t xml:space="preserve">propose to </w:t>
      </w:r>
      <w:r w:rsidR="00FB25EF">
        <w:t>continue to use NISEIFA</w:t>
      </w:r>
      <w:r w:rsidR="007D4DCE">
        <w:t xml:space="preserve"> for th</w:t>
      </w:r>
      <w:r w:rsidR="0074765C">
        <w:t>is purpose</w:t>
      </w:r>
      <w:r w:rsidR="007D4DCE">
        <w:t>.</w:t>
      </w:r>
    </w:p>
    <w:p w14:paraId="639011C1" w14:textId="77777777" w:rsidR="00A52113" w:rsidRDefault="00A52113" w:rsidP="00A52113">
      <w:pPr>
        <w:pStyle w:val="Heading5"/>
      </w:pPr>
      <w:r>
        <w:t>Interstate non-wage costs</w:t>
      </w:r>
    </w:p>
    <w:p w14:paraId="2906150C" w14:textId="6795918A" w:rsidR="00D27885" w:rsidRPr="00BD0898" w:rsidRDefault="00D27885" w:rsidP="00D00C3D">
      <w:pPr>
        <w:pStyle w:val="CGCNumberedPara"/>
        <w:numPr>
          <w:ilvl w:val="1"/>
          <w:numId w:val="3"/>
        </w:numPr>
      </w:pPr>
      <w:r w:rsidRPr="00BD0898">
        <w:t xml:space="preserve">In the 2015 Review, the Commission concluded </w:t>
      </w:r>
      <w:r w:rsidR="00B81D60">
        <w:t>‘</w:t>
      </w:r>
      <w:r w:rsidRPr="00BD0898">
        <w:t>that Perth is more isolated than … the larger capital cities of Sydney, Brisbane and Melbourne</w:t>
      </w:r>
      <w:r w:rsidR="00E3658D" w:rsidRPr="00BD0898">
        <w:t>. ..</w:t>
      </w:r>
      <w:r w:rsidRPr="00BD0898">
        <w:t>. Canberra is a much smaller city and not like other major cities in terms of production, manufacturing or importation.</w:t>
      </w:r>
      <w:r w:rsidR="00E3658D" w:rsidRPr="00BD0898">
        <w:t xml:space="preserve"> </w:t>
      </w:r>
      <w:r w:rsidRPr="00BD0898">
        <w:t>Hobart and Darwin have some attributes of capital cities, as well as some attributes of inner regional and outer regional areas respectively</w:t>
      </w:r>
      <w:r w:rsidR="00E3658D" w:rsidRPr="00BD0898">
        <w:t>.</w:t>
      </w:r>
      <w:r w:rsidR="00B81D60">
        <w:t>’</w:t>
      </w:r>
      <w:r w:rsidR="00E3658D" w:rsidRPr="00BD0898">
        <w:t xml:space="preserve"> In the absence of data on the cost implications of this, the Commi</w:t>
      </w:r>
      <w:r w:rsidR="003F5C45" w:rsidRPr="00BD0898">
        <w:t>s</w:t>
      </w:r>
      <w:r w:rsidR="00E3658D" w:rsidRPr="00BD0898">
        <w:t xml:space="preserve">sion </w:t>
      </w:r>
      <w:r w:rsidRPr="00BD0898">
        <w:t>made the following judgment based assessments:</w:t>
      </w:r>
      <w:r w:rsidR="002D6BC5" w:rsidRPr="002D6BC5">
        <w:rPr>
          <w:rStyle w:val="FootnoteReference"/>
        </w:rPr>
        <w:t xml:space="preserve"> </w:t>
      </w:r>
      <w:r w:rsidR="002D6BC5">
        <w:rPr>
          <w:rStyle w:val="FootnoteReference"/>
        </w:rPr>
        <w:footnoteReference w:id="5"/>
      </w:r>
    </w:p>
    <w:p w14:paraId="69623178" w14:textId="0B5A7721" w:rsidR="00D27885" w:rsidRPr="00BD0898" w:rsidRDefault="00D27885" w:rsidP="00D27885">
      <w:pPr>
        <w:pStyle w:val="CGCBulletlist"/>
        <w:numPr>
          <w:ilvl w:val="0"/>
          <w:numId w:val="1"/>
        </w:numPr>
        <w:tabs>
          <w:tab w:val="clear" w:pos="927"/>
        </w:tabs>
        <w:ind w:left="1134" w:hanging="567"/>
      </w:pPr>
      <w:r w:rsidRPr="00BD0898">
        <w:lastRenderedPageBreak/>
        <w:t xml:space="preserve">Western Australia </w:t>
      </w:r>
      <w:r w:rsidR="00FD3C73" w:rsidRPr="00BD0898">
        <w:t xml:space="preserve">– </w:t>
      </w:r>
      <w:r w:rsidRPr="00BD0898">
        <w:t>plus $70 million</w:t>
      </w:r>
    </w:p>
    <w:p w14:paraId="7710A6B3" w14:textId="77777777" w:rsidR="00D27885" w:rsidRPr="00BD0898" w:rsidRDefault="00D27885" w:rsidP="00D27885">
      <w:pPr>
        <w:pStyle w:val="CGCBulletlist"/>
        <w:numPr>
          <w:ilvl w:val="0"/>
          <w:numId w:val="1"/>
        </w:numPr>
        <w:tabs>
          <w:tab w:val="clear" w:pos="927"/>
        </w:tabs>
        <w:ind w:left="1134" w:hanging="567"/>
      </w:pPr>
      <w:r w:rsidRPr="00BD0898">
        <w:t>the ACT – plus $30 million</w:t>
      </w:r>
    </w:p>
    <w:p w14:paraId="54D826A0" w14:textId="77777777" w:rsidR="00D27885" w:rsidRPr="00BD0898" w:rsidRDefault="00D27885" w:rsidP="00D27885">
      <w:pPr>
        <w:pStyle w:val="CGCBulletlist"/>
        <w:numPr>
          <w:ilvl w:val="0"/>
          <w:numId w:val="1"/>
        </w:numPr>
        <w:tabs>
          <w:tab w:val="clear" w:pos="927"/>
        </w:tabs>
        <w:ind w:left="1134" w:hanging="567"/>
      </w:pPr>
      <w:r w:rsidRPr="00BD0898">
        <w:t>Tasmania – minus $30 million</w:t>
      </w:r>
    </w:p>
    <w:p w14:paraId="034E9CDF" w14:textId="2C534662" w:rsidR="00D27885" w:rsidRPr="00BD0898" w:rsidRDefault="00D27885" w:rsidP="00D27885">
      <w:pPr>
        <w:pStyle w:val="CGCBulletlist"/>
        <w:numPr>
          <w:ilvl w:val="0"/>
          <w:numId w:val="1"/>
        </w:numPr>
        <w:tabs>
          <w:tab w:val="clear" w:pos="927"/>
        </w:tabs>
        <w:ind w:left="1134" w:hanging="567"/>
      </w:pPr>
      <w:r w:rsidRPr="00BD0898">
        <w:t xml:space="preserve">the Northern Territory </w:t>
      </w:r>
      <w:r w:rsidR="00FD3C73" w:rsidRPr="00BD0898">
        <w:t xml:space="preserve">– </w:t>
      </w:r>
      <w:r w:rsidRPr="00BD0898">
        <w:t xml:space="preserve">minus $55 million. </w:t>
      </w:r>
    </w:p>
    <w:p w14:paraId="79E4DB31" w14:textId="6FFEADF1" w:rsidR="00E3658D" w:rsidRPr="00BD0898" w:rsidRDefault="00E3658D" w:rsidP="00A52113">
      <w:pPr>
        <w:pStyle w:val="CGCNumberedPara"/>
      </w:pPr>
      <w:r w:rsidRPr="00BD0898">
        <w:t xml:space="preserve">In this review, staff intend to recommend the continuation of these adjustments, with the same values, indexed from 2011-12 for growth in total State expenses. </w:t>
      </w:r>
    </w:p>
    <w:p w14:paraId="078F26A5" w14:textId="77777777" w:rsidR="00CB4FBF" w:rsidRPr="009C39A3" w:rsidRDefault="00CB4FBF" w:rsidP="009C39A3">
      <w:pPr>
        <w:pStyle w:val="NoSpacing"/>
      </w:pPr>
    </w:p>
    <w:tbl>
      <w:tblPr>
        <w:tblStyle w:val="TableGrid"/>
        <w:tblW w:w="0" w:type="auto"/>
        <w:tblLook w:val="04A0" w:firstRow="1" w:lastRow="0" w:firstColumn="1" w:lastColumn="0" w:noHBand="0" w:noVBand="1"/>
      </w:tblPr>
      <w:tblGrid>
        <w:gridCol w:w="9167"/>
      </w:tblGrid>
      <w:tr w:rsidR="00DE1409" w14:paraId="6CFB3AC9" w14:textId="77777777" w:rsidTr="00C85AB4">
        <w:tc>
          <w:tcPr>
            <w:tcW w:w="9167" w:type="dxa"/>
            <w:tcBorders>
              <w:top w:val="nil"/>
              <w:left w:val="nil"/>
              <w:bottom w:val="nil"/>
              <w:right w:val="nil"/>
            </w:tcBorders>
            <w:shd w:val="clear" w:color="auto" w:fill="D9F3E6"/>
          </w:tcPr>
          <w:p w14:paraId="19CA2D8F" w14:textId="77777777" w:rsidR="001573A0" w:rsidRPr="00B401DA" w:rsidRDefault="00DE1409" w:rsidP="009C39A3">
            <w:r w:rsidRPr="00B401DA">
              <w:t>Staff propose to recommend the Commission</w:t>
            </w:r>
            <w:r w:rsidR="00187435" w:rsidRPr="00B401DA">
              <w:t>:</w:t>
            </w:r>
          </w:p>
          <w:p w14:paraId="7C428177" w14:textId="77777777" w:rsidR="001573A0" w:rsidRDefault="00187435" w:rsidP="001573A0">
            <w:pPr>
              <w:pStyle w:val="CGCBulletlist"/>
            </w:pPr>
            <w:r>
              <w:t xml:space="preserve">continue to use </w:t>
            </w:r>
            <w:r w:rsidR="001573A0">
              <w:t xml:space="preserve">SEIFA and NISEIFA </w:t>
            </w:r>
            <w:r w:rsidR="009E7A06">
              <w:t>f</w:t>
            </w:r>
            <w:r w:rsidR="001573A0">
              <w:t>or the total and non-</w:t>
            </w:r>
            <w:r w:rsidR="008C3D6C">
              <w:t>Indigenous</w:t>
            </w:r>
            <w:r w:rsidR="001573A0">
              <w:t xml:space="preserve"> population, respectively</w:t>
            </w:r>
          </w:p>
          <w:p w14:paraId="1E6DAD1E" w14:textId="77777777" w:rsidR="00DE1409" w:rsidRDefault="00187435" w:rsidP="001573A0">
            <w:pPr>
              <w:pStyle w:val="CGCBulletlist"/>
            </w:pPr>
            <w:r>
              <w:t xml:space="preserve">maintain 2015 methods for </w:t>
            </w:r>
            <w:r w:rsidR="001573A0">
              <w:t>S</w:t>
            </w:r>
            <w:r w:rsidR="0074765C">
              <w:t>ervice delivery scale</w:t>
            </w:r>
          </w:p>
          <w:p w14:paraId="7097072D" w14:textId="77777777" w:rsidR="00DE1409" w:rsidRDefault="00187435" w:rsidP="00577BAD">
            <w:pPr>
              <w:pStyle w:val="CGCBulletlist"/>
              <w:numPr>
                <w:ilvl w:val="0"/>
                <w:numId w:val="1"/>
              </w:numPr>
              <w:tabs>
                <w:tab w:val="clear" w:pos="927"/>
              </w:tabs>
              <w:ind w:left="1134" w:hanging="567"/>
            </w:pPr>
            <w:r>
              <w:t xml:space="preserve">maintain 2015 methods to measure </w:t>
            </w:r>
            <w:r w:rsidR="00577BAD">
              <w:t>I</w:t>
            </w:r>
            <w:r w:rsidR="001573A0">
              <w:t>nterstate non-wage costs.</w:t>
            </w:r>
          </w:p>
        </w:tc>
      </w:tr>
    </w:tbl>
    <w:p w14:paraId="7D0B3185" w14:textId="77777777" w:rsidR="00B7517F" w:rsidRDefault="00B7517F" w:rsidP="00C70498">
      <w:pPr>
        <w:pStyle w:val="Heading3"/>
      </w:pPr>
      <w:bookmarkStart w:id="38" w:name="_Toc511732746"/>
      <w:r>
        <w:t>Conclusion and way forward</w:t>
      </w:r>
      <w:bookmarkEnd w:id="38"/>
    </w:p>
    <w:p w14:paraId="3177A8F0" w14:textId="159C221E" w:rsidR="00E11768" w:rsidRDefault="00E11768" w:rsidP="00E11768">
      <w:pPr>
        <w:pStyle w:val="CGCNumberedPara"/>
      </w:pPr>
      <w:r>
        <w:t xml:space="preserve">In conclusion, staff consider that </w:t>
      </w:r>
      <w:r w:rsidR="00501F30">
        <w:t>no change should be made to the use and maintenance of the geographical classifications of:</w:t>
      </w:r>
    </w:p>
    <w:p w14:paraId="5698CF23" w14:textId="77777777" w:rsidR="00E11768" w:rsidRDefault="008F5651" w:rsidP="00E11768">
      <w:pPr>
        <w:pStyle w:val="CGCBulletlist"/>
      </w:pPr>
      <w:r>
        <w:t>Remoteness areas</w:t>
      </w:r>
    </w:p>
    <w:p w14:paraId="3F4F4449" w14:textId="77777777" w:rsidR="008F5651" w:rsidRDefault="008F5651" w:rsidP="00E11768">
      <w:pPr>
        <w:pStyle w:val="CGCBulletlist"/>
      </w:pPr>
      <w:r>
        <w:t>SEIFA</w:t>
      </w:r>
    </w:p>
    <w:p w14:paraId="5EFB84CD" w14:textId="77777777" w:rsidR="008F5651" w:rsidRDefault="008F5651" w:rsidP="00E11768">
      <w:pPr>
        <w:pStyle w:val="CGCBulletlist"/>
      </w:pPr>
      <w:r>
        <w:t>NISEIFA.</w:t>
      </w:r>
    </w:p>
    <w:p w14:paraId="722295F8" w14:textId="21D5A33B" w:rsidR="008F5651" w:rsidRDefault="008F5651" w:rsidP="00E11768">
      <w:pPr>
        <w:pStyle w:val="CGCNumberedPara"/>
      </w:pPr>
      <w:r>
        <w:t xml:space="preserve">IRSEO+ </w:t>
      </w:r>
      <w:r w:rsidR="00E3658D">
        <w:t xml:space="preserve">should be </w:t>
      </w:r>
      <w:r w:rsidR="00501F30">
        <w:t xml:space="preserve">developed and </w:t>
      </w:r>
      <w:r w:rsidR="00E3658D">
        <w:t xml:space="preserve">investigated, with State consultation, to test whether it better proxies the relationship between Indigenous heterogeneity and State spending. </w:t>
      </w:r>
    </w:p>
    <w:p w14:paraId="33E041B5" w14:textId="7E56D526" w:rsidR="008F5651" w:rsidRDefault="008F5651" w:rsidP="00E11768">
      <w:pPr>
        <w:pStyle w:val="CGCNumberedPara"/>
      </w:pPr>
      <w:r>
        <w:t xml:space="preserve">The </w:t>
      </w:r>
      <w:r w:rsidR="00E11768">
        <w:t xml:space="preserve">assessment of </w:t>
      </w:r>
      <w:r w:rsidR="000C3B9A">
        <w:t>r</w:t>
      </w:r>
      <w:r w:rsidR="00E11768">
        <w:t xml:space="preserve">egional costs could be </w:t>
      </w:r>
      <w:r>
        <w:t>improved by broadening the categories for which regional costs</w:t>
      </w:r>
      <w:r w:rsidR="00540BF6">
        <w:t xml:space="preserve"> are directly calculated</w:t>
      </w:r>
      <w:r>
        <w:t>.</w:t>
      </w:r>
    </w:p>
    <w:p w14:paraId="3D4584E9" w14:textId="109063A6" w:rsidR="00E07621" w:rsidRPr="00E07621" w:rsidRDefault="00E11768" w:rsidP="00E07621">
      <w:pPr>
        <w:pStyle w:val="CGCNumberedPara"/>
      </w:pPr>
      <w:r>
        <w:t xml:space="preserve">The assessment </w:t>
      </w:r>
      <w:r w:rsidR="00D9668C">
        <w:t>of</w:t>
      </w:r>
      <w:r>
        <w:t xml:space="preserve"> Service delivery scale would remain the same as in the 2015 </w:t>
      </w:r>
      <w:r w:rsidR="00D9668C">
        <w:t>R</w:t>
      </w:r>
      <w:r>
        <w:t>eview.</w:t>
      </w:r>
    </w:p>
    <w:p w14:paraId="2F08B56A" w14:textId="77777777" w:rsidR="00E07621" w:rsidRDefault="00E07621" w:rsidP="00131E07">
      <w:pPr>
        <w:pStyle w:val="Heading4"/>
      </w:pPr>
      <w:bookmarkStart w:id="39" w:name="_Toc511732747"/>
      <w:r>
        <w:t>Data / information sought from States</w:t>
      </w:r>
      <w:bookmarkEnd w:id="39"/>
    </w:p>
    <w:p w14:paraId="1922F69D" w14:textId="334B17BC" w:rsidR="00B048F1" w:rsidRDefault="00E3658D" w:rsidP="008C3D6C">
      <w:pPr>
        <w:pStyle w:val="CGCNumberedPara"/>
        <w:sectPr w:rsidR="00B048F1" w:rsidSect="003E08F3">
          <w:footerReference w:type="first" r:id="rId22"/>
          <w:pgSz w:w="11899" w:h="16838" w:code="9"/>
          <w:pgMar w:top="1701" w:right="1474" w:bottom="1701" w:left="1474" w:header="709" w:footer="709" w:gutter="0"/>
          <w:pgNumType w:start="1"/>
          <w:cols w:space="708"/>
          <w:titlePg/>
          <w:docGrid w:linePitch="299"/>
        </w:sectPr>
      </w:pPr>
      <w:r>
        <w:t xml:space="preserve">Data from States able to allocate spending to geographic regions will be sought </w:t>
      </w:r>
      <w:r w:rsidR="00AF7DF2">
        <w:t xml:space="preserve">in </w:t>
      </w:r>
      <w:r w:rsidR="00501F30">
        <w:t xml:space="preserve">May </w:t>
      </w:r>
      <w:r w:rsidR="00AF7DF2">
        <w:t xml:space="preserve">this year </w:t>
      </w:r>
      <w:r>
        <w:t xml:space="preserve">to validate the </w:t>
      </w:r>
      <w:r w:rsidR="00584638">
        <w:t xml:space="preserve">extrapolation of </w:t>
      </w:r>
      <w:r w:rsidR="00E56D8A">
        <w:t xml:space="preserve">regional cost gradients </w:t>
      </w:r>
      <w:r w:rsidR="00584638">
        <w:t xml:space="preserve">to assessments where it is not directly measured. </w:t>
      </w:r>
      <w:bookmarkStart w:id="40" w:name="_Ref506820190"/>
      <w:bookmarkEnd w:id="6"/>
      <w:bookmarkEnd w:id="7"/>
      <w:bookmarkEnd w:id="8"/>
      <w:bookmarkEnd w:id="9"/>
      <w:bookmarkEnd w:id="10"/>
      <w:bookmarkEnd w:id="11"/>
      <w:bookmarkEnd w:id="12"/>
      <w:bookmarkEnd w:id="13"/>
    </w:p>
    <w:p w14:paraId="54C1282F" w14:textId="67CEA4E8" w:rsidR="00804315" w:rsidRDefault="00DC6C65" w:rsidP="00D00C3D">
      <w:pPr>
        <w:pStyle w:val="Heading3"/>
      </w:pPr>
      <w:bookmarkStart w:id="41" w:name="_Ref508200569"/>
      <w:bookmarkStart w:id="42" w:name="_Toc511732748"/>
      <w:r>
        <w:lastRenderedPageBreak/>
        <w:t>A</w:t>
      </w:r>
      <w:r w:rsidR="006802F8">
        <w:t>ttachmen</w:t>
      </w:r>
      <w:r>
        <w:t>t A</w:t>
      </w:r>
      <w:bookmarkEnd w:id="40"/>
      <w:bookmarkEnd w:id="41"/>
      <w:r>
        <w:tab/>
      </w:r>
      <w:r w:rsidR="00804315">
        <w:tab/>
        <w:t>SEIFA/NISEIFA and IRSEO variables</w:t>
      </w:r>
      <w:bookmarkEnd w:id="42"/>
    </w:p>
    <w:tbl>
      <w:tblPr>
        <w:tblW w:w="8980" w:type="dxa"/>
        <w:tblInd w:w="108" w:type="dxa"/>
        <w:tblLook w:val="04A0" w:firstRow="1" w:lastRow="0" w:firstColumn="1" w:lastColumn="0" w:noHBand="0" w:noVBand="1"/>
      </w:tblPr>
      <w:tblGrid>
        <w:gridCol w:w="1276"/>
        <w:gridCol w:w="3827"/>
        <w:gridCol w:w="3877"/>
      </w:tblGrid>
      <w:tr w:rsidR="008F55A7" w:rsidRPr="008F55A7" w14:paraId="0B102F63" w14:textId="77777777" w:rsidTr="00D00C3D">
        <w:trPr>
          <w:trHeight w:val="315"/>
        </w:trPr>
        <w:tc>
          <w:tcPr>
            <w:tcW w:w="1276" w:type="dxa"/>
            <w:tcBorders>
              <w:top w:val="single" w:sz="8" w:space="0" w:color="auto"/>
              <w:left w:val="nil"/>
              <w:bottom w:val="single" w:sz="8" w:space="0" w:color="auto"/>
              <w:right w:val="nil"/>
            </w:tcBorders>
            <w:shd w:val="clear" w:color="auto" w:fill="auto"/>
            <w:hideMark/>
          </w:tcPr>
          <w:p w14:paraId="38FD6FB4"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Category</w:t>
            </w:r>
          </w:p>
        </w:tc>
        <w:tc>
          <w:tcPr>
            <w:tcW w:w="3827" w:type="dxa"/>
            <w:tcBorders>
              <w:top w:val="single" w:sz="8" w:space="0" w:color="auto"/>
              <w:left w:val="nil"/>
              <w:bottom w:val="single" w:sz="8" w:space="0" w:color="auto"/>
              <w:right w:val="nil"/>
            </w:tcBorders>
            <w:shd w:val="clear" w:color="auto" w:fill="auto"/>
            <w:hideMark/>
          </w:tcPr>
          <w:p w14:paraId="6DB32AF3" w14:textId="77777777" w:rsidR="008F55A7" w:rsidRPr="008F55A7" w:rsidRDefault="008F55A7" w:rsidP="00547390">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SEIFA (IRSD) variables</w:t>
            </w:r>
          </w:p>
        </w:tc>
        <w:tc>
          <w:tcPr>
            <w:tcW w:w="3877" w:type="dxa"/>
            <w:tcBorders>
              <w:top w:val="single" w:sz="8" w:space="0" w:color="auto"/>
              <w:left w:val="nil"/>
              <w:bottom w:val="single" w:sz="8" w:space="0" w:color="auto"/>
              <w:right w:val="nil"/>
            </w:tcBorders>
            <w:shd w:val="clear" w:color="auto" w:fill="auto"/>
            <w:hideMark/>
          </w:tcPr>
          <w:p w14:paraId="0D838EF6" w14:textId="77777777" w:rsidR="008F55A7" w:rsidRPr="008F55A7" w:rsidRDefault="008F55A7" w:rsidP="00547390">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IRSEO variables</w:t>
            </w:r>
          </w:p>
        </w:tc>
      </w:tr>
      <w:tr w:rsidR="008F55A7" w:rsidRPr="008F55A7" w14:paraId="22C4D51C" w14:textId="77777777" w:rsidTr="00D00C3D">
        <w:trPr>
          <w:trHeight w:val="900"/>
        </w:trPr>
        <w:tc>
          <w:tcPr>
            <w:tcW w:w="1276" w:type="dxa"/>
            <w:tcBorders>
              <w:top w:val="nil"/>
              <w:left w:val="nil"/>
              <w:bottom w:val="nil"/>
              <w:right w:val="nil"/>
            </w:tcBorders>
            <w:shd w:val="clear" w:color="auto" w:fill="auto"/>
            <w:hideMark/>
          </w:tcPr>
          <w:p w14:paraId="06F6AF67"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Income</w:t>
            </w:r>
          </w:p>
        </w:tc>
        <w:tc>
          <w:tcPr>
            <w:tcW w:w="3827" w:type="dxa"/>
            <w:tcBorders>
              <w:top w:val="nil"/>
              <w:left w:val="nil"/>
              <w:bottom w:val="nil"/>
              <w:right w:val="nil"/>
            </w:tcBorders>
            <w:shd w:val="clear" w:color="auto" w:fill="auto"/>
            <w:hideMark/>
          </w:tcPr>
          <w:p w14:paraId="40B3AC01"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with stated annual household equivalised income between $1 and $20,799 (approx. 1st and 2nd deciles)</w:t>
            </w:r>
          </w:p>
        </w:tc>
        <w:tc>
          <w:tcPr>
            <w:tcW w:w="3877" w:type="dxa"/>
            <w:tcBorders>
              <w:top w:val="nil"/>
              <w:left w:val="nil"/>
              <w:bottom w:val="nil"/>
              <w:right w:val="nil"/>
            </w:tcBorders>
            <w:shd w:val="clear" w:color="auto" w:fill="auto"/>
            <w:hideMark/>
          </w:tcPr>
          <w:p w14:paraId="47DA74EF"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with an individual income above half the Australian median</w:t>
            </w:r>
          </w:p>
        </w:tc>
      </w:tr>
      <w:tr w:rsidR="008F55A7" w:rsidRPr="008F55A7" w14:paraId="0672A72C" w14:textId="77777777" w:rsidTr="00D00C3D">
        <w:trPr>
          <w:trHeight w:val="900"/>
        </w:trPr>
        <w:tc>
          <w:tcPr>
            <w:tcW w:w="1276" w:type="dxa"/>
            <w:tcBorders>
              <w:top w:val="nil"/>
              <w:left w:val="nil"/>
              <w:bottom w:val="nil"/>
              <w:right w:val="nil"/>
            </w:tcBorders>
            <w:shd w:val="clear" w:color="000000" w:fill="F2F2F2"/>
            <w:hideMark/>
          </w:tcPr>
          <w:p w14:paraId="7430564E"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Education</w:t>
            </w:r>
          </w:p>
        </w:tc>
        <w:tc>
          <w:tcPr>
            <w:tcW w:w="3827" w:type="dxa"/>
            <w:tcBorders>
              <w:top w:val="nil"/>
              <w:left w:val="nil"/>
              <w:bottom w:val="nil"/>
              <w:right w:val="nil"/>
            </w:tcBorders>
            <w:shd w:val="clear" w:color="000000" w:fill="F2F2F2"/>
            <w:hideMark/>
          </w:tcPr>
          <w:p w14:paraId="7D6BE4F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aged 15 years and over whose highest level of education is Year 11 or lower (Includes Certificate I and II)</w:t>
            </w:r>
          </w:p>
        </w:tc>
        <w:tc>
          <w:tcPr>
            <w:tcW w:w="3877" w:type="dxa"/>
            <w:tcBorders>
              <w:top w:val="nil"/>
              <w:left w:val="nil"/>
              <w:bottom w:val="nil"/>
              <w:right w:val="nil"/>
            </w:tcBorders>
            <w:shd w:val="clear" w:color="000000" w:fill="F2F2F2"/>
            <w:hideMark/>
          </w:tcPr>
          <w:p w14:paraId="2F3B066F"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who have completed Year 12</w:t>
            </w:r>
          </w:p>
        </w:tc>
      </w:tr>
      <w:tr w:rsidR="008F55A7" w:rsidRPr="008F55A7" w14:paraId="47895A19" w14:textId="77777777" w:rsidTr="00D00C3D">
        <w:trPr>
          <w:trHeight w:val="615"/>
        </w:trPr>
        <w:tc>
          <w:tcPr>
            <w:tcW w:w="1276" w:type="dxa"/>
            <w:tcBorders>
              <w:top w:val="nil"/>
              <w:left w:val="nil"/>
              <w:bottom w:val="nil"/>
              <w:right w:val="nil"/>
            </w:tcBorders>
            <w:shd w:val="clear" w:color="auto" w:fill="auto"/>
            <w:noWrap/>
            <w:hideMark/>
          </w:tcPr>
          <w:p w14:paraId="7783E41A"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c>
          <w:tcPr>
            <w:tcW w:w="3827" w:type="dxa"/>
            <w:tcBorders>
              <w:top w:val="nil"/>
              <w:left w:val="nil"/>
              <w:bottom w:val="nil"/>
              <w:right w:val="nil"/>
            </w:tcBorders>
            <w:shd w:val="clear" w:color="auto" w:fill="auto"/>
            <w:hideMark/>
          </w:tcPr>
          <w:p w14:paraId="19D29E3A"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aged 15 years and over who have no educational attainment</w:t>
            </w:r>
          </w:p>
        </w:tc>
        <w:tc>
          <w:tcPr>
            <w:tcW w:w="3877" w:type="dxa"/>
            <w:tcBorders>
              <w:top w:val="nil"/>
              <w:left w:val="nil"/>
              <w:bottom w:val="nil"/>
              <w:right w:val="nil"/>
            </w:tcBorders>
            <w:shd w:val="clear" w:color="auto" w:fill="auto"/>
            <w:hideMark/>
          </w:tcPr>
          <w:p w14:paraId="400CD663"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to 24 years old attending an educational institution</w:t>
            </w:r>
          </w:p>
        </w:tc>
      </w:tr>
      <w:tr w:rsidR="008F55A7" w:rsidRPr="008F55A7" w14:paraId="743D5392" w14:textId="77777777" w:rsidTr="00D00C3D">
        <w:trPr>
          <w:trHeight w:val="615"/>
        </w:trPr>
        <w:tc>
          <w:tcPr>
            <w:tcW w:w="1276" w:type="dxa"/>
            <w:tcBorders>
              <w:top w:val="nil"/>
              <w:left w:val="nil"/>
              <w:bottom w:val="nil"/>
              <w:right w:val="nil"/>
            </w:tcBorders>
            <w:shd w:val="clear" w:color="000000" w:fill="F2F2F2"/>
            <w:noWrap/>
            <w:hideMark/>
          </w:tcPr>
          <w:p w14:paraId="7B524B84"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27" w:type="dxa"/>
            <w:tcBorders>
              <w:top w:val="nil"/>
              <w:left w:val="nil"/>
              <w:bottom w:val="nil"/>
              <w:right w:val="nil"/>
            </w:tcBorders>
            <w:shd w:val="clear" w:color="000000" w:fill="F2F2F2"/>
            <w:hideMark/>
          </w:tcPr>
          <w:p w14:paraId="1F281060"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77" w:type="dxa"/>
            <w:tcBorders>
              <w:top w:val="nil"/>
              <w:left w:val="nil"/>
              <w:bottom w:val="nil"/>
              <w:right w:val="nil"/>
            </w:tcBorders>
            <w:shd w:val="clear" w:color="000000" w:fill="F2F2F2"/>
            <w:hideMark/>
          </w:tcPr>
          <w:p w14:paraId="5F08EB7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who have completed a qualification</w:t>
            </w:r>
          </w:p>
        </w:tc>
      </w:tr>
      <w:tr w:rsidR="008F55A7" w:rsidRPr="008F55A7" w14:paraId="76625DB9" w14:textId="77777777" w:rsidTr="00D00C3D">
        <w:trPr>
          <w:trHeight w:val="345"/>
        </w:trPr>
        <w:tc>
          <w:tcPr>
            <w:tcW w:w="1276" w:type="dxa"/>
            <w:tcBorders>
              <w:top w:val="nil"/>
              <w:left w:val="nil"/>
              <w:bottom w:val="nil"/>
              <w:right w:val="nil"/>
            </w:tcBorders>
            <w:shd w:val="clear" w:color="auto" w:fill="auto"/>
            <w:hideMark/>
          </w:tcPr>
          <w:p w14:paraId="6FBBFC1A"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Labour force</w:t>
            </w:r>
          </w:p>
        </w:tc>
        <w:tc>
          <w:tcPr>
            <w:tcW w:w="3827" w:type="dxa"/>
            <w:tcBorders>
              <w:top w:val="nil"/>
              <w:left w:val="nil"/>
              <w:bottom w:val="nil"/>
              <w:right w:val="nil"/>
            </w:tcBorders>
            <w:shd w:val="clear" w:color="auto" w:fill="auto"/>
            <w:hideMark/>
          </w:tcPr>
          <w:p w14:paraId="19C35939"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(in the labour force) unemployed</w:t>
            </w:r>
          </w:p>
        </w:tc>
        <w:tc>
          <w:tcPr>
            <w:tcW w:w="3877" w:type="dxa"/>
            <w:tcBorders>
              <w:top w:val="nil"/>
              <w:left w:val="nil"/>
              <w:bottom w:val="nil"/>
              <w:right w:val="nil"/>
            </w:tcBorders>
            <w:shd w:val="clear" w:color="auto" w:fill="auto"/>
            <w:hideMark/>
          </w:tcPr>
          <w:p w14:paraId="7642A935"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employed</w:t>
            </w:r>
          </w:p>
        </w:tc>
      </w:tr>
      <w:tr w:rsidR="008F55A7" w:rsidRPr="008F55A7" w14:paraId="49BDFC0D" w14:textId="77777777" w:rsidTr="00D00C3D">
        <w:trPr>
          <w:trHeight w:val="615"/>
        </w:trPr>
        <w:tc>
          <w:tcPr>
            <w:tcW w:w="1276" w:type="dxa"/>
            <w:tcBorders>
              <w:top w:val="nil"/>
              <w:left w:val="nil"/>
              <w:bottom w:val="nil"/>
              <w:right w:val="nil"/>
            </w:tcBorders>
            <w:shd w:val="clear" w:color="000000" w:fill="F2F2F2"/>
            <w:hideMark/>
          </w:tcPr>
          <w:p w14:paraId="36B26BA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Occupation</w:t>
            </w:r>
          </w:p>
        </w:tc>
        <w:tc>
          <w:tcPr>
            <w:tcW w:w="3827" w:type="dxa"/>
            <w:tcBorders>
              <w:top w:val="nil"/>
              <w:left w:val="nil"/>
              <w:bottom w:val="nil"/>
              <w:right w:val="nil"/>
            </w:tcBorders>
            <w:shd w:val="clear" w:color="000000" w:fill="F2F2F2"/>
            <w:hideMark/>
          </w:tcPr>
          <w:p w14:paraId="75D7EF34"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Employed people classified as 'labourers'</w:t>
            </w:r>
          </w:p>
        </w:tc>
        <w:tc>
          <w:tcPr>
            <w:tcW w:w="3877" w:type="dxa"/>
            <w:tcBorders>
              <w:top w:val="nil"/>
              <w:left w:val="nil"/>
              <w:bottom w:val="nil"/>
              <w:right w:val="nil"/>
            </w:tcBorders>
            <w:shd w:val="clear" w:color="000000" w:fill="F2F2F2"/>
            <w:hideMark/>
          </w:tcPr>
          <w:p w14:paraId="7800976C"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employed as a manager or professional</w:t>
            </w:r>
          </w:p>
        </w:tc>
      </w:tr>
      <w:tr w:rsidR="008F55A7" w:rsidRPr="008F55A7" w14:paraId="5B58AD7D" w14:textId="77777777" w:rsidTr="00D00C3D">
        <w:trPr>
          <w:trHeight w:val="615"/>
        </w:trPr>
        <w:tc>
          <w:tcPr>
            <w:tcW w:w="1276" w:type="dxa"/>
            <w:tcBorders>
              <w:top w:val="nil"/>
              <w:left w:val="nil"/>
              <w:bottom w:val="nil"/>
              <w:right w:val="nil"/>
            </w:tcBorders>
            <w:shd w:val="clear" w:color="auto" w:fill="auto"/>
            <w:noWrap/>
            <w:hideMark/>
          </w:tcPr>
          <w:p w14:paraId="187B5544"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c>
          <w:tcPr>
            <w:tcW w:w="3827" w:type="dxa"/>
            <w:tcBorders>
              <w:top w:val="nil"/>
              <w:left w:val="nil"/>
              <w:bottom w:val="nil"/>
              <w:right w:val="nil"/>
            </w:tcBorders>
            <w:shd w:val="clear" w:color="auto" w:fill="auto"/>
            <w:hideMark/>
          </w:tcPr>
          <w:p w14:paraId="4E82E3AD"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Employed people classified as Machinery Operators and Drivers</w:t>
            </w:r>
          </w:p>
        </w:tc>
        <w:tc>
          <w:tcPr>
            <w:tcW w:w="3877" w:type="dxa"/>
            <w:tcBorders>
              <w:top w:val="nil"/>
              <w:left w:val="nil"/>
              <w:bottom w:val="nil"/>
              <w:right w:val="nil"/>
            </w:tcBorders>
            <w:shd w:val="clear" w:color="auto" w:fill="auto"/>
            <w:hideMark/>
          </w:tcPr>
          <w:p w14:paraId="0E6532C0"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15 years and over employed full-time in the private sector</w:t>
            </w:r>
          </w:p>
        </w:tc>
      </w:tr>
      <w:tr w:rsidR="008F55A7" w:rsidRPr="008F55A7" w14:paraId="5DB6E86B" w14:textId="77777777" w:rsidTr="00D00C3D">
        <w:trPr>
          <w:trHeight w:val="900"/>
        </w:trPr>
        <w:tc>
          <w:tcPr>
            <w:tcW w:w="1276" w:type="dxa"/>
            <w:tcBorders>
              <w:top w:val="nil"/>
              <w:left w:val="nil"/>
              <w:bottom w:val="nil"/>
              <w:right w:val="nil"/>
            </w:tcBorders>
            <w:shd w:val="clear" w:color="000000" w:fill="F2F2F2"/>
            <w:noWrap/>
            <w:hideMark/>
          </w:tcPr>
          <w:p w14:paraId="74048806"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27" w:type="dxa"/>
            <w:tcBorders>
              <w:top w:val="nil"/>
              <w:left w:val="nil"/>
              <w:bottom w:val="nil"/>
              <w:right w:val="nil"/>
            </w:tcBorders>
            <w:shd w:val="clear" w:color="000000" w:fill="F2F2F2"/>
            <w:hideMark/>
          </w:tcPr>
          <w:p w14:paraId="6CE3326E"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Employed people classified as Low Skill Community and Personal Service Workers</w:t>
            </w:r>
          </w:p>
        </w:tc>
        <w:tc>
          <w:tcPr>
            <w:tcW w:w="3877" w:type="dxa"/>
            <w:tcBorders>
              <w:top w:val="nil"/>
              <w:left w:val="nil"/>
              <w:bottom w:val="nil"/>
              <w:right w:val="nil"/>
            </w:tcBorders>
            <w:shd w:val="clear" w:color="000000" w:fill="F2F2F2"/>
            <w:hideMark/>
          </w:tcPr>
          <w:p w14:paraId="6312A7A9" w14:textId="574E65C2"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10D0B363" w14:textId="77777777" w:rsidTr="00D00C3D">
        <w:trPr>
          <w:trHeight w:val="900"/>
        </w:trPr>
        <w:tc>
          <w:tcPr>
            <w:tcW w:w="1276" w:type="dxa"/>
            <w:tcBorders>
              <w:top w:val="nil"/>
              <w:left w:val="nil"/>
              <w:bottom w:val="nil"/>
              <w:right w:val="nil"/>
            </w:tcBorders>
            <w:shd w:val="clear" w:color="auto" w:fill="auto"/>
            <w:hideMark/>
          </w:tcPr>
          <w:p w14:paraId="4CFF2B89"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Housing costs</w:t>
            </w:r>
          </w:p>
        </w:tc>
        <w:tc>
          <w:tcPr>
            <w:tcW w:w="3827" w:type="dxa"/>
            <w:tcBorders>
              <w:top w:val="nil"/>
              <w:left w:val="nil"/>
              <w:bottom w:val="nil"/>
              <w:right w:val="nil"/>
            </w:tcBorders>
            <w:shd w:val="clear" w:color="auto" w:fill="auto"/>
            <w:hideMark/>
          </w:tcPr>
          <w:p w14:paraId="7435F85D" w14:textId="4B6452FA" w:rsidR="008F55A7" w:rsidRPr="008F55A7" w:rsidRDefault="008F55A7" w:rsidP="00BA2E60">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xml:space="preserve">Occupied private dwellings paying rent </w:t>
            </w:r>
            <w:r w:rsidR="00BA2E60">
              <w:rPr>
                <w:rFonts w:ascii="Calibri" w:eastAsia="Times New Roman" w:hAnsi="Calibri" w:cs="Calibri"/>
                <w:color w:val="000000"/>
                <w:sz w:val="22"/>
                <w:lang w:eastAsia="en-AU"/>
              </w:rPr>
              <w:t>of $1-</w:t>
            </w:r>
            <w:r w:rsidRPr="008F55A7">
              <w:rPr>
                <w:rFonts w:ascii="Calibri" w:eastAsia="Times New Roman" w:hAnsi="Calibri" w:cs="Calibri"/>
                <w:color w:val="000000"/>
                <w:sz w:val="22"/>
                <w:lang w:eastAsia="en-AU"/>
              </w:rPr>
              <w:t xml:space="preserve"> $166 per week </w:t>
            </w:r>
          </w:p>
        </w:tc>
        <w:tc>
          <w:tcPr>
            <w:tcW w:w="3877" w:type="dxa"/>
            <w:tcBorders>
              <w:top w:val="nil"/>
              <w:left w:val="nil"/>
              <w:bottom w:val="nil"/>
              <w:right w:val="nil"/>
            </w:tcBorders>
            <w:shd w:val="clear" w:color="auto" w:fill="auto"/>
            <w:hideMark/>
          </w:tcPr>
          <w:p w14:paraId="5586009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Population who live in a house that is owned or being purchased</w:t>
            </w:r>
          </w:p>
        </w:tc>
      </w:tr>
      <w:tr w:rsidR="008F55A7" w:rsidRPr="008F55A7" w14:paraId="23B9467E" w14:textId="77777777" w:rsidTr="00D00C3D">
        <w:trPr>
          <w:trHeight w:val="900"/>
        </w:trPr>
        <w:tc>
          <w:tcPr>
            <w:tcW w:w="1276" w:type="dxa"/>
            <w:tcBorders>
              <w:top w:val="nil"/>
              <w:left w:val="nil"/>
              <w:bottom w:val="nil"/>
              <w:right w:val="nil"/>
            </w:tcBorders>
            <w:shd w:val="clear" w:color="000000" w:fill="F2F2F2"/>
            <w:hideMark/>
          </w:tcPr>
          <w:p w14:paraId="317EA858"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Bedrooms</w:t>
            </w:r>
          </w:p>
        </w:tc>
        <w:tc>
          <w:tcPr>
            <w:tcW w:w="3827" w:type="dxa"/>
            <w:tcBorders>
              <w:top w:val="nil"/>
              <w:left w:val="nil"/>
              <w:bottom w:val="nil"/>
              <w:right w:val="nil"/>
            </w:tcBorders>
            <w:shd w:val="clear" w:color="000000" w:fill="F2F2F2"/>
            <w:hideMark/>
          </w:tcPr>
          <w:p w14:paraId="630D0777"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Occupied private dwellings requiring one or more extra bedrooms (based on Canadian National Occupancy Standard)</w:t>
            </w:r>
          </w:p>
        </w:tc>
        <w:tc>
          <w:tcPr>
            <w:tcW w:w="3877" w:type="dxa"/>
            <w:tcBorders>
              <w:top w:val="nil"/>
              <w:left w:val="nil"/>
              <w:bottom w:val="nil"/>
              <w:right w:val="nil"/>
            </w:tcBorders>
            <w:shd w:val="clear" w:color="000000" w:fill="F2F2F2"/>
            <w:hideMark/>
          </w:tcPr>
          <w:p w14:paraId="05E455B9"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xml:space="preserve">Population who live in a house with at least one bedroom per usual resident  </w:t>
            </w:r>
          </w:p>
        </w:tc>
      </w:tr>
      <w:tr w:rsidR="008F55A7" w:rsidRPr="008F55A7" w14:paraId="51ED6025" w14:textId="77777777" w:rsidTr="00D00C3D">
        <w:trPr>
          <w:trHeight w:val="600"/>
        </w:trPr>
        <w:tc>
          <w:tcPr>
            <w:tcW w:w="1276" w:type="dxa"/>
            <w:tcBorders>
              <w:top w:val="nil"/>
              <w:left w:val="nil"/>
              <w:bottom w:val="nil"/>
              <w:right w:val="nil"/>
            </w:tcBorders>
            <w:shd w:val="clear" w:color="auto" w:fill="auto"/>
            <w:hideMark/>
          </w:tcPr>
          <w:p w14:paraId="15D210AA"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Car ownership</w:t>
            </w:r>
          </w:p>
        </w:tc>
        <w:tc>
          <w:tcPr>
            <w:tcW w:w="3827" w:type="dxa"/>
            <w:tcBorders>
              <w:top w:val="nil"/>
              <w:left w:val="nil"/>
              <w:bottom w:val="nil"/>
              <w:right w:val="nil"/>
            </w:tcBorders>
            <w:shd w:val="clear" w:color="auto" w:fill="auto"/>
            <w:hideMark/>
          </w:tcPr>
          <w:p w14:paraId="36D608C6"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Occupied private dwellings with no cars</w:t>
            </w:r>
          </w:p>
        </w:tc>
        <w:tc>
          <w:tcPr>
            <w:tcW w:w="3877" w:type="dxa"/>
            <w:tcBorders>
              <w:top w:val="nil"/>
              <w:left w:val="nil"/>
              <w:bottom w:val="nil"/>
              <w:right w:val="nil"/>
            </w:tcBorders>
            <w:shd w:val="clear" w:color="auto" w:fill="auto"/>
            <w:hideMark/>
          </w:tcPr>
          <w:p w14:paraId="4C1B648D"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4F211AE4" w14:textId="77777777" w:rsidTr="00D00C3D">
        <w:trPr>
          <w:trHeight w:val="615"/>
        </w:trPr>
        <w:tc>
          <w:tcPr>
            <w:tcW w:w="1276" w:type="dxa"/>
            <w:tcBorders>
              <w:top w:val="nil"/>
              <w:left w:val="nil"/>
              <w:bottom w:val="nil"/>
              <w:right w:val="nil"/>
            </w:tcBorders>
            <w:shd w:val="clear" w:color="000000" w:fill="F2F2F2"/>
            <w:hideMark/>
          </w:tcPr>
          <w:p w14:paraId="1A8E4D00"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Other</w:t>
            </w:r>
          </w:p>
        </w:tc>
        <w:tc>
          <w:tcPr>
            <w:tcW w:w="3827" w:type="dxa"/>
            <w:tcBorders>
              <w:top w:val="nil"/>
              <w:left w:val="nil"/>
              <w:bottom w:val="nil"/>
              <w:right w:val="nil"/>
            </w:tcBorders>
            <w:shd w:val="clear" w:color="000000" w:fill="F2F2F2"/>
            <w:hideMark/>
          </w:tcPr>
          <w:p w14:paraId="602CBF8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Occupied private dwellings with no internet connection</w:t>
            </w:r>
          </w:p>
        </w:tc>
        <w:tc>
          <w:tcPr>
            <w:tcW w:w="3877" w:type="dxa"/>
            <w:tcBorders>
              <w:top w:val="nil"/>
              <w:left w:val="nil"/>
              <w:bottom w:val="nil"/>
              <w:right w:val="nil"/>
            </w:tcBorders>
            <w:shd w:val="clear" w:color="000000" w:fill="F2F2F2"/>
            <w:hideMark/>
          </w:tcPr>
          <w:p w14:paraId="2FBBB525" w14:textId="668A00D2"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4E4BA764" w14:textId="77777777" w:rsidTr="00D00C3D">
        <w:trPr>
          <w:trHeight w:val="900"/>
        </w:trPr>
        <w:tc>
          <w:tcPr>
            <w:tcW w:w="1276" w:type="dxa"/>
            <w:tcBorders>
              <w:top w:val="nil"/>
              <w:left w:val="nil"/>
              <w:bottom w:val="nil"/>
              <w:right w:val="nil"/>
            </w:tcBorders>
            <w:shd w:val="clear" w:color="auto" w:fill="auto"/>
            <w:noWrap/>
            <w:hideMark/>
          </w:tcPr>
          <w:p w14:paraId="44117D7C"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c>
          <w:tcPr>
            <w:tcW w:w="3827" w:type="dxa"/>
            <w:tcBorders>
              <w:top w:val="nil"/>
              <w:left w:val="nil"/>
              <w:bottom w:val="nil"/>
              <w:right w:val="nil"/>
            </w:tcBorders>
            <w:shd w:val="clear" w:color="auto" w:fill="auto"/>
            <w:hideMark/>
          </w:tcPr>
          <w:p w14:paraId="6E07E406"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aged under 70 who have a long-term health condition or disability and need assistance with core activities</w:t>
            </w:r>
          </w:p>
        </w:tc>
        <w:tc>
          <w:tcPr>
            <w:tcW w:w="3877" w:type="dxa"/>
            <w:tcBorders>
              <w:top w:val="nil"/>
              <w:left w:val="nil"/>
              <w:bottom w:val="nil"/>
              <w:right w:val="nil"/>
            </w:tcBorders>
            <w:shd w:val="clear" w:color="auto" w:fill="auto"/>
            <w:hideMark/>
          </w:tcPr>
          <w:p w14:paraId="3FC39C30"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3A102670" w14:textId="77777777" w:rsidTr="00D00C3D">
        <w:trPr>
          <w:trHeight w:val="345"/>
        </w:trPr>
        <w:tc>
          <w:tcPr>
            <w:tcW w:w="1276" w:type="dxa"/>
            <w:tcBorders>
              <w:top w:val="nil"/>
              <w:left w:val="nil"/>
              <w:bottom w:val="nil"/>
              <w:right w:val="nil"/>
            </w:tcBorders>
            <w:shd w:val="clear" w:color="000000" w:fill="F2F2F2"/>
            <w:noWrap/>
            <w:hideMark/>
          </w:tcPr>
          <w:p w14:paraId="47618BE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27" w:type="dxa"/>
            <w:tcBorders>
              <w:top w:val="nil"/>
              <w:left w:val="nil"/>
              <w:bottom w:val="nil"/>
              <w:right w:val="nil"/>
            </w:tcBorders>
            <w:shd w:val="clear" w:color="000000" w:fill="F2F2F2"/>
            <w:hideMark/>
          </w:tcPr>
          <w:p w14:paraId="04402DCE"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who do not speak English well</w:t>
            </w:r>
          </w:p>
        </w:tc>
        <w:tc>
          <w:tcPr>
            <w:tcW w:w="3877" w:type="dxa"/>
            <w:tcBorders>
              <w:top w:val="nil"/>
              <w:left w:val="nil"/>
              <w:bottom w:val="nil"/>
              <w:right w:val="nil"/>
            </w:tcBorders>
            <w:shd w:val="clear" w:color="000000" w:fill="F2F2F2"/>
            <w:hideMark/>
          </w:tcPr>
          <w:p w14:paraId="2D29DD00" w14:textId="62D0278C"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320DA2F0" w14:textId="77777777" w:rsidTr="00D00C3D">
        <w:trPr>
          <w:trHeight w:val="615"/>
        </w:trPr>
        <w:tc>
          <w:tcPr>
            <w:tcW w:w="1276" w:type="dxa"/>
            <w:tcBorders>
              <w:top w:val="nil"/>
              <w:left w:val="nil"/>
              <w:bottom w:val="nil"/>
              <w:right w:val="nil"/>
            </w:tcBorders>
            <w:shd w:val="clear" w:color="auto" w:fill="auto"/>
            <w:hideMark/>
          </w:tcPr>
          <w:p w14:paraId="189F5D93"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Family</w:t>
            </w:r>
          </w:p>
        </w:tc>
        <w:tc>
          <w:tcPr>
            <w:tcW w:w="3827" w:type="dxa"/>
            <w:tcBorders>
              <w:top w:val="nil"/>
              <w:left w:val="nil"/>
              <w:bottom w:val="nil"/>
              <w:right w:val="nil"/>
            </w:tcBorders>
            <w:shd w:val="clear" w:color="auto" w:fill="auto"/>
            <w:hideMark/>
          </w:tcPr>
          <w:p w14:paraId="34D57D6F"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One parent families with dependent offspring only</w:t>
            </w:r>
          </w:p>
        </w:tc>
        <w:tc>
          <w:tcPr>
            <w:tcW w:w="3877" w:type="dxa"/>
            <w:tcBorders>
              <w:top w:val="nil"/>
              <w:left w:val="nil"/>
              <w:bottom w:val="nil"/>
              <w:right w:val="nil"/>
            </w:tcBorders>
            <w:shd w:val="clear" w:color="auto" w:fill="auto"/>
            <w:hideMark/>
          </w:tcPr>
          <w:p w14:paraId="7D39EB87"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p>
        </w:tc>
      </w:tr>
      <w:tr w:rsidR="008F55A7" w:rsidRPr="008F55A7" w14:paraId="4A0C7C36" w14:textId="77777777" w:rsidTr="00D00C3D">
        <w:trPr>
          <w:trHeight w:val="615"/>
        </w:trPr>
        <w:tc>
          <w:tcPr>
            <w:tcW w:w="1276" w:type="dxa"/>
            <w:tcBorders>
              <w:top w:val="nil"/>
              <w:left w:val="nil"/>
              <w:bottom w:val="nil"/>
              <w:right w:val="nil"/>
            </w:tcBorders>
            <w:shd w:val="clear" w:color="000000" w:fill="F2F2F2"/>
            <w:noWrap/>
            <w:hideMark/>
          </w:tcPr>
          <w:p w14:paraId="5030A5A2"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27" w:type="dxa"/>
            <w:tcBorders>
              <w:top w:val="nil"/>
              <w:left w:val="nil"/>
              <w:bottom w:val="nil"/>
              <w:right w:val="nil"/>
            </w:tcBorders>
            <w:shd w:val="clear" w:color="000000" w:fill="F2F2F2"/>
            <w:hideMark/>
          </w:tcPr>
          <w:p w14:paraId="754F0686"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People aged 15 and over who are separated or divorced</w:t>
            </w:r>
          </w:p>
        </w:tc>
        <w:tc>
          <w:tcPr>
            <w:tcW w:w="3877" w:type="dxa"/>
            <w:tcBorders>
              <w:top w:val="nil"/>
              <w:left w:val="nil"/>
              <w:bottom w:val="nil"/>
              <w:right w:val="nil"/>
            </w:tcBorders>
            <w:shd w:val="clear" w:color="000000" w:fill="F2F2F2"/>
            <w:hideMark/>
          </w:tcPr>
          <w:p w14:paraId="73BA383D"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r>
      <w:tr w:rsidR="008F55A7" w:rsidRPr="008F55A7" w14:paraId="02B9E32B" w14:textId="77777777" w:rsidTr="00D00C3D">
        <w:trPr>
          <w:trHeight w:val="615"/>
        </w:trPr>
        <w:tc>
          <w:tcPr>
            <w:tcW w:w="1276" w:type="dxa"/>
            <w:tcBorders>
              <w:top w:val="nil"/>
              <w:left w:val="nil"/>
              <w:bottom w:val="single" w:sz="8" w:space="0" w:color="auto"/>
              <w:right w:val="nil"/>
            </w:tcBorders>
            <w:shd w:val="clear" w:color="auto" w:fill="auto"/>
            <w:noWrap/>
            <w:hideMark/>
          </w:tcPr>
          <w:p w14:paraId="5C060DCA"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c>
          <w:tcPr>
            <w:tcW w:w="3827" w:type="dxa"/>
            <w:tcBorders>
              <w:top w:val="nil"/>
              <w:left w:val="nil"/>
              <w:bottom w:val="single" w:sz="8" w:space="0" w:color="auto"/>
              <w:right w:val="nil"/>
            </w:tcBorders>
            <w:shd w:val="clear" w:color="auto" w:fill="auto"/>
            <w:hideMark/>
          </w:tcPr>
          <w:p w14:paraId="6F4BE6FB"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Families with children under 15 years of age who live with jobless parents</w:t>
            </w:r>
          </w:p>
        </w:tc>
        <w:tc>
          <w:tcPr>
            <w:tcW w:w="3877" w:type="dxa"/>
            <w:tcBorders>
              <w:top w:val="nil"/>
              <w:left w:val="nil"/>
              <w:bottom w:val="single" w:sz="8" w:space="0" w:color="auto"/>
              <w:right w:val="nil"/>
            </w:tcBorders>
            <w:shd w:val="clear" w:color="auto" w:fill="auto"/>
            <w:hideMark/>
          </w:tcPr>
          <w:p w14:paraId="4DE91AE7" w14:textId="77777777" w:rsidR="008F55A7" w:rsidRPr="008F55A7" w:rsidRDefault="008F55A7" w:rsidP="008F55A7">
            <w:pPr>
              <w:tabs>
                <w:tab w:val="clear" w:pos="567"/>
              </w:tabs>
              <w:spacing w:after="0" w:line="240" w:lineRule="auto"/>
              <w:rPr>
                <w:rFonts w:ascii="Calibri" w:eastAsia="Times New Roman" w:hAnsi="Calibri" w:cs="Calibri"/>
                <w:color w:val="000000"/>
                <w:sz w:val="22"/>
                <w:lang w:eastAsia="en-AU"/>
              </w:rPr>
            </w:pPr>
            <w:r w:rsidRPr="008F55A7">
              <w:rPr>
                <w:rFonts w:ascii="Calibri" w:eastAsia="Times New Roman" w:hAnsi="Calibri" w:cs="Calibri"/>
                <w:color w:val="000000"/>
                <w:sz w:val="22"/>
                <w:lang w:eastAsia="en-AU"/>
              </w:rPr>
              <w:t> </w:t>
            </w:r>
          </w:p>
        </w:tc>
      </w:tr>
    </w:tbl>
    <w:p w14:paraId="5363EFA4" w14:textId="3F21272F" w:rsidR="0005732D" w:rsidRDefault="0005732D" w:rsidP="00D00C3D">
      <w:pPr>
        <w:pStyle w:val="CGCTableFootnote"/>
        <w:ind w:left="0" w:firstLine="0"/>
      </w:pPr>
    </w:p>
    <w:sectPr w:rsidR="0005732D" w:rsidSect="008F55A7">
      <w:pgSz w:w="11899" w:h="16838" w:code="9"/>
      <w:pgMar w:top="1701" w:right="1474" w:bottom="1134" w:left="1474"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49922" w14:textId="77777777" w:rsidR="00464D72" w:rsidRDefault="00464D72">
      <w:r>
        <w:separator/>
      </w:r>
    </w:p>
  </w:endnote>
  <w:endnote w:type="continuationSeparator" w:id="0">
    <w:p w14:paraId="4EA25798" w14:textId="77777777" w:rsidR="00464D72" w:rsidRDefault="0046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371128"/>
      <w:docPartObj>
        <w:docPartGallery w:val="Page Numbers (Bottom of Page)"/>
        <w:docPartUnique/>
      </w:docPartObj>
    </w:sdtPr>
    <w:sdtEndPr>
      <w:rPr>
        <w:noProof/>
      </w:rPr>
    </w:sdtEndPr>
    <w:sdtContent>
      <w:p w14:paraId="2F914B80" w14:textId="24ADA1D7" w:rsidR="00464D72" w:rsidRDefault="00464D72">
        <w:pPr>
          <w:pStyle w:val="Footer"/>
          <w:jc w:val="right"/>
        </w:pPr>
        <w:r>
          <w:fldChar w:fldCharType="begin"/>
        </w:r>
        <w:r>
          <w:instrText xml:space="preserve"> PAGE   \* MERGEFORMAT </w:instrText>
        </w:r>
        <w:r>
          <w:fldChar w:fldCharType="separate"/>
        </w:r>
        <w:r w:rsidR="002C0581">
          <w:rPr>
            <w:noProof/>
          </w:rPr>
          <w:t>11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67BDE" w14:textId="501CA523" w:rsidR="00464D72" w:rsidRPr="00875C0F" w:rsidRDefault="00464D72" w:rsidP="00597341">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7CEBF" w14:textId="7B861FCD" w:rsidR="00464D72" w:rsidRPr="00875C0F" w:rsidRDefault="00464D72" w:rsidP="0059734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1685728"/>
      <w:docPartObj>
        <w:docPartGallery w:val="Page Numbers (Bottom of Page)"/>
        <w:docPartUnique/>
      </w:docPartObj>
    </w:sdtPr>
    <w:sdtEndPr>
      <w:rPr>
        <w:noProof/>
      </w:rPr>
    </w:sdtEndPr>
    <w:sdtContent>
      <w:p w14:paraId="15920316" w14:textId="50AE5682" w:rsidR="00464D72" w:rsidRDefault="00464D72">
        <w:pPr>
          <w:pStyle w:val="Footer"/>
          <w:jc w:val="right"/>
        </w:pPr>
        <w:r>
          <w:fldChar w:fldCharType="begin"/>
        </w:r>
        <w:r>
          <w:instrText xml:space="preserve"> PAGE   \* MERGEFORMAT </w:instrText>
        </w:r>
        <w:r>
          <w:fldChar w:fldCharType="separate"/>
        </w:r>
        <w:r w:rsidR="002C0581">
          <w:rPr>
            <w:noProof/>
          </w:rPr>
          <w:t>i</w:t>
        </w:r>
        <w:r>
          <w:rPr>
            <w:noProof/>
          </w:rPr>
          <w:fldChar w:fldCharType="end"/>
        </w:r>
      </w:p>
    </w:sdtContent>
  </w:sdt>
  <w:p w14:paraId="6082D78F" w14:textId="38614584" w:rsidR="00464D72" w:rsidRPr="00875C0F" w:rsidRDefault="00464D72" w:rsidP="0059734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3D041" w14:textId="794A962D" w:rsidR="00464D72" w:rsidRPr="007E487F" w:rsidRDefault="00464D72" w:rsidP="00DC0F02">
    <w:pPr>
      <w:pStyle w:val="Footer"/>
      <w:tabs>
        <w:tab w:val="right" w:pos="8931"/>
      </w:tabs>
      <w:rPr>
        <w:sz w:val="20"/>
        <w:szCs w:val="20"/>
      </w:rPr>
    </w:pPr>
    <w:r>
      <w:rPr>
        <w:sz w:val="20"/>
        <w:szCs w:val="20"/>
      </w:rPr>
      <w:tab/>
    </w:r>
    <w:r>
      <w:rPr>
        <w:sz w:val="20"/>
        <w:szCs w:val="20"/>
      </w:rPr>
      <w:tab/>
    </w:r>
    <w:r>
      <w:fldChar w:fldCharType="begin"/>
    </w:r>
    <w:r>
      <w:instrText xml:space="preserve"> PAGE   \* MERGEFORMAT </w:instrText>
    </w:r>
    <w:r>
      <w:fldChar w:fldCharType="separate"/>
    </w:r>
    <w:r w:rsidR="002C0581">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4F3448" w14:textId="77777777" w:rsidR="00464D72" w:rsidRDefault="00464D72">
      <w:r>
        <w:separator/>
      </w:r>
    </w:p>
  </w:footnote>
  <w:footnote w:type="continuationSeparator" w:id="0">
    <w:p w14:paraId="17897F14" w14:textId="77777777" w:rsidR="00464D72" w:rsidRDefault="00464D72">
      <w:r>
        <w:continuationSeparator/>
      </w:r>
    </w:p>
  </w:footnote>
  <w:footnote w:id="1">
    <w:p w14:paraId="02B397D4" w14:textId="7F8F2736" w:rsidR="00464D72" w:rsidRDefault="00464D72">
      <w:pPr>
        <w:pStyle w:val="FootnoteText"/>
      </w:pPr>
      <w:r>
        <w:rPr>
          <w:rStyle w:val="FootnoteReference"/>
        </w:rPr>
        <w:footnoteRef/>
      </w:r>
      <w:r>
        <w:t xml:space="preserve"> </w:t>
      </w:r>
      <w:r>
        <w:tab/>
      </w:r>
      <w:r w:rsidRPr="00E0383F">
        <w:t xml:space="preserve">SA1s are geographical areas and generally the smallest unit for the release of census data. SA1s have a population of between 200 and 800 people with an average size of approximately 400 people. </w:t>
      </w:r>
    </w:p>
  </w:footnote>
  <w:footnote w:id="2">
    <w:p w14:paraId="708AEC89" w14:textId="02982080" w:rsidR="00464D72" w:rsidRDefault="00464D72">
      <w:pPr>
        <w:pStyle w:val="FootnoteText"/>
      </w:pPr>
      <w:r>
        <w:rPr>
          <w:rStyle w:val="FootnoteReference"/>
        </w:rPr>
        <w:footnoteRef/>
      </w:r>
      <w:r>
        <w:t xml:space="preserve"> </w:t>
      </w:r>
      <w:r>
        <w:tab/>
        <w:t>The State Accessibility/Remoteness Index of Australia (SARIA) is the State-based version of ARIA.</w:t>
      </w:r>
    </w:p>
  </w:footnote>
  <w:footnote w:id="3">
    <w:p w14:paraId="3E71AC42" w14:textId="4B055873" w:rsidR="00464D72" w:rsidRDefault="00464D72">
      <w:pPr>
        <w:pStyle w:val="FootnoteText"/>
      </w:pPr>
      <w:r>
        <w:rPr>
          <w:rStyle w:val="FootnoteReference"/>
        </w:rPr>
        <w:footnoteRef/>
      </w:r>
      <w:r>
        <w:t xml:space="preserve"> </w:t>
      </w:r>
      <w:r>
        <w:tab/>
        <w:t xml:space="preserve">Independent Hospital Pricing Authority, </w:t>
      </w:r>
      <w:r w:rsidRPr="00897D84">
        <w:rPr>
          <w:i/>
        </w:rPr>
        <w:t>Technical Specifications 2017-18, National Pricing Model March 2017</w:t>
      </w:r>
      <w:r>
        <w:t>, pp. 18-19.</w:t>
      </w:r>
    </w:p>
  </w:footnote>
  <w:footnote w:id="4">
    <w:p w14:paraId="0E00237F" w14:textId="19993D21" w:rsidR="00464D72" w:rsidRDefault="00464D72">
      <w:pPr>
        <w:pStyle w:val="FootnoteText"/>
      </w:pPr>
      <w:r>
        <w:rPr>
          <w:rStyle w:val="FootnoteReference"/>
        </w:rPr>
        <w:footnoteRef/>
      </w:r>
      <w:r>
        <w:t xml:space="preserve"> </w:t>
      </w:r>
      <w:r>
        <w:tab/>
      </w:r>
      <w:r w:rsidRPr="00E0383F">
        <w:t>SA</w:t>
      </w:r>
      <w:r>
        <w:t>2</w:t>
      </w:r>
      <w:r w:rsidRPr="00E0383F">
        <w:t xml:space="preserve">s are </w:t>
      </w:r>
      <w:r>
        <w:t xml:space="preserve">medium-sized geographical areas built up </w:t>
      </w:r>
      <w:r w:rsidRPr="00E0383F">
        <w:t xml:space="preserve">from whole </w:t>
      </w:r>
      <w:r>
        <w:t xml:space="preserve">SA1s and represent communities that interact together socially and economically. </w:t>
      </w:r>
      <w:r w:rsidRPr="00E0383F">
        <w:t>SA</w:t>
      </w:r>
      <w:r>
        <w:t>2</w:t>
      </w:r>
      <w:r w:rsidRPr="00E0383F">
        <w:t xml:space="preserve">s </w:t>
      </w:r>
      <w:r>
        <w:t xml:space="preserve">have a </w:t>
      </w:r>
      <w:r w:rsidRPr="00E0383F">
        <w:t xml:space="preserve">population </w:t>
      </w:r>
      <w:r>
        <w:t>range between 3 000 to</w:t>
      </w:r>
      <w:r w:rsidRPr="00E0383F">
        <w:t xml:space="preserve"> </w:t>
      </w:r>
      <w:r>
        <w:t>25 0</w:t>
      </w:r>
      <w:r w:rsidRPr="00E0383F">
        <w:t>00 p</w:t>
      </w:r>
      <w:r>
        <w:t xml:space="preserve">eople with an </w:t>
      </w:r>
      <w:r w:rsidRPr="00E0383F">
        <w:t xml:space="preserve">average </w:t>
      </w:r>
      <w:r>
        <w:t xml:space="preserve">size </w:t>
      </w:r>
      <w:r w:rsidRPr="00E0383F">
        <w:t>of a</w:t>
      </w:r>
      <w:r>
        <w:t>bout 10 0</w:t>
      </w:r>
      <w:r w:rsidRPr="00E0383F">
        <w:t>00 people</w:t>
      </w:r>
      <w:r>
        <w:t>.</w:t>
      </w:r>
    </w:p>
  </w:footnote>
  <w:footnote w:id="5">
    <w:p w14:paraId="1C32B102" w14:textId="733709CE" w:rsidR="00464D72" w:rsidRDefault="00464D72" w:rsidP="002D6BC5">
      <w:pPr>
        <w:pStyle w:val="FootnoteText"/>
      </w:pPr>
      <w:r>
        <w:rPr>
          <w:rStyle w:val="FootnoteReference"/>
        </w:rPr>
        <w:footnoteRef/>
      </w:r>
      <w:r>
        <w:t xml:space="preserve"> </w:t>
      </w:r>
      <w:r>
        <w:tab/>
        <w:t>The Commission ‘</w:t>
      </w:r>
      <w:r w:rsidRPr="00F46B46">
        <w:t>made a judgment based non</w:t>
      </w:r>
      <w:r w:rsidRPr="00F46B46">
        <w:noBreakHyphen/>
        <w:t>wage cost assessment for Perth and Canberra based on 25% and 50% respectively of the regional costs allowance they would have received had they been classified as inner regional cities</w:t>
      </w:r>
      <w:r>
        <w:t>,</w:t>
      </w:r>
      <w:r w:rsidRPr="002F1ACF">
        <w:t xml:space="preserve"> </w:t>
      </w:r>
      <w:r>
        <w:t xml:space="preserve">[and] </w:t>
      </w:r>
      <w:r w:rsidRPr="00F46B46">
        <w:t>reduce</w:t>
      </w:r>
      <w:r>
        <w:t>d</w:t>
      </w:r>
      <w:r w:rsidRPr="00F46B46">
        <w:t xml:space="preserve"> the impact of the regional cost assessment for both Darwin and Hobart by 50%</w:t>
      </w:r>
      <w:r>
        <w:t>’ (</w:t>
      </w:r>
      <w:r w:rsidRPr="00897D84">
        <w:rPr>
          <w:i/>
        </w:rPr>
        <w:t>2015 Review Vol. 2</w:t>
      </w:r>
      <w:r>
        <w:t>, Chapter 23 pp. 488 – 491).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7412C" w14:textId="77777777" w:rsidR="00464D72" w:rsidRDefault="00464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FD36B" w14:textId="77777777" w:rsidR="00464D72" w:rsidRDefault="00464D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679"/>
    <w:multiLevelType w:val="multilevel"/>
    <w:tmpl w:val="87ECD5DE"/>
    <w:lvl w:ilvl="0">
      <w:start w:val="1"/>
      <w:numFmt w:val="lowerRoman"/>
      <w:lvlText w:val="(%1)"/>
      <w:lvlJc w:val="right"/>
      <w:pPr>
        <w:tabs>
          <w:tab w:val="num" w:pos="1701"/>
        </w:tabs>
        <w:ind w:left="1701" w:hanging="45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6C95DEC"/>
    <w:multiLevelType w:val="multilevel"/>
    <w:tmpl w:val="09E854D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C66C66"/>
    <w:multiLevelType w:val="multilevel"/>
    <w:tmpl w:val="5B74CF8C"/>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5" w15:restartNumberingAfterBreak="0">
    <w:nsid w:val="317A6023"/>
    <w:multiLevelType w:val="hybridMultilevel"/>
    <w:tmpl w:val="1262912E"/>
    <w:lvl w:ilvl="0" w:tplc="9B9083DC">
      <w:start w:val="1"/>
      <w:numFmt w:val="lowerRoman"/>
      <w:pStyle w:val="CGCNumeralList"/>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CB5609"/>
    <w:multiLevelType w:val="hybridMultilevel"/>
    <w:tmpl w:val="24484DBE"/>
    <w:lvl w:ilvl="0" w:tplc="A1CEF810">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0A6680"/>
    <w:multiLevelType w:val="multilevel"/>
    <w:tmpl w:val="646E338E"/>
    <w:lvl w:ilvl="0">
      <w:start w:val="1"/>
      <w:numFmt w:val="bullet"/>
      <w:lvlText w:val=""/>
      <w:lvlJc w:val="left"/>
      <w:pPr>
        <w:tabs>
          <w:tab w:val="num" w:pos="1494"/>
        </w:tabs>
        <w:ind w:left="1701"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FE32354"/>
    <w:multiLevelType w:val="hybridMultilevel"/>
    <w:tmpl w:val="7D6053A6"/>
    <w:lvl w:ilvl="0" w:tplc="5FE44A6C">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2E3417D"/>
    <w:multiLevelType w:val="hybridMultilevel"/>
    <w:tmpl w:val="E18A2B1C"/>
    <w:lvl w:ilvl="0" w:tplc="0C090001">
      <w:start w:val="1"/>
      <w:numFmt w:val="bullet"/>
      <w:lvlText w:val=""/>
      <w:lvlJc w:val="left"/>
      <w:pPr>
        <w:ind w:left="1554"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D124923"/>
    <w:multiLevelType w:val="multilevel"/>
    <w:tmpl w:val="DA6AC07E"/>
    <w:lvl w:ilvl="0">
      <w:start w:val="1"/>
      <w:numFmt w:val="bullet"/>
      <w:lvlText w:val=""/>
      <w:lvlJc w:val="left"/>
      <w:pPr>
        <w:tabs>
          <w:tab w:val="num" w:pos="1627"/>
        </w:tabs>
        <w:ind w:left="1627"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120A6F"/>
    <w:multiLevelType w:val="multilevel"/>
    <w:tmpl w:val="EC6A24FE"/>
    <w:lvl w:ilvl="0">
      <w:start w:val="1"/>
      <w:numFmt w:val="bullet"/>
      <w:lvlText w:val=""/>
      <w:lvlJc w:val="left"/>
      <w:pPr>
        <w:tabs>
          <w:tab w:val="num" w:pos="927"/>
        </w:tabs>
        <w:ind w:left="1134"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FE42A7"/>
    <w:multiLevelType w:val="hybridMultilevel"/>
    <w:tmpl w:val="E4B8FB9A"/>
    <w:lvl w:ilvl="0" w:tplc="18EA3C62">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3C84D8A"/>
    <w:multiLevelType w:val="hybridMultilevel"/>
    <w:tmpl w:val="F79CDF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69552687"/>
    <w:multiLevelType w:val="multilevel"/>
    <w:tmpl w:val="76E0CFF8"/>
    <w:lvl w:ilvl="0">
      <w:start w:val="1"/>
      <w:numFmt w:val="bullet"/>
      <w:lvlText w:val=""/>
      <w:lvlJc w:val="left"/>
      <w:pPr>
        <w:tabs>
          <w:tab w:val="num" w:pos="1503"/>
        </w:tabs>
        <w:ind w:left="1710" w:firstLine="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1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5"/>
  </w:num>
  <w:num w:numId="3">
    <w:abstractNumId w:val="1"/>
  </w:num>
  <w:num w:numId="4">
    <w:abstractNumId w:val="17"/>
  </w:num>
  <w:num w:numId="5">
    <w:abstractNumId w:val="17"/>
  </w:num>
  <w:num w:numId="6">
    <w:abstractNumId w:val="4"/>
  </w:num>
  <w:num w:numId="7">
    <w:abstractNumId w:val="4"/>
  </w:num>
  <w:num w:numId="8">
    <w:abstractNumId w:val="4"/>
  </w:num>
  <w:num w:numId="9">
    <w:abstractNumId w:val="4"/>
  </w:num>
  <w:num w:numId="10">
    <w:abstractNumId w:val="16"/>
  </w:num>
  <w:num w:numId="11">
    <w:abstractNumId w:val="5"/>
  </w:num>
  <w:num w:numId="12">
    <w:abstractNumId w:val="1"/>
  </w:num>
  <w:num w:numId="13">
    <w:abstractNumId w:val="17"/>
  </w:num>
  <w:num w:numId="14">
    <w:abstractNumId w:val="4"/>
  </w:num>
  <w:num w:numId="15">
    <w:abstractNumId w:val="4"/>
  </w:num>
  <w:num w:numId="16">
    <w:abstractNumId w:val="4"/>
  </w:num>
  <w:num w:numId="17">
    <w:abstractNumId w:val="4"/>
  </w:num>
  <w:num w:numId="18">
    <w:abstractNumId w:val="0"/>
  </w:num>
  <w:num w:numId="19">
    <w:abstractNumId w:val="10"/>
  </w:num>
  <w:num w:numId="20">
    <w:abstractNumId w:val="11"/>
  </w:num>
  <w:num w:numId="21">
    <w:abstractNumId w:val="2"/>
  </w:num>
  <w:num w:numId="22">
    <w:abstractNumId w:val="7"/>
  </w:num>
  <w:num w:numId="23">
    <w:abstractNumId w:val="15"/>
  </w:num>
  <w:num w:numId="24">
    <w:abstractNumId w:val="3"/>
  </w:num>
  <w:num w:numId="25">
    <w:abstractNumId w:val="12"/>
  </w:num>
  <w:num w:numId="26">
    <w:abstractNumId w:val="1"/>
  </w:num>
  <w:num w:numId="27">
    <w:abstractNumId w:val="8"/>
  </w:num>
  <w:num w:numId="28">
    <w:abstractNumId w:val="13"/>
  </w:num>
  <w:num w:numId="29">
    <w:abstractNumId w:val="6"/>
  </w:num>
  <w:num w:numId="30">
    <w:abstractNumId w:val="5"/>
    <w:lvlOverride w:ilvl="0">
      <w:startOverride w:val="1"/>
    </w:lvlOverride>
  </w:num>
  <w:num w:numId="31">
    <w:abstractNumId w:val="16"/>
  </w:num>
  <w:num w:numId="32">
    <w:abstractNumId w:val="1"/>
  </w:num>
  <w:num w:numId="33">
    <w:abstractNumId w:val="5"/>
  </w:num>
  <w:num w:numId="34">
    <w:abstractNumId w:val="17"/>
  </w:num>
  <w:num w:numId="35">
    <w:abstractNumId w:val="10"/>
  </w:num>
  <w:num w:numId="36">
    <w:abstractNumId w:val="16"/>
  </w:num>
  <w:num w:numId="37">
    <w:abstractNumId w:val="1"/>
  </w:num>
  <w:num w:numId="38">
    <w:abstractNumId w:val="5"/>
  </w:num>
  <w:num w:numId="39">
    <w:abstractNumId w:val="17"/>
  </w:num>
  <w:num w:numId="40">
    <w:abstractNumId w:val="10"/>
  </w:num>
  <w:num w:numId="4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9"/>
  </w:num>
  <w:num w:numId="43">
    <w:abstractNumId w:val="1"/>
  </w:num>
  <w:num w:numId="44">
    <w:abstractNumId w:val="1"/>
  </w:num>
  <w:num w:numId="4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306"/>
    <w:rsid w:val="00000D34"/>
    <w:rsid w:val="000016F9"/>
    <w:rsid w:val="000019C2"/>
    <w:rsid w:val="00003F30"/>
    <w:rsid w:val="00014C5B"/>
    <w:rsid w:val="00016FE0"/>
    <w:rsid w:val="00022EA9"/>
    <w:rsid w:val="00024745"/>
    <w:rsid w:val="00032F41"/>
    <w:rsid w:val="00035123"/>
    <w:rsid w:val="00040765"/>
    <w:rsid w:val="0004123E"/>
    <w:rsid w:val="00041748"/>
    <w:rsid w:val="00041E84"/>
    <w:rsid w:val="000424EA"/>
    <w:rsid w:val="00043EED"/>
    <w:rsid w:val="0004577C"/>
    <w:rsid w:val="00056373"/>
    <w:rsid w:val="0005732D"/>
    <w:rsid w:val="00061111"/>
    <w:rsid w:val="00061D3C"/>
    <w:rsid w:val="000624BB"/>
    <w:rsid w:val="000629CA"/>
    <w:rsid w:val="000648E8"/>
    <w:rsid w:val="00071126"/>
    <w:rsid w:val="000722B5"/>
    <w:rsid w:val="00082A94"/>
    <w:rsid w:val="00087049"/>
    <w:rsid w:val="00093796"/>
    <w:rsid w:val="00095315"/>
    <w:rsid w:val="000A200F"/>
    <w:rsid w:val="000A23B1"/>
    <w:rsid w:val="000A3898"/>
    <w:rsid w:val="000A52A1"/>
    <w:rsid w:val="000B290D"/>
    <w:rsid w:val="000B2942"/>
    <w:rsid w:val="000B3557"/>
    <w:rsid w:val="000B64E3"/>
    <w:rsid w:val="000C3B9A"/>
    <w:rsid w:val="000C5A97"/>
    <w:rsid w:val="000D0852"/>
    <w:rsid w:val="000D1354"/>
    <w:rsid w:val="000D316A"/>
    <w:rsid w:val="000D7C54"/>
    <w:rsid w:val="000E0210"/>
    <w:rsid w:val="000E17DD"/>
    <w:rsid w:val="000E6AA5"/>
    <w:rsid w:val="000E7F56"/>
    <w:rsid w:val="000F1CDA"/>
    <w:rsid w:val="001039C2"/>
    <w:rsid w:val="001040AD"/>
    <w:rsid w:val="00106444"/>
    <w:rsid w:val="00106B1E"/>
    <w:rsid w:val="001104C0"/>
    <w:rsid w:val="0011178C"/>
    <w:rsid w:val="00112A42"/>
    <w:rsid w:val="00112CF0"/>
    <w:rsid w:val="001144DD"/>
    <w:rsid w:val="00116064"/>
    <w:rsid w:val="00117195"/>
    <w:rsid w:val="001211AB"/>
    <w:rsid w:val="001218B8"/>
    <w:rsid w:val="001228EB"/>
    <w:rsid w:val="00124849"/>
    <w:rsid w:val="00124ED1"/>
    <w:rsid w:val="00131A9A"/>
    <w:rsid w:val="00131E07"/>
    <w:rsid w:val="00134271"/>
    <w:rsid w:val="00134594"/>
    <w:rsid w:val="0013606D"/>
    <w:rsid w:val="00136497"/>
    <w:rsid w:val="00136AB6"/>
    <w:rsid w:val="001412D2"/>
    <w:rsid w:val="00141BD1"/>
    <w:rsid w:val="001441DA"/>
    <w:rsid w:val="00147115"/>
    <w:rsid w:val="001477CE"/>
    <w:rsid w:val="00153290"/>
    <w:rsid w:val="001573A0"/>
    <w:rsid w:val="00157F5B"/>
    <w:rsid w:val="0016004A"/>
    <w:rsid w:val="001619C9"/>
    <w:rsid w:val="00163BC8"/>
    <w:rsid w:val="0016723A"/>
    <w:rsid w:val="00170DC9"/>
    <w:rsid w:val="00171A05"/>
    <w:rsid w:val="00172F3A"/>
    <w:rsid w:val="001730FD"/>
    <w:rsid w:val="00173798"/>
    <w:rsid w:val="00173AB4"/>
    <w:rsid w:val="00173BE6"/>
    <w:rsid w:val="00173E72"/>
    <w:rsid w:val="001807C0"/>
    <w:rsid w:val="001811DE"/>
    <w:rsid w:val="00182297"/>
    <w:rsid w:val="00187145"/>
    <w:rsid w:val="00187435"/>
    <w:rsid w:val="001909D8"/>
    <w:rsid w:val="00192924"/>
    <w:rsid w:val="00195C60"/>
    <w:rsid w:val="001A4336"/>
    <w:rsid w:val="001A4543"/>
    <w:rsid w:val="001B0110"/>
    <w:rsid w:val="001B3048"/>
    <w:rsid w:val="001B5131"/>
    <w:rsid w:val="001B68B1"/>
    <w:rsid w:val="001B696E"/>
    <w:rsid w:val="001B6A56"/>
    <w:rsid w:val="001C469B"/>
    <w:rsid w:val="001C6A71"/>
    <w:rsid w:val="001C78A6"/>
    <w:rsid w:val="001D1A53"/>
    <w:rsid w:val="001D2F29"/>
    <w:rsid w:val="001D3A6C"/>
    <w:rsid w:val="001D412D"/>
    <w:rsid w:val="001D5164"/>
    <w:rsid w:val="001D638B"/>
    <w:rsid w:val="001D6DFA"/>
    <w:rsid w:val="001E60A9"/>
    <w:rsid w:val="001E6180"/>
    <w:rsid w:val="001E674B"/>
    <w:rsid w:val="001E68FC"/>
    <w:rsid w:val="001E72B6"/>
    <w:rsid w:val="001E7B2B"/>
    <w:rsid w:val="001F2D87"/>
    <w:rsid w:val="001F4F5A"/>
    <w:rsid w:val="002037B7"/>
    <w:rsid w:val="00204026"/>
    <w:rsid w:val="00212948"/>
    <w:rsid w:val="0021377D"/>
    <w:rsid w:val="00217839"/>
    <w:rsid w:val="00223995"/>
    <w:rsid w:val="00223D77"/>
    <w:rsid w:val="00225A3B"/>
    <w:rsid w:val="0023081D"/>
    <w:rsid w:val="00232FF9"/>
    <w:rsid w:val="0023329C"/>
    <w:rsid w:val="00236DC0"/>
    <w:rsid w:val="002373A2"/>
    <w:rsid w:val="002403CD"/>
    <w:rsid w:val="00242517"/>
    <w:rsid w:val="0024260B"/>
    <w:rsid w:val="0024275F"/>
    <w:rsid w:val="0024401F"/>
    <w:rsid w:val="0024569B"/>
    <w:rsid w:val="00255B5A"/>
    <w:rsid w:val="00261AF2"/>
    <w:rsid w:val="002671A2"/>
    <w:rsid w:val="00267496"/>
    <w:rsid w:val="00270098"/>
    <w:rsid w:val="00275B68"/>
    <w:rsid w:val="0028073C"/>
    <w:rsid w:val="00280746"/>
    <w:rsid w:val="002845EA"/>
    <w:rsid w:val="00286EBE"/>
    <w:rsid w:val="00287274"/>
    <w:rsid w:val="00287965"/>
    <w:rsid w:val="00290FD5"/>
    <w:rsid w:val="002948A4"/>
    <w:rsid w:val="00295B70"/>
    <w:rsid w:val="002A29FD"/>
    <w:rsid w:val="002A2A08"/>
    <w:rsid w:val="002A2D93"/>
    <w:rsid w:val="002A3167"/>
    <w:rsid w:val="002A4E42"/>
    <w:rsid w:val="002A77C3"/>
    <w:rsid w:val="002B10B0"/>
    <w:rsid w:val="002B169C"/>
    <w:rsid w:val="002B1F8F"/>
    <w:rsid w:val="002B4C26"/>
    <w:rsid w:val="002B6EFD"/>
    <w:rsid w:val="002B6F33"/>
    <w:rsid w:val="002B79F0"/>
    <w:rsid w:val="002B7F3E"/>
    <w:rsid w:val="002C0581"/>
    <w:rsid w:val="002C1D9C"/>
    <w:rsid w:val="002C366F"/>
    <w:rsid w:val="002C4CA9"/>
    <w:rsid w:val="002D2270"/>
    <w:rsid w:val="002D6BC5"/>
    <w:rsid w:val="002E0B69"/>
    <w:rsid w:val="002E25A8"/>
    <w:rsid w:val="002E4EE9"/>
    <w:rsid w:val="002F04DE"/>
    <w:rsid w:val="002F1ACF"/>
    <w:rsid w:val="002F1CD3"/>
    <w:rsid w:val="002F6E28"/>
    <w:rsid w:val="002F7E68"/>
    <w:rsid w:val="00300AB9"/>
    <w:rsid w:val="00302E5E"/>
    <w:rsid w:val="00305111"/>
    <w:rsid w:val="00307C38"/>
    <w:rsid w:val="00307DEF"/>
    <w:rsid w:val="00311D33"/>
    <w:rsid w:val="00312D49"/>
    <w:rsid w:val="00313664"/>
    <w:rsid w:val="00314F90"/>
    <w:rsid w:val="0031675D"/>
    <w:rsid w:val="00320555"/>
    <w:rsid w:val="0033102E"/>
    <w:rsid w:val="00331401"/>
    <w:rsid w:val="00333234"/>
    <w:rsid w:val="003354EC"/>
    <w:rsid w:val="00335ED1"/>
    <w:rsid w:val="00337EF8"/>
    <w:rsid w:val="00342A60"/>
    <w:rsid w:val="0034379D"/>
    <w:rsid w:val="0034646D"/>
    <w:rsid w:val="00347BE5"/>
    <w:rsid w:val="003522E0"/>
    <w:rsid w:val="0035267F"/>
    <w:rsid w:val="00353058"/>
    <w:rsid w:val="0035580D"/>
    <w:rsid w:val="00355EE0"/>
    <w:rsid w:val="003639FB"/>
    <w:rsid w:val="00363BF7"/>
    <w:rsid w:val="00371327"/>
    <w:rsid w:val="00382AE5"/>
    <w:rsid w:val="003929D2"/>
    <w:rsid w:val="00393E3E"/>
    <w:rsid w:val="00393FA5"/>
    <w:rsid w:val="00394758"/>
    <w:rsid w:val="003A27BB"/>
    <w:rsid w:val="003A2A66"/>
    <w:rsid w:val="003A4547"/>
    <w:rsid w:val="003A7718"/>
    <w:rsid w:val="003B0B47"/>
    <w:rsid w:val="003B673D"/>
    <w:rsid w:val="003C2577"/>
    <w:rsid w:val="003C4448"/>
    <w:rsid w:val="003D22D2"/>
    <w:rsid w:val="003D3D91"/>
    <w:rsid w:val="003D4708"/>
    <w:rsid w:val="003D477A"/>
    <w:rsid w:val="003E08F3"/>
    <w:rsid w:val="003E2816"/>
    <w:rsid w:val="003E6615"/>
    <w:rsid w:val="003E79F9"/>
    <w:rsid w:val="003F057E"/>
    <w:rsid w:val="003F12E9"/>
    <w:rsid w:val="003F59F4"/>
    <w:rsid w:val="003F5C45"/>
    <w:rsid w:val="00402290"/>
    <w:rsid w:val="0040432D"/>
    <w:rsid w:val="00404DCD"/>
    <w:rsid w:val="004077D6"/>
    <w:rsid w:val="004121E7"/>
    <w:rsid w:val="00414E51"/>
    <w:rsid w:val="00420F04"/>
    <w:rsid w:val="004224C2"/>
    <w:rsid w:val="00423099"/>
    <w:rsid w:val="00424E79"/>
    <w:rsid w:val="00425414"/>
    <w:rsid w:val="00425BAC"/>
    <w:rsid w:val="0042661C"/>
    <w:rsid w:val="004274B3"/>
    <w:rsid w:val="00442749"/>
    <w:rsid w:val="00443EC1"/>
    <w:rsid w:val="00450D49"/>
    <w:rsid w:val="004530AC"/>
    <w:rsid w:val="00453264"/>
    <w:rsid w:val="004561C1"/>
    <w:rsid w:val="00462B54"/>
    <w:rsid w:val="00463064"/>
    <w:rsid w:val="0046362D"/>
    <w:rsid w:val="00464D72"/>
    <w:rsid w:val="00472461"/>
    <w:rsid w:val="0047332D"/>
    <w:rsid w:val="00475D35"/>
    <w:rsid w:val="0048060A"/>
    <w:rsid w:val="004809B8"/>
    <w:rsid w:val="004821B9"/>
    <w:rsid w:val="00491D88"/>
    <w:rsid w:val="00491F44"/>
    <w:rsid w:val="0049605C"/>
    <w:rsid w:val="004965F7"/>
    <w:rsid w:val="004A5902"/>
    <w:rsid w:val="004A7048"/>
    <w:rsid w:val="004A7E4A"/>
    <w:rsid w:val="004B0A0A"/>
    <w:rsid w:val="004B1C4B"/>
    <w:rsid w:val="004B60CB"/>
    <w:rsid w:val="004C1CB5"/>
    <w:rsid w:val="004D382D"/>
    <w:rsid w:val="004E0ACA"/>
    <w:rsid w:val="004E1F6A"/>
    <w:rsid w:val="004E769A"/>
    <w:rsid w:val="004F1CA3"/>
    <w:rsid w:val="004F4367"/>
    <w:rsid w:val="004F7185"/>
    <w:rsid w:val="005005DB"/>
    <w:rsid w:val="00500ACD"/>
    <w:rsid w:val="00501F30"/>
    <w:rsid w:val="00504061"/>
    <w:rsid w:val="00505483"/>
    <w:rsid w:val="00505BAE"/>
    <w:rsid w:val="00506956"/>
    <w:rsid w:val="00515380"/>
    <w:rsid w:val="005176CA"/>
    <w:rsid w:val="00524978"/>
    <w:rsid w:val="005269D3"/>
    <w:rsid w:val="0053166B"/>
    <w:rsid w:val="00532D10"/>
    <w:rsid w:val="00537A77"/>
    <w:rsid w:val="00540BF6"/>
    <w:rsid w:val="00541A14"/>
    <w:rsid w:val="005437B1"/>
    <w:rsid w:val="00543F9C"/>
    <w:rsid w:val="005465B0"/>
    <w:rsid w:val="00546A7D"/>
    <w:rsid w:val="00546D39"/>
    <w:rsid w:val="00547390"/>
    <w:rsid w:val="00550E84"/>
    <w:rsid w:val="00551368"/>
    <w:rsid w:val="0055401B"/>
    <w:rsid w:val="00557005"/>
    <w:rsid w:val="005577B0"/>
    <w:rsid w:val="00562084"/>
    <w:rsid w:val="00564E1C"/>
    <w:rsid w:val="005666E2"/>
    <w:rsid w:val="00570AD9"/>
    <w:rsid w:val="00570EED"/>
    <w:rsid w:val="005716FC"/>
    <w:rsid w:val="00575DEF"/>
    <w:rsid w:val="00577BAD"/>
    <w:rsid w:val="00583A33"/>
    <w:rsid w:val="00584638"/>
    <w:rsid w:val="005867D2"/>
    <w:rsid w:val="00592B45"/>
    <w:rsid w:val="005963CC"/>
    <w:rsid w:val="00596E19"/>
    <w:rsid w:val="00597341"/>
    <w:rsid w:val="0059735D"/>
    <w:rsid w:val="005A0DE1"/>
    <w:rsid w:val="005A241E"/>
    <w:rsid w:val="005A25B7"/>
    <w:rsid w:val="005A6FED"/>
    <w:rsid w:val="005B1BC4"/>
    <w:rsid w:val="005B3588"/>
    <w:rsid w:val="005B6894"/>
    <w:rsid w:val="005B6CE1"/>
    <w:rsid w:val="005B7121"/>
    <w:rsid w:val="005C13B2"/>
    <w:rsid w:val="005C27E3"/>
    <w:rsid w:val="005C37CB"/>
    <w:rsid w:val="005C459C"/>
    <w:rsid w:val="005C5BF9"/>
    <w:rsid w:val="005D1A9F"/>
    <w:rsid w:val="005D52FA"/>
    <w:rsid w:val="005D782A"/>
    <w:rsid w:val="005E0B98"/>
    <w:rsid w:val="005E266F"/>
    <w:rsid w:val="005E5734"/>
    <w:rsid w:val="005E73CE"/>
    <w:rsid w:val="005E7DF1"/>
    <w:rsid w:val="005F07DC"/>
    <w:rsid w:val="005F64FB"/>
    <w:rsid w:val="0060004A"/>
    <w:rsid w:val="0060251E"/>
    <w:rsid w:val="00602DDE"/>
    <w:rsid w:val="00604E16"/>
    <w:rsid w:val="00607321"/>
    <w:rsid w:val="00611737"/>
    <w:rsid w:val="00614DE8"/>
    <w:rsid w:val="00616028"/>
    <w:rsid w:val="00622388"/>
    <w:rsid w:val="00622669"/>
    <w:rsid w:val="00622FE1"/>
    <w:rsid w:val="00625CE5"/>
    <w:rsid w:val="0063034C"/>
    <w:rsid w:val="00635027"/>
    <w:rsid w:val="00644A7B"/>
    <w:rsid w:val="006516AE"/>
    <w:rsid w:val="00653CF8"/>
    <w:rsid w:val="006556D9"/>
    <w:rsid w:val="00661C46"/>
    <w:rsid w:val="00662A6E"/>
    <w:rsid w:val="006642AE"/>
    <w:rsid w:val="006652D3"/>
    <w:rsid w:val="00667CF3"/>
    <w:rsid w:val="006769C4"/>
    <w:rsid w:val="00676D7E"/>
    <w:rsid w:val="00677627"/>
    <w:rsid w:val="00677BD5"/>
    <w:rsid w:val="0068025E"/>
    <w:rsid w:val="006802F8"/>
    <w:rsid w:val="00683BA8"/>
    <w:rsid w:val="006842B4"/>
    <w:rsid w:val="00693C87"/>
    <w:rsid w:val="006A05C7"/>
    <w:rsid w:val="006A0DE6"/>
    <w:rsid w:val="006A12B2"/>
    <w:rsid w:val="006A4839"/>
    <w:rsid w:val="006A607B"/>
    <w:rsid w:val="006A6E27"/>
    <w:rsid w:val="006A72B0"/>
    <w:rsid w:val="006B32EA"/>
    <w:rsid w:val="006B3E4D"/>
    <w:rsid w:val="006C52B9"/>
    <w:rsid w:val="006D1DFE"/>
    <w:rsid w:val="006E1515"/>
    <w:rsid w:val="006E6BC2"/>
    <w:rsid w:val="006E77BB"/>
    <w:rsid w:val="0070150E"/>
    <w:rsid w:val="00705DB8"/>
    <w:rsid w:val="0071185F"/>
    <w:rsid w:val="00713225"/>
    <w:rsid w:val="0072512A"/>
    <w:rsid w:val="0072757B"/>
    <w:rsid w:val="00731EE6"/>
    <w:rsid w:val="007355A6"/>
    <w:rsid w:val="00740A71"/>
    <w:rsid w:val="007453AA"/>
    <w:rsid w:val="0074765C"/>
    <w:rsid w:val="007477C5"/>
    <w:rsid w:val="00747938"/>
    <w:rsid w:val="00756850"/>
    <w:rsid w:val="00762803"/>
    <w:rsid w:val="00762AFB"/>
    <w:rsid w:val="0076332F"/>
    <w:rsid w:val="00765BA8"/>
    <w:rsid w:val="00766007"/>
    <w:rsid w:val="00770A26"/>
    <w:rsid w:val="007725D8"/>
    <w:rsid w:val="00777E11"/>
    <w:rsid w:val="00787E17"/>
    <w:rsid w:val="00792DE9"/>
    <w:rsid w:val="007956B7"/>
    <w:rsid w:val="00796DA2"/>
    <w:rsid w:val="007A1364"/>
    <w:rsid w:val="007A1365"/>
    <w:rsid w:val="007A1891"/>
    <w:rsid w:val="007A24A0"/>
    <w:rsid w:val="007A291B"/>
    <w:rsid w:val="007A4AB2"/>
    <w:rsid w:val="007A5E68"/>
    <w:rsid w:val="007A6733"/>
    <w:rsid w:val="007B1BF7"/>
    <w:rsid w:val="007C404B"/>
    <w:rsid w:val="007C4BAE"/>
    <w:rsid w:val="007C5E05"/>
    <w:rsid w:val="007C6F2E"/>
    <w:rsid w:val="007D1320"/>
    <w:rsid w:val="007D1D3B"/>
    <w:rsid w:val="007D4DCE"/>
    <w:rsid w:val="007D5960"/>
    <w:rsid w:val="007E114E"/>
    <w:rsid w:val="007E487F"/>
    <w:rsid w:val="007E4B2D"/>
    <w:rsid w:val="007E587D"/>
    <w:rsid w:val="007E6757"/>
    <w:rsid w:val="007E71D1"/>
    <w:rsid w:val="007E71E9"/>
    <w:rsid w:val="007F1873"/>
    <w:rsid w:val="007F1D06"/>
    <w:rsid w:val="008010D7"/>
    <w:rsid w:val="00803443"/>
    <w:rsid w:val="00804315"/>
    <w:rsid w:val="0080502F"/>
    <w:rsid w:val="00805B7B"/>
    <w:rsid w:val="0080680D"/>
    <w:rsid w:val="00806985"/>
    <w:rsid w:val="00812C05"/>
    <w:rsid w:val="0081322A"/>
    <w:rsid w:val="008162AB"/>
    <w:rsid w:val="0081669F"/>
    <w:rsid w:val="00821933"/>
    <w:rsid w:val="0083347A"/>
    <w:rsid w:val="0083480E"/>
    <w:rsid w:val="008348B5"/>
    <w:rsid w:val="0083728D"/>
    <w:rsid w:val="00837B5D"/>
    <w:rsid w:val="00843E6F"/>
    <w:rsid w:val="00846E4A"/>
    <w:rsid w:val="0085028C"/>
    <w:rsid w:val="00851AF5"/>
    <w:rsid w:val="00851FB5"/>
    <w:rsid w:val="008527DA"/>
    <w:rsid w:val="00852D39"/>
    <w:rsid w:val="00853A53"/>
    <w:rsid w:val="00854DAA"/>
    <w:rsid w:val="008613A4"/>
    <w:rsid w:val="008647DE"/>
    <w:rsid w:val="00864B95"/>
    <w:rsid w:val="0086644E"/>
    <w:rsid w:val="008800D3"/>
    <w:rsid w:val="00886CDD"/>
    <w:rsid w:val="0089214D"/>
    <w:rsid w:val="00892697"/>
    <w:rsid w:val="008932EA"/>
    <w:rsid w:val="00893C0D"/>
    <w:rsid w:val="00897D84"/>
    <w:rsid w:val="008A20DA"/>
    <w:rsid w:val="008B0354"/>
    <w:rsid w:val="008B1106"/>
    <w:rsid w:val="008B5C8F"/>
    <w:rsid w:val="008B5F16"/>
    <w:rsid w:val="008B7722"/>
    <w:rsid w:val="008C0E5C"/>
    <w:rsid w:val="008C34E8"/>
    <w:rsid w:val="008C3D6C"/>
    <w:rsid w:val="008C6E3A"/>
    <w:rsid w:val="008D348B"/>
    <w:rsid w:val="008D5C32"/>
    <w:rsid w:val="008E2BE4"/>
    <w:rsid w:val="008E6B4E"/>
    <w:rsid w:val="008E7970"/>
    <w:rsid w:val="008E7C34"/>
    <w:rsid w:val="008F0C36"/>
    <w:rsid w:val="008F2FAE"/>
    <w:rsid w:val="008F377B"/>
    <w:rsid w:val="008F55A7"/>
    <w:rsid w:val="008F5651"/>
    <w:rsid w:val="0090236D"/>
    <w:rsid w:val="00904CB7"/>
    <w:rsid w:val="009122E9"/>
    <w:rsid w:val="00915512"/>
    <w:rsid w:val="009233CC"/>
    <w:rsid w:val="0092359C"/>
    <w:rsid w:val="009240D8"/>
    <w:rsid w:val="0092523D"/>
    <w:rsid w:val="00925613"/>
    <w:rsid w:val="00931DB4"/>
    <w:rsid w:val="009360D7"/>
    <w:rsid w:val="009362C9"/>
    <w:rsid w:val="009365F1"/>
    <w:rsid w:val="00937A6F"/>
    <w:rsid w:val="009400F3"/>
    <w:rsid w:val="00941640"/>
    <w:rsid w:val="00941910"/>
    <w:rsid w:val="00941FD3"/>
    <w:rsid w:val="00942387"/>
    <w:rsid w:val="009446FF"/>
    <w:rsid w:val="0094626F"/>
    <w:rsid w:val="009462D2"/>
    <w:rsid w:val="00962896"/>
    <w:rsid w:val="009652D5"/>
    <w:rsid w:val="009677F8"/>
    <w:rsid w:val="0097014E"/>
    <w:rsid w:val="00971146"/>
    <w:rsid w:val="00972A9A"/>
    <w:rsid w:val="00991675"/>
    <w:rsid w:val="00991EB7"/>
    <w:rsid w:val="00992008"/>
    <w:rsid w:val="00996409"/>
    <w:rsid w:val="00996D00"/>
    <w:rsid w:val="009A03DC"/>
    <w:rsid w:val="009A6C00"/>
    <w:rsid w:val="009A6CD9"/>
    <w:rsid w:val="009A6CF3"/>
    <w:rsid w:val="009B257B"/>
    <w:rsid w:val="009B43BF"/>
    <w:rsid w:val="009B4A2D"/>
    <w:rsid w:val="009B5A07"/>
    <w:rsid w:val="009B6D65"/>
    <w:rsid w:val="009C0BFA"/>
    <w:rsid w:val="009C1E0B"/>
    <w:rsid w:val="009C39A3"/>
    <w:rsid w:val="009D3C17"/>
    <w:rsid w:val="009D545A"/>
    <w:rsid w:val="009D6D44"/>
    <w:rsid w:val="009E22FA"/>
    <w:rsid w:val="009E4744"/>
    <w:rsid w:val="009E4EC9"/>
    <w:rsid w:val="009E5D5A"/>
    <w:rsid w:val="009E7A06"/>
    <w:rsid w:val="009F1D15"/>
    <w:rsid w:val="009F2262"/>
    <w:rsid w:val="009F2D60"/>
    <w:rsid w:val="009F4ADA"/>
    <w:rsid w:val="009F6A0D"/>
    <w:rsid w:val="00A07991"/>
    <w:rsid w:val="00A108F5"/>
    <w:rsid w:val="00A10CDE"/>
    <w:rsid w:val="00A14C0C"/>
    <w:rsid w:val="00A156B8"/>
    <w:rsid w:val="00A1680D"/>
    <w:rsid w:val="00A2208D"/>
    <w:rsid w:val="00A23AB0"/>
    <w:rsid w:val="00A266BA"/>
    <w:rsid w:val="00A266C5"/>
    <w:rsid w:val="00A309C6"/>
    <w:rsid w:val="00A319A4"/>
    <w:rsid w:val="00A32E4E"/>
    <w:rsid w:val="00A33AAC"/>
    <w:rsid w:val="00A377E4"/>
    <w:rsid w:val="00A505DE"/>
    <w:rsid w:val="00A52113"/>
    <w:rsid w:val="00A5327C"/>
    <w:rsid w:val="00A56DBD"/>
    <w:rsid w:val="00A5721C"/>
    <w:rsid w:val="00A6342C"/>
    <w:rsid w:val="00A660F4"/>
    <w:rsid w:val="00A67913"/>
    <w:rsid w:val="00A718A4"/>
    <w:rsid w:val="00A72459"/>
    <w:rsid w:val="00A76679"/>
    <w:rsid w:val="00A81A94"/>
    <w:rsid w:val="00A85D0F"/>
    <w:rsid w:val="00A91647"/>
    <w:rsid w:val="00A9681E"/>
    <w:rsid w:val="00A972E2"/>
    <w:rsid w:val="00AA007A"/>
    <w:rsid w:val="00AA0CDA"/>
    <w:rsid w:val="00AA35B4"/>
    <w:rsid w:val="00AA531D"/>
    <w:rsid w:val="00AA7F1C"/>
    <w:rsid w:val="00AB073E"/>
    <w:rsid w:val="00AB1A13"/>
    <w:rsid w:val="00AB2F12"/>
    <w:rsid w:val="00AB4E9F"/>
    <w:rsid w:val="00AB7C5D"/>
    <w:rsid w:val="00AC0C74"/>
    <w:rsid w:val="00AC210F"/>
    <w:rsid w:val="00AC319E"/>
    <w:rsid w:val="00AD64AF"/>
    <w:rsid w:val="00AE3A1E"/>
    <w:rsid w:val="00AE419E"/>
    <w:rsid w:val="00AE734F"/>
    <w:rsid w:val="00AE7D51"/>
    <w:rsid w:val="00AF2656"/>
    <w:rsid w:val="00AF6110"/>
    <w:rsid w:val="00AF6AC6"/>
    <w:rsid w:val="00AF7DF2"/>
    <w:rsid w:val="00B00611"/>
    <w:rsid w:val="00B00E87"/>
    <w:rsid w:val="00B04354"/>
    <w:rsid w:val="00B048F1"/>
    <w:rsid w:val="00B15FFB"/>
    <w:rsid w:val="00B17354"/>
    <w:rsid w:val="00B249FC"/>
    <w:rsid w:val="00B26AAB"/>
    <w:rsid w:val="00B27ED4"/>
    <w:rsid w:val="00B317E7"/>
    <w:rsid w:val="00B33A57"/>
    <w:rsid w:val="00B34083"/>
    <w:rsid w:val="00B34FCD"/>
    <w:rsid w:val="00B37728"/>
    <w:rsid w:val="00B401DA"/>
    <w:rsid w:val="00B40FE4"/>
    <w:rsid w:val="00B45C64"/>
    <w:rsid w:val="00B45F20"/>
    <w:rsid w:val="00B46A32"/>
    <w:rsid w:val="00B46B29"/>
    <w:rsid w:val="00B53547"/>
    <w:rsid w:val="00B53597"/>
    <w:rsid w:val="00B55D3E"/>
    <w:rsid w:val="00B564F7"/>
    <w:rsid w:val="00B57839"/>
    <w:rsid w:val="00B62590"/>
    <w:rsid w:val="00B6729F"/>
    <w:rsid w:val="00B706E2"/>
    <w:rsid w:val="00B70713"/>
    <w:rsid w:val="00B74F9A"/>
    <w:rsid w:val="00B7517F"/>
    <w:rsid w:val="00B80DC2"/>
    <w:rsid w:val="00B81D60"/>
    <w:rsid w:val="00B8201D"/>
    <w:rsid w:val="00B82627"/>
    <w:rsid w:val="00B82C09"/>
    <w:rsid w:val="00B90AA7"/>
    <w:rsid w:val="00B94335"/>
    <w:rsid w:val="00B94551"/>
    <w:rsid w:val="00B97440"/>
    <w:rsid w:val="00BA2E60"/>
    <w:rsid w:val="00BA38F6"/>
    <w:rsid w:val="00BA65E5"/>
    <w:rsid w:val="00BA76EA"/>
    <w:rsid w:val="00BB00D1"/>
    <w:rsid w:val="00BB09DF"/>
    <w:rsid w:val="00BB1570"/>
    <w:rsid w:val="00BB1CE5"/>
    <w:rsid w:val="00BB2321"/>
    <w:rsid w:val="00BB3FC5"/>
    <w:rsid w:val="00BB620A"/>
    <w:rsid w:val="00BC2B3B"/>
    <w:rsid w:val="00BC4579"/>
    <w:rsid w:val="00BC76EC"/>
    <w:rsid w:val="00BD0898"/>
    <w:rsid w:val="00BD3D24"/>
    <w:rsid w:val="00BD6863"/>
    <w:rsid w:val="00BE418D"/>
    <w:rsid w:val="00BE5DA2"/>
    <w:rsid w:val="00BF5A94"/>
    <w:rsid w:val="00C0018A"/>
    <w:rsid w:val="00C00905"/>
    <w:rsid w:val="00C00CE6"/>
    <w:rsid w:val="00C035B5"/>
    <w:rsid w:val="00C06B69"/>
    <w:rsid w:val="00C11ABD"/>
    <w:rsid w:val="00C14FB2"/>
    <w:rsid w:val="00C16124"/>
    <w:rsid w:val="00C176AC"/>
    <w:rsid w:val="00C21EF9"/>
    <w:rsid w:val="00C222F7"/>
    <w:rsid w:val="00C2292E"/>
    <w:rsid w:val="00C22D34"/>
    <w:rsid w:val="00C24839"/>
    <w:rsid w:val="00C2690D"/>
    <w:rsid w:val="00C27C23"/>
    <w:rsid w:val="00C351F2"/>
    <w:rsid w:val="00C361C9"/>
    <w:rsid w:val="00C36A0E"/>
    <w:rsid w:val="00C37F9C"/>
    <w:rsid w:val="00C40762"/>
    <w:rsid w:val="00C41079"/>
    <w:rsid w:val="00C4124E"/>
    <w:rsid w:val="00C41C84"/>
    <w:rsid w:val="00C526AD"/>
    <w:rsid w:val="00C53E1B"/>
    <w:rsid w:val="00C54675"/>
    <w:rsid w:val="00C554D4"/>
    <w:rsid w:val="00C605C3"/>
    <w:rsid w:val="00C61B02"/>
    <w:rsid w:val="00C61F1C"/>
    <w:rsid w:val="00C651E8"/>
    <w:rsid w:val="00C668F2"/>
    <w:rsid w:val="00C70498"/>
    <w:rsid w:val="00C719A2"/>
    <w:rsid w:val="00C72165"/>
    <w:rsid w:val="00C81377"/>
    <w:rsid w:val="00C83041"/>
    <w:rsid w:val="00C85AB4"/>
    <w:rsid w:val="00C8634D"/>
    <w:rsid w:val="00C87366"/>
    <w:rsid w:val="00C90B42"/>
    <w:rsid w:val="00C91582"/>
    <w:rsid w:val="00C9180F"/>
    <w:rsid w:val="00C93D87"/>
    <w:rsid w:val="00C9475D"/>
    <w:rsid w:val="00C95056"/>
    <w:rsid w:val="00C951FD"/>
    <w:rsid w:val="00CA29AA"/>
    <w:rsid w:val="00CA7F28"/>
    <w:rsid w:val="00CB0768"/>
    <w:rsid w:val="00CB131F"/>
    <w:rsid w:val="00CB158A"/>
    <w:rsid w:val="00CB4DCD"/>
    <w:rsid w:val="00CB4F2D"/>
    <w:rsid w:val="00CB4FBF"/>
    <w:rsid w:val="00CC1690"/>
    <w:rsid w:val="00CC4464"/>
    <w:rsid w:val="00CC6063"/>
    <w:rsid w:val="00CC665A"/>
    <w:rsid w:val="00CD38AE"/>
    <w:rsid w:val="00CD4075"/>
    <w:rsid w:val="00CD7E74"/>
    <w:rsid w:val="00CE04A0"/>
    <w:rsid w:val="00CE34DC"/>
    <w:rsid w:val="00CE5788"/>
    <w:rsid w:val="00D00C3D"/>
    <w:rsid w:val="00D01807"/>
    <w:rsid w:val="00D04EAD"/>
    <w:rsid w:val="00D05E2D"/>
    <w:rsid w:val="00D07FB4"/>
    <w:rsid w:val="00D174BB"/>
    <w:rsid w:val="00D21FA8"/>
    <w:rsid w:val="00D236B7"/>
    <w:rsid w:val="00D23E48"/>
    <w:rsid w:val="00D244BE"/>
    <w:rsid w:val="00D27885"/>
    <w:rsid w:val="00D34870"/>
    <w:rsid w:val="00D354D2"/>
    <w:rsid w:val="00D42135"/>
    <w:rsid w:val="00D43096"/>
    <w:rsid w:val="00D43578"/>
    <w:rsid w:val="00D46AB2"/>
    <w:rsid w:val="00D47815"/>
    <w:rsid w:val="00D6060E"/>
    <w:rsid w:val="00D640CA"/>
    <w:rsid w:val="00D656EB"/>
    <w:rsid w:val="00D708D6"/>
    <w:rsid w:val="00D70F4E"/>
    <w:rsid w:val="00D771FD"/>
    <w:rsid w:val="00D7796D"/>
    <w:rsid w:val="00D81B18"/>
    <w:rsid w:val="00D83541"/>
    <w:rsid w:val="00D84FA8"/>
    <w:rsid w:val="00D93A16"/>
    <w:rsid w:val="00D9496D"/>
    <w:rsid w:val="00D95AB2"/>
    <w:rsid w:val="00D9668C"/>
    <w:rsid w:val="00DA0768"/>
    <w:rsid w:val="00DA161A"/>
    <w:rsid w:val="00DA5A94"/>
    <w:rsid w:val="00DB1783"/>
    <w:rsid w:val="00DB2355"/>
    <w:rsid w:val="00DB3BB4"/>
    <w:rsid w:val="00DC0F02"/>
    <w:rsid w:val="00DC0F8D"/>
    <w:rsid w:val="00DC2284"/>
    <w:rsid w:val="00DC2AAB"/>
    <w:rsid w:val="00DC39D9"/>
    <w:rsid w:val="00DC3CA4"/>
    <w:rsid w:val="00DC43B1"/>
    <w:rsid w:val="00DC4DB8"/>
    <w:rsid w:val="00DC6C65"/>
    <w:rsid w:val="00DE1409"/>
    <w:rsid w:val="00DE1C0E"/>
    <w:rsid w:val="00DE3188"/>
    <w:rsid w:val="00DE4275"/>
    <w:rsid w:val="00DE4578"/>
    <w:rsid w:val="00DF04EE"/>
    <w:rsid w:val="00DF3D36"/>
    <w:rsid w:val="00DF3E35"/>
    <w:rsid w:val="00DF452A"/>
    <w:rsid w:val="00E0383F"/>
    <w:rsid w:val="00E03ED5"/>
    <w:rsid w:val="00E06243"/>
    <w:rsid w:val="00E07169"/>
    <w:rsid w:val="00E07621"/>
    <w:rsid w:val="00E11768"/>
    <w:rsid w:val="00E118D6"/>
    <w:rsid w:val="00E11B9C"/>
    <w:rsid w:val="00E12BE2"/>
    <w:rsid w:val="00E162A4"/>
    <w:rsid w:val="00E1688C"/>
    <w:rsid w:val="00E20539"/>
    <w:rsid w:val="00E22665"/>
    <w:rsid w:val="00E24270"/>
    <w:rsid w:val="00E2509C"/>
    <w:rsid w:val="00E30499"/>
    <w:rsid w:val="00E30B51"/>
    <w:rsid w:val="00E30F21"/>
    <w:rsid w:val="00E324BB"/>
    <w:rsid w:val="00E32FD5"/>
    <w:rsid w:val="00E3658D"/>
    <w:rsid w:val="00E36723"/>
    <w:rsid w:val="00E377E8"/>
    <w:rsid w:val="00E42394"/>
    <w:rsid w:val="00E43464"/>
    <w:rsid w:val="00E46AA3"/>
    <w:rsid w:val="00E47A69"/>
    <w:rsid w:val="00E47A94"/>
    <w:rsid w:val="00E56971"/>
    <w:rsid w:val="00E56D8A"/>
    <w:rsid w:val="00E571BB"/>
    <w:rsid w:val="00E630FF"/>
    <w:rsid w:val="00E645C7"/>
    <w:rsid w:val="00E64892"/>
    <w:rsid w:val="00E73B2A"/>
    <w:rsid w:val="00E74435"/>
    <w:rsid w:val="00E75438"/>
    <w:rsid w:val="00E758AD"/>
    <w:rsid w:val="00E77D4E"/>
    <w:rsid w:val="00E8583A"/>
    <w:rsid w:val="00E91860"/>
    <w:rsid w:val="00E918A5"/>
    <w:rsid w:val="00E954B7"/>
    <w:rsid w:val="00E95FA3"/>
    <w:rsid w:val="00E96FDB"/>
    <w:rsid w:val="00EA107B"/>
    <w:rsid w:val="00EB1A90"/>
    <w:rsid w:val="00EB3770"/>
    <w:rsid w:val="00EB4A21"/>
    <w:rsid w:val="00EB4B9F"/>
    <w:rsid w:val="00EB6D31"/>
    <w:rsid w:val="00EC0472"/>
    <w:rsid w:val="00EC06CC"/>
    <w:rsid w:val="00EC16F1"/>
    <w:rsid w:val="00EC5AA3"/>
    <w:rsid w:val="00ED012F"/>
    <w:rsid w:val="00ED05D6"/>
    <w:rsid w:val="00ED0C6F"/>
    <w:rsid w:val="00ED2FCC"/>
    <w:rsid w:val="00EE5CFF"/>
    <w:rsid w:val="00EE5F75"/>
    <w:rsid w:val="00EF2722"/>
    <w:rsid w:val="00EF6805"/>
    <w:rsid w:val="00F00508"/>
    <w:rsid w:val="00F01E52"/>
    <w:rsid w:val="00F04222"/>
    <w:rsid w:val="00F042DC"/>
    <w:rsid w:val="00F04309"/>
    <w:rsid w:val="00F07099"/>
    <w:rsid w:val="00F105EA"/>
    <w:rsid w:val="00F11117"/>
    <w:rsid w:val="00F113CF"/>
    <w:rsid w:val="00F12541"/>
    <w:rsid w:val="00F22035"/>
    <w:rsid w:val="00F22D18"/>
    <w:rsid w:val="00F24198"/>
    <w:rsid w:val="00F30AE8"/>
    <w:rsid w:val="00F36C87"/>
    <w:rsid w:val="00F415DC"/>
    <w:rsid w:val="00F45145"/>
    <w:rsid w:val="00F46927"/>
    <w:rsid w:val="00F533CE"/>
    <w:rsid w:val="00F552EC"/>
    <w:rsid w:val="00F55854"/>
    <w:rsid w:val="00F56813"/>
    <w:rsid w:val="00F6064C"/>
    <w:rsid w:val="00F617A4"/>
    <w:rsid w:val="00F64A13"/>
    <w:rsid w:val="00F67B89"/>
    <w:rsid w:val="00F70110"/>
    <w:rsid w:val="00F711DA"/>
    <w:rsid w:val="00F72C93"/>
    <w:rsid w:val="00F7430F"/>
    <w:rsid w:val="00F80A88"/>
    <w:rsid w:val="00F823F5"/>
    <w:rsid w:val="00F83306"/>
    <w:rsid w:val="00F9170D"/>
    <w:rsid w:val="00F94368"/>
    <w:rsid w:val="00F9494C"/>
    <w:rsid w:val="00FA15C8"/>
    <w:rsid w:val="00FA2D86"/>
    <w:rsid w:val="00FA348C"/>
    <w:rsid w:val="00FB0AD8"/>
    <w:rsid w:val="00FB25EF"/>
    <w:rsid w:val="00FB4DBB"/>
    <w:rsid w:val="00FC7B1C"/>
    <w:rsid w:val="00FD2DA6"/>
    <w:rsid w:val="00FD3C73"/>
    <w:rsid w:val="00FD4274"/>
    <w:rsid w:val="00FE1F23"/>
    <w:rsid w:val="00FE2C17"/>
    <w:rsid w:val="00FE7676"/>
    <w:rsid w:val="00FF072F"/>
    <w:rsid w:val="00FF0D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89"/>
    <o:shapelayout v:ext="edit">
      <o:idmap v:ext="edit" data="1"/>
    </o:shapelayout>
  </w:shapeDefaults>
  <w:decimalSymbol w:val="."/>
  <w:listSeparator w:val=","/>
  <w14:docId w14:val="509A6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2D10"/>
    <w:pPr>
      <w:tabs>
        <w:tab w:val="left" w:pos="567"/>
      </w:tabs>
      <w:spacing w:after="80" w:line="320" w:lineRule="atLeast"/>
    </w:pPr>
    <w:rPr>
      <w:sz w:val="24"/>
    </w:rPr>
  </w:style>
  <w:style w:type="paragraph" w:styleId="Heading1">
    <w:name w:val="heading 1"/>
    <w:basedOn w:val="Normal"/>
    <w:next w:val="Heading2"/>
    <w:link w:val="Heading1Char"/>
    <w:qFormat/>
    <w:rsid w:val="00622669"/>
    <w:pPr>
      <w:keepNext/>
      <w:widowControl w:val="0"/>
      <w:pBdr>
        <w:bottom w:val="single" w:sz="4" w:space="1" w:color="auto"/>
      </w:pBdr>
      <w:spacing w:before="800" w:after="0" w:line="240" w:lineRule="auto"/>
      <w:outlineLvl w:val="0"/>
    </w:pPr>
    <w:rPr>
      <w:rFonts w:eastAsiaTheme="majorEastAsia" w:cstheme="majorBidi"/>
      <w:b/>
      <w:bCs/>
      <w:caps/>
      <w:color w:val="2C8558"/>
      <w:sz w:val="40"/>
      <w:szCs w:val="28"/>
    </w:rPr>
  </w:style>
  <w:style w:type="paragraph" w:styleId="Heading2">
    <w:name w:val="heading 2"/>
    <w:basedOn w:val="Normal"/>
    <w:next w:val="Heading3"/>
    <w:link w:val="Heading2Char"/>
    <w:uiPriority w:val="9"/>
    <w:qFormat/>
    <w:rsid w:val="00622669"/>
    <w:pPr>
      <w:keepNext/>
      <w:widowControl w:val="0"/>
      <w:spacing w:before="100" w:after="720" w:line="240" w:lineRule="auto"/>
      <w:outlineLvl w:val="1"/>
    </w:pPr>
    <w:rPr>
      <w:rFonts w:eastAsiaTheme="majorEastAsia" w:cstheme="majorBidi"/>
      <w:b/>
      <w:bCs/>
      <w:caps/>
      <w:color w:val="2C8558"/>
      <w:sz w:val="40"/>
      <w:szCs w:val="26"/>
    </w:rPr>
  </w:style>
  <w:style w:type="paragraph" w:styleId="Heading3">
    <w:name w:val="heading 3"/>
    <w:basedOn w:val="Normal"/>
    <w:next w:val="Heading4"/>
    <w:link w:val="Heading3Char"/>
    <w:uiPriority w:val="9"/>
    <w:qFormat/>
    <w:rsid w:val="00622669"/>
    <w:pPr>
      <w:keepNext/>
      <w:widowControl w:val="0"/>
      <w:spacing w:before="600" w:after="200" w:line="240" w:lineRule="auto"/>
      <w:outlineLvl w:val="2"/>
    </w:pPr>
    <w:rPr>
      <w:rFonts w:eastAsiaTheme="majorEastAsia" w:cstheme="majorBidi"/>
      <w:b/>
      <w:bCs/>
      <w:caps/>
      <w:color w:val="2C8558"/>
      <w:sz w:val="32"/>
    </w:rPr>
  </w:style>
  <w:style w:type="paragraph" w:styleId="Heading4">
    <w:name w:val="heading 4"/>
    <w:basedOn w:val="Normal"/>
    <w:next w:val="Heading5"/>
    <w:link w:val="Heading4Char"/>
    <w:uiPriority w:val="9"/>
    <w:qFormat/>
    <w:rsid w:val="00622669"/>
    <w:pPr>
      <w:keepNext/>
      <w:widowControl w:val="0"/>
      <w:spacing w:before="300" w:after="40" w:line="240" w:lineRule="auto"/>
      <w:outlineLvl w:val="3"/>
    </w:pPr>
    <w:rPr>
      <w:rFonts w:eastAsiaTheme="majorEastAsia" w:cstheme="majorBidi"/>
      <w:b/>
      <w:bCs/>
      <w:iCs/>
      <w:color w:val="2C8558"/>
      <w:sz w:val="32"/>
    </w:rPr>
  </w:style>
  <w:style w:type="paragraph" w:styleId="Heading5">
    <w:name w:val="heading 5"/>
    <w:basedOn w:val="Normal"/>
    <w:next w:val="Heading6"/>
    <w:link w:val="Heading5Char"/>
    <w:uiPriority w:val="9"/>
    <w:qFormat/>
    <w:rsid w:val="00622669"/>
    <w:pPr>
      <w:keepNext/>
      <w:tabs>
        <w:tab w:val="clear" w:pos="567"/>
      </w:tabs>
      <w:spacing w:before="300" w:after="40" w:line="240" w:lineRule="auto"/>
      <w:outlineLvl w:val="4"/>
    </w:pPr>
    <w:rPr>
      <w:rFonts w:eastAsiaTheme="majorEastAsia" w:cstheme="majorBidi"/>
      <w:b/>
      <w:i/>
      <w:color w:val="2C8558"/>
      <w:sz w:val="28"/>
    </w:rPr>
  </w:style>
  <w:style w:type="paragraph" w:styleId="Heading6">
    <w:name w:val="heading 6"/>
    <w:basedOn w:val="Normal"/>
    <w:next w:val="Normal"/>
    <w:link w:val="Heading6Char"/>
    <w:uiPriority w:val="9"/>
    <w:qFormat/>
    <w:rsid w:val="00622669"/>
    <w:pPr>
      <w:keepNext/>
      <w:keepLines/>
      <w:spacing w:before="120"/>
      <w:outlineLvl w:val="5"/>
    </w:pPr>
    <w:rPr>
      <w:rFonts w:eastAsiaTheme="majorEastAsia" w:cstheme="majorBidi"/>
      <w:b/>
      <w:i/>
      <w:iCs/>
      <w:color w:val="2C8558"/>
      <w:sz w:val="28"/>
    </w:rPr>
  </w:style>
  <w:style w:type="paragraph" w:styleId="Heading7">
    <w:name w:val="heading 7"/>
    <w:basedOn w:val="Normal"/>
    <w:next w:val="Normal"/>
    <w:link w:val="Heading7Char"/>
    <w:uiPriority w:val="9"/>
    <w:semiHidden/>
    <w:rsid w:val="0062266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7"/>
      </w:numPr>
      <w:spacing w:before="240" w:after="60"/>
      <w:outlineLvl w:val="7"/>
    </w:pPr>
    <w:rPr>
      <w:rFonts w:ascii="Arial" w:hAnsi="Arial"/>
      <w:i/>
      <w:sz w:val="20"/>
      <w:szCs w:val="20"/>
    </w:rPr>
  </w:style>
  <w:style w:type="paragraph" w:styleId="Heading9">
    <w:name w:val="heading 9"/>
    <w:aliases w:val="Heading 9 (Do not use),(Subsubsection Nos)"/>
    <w:basedOn w:val="Normal"/>
    <w:next w:val="Normal"/>
    <w:semiHidden/>
    <w:rsid w:val="00765BA8"/>
    <w:pPr>
      <w:numPr>
        <w:ilvl w:val="8"/>
        <w:numId w:val="17"/>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622669"/>
    <w:pPr>
      <w:spacing w:after="0" w:line="240" w:lineRule="auto"/>
    </w:pPr>
    <w:rPr>
      <w:rFonts w:ascii="Tahoma" w:hAnsi="Tahoma" w:cs="Tahoma"/>
      <w:sz w:val="16"/>
      <w:szCs w:val="16"/>
    </w:rPr>
  </w:style>
  <w:style w:type="paragraph" w:styleId="Caption">
    <w:name w:val="caption"/>
    <w:basedOn w:val="Normal"/>
    <w:next w:val="Normal"/>
    <w:link w:val="CaptionChar"/>
    <w:qFormat/>
    <w:rsid w:val="00622669"/>
    <w:pPr>
      <w:keepNext/>
      <w:keepLines/>
      <w:tabs>
        <w:tab w:val="clear" w:pos="567"/>
        <w:tab w:val="left" w:pos="1418"/>
      </w:tabs>
      <w:spacing w:before="240" w:after="120" w:line="240" w:lineRule="auto"/>
      <w:ind w:left="1418" w:hanging="1418"/>
    </w:pPr>
    <w:rPr>
      <w:b/>
      <w:bCs/>
      <w:szCs w:val="20"/>
    </w:rPr>
  </w:style>
  <w:style w:type="paragraph" w:customStyle="1" w:styleId="CGCBulletlist">
    <w:name w:val="CGC Bullet list"/>
    <w:aliases w:val="CGC List 1"/>
    <w:basedOn w:val="Normal"/>
    <w:link w:val="CGCBulletlistCharChar"/>
    <w:qFormat/>
    <w:rsid w:val="00DC0F02"/>
    <w:pPr>
      <w:numPr>
        <w:numId w:val="36"/>
      </w:numPr>
      <w:tabs>
        <w:tab w:val="clear" w:pos="567"/>
        <w:tab w:val="clear" w:pos="927"/>
        <w:tab w:val="left" w:pos="1134"/>
      </w:tabs>
      <w:spacing w:before="80" w:line="300" w:lineRule="atLeast"/>
      <w:ind w:left="1134" w:hanging="567"/>
    </w:pPr>
    <w:rPr>
      <w:szCs w:val="20"/>
    </w:rPr>
  </w:style>
  <w:style w:type="paragraph" w:customStyle="1" w:styleId="CGCNumeralList">
    <w:name w:val="CGC Numeral List"/>
    <w:aliases w:val="CGC List 3"/>
    <w:basedOn w:val="Normal"/>
    <w:qFormat/>
    <w:rsid w:val="00622669"/>
    <w:pPr>
      <w:numPr>
        <w:numId w:val="38"/>
      </w:numPr>
      <w:tabs>
        <w:tab w:val="clear" w:pos="567"/>
      </w:tabs>
      <w:spacing w:line="300" w:lineRule="atLeast"/>
    </w:pPr>
    <w:rPr>
      <w:szCs w:val="20"/>
    </w:rPr>
  </w:style>
  <w:style w:type="paragraph" w:customStyle="1" w:styleId="CGCNumberedPara">
    <w:name w:val="CGC Numbered Para"/>
    <w:aliases w:val="CGC Para No"/>
    <w:basedOn w:val="Normal"/>
    <w:link w:val="CGCParaNoChar"/>
    <w:qFormat/>
    <w:rsid w:val="00622669"/>
    <w:pPr>
      <w:numPr>
        <w:ilvl w:val="1"/>
        <w:numId w:val="37"/>
      </w:numPr>
      <w:spacing w:before="120"/>
    </w:pPr>
    <w:rPr>
      <w:szCs w:val="24"/>
    </w:rPr>
  </w:style>
  <w:style w:type="paragraph" w:customStyle="1" w:styleId="CGCQuotation">
    <w:name w:val="CGC Quotation"/>
    <w:basedOn w:val="Normal"/>
    <w:next w:val="CGCNumberedPara"/>
    <w:rsid w:val="00622669"/>
    <w:pPr>
      <w:tabs>
        <w:tab w:val="clear" w:pos="567"/>
      </w:tabs>
      <w:spacing w:before="120" w:after="120" w:line="240" w:lineRule="auto"/>
      <w:ind w:left="1134" w:right="1134"/>
    </w:pPr>
    <w:rPr>
      <w:sz w:val="22"/>
      <w:szCs w:val="24"/>
    </w:rPr>
  </w:style>
  <w:style w:type="paragraph" w:customStyle="1" w:styleId="CGCSubbulletlist">
    <w:name w:val="CGC Sub bullet list"/>
    <w:aliases w:val="CGC List 2"/>
    <w:basedOn w:val="Normal"/>
    <w:qFormat/>
    <w:rsid w:val="00C21EF9"/>
    <w:pPr>
      <w:numPr>
        <w:numId w:val="39"/>
      </w:numPr>
      <w:tabs>
        <w:tab w:val="clear" w:pos="567"/>
        <w:tab w:val="clear" w:pos="927"/>
        <w:tab w:val="left" w:pos="1701"/>
      </w:tabs>
      <w:spacing w:line="300" w:lineRule="atLeast"/>
      <w:ind w:left="1701" w:hanging="567"/>
    </w:pPr>
    <w:rPr>
      <w:szCs w:val="20"/>
    </w:rPr>
  </w:style>
  <w:style w:type="paragraph" w:customStyle="1" w:styleId="CGCQuotationBullet">
    <w:name w:val="CGC Quotation Bullet"/>
    <w:basedOn w:val="CGCSubbulletlist"/>
    <w:rsid w:val="00622669"/>
    <w:pPr>
      <w:numPr>
        <w:numId w:val="40"/>
      </w:numPr>
      <w:ind w:right="1134"/>
    </w:pPr>
    <w:rPr>
      <w:sz w:val="22"/>
    </w:rPr>
  </w:style>
  <w:style w:type="paragraph" w:customStyle="1" w:styleId="CGCTableFootnote">
    <w:name w:val="CGC Table Footnote"/>
    <w:basedOn w:val="CGCNumberedPara"/>
    <w:next w:val="NoSpacing"/>
    <w:link w:val="CGCTableFootnoteChar"/>
    <w:qFormat/>
    <w:rsid w:val="00622669"/>
    <w:pPr>
      <w:numPr>
        <w:ilvl w:val="0"/>
        <w:numId w:val="0"/>
      </w:numPr>
      <w:tabs>
        <w:tab w:val="left" w:pos="851"/>
      </w:tabs>
      <w:spacing w:before="0" w:after="0" w:line="240" w:lineRule="auto"/>
      <w:ind w:left="851" w:hanging="851"/>
    </w:pPr>
    <w:rPr>
      <w:sz w:val="20"/>
    </w:rPr>
  </w:style>
  <w:style w:type="paragraph" w:customStyle="1" w:styleId="CGCTableHeading">
    <w:name w:val="CGC Table Heading"/>
    <w:basedOn w:val="Normal"/>
    <w:next w:val="Normal"/>
    <w:link w:val="CGCTableHeadingChar"/>
    <w:qFormat/>
    <w:rsid w:val="00622669"/>
    <w:pPr>
      <w:keepNext/>
      <w:keepLines/>
      <w:tabs>
        <w:tab w:val="clear" w:pos="567"/>
        <w:tab w:val="left" w:pos="1420"/>
      </w:tabs>
      <w:spacing w:before="240" w:after="120" w:line="240" w:lineRule="auto"/>
      <w:ind w:left="1418" w:hanging="1418"/>
    </w:pPr>
    <w:rPr>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 w:val="20"/>
      <w:szCs w:val="20"/>
    </w:rPr>
  </w:style>
  <w:style w:type="paragraph" w:customStyle="1" w:styleId="CGCTableStub">
    <w:name w:val="CGC Table Stub"/>
    <w:basedOn w:val="Normal"/>
    <w:rsid w:val="00622669"/>
    <w:pPr>
      <w:keepNext/>
      <w:keepLines/>
      <w:tabs>
        <w:tab w:val="left" w:pos="284"/>
      </w:tabs>
      <w:spacing w:before="60" w:after="60" w:line="200" w:lineRule="atLeast"/>
    </w:pPr>
    <w:rPr>
      <w:sz w:val="20"/>
      <w:szCs w:val="20"/>
    </w:rPr>
  </w:style>
  <w:style w:type="character" w:styleId="CommentReference">
    <w:name w:val="annotation reference"/>
    <w:basedOn w:val="DefaultParagraphFont"/>
    <w:rsid w:val="00765BA8"/>
    <w:rPr>
      <w:sz w:val="16"/>
      <w:szCs w:val="16"/>
    </w:rPr>
  </w:style>
  <w:style w:type="paragraph" w:styleId="CommentText">
    <w:name w:val="annotation text"/>
    <w:basedOn w:val="Normal"/>
    <w:rsid w:val="00765BA8"/>
    <w:rPr>
      <w:sz w:val="20"/>
      <w:szCs w:val="20"/>
    </w:rPr>
  </w:style>
  <w:style w:type="paragraph" w:styleId="CommentSubject">
    <w:name w:val="annotation subject"/>
    <w:basedOn w:val="CommentText"/>
    <w:next w:val="CommentText"/>
    <w:rsid w:val="00765BA8"/>
    <w:rPr>
      <w:b/>
      <w:bCs/>
    </w:rPr>
  </w:style>
  <w:style w:type="paragraph" w:styleId="DocumentMap">
    <w:name w:val="Document Map"/>
    <w:basedOn w:val="Normal"/>
    <w:rsid w:val="00765BA8"/>
    <w:pPr>
      <w:shd w:val="clear" w:color="auto" w:fill="000080"/>
    </w:pPr>
    <w:rPr>
      <w:rFonts w:ascii="Tahoma" w:hAnsi="Tahoma" w:cs="Tahoma"/>
      <w:sz w:val="20"/>
      <w:szCs w:val="20"/>
    </w:rPr>
  </w:style>
  <w:style w:type="character" w:styleId="EndnoteReference">
    <w:name w:val="endnote reference"/>
    <w:basedOn w:val="DefaultParagraphFont"/>
    <w:rsid w:val="00765BA8"/>
    <w:rPr>
      <w:vertAlign w:val="superscript"/>
    </w:rPr>
  </w:style>
  <w:style w:type="paragraph" w:styleId="EndnoteText">
    <w:name w:val="endnote text"/>
    <w:basedOn w:val="Normal"/>
    <w:rsid w:val="00765BA8"/>
    <w:rPr>
      <w:sz w:val="20"/>
      <w:szCs w:val="20"/>
    </w:rPr>
  </w:style>
  <w:style w:type="paragraph" w:styleId="Footer">
    <w:name w:val="footer"/>
    <w:basedOn w:val="Normal"/>
    <w:link w:val="FooterChar"/>
    <w:uiPriority w:val="99"/>
    <w:unhideWhenUsed/>
    <w:rsid w:val="00622669"/>
    <w:pPr>
      <w:tabs>
        <w:tab w:val="clear" w:pos="567"/>
        <w:tab w:val="center" w:pos="4513"/>
        <w:tab w:val="right" w:pos="9026"/>
      </w:tabs>
      <w:spacing w:after="0" w:line="240" w:lineRule="auto"/>
    </w:pPr>
  </w:style>
  <w:style w:type="character" w:styleId="FootnoteReference">
    <w:name w:val="footnote reference"/>
    <w:basedOn w:val="DefaultParagraphFont"/>
    <w:rsid w:val="00765BA8"/>
    <w:rPr>
      <w:vertAlign w:val="superscript"/>
    </w:rPr>
  </w:style>
  <w:style w:type="paragraph" w:styleId="FootnoteText">
    <w:name w:val="footnote text"/>
    <w:basedOn w:val="Normal"/>
    <w:link w:val="FootnoteTextChar"/>
    <w:rsid w:val="00622669"/>
    <w:pPr>
      <w:spacing w:after="0" w:line="240" w:lineRule="auto"/>
      <w:ind w:left="567" w:hanging="567"/>
    </w:pPr>
    <w:rPr>
      <w:sz w:val="20"/>
      <w:szCs w:val="20"/>
    </w:rPr>
  </w:style>
  <w:style w:type="paragraph" w:styleId="Header">
    <w:name w:val="header"/>
    <w:basedOn w:val="Normal"/>
    <w:link w:val="HeaderChar"/>
    <w:unhideWhenUsed/>
    <w:rsid w:val="00622669"/>
    <w:pPr>
      <w:tabs>
        <w:tab w:val="clear" w:pos="567"/>
        <w:tab w:val="center" w:pos="4513"/>
        <w:tab w:val="right" w:pos="9026"/>
      </w:tabs>
      <w:spacing w:after="0" w:line="240" w:lineRule="auto"/>
    </w:pPr>
  </w:style>
  <w:style w:type="character" w:styleId="Hyperlink">
    <w:name w:val="Hyperlink"/>
    <w:basedOn w:val="DefaultParagraphFont"/>
    <w:uiPriority w:val="99"/>
    <w:rsid w:val="00765BA8"/>
    <w:rPr>
      <w:color w:val="0000FF"/>
      <w:u w:val="single"/>
    </w:rPr>
  </w:style>
  <w:style w:type="paragraph" w:styleId="Index1">
    <w:name w:val="index 1"/>
    <w:basedOn w:val="Normal"/>
    <w:rsid w:val="00212948"/>
  </w:style>
  <w:style w:type="paragraph" w:styleId="Index2">
    <w:name w:val="index 2"/>
    <w:basedOn w:val="Normal"/>
    <w:next w:val="Index1"/>
    <w:rsid w:val="00212948"/>
    <w:pPr>
      <w:ind w:left="284"/>
    </w:pPr>
  </w:style>
  <w:style w:type="paragraph" w:styleId="Index3">
    <w:name w:val="index 3"/>
    <w:basedOn w:val="Normal"/>
    <w:next w:val="Index1"/>
    <w:rsid w:val="00212948"/>
    <w:pPr>
      <w:ind w:left="567"/>
    </w:pPr>
  </w:style>
  <w:style w:type="paragraph" w:styleId="Index4">
    <w:name w:val="index 4"/>
    <w:basedOn w:val="Normal"/>
    <w:next w:val="Normal"/>
    <w:rsid w:val="00765BA8"/>
    <w:pPr>
      <w:ind w:left="880" w:hanging="220"/>
    </w:pPr>
  </w:style>
  <w:style w:type="paragraph" w:styleId="Index5">
    <w:name w:val="index 5"/>
    <w:basedOn w:val="Normal"/>
    <w:next w:val="Normal"/>
    <w:rsid w:val="00765BA8"/>
    <w:pPr>
      <w:ind w:left="1100" w:hanging="220"/>
    </w:pPr>
  </w:style>
  <w:style w:type="paragraph" w:styleId="Index6">
    <w:name w:val="index 6"/>
    <w:basedOn w:val="Normal"/>
    <w:next w:val="Normal"/>
    <w:rsid w:val="00765BA8"/>
    <w:pPr>
      <w:ind w:left="1320" w:hanging="220"/>
    </w:pPr>
  </w:style>
  <w:style w:type="paragraph" w:styleId="Index7">
    <w:name w:val="index 7"/>
    <w:basedOn w:val="Normal"/>
    <w:next w:val="Normal"/>
    <w:rsid w:val="00765BA8"/>
    <w:pPr>
      <w:ind w:left="1540" w:hanging="220"/>
    </w:pPr>
  </w:style>
  <w:style w:type="paragraph" w:styleId="Index8">
    <w:name w:val="index 8"/>
    <w:basedOn w:val="Normal"/>
    <w:next w:val="Normal"/>
    <w:rsid w:val="00765BA8"/>
    <w:pPr>
      <w:ind w:left="1760" w:hanging="220"/>
    </w:pPr>
  </w:style>
  <w:style w:type="paragraph" w:styleId="Index9">
    <w:name w:val="index 9"/>
    <w:basedOn w:val="Normal"/>
    <w:next w:val="Normal"/>
    <w:rsid w:val="00765BA8"/>
    <w:pPr>
      <w:ind w:left="1980" w:hanging="220"/>
    </w:pPr>
  </w:style>
  <w:style w:type="paragraph" w:styleId="IndexHeading">
    <w:name w:val="index heading"/>
    <w:basedOn w:val="Normal"/>
    <w:next w:val="Index1"/>
    <w:rsid w:val="00765BA8"/>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765BA8"/>
  </w:style>
  <w:style w:type="paragraph" w:customStyle="1" w:styleId="Single">
    <w:name w:val="Single"/>
    <w:basedOn w:val="Normal"/>
    <w:next w:val="CGCNumberedPara"/>
    <w:rsid w:val="00765BA8"/>
    <w:pPr>
      <w:spacing w:after="0" w:line="240" w:lineRule="auto"/>
    </w:pPr>
  </w:style>
  <w:style w:type="table" w:styleId="TableGrid">
    <w:name w:val="Table Grid"/>
    <w:basedOn w:val="TableNormal"/>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rsid w:val="00765BA8"/>
    <w:pPr>
      <w:tabs>
        <w:tab w:val="clear" w:pos="567"/>
      </w:tabs>
      <w:ind w:left="220" w:hanging="220"/>
    </w:pPr>
  </w:style>
  <w:style w:type="paragraph" w:styleId="TableofFigures">
    <w:name w:val="table of figures"/>
    <w:basedOn w:val="Normal"/>
    <w:next w:val="Normal"/>
    <w:rsid w:val="00765BA8"/>
    <w:pPr>
      <w:tabs>
        <w:tab w:val="clear" w:pos="567"/>
      </w:tabs>
    </w:pPr>
  </w:style>
  <w:style w:type="paragraph" w:customStyle="1" w:styleId="TableColHeadings">
    <w:name w:val="TableColHeadings"/>
    <w:basedOn w:val="Normal"/>
    <w:rsid w:val="00765BA8"/>
    <w:pPr>
      <w:keepNext/>
      <w:keepLines/>
      <w:tabs>
        <w:tab w:val="left" w:pos="475"/>
        <w:tab w:val="left" w:pos="1440"/>
        <w:tab w:val="left" w:pos="2160"/>
        <w:tab w:val="left" w:pos="2880"/>
      </w:tabs>
      <w:spacing w:before="60" w:after="60" w:line="240" w:lineRule="auto"/>
      <w:jc w:val="right"/>
    </w:pPr>
    <w:rPr>
      <w:sz w:val="20"/>
      <w:szCs w:val="20"/>
    </w:rPr>
  </w:style>
  <w:style w:type="paragraph" w:customStyle="1" w:styleId="TableRowUnits">
    <w:name w:val="TableRowUnits"/>
    <w:basedOn w:val="Normal"/>
    <w:rsid w:val="00765BA8"/>
    <w:pPr>
      <w:keepNext/>
      <w:keepLines/>
      <w:tabs>
        <w:tab w:val="left" w:pos="475"/>
        <w:tab w:val="left" w:pos="1440"/>
        <w:tab w:val="left" w:pos="2160"/>
        <w:tab w:val="left" w:pos="2880"/>
      </w:tabs>
      <w:spacing w:after="0" w:line="240" w:lineRule="auto"/>
      <w:jc w:val="right"/>
    </w:pPr>
    <w:rPr>
      <w:sz w:val="20"/>
      <w:szCs w:val="20"/>
    </w:rPr>
  </w:style>
  <w:style w:type="paragraph" w:styleId="TOAHeading">
    <w:name w:val="toa heading"/>
    <w:basedOn w:val="Normal"/>
    <w:next w:val="Normal"/>
    <w:rsid w:val="003A27BB"/>
    <w:pPr>
      <w:spacing w:before="120"/>
    </w:pPr>
    <w:rPr>
      <w:rFonts w:cs="Arial"/>
      <w:b/>
      <w:bCs/>
    </w:rPr>
  </w:style>
  <w:style w:type="paragraph" w:styleId="TOC1">
    <w:name w:val="toc 1"/>
    <w:basedOn w:val="Normal"/>
    <w:next w:val="Normal"/>
    <w:uiPriority w:val="39"/>
    <w:qFormat/>
    <w:rsid w:val="00996409"/>
    <w:pPr>
      <w:tabs>
        <w:tab w:val="clear" w:pos="567"/>
        <w:tab w:val="right" w:pos="8942"/>
      </w:tabs>
      <w:spacing w:before="120" w:after="120"/>
    </w:pPr>
    <w:rPr>
      <w:b/>
      <w:bCs/>
      <w:caps/>
      <w:szCs w:val="20"/>
    </w:rPr>
  </w:style>
  <w:style w:type="paragraph" w:styleId="TOC2">
    <w:name w:val="toc 2"/>
    <w:basedOn w:val="Normal"/>
    <w:next w:val="Normal"/>
    <w:uiPriority w:val="39"/>
    <w:qFormat/>
    <w:rsid w:val="00DE1C0E"/>
    <w:pPr>
      <w:tabs>
        <w:tab w:val="clear" w:pos="567"/>
        <w:tab w:val="right" w:pos="8942"/>
      </w:tabs>
      <w:spacing w:after="0"/>
      <w:ind w:left="284"/>
    </w:pPr>
    <w:rPr>
      <w:szCs w:val="20"/>
    </w:rPr>
  </w:style>
  <w:style w:type="paragraph" w:styleId="TOC3">
    <w:name w:val="toc 3"/>
    <w:basedOn w:val="Normal"/>
    <w:next w:val="Normal"/>
    <w:uiPriority w:val="39"/>
    <w:qFormat/>
    <w:rsid w:val="00DE1C0E"/>
    <w:pPr>
      <w:tabs>
        <w:tab w:val="clear" w:pos="567"/>
        <w:tab w:val="right" w:pos="8942"/>
      </w:tabs>
      <w:spacing w:after="0"/>
      <w:ind w:left="567"/>
    </w:pPr>
    <w:rPr>
      <w:iCs/>
    </w:rPr>
  </w:style>
  <w:style w:type="paragraph" w:styleId="TOC4">
    <w:name w:val="toc 4"/>
    <w:basedOn w:val="Normal"/>
    <w:next w:val="Normal"/>
    <w:rsid w:val="00996409"/>
    <w:pPr>
      <w:tabs>
        <w:tab w:val="clear" w:pos="567"/>
        <w:tab w:val="right" w:pos="8942"/>
      </w:tabs>
      <w:spacing w:after="0"/>
      <w:ind w:left="1134"/>
    </w:pPr>
  </w:style>
  <w:style w:type="paragraph" w:styleId="TOC5">
    <w:name w:val="toc 5"/>
    <w:basedOn w:val="Normal"/>
    <w:next w:val="Normal"/>
    <w:rsid w:val="00765BA8"/>
    <w:pPr>
      <w:tabs>
        <w:tab w:val="clear" w:pos="567"/>
      </w:tabs>
      <w:spacing w:after="0"/>
      <w:ind w:left="1701"/>
    </w:pPr>
    <w:rPr>
      <w:sz w:val="18"/>
      <w:szCs w:val="18"/>
    </w:rPr>
  </w:style>
  <w:style w:type="paragraph" w:styleId="TOC6">
    <w:name w:val="toc 6"/>
    <w:basedOn w:val="Normal"/>
    <w:next w:val="Normal"/>
    <w:rsid w:val="00765BA8"/>
    <w:pPr>
      <w:tabs>
        <w:tab w:val="clear" w:pos="567"/>
      </w:tabs>
      <w:spacing w:after="0"/>
      <w:ind w:left="1100"/>
    </w:pPr>
    <w:rPr>
      <w:sz w:val="18"/>
      <w:szCs w:val="18"/>
    </w:rPr>
  </w:style>
  <w:style w:type="paragraph" w:styleId="TOC7">
    <w:name w:val="toc 7"/>
    <w:basedOn w:val="Normal"/>
    <w:next w:val="Normal"/>
    <w:rsid w:val="00765BA8"/>
    <w:pPr>
      <w:tabs>
        <w:tab w:val="clear" w:pos="567"/>
      </w:tabs>
      <w:spacing w:after="0"/>
      <w:ind w:left="1320"/>
    </w:pPr>
    <w:rPr>
      <w:sz w:val="18"/>
      <w:szCs w:val="18"/>
    </w:rPr>
  </w:style>
  <w:style w:type="paragraph" w:styleId="TOC8">
    <w:name w:val="toc 8"/>
    <w:basedOn w:val="Normal"/>
    <w:next w:val="Normal"/>
    <w:rsid w:val="00765BA8"/>
    <w:pPr>
      <w:tabs>
        <w:tab w:val="clear" w:pos="567"/>
      </w:tabs>
      <w:spacing w:after="0"/>
      <w:ind w:left="1540"/>
    </w:pPr>
    <w:rPr>
      <w:sz w:val="18"/>
      <w:szCs w:val="18"/>
    </w:rPr>
  </w:style>
  <w:style w:type="paragraph" w:styleId="TOC9">
    <w:name w:val="toc 9"/>
    <w:basedOn w:val="Normal"/>
    <w:next w:val="Normal"/>
    <w:rsid w:val="00765BA8"/>
    <w:pPr>
      <w:tabs>
        <w:tab w:val="clear" w:pos="567"/>
      </w:tabs>
      <w:spacing w:after="0"/>
      <w:ind w:left="1760"/>
    </w:pPr>
    <w:rPr>
      <w:sz w:val="18"/>
      <w:szCs w:val="18"/>
    </w:rPr>
  </w:style>
  <w:style w:type="character" w:customStyle="1" w:styleId="Heading1Char">
    <w:name w:val="Heading 1 Char"/>
    <w:basedOn w:val="DefaultParagraphFont"/>
    <w:link w:val="Heading1"/>
    <w:rsid w:val="00622669"/>
    <w:rPr>
      <w:rFonts w:eastAsiaTheme="majorEastAsia" w:cstheme="majorBidi"/>
      <w:b/>
      <w:bCs/>
      <w:caps/>
      <w:color w:val="2C8558"/>
      <w:sz w:val="40"/>
      <w:szCs w:val="28"/>
    </w:rPr>
  </w:style>
  <w:style w:type="character" w:customStyle="1" w:styleId="Heading2Char">
    <w:name w:val="Heading 2 Char"/>
    <w:basedOn w:val="DefaultParagraphFont"/>
    <w:link w:val="Heading2"/>
    <w:uiPriority w:val="9"/>
    <w:rsid w:val="00622669"/>
    <w:rPr>
      <w:rFonts w:eastAsiaTheme="majorEastAsia" w:cstheme="majorBidi"/>
      <w:b/>
      <w:bCs/>
      <w:caps/>
      <w:color w:val="2C8558"/>
      <w:sz w:val="40"/>
      <w:szCs w:val="26"/>
    </w:rPr>
  </w:style>
  <w:style w:type="character" w:customStyle="1" w:styleId="Heading3Char">
    <w:name w:val="Heading 3 Char"/>
    <w:basedOn w:val="DefaultParagraphFont"/>
    <w:link w:val="Heading3"/>
    <w:uiPriority w:val="9"/>
    <w:rsid w:val="00622669"/>
    <w:rPr>
      <w:rFonts w:eastAsiaTheme="majorEastAsia" w:cstheme="majorBidi"/>
      <w:b/>
      <w:bCs/>
      <w:caps/>
      <w:color w:val="2C8558"/>
      <w:sz w:val="32"/>
    </w:rPr>
  </w:style>
  <w:style w:type="character" w:customStyle="1" w:styleId="Heading4Char">
    <w:name w:val="Heading 4 Char"/>
    <w:basedOn w:val="DefaultParagraphFont"/>
    <w:link w:val="Heading4"/>
    <w:uiPriority w:val="9"/>
    <w:rsid w:val="00622669"/>
    <w:rPr>
      <w:rFonts w:eastAsiaTheme="majorEastAsia" w:cstheme="majorBidi"/>
      <w:b/>
      <w:bCs/>
      <w:iCs/>
      <w:color w:val="2C8558"/>
      <w:sz w:val="32"/>
    </w:rPr>
  </w:style>
  <w:style w:type="character" w:customStyle="1" w:styleId="Heading5Char">
    <w:name w:val="Heading 5 Char"/>
    <w:basedOn w:val="DefaultParagraphFont"/>
    <w:link w:val="Heading5"/>
    <w:rsid w:val="00622669"/>
    <w:rPr>
      <w:rFonts w:eastAsiaTheme="majorEastAsia" w:cstheme="majorBidi"/>
      <w:b/>
      <w:i/>
      <w:color w:val="2C8558"/>
      <w:sz w:val="28"/>
    </w:rPr>
  </w:style>
  <w:style w:type="paragraph" w:styleId="NoSpacing">
    <w:name w:val="No Spacing"/>
    <w:link w:val="NoSpacingChar"/>
    <w:uiPriority w:val="1"/>
    <w:qFormat/>
    <w:rsid w:val="00622669"/>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F9170D"/>
    <w:rPr>
      <w:sz w:val="24"/>
    </w:rPr>
  </w:style>
  <w:style w:type="paragraph" w:styleId="ListParagraph">
    <w:name w:val="List Paragraph"/>
    <w:basedOn w:val="Normal"/>
    <w:uiPriority w:val="34"/>
    <w:qFormat/>
    <w:rsid w:val="00622669"/>
    <w:pPr>
      <w:tabs>
        <w:tab w:val="clear" w:pos="567"/>
      </w:tabs>
      <w:spacing w:line="300" w:lineRule="atLeast"/>
      <w:ind w:left="1134"/>
    </w:pPr>
    <w:rPr>
      <w:szCs w:val="24"/>
    </w:rPr>
  </w:style>
  <w:style w:type="paragraph" w:styleId="TOCHeading">
    <w:name w:val="TOC Heading"/>
    <w:basedOn w:val="Heading1"/>
    <w:next w:val="Normal"/>
    <w:uiPriority w:val="39"/>
    <w:unhideWhenUsed/>
    <w:qFormat/>
    <w:rsid w:val="00F9170D"/>
    <w:pPr>
      <w:keepLines/>
      <w:pBdr>
        <w:bottom w:val="none" w:sz="0" w:space="0" w:color="auto"/>
      </w:pBdr>
      <w:spacing w:before="480" w:line="320" w:lineRule="atLeast"/>
      <w:outlineLvl w:val="9"/>
    </w:pPr>
    <w:rPr>
      <w:rFonts w:asciiTheme="majorHAnsi" w:hAnsiTheme="majorHAnsi"/>
      <w:caps w:val="0"/>
      <w:color w:val="365F91" w:themeColor="accent1" w:themeShade="BF"/>
      <w:sz w:val="28"/>
    </w:rPr>
  </w:style>
  <w:style w:type="character" w:customStyle="1" w:styleId="FooterChar">
    <w:name w:val="Footer Char"/>
    <w:basedOn w:val="DefaultParagraphFont"/>
    <w:link w:val="Footer"/>
    <w:uiPriority w:val="99"/>
    <w:rsid w:val="00622669"/>
    <w:rPr>
      <w:sz w:val="24"/>
    </w:rPr>
  </w:style>
  <w:style w:type="character" w:customStyle="1" w:styleId="HeaderChar">
    <w:name w:val="Header Char"/>
    <w:basedOn w:val="DefaultParagraphFont"/>
    <w:link w:val="Header"/>
    <w:rsid w:val="00622669"/>
    <w:rPr>
      <w:sz w:val="24"/>
    </w:rPr>
  </w:style>
  <w:style w:type="paragraph" w:customStyle="1" w:styleId="CGCDataCaption">
    <w:name w:val="CGC Data Caption"/>
    <w:basedOn w:val="CGCTableFootnote"/>
    <w:next w:val="NoSpacing"/>
    <w:link w:val="DataCaptionChar"/>
    <w:qFormat/>
    <w:rsid w:val="00622669"/>
  </w:style>
  <w:style w:type="character" w:customStyle="1" w:styleId="CaptionChar">
    <w:name w:val="Caption Char"/>
    <w:basedOn w:val="DefaultParagraphFont"/>
    <w:link w:val="Caption"/>
    <w:rsid w:val="00622669"/>
    <w:rPr>
      <w:b/>
      <w:bCs/>
      <w:sz w:val="24"/>
      <w:szCs w:val="20"/>
    </w:rPr>
  </w:style>
  <w:style w:type="character" w:customStyle="1" w:styleId="DataCaptionChar">
    <w:name w:val="Data Caption Char"/>
    <w:basedOn w:val="DefaultParagraphFont"/>
    <w:link w:val="CGCDataCaption"/>
    <w:rsid w:val="00622669"/>
    <w:rPr>
      <w:sz w:val="20"/>
      <w:szCs w:val="24"/>
    </w:rPr>
  </w:style>
  <w:style w:type="character" w:customStyle="1" w:styleId="BalloonTextChar">
    <w:name w:val="Balloon Text Char"/>
    <w:basedOn w:val="DefaultParagraphFont"/>
    <w:link w:val="BalloonText"/>
    <w:uiPriority w:val="99"/>
    <w:rsid w:val="00622669"/>
    <w:rPr>
      <w:rFonts w:ascii="Tahoma" w:hAnsi="Tahoma" w:cs="Tahoma"/>
      <w:sz w:val="16"/>
      <w:szCs w:val="16"/>
    </w:rPr>
  </w:style>
  <w:style w:type="character" w:customStyle="1" w:styleId="FootnoteTextChar">
    <w:name w:val="Footnote Text Char"/>
    <w:basedOn w:val="DefaultParagraphFont"/>
    <w:link w:val="FootnoteText"/>
    <w:rsid w:val="00622669"/>
    <w:rPr>
      <w:sz w:val="20"/>
      <w:szCs w:val="20"/>
    </w:rPr>
  </w:style>
  <w:style w:type="character" w:customStyle="1" w:styleId="Heading6Char">
    <w:name w:val="Heading 6 Char"/>
    <w:basedOn w:val="DefaultParagraphFont"/>
    <w:link w:val="Heading6"/>
    <w:uiPriority w:val="9"/>
    <w:rsid w:val="00622669"/>
    <w:rPr>
      <w:rFonts w:eastAsiaTheme="majorEastAsia" w:cstheme="majorBidi"/>
      <w:b/>
      <w:i/>
      <w:iCs/>
      <w:color w:val="2C8558"/>
      <w:sz w:val="28"/>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character" w:customStyle="1" w:styleId="CGCBulletlistCharChar">
    <w:name w:val="CGC Bullet list Char Char"/>
    <w:basedOn w:val="DefaultParagraphFont"/>
    <w:link w:val="CGCBulletlist"/>
    <w:rsid w:val="00E42394"/>
    <w:rPr>
      <w:sz w:val="24"/>
      <w:szCs w:val="20"/>
    </w:rPr>
  </w:style>
  <w:style w:type="character" w:customStyle="1" w:styleId="CGCParaNoChar">
    <w:name w:val="CGC Para No Char"/>
    <w:aliases w:val="CGC Numbered Para Char"/>
    <w:basedOn w:val="DefaultParagraphFont"/>
    <w:link w:val="CGCNumberedPara"/>
    <w:rsid w:val="00E42394"/>
    <w:rPr>
      <w:sz w:val="24"/>
      <w:szCs w:val="24"/>
    </w:rPr>
  </w:style>
  <w:style w:type="character" w:customStyle="1" w:styleId="CGCTableFootnoteChar">
    <w:name w:val="CGC Table Footnote Char"/>
    <w:basedOn w:val="DefaultParagraphFont"/>
    <w:link w:val="CGCTableFootnote"/>
    <w:rsid w:val="00106444"/>
    <w:rPr>
      <w:sz w:val="20"/>
      <w:szCs w:val="24"/>
    </w:rPr>
  </w:style>
  <w:style w:type="character" w:customStyle="1" w:styleId="CGCTableHeadingChar">
    <w:name w:val="CGC Table Heading Char"/>
    <w:basedOn w:val="DefaultParagraphFont"/>
    <w:link w:val="CGCTableHeading"/>
    <w:rsid w:val="00106444"/>
    <w:rPr>
      <w:b/>
      <w:sz w:val="24"/>
      <w:szCs w:val="20"/>
    </w:rPr>
  </w:style>
  <w:style w:type="character" w:customStyle="1" w:styleId="CGCBulletlistChar">
    <w:name w:val="CGC Bullet list Char"/>
    <w:aliases w:val="CGC List 1 Char,CGC Bullet list Char1"/>
    <w:basedOn w:val="DefaultParagraphFont"/>
    <w:locked/>
    <w:rsid w:val="00D27885"/>
    <w:rPr>
      <w:sz w:val="24"/>
      <w:szCs w:val="20"/>
    </w:rPr>
  </w:style>
  <w:style w:type="paragraph" w:styleId="Revision">
    <w:name w:val="Revision"/>
    <w:hidden/>
    <w:uiPriority w:val="99"/>
    <w:semiHidden/>
    <w:rsid w:val="0048060A"/>
    <w:pPr>
      <w:spacing w:after="0" w:line="240" w:lineRule="auto"/>
    </w:pPr>
    <w:rPr>
      <w:sz w:val="24"/>
    </w:rPr>
  </w:style>
  <w:style w:type="character" w:styleId="FollowedHyperlink">
    <w:name w:val="FollowedHyperlink"/>
    <w:basedOn w:val="DefaultParagraphFont"/>
    <w:semiHidden/>
    <w:unhideWhenUsed/>
    <w:rsid w:val="00290F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549">
      <w:bodyDiv w:val="1"/>
      <w:marLeft w:val="0"/>
      <w:marRight w:val="0"/>
      <w:marTop w:val="0"/>
      <w:marBottom w:val="0"/>
      <w:divBdr>
        <w:top w:val="none" w:sz="0" w:space="0" w:color="auto"/>
        <w:left w:val="none" w:sz="0" w:space="0" w:color="auto"/>
        <w:bottom w:val="none" w:sz="0" w:space="0" w:color="auto"/>
        <w:right w:val="none" w:sz="0" w:space="0" w:color="auto"/>
      </w:divBdr>
    </w:div>
    <w:div w:id="32312218">
      <w:bodyDiv w:val="1"/>
      <w:marLeft w:val="0"/>
      <w:marRight w:val="0"/>
      <w:marTop w:val="0"/>
      <w:marBottom w:val="0"/>
      <w:divBdr>
        <w:top w:val="none" w:sz="0" w:space="0" w:color="auto"/>
        <w:left w:val="none" w:sz="0" w:space="0" w:color="auto"/>
        <w:bottom w:val="none" w:sz="0" w:space="0" w:color="auto"/>
        <w:right w:val="none" w:sz="0" w:space="0" w:color="auto"/>
      </w:divBdr>
    </w:div>
    <w:div w:id="40524741">
      <w:bodyDiv w:val="1"/>
      <w:marLeft w:val="0"/>
      <w:marRight w:val="0"/>
      <w:marTop w:val="0"/>
      <w:marBottom w:val="0"/>
      <w:divBdr>
        <w:top w:val="none" w:sz="0" w:space="0" w:color="auto"/>
        <w:left w:val="none" w:sz="0" w:space="0" w:color="auto"/>
        <w:bottom w:val="none" w:sz="0" w:space="0" w:color="auto"/>
        <w:right w:val="none" w:sz="0" w:space="0" w:color="auto"/>
      </w:divBdr>
    </w:div>
    <w:div w:id="169879783">
      <w:bodyDiv w:val="1"/>
      <w:marLeft w:val="0"/>
      <w:marRight w:val="0"/>
      <w:marTop w:val="0"/>
      <w:marBottom w:val="0"/>
      <w:divBdr>
        <w:top w:val="none" w:sz="0" w:space="0" w:color="auto"/>
        <w:left w:val="none" w:sz="0" w:space="0" w:color="auto"/>
        <w:bottom w:val="none" w:sz="0" w:space="0" w:color="auto"/>
        <w:right w:val="none" w:sz="0" w:space="0" w:color="auto"/>
      </w:divBdr>
    </w:div>
    <w:div w:id="240989063">
      <w:bodyDiv w:val="1"/>
      <w:marLeft w:val="0"/>
      <w:marRight w:val="0"/>
      <w:marTop w:val="0"/>
      <w:marBottom w:val="0"/>
      <w:divBdr>
        <w:top w:val="none" w:sz="0" w:space="0" w:color="auto"/>
        <w:left w:val="none" w:sz="0" w:space="0" w:color="auto"/>
        <w:bottom w:val="none" w:sz="0" w:space="0" w:color="auto"/>
        <w:right w:val="none" w:sz="0" w:space="0" w:color="auto"/>
      </w:divBdr>
    </w:div>
    <w:div w:id="260845805">
      <w:bodyDiv w:val="1"/>
      <w:marLeft w:val="0"/>
      <w:marRight w:val="0"/>
      <w:marTop w:val="0"/>
      <w:marBottom w:val="0"/>
      <w:divBdr>
        <w:top w:val="none" w:sz="0" w:space="0" w:color="auto"/>
        <w:left w:val="none" w:sz="0" w:space="0" w:color="auto"/>
        <w:bottom w:val="none" w:sz="0" w:space="0" w:color="auto"/>
        <w:right w:val="none" w:sz="0" w:space="0" w:color="auto"/>
      </w:divBdr>
    </w:div>
    <w:div w:id="294256874">
      <w:bodyDiv w:val="1"/>
      <w:marLeft w:val="0"/>
      <w:marRight w:val="0"/>
      <w:marTop w:val="0"/>
      <w:marBottom w:val="0"/>
      <w:divBdr>
        <w:top w:val="none" w:sz="0" w:space="0" w:color="auto"/>
        <w:left w:val="none" w:sz="0" w:space="0" w:color="auto"/>
        <w:bottom w:val="none" w:sz="0" w:space="0" w:color="auto"/>
        <w:right w:val="none" w:sz="0" w:space="0" w:color="auto"/>
      </w:divBdr>
    </w:div>
    <w:div w:id="306711340">
      <w:bodyDiv w:val="1"/>
      <w:marLeft w:val="0"/>
      <w:marRight w:val="0"/>
      <w:marTop w:val="0"/>
      <w:marBottom w:val="0"/>
      <w:divBdr>
        <w:top w:val="none" w:sz="0" w:space="0" w:color="auto"/>
        <w:left w:val="none" w:sz="0" w:space="0" w:color="auto"/>
        <w:bottom w:val="none" w:sz="0" w:space="0" w:color="auto"/>
        <w:right w:val="none" w:sz="0" w:space="0" w:color="auto"/>
      </w:divBdr>
    </w:div>
    <w:div w:id="331880991">
      <w:bodyDiv w:val="1"/>
      <w:marLeft w:val="0"/>
      <w:marRight w:val="0"/>
      <w:marTop w:val="0"/>
      <w:marBottom w:val="0"/>
      <w:divBdr>
        <w:top w:val="none" w:sz="0" w:space="0" w:color="auto"/>
        <w:left w:val="none" w:sz="0" w:space="0" w:color="auto"/>
        <w:bottom w:val="none" w:sz="0" w:space="0" w:color="auto"/>
        <w:right w:val="none" w:sz="0" w:space="0" w:color="auto"/>
      </w:divBdr>
    </w:div>
    <w:div w:id="370688318">
      <w:bodyDiv w:val="1"/>
      <w:marLeft w:val="0"/>
      <w:marRight w:val="0"/>
      <w:marTop w:val="0"/>
      <w:marBottom w:val="0"/>
      <w:divBdr>
        <w:top w:val="none" w:sz="0" w:space="0" w:color="auto"/>
        <w:left w:val="none" w:sz="0" w:space="0" w:color="auto"/>
        <w:bottom w:val="none" w:sz="0" w:space="0" w:color="auto"/>
        <w:right w:val="none" w:sz="0" w:space="0" w:color="auto"/>
      </w:divBdr>
    </w:div>
    <w:div w:id="449665576">
      <w:bodyDiv w:val="1"/>
      <w:marLeft w:val="0"/>
      <w:marRight w:val="0"/>
      <w:marTop w:val="0"/>
      <w:marBottom w:val="0"/>
      <w:divBdr>
        <w:top w:val="none" w:sz="0" w:space="0" w:color="auto"/>
        <w:left w:val="none" w:sz="0" w:space="0" w:color="auto"/>
        <w:bottom w:val="none" w:sz="0" w:space="0" w:color="auto"/>
        <w:right w:val="none" w:sz="0" w:space="0" w:color="auto"/>
      </w:divBdr>
    </w:div>
    <w:div w:id="535239407">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602734595">
      <w:bodyDiv w:val="1"/>
      <w:marLeft w:val="0"/>
      <w:marRight w:val="0"/>
      <w:marTop w:val="0"/>
      <w:marBottom w:val="0"/>
      <w:divBdr>
        <w:top w:val="none" w:sz="0" w:space="0" w:color="auto"/>
        <w:left w:val="none" w:sz="0" w:space="0" w:color="auto"/>
        <w:bottom w:val="none" w:sz="0" w:space="0" w:color="auto"/>
        <w:right w:val="none" w:sz="0" w:space="0" w:color="auto"/>
      </w:divBdr>
    </w:div>
    <w:div w:id="611281739">
      <w:bodyDiv w:val="1"/>
      <w:marLeft w:val="0"/>
      <w:marRight w:val="0"/>
      <w:marTop w:val="0"/>
      <w:marBottom w:val="0"/>
      <w:divBdr>
        <w:top w:val="none" w:sz="0" w:space="0" w:color="auto"/>
        <w:left w:val="none" w:sz="0" w:space="0" w:color="auto"/>
        <w:bottom w:val="none" w:sz="0" w:space="0" w:color="auto"/>
        <w:right w:val="none" w:sz="0" w:space="0" w:color="auto"/>
      </w:divBdr>
    </w:div>
    <w:div w:id="613942418">
      <w:bodyDiv w:val="1"/>
      <w:marLeft w:val="0"/>
      <w:marRight w:val="0"/>
      <w:marTop w:val="0"/>
      <w:marBottom w:val="0"/>
      <w:divBdr>
        <w:top w:val="none" w:sz="0" w:space="0" w:color="auto"/>
        <w:left w:val="none" w:sz="0" w:space="0" w:color="auto"/>
        <w:bottom w:val="none" w:sz="0" w:space="0" w:color="auto"/>
        <w:right w:val="none" w:sz="0" w:space="0" w:color="auto"/>
      </w:divBdr>
    </w:div>
    <w:div w:id="630593152">
      <w:bodyDiv w:val="1"/>
      <w:marLeft w:val="0"/>
      <w:marRight w:val="0"/>
      <w:marTop w:val="0"/>
      <w:marBottom w:val="0"/>
      <w:divBdr>
        <w:top w:val="none" w:sz="0" w:space="0" w:color="auto"/>
        <w:left w:val="none" w:sz="0" w:space="0" w:color="auto"/>
        <w:bottom w:val="none" w:sz="0" w:space="0" w:color="auto"/>
        <w:right w:val="none" w:sz="0" w:space="0" w:color="auto"/>
      </w:divBdr>
    </w:div>
    <w:div w:id="659388923">
      <w:bodyDiv w:val="1"/>
      <w:marLeft w:val="0"/>
      <w:marRight w:val="0"/>
      <w:marTop w:val="0"/>
      <w:marBottom w:val="0"/>
      <w:divBdr>
        <w:top w:val="none" w:sz="0" w:space="0" w:color="auto"/>
        <w:left w:val="none" w:sz="0" w:space="0" w:color="auto"/>
        <w:bottom w:val="none" w:sz="0" w:space="0" w:color="auto"/>
        <w:right w:val="none" w:sz="0" w:space="0" w:color="auto"/>
      </w:divBdr>
    </w:div>
    <w:div w:id="695236353">
      <w:bodyDiv w:val="1"/>
      <w:marLeft w:val="0"/>
      <w:marRight w:val="0"/>
      <w:marTop w:val="0"/>
      <w:marBottom w:val="0"/>
      <w:divBdr>
        <w:top w:val="none" w:sz="0" w:space="0" w:color="auto"/>
        <w:left w:val="none" w:sz="0" w:space="0" w:color="auto"/>
        <w:bottom w:val="none" w:sz="0" w:space="0" w:color="auto"/>
        <w:right w:val="none" w:sz="0" w:space="0" w:color="auto"/>
      </w:divBdr>
    </w:div>
    <w:div w:id="707148839">
      <w:bodyDiv w:val="1"/>
      <w:marLeft w:val="0"/>
      <w:marRight w:val="0"/>
      <w:marTop w:val="0"/>
      <w:marBottom w:val="0"/>
      <w:divBdr>
        <w:top w:val="none" w:sz="0" w:space="0" w:color="auto"/>
        <w:left w:val="none" w:sz="0" w:space="0" w:color="auto"/>
        <w:bottom w:val="none" w:sz="0" w:space="0" w:color="auto"/>
        <w:right w:val="none" w:sz="0" w:space="0" w:color="auto"/>
      </w:divBdr>
    </w:div>
    <w:div w:id="838539802">
      <w:bodyDiv w:val="1"/>
      <w:marLeft w:val="0"/>
      <w:marRight w:val="0"/>
      <w:marTop w:val="0"/>
      <w:marBottom w:val="0"/>
      <w:divBdr>
        <w:top w:val="none" w:sz="0" w:space="0" w:color="auto"/>
        <w:left w:val="none" w:sz="0" w:space="0" w:color="auto"/>
        <w:bottom w:val="none" w:sz="0" w:space="0" w:color="auto"/>
        <w:right w:val="none" w:sz="0" w:space="0" w:color="auto"/>
      </w:divBdr>
    </w:div>
    <w:div w:id="843203030">
      <w:bodyDiv w:val="1"/>
      <w:marLeft w:val="0"/>
      <w:marRight w:val="0"/>
      <w:marTop w:val="0"/>
      <w:marBottom w:val="0"/>
      <w:divBdr>
        <w:top w:val="none" w:sz="0" w:space="0" w:color="auto"/>
        <w:left w:val="none" w:sz="0" w:space="0" w:color="auto"/>
        <w:bottom w:val="none" w:sz="0" w:space="0" w:color="auto"/>
        <w:right w:val="none" w:sz="0" w:space="0" w:color="auto"/>
      </w:divBdr>
    </w:div>
    <w:div w:id="897790399">
      <w:bodyDiv w:val="1"/>
      <w:marLeft w:val="0"/>
      <w:marRight w:val="0"/>
      <w:marTop w:val="0"/>
      <w:marBottom w:val="0"/>
      <w:divBdr>
        <w:top w:val="none" w:sz="0" w:space="0" w:color="auto"/>
        <w:left w:val="none" w:sz="0" w:space="0" w:color="auto"/>
        <w:bottom w:val="none" w:sz="0" w:space="0" w:color="auto"/>
        <w:right w:val="none" w:sz="0" w:space="0" w:color="auto"/>
      </w:divBdr>
    </w:div>
    <w:div w:id="909922864">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144851114">
      <w:bodyDiv w:val="1"/>
      <w:marLeft w:val="0"/>
      <w:marRight w:val="0"/>
      <w:marTop w:val="0"/>
      <w:marBottom w:val="0"/>
      <w:divBdr>
        <w:top w:val="none" w:sz="0" w:space="0" w:color="auto"/>
        <w:left w:val="none" w:sz="0" w:space="0" w:color="auto"/>
        <w:bottom w:val="none" w:sz="0" w:space="0" w:color="auto"/>
        <w:right w:val="none" w:sz="0" w:space="0" w:color="auto"/>
      </w:divBdr>
    </w:div>
    <w:div w:id="1245921704">
      <w:bodyDiv w:val="1"/>
      <w:marLeft w:val="0"/>
      <w:marRight w:val="0"/>
      <w:marTop w:val="0"/>
      <w:marBottom w:val="0"/>
      <w:divBdr>
        <w:top w:val="none" w:sz="0" w:space="0" w:color="auto"/>
        <w:left w:val="none" w:sz="0" w:space="0" w:color="auto"/>
        <w:bottom w:val="none" w:sz="0" w:space="0" w:color="auto"/>
        <w:right w:val="none" w:sz="0" w:space="0" w:color="auto"/>
      </w:divBdr>
    </w:div>
    <w:div w:id="1326740935">
      <w:bodyDiv w:val="1"/>
      <w:marLeft w:val="0"/>
      <w:marRight w:val="0"/>
      <w:marTop w:val="0"/>
      <w:marBottom w:val="0"/>
      <w:divBdr>
        <w:top w:val="none" w:sz="0" w:space="0" w:color="auto"/>
        <w:left w:val="none" w:sz="0" w:space="0" w:color="auto"/>
        <w:bottom w:val="none" w:sz="0" w:space="0" w:color="auto"/>
        <w:right w:val="none" w:sz="0" w:space="0" w:color="auto"/>
      </w:divBdr>
    </w:div>
    <w:div w:id="1355577337">
      <w:bodyDiv w:val="1"/>
      <w:marLeft w:val="0"/>
      <w:marRight w:val="0"/>
      <w:marTop w:val="0"/>
      <w:marBottom w:val="0"/>
      <w:divBdr>
        <w:top w:val="none" w:sz="0" w:space="0" w:color="auto"/>
        <w:left w:val="none" w:sz="0" w:space="0" w:color="auto"/>
        <w:bottom w:val="none" w:sz="0" w:space="0" w:color="auto"/>
        <w:right w:val="none" w:sz="0" w:space="0" w:color="auto"/>
      </w:divBdr>
    </w:div>
    <w:div w:id="1357274338">
      <w:bodyDiv w:val="1"/>
      <w:marLeft w:val="0"/>
      <w:marRight w:val="0"/>
      <w:marTop w:val="0"/>
      <w:marBottom w:val="0"/>
      <w:divBdr>
        <w:top w:val="none" w:sz="0" w:space="0" w:color="auto"/>
        <w:left w:val="none" w:sz="0" w:space="0" w:color="auto"/>
        <w:bottom w:val="none" w:sz="0" w:space="0" w:color="auto"/>
        <w:right w:val="none" w:sz="0" w:space="0" w:color="auto"/>
      </w:divBdr>
    </w:div>
    <w:div w:id="1394700127">
      <w:bodyDiv w:val="1"/>
      <w:marLeft w:val="0"/>
      <w:marRight w:val="0"/>
      <w:marTop w:val="0"/>
      <w:marBottom w:val="0"/>
      <w:divBdr>
        <w:top w:val="none" w:sz="0" w:space="0" w:color="auto"/>
        <w:left w:val="none" w:sz="0" w:space="0" w:color="auto"/>
        <w:bottom w:val="none" w:sz="0" w:space="0" w:color="auto"/>
        <w:right w:val="none" w:sz="0" w:space="0" w:color="auto"/>
      </w:divBdr>
    </w:div>
    <w:div w:id="1459832351">
      <w:bodyDiv w:val="1"/>
      <w:marLeft w:val="0"/>
      <w:marRight w:val="0"/>
      <w:marTop w:val="0"/>
      <w:marBottom w:val="0"/>
      <w:divBdr>
        <w:top w:val="none" w:sz="0" w:space="0" w:color="auto"/>
        <w:left w:val="none" w:sz="0" w:space="0" w:color="auto"/>
        <w:bottom w:val="none" w:sz="0" w:space="0" w:color="auto"/>
        <w:right w:val="none" w:sz="0" w:space="0" w:color="auto"/>
      </w:divBdr>
    </w:div>
    <w:div w:id="1472792107">
      <w:bodyDiv w:val="1"/>
      <w:marLeft w:val="0"/>
      <w:marRight w:val="0"/>
      <w:marTop w:val="0"/>
      <w:marBottom w:val="0"/>
      <w:divBdr>
        <w:top w:val="none" w:sz="0" w:space="0" w:color="auto"/>
        <w:left w:val="none" w:sz="0" w:space="0" w:color="auto"/>
        <w:bottom w:val="none" w:sz="0" w:space="0" w:color="auto"/>
        <w:right w:val="none" w:sz="0" w:space="0" w:color="auto"/>
      </w:divBdr>
    </w:div>
    <w:div w:id="1511874981">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49295922">
      <w:bodyDiv w:val="1"/>
      <w:marLeft w:val="0"/>
      <w:marRight w:val="0"/>
      <w:marTop w:val="0"/>
      <w:marBottom w:val="0"/>
      <w:divBdr>
        <w:top w:val="none" w:sz="0" w:space="0" w:color="auto"/>
        <w:left w:val="none" w:sz="0" w:space="0" w:color="auto"/>
        <w:bottom w:val="none" w:sz="0" w:space="0" w:color="auto"/>
        <w:right w:val="none" w:sz="0" w:space="0" w:color="auto"/>
      </w:divBdr>
    </w:div>
    <w:div w:id="1601792013">
      <w:bodyDiv w:val="1"/>
      <w:marLeft w:val="0"/>
      <w:marRight w:val="0"/>
      <w:marTop w:val="0"/>
      <w:marBottom w:val="0"/>
      <w:divBdr>
        <w:top w:val="none" w:sz="0" w:space="0" w:color="auto"/>
        <w:left w:val="none" w:sz="0" w:space="0" w:color="auto"/>
        <w:bottom w:val="none" w:sz="0" w:space="0" w:color="auto"/>
        <w:right w:val="none" w:sz="0" w:space="0" w:color="auto"/>
      </w:divBdr>
    </w:div>
    <w:div w:id="1614171432">
      <w:bodyDiv w:val="1"/>
      <w:marLeft w:val="0"/>
      <w:marRight w:val="0"/>
      <w:marTop w:val="0"/>
      <w:marBottom w:val="0"/>
      <w:divBdr>
        <w:top w:val="none" w:sz="0" w:space="0" w:color="auto"/>
        <w:left w:val="none" w:sz="0" w:space="0" w:color="auto"/>
        <w:bottom w:val="none" w:sz="0" w:space="0" w:color="auto"/>
        <w:right w:val="none" w:sz="0" w:space="0" w:color="auto"/>
      </w:divBdr>
    </w:div>
    <w:div w:id="1738941610">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810585491">
      <w:bodyDiv w:val="1"/>
      <w:marLeft w:val="0"/>
      <w:marRight w:val="0"/>
      <w:marTop w:val="0"/>
      <w:marBottom w:val="0"/>
      <w:divBdr>
        <w:top w:val="none" w:sz="0" w:space="0" w:color="auto"/>
        <w:left w:val="none" w:sz="0" w:space="0" w:color="auto"/>
        <w:bottom w:val="none" w:sz="0" w:space="0" w:color="auto"/>
        <w:right w:val="none" w:sz="0" w:space="0" w:color="auto"/>
      </w:divBdr>
    </w:div>
    <w:div w:id="1878663410">
      <w:bodyDiv w:val="1"/>
      <w:marLeft w:val="0"/>
      <w:marRight w:val="0"/>
      <w:marTop w:val="0"/>
      <w:marBottom w:val="0"/>
      <w:divBdr>
        <w:top w:val="none" w:sz="0" w:space="0" w:color="auto"/>
        <w:left w:val="none" w:sz="0" w:space="0" w:color="auto"/>
        <w:bottom w:val="none" w:sz="0" w:space="0" w:color="auto"/>
        <w:right w:val="none" w:sz="0" w:space="0" w:color="auto"/>
      </w:divBdr>
    </w:div>
    <w:div w:id="1894540396">
      <w:bodyDiv w:val="1"/>
      <w:marLeft w:val="0"/>
      <w:marRight w:val="0"/>
      <w:marTop w:val="0"/>
      <w:marBottom w:val="0"/>
      <w:divBdr>
        <w:top w:val="none" w:sz="0" w:space="0" w:color="auto"/>
        <w:left w:val="none" w:sz="0" w:space="0" w:color="auto"/>
        <w:bottom w:val="none" w:sz="0" w:space="0" w:color="auto"/>
        <w:right w:val="none" w:sz="0" w:space="0" w:color="auto"/>
      </w:divBdr>
    </w:div>
    <w:div w:id="1969890687">
      <w:bodyDiv w:val="1"/>
      <w:marLeft w:val="0"/>
      <w:marRight w:val="0"/>
      <w:marTop w:val="0"/>
      <w:marBottom w:val="0"/>
      <w:divBdr>
        <w:top w:val="none" w:sz="0" w:space="0" w:color="auto"/>
        <w:left w:val="none" w:sz="0" w:space="0" w:color="auto"/>
        <w:bottom w:val="none" w:sz="0" w:space="0" w:color="auto"/>
        <w:right w:val="none" w:sz="0" w:space="0" w:color="auto"/>
      </w:divBdr>
    </w:div>
    <w:div w:id="2042046185">
      <w:bodyDiv w:val="1"/>
      <w:marLeft w:val="0"/>
      <w:marRight w:val="0"/>
      <w:marTop w:val="0"/>
      <w:marBottom w:val="0"/>
      <w:divBdr>
        <w:top w:val="none" w:sz="0" w:space="0" w:color="auto"/>
        <w:left w:val="none" w:sz="0" w:space="0" w:color="auto"/>
        <w:bottom w:val="none" w:sz="0" w:space="0" w:color="auto"/>
        <w:right w:val="none" w:sz="0" w:space="0" w:color="auto"/>
      </w:divBdr>
    </w:div>
    <w:div w:id="208544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reativecommons.org/licenses/by/3.0"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cretary@cgc.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mailto:annie.abello@cgc.gov.au" TargetMode="External"/><Relationship Id="rId19"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1.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5838</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2018-04-18T01:19:00Z</dcterms:created>
  <dcterms:modified xsi:type="dcterms:W3CDTF">2018-04-18T01:23:00Z</dcterms:modified>
</cp:coreProperties>
</file>