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141288" w14:textId="77777777" w:rsidR="00F46EFD" w:rsidRPr="00970E6D" w:rsidRDefault="00F46EFD" w:rsidP="00F46EFD">
      <w:pPr>
        <w:tabs>
          <w:tab w:val="clear" w:pos="567"/>
        </w:tabs>
        <w:jc w:val="center"/>
        <w:rPr>
          <w:b/>
          <w:bCs/>
        </w:rPr>
      </w:pPr>
      <w:bookmarkStart w:id="0" w:name="_Toc106707122"/>
      <w:bookmarkStart w:id="1" w:name="_Toc155675722"/>
      <w:bookmarkStart w:id="2" w:name="_Toc155675934"/>
      <w:bookmarkStart w:id="3" w:name="_Toc155675975"/>
      <w:bookmarkStart w:id="4" w:name="_Toc155676245"/>
      <w:bookmarkStart w:id="5" w:name="_Toc174415768"/>
      <w:r w:rsidRPr="00970E6D">
        <w:rPr>
          <w:noProof/>
          <w:lang w:eastAsia="en-AU"/>
        </w:rPr>
        <w:drawing>
          <wp:inline distT="0" distB="0" distL="0" distR="0" wp14:anchorId="5738B195" wp14:editId="350176B3">
            <wp:extent cx="2933700" cy="1524600"/>
            <wp:effectExtent l="19050" t="0" r="0" b="0"/>
            <wp:docPr id="1" name="Picture 1" descr="Commonwealth Grant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C_stackedstrip"/>
                    <pic:cNvPicPr>
                      <a:picLocks noChangeAspect="1" noChangeArrowheads="1"/>
                    </pic:cNvPicPr>
                  </pic:nvPicPr>
                  <pic:blipFill>
                    <a:blip r:embed="rId8" cstate="print"/>
                    <a:srcRect/>
                    <a:stretch>
                      <a:fillRect/>
                    </a:stretch>
                  </pic:blipFill>
                  <pic:spPr bwMode="auto">
                    <a:xfrm>
                      <a:off x="0" y="0"/>
                      <a:ext cx="2933700" cy="1524600"/>
                    </a:xfrm>
                    <a:prstGeom prst="rect">
                      <a:avLst/>
                    </a:prstGeom>
                    <a:noFill/>
                    <a:ln w="9525">
                      <a:noFill/>
                      <a:miter lim="800000"/>
                      <a:headEnd/>
                      <a:tailEnd/>
                    </a:ln>
                  </pic:spPr>
                </pic:pic>
              </a:graphicData>
            </a:graphic>
          </wp:inline>
        </w:drawing>
      </w:r>
    </w:p>
    <w:p w14:paraId="2117C027" w14:textId="77777777" w:rsidR="00F46EFD" w:rsidRPr="00970E6D" w:rsidRDefault="00F46EFD" w:rsidP="00F46EFD">
      <w:pPr>
        <w:tabs>
          <w:tab w:val="clear" w:pos="567"/>
        </w:tabs>
        <w:jc w:val="center"/>
        <w:rPr>
          <w:b/>
          <w:sz w:val="40"/>
          <w:szCs w:val="40"/>
        </w:rPr>
      </w:pPr>
    </w:p>
    <w:p w14:paraId="27335C5B" w14:textId="77777777" w:rsidR="00F46EFD" w:rsidRPr="00970E6D" w:rsidRDefault="00F46EFD" w:rsidP="00F46EFD">
      <w:pPr>
        <w:tabs>
          <w:tab w:val="clear" w:pos="567"/>
        </w:tabs>
        <w:jc w:val="center"/>
        <w:rPr>
          <w:b/>
          <w:sz w:val="40"/>
          <w:szCs w:val="40"/>
        </w:rPr>
      </w:pPr>
    </w:p>
    <w:p w14:paraId="786ACDC5" w14:textId="77777777" w:rsidR="00F46EFD" w:rsidRPr="00970E6D" w:rsidRDefault="00F46EFD" w:rsidP="00F46EFD">
      <w:pPr>
        <w:tabs>
          <w:tab w:val="clear" w:pos="567"/>
        </w:tabs>
        <w:jc w:val="center"/>
        <w:rPr>
          <w:b/>
          <w:sz w:val="40"/>
          <w:szCs w:val="40"/>
        </w:rPr>
      </w:pPr>
      <w:r w:rsidRPr="00970E6D">
        <w:rPr>
          <w:b/>
          <w:sz w:val="40"/>
          <w:szCs w:val="40"/>
        </w:rPr>
        <w:t>20</w:t>
      </w:r>
      <w:r>
        <w:rPr>
          <w:b/>
          <w:sz w:val="40"/>
          <w:szCs w:val="40"/>
        </w:rPr>
        <w:t>20</w:t>
      </w:r>
      <w:r w:rsidRPr="00970E6D">
        <w:rPr>
          <w:b/>
          <w:sz w:val="40"/>
          <w:szCs w:val="40"/>
        </w:rPr>
        <w:t xml:space="preserve"> REVIEW</w:t>
      </w:r>
    </w:p>
    <w:p w14:paraId="3465000B" w14:textId="77777777" w:rsidR="00F46EFD" w:rsidRPr="00970E6D" w:rsidRDefault="00F46EFD" w:rsidP="00F46EFD">
      <w:pPr>
        <w:tabs>
          <w:tab w:val="clear" w:pos="567"/>
        </w:tabs>
        <w:jc w:val="center"/>
        <w:rPr>
          <w:b/>
          <w:sz w:val="40"/>
          <w:szCs w:val="40"/>
        </w:rPr>
      </w:pPr>
    </w:p>
    <w:p w14:paraId="21BF7B0B" w14:textId="77777777" w:rsidR="00F46EFD" w:rsidRPr="00970E6D" w:rsidRDefault="00F46EFD" w:rsidP="00F46EFD">
      <w:pPr>
        <w:tabs>
          <w:tab w:val="clear" w:pos="567"/>
        </w:tabs>
        <w:jc w:val="center"/>
        <w:rPr>
          <w:b/>
          <w:sz w:val="40"/>
          <w:szCs w:val="40"/>
        </w:rPr>
      </w:pPr>
    </w:p>
    <w:p w14:paraId="49E00EB1" w14:textId="77777777" w:rsidR="00F46EFD" w:rsidRPr="00970E6D" w:rsidRDefault="00F46EFD" w:rsidP="00F46EFD">
      <w:pPr>
        <w:tabs>
          <w:tab w:val="clear" w:pos="567"/>
        </w:tabs>
        <w:jc w:val="center"/>
        <w:rPr>
          <w:b/>
          <w:sz w:val="40"/>
          <w:szCs w:val="40"/>
        </w:rPr>
      </w:pPr>
    </w:p>
    <w:p w14:paraId="33A070E5" w14:textId="77777777" w:rsidR="00F46EFD" w:rsidRDefault="00F46EFD" w:rsidP="00F46EFD">
      <w:pPr>
        <w:tabs>
          <w:tab w:val="clear" w:pos="567"/>
        </w:tabs>
        <w:jc w:val="center"/>
        <w:rPr>
          <w:b/>
          <w:sz w:val="40"/>
          <w:szCs w:val="40"/>
        </w:rPr>
      </w:pPr>
      <w:r>
        <w:rPr>
          <w:b/>
          <w:sz w:val="40"/>
          <w:szCs w:val="40"/>
        </w:rPr>
        <w:t xml:space="preserve">OTHER DISABILITIES </w:t>
      </w:r>
    </w:p>
    <w:p w14:paraId="2D17DDCE" w14:textId="77777777" w:rsidR="00F46EFD" w:rsidRDefault="00F46EFD" w:rsidP="00F46EFD">
      <w:pPr>
        <w:tabs>
          <w:tab w:val="clear" w:pos="567"/>
        </w:tabs>
        <w:jc w:val="center"/>
        <w:rPr>
          <w:b/>
          <w:sz w:val="40"/>
          <w:szCs w:val="40"/>
        </w:rPr>
      </w:pPr>
      <w:r>
        <w:rPr>
          <w:b/>
          <w:sz w:val="40"/>
          <w:szCs w:val="40"/>
        </w:rPr>
        <w:t>Cross-border</w:t>
      </w:r>
    </w:p>
    <w:p w14:paraId="07A4EECC" w14:textId="77777777" w:rsidR="00F46EFD" w:rsidRDefault="00F46EFD" w:rsidP="00F46EFD">
      <w:pPr>
        <w:tabs>
          <w:tab w:val="clear" w:pos="567"/>
        </w:tabs>
        <w:jc w:val="center"/>
        <w:rPr>
          <w:b/>
          <w:sz w:val="40"/>
          <w:szCs w:val="40"/>
        </w:rPr>
      </w:pPr>
      <w:r>
        <w:rPr>
          <w:b/>
          <w:sz w:val="40"/>
          <w:szCs w:val="40"/>
        </w:rPr>
        <w:t>National capital</w:t>
      </w:r>
    </w:p>
    <w:p w14:paraId="5D69BC1C" w14:textId="77777777" w:rsidR="00F46EFD" w:rsidRDefault="00F46EFD" w:rsidP="00F46EFD">
      <w:pPr>
        <w:tabs>
          <w:tab w:val="clear" w:pos="567"/>
        </w:tabs>
        <w:jc w:val="center"/>
        <w:rPr>
          <w:b/>
          <w:sz w:val="40"/>
          <w:szCs w:val="40"/>
        </w:rPr>
      </w:pPr>
      <w:r>
        <w:rPr>
          <w:b/>
          <w:sz w:val="40"/>
          <w:szCs w:val="40"/>
        </w:rPr>
        <w:t>Native title and land rights</w:t>
      </w:r>
    </w:p>
    <w:p w14:paraId="3C625A42" w14:textId="77777777" w:rsidR="00F46EFD" w:rsidRPr="00970E6D" w:rsidRDefault="00F46EFD" w:rsidP="00F46EFD">
      <w:pPr>
        <w:tabs>
          <w:tab w:val="clear" w:pos="567"/>
        </w:tabs>
        <w:jc w:val="center"/>
        <w:rPr>
          <w:b/>
          <w:sz w:val="40"/>
          <w:szCs w:val="40"/>
        </w:rPr>
      </w:pPr>
    </w:p>
    <w:p w14:paraId="242D78E2" w14:textId="77777777" w:rsidR="00F46EFD" w:rsidRPr="00970E6D" w:rsidRDefault="00F46EFD" w:rsidP="00F46EFD">
      <w:pPr>
        <w:tabs>
          <w:tab w:val="clear" w:pos="567"/>
        </w:tabs>
        <w:jc w:val="center"/>
        <w:rPr>
          <w:b/>
          <w:sz w:val="40"/>
          <w:szCs w:val="40"/>
        </w:rPr>
      </w:pPr>
    </w:p>
    <w:p w14:paraId="7F8346F2" w14:textId="77777777" w:rsidR="00F46EFD" w:rsidRPr="00970E6D" w:rsidRDefault="00F46EFD" w:rsidP="00F46EFD">
      <w:pPr>
        <w:tabs>
          <w:tab w:val="clear" w:pos="567"/>
        </w:tabs>
        <w:jc w:val="center"/>
        <w:rPr>
          <w:b/>
          <w:sz w:val="40"/>
          <w:szCs w:val="40"/>
        </w:rPr>
      </w:pPr>
    </w:p>
    <w:p w14:paraId="6A45B1BD" w14:textId="2F81807C" w:rsidR="00F46EFD" w:rsidRPr="00970E6D" w:rsidRDefault="00C71C08" w:rsidP="00F46EFD">
      <w:pPr>
        <w:tabs>
          <w:tab w:val="clear" w:pos="567"/>
        </w:tabs>
        <w:jc w:val="center"/>
        <w:rPr>
          <w:b/>
          <w:sz w:val="40"/>
          <w:szCs w:val="40"/>
        </w:rPr>
      </w:pPr>
      <w:r>
        <w:rPr>
          <w:b/>
          <w:sz w:val="40"/>
          <w:szCs w:val="40"/>
        </w:rPr>
        <w:t xml:space="preserve">STAFF </w:t>
      </w:r>
      <w:r w:rsidR="00F46EFD">
        <w:rPr>
          <w:b/>
          <w:sz w:val="40"/>
          <w:szCs w:val="40"/>
        </w:rPr>
        <w:t>DRAFT ASSESSMENT PAPER</w:t>
      </w:r>
      <w:r w:rsidR="00F46EFD">
        <w:rPr>
          <w:b/>
          <w:sz w:val="40"/>
          <w:szCs w:val="40"/>
        </w:rPr>
        <w:br/>
        <w:t>CGC 20</w:t>
      </w:r>
      <w:r w:rsidR="00F46EFD" w:rsidRPr="00970E6D">
        <w:rPr>
          <w:b/>
          <w:sz w:val="40"/>
          <w:szCs w:val="40"/>
        </w:rPr>
        <w:t>1</w:t>
      </w:r>
      <w:r w:rsidR="00F46EFD">
        <w:rPr>
          <w:b/>
          <w:sz w:val="40"/>
          <w:szCs w:val="40"/>
        </w:rPr>
        <w:t>8</w:t>
      </w:r>
      <w:r w:rsidR="00F46EFD" w:rsidRPr="00970E6D">
        <w:rPr>
          <w:b/>
          <w:sz w:val="40"/>
          <w:szCs w:val="40"/>
        </w:rPr>
        <w:t>-</w:t>
      </w:r>
      <w:r w:rsidR="00F46EFD">
        <w:rPr>
          <w:b/>
          <w:sz w:val="40"/>
          <w:szCs w:val="40"/>
        </w:rPr>
        <w:t>01/</w:t>
      </w:r>
      <w:r w:rsidR="000C6D20">
        <w:rPr>
          <w:b/>
          <w:sz w:val="40"/>
          <w:szCs w:val="40"/>
        </w:rPr>
        <w:t>25</w:t>
      </w:r>
      <w:r w:rsidR="00F46EFD">
        <w:rPr>
          <w:b/>
          <w:sz w:val="40"/>
          <w:szCs w:val="40"/>
        </w:rPr>
        <w:t>-S</w:t>
      </w:r>
    </w:p>
    <w:p w14:paraId="0EC09B5F" w14:textId="77777777" w:rsidR="00F46EFD" w:rsidRPr="00970E6D" w:rsidRDefault="00F46EFD" w:rsidP="00F46EFD">
      <w:pPr>
        <w:tabs>
          <w:tab w:val="clear" w:pos="567"/>
        </w:tabs>
        <w:jc w:val="center"/>
        <w:rPr>
          <w:b/>
          <w:sz w:val="40"/>
          <w:szCs w:val="40"/>
        </w:rPr>
      </w:pPr>
    </w:p>
    <w:p w14:paraId="0E153AB8" w14:textId="77777777" w:rsidR="00F46EFD" w:rsidRPr="00970E6D" w:rsidRDefault="00F46EFD" w:rsidP="00F46EFD">
      <w:pPr>
        <w:tabs>
          <w:tab w:val="clear" w:pos="567"/>
        </w:tabs>
        <w:jc w:val="center"/>
        <w:rPr>
          <w:b/>
          <w:sz w:val="40"/>
          <w:szCs w:val="40"/>
        </w:rPr>
      </w:pPr>
    </w:p>
    <w:p w14:paraId="5F7A68F4" w14:textId="77777777" w:rsidR="00F46EFD" w:rsidRPr="00970E6D" w:rsidRDefault="00F46EFD" w:rsidP="00F46EFD">
      <w:pPr>
        <w:tabs>
          <w:tab w:val="clear" w:pos="567"/>
        </w:tabs>
        <w:jc w:val="center"/>
        <w:rPr>
          <w:sz w:val="40"/>
          <w:szCs w:val="40"/>
        </w:rPr>
      </w:pPr>
    </w:p>
    <w:p w14:paraId="761936BF" w14:textId="77777777" w:rsidR="00F46EFD" w:rsidRPr="00970E6D" w:rsidRDefault="00F46EFD" w:rsidP="00F46EFD">
      <w:pPr>
        <w:tabs>
          <w:tab w:val="clear" w:pos="567"/>
        </w:tabs>
        <w:jc w:val="right"/>
        <w:rPr>
          <w:b/>
          <w:sz w:val="28"/>
          <w:szCs w:val="28"/>
        </w:rPr>
      </w:pPr>
      <w:r>
        <w:rPr>
          <w:b/>
          <w:sz w:val="28"/>
          <w:szCs w:val="28"/>
        </w:rPr>
        <w:t>APRIL 2018</w:t>
      </w:r>
    </w:p>
    <w:p w14:paraId="405642FC" w14:textId="77777777" w:rsidR="00F46EFD" w:rsidRPr="00970E6D" w:rsidRDefault="00F46EFD" w:rsidP="00F46EFD">
      <w:pPr>
        <w:tabs>
          <w:tab w:val="clear" w:pos="567"/>
        </w:tabs>
      </w:pPr>
    </w:p>
    <w:p w14:paraId="4854924A" w14:textId="77777777" w:rsidR="00F46EFD" w:rsidRPr="00970E6D" w:rsidRDefault="00F46EFD" w:rsidP="00F46EFD">
      <w:pPr>
        <w:tabs>
          <w:tab w:val="clear" w:pos="567"/>
        </w:tabs>
        <w:sectPr w:rsidR="00F46EFD" w:rsidRPr="00970E6D" w:rsidSect="00412BFF">
          <w:footerReference w:type="default" r:id="rId9"/>
          <w:pgSz w:w="11899" w:h="16838" w:code="9"/>
          <w:pgMar w:top="1701" w:right="1474" w:bottom="1701" w:left="1474" w:header="709" w:footer="709" w:gutter="0"/>
          <w:cols w:space="708"/>
          <w:titlePg/>
          <w:docGrid w:linePitch="299"/>
        </w:sectPr>
      </w:pPr>
    </w:p>
    <w:p w14:paraId="60ED46CF" w14:textId="77777777" w:rsidR="00F46EFD" w:rsidRPr="00970E6D" w:rsidRDefault="00F46EFD" w:rsidP="00F46EFD">
      <w:pPr>
        <w:tabs>
          <w:tab w:val="clear" w:pos="567"/>
        </w:tabs>
      </w:pPr>
    </w:p>
    <w:tbl>
      <w:tblPr>
        <w:tblStyle w:val="TableGrid"/>
        <w:tblW w:w="5000" w:type="pct"/>
        <w:tblLook w:val="01E0" w:firstRow="1" w:lastRow="1" w:firstColumn="1" w:lastColumn="1" w:noHBand="0" w:noVBand="0"/>
      </w:tblPr>
      <w:tblGrid>
        <w:gridCol w:w="2943"/>
        <w:gridCol w:w="6224"/>
      </w:tblGrid>
      <w:tr w:rsidR="00F46EFD" w:rsidRPr="00970E6D" w14:paraId="4DF347A6" w14:textId="77777777" w:rsidTr="00412BFF">
        <w:tc>
          <w:tcPr>
            <w:tcW w:w="1605" w:type="pct"/>
            <w:tcBorders>
              <w:top w:val="single" w:sz="4" w:space="0" w:color="auto"/>
              <w:left w:val="single" w:sz="4" w:space="0" w:color="auto"/>
              <w:bottom w:val="single" w:sz="4" w:space="0" w:color="auto"/>
              <w:right w:val="single" w:sz="4" w:space="0" w:color="auto"/>
            </w:tcBorders>
          </w:tcPr>
          <w:p w14:paraId="09C24E77" w14:textId="77777777" w:rsidR="00F46EFD" w:rsidRPr="00970E6D" w:rsidRDefault="00F46EFD" w:rsidP="00412BFF">
            <w:pPr>
              <w:tabs>
                <w:tab w:val="clear" w:pos="567"/>
              </w:tabs>
            </w:pPr>
            <w:r w:rsidRPr="00970E6D">
              <w:t>Paper issued</w:t>
            </w:r>
          </w:p>
        </w:tc>
        <w:tc>
          <w:tcPr>
            <w:tcW w:w="3395" w:type="pct"/>
            <w:tcBorders>
              <w:top w:val="single" w:sz="4" w:space="0" w:color="auto"/>
              <w:left w:val="single" w:sz="4" w:space="0" w:color="auto"/>
              <w:bottom w:val="single" w:sz="4" w:space="0" w:color="auto"/>
              <w:right w:val="single" w:sz="4" w:space="0" w:color="auto"/>
            </w:tcBorders>
          </w:tcPr>
          <w:p w14:paraId="7E48E7D8" w14:textId="4C2E5100" w:rsidR="00F46EFD" w:rsidRPr="00970E6D" w:rsidRDefault="006777C1" w:rsidP="006777C1">
            <w:pPr>
              <w:tabs>
                <w:tab w:val="clear" w:pos="567"/>
              </w:tabs>
            </w:pPr>
            <w:r>
              <w:t>20 April</w:t>
            </w:r>
            <w:r w:rsidR="00F46EFD" w:rsidRPr="00970E6D">
              <w:t xml:space="preserve"> 20</w:t>
            </w:r>
            <w:r>
              <w:t>18</w:t>
            </w:r>
          </w:p>
        </w:tc>
      </w:tr>
      <w:tr w:rsidR="00F46EFD" w:rsidRPr="002A4135" w14:paraId="5D33967C" w14:textId="77777777" w:rsidTr="00412BFF">
        <w:tc>
          <w:tcPr>
            <w:tcW w:w="1605" w:type="pct"/>
            <w:tcBorders>
              <w:top w:val="single" w:sz="4" w:space="0" w:color="auto"/>
              <w:left w:val="single" w:sz="4" w:space="0" w:color="auto"/>
              <w:bottom w:val="single" w:sz="4" w:space="0" w:color="auto"/>
              <w:right w:val="single" w:sz="4" w:space="0" w:color="auto"/>
            </w:tcBorders>
          </w:tcPr>
          <w:p w14:paraId="091080A7" w14:textId="77777777" w:rsidR="00F46EFD" w:rsidRPr="00970E6D" w:rsidRDefault="00F46EFD" w:rsidP="00412BFF">
            <w:pPr>
              <w:tabs>
                <w:tab w:val="clear" w:pos="567"/>
              </w:tabs>
            </w:pPr>
            <w:r w:rsidRPr="00970E6D">
              <w:t>Commission contact officer</w:t>
            </w:r>
          </w:p>
        </w:tc>
        <w:tc>
          <w:tcPr>
            <w:tcW w:w="3395" w:type="pct"/>
            <w:tcBorders>
              <w:top w:val="single" w:sz="4" w:space="0" w:color="auto"/>
              <w:left w:val="single" w:sz="4" w:space="0" w:color="auto"/>
              <w:bottom w:val="single" w:sz="4" w:space="0" w:color="auto"/>
              <w:right w:val="single" w:sz="4" w:space="0" w:color="auto"/>
            </w:tcBorders>
          </w:tcPr>
          <w:p w14:paraId="76A5B396" w14:textId="77777777" w:rsidR="00F46EFD" w:rsidRDefault="006777C1" w:rsidP="002A4135">
            <w:pPr>
              <w:tabs>
                <w:tab w:val="clear" w:pos="567"/>
              </w:tabs>
              <w:rPr>
                <w:lang w:val="fr-CA"/>
              </w:rPr>
            </w:pPr>
            <w:r w:rsidRPr="00256FC1">
              <w:rPr>
                <w:lang w:val="fr-CA"/>
              </w:rPr>
              <w:t>Marc Boisseau</w:t>
            </w:r>
            <w:r w:rsidR="00F46EFD" w:rsidRPr="00256FC1">
              <w:rPr>
                <w:lang w:val="fr-CA"/>
              </w:rPr>
              <w:t xml:space="preserve">, </w:t>
            </w:r>
            <w:hyperlink r:id="rId10" w:history="1">
              <w:r w:rsidRPr="00256FC1">
                <w:rPr>
                  <w:rStyle w:val="Hyperlink"/>
                  <w:lang w:val="fr-CA"/>
                </w:rPr>
                <w:t>marc.boisseau@cgc.gov.au</w:t>
              </w:r>
            </w:hyperlink>
            <w:r w:rsidRPr="00256FC1">
              <w:rPr>
                <w:lang w:val="fr-CA"/>
              </w:rPr>
              <w:t xml:space="preserve"> </w:t>
            </w:r>
            <w:r w:rsidR="002A4135">
              <w:rPr>
                <w:lang w:val="fr-CA"/>
              </w:rPr>
              <w:t xml:space="preserve">for </w:t>
            </w:r>
            <w:r w:rsidR="002A4135" w:rsidRPr="002A4135">
              <w:rPr>
                <w:lang w:val="fr-CA"/>
              </w:rPr>
              <w:t>cross-border</w:t>
            </w:r>
            <w:r w:rsidR="002A4135">
              <w:rPr>
                <w:lang w:val="fr-CA"/>
              </w:rPr>
              <w:t xml:space="preserve"> and national capital </w:t>
            </w:r>
            <w:proofErr w:type="spellStart"/>
            <w:r w:rsidR="002A4135">
              <w:rPr>
                <w:lang w:val="fr-CA"/>
              </w:rPr>
              <w:t>allowances</w:t>
            </w:r>
            <w:proofErr w:type="spellEnd"/>
          </w:p>
          <w:p w14:paraId="592435DF" w14:textId="2FDF6E61" w:rsidR="002A4135" w:rsidRPr="002A4135" w:rsidRDefault="002A4135" w:rsidP="002A4135">
            <w:pPr>
              <w:tabs>
                <w:tab w:val="clear" w:pos="567"/>
              </w:tabs>
            </w:pPr>
            <w:r w:rsidRPr="002A4135">
              <w:t xml:space="preserve">Kathleen Morris, (02) 6229 8863, </w:t>
            </w:r>
            <w:hyperlink r:id="rId11" w:history="1">
              <w:r w:rsidRPr="002A4135">
                <w:rPr>
                  <w:rStyle w:val="Hyperlink"/>
                </w:rPr>
                <w:t>kathleen.morris@cgc.gov.au</w:t>
              </w:r>
            </w:hyperlink>
            <w:r w:rsidRPr="002A4135">
              <w:t xml:space="preserve"> for native title and land rights</w:t>
            </w:r>
          </w:p>
        </w:tc>
      </w:tr>
      <w:tr w:rsidR="00F46EFD" w:rsidRPr="00970E6D" w14:paraId="49FA0F97" w14:textId="77777777" w:rsidTr="00412BFF">
        <w:tc>
          <w:tcPr>
            <w:tcW w:w="1605" w:type="pct"/>
            <w:tcBorders>
              <w:top w:val="single" w:sz="4" w:space="0" w:color="auto"/>
              <w:left w:val="single" w:sz="4" w:space="0" w:color="auto"/>
              <w:bottom w:val="single" w:sz="4" w:space="0" w:color="auto"/>
              <w:right w:val="single" w:sz="4" w:space="0" w:color="auto"/>
            </w:tcBorders>
          </w:tcPr>
          <w:p w14:paraId="1F20F129" w14:textId="77777777" w:rsidR="00F46EFD" w:rsidRPr="00970E6D" w:rsidRDefault="00F46EFD" w:rsidP="00412BFF">
            <w:pPr>
              <w:tabs>
                <w:tab w:val="clear" w:pos="567"/>
              </w:tabs>
            </w:pPr>
            <w:r w:rsidRPr="00970E6D">
              <w:t>Submissions sought by</w:t>
            </w:r>
          </w:p>
        </w:tc>
        <w:tc>
          <w:tcPr>
            <w:tcW w:w="3395" w:type="pct"/>
            <w:tcBorders>
              <w:top w:val="single" w:sz="4" w:space="0" w:color="auto"/>
              <w:left w:val="single" w:sz="4" w:space="0" w:color="auto"/>
              <w:bottom w:val="single" w:sz="4" w:space="0" w:color="auto"/>
              <w:right w:val="single" w:sz="4" w:space="0" w:color="auto"/>
            </w:tcBorders>
          </w:tcPr>
          <w:p w14:paraId="1FE0D020" w14:textId="0692F8D9" w:rsidR="006777C1" w:rsidRDefault="006777C1" w:rsidP="00412BFF">
            <w:pPr>
              <w:tabs>
                <w:tab w:val="clear" w:pos="567"/>
              </w:tabs>
            </w:pPr>
            <w:r>
              <w:t>31 August 2018</w:t>
            </w:r>
          </w:p>
          <w:p w14:paraId="4DD06AC4" w14:textId="647BC31E" w:rsidR="00F46EFD" w:rsidRPr="00970E6D" w:rsidRDefault="00F46EFD" w:rsidP="00412BFF">
            <w:pPr>
              <w:tabs>
                <w:tab w:val="clear" w:pos="567"/>
              </w:tabs>
            </w:pPr>
            <w:r w:rsidRPr="00970E6D">
              <w:t xml:space="preserve">Submissions should be emailed in Word format to </w:t>
            </w:r>
            <w:hyperlink r:id="rId12" w:history="1">
              <w:r w:rsidRPr="00970E6D">
                <w:rPr>
                  <w:rStyle w:val="Hyperlink"/>
                </w:rPr>
                <w:t>secretary@cgc.gov.au</w:t>
              </w:r>
            </w:hyperlink>
            <w:r w:rsidRPr="00970E6D">
              <w:t>.</w:t>
            </w:r>
          </w:p>
          <w:p w14:paraId="4F9CB5DF" w14:textId="77777777" w:rsidR="00F46EFD" w:rsidRPr="00970E6D" w:rsidRDefault="00F46EFD" w:rsidP="00412BFF">
            <w:pPr>
              <w:tabs>
                <w:tab w:val="clear" w:pos="567"/>
              </w:tabs>
            </w:pPr>
            <w:r w:rsidRPr="00970E6D">
              <w:t xml:space="preserve">Submissions of more than </w:t>
            </w:r>
            <w:r>
              <w:t>10</w:t>
            </w:r>
            <w:r w:rsidRPr="00970E6D">
              <w:t xml:space="preserve"> pages in length should include a summary section.</w:t>
            </w:r>
          </w:p>
        </w:tc>
      </w:tr>
      <w:tr w:rsidR="00F46EFD" w:rsidRPr="00970E6D" w14:paraId="4CCA4E9D" w14:textId="77777777" w:rsidTr="00412BFF">
        <w:tc>
          <w:tcPr>
            <w:tcW w:w="1605" w:type="pct"/>
            <w:tcBorders>
              <w:top w:val="single" w:sz="4" w:space="0" w:color="auto"/>
              <w:left w:val="single" w:sz="4" w:space="0" w:color="auto"/>
              <w:bottom w:val="single" w:sz="4" w:space="0" w:color="auto"/>
              <w:right w:val="single" w:sz="4" w:space="0" w:color="auto"/>
            </w:tcBorders>
          </w:tcPr>
          <w:p w14:paraId="1934FD0F" w14:textId="77777777" w:rsidR="00F46EFD" w:rsidRPr="00970E6D" w:rsidRDefault="00F46EFD" w:rsidP="00412BFF">
            <w:pPr>
              <w:tabs>
                <w:tab w:val="clear" w:pos="567"/>
              </w:tabs>
            </w:pPr>
            <w:r w:rsidRPr="00970E6D">
              <w:t>Confidential material</w:t>
            </w:r>
          </w:p>
        </w:tc>
        <w:tc>
          <w:tcPr>
            <w:tcW w:w="3395" w:type="pct"/>
            <w:tcBorders>
              <w:top w:val="single" w:sz="4" w:space="0" w:color="auto"/>
              <w:left w:val="single" w:sz="4" w:space="0" w:color="auto"/>
              <w:bottom w:val="single" w:sz="4" w:space="0" w:color="auto"/>
              <w:right w:val="single" w:sz="4" w:space="0" w:color="auto"/>
            </w:tcBorders>
          </w:tcPr>
          <w:p w14:paraId="20DCDCD4" w14:textId="77777777" w:rsidR="00F46EFD" w:rsidRPr="00CF1294" w:rsidRDefault="00F46EFD" w:rsidP="00412BFF">
            <w:pPr>
              <w:tabs>
                <w:tab w:val="clear" w:pos="567"/>
              </w:tabs>
            </w:pPr>
            <w:r w:rsidRPr="00CF1294">
              <w:t xml:space="preserve">It is the </w:t>
            </w:r>
            <w:r w:rsidR="00BD2E2C">
              <w:t>C</w:t>
            </w:r>
            <w:r w:rsidRPr="00CF1294">
              <w:t xml:space="preserve">ommission’s normal practice to make State submissions available on its website under the CC BY licence, allowing free use of content by third parties. </w:t>
            </w:r>
          </w:p>
          <w:p w14:paraId="54106337" w14:textId="77777777" w:rsidR="00F46EFD" w:rsidRPr="00CF1294" w:rsidRDefault="00F46EFD" w:rsidP="00412BFF">
            <w:pPr>
              <w:tabs>
                <w:tab w:val="clear" w:pos="567"/>
              </w:tabs>
            </w:pPr>
            <w:r w:rsidRPr="00CF1294">
              <w:rPr>
                <w:noProof/>
                <w:lang w:eastAsia="en-AU"/>
              </w:rPr>
              <w:drawing>
                <wp:inline distT="0" distB="0" distL="0" distR="0" wp14:anchorId="14337524" wp14:editId="15219DD4">
                  <wp:extent cx="828675" cy="295275"/>
                  <wp:effectExtent l="19050" t="0" r="9525" b="0"/>
                  <wp:docPr id="3" name="Picture 1" descr="Creative Commons - CC BY At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 Attribution"/>
                          <pic:cNvPicPr>
                            <a:picLocks noChangeAspect="1" noChangeArrowheads="1"/>
                          </pic:cNvPicPr>
                        </pic:nvPicPr>
                        <pic:blipFill>
                          <a:blip r:embed="rId13"/>
                          <a:srcRect/>
                          <a:stretch>
                            <a:fillRect/>
                          </a:stretch>
                        </pic:blipFill>
                        <pic:spPr bwMode="auto">
                          <a:xfrm>
                            <a:off x="0" y="0"/>
                            <a:ext cx="828675" cy="295275"/>
                          </a:xfrm>
                          <a:prstGeom prst="rect">
                            <a:avLst/>
                          </a:prstGeom>
                          <a:noFill/>
                          <a:ln w="9525">
                            <a:noFill/>
                            <a:miter lim="800000"/>
                            <a:headEnd/>
                            <a:tailEnd/>
                          </a:ln>
                        </pic:spPr>
                      </pic:pic>
                    </a:graphicData>
                  </a:graphic>
                </wp:inline>
              </w:drawing>
            </w:r>
          </w:p>
          <w:p w14:paraId="13BB29A6" w14:textId="77777777" w:rsidR="00F46EFD" w:rsidRPr="00CF1294" w:rsidRDefault="00F46EFD" w:rsidP="00412BFF">
            <w:pPr>
              <w:tabs>
                <w:tab w:val="clear" w:pos="567"/>
              </w:tabs>
            </w:pPr>
            <w:r w:rsidRPr="00CF1294">
              <w:t xml:space="preserve">Further information on the CC BY licence can be found </w:t>
            </w:r>
            <w:r w:rsidRPr="00EC79CF">
              <w:t xml:space="preserve">on the </w:t>
            </w:r>
            <w:hyperlink r:id="rId14" w:history="1">
              <w:r w:rsidRPr="00841145">
                <w:rPr>
                  <w:rStyle w:val="Hyperlink"/>
                </w:rPr>
                <w:t>Creative Commons website</w:t>
              </w:r>
            </w:hyperlink>
            <w:r w:rsidRPr="00EC79CF">
              <w:t xml:space="preserve"> </w:t>
            </w:r>
            <w:r>
              <w:t>(</w:t>
            </w:r>
            <w:r w:rsidRPr="00841145">
              <w:t>http://creativecommons.org</w:t>
            </w:r>
            <w:r>
              <w:t>).</w:t>
            </w:r>
            <w:r w:rsidRPr="00CF1294">
              <w:t xml:space="preserve"> </w:t>
            </w:r>
          </w:p>
          <w:p w14:paraId="0E3971AA" w14:textId="77777777" w:rsidR="00F46EFD" w:rsidRPr="00970E6D" w:rsidRDefault="00F46EFD" w:rsidP="00412BFF">
            <w:pPr>
              <w:tabs>
                <w:tab w:val="clear" w:pos="567"/>
              </w:tabs>
            </w:pPr>
            <w:r w:rsidRPr="00CF1294">
              <w:t xml:space="preserve">Confidential material contained in submissions must be clearly identified or included in separate attachment/s, and details provided in the covering email. Identified confidential material will not be published on the </w:t>
            </w:r>
            <w:r w:rsidR="00BD2E2C">
              <w:t>C</w:t>
            </w:r>
            <w:r w:rsidRPr="00CF1294">
              <w:t>ommission’s website.</w:t>
            </w:r>
          </w:p>
        </w:tc>
      </w:tr>
    </w:tbl>
    <w:p w14:paraId="0836BE4C" w14:textId="77777777" w:rsidR="00F46EFD" w:rsidRPr="00970E6D" w:rsidRDefault="00F46EFD" w:rsidP="00F46EFD">
      <w:pPr>
        <w:tabs>
          <w:tab w:val="clear" w:pos="567"/>
        </w:tabs>
        <w:sectPr w:rsidR="00F46EFD" w:rsidRPr="00970E6D" w:rsidSect="00412BFF">
          <w:headerReference w:type="first" r:id="rId15"/>
          <w:footerReference w:type="first" r:id="rId16"/>
          <w:pgSz w:w="11899" w:h="16838" w:code="9"/>
          <w:pgMar w:top="1701" w:right="1474" w:bottom="1701" w:left="1474" w:header="709" w:footer="709" w:gutter="0"/>
          <w:cols w:space="708"/>
          <w:vAlign w:val="bottom"/>
          <w:titlePg/>
          <w:docGrid w:linePitch="299"/>
        </w:sectPr>
      </w:pPr>
    </w:p>
    <w:p w14:paraId="372F143F" w14:textId="77777777" w:rsidR="00F46EFD" w:rsidRPr="00970E6D" w:rsidRDefault="00F46EFD" w:rsidP="00256FC1">
      <w:pPr>
        <w:pStyle w:val="Heading1"/>
      </w:pPr>
      <w:r w:rsidRPr="00970E6D">
        <w:lastRenderedPageBreak/>
        <w:t>C</w:t>
      </w:r>
      <w:bookmarkEnd w:id="0"/>
      <w:bookmarkEnd w:id="1"/>
      <w:bookmarkEnd w:id="2"/>
      <w:bookmarkEnd w:id="3"/>
      <w:bookmarkEnd w:id="4"/>
      <w:bookmarkEnd w:id="5"/>
      <w:r>
        <w:t>ontents</w:t>
      </w:r>
    </w:p>
    <w:p w14:paraId="2ED76770" w14:textId="77777777" w:rsidR="009220E2" w:rsidRDefault="00C2657C">
      <w:pPr>
        <w:pStyle w:val="TOC1"/>
        <w:rPr>
          <w:rFonts w:eastAsiaTheme="minorEastAsia"/>
          <w:b w:val="0"/>
          <w:bCs w:val="0"/>
          <w:caps w:val="0"/>
          <w:noProof/>
          <w:sz w:val="22"/>
          <w:szCs w:val="22"/>
          <w:lang w:eastAsia="en-AU"/>
        </w:rPr>
      </w:pPr>
      <w:r>
        <w:fldChar w:fldCharType="begin"/>
      </w:r>
      <w:r>
        <w:instrText xml:space="preserve"> TOC \f \h \z \u \t "Heading 2,1,Heading 3,1,Heading 4,3" </w:instrText>
      </w:r>
      <w:r>
        <w:fldChar w:fldCharType="separate"/>
      </w:r>
      <w:hyperlink w:anchor="_Toc511892523" w:history="1">
        <w:r w:rsidR="009220E2" w:rsidRPr="0050189E">
          <w:rPr>
            <w:rStyle w:val="Hyperlink"/>
            <w:noProof/>
          </w:rPr>
          <w:t>Cross-border</w:t>
        </w:r>
        <w:r w:rsidR="009220E2">
          <w:rPr>
            <w:noProof/>
            <w:webHidden/>
          </w:rPr>
          <w:tab/>
        </w:r>
        <w:r w:rsidR="009220E2">
          <w:rPr>
            <w:noProof/>
            <w:webHidden/>
          </w:rPr>
          <w:fldChar w:fldCharType="begin"/>
        </w:r>
        <w:r w:rsidR="009220E2">
          <w:rPr>
            <w:noProof/>
            <w:webHidden/>
          </w:rPr>
          <w:instrText xml:space="preserve"> PAGEREF _Toc511892523 \h </w:instrText>
        </w:r>
        <w:r w:rsidR="009220E2">
          <w:rPr>
            <w:noProof/>
            <w:webHidden/>
          </w:rPr>
        </w:r>
        <w:r w:rsidR="009220E2">
          <w:rPr>
            <w:noProof/>
            <w:webHidden/>
          </w:rPr>
          <w:fldChar w:fldCharType="separate"/>
        </w:r>
        <w:r w:rsidR="00C40664">
          <w:rPr>
            <w:noProof/>
            <w:webHidden/>
          </w:rPr>
          <w:t>1</w:t>
        </w:r>
        <w:r w:rsidR="009220E2">
          <w:rPr>
            <w:noProof/>
            <w:webHidden/>
          </w:rPr>
          <w:fldChar w:fldCharType="end"/>
        </w:r>
      </w:hyperlink>
    </w:p>
    <w:p w14:paraId="18A80344" w14:textId="77777777" w:rsidR="009220E2" w:rsidRDefault="00C40664">
      <w:pPr>
        <w:pStyle w:val="TOC1"/>
        <w:rPr>
          <w:rFonts w:eastAsiaTheme="minorEastAsia"/>
          <w:b w:val="0"/>
          <w:bCs w:val="0"/>
          <w:caps w:val="0"/>
          <w:noProof/>
          <w:sz w:val="22"/>
          <w:szCs w:val="22"/>
          <w:lang w:eastAsia="en-AU"/>
        </w:rPr>
      </w:pPr>
      <w:hyperlink w:anchor="_Toc511892524" w:history="1">
        <w:r w:rsidR="009220E2" w:rsidRPr="0050189E">
          <w:rPr>
            <w:rStyle w:val="Hyperlink"/>
            <w:noProof/>
          </w:rPr>
          <w:t>2015 Review approach</w:t>
        </w:r>
        <w:r w:rsidR="009220E2">
          <w:rPr>
            <w:noProof/>
            <w:webHidden/>
          </w:rPr>
          <w:tab/>
        </w:r>
        <w:r w:rsidR="009220E2">
          <w:rPr>
            <w:noProof/>
            <w:webHidden/>
          </w:rPr>
          <w:fldChar w:fldCharType="begin"/>
        </w:r>
        <w:r w:rsidR="009220E2">
          <w:rPr>
            <w:noProof/>
            <w:webHidden/>
          </w:rPr>
          <w:instrText xml:space="preserve"> PAGEREF _Toc511892524 \h </w:instrText>
        </w:r>
        <w:r w:rsidR="009220E2">
          <w:rPr>
            <w:noProof/>
            <w:webHidden/>
          </w:rPr>
        </w:r>
        <w:r w:rsidR="009220E2">
          <w:rPr>
            <w:noProof/>
            <w:webHidden/>
          </w:rPr>
          <w:fldChar w:fldCharType="separate"/>
        </w:r>
        <w:r>
          <w:rPr>
            <w:noProof/>
            <w:webHidden/>
          </w:rPr>
          <w:t>1</w:t>
        </w:r>
        <w:r w:rsidR="009220E2">
          <w:rPr>
            <w:noProof/>
            <w:webHidden/>
          </w:rPr>
          <w:fldChar w:fldCharType="end"/>
        </w:r>
      </w:hyperlink>
    </w:p>
    <w:p w14:paraId="00920E71" w14:textId="77777777" w:rsidR="009220E2" w:rsidRDefault="00C40664">
      <w:pPr>
        <w:pStyle w:val="TOC3"/>
        <w:rPr>
          <w:rFonts w:eastAsiaTheme="minorEastAsia"/>
          <w:iCs w:val="0"/>
          <w:noProof/>
          <w:sz w:val="22"/>
          <w:lang w:eastAsia="en-AU"/>
        </w:rPr>
      </w:pPr>
      <w:hyperlink w:anchor="_Toc511892525" w:history="1">
        <w:r w:rsidR="009220E2" w:rsidRPr="0050189E">
          <w:rPr>
            <w:rStyle w:val="Hyperlink"/>
            <w:noProof/>
          </w:rPr>
          <w:t>Data sources and assessment methods</w:t>
        </w:r>
        <w:r w:rsidR="009220E2">
          <w:rPr>
            <w:noProof/>
            <w:webHidden/>
          </w:rPr>
          <w:tab/>
        </w:r>
        <w:r w:rsidR="009220E2">
          <w:rPr>
            <w:noProof/>
            <w:webHidden/>
          </w:rPr>
          <w:fldChar w:fldCharType="begin"/>
        </w:r>
        <w:r w:rsidR="009220E2">
          <w:rPr>
            <w:noProof/>
            <w:webHidden/>
          </w:rPr>
          <w:instrText xml:space="preserve"> PAGEREF _Toc511892525 \h </w:instrText>
        </w:r>
        <w:r w:rsidR="009220E2">
          <w:rPr>
            <w:noProof/>
            <w:webHidden/>
          </w:rPr>
        </w:r>
        <w:r w:rsidR="009220E2">
          <w:rPr>
            <w:noProof/>
            <w:webHidden/>
          </w:rPr>
          <w:fldChar w:fldCharType="separate"/>
        </w:r>
        <w:r>
          <w:rPr>
            <w:noProof/>
            <w:webHidden/>
          </w:rPr>
          <w:t>1</w:t>
        </w:r>
        <w:r w:rsidR="009220E2">
          <w:rPr>
            <w:noProof/>
            <w:webHidden/>
          </w:rPr>
          <w:fldChar w:fldCharType="end"/>
        </w:r>
      </w:hyperlink>
    </w:p>
    <w:p w14:paraId="7E40A424" w14:textId="77777777" w:rsidR="009220E2" w:rsidRDefault="00C40664">
      <w:pPr>
        <w:pStyle w:val="TOC1"/>
        <w:rPr>
          <w:rFonts w:eastAsiaTheme="minorEastAsia"/>
          <w:b w:val="0"/>
          <w:bCs w:val="0"/>
          <w:caps w:val="0"/>
          <w:noProof/>
          <w:sz w:val="22"/>
          <w:szCs w:val="22"/>
          <w:lang w:eastAsia="en-AU"/>
        </w:rPr>
      </w:pPr>
      <w:hyperlink w:anchor="_Toc511892526" w:history="1">
        <w:r w:rsidR="009220E2" w:rsidRPr="0050189E">
          <w:rPr>
            <w:rStyle w:val="Hyperlink"/>
            <w:noProof/>
          </w:rPr>
          <w:t>Issues and analysis</w:t>
        </w:r>
        <w:r w:rsidR="009220E2">
          <w:rPr>
            <w:noProof/>
            <w:webHidden/>
          </w:rPr>
          <w:tab/>
        </w:r>
        <w:r w:rsidR="009220E2">
          <w:rPr>
            <w:noProof/>
            <w:webHidden/>
          </w:rPr>
          <w:fldChar w:fldCharType="begin"/>
        </w:r>
        <w:r w:rsidR="009220E2">
          <w:rPr>
            <w:noProof/>
            <w:webHidden/>
          </w:rPr>
          <w:instrText xml:space="preserve"> PAGEREF _Toc511892526 \h </w:instrText>
        </w:r>
        <w:r w:rsidR="009220E2">
          <w:rPr>
            <w:noProof/>
            <w:webHidden/>
          </w:rPr>
        </w:r>
        <w:r w:rsidR="009220E2">
          <w:rPr>
            <w:noProof/>
            <w:webHidden/>
          </w:rPr>
          <w:fldChar w:fldCharType="separate"/>
        </w:r>
        <w:r>
          <w:rPr>
            <w:noProof/>
            <w:webHidden/>
          </w:rPr>
          <w:t>6</w:t>
        </w:r>
        <w:r w:rsidR="009220E2">
          <w:rPr>
            <w:noProof/>
            <w:webHidden/>
          </w:rPr>
          <w:fldChar w:fldCharType="end"/>
        </w:r>
      </w:hyperlink>
    </w:p>
    <w:p w14:paraId="10E607E5" w14:textId="77777777" w:rsidR="009220E2" w:rsidRDefault="00C40664">
      <w:pPr>
        <w:pStyle w:val="TOC3"/>
        <w:rPr>
          <w:rFonts w:eastAsiaTheme="minorEastAsia"/>
          <w:iCs w:val="0"/>
          <w:noProof/>
          <w:sz w:val="22"/>
          <w:lang w:eastAsia="en-AU"/>
        </w:rPr>
      </w:pPr>
      <w:hyperlink w:anchor="_Toc511892527" w:history="1">
        <w:r w:rsidR="009220E2" w:rsidRPr="0050189E">
          <w:rPr>
            <w:rStyle w:val="Hyperlink"/>
            <w:noProof/>
          </w:rPr>
          <w:t>Services where comprehensive actual data exist</w:t>
        </w:r>
        <w:r w:rsidR="009220E2">
          <w:rPr>
            <w:noProof/>
            <w:webHidden/>
          </w:rPr>
          <w:tab/>
        </w:r>
        <w:r w:rsidR="009220E2">
          <w:rPr>
            <w:noProof/>
            <w:webHidden/>
          </w:rPr>
          <w:fldChar w:fldCharType="begin"/>
        </w:r>
        <w:r w:rsidR="009220E2">
          <w:rPr>
            <w:noProof/>
            <w:webHidden/>
          </w:rPr>
          <w:instrText xml:space="preserve"> PAGEREF _Toc511892527 \h </w:instrText>
        </w:r>
        <w:r w:rsidR="009220E2">
          <w:rPr>
            <w:noProof/>
            <w:webHidden/>
          </w:rPr>
        </w:r>
        <w:r w:rsidR="009220E2">
          <w:rPr>
            <w:noProof/>
            <w:webHidden/>
          </w:rPr>
          <w:fldChar w:fldCharType="separate"/>
        </w:r>
        <w:r>
          <w:rPr>
            <w:noProof/>
            <w:webHidden/>
          </w:rPr>
          <w:t>6</w:t>
        </w:r>
        <w:r w:rsidR="009220E2">
          <w:rPr>
            <w:noProof/>
            <w:webHidden/>
          </w:rPr>
          <w:fldChar w:fldCharType="end"/>
        </w:r>
      </w:hyperlink>
    </w:p>
    <w:p w14:paraId="63C9A326" w14:textId="77777777" w:rsidR="009220E2" w:rsidRDefault="00C40664">
      <w:pPr>
        <w:pStyle w:val="TOC3"/>
        <w:rPr>
          <w:rFonts w:eastAsiaTheme="minorEastAsia"/>
          <w:iCs w:val="0"/>
          <w:noProof/>
          <w:sz w:val="22"/>
          <w:lang w:eastAsia="en-AU"/>
        </w:rPr>
      </w:pPr>
      <w:hyperlink w:anchor="_Toc511892528" w:history="1">
        <w:r w:rsidR="009220E2" w:rsidRPr="0050189E">
          <w:rPr>
            <w:rStyle w:val="Hyperlink"/>
            <w:noProof/>
          </w:rPr>
          <w:t>Community health</w:t>
        </w:r>
        <w:r w:rsidR="009220E2">
          <w:rPr>
            <w:noProof/>
            <w:webHidden/>
          </w:rPr>
          <w:tab/>
        </w:r>
        <w:r w:rsidR="009220E2">
          <w:rPr>
            <w:noProof/>
            <w:webHidden/>
          </w:rPr>
          <w:fldChar w:fldCharType="begin"/>
        </w:r>
        <w:r w:rsidR="009220E2">
          <w:rPr>
            <w:noProof/>
            <w:webHidden/>
          </w:rPr>
          <w:instrText xml:space="preserve"> PAGEREF _Toc511892528 \h </w:instrText>
        </w:r>
        <w:r w:rsidR="009220E2">
          <w:rPr>
            <w:noProof/>
            <w:webHidden/>
          </w:rPr>
        </w:r>
        <w:r w:rsidR="009220E2">
          <w:rPr>
            <w:noProof/>
            <w:webHidden/>
          </w:rPr>
          <w:fldChar w:fldCharType="separate"/>
        </w:r>
        <w:r>
          <w:rPr>
            <w:noProof/>
            <w:webHidden/>
          </w:rPr>
          <w:t>7</w:t>
        </w:r>
        <w:r w:rsidR="009220E2">
          <w:rPr>
            <w:noProof/>
            <w:webHidden/>
          </w:rPr>
          <w:fldChar w:fldCharType="end"/>
        </w:r>
      </w:hyperlink>
    </w:p>
    <w:p w14:paraId="4984C32B" w14:textId="77777777" w:rsidR="009220E2" w:rsidRDefault="00C40664">
      <w:pPr>
        <w:pStyle w:val="TOC3"/>
        <w:rPr>
          <w:rFonts w:eastAsiaTheme="minorEastAsia"/>
          <w:iCs w:val="0"/>
          <w:noProof/>
          <w:sz w:val="22"/>
          <w:lang w:eastAsia="en-AU"/>
        </w:rPr>
      </w:pPr>
      <w:hyperlink w:anchor="_Toc511892529" w:history="1">
        <w:r w:rsidR="009220E2" w:rsidRPr="0050189E">
          <w:rPr>
            <w:rStyle w:val="Hyperlink"/>
            <w:noProof/>
          </w:rPr>
          <w:t>Other services</w:t>
        </w:r>
        <w:r w:rsidR="009220E2">
          <w:rPr>
            <w:noProof/>
            <w:webHidden/>
          </w:rPr>
          <w:tab/>
        </w:r>
        <w:r w:rsidR="009220E2">
          <w:rPr>
            <w:noProof/>
            <w:webHidden/>
          </w:rPr>
          <w:fldChar w:fldCharType="begin"/>
        </w:r>
        <w:r w:rsidR="009220E2">
          <w:rPr>
            <w:noProof/>
            <w:webHidden/>
          </w:rPr>
          <w:instrText xml:space="preserve"> PAGEREF _Toc511892529 \h </w:instrText>
        </w:r>
        <w:r w:rsidR="009220E2">
          <w:rPr>
            <w:noProof/>
            <w:webHidden/>
          </w:rPr>
        </w:r>
        <w:r w:rsidR="009220E2">
          <w:rPr>
            <w:noProof/>
            <w:webHidden/>
          </w:rPr>
          <w:fldChar w:fldCharType="separate"/>
        </w:r>
        <w:r>
          <w:rPr>
            <w:noProof/>
            <w:webHidden/>
          </w:rPr>
          <w:t>7</w:t>
        </w:r>
        <w:r w:rsidR="009220E2">
          <w:rPr>
            <w:noProof/>
            <w:webHidden/>
          </w:rPr>
          <w:fldChar w:fldCharType="end"/>
        </w:r>
      </w:hyperlink>
    </w:p>
    <w:p w14:paraId="054024B6" w14:textId="77777777" w:rsidR="009220E2" w:rsidRDefault="00C40664">
      <w:pPr>
        <w:pStyle w:val="TOC3"/>
        <w:rPr>
          <w:rFonts w:eastAsiaTheme="minorEastAsia"/>
          <w:iCs w:val="0"/>
          <w:noProof/>
          <w:sz w:val="22"/>
          <w:lang w:eastAsia="en-AU"/>
        </w:rPr>
      </w:pPr>
      <w:hyperlink w:anchor="_Toc511892530" w:history="1">
        <w:r w:rsidR="009220E2" w:rsidRPr="0050189E">
          <w:rPr>
            <w:rStyle w:val="Hyperlink"/>
            <w:noProof/>
          </w:rPr>
          <w:t>General method</w:t>
        </w:r>
        <w:r w:rsidR="009220E2">
          <w:rPr>
            <w:noProof/>
            <w:webHidden/>
          </w:rPr>
          <w:tab/>
        </w:r>
        <w:r w:rsidR="009220E2">
          <w:rPr>
            <w:noProof/>
            <w:webHidden/>
          </w:rPr>
          <w:fldChar w:fldCharType="begin"/>
        </w:r>
        <w:r w:rsidR="009220E2">
          <w:rPr>
            <w:noProof/>
            <w:webHidden/>
          </w:rPr>
          <w:instrText xml:space="preserve"> PAGEREF _Toc511892530 \h </w:instrText>
        </w:r>
        <w:r w:rsidR="009220E2">
          <w:rPr>
            <w:noProof/>
            <w:webHidden/>
          </w:rPr>
        </w:r>
        <w:r w:rsidR="009220E2">
          <w:rPr>
            <w:noProof/>
            <w:webHidden/>
          </w:rPr>
          <w:fldChar w:fldCharType="separate"/>
        </w:r>
        <w:r>
          <w:rPr>
            <w:noProof/>
            <w:webHidden/>
          </w:rPr>
          <w:t>9</w:t>
        </w:r>
        <w:r w:rsidR="009220E2">
          <w:rPr>
            <w:noProof/>
            <w:webHidden/>
          </w:rPr>
          <w:fldChar w:fldCharType="end"/>
        </w:r>
      </w:hyperlink>
    </w:p>
    <w:p w14:paraId="08CD16AA" w14:textId="77777777" w:rsidR="009220E2" w:rsidRDefault="00C40664">
      <w:pPr>
        <w:pStyle w:val="TOC1"/>
        <w:rPr>
          <w:rFonts w:eastAsiaTheme="minorEastAsia"/>
          <w:b w:val="0"/>
          <w:bCs w:val="0"/>
          <w:caps w:val="0"/>
          <w:noProof/>
          <w:sz w:val="22"/>
          <w:szCs w:val="22"/>
          <w:lang w:eastAsia="en-AU"/>
        </w:rPr>
      </w:pPr>
      <w:hyperlink w:anchor="_Toc511892531" w:history="1">
        <w:r w:rsidR="009220E2" w:rsidRPr="0050189E">
          <w:rPr>
            <w:rStyle w:val="Hyperlink"/>
            <w:noProof/>
          </w:rPr>
          <w:t>Conclusion and way forward</w:t>
        </w:r>
        <w:r w:rsidR="009220E2">
          <w:rPr>
            <w:noProof/>
            <w:webHidden/>
          </w:rPr>
          <w:tab/>
        </w:r>
        <w:r w:rsidR="009220E2">
          <w:rPr>
            <w:noProof/>
            <w:webHidden/>
          </w:rPr>
          <w:fldChar w:fldCharType="begin"/>
        </w:r>
        <w:r w:rsidR="009220E2">
          <w:rPr>
            <w:noProof/>
            <w:webHidden/>
          </w:rPr>
          <w:instrText xml:space="preserve"> PAGEREF _Toc511892531 \h </w:instrText>
        </w:r>
        <w:r w:rsidR="009220E2">
          <w:rPr>
            <w:noProof/>
            <w:webHidden/>
          </w:rPr>
        </w:r>
        <w:r w:rsidR="009220E2">
          <w:rPr>
            <w:noProof/>
            <w:webHidden/>
          </w:rPr>
          <w:fldChar w:fldCharType="separate"/>
        </w:r>
        <w:r>
          <w:rPr>
            <w:noProof/>
            <w:webHidden/>
          </w:rPr>
          <w:t>10</w:t>
        </w:r>
        <w:r w:rsidR="009220E2">
          <w:rPr>
            <w:noProof/>
            <w:webHidden/>
          </w:rPr>
          <w:fldChar w:fldCharType="end"/>
        </w:r>
      </w:hyperlink>
    </w:p>
    <w:p w14:paraId="1827281B" w14:textId="77777777" w:rsidR="009220E2" w:rsidRDefault="00C40664">
      <w:pPr>
        <w:pStyle w:val="TOC1"/>
        <w:rPr>
          <w:rFonts w:eastAsiaTheme="minorEastAsia"/>
          <w:b w:val="0"/>
          <w:bCs w:val="0"/>
          <w:caps w:val="0"/>
          <w:noProof/>
          <w:sz w:val="22"/>
          <w:szCs w:val="22"/>
          <w:lang w:eastAsia="en-AU"/>
        </w:rPr>
      </w:pPr>
      <w:hyperlink w:anchor="_Toc511892534" w:history="1">
        <w:r w:rsidR="009220E2" w:rsidRPr="0050189E">
          <w:rPr>
            <w:rStyle w:val="Hyperlink"/>
            <w:noProof/>
          </w:rPr>
          <w:t>National capital allowances</w:t>
        </w:r>
        <w:r w:rsidR="009220E2">
          <w:rPr>
            <w:noProof/>
            <w:webHidden/>
          </w:rPr>
          <w:tab/>
        </w:r>
        <w:r w:rsidR="009220E2">
          <w:rPr>
            <w:noProof/>
            <w:webHidden/>
          </w:rPr>
          <w:fldChar w:fldCharType="begin"/>
        </w:r>
        <w:r w:rsidR="009220E2">
          <w:rPr>
            <w:noProof/>
            <w:webHidden/>
          </w:rPr>
          <w:instrText xml:space="preserve"> PAGEREF _Toc511892534 \h </w:instrText>
        </w:r>
        <w:r w:rsidR="009220E2">
          <w:rPr>
            <w:noProof/>
            <w:webHidden/>
          </w:rPr>
        </w:r>
        <w:r w:rsidR="009220E2">
          <w:rPr>
            <w:noProof/>
            <w:webHidden/>
          </w:rPr>
          <w:fldChar w:fldCharType="separate"/>
        </w:r>
        <w:r>
          <w:rPr>
            <w:noProof/>
            <w:webHidden/>
          </w:rPr>
          <w:t>12</w:t>
        </w:r>
        <w:r w:rsidR="009220E2">
          <w:rPr>
            <w:noProof/>
            <w:webHidden/>
          </w:rPr>
          <w:fldChar w:fldCharType="end"/>
        </w:r>
      </w:hyperlink>
    </w:p>
    <w:p w14:paraId="313A5B71" w14:textId="77777777" w:rsidR="009220E2" w:rsidRDefault="00C40664">
      <w:pPr>
        <w:pStyle w:val="TOC1"/>
        <w:rPr>
          <w:rFonts w:eastAsiaTheme="minorEastAsia"/>
          <w:b w:val="0"/>
          <w:bCs w:val="0"/>
          <w:caps w:val="0"/>
          <w:noProof/>
          <w:sz w:val="22"/>
          <w:szCs w:val="22"/>
          <w:lang w:eastAsia="en-AU"/>
        </w:rPr>
      </w:pPr>
      <w:hyperlink w:anchor="_Toc511892535" w:history="1">
        <w:r w:rsidR="009220E2" w:rsidRPr="0050189E">
          <w:rPr>
            <w:rStyle w:val="Hyperlink"/>
            <w:noProof/>
          </w:rPr>
          <w:t>2015 Review approach</w:t>
        </w:r>
        <w:r w:rsidR="009220E2">
          <w:rPr>
            <w:noProof/>
            <w:webHidden/>
          </w:rPr>
          <w:tab/>
        </w:r>
        <w:r w:rsidR="009220E2">
          <w:rPr>
            <w:noProof/>
            <w:webHidden/>
          </w:rPr>
          <w:fldChar w:fldCharType="begin"/>
        </w:r>
        <w:r w:rsidR="009220E2">
          <w:rPr>
            <w:noProof/>
            <w:webHidden/>
          </w:rPr>
          <w:instrText xml:space="preserve"> PAGEREF _Toc511892535 \h </w:instrText>
        </w:r>
        <w:r w:rsidR="009220E2">
          <w:rPr>
            <w:noProof/>
            <w:webHidden/>
          </w:rPr>
        </w:r>
        <w:r w:rsidR="009220E2">
          <w:rPr>
            <w:noProof/>
            <w:webHidden/>
          </w:rPr>
          <w:fldChar w:fldCharType="separate"/>
        </w:r>
        <w:r>
          <w:rPr>
            <w:noProof/>
            <w:webHidden/>
          </w:rPr>
          <w:t>12</w:t>
        </w:r>
        <w:r w:rsidR="009220E2">
          <w:rPr>
            <w:noProof/>
            <w:webHidden/>
          </w:rPr>
          <w:fldChar w:fldCharType="end"/>
        </w:r>
      </w:hyperlink>
    </w:p>
    <w:p w14:paraId="26D2CA68" w14:textId="77777777" w:rsidR="009220E2" w:rsidRDefault="00C40664">
      <w:pPr>
        <w:pStyle w:val="TOC3"/>
        <w:rPr>
          <w:rFonts w:eastAsiaTheme="minorEastAsia"/>
          <w:iCs w:val="0"/>
          <w:noProof/>
          <w:sz w:val="22"/>
          <w:lang w:eastAsia="en-AU"/>
        </w:rPr>
      </w:pPr>
      <w:hyperlink w:anchor="_Toc511892536" w:history="1">
        <w:r w:rsidR="009220E2" w:rsidRPr="0050189E">
          <w:rPr>
            <w:rStyle w:val="Hyperlink"/>
            <w:noProof/>
          </w:rPr>
          <w:t>Services included in this disability</w:t>
        </w:r>
        <w:r w:rsidR="009220E2">
          <w:rPr>
            <w:noProof/>
            <w:webHidden/>
          </w:rPr>
          <w:tab/>
        </w:r>
        <w:r w:rsidR="009220E2">
          <w:rPr>
            <w:noProof/>
            <w:webHidden/>
          </w:rPr>
          <w:fldChar w:fldCharType="begin"/>
        </w:r>
        <w:r w:rsidR="009220E2">
          <w:rPr>
            <w:noProof/>
            <w:webHidden/>
          </w:rPr>
          <w:instrText xml:space="preserve"> PAGEREF _Toc511892536 \h </w:instrText>
        </w:r>
        <w:r w:rsidR="009220E2">
          <w:rPr>
            <w:noProof/>
            <w:webHidden/>
          </w:rPr>
        </w:r>
        <w:r w:rsidR="009220E2">
          <w:rPr>
            <w:noProof/>
            <w:webHidden/>
          </w:rPr>
          <w:fldChar w:fldCharType="separate"/>
        </w:r>
        <w:r>
          <w:rPr>
            <w:noProof/>
            <w:webHidden/>
          </w:rPr>
          <w:t>12</w:t>
        </w:r>
        <w:r w:rsidR="009220E2">
          <w:rPr>
            <w:noProof/>
            <w:webHidden/>
          </w:rPr>
          <w:fldChar w:fldCharType="end"/>
        </w:r>
      </w:hyperlink>
    </w:p>
    <w:p w14:paraId="7FABAEC6" w14:textId="77777777" w:rsidR="009220E2" w:rsidRDefault="00C40664">
      <w:pPr>
        <w:pStyle w:val="TOC3"/>
        <w:rPr>
          <w:rFonts w:eastAsiaTheme="minorEastAsia"/>
          <w:iCs w:val="0"/>
          <w:noProof/>
          <w:sz w:val="22"/>
          <w:lang w:eastAsia="en-AU"/>
        </w:rPr>
      </w:pPr>
      <w:hyperlink w:anchor="_Toc511892537" w:history="1">
        <w:r w:rsidR="009220E2" w:rsidRPr="0050189E">
          <w:rPr>
            <w:rStyle w:val="Hyperlink"/>
            <w:noProof/>
          </w:rPr>
          <w:t>Data sources and assessment methods</w:t>
        </w:r>
        <w:r w:rsidR="009220E2">
          <w:rPr>
            <w:noProof/>
            <w:webHidden/>
          </w:rPr>
          <w:tab/>
        </w:r>
        <w:r w:rsidR="009220E2">
          <w:rPr>
            <w:noProof/>
            <w:webHidden/>
          </w:rPr>
          <w:fldChar w:fldCharType="begin"/>
        </w:r>
        <w:r w:rsidR="009220E2">
          <w:rPr>
            <w:noProof/>
            <w:webHidden/>
          </w:rPr>
          <w:instrText xml:space="preserve"> PAGEREF _Toc511892537 \h </w:instrText>
        </w:r>
        <w:r w:rsidR="009220E2">
          <w:rPr>
            <w:noProof/>
            <w:webHidden/>
          </w:rPr>
        </w:r>
        <w:r w:rsidR="009220E2">
          <w:rPr>
            <w:noProof/>
            <w:webHidden/>
          </w:rPr>
          <w:fldChar w:fldCharType="separate"/>
        </w:r>
        <w:r>
          <w:rPr>
            <w:noProof/>
            <w:webHidden/>
          </w:rPr>
          <w:t>12</w:t>
        </w:r>
        <w:r w:rsidR="009220E2">
          <w:rPr>
            <w:noProof/>
            <w:webHidden/>
          </w:rPr>
          <w:fldChar w:fldCharType="end"/>
        </w:r>
      </w:hyperlink>
    </w:p>
    <w:p w14:paraId="785CEE91" w14:textId="77777777" w:rsidR="009220E2" w:rsidRDefault="00C40664">
      <w:pPr>
        <w:pStyle w:val="TOC1"/>
        <w:rPr>
          <w:rFonts w:eastAsiaTheme="minorEastAsia"/>
          <w:b w:val="0"/>
          <w:bCs w:val="0"/>
          <w:caps w:val="0"/>
          <w:noProof/>
          <w:sz w:val="22"/>
          <w:szCs w:val="22"/>
          <w:lang w:eastAsia="en-AU"/>
        </w:rPr>
      </w:pPr>
      <w:hyperlink w:anchor="_Toc511892538" w:history="1">
        <w:r w:rsidR="009220E2" w:rsidRPr="0050189E">
          <w:rPr>
            <w:rStyle w:val="Hyperlink"/>
            <w:noProof/>
          </w:rPr>
          <w:t>Issues and analysis</w:t>
        </w:r>
        <w:r w:rsidR="009220E2">
          <w:rPr>
            <w:noProof/>
            <w:webHidden/>
          </w:rPr>
          <w:tab/>
        </w:r>
        <w:r w:rsidR="009220E2">
          <w:rPr>
            <w:noProof/>
            <w:webHidden/>
          </w:rPr>
          <w:fldChar w:fldCharType="begin"/>
        </w:r>
        <w:r w:rsidR="009220E2">
          <w:rPr>
            <w:noProof/>
            <w:webHidden/>
          </w:rPr>
          <w:instrText xml:space="preserve"> PAGEREF _Toc511892538 \h </w:instrText>
        </w:r>
        <w:r w:rsidR="009220E2">
          <w:rPr>
            <w:noProof/>
            <w:webHidden/>
          </w:rPr>
        </w:r>
        <w:r w:rsidR="009220E2">
          <w:rPr>
            <w:noProof/>
            <w:webHidden/>
          </w:rPr>
          <w:fldChar w:fldCharType="separate"/>
        </w:r>
        <w:r>
          <w:rPr>
            <w:noProof/>
            <w:webHidden/>
          </w:rPr>
          <w:t>15</w:t>
        </w:r>
        <w:r w:rsidR="009220E2">
          <w:rPr>
            <w:noProof/>
            <w:webHidden/>
          </w:rPr>
          <w:fldChar w:fldCharType="end"/>
        </w:r>
      </w:hyperlink>
    </w:p>
    <w:p w14:paraId="20392EA2" w14:textId="77777777" w:rsidR="009220E2" w:rsidRDefault="00C40664">
      <w:pPr>
        <w:pStyle w:val="TOC3"/>
        <w:rPr>
          <w:rFonts w:eastAsiaTheme="minorEastAsia"/>
          <w:iCs w:val="0"/>
          <w:noProof/>
          <w:sz w:val="22"/>
          <w:lang w:eastAsia="en-AU"/>
        </w:rPr>
      </w:pPr>
      <w:hyperlink w:anchor="_Toc511892539" w:history="1">
        <w:r w:rsidR="009220E2" w:rsidRPr="0050189E">
          <w:rPr>
            <w:rStyle w:val="Hyperlink"/>
            <w:noProof/>
          </w:rPr>
          <w:t>Planning allowances</w:t>
        </w:r>
        <w:r w:rsidR="009220E2">
          <w:rPr>
            <w:noProof/>
            <w:webHidden/>
          </w:rPr>
          <w:tab/>
        </w:r>
        <w:r w:rsidR="009220E2">
          <w:rPr>
            <w:noProof/>
            <w:webHidden/>
          </w:rPr>
          <w:fldChar w:fldCharType="begin"/>
        </w:r>
        <w:r w:rsidR="009220E2">
          <w:rPr>
            <w:noProof/>
            <w:webHidden/>
          </w:rPr>
          <w:instrText xml:space="preserve"> PAGEREF _Toc511892539 \h </w:instrText>
        </w:r>
        <w:r w:rsidR="009220E2">
          <w:rPr>
            <w:noProof/>
            <w:webHidden/>
          </w:rPr>
        </w:r>
        <w:r w:rsidR="009220E2">
          <w:rPr>
            <w:noProof/>
            <w:webHidden/>
          </w:rPr>
          <w:fldChar w:fldCharType="separate"/>
        </w:r>
        <w:r>
          <w:rPr>
            <w:noProof/>
            <w:webHidden/>
          </w:rPr>
          <w:t>15</w:t>
        </w:r>
        <w:r w:rsidR="009220E2">
          <w:rPr>
            <w:noProof/>
            <w:webHidden/>
          </w:rPr>
          <w:fldChar w:fldCharType="end"/>
        </w:r>
      </w:hyperlink>
    </w:p>
    <w:p w14:paraId="4CBEBD5D" w14:textId="77777777" w:rsidR="009220E2" w:rsidRDefault="00C40664">
      <w:pPr>
        <w:pStyle w:val="TOC3"/>
        <w:rPr>
          <w:rFonts w:eastAsiaTheme="minorEastAsia"/>
          <w:iCs w:val="0"/>
          <w:noProof/>
          <w:sz w:val="22"/>
          <w:lang w:eastAsia="en-AU"/>
        </w:rPr>
      </w:pPr>
      <w:hyperlink w:anchor="_Toc511892540" w:history="1">
        <w:r w:rsidR="009220E2" w:rsidRPr="0050189E">
          <w:rPr>
            <w:rStyle w:val="Hyperlink"/>
            <w:noProof/>
          </w:rPr>
          <w:t>Police allowance</w:t>
        </w:r>
        <w:r w:rsidR="009220E2">
          <w:rPr>
            <w:noProof/>
            <w:webHidden/>
          </w:rPr>
          <w:tab/>
        </w:r>
        <w:r w:rsidR="009220E2">
          <w:rPr>
            <w:noProof/>
            <w:webHidden/>
          </w:rPr>
          <w:fldChar w:fldCharType="begin"/>
        </w:r>
        <w:r w:rsidR="009220E2">
          <w:rPr>
            <w:noProof/>
            <w:webHidden/>
          </w:rPr>
          <w:instrText xml:space="preserve"> PAGEREF _Toc511892540 \h </w:instrText>
        </w:r>
        <w:r w:rsidR="009220E2">
          <w:rPr>
            <w:noProof/>
            <w:webHidden/>
          </w:rPr>
        </w:r>
        <w:r w:rsidR="009220E2">
          <w:rPr>
            <w:noProof/>
            <w:webHidden/>
          </w:rPr>
          <w:fldChar w:fldCharType="separate"/>
        </w:r>
        <w:r>
          <w:rPr>
            <w:noProof/>
            <w:webHidden/>
          </w:rPr>
          <w:t>18</w:t>
        </w:r>
        <w:r w:rsidR="009220E2">
          <w:rPr>
            <w:noProof/>
            <w:webHidden/>
          </w:rPr>
          <w:fldChar w:fldCharType="end"/>
        </w:r>
      </w:hyperlink>
    </w:p>
    <w:p w14:paraId="4C7381AF" w14:textId="77777777" w:rsidR="009220E2" w:rsidRDefault="00C40664">
      <w:pPr>
        <w:pStyle w:val="TOC3"/>
        <w:rPr>
          <w:rFonts w:eastAsiaTheme="minorEastAsia"/>
          <w:iCs w:val="0"/>
          <w:noProof/>
          <w:sz w:val="22"/>
          <w:lang w:eastAsia="en-AU"/>
        </w:rPr>
      </w:pPr>
      <w:hyperlink w:anchor="_Toc511892541" w:history="1">
        <w:r w:rsidR="009220E2" w:rsidRPr="0050189E">
          <w:rPr>
            <w:rStyle w:val="Hyperlink"/>
            <w:noProof/>
          </w:rPr>
          <w:t>Other issues considered and settled</w:t>
        </w:r>
        <w:r w:rsidR="009220E2">
          <w:rPr>
            <w:noProof/>
            <w:webHidden/>
          </w:rPr>
          <w:tab/>
        </w:r>
        <w:r w:rsidR="009220E2">
          <w:rPr>
            <w:noProof/>
            <w:webHidden/>
          </w:rPr>
          <w:fldChar w:fldCharType="begin"/>
        </w:r>
        <w:r w:rsidR="009220E2">
          <w:rPr>
            <w:noProof/>
            <w:webHidden/>
          </w:rPr>
          <w:instrText xml:space="preserve"> PAGEREF _Toc511892541 \h </w:instrText>
        </w:r>
        <w:r w:rsidR="009220E2">
          <w:rPr>
            <w:noProof/>
            <w:webHidden/>
          </w:rPr>
        </w:r>
        <w:r w:rsidR="009220E2">
          <w:rPr>
            <w:noProof/>
            <w:webHidden/>
          </w:rPr>
          <w:fldChar w:fldCharType="separate"/>
        </w:r>
        <w:r>
          <w:rPr>
            <w:noProof/>
            <w:webHidden/>
          </w:rPr>
          <w:t>18</w:t>
        </w:r>
        <w:r w:rsidR="009220E2">
          <w:rPr>
            <w:noProof/>
            <w:webHidden/>
          </w:rPr>
          <w:fldChar w:fldCharType="end"/>
        </w:r>
      </w:hyperlink>
    </w:p>
    <w:p w14:paraId="0642FBCE" w14:textId="77777777" w:rsidR="009220E2" w:rsidRDefault="00C40664">
      <w:pPr>
        <w:pStyle w:val="TOC1"/>
        <w:rPr>
          <w:rFonts w:eastAsiaTheme="minorEastAsia"/>
          <w:b w:val="0"/>
          <w:bCs w:val="0"/>
          <w:caps w:val="0"/>
          <w:noProof/>
          <w:sz w:val="22"/>
          <w:szCs w:val="22"/>
          <w:lang w:eastAsia="en-AU"/>
        </w:rPr>
      </w:pPr>
      <w:hyperlink w:anchor="_Toc511892542" w:history="1">
        <w:r w:rsidR="009220E2" w:rsidRPr="0050189E">
          <w:rPr>
            <w:rStyle w:val="Hyperlink"/>
            <w:noProof/>
          </w:rPr>
          <w:t>Conclusion and way forward</w:t>
        </w:r>
        <w:r w:rsidR="009220E2">
          <w:rPr>
            <w:noProof/>
            <w:webHidden/>
          </w:rPr>
          <w:tab/>
        </w:r>
        <w:r w:rsidR="009220E2">
          <w:rPr>
            <w:noProof/>
            <w:webHidden/>
          </w:rPr>
          <w:fldChar w:fldCharType="begin"/>
        </w:r>
        <w:r w:rsidR="009220E2">
          <w:rPr>
            <w:noProof/>
            <w:webHidden/>
          </w:rPr>
          <w:instrText xml:space="preserve"> PAGEREF _Toc511892542 \h </w:instrText>
        </w:r>
        <w:r w:rsidR="009220E2">
          <w:rPr>
            <w:noProof/>
            <w:webHidden/>
          </w:rPr>
        </w:r>
        <w:r w:rsidR="009220E2">
          <w:rPr>
            <w:noProof/>
            <w:webHidden/>
          </w:rPr>
          <w:fldChar w:fldCharType="separate"/>
        </w:r>
        <w:r>
          <w:rPr>
            <w:noProof/>
            <w:webHidden/>
          </w:rPr>
          <w:t>18</w:t>
        </w:r>
        <w:r w:rsidR="009220E2">
          <w:rPr>
            <w:noProof/>
            <w:webHidden/>
          </w:rPr>
          <w:fldChar w:fldCharType="end"/>
        </w:r>
      </w:hyperlink>
    </w:p>
    <w:p w14:paraId="55FC5C7D" w14:textId="77777777" w:rsidR="009220E2" w:rsidRDefault="00C40664">
      <w:pPr>
        <w:pStyle w:val="TOC1"/>
        <w:rPr>
          <w:rFonts w:eastAsiaTheme="minorEastAsia"/>
          <w:b w:val="0"/>
          <w:bCs w:val="0"/>
          <w:caps w:val="0"/>
          <w:noProof/>
          <w:sz w:val="22"/>
          <w:szCs w:val="22"/>
          <w:lang w:eastAsia="en-AU"/>
        </w:rPr>
      </w:pPr>
      <w:hyperlink w:anchor="_Toc511892545" w:history="1">
        <w:r w:rsidR="009220E2" w:rsidRPr="0050189E">
          <w:rPr>
            <w:rStyle w:val="Hyperlink"/>
            <w:noProof/>
          </w:rPr>
          <w:t>Native title and land rights</w:t>
        </w:r>
        <w:r w:rsidR="009220E2">
          <w:rPr>
            <w:noProof/>
            <w:webHidden/>
          </w:rPr>
          <w:tab/>
        </w:r>
        <w:r w:rsidR="009220E2">
          <w:rPr>
            <w:noProof/>
            <w:webHidden/>
          </w:rPr>
          <w:fldChar w:fldCharType="begin"/>
        </w:r>
        <w:r w:rsidR="009220E2">
          <w:rPr>
            <w:noProof/>
            <w:webHidden/>
          </w:rPr>
          <w:instrText xml:space="preserve"> PAGEREF _Toc511892545 \h </w:instrText>
        </w:r>
        <w:r w:rsidR="009220E2">
          <w:rPr>
            <w:noProof/>
            <w:webHidden/>
          </w:rPr>
        </w:r>
        <w:r w:rsidR="009220E2">
          <w:rPr>
            <w:noProof/>
            <w:webHidden/>
          </w:rPr>
          <w:fldChar w:fldCharType="separate"/>
        </w:r>
        <w:r>
          <w:rPr>
            <w:noProof/>
            <w:webHidden/>
          </w:rPr>
          <w:t>20</w:t>
        </w:r>
        <w:r w:rsidR="009220E2">
          <w:rPr>
            <w:noProof/>
            <w:webHidden/>
          </w:rPr>
          <w:fldChar w:fldCharType="end"/>
        </w:r>
      </w:hyperlink>
    </w:p>
    <w:p w14:paraId="4D751B53" w14:textId="77777777" w:rsidR="009220E2" w:rsidRDefault="00C40664">
      <w:pPr>
        <w:pStyle w:val="TOC1"/>
        <w:rPr>
          <w:rFonts w:eastAsiaTheme="minorEastAsia"/>
          <w:b w:val="0"/>
          <w:bCs w:val="0"/>
          <w:caps w:val="0"/>
          <w:noProof/>
          <w:sz w:val="22"/>
          <w:szCs w:val="22"/>
          <w:lang w:eastAsia="en-AU"/>
        </w:rPr>
      </w:pPr>
      <w:hyperlink w:anchor="_Toc511892546" w:history="1">
        <w:r w:rsidR="009220E2" w:rsidRPr="0050189E">
          <w:rPr>
            <w:rStyle w:val="Hyperlink"/>
            <w:noProof/>
          </w:rPr>
          <w:t>2015 Review approach</w:t>
        </w:r>
        <w:r w:rsidR="009220E2">
          <w:rPr>
            <w:noProof/>
            <w:webHidden/>
          </w:rPr>
          <w:tab/>
        </w:r>
        <w:r w:rsidR="009220E2">
          <w:rPr>
            <w:noProof/>
            <w:webHidden/>
          </w:rPr>
          <w:fldChar w:fldCharType="begin"/>
        </w:r>
        <w:r w:rsidR="009220E2">
          <w:rPr>
            <w:noProof/>
            <w:webHidden/>
          </w:rPr>
          <w:instrText xml:space="preserve"> PAGEREF _Toc511892546 \h </w:instrText>
        </w:r>
        <w:r w:rsidR="009220E2">
          <w:rPr>
            <w:noProof/>
            <w:webHidden/>
          </w:rPr>
        </w:r>
        <w:r w:rsidR="009220E2">
          <w:rPr>
            <w:noProof/>
            <w:webHidden/>
          </w:rPr>
          <w:fldChar w:fldCharType="separate"/>
        </w:r>
        <w:r>
          <w:rPr>
            <w:noProof/>
            <w:webHidden/>
          </w:rPr>
          <w:t>20</w:t>
        </w:r>
        <w:r w:rsidR="009220E2">
          <w:rPr>
            <w:noProof/>
            <w:webHidden/>
          </w:rPr>
          <w:fldChar w:fldCharType="end"/>
        </w:r>
      </w:hyperlink>
    </w:p>
    <w:p w14:paraId="20A618EB" w14:textId="77777777" w:rsidR="009220E2" w:rsidRDefault="00C40664">
      <w:pPr>
        <w:pStyle w:val="TOC3"/>
        <w:rPr>
          <w:rFonts w:eastAsiaTheme="minorEastAsia"/>
          <w:iCs w:val="0"/>
          <w:noProof/>
          <w:sz w:val="22"/>
          <w:lang w:eastAsia="en-AU"/>
        </w:rPr>
      </w:pPr>
      <w:hyperlink w:anchor="_Toc511892547" w:history="1">
        <w:r w:rsidR="009220E2" w:rsidRPr="0050189E">
          <w:rPr>
            <w:rStyle w:val="Hyperlink"/>
            <w:noProof/>
          </w:rPr>
          <w:t>Disability expenses</w:t>
        </w:r>
        <w:r w:rsidR="009220E2">
          <w:rPr>
            <w:noProof/>
            <w:webHidden/>
          </w:rPr>
          <w:tab/>
        </w:r>
        <w:r w:rsidR="009220E2">
          <w:rPr>
            <w:noProof/>
            <w:webHidden/>
          </w:rPr>
          <w:fldChar w:fldCharType="begin"/>
        </w:r>
        <w:r w:rsidR="009220E2">
          <w:rPr>
            <w:noProof/>
            <w:webHidden/>
          </w:rPr>
          <w:instrText xml:space="preserve"> PAGEREF _Toc511892547 \h </w:instrText>
        </w:r>
        <w:r w:rsidR="009220E2">
          <w:rPr>
            <w:noProof/>
            <w:webHidden/>
          </w:rPr>
        </w:r>
        <w:r w:rsidR="009220E2">
          <w:rPr>
            <w:noProof/>
            <w:webHidden/>
          </w:rPr>
          <w:fldChar w:fldCharType="separate"/>
        </w:r>
        <w:r>
          <w:rPr>
            <w:noProof/>
            <w:webHidden/>
          </w:rPr>
          <w:t>20</w:t>
        </w:r>
        <w:r w:rsidR="009220E2">
          <w:rPr>
            <w:noProof/>
            <w:webHidden/>
          </w:rPr>
          <w:fldChar w:fldCharType="end"/>
        </w:r>
      </w:hyperlink>
    </w:p>
    <w:p w14:paraId="1F16BA14" w14:textId="77777777" w:rsidR="009220E2" w:rsidRDefault="00C40664">
      <w:pPr>
        <w:pStyle w:val="TOC1"/>
        <w:rPr>
          <w:rFonts w:eastAsiaTheme="minorEastAsia"/>
          <w:b w:val="0"/>
          <w:bCs w:val="0"/>
          <w:caps w:val="0"/>
          <w:noProof/>
          <w:sz w:val="22"/>
          <w:szCs w:val="22"/>
          <w:lang w:eastAsia="en-AU"/>
        </w:rPr>
      </w:pPr>
      <w:hyperlink w:anchor="_Toc511892548" w:history="1">
        <w:r w:rsidR="009220E2" w:rsidRPr="0050189E">
          <w:rPr>
            <w:rStyle w:val="Hyperlink"/>
            <w:noProof/>
          </w:rPr>
          <w:t>Issues and analysis</w:t>
        </w:r>
        <w:r w:rsidR="009220E2">
          <w:rPr>
            <w:noProof/>
            <w:webHidden/>
          </w:rPr>
          <w:tab/>
        </w:r>
        <w:r w:rsidR="009220E2">
          <w:rPr>
            <w:noProof/>
            <w:webHidden/>
          </w:rPr>
          <w:fldChar w:fldCharType="begin"/>
        </w:r>
        <w:r w:rsidR="009220E2">
          <w:rPr>
            <w:noProof/>
            <w:webHidden/>
          </w:rPr>
          <w:instrText xml:space="preserve"> PAGEREF _Toc511892548 \h </w:instrText>
        </w:r>
        <w:r w:rsidR="009220E2">
          <w:rPr>
            <w:noProof/>
            <w:webHidden/>
          </w:rPr>
        </w:r>
        <w:r w:rsidR="009220E2">
          <w:rPr>
            <w:noProof/>
            <w:webHidden/>
          </w:rPr>
          <w:fldChar w:fldCharType="separate"/>
        </w:r>
        <w:r>
          <w:rPr>
            <w:noProof/>
            <w:webHidden/>
          </w:rPr>
          <w:t>22</w:t>
        </w:r>
        <w:r w:rsidR="009220E2">
          <w:rPr>
            <w:noProof/>
            <w:webHidden/>
          </w:rPr>
          <w:fldChar w:fldCharType="end"/>
        </w:r>
      </w:hyperlink>
    </w:p>
    <w:p w14:paraId="45ED486A" w14:textId="77777777" w:rsidR="009220E2" w:rsidRDefault="00C40664">
      <w:pPr>
        <w:pStyle w:val="TOC3"/>
        <w:rPr>
          <w:rFonts w:eastAsiaTheme="minorEastAsia"/>
          <w:iCs w:val="0"/>
          <w:noProof/>
          <w:sz w:val="22"/>
          <w:lang w:eastAsia="en-AU"/>
        </w:rPr>
      </w:pPr>
      <w:hyperlink w:anchor="_Toc511892549" w:history="1">
        <w:r w:rsidR="009220E2" w:rsidRPr="0050189E">
          <w:rPr>
            <w:rStyle w:val="Hyperlink"/>
            <w:noProof/>
          </w:rPr>
          <w:t>Native title</w:t>
        </w:r>
        <w:r w:rsidR="009220E2">
          <w:rPr>
            <w:noProof/>
            <w:webHidden/>
          </w:rPr>
          <w:tab/>
        </w:r>
        <w:r w:rsidR="009220E2">
          <w:rPr>
            <w:noProof/>
            <w:webHidden/>
          </w:rPr>
          <w:fldChar w:fldCharType="begin"/>
        </w:r>
        <w:r w:rsidR="009220E2">
          <w:rPr>
            <w:noProof/>
            <w:webHidden/>
          </w:rPr>
          <w:instrText xml:space="preserve"> PAGEREF _Toc511892549 \h </w:instrText>
        </w:r>
        <w:r w:rsidR="009220E2">
          <w:rPr>
            <w:noProof/>
            <w:webHidden/>
          </w:rPr>
        </w:r>
        <w:r w:rsidR="009220E2">
          <w:rPr>
            <w:noProof/>
            <w:webHidden/>
          </w:rPr>
          <w:fldChar w:fldCharType="separate"/>
        </w:r>
        <w:r>
          <w:rPr>
            <w:noProof/>
            <w:webHidden/>
          </w:rPr>
          <w:t>22</w:t>
        </w:r>
        <w:r w:rsidR="009220E2">
          <w:rPr>
            <w:noProof/>
            <w:webHidden/>
          </w:rPr>
          <w:fldChar w:fldCharType="end"/>
        </w:r>
      </w:hyperlink>
    </w:p>
    <w:p w14:paraId="3AFFD85C" w14:textId="77777777" w:rsidR="009220E2" w:rsidRDefault="00C40664">
      <w:pPr>
        <w:pStyle w:val="TOC3"/>
        <w:rPr>
          <w:rFonts w:eastAsiaTheme="minorEastAsia"/>
          <w:iCs w:val="0"/>
          <w:noProof/>
          <w:sz w:val="22"/>
          <w:lang w:eastAsia="en-AU"/>
        </w:rPr>
      </w:pPr>
      <w:hyperlink w:anchor="_Toc511892550" w:history="1">
        <w:r w:rsidR="009220E2" w:rsidRPr="0050189E">
          <w:rPr>
            <w:rStyle w:val="Hyperlink"/>
            <w:noProof/>
          </w:rPr>
          <w:t>Land rights</w:t>
        </w:r>
        <w:r w:rsidR="009220E2">
          <w:rPr>
            <w:noProof/>
            <w:webHidden/>
          </w:rPr>
          <w:tab/>
        </w:r>
        <w:r w:rsidR="009220E2">
          <w:rPr>
            <w:noProof/>
            <w:webHidden/>
          </w:rPr>
          <w:fldChar w:fldCharType="begin"/>
        </w:r>
        <w:r w:rsidR="009220E2">
          <w:rPr>
            <w:noProof/>
            <w:webHidden/>
          </w:rPr>
          <w:instrText xml:space="preserve"> PAGEREF _Toc511892550 \h </w:instrText>
        </w:r>
        <w:r w:rsidR="009220E2">
          <w:rPr>
            <w:noProof/>
            <w:webHidden/>
          </w:rPr>
        </w:r>
        <w:r w:rsidR="009220E2">
          <w:rPr>
            <w:noProof/>
            <w:webHidden/>
          </w:rPr>
          <w:fldChar w:fldCharType="separate"/>
        </w:r>
        <w:r>
          <w:rPr>
            <w:noProof/>
            <w:webHidden/>
          </w:rPr>
          <w:t>25</w:t>
        </w:r>
        <w:r w:rsidR="009220E2">
          <w:rPr>
            <w:noProof/>
            <w:webHidden/>
          </w:rPr>
          <w:fldChar w:fldCharType="end"/>
        </w:r>
      </w:hyperlink>
    </w:p>
    <w:p w14:paraId="041C10B3" w14:textId="77777777" w:rsidR="009220E2" w:rsidRDefault="00C40664">
      <w:pPr>
        <w:pStyle w:val="TOC1"/>
        <w:rPr>
          <w:rFonts w:eastAsiaTheme="minorEastAsia"/>
          <w:b w:val="0"/>
          <w:bCs w:val="0"/>
          <w:caps w:val="0"/>
          <w:noProof/>
          <w:sz w:val="22"/>
          <w:szCs w:val="22"/>
          <w:lang w:eastAsia="en-AU"/>
        </w:rPr>
      </w:pPr>
      <w:hyperlink w:anchor="_Toc511892551" w:history="1">
        <w:r w:rsidR="009220E2" w:rsidRPr="0050189E">
          <w:rPr>
            <w:rStyle w:val="Hyperlink"/>
            <w:noProof/>
          </w:rPr>
          <w:t>Conclusion and way forward</w:t>
        </w:r>
        <w:r w:rsidR="009220E2">
          <w:rPr>
            <w:noProof/>
            <w:webHidden/>
          </w:rPr>
          <w:tab/>
        </w:r>
        <w:r w:rsidR="009220E2">
          <w:rPr>
            <w:noProof/>
            <w:webHidden/>
          </w:rPr>
          <w:fldChar w:fldCharType="begin"/>
        </w:r>
        <w:r w:rsidR="009220E2">
          <w:rPr>
            <w:noProof/>
            <w:webHidden/>
          </w:rPr>
          <w:instrText xml:space="preserve"> PAGEREF _Toc511892551 \h </w:instrText>
        </w:r>
        <w:r w:rsidR="009220E2">
          <w:rPr>
            <w:noProof/>
            <w:webHidden/>
          </w:rPr>
        </w:r>
        <w:r w:rsidR="009220E2">
          <w:rPr>
            <w:noProof/>
            <w:webHidden/>
          </w:rPr>
          <w:fldChar w:fldCharType="separate"/>
        </w:r>
        <w:r>
          <w:rPr>
            <w:noProof/>
            <w:webHidden/>
          </w:rPr>
          <w:t>26</w:t>
        </w:r>
        <w:r w:rsidR="009220E2">
          <w:rPr>
            <w:noProof/>
            <w:webHidden/>
          </w:rPr>
          <w:fldChar w:fldCharType="end"/>
        </w:r>
      </w:hyperlink>
    </w:p>
    <w:p w14:paraId="2B36EF52" w14:textId="77777777" w:rsidR="009220E2" w:rsidRDefault="00C40664">
      <w:pPr>
        <w:pStyle w:val="TOC1"/>
        <w:rPr>
          <w:rFonts w:eastAsiaTheme="minorEastAsia"/>
          <w:b w:val="0"/>
          <w:bCs w:val="0"/>
          <w:caps w:val="0"/>
          <w:noProof/>
          <w:sz w:val="22"/>
          <w:szCs w:val="22"/>
          <w:lang w:eastAsia="en-AU"/>
        </w:rPr>
      </w:pPr>
      <w:hyperlink w:anchor="_Toc511892554" w:history="1">
        <w:r w:rsidR="009220E2" w:rsidRPr="0050189E">
          <w:rPr>
            <w:rStyle w:val="Hyperlink"/>
            <w:noProof/>
          </w:rPr>
          <w:t>Attachment A: Native title and land rights expenses over time</w:t>
        </w:r>
        <w:r w:rsidR="009220E2">
          <w:rPr>
            <w:noProof/>
            <w:webHidden/>
          </w:rPr>
          <w:tab/>
        </w:r>
        <w:r w:rsidR="009220E2">
          <w:rPr>
            <w:noProof/>
            <w:webHidden/>
          </w:rPr>
          <w:fldChar w:fldCharType="begin"/>
        </w:r>
        <w:r w:rsidR="009220E2">
          <w:rPr>
            <w:noProof/>
            <w:webHidden/>
          </w:rPr>
          <w:instrText xml:space="preserve"> PAGEREF _Toc511892554 \h </w:instrText>
        </w:r>
        <w:r w:rsidR="009220E2">
          <w:rPr>
            <w:noProof/>
            <w:webHidden/>
          </w:rPr>
        </w:r>
        <w:r w:rsidR="009220E2">
          <w:rPr>
            <w:noProof/>
            <w:webHidden/>
          </w:rPr>
          <w:fldChar w:fldCharType="separate"/>
        </w:r>
        <w:r>
          <w:rPr>
            <w:noProof/>
            <w:webHidden/>
          </w:rPr>
          <w:t>28</w:t>
        </w:r>
        <w:r w:rsidR="009220E2">
          <w:rPr>
            <w:noProof/>
            <w:webHidden/>
          </w:rPr>
          <w:fldChar w:fldCharType="end"/>
        </w:r>
      </w:hyperlink>
    </w:p>
    <w:p w14:paraId="7587E65E" w14:textId="77777777" w:rsidR="009220E2" w:rsidRDefault="00C40664">
      <w:pPr>
        <w:pStyle w:val="TOC1"/>
        <w:rPr>
          <w:rFonts w:eastAsiaTheme="minorEastAsia"/>
          <w:b w:val="0"/>
          <w:bCs w:val="0"/>
          <w:caps w:val="0"/>
          <w:noProof/>
          <w:sz w:val="22"/>
          <w:szCs w:val="22"/>
          <w:lang w:eastAsia="en-AU"/>
        </w:rPr>
      </w:pPr>
      <w:hyperlink w:anchor="_Toc511892555" w:history="1">
        <w:r w:rsidR="009220E2" w:rsidRPr="0050189E">
          <w:rPr>
            <w:rStyle w:val="Hyperlink"/>
            <w:noProof/>
          </w:rPr>
          <w:t>Attachment B: Indigenous land rights</w:t>
        </w:r>
        <w:r w:rsidR="009220E2">
          <w:rPr>
            <w:noProof/>
            <w:webHidden/>
          </w:rPr>
          <w:tab/>
        </w:r>
        <w:r w:rsidR="009220E2">
          <w:rPr>
            <w:noProof/>
            <w:webHidden/>
          </w:rPr>
          <w:fldChar w:fldCharType="begin"/>
        </w:r>
        <w:r w:rsidR="009220E2">
          <w:rPr>
            <w:noProof/>
            <w:webHidden/>
          </w:rPr>
          <w:instrText xml:space="preserve"> PAGEREF _Toc511892555 \h </w:instrText>
        </w:r>
        <w:r w:rsidR="009220E2">
          <w:rPr>
            <w:noProof/>
            <w:webHidden/>
          </w:rPr>
        </w:r>
        <w:r w:rsidR="009220E2">
          <w:rPr>
            <w:noProof/>
            <w:webHidden/>
          </w:rPr>
          <w:fldChar w:fldCharType="separate"/>
        </w:r>
        <w:r>
          <w:rPr>
            <w:noProof/>
            <w:webHidden/>
          </w:rPr>
          <w:t>30</w:t>
        </w:r>
        <w:r w:rsidR="009220E2">
          <w:rPr>
            <w:noProof/>
            <w:webHidden/>
          </w:rPr>
          <w:fldChar w:fldCharType="end"/>
        </w:r>
      </w:hyperlink>
    </w:p>
    <w:p w14:paraId="1D04DAC6" w14:textId="63B87B80" w:rsidR="00C67D15" w:rsidRPr="00970E6D" w:rsidRDefault="00C2657C" w:rsidP="00BE2976">
      <w:pPr>
        <w:pStyle w:val="TOC1"/>
      </w:pPr>
      <w:r>
        <w:fldChar w:fldCharType="end"/>
      </w:r>
    </w:p>
    <w:p w14:paraId="521BA21E" w14:textId="77777777" w:rsidR="00F46EFD" w:rsidRPr="00970E6D" w:rsidRDefault="00F46EFD" w:rsidP="00F46EFD">
      <w:pPr>
        <w:tabs>
          <w:tab w:val="clear" w:pos="567"/>
        </w:tabs>
        <w:sectPr w:rsidR="00F46EFD" w:rsidRPr="00970E6D" w:rsidSect="00412BFF">
          <w:headerReference w:type="first" r:id="rId17"/>
          <w:footerReference w:type="first" r:id="rId18"/>
          <w:pgSz w:w="11899" w:h="16838" w:code="9"/>
          <w:pgMar w:top="1701" w:right="1474" w:bottom="1701" w:left="1474" w:header="709" w:footer="709" w:gutter="0"/>
          <w:pgNumType w:fmt="lowerRoman" w:start="1"/>
          <w:cols w:space="708"/>
          <w:titlePg/>
          <w:docGrid w:linePitch="299"/>
        </w:sectPr>
      </w:pPr>
    </w:p>
    <w:p w14:paraId="0591A3BB" w14:textId="3F320B9D" w:rsidR="00976D1E" w:rsidRDefault="00976D1E" w:rsidP="00976D1E">
      <w:pPr>
        <w:pStyle w:val="CGCNumberedPara"/>
        <w:numPr>
          <w:ilvl w:val="1"/>
          <w:numId w:val="3"/>
        </w:numPr>
      </w:pPr>
      <w:bookmarkStart w:id="6" w:name="_Toc511048300"/>
      <w:bookmarkStart w:id="7" w:name="_Toc511048402"/>
      <w:bookmarkStart w:id="8" w:name="_Toc511048440"/>
      <w:bookmarkStart w:id="9" w:name="_Toc511048475"/>
      <w:r>
        <w:lastRenderedPageBreak/>
        <w:t>The paper provides the Commission staff propos</w:t>
      </w:r>
      <w:r w:rsidR="009220E2">
        <w:t>als for the assessment of Other </w:t>
      </w:r>
      <w:r>
        <w:t>disabilities (cross-border, national capital allowances and native title and land rights) for the 2020 Review.</w:t>
      </w:r>
    </w:p>
    <w:p w14:paraId="370264D5" w14:textId="77777777" w:rsidR="002A4135" w:rsidRDefault="002A4135" w:rsidP="002A4135">
      <w:bookmarkStart w:id="10" w:name="_Toc511398654"/>
      <w:bookmarkStart w:id="11" w:name="_Toc511398698"/>
    </w:p>
    <w:p w14:paraId="0927336A" w14:textId="1381E905" w:rsidR="00F46EFD" w:rsidRPr="00C67D15" w:rsidRDefault="00C67D15" w:rsidP="00C67D15">
      <w:pPr>
        <w:pStyle w:val="Heading2"/>
      </w:pPr>
      <w:bookmarkStart w:id="12" w:name="_Toc511892523"/>
      <w:r>
        <w:t>C</w:t>
      </w:r>
      <w:r w:rsidR="00F46EFD" w:rsidRPr="00C67D15">
        <w:t>ross-border</w:t>
      </w:r>
      <w:bookmarkEnd w:id="6"/>
      <w:bookmarkEnd w:id="7"/>
      <w:bookmarkEnd w:id="8"/>
      <w:bookmarkEnd w:id="9"/>
      <w:bookmarkEnd w:id="10"/>
      <w:bookmarkEnd w:id="11"/>
      <w:bookmarkEnd w:id="12"/>
    </w:p>
    <w:p w14:paraId="3FEC2D2B" w14:textId="77777777" w:rsidR="00F46EFD" w:rsidRDefault="00F46EFD" w:rsidP="00F46EFD">
      <w:pPr>
        <w:pStyle w:val="Heading3"/>
      </w:pPr>
      <w:bookmarkStart w:id="13" w:name="Content"/>
      <w:bookmarkStart w:id="14" w:name="_Toc511048301"/>
      <w:bookmarkStart w:id="15" w:name="_Toc511048403"/>
      <w:bookmarkStart w:id="16" w:name="_Toc511048441"/>
      <w:bookmarkStart w:id="17" w:name="_Toc511048476"/>
      <w:bookmarkStart w:id="18" w:name="_Toc511398655"/>
      <w:bookmarkStart w:id="19" w:name="_Toc511398699"/>
      <w:bookmarkStart w:id="20" w:name="_Toc511892524"/>
      <w:bookmarkEnd w:id="13"/>
      <w:r w:rsidRPr="00783763">
        <w:t>2015 Review approach</w:t>
      </w:r>
      <w:bookmarkEnd w:id="14"/>
      <w:bookmarkEnd w:id="15"/>
      <w:bookmarkEnd w:id="16"/>
      <w:bookmarkEnd w:id="17"/>
      <w:bookmarkEnd w:id="18"/>
      <w:bookmarkEnd w:id="19"/>
      <w:bookmarkEnd w:id="20"/>
    </w:p>
    <w:p w14:paraId="628DA548" w14:textId="77777777" w:rsidR="00F46EFD" w:rsidRDefault="00F46EFD" w:rsidP="00F46EFD">
      <w:pPr>
        <w:pStyle w:val="CGCNumberedPara"/>
        <w:numPr>
          <w:ilvl w:val="1"/>
          <w:numId w:val="3"/>
        </w:numPr>
      </w:pPr>
      <w:r w:rsidRPr="00F46B46">
        <w:t>Cross-border costs are incurred when residents of one State use the services provided in another. Cross-border flows can occur across a</w:t>
      </w:r>
      <w:r>
        <w:t>ny border (for example, the New </w:t>
      </w:r>
      <w:r w:rsidRPr="00F46B46">
        <w:t xml:space="preserve">South Wales-Queensland border </w:t>
      </w:r>
      <w:r>
        <w:t>in</w:t>
      </w:r>
      <w:r w:rsidRPr="00F46B46">
        <w:t xml:space="preserve"> the region of Tweed Heads-Coolangatta, or the New South Wales-Victoria border around Albury-Wodonga).</w:t>
      </w:r>
      <w:r>
        <w:t xml:space="preserve"> </w:t>
      </w:r>
      <w:r w:rsidRPr="00030B06">
        <w:t xml:space="preserve">This </w:t>
      </w:r>
      <w:r>
        <w:t>is</w:t>
      </w:r>
      <w:r w:rsidRPr="00030B06">
        <w:t xml:space="preserve"> because</w:t>
      </w:r>
      <w:r>
        <w:t>:</w:t>
      </w:r>
    </w:p>
    <w:p w14:paraId="6F0AB31D" w14:textId="77777777" w:rsidR="00F46EFD" w:rsidRDefault="00F46EFD" w:rsidP="00F46EFD">
      <w:pPr>
        <w:pStyle w:val="CGCBulletlist"/>
        <w:numPr>
          <w:ilvl w:val="0"/>
          <w:numId w:val="1"/>
        </w:numPr>
        <w:tabs>
          <w:tab w:val="clear" w:pos="927"/>
        </w:tabs>
        <w:ind w:left="1134" w:hanging="567"/>
      </w:pPr>
      <w:r w:rsidRPr="00030B06">
        <w:t xml:space="preserve">residents of one State </w:t>
      </w:r>
      <w:r>
        <w:t>use</w:t>
      </w:r>
      <w:r w:rsidRPr="00030B06">
        <w:t xml:space="preserve"> higher level regional or capital city services</w:t>
      </w:r>
      <w:r>
        <w:t xml:space="preserve"> in another State </w:t>
      </w:r>
    </w:p>
    <w:p w14:paraId="08865853" w14:textId="77777777" w:rsidR="00F46EFD" w:rsidRDefault="00F46EFD" w:rsidP="00F46EFD">
      <w:pPr>
        <w:pStyle w:val="CGCBulletlist"/>
        <w:numPr>
          <w:ilvl w:val="0"/>
          <w:numId w:val="1"/>
        </w:numPr>
        <w:tabs>
          <w:tab w:val="clear" w:pos="927"/>
        </w:tabs>
        <w:ind w:left="1134" w:hanging="567"/>
      </w:pPr>
      <w:r>
        <w:t xml:space="preserve">some </w:t>
      </w:r>
      <w:r w:rsidRPr="00030B06">
        <w:t>service</w:t>
      </w:r>
      <w:r>
        <w:t>s</w:t>
      </w:r>
      <w:r w:rsidRPr="00030B06">
        <w:t xml:space="preserve"> </w:t>
      </w:r>
      <w:r>
        <w:t xml:space="preserve">are </w:t>
      </w:r>
      <w:r w:rsidRPr="00030B06">
        <w:t>unavailab</w:t>
      </w:r>
      <w:r>
        <w:t xml:space="preserve">le </w:t>
      </w:r>
      <w:r w:rsidRPr="00030B06">
        <w:t>in the local area</w:t>
      </w:r>
    </w:p>
    <w:p w14:paraId="24F71423" w14:textId="77777777" w:rsidR="00F46EFD" w:rsidRDefault="00F46EFD" w:rsidP="00F46EFD">
      <w:pPr>
        <w:pStyle w:val="CGCBulletlist"/>
        <w:numPr>
          <w:ilvl w:val="0"/>
          <w:numId w:val="1"/>
        </w:numPr>
        <w:tabs>
          <w:tab w:val="clear" w:pos="927"/>
        </w:tabs>
        <w:ind w:left="1134" w:hanging="567"/>
      </w:pPr>
      <w:r w:rsidRPr="00030B06">
        <w:t xml:space="preserve">it </w:t>
      </w:r>
      <w:r>
        <w:t xml:space="preserve">is more </w:t>
      </w:r>
      <w:r w:rsidRPr="00030B06">
        <w:t xml:space="preserve">convenient to use the services of other States for reasons </w:t>
      </w:r>
      <w:r>
        <w:t>such as</w:t>
      </w:r>
      <w:r w:rsidRPr="00030B06">
        <w:t xml:space="preserve"> employment</w:t>
      </w:r>
      <w:r>
        <w:t xml:space="preserve"> and studies.</w:t>
      </w:r>
    </w:p>
    <w:p w14:paraId="2B930786" w14:textId="77777777" w:rsidR="00E55D20" w:rsidRDefault="00E55D20" w:rsidP="00E55D20">
      <w:pPr>
        <w:pStyle w:val="CGCNumberedPara"/>
        <w:numPr>
          <w:ilvl w:val="1"/>
          <w:numId w:val="3"/>
        </w:numPr>
      </w:pPr>
      <w:r w:rsidRPr="00F46B46">
        <w:t xml:space="preserve">A cross-border disability is assessed when a net cross-border flow of services results in a State incurring a material level of extra costs and it is not reimbursed by other States. </w:t>
      </w:r>
    </w:p>
    <w:p w14:paraId="42946A4F" w14:textId="73EE3AA9" w:rsidR="00E55D20" w:rsidRDefault="00E55D20" w:rsidP="00E55D20">
      <w:pPr>
        <w:pStyle w:val="CGCNumberedPara"/>
        <w:numPr>
          <w:ilvl w:val="1"/>
          <w:numId w:val="3"/>
        </w:numPr>
      </w:pPr>
      <w:r>
        <w:t xml:space="preserve">Where actual cross-border use data </w:t>
      </w:r>
      <w:r w:rsidR="00493583">
        <w:t>are</w:t>
      </w:r>
      <w:r>
        <w:t xml:space="preserve"> available, they </w:t>
      </w:r>
      <w:r w:rsidR="00493583">
        <w:t xml:space="preserve">are </w:t>
      </w:r>
      <w:r>
        <w:t>used to assess cross</w:t>
      </w:r>
      <w:r>
        <w:noBreakHyphen/>
        <w:t xml:space="preserve">border needs. For a number of services, the Commission </w:t>
      </w:r>
      <w:r w:rsidR="00493583">
        <w:t>does</w:t>
      </w:r>
      <w:r>
        <w:t xml:space="preserve"> not have access to cross-border use data. In these cases and on practicality grounds, the Commission </w:t>
      </w:r>
      <w:r w:rsidR="00493583">
        <w:t>assesses</w:t>
      </w:r>
      <w:r w:rsidRPr="00F46B46">
        <w:t xml:space="preserve"> separate cross</w:t>
      </w:r>
      <w:r>
        <w:noBreakHyphen/>
      </w:r>
      <w:r w:rsidRPr="00F46B46">
        <w:t xml:space="preserve">border disabilities to recognise the additional costs incurred by the ACT only. This is because Canberra acts as a major regional centre for south eastern New South Wales and the net costs incurred by the ACT are material. </w:t>
      </w:r>
    </w:p>
    <w:p w14:paraId="52BF2F3E" w14:textId="73091600" w:rsidR="00E55D20" w:rsidRPr="00F46B46" w:rsidRDefault="00E55D20" w:rsidP="00E55D20">
      <w:pPr>
        <w:pStyle w:val="CGCNumberedPara"/>
        <w:numPr>
          <w:ilvl w:val="1"/>
          <w:numId w:val="3"/>
        </w:numPr>
      </w:pPr>
      <w:r>
        <w:t>Th</w:t>
      </w:r>
      <w:r w:rsidR="00493583">
        <w:t>e revenue assessments recognise</w:t>
      </w:r>
      <w:r>
        <w:t xml:space="preserve"> cross-border disabilities by taking into account that taxes can be </w:t>
      </w:r>
      <w:r w:rsidRPr="00DA1677">
        <w:t>exported to another State, another level of government or overseas</w:t>
      </w:r>
      <w:r>
        <w:t xml:space="preserve">. </w:t>
      </w:r>
    </w:p>
    <w:p w14:paraId="748629DB" w14:textId="34F66665" w:rsidR="003E55D6" w:rsidRDefault="003E55D6" w:rsidP="003E55D6">
      <w:pPr>
        <w:pStyle w:val="Heading4"/>
      </w:pPr>
      <w:bookmarkStart w:id="21" w:name="_Toc511398657"/>
      <w:bookmarkStart w:id="22" w:name="_Toc511398701"/>
      <w:bookmarkStart w:id="23" w:name="_Toc511892525"/>
      <w:bookmarkStart w:id="24" w:name="_Toc511048302"/>
      <w:bookmarkStart w:id="25" w:name="_Toc511048404"/>
      <w:bookmarkStart w:id="26" w:name="_Toc511048442"/>
      <w:bookmarkStart w:id="27" w:name="_Toc511048477"/>
      <w:r>
        <w:t>Data sources and assessment methods</w:t>
      </w:r>
      <w:bookmarkEnd w:id="21"/>
      <w:bookmarkEnd w:id="22"/>
      <w:bookmarkEnd w:id="23"/>
    </w:p>
    <w:p w14:paraId="7FFB833C" w14:textId="77777777" w:rsidR="00F46EFD" w:rsidRDefault="00F46EFD" w:rsidP="00537992">
      <w:pPr>
        <w:pStyle w:val="Heading5"/>
      </w:pPr>
      <w:r>
        <w:t>Services where comprehensive actual data exist</w:t>
      </w:r>
      <w:bookmarkEnd w:id="24"/>
      <w:bookmarkEnd w:id="25"/>
      <w:bookmarkEnd w:id="26"/>
      <w:bookmarkEnd w:id="27"/>
    </w:p>
    <w:p w14:paraId="6EE6A269" w14:textId="77777777" w:rsidR="00F46EFD" w:rsidRDefault="00F46EFD" w:rsidP="00F46EFD">
      <w:pPr>
        <w:pStyle w:val="CGCNumberedPara"/>
        <w:numPr>
          <w:ilvl w:val="1"/>
          <w:numId w:val="3"/>
        </w:numPr>
      </w:pPr>
      <w:r>
        <w:t>In the 2015 Review, the Commission</w:t>
      </w:r>
      <w:r w:rsidRPr="00282840">
        <w:t xml:space="preserve"> </w:t>
      </w:r>
      <w:r>
        <w:t>had access to comprehensive and reliable actual cross</w:t>
      </w:r>
      <w:r>
        <w:noBreakHyphen/>
        <w:t>border use data for four services:</w:t>
      </w:r>
    </w:p>
    <w:p w14:paraId="20F17BAD" w14:textId="77777777" w:rsidR="00F46EFD" w:rsidRDefault="00F46EFD" w:rsidP="00F46EFD">
      <w:pPr>
        <w:pStyle w:val="CGCBulletlist"/>
        <w:numPr>
          <w:ilvl w:val="0"/>
          <w:numId w:val="1"/>
        </w:numPr>
        <w:tabs>
          <w:tab w:val="clear" w:pos="927"/>
        </w:tabs>
        <w:ind w:left="1134" w:hanging="567"/>
      </w:pPr>
      <w:r>
        <w:t>schools</w:t>
      </w:r>
    </w:p>
    <w:p w14:paraId="6B22541E" w14:textId="77777777" w:rsidR="00F46EFD" w:rsidRDefault="00F46EFD" w:rsidP="00F46EFD">
      <w:pPr>
        <w:pStyle w:val="CGCBulletlist"/>
        <w:numPr>
          <w:ilvl w:val="0"/>
          <w:numId w:val="1"/>
        </w:numPr>
        <w:tabs>
          <w:tab w:val="clear" w:pos="927"/>
        </w:tabs>
        <w:ind w:left="1134" w:hanging="567"/>
      </w:pPr>
      <w:r>
        <w:t>post-secondary education</w:t>
      </w:r>
    </w:p>
    <w:p w14:paraId="1F01EC8D" w14:textId="77777777" w:rsidR="00F46EFD" w:rsidRDefault="00F46EFD" w:rsidP="00F46EFD">
      <w:pPr>
        <w:pStyle w:val="CGCBulletlist"/>
        <w:numPr>
          <w:ilvl w:val="0"/>
          <w:numId w:val="1"/>
        </w:numPr>
        <w:tabs>
          <w:tab w:val="clear" w:pos="927"/>
        </w:tabs>
        <w:ind w:left="1134" w:hanging="567"/>
      </w:pPr>
      <w:r>
        <w:t>hospitals</w:t>
      </w:r>
    </w:p>
    <w:p w14:paraId="27DC9532" w14:textId="77777777" w:rsidR="00F46EFD" w:rsidRDefault="00F46EFD" w:rsidP="00F46EFD">
      <w:pPr>
        <w:pStyle w:val="CGCBulletlist"/>
        <w:numPr>
          <w:ilvl w:val="0"/>
          <w:numId w:val="1"/>
        </w:numPr>
        <w:tabs>
          <w:tab w:val="clear" w:pos="927"/>
        </w:tabs>
        <w:ind w:left="1134" w:hanging="567"/>
      </w:pPr>
      <w:r>
        <w:t>roads.</w:t>
      </w:r>
    </w:p>
    <w:p w14:paraId="54546CF0" w14:textId="2E395D61" w:rsidR="00F46EFD" w:rsidRPr="00282840" w:rsidRDefault="000D7773" w:rsidP="00F46EFD">
      <w:pPr>
        <w:pStyle w:val="CGCNumberedPara"/>
        <w:numPr>
          <w:ilvl w:val="1"/>
          <w:numId w:val="3"/>
        </w:numPr>
      </w:pPr>
      <w:r w:rsidRPr="000D7773">
        <w:rPr>
          <w:rStyle w:val="Heading6Char"/>
        </w:rPr>
        <w:t>Schools.</w:t>
      </w:r>
      <w:r>
        <w:t xml:space="preserve"> </w:t>
      </w:r>
      <w:r w:rsidR="00F46EFD">
        <w:t>In th</w:t>
      </w:r>
      <w:r>
        <w:t>is</w:t>
      </w:r>
      <w:r w:rsidR="00F46EFD">
        <w:t xml:space="preserve"> category, </w:t>
      </w:r>
      <w:r>
        <w:t xml:space="preserve">service use was measured using </w:t>
      </w:r>
      <w:r w:rsidR="00F46EFD" w:rsidRPr="00282840">
        <w:t>actu</w:t>
      </w:r>
      <w:r w:rsidR="00F46EFD">
        <w:t xml:space="preserve">al enrolments, which include cross-border </w:t>
      </w:r>
      <w:r w:rsidR="00F46EFD" w:rsidRPr="00282840">
        <w:t xml:space="preserve">students. </w:t>
      </w:r>
      <w:r w:rsidR="00FA7139">
        <w:t>Therefore, a</w:t>
      </w:r>
      <w:r w:rsidR="00F46EFD" w:rsidRPr="00282840">
        <w:t xml:space="preserve"> separate cross-border </w:t>
      </w:r>
      <w:r w:rsidR="00F46EFD">
        <w:t>assessment was</w:t>
      </w:r>
      <w:r w:rsidR="00FA7139">
        <w:t xml:space="preserve"> not </w:t>
      </w:r>
      <w:r w:rsidR="00F46EFD">
        <w:t>required</w:t>
      </w:r>
      <w:r w:rsidR="00F46EFD" w:rsidRPr="00282840">
        <w:t>.</w:t>
      </w:r>
    </w:p>
    <w:p w14:paraId="45E421DB" w14:textId="1C6BCB29" w:rsidR="00F46EFD" w:rsidRDefault="00F46EFD" w:rsidP="00F46EFD">
      <w:pPr>
        <w:pStyle w:val="CGCNumberedPara"/>
        <w:numPr>
          <w:ilvl w:val="1"/>
          <w:numId w:val="3"/>
        </w:numPr>
      </w:pPr>
      <w:r w:rsidRPr="00A20B21">
        <w:rPr>
          <w:rStyle w:val="Heading6Char"/>
        </w:rPr>
        <w:t>Post-secondary education</w:t>
      </w:r>
      <w:r w:rsidR="000D7773" w:rsidRPr="00A20B21">
        <w:rPr>
          <w:rStyle w:val="Heading6Char"/>
        </w:rPr>
        <w:t>.</w:t>
      </w:r>
      <w:r w:rsidR="00CC7B91">
        <w:t xml:space="preserve"> </w:t>
      </w:r>
      <w:r w:rsidR="00A20B21">
        <w:t>A</w:t>
      </w:r>
      <w:r>
        <w:t xml:space="preserve"> separate cross-border assessment was made</w:t>
      </w:r>
      <w:r w:rsidR="00A20B21">
        <w:t>. It was based on</w:t>
      </w:r>
      <w:r w:rsidRPr="00282840">
        <w:t xml:space="preserve"> National Centre for Vocational Education Research data on the number of hours the ACT training system supplies to New South Wales residents and the number of hours the New South Wales training system supplies to ACT residents.</w:t>
      </w:r>
      <w:r>
        <w:t xml:space="preserve"> </w:t>
      </w:r>
      <w:r w:rsidRPr="000101FD">
        <w:t>In 201</w:t>
      </w:r>
      <w:r>
        <w:t>5</w:t>
      </w:r>
      <w:r w:rsidRPr="000101FD">
        <w:t>, 1</w:t>
      </w:r>
      <w:r>
        <w:t>6</w:t>
      </w:r>
      <w:r w:rsidRPr="000101FD">
        <w:t xml:space="preserve">% of the annual contact hours </w:t>
      </w:r>
      <w:r w:rsidR="00FA7139">
        <w:t>in</w:t>
      </w:r>
      <w:r w:rsidRPr="000101FD">
        <w:t xml:space="preserve"> the ACT were provided to residents of New</w:t>
      </w:r>
      <w:r w:rsidR="00E55D20">
        <w:t> </w:t>
      </w:r>
      <w:r w:rsidRPr="000101FD">
        <w:t>South Wales.</w:t>
      </w:r>
    </w:p>
    <w:p w14:paraId="5BF3B343" w14:textId="77777777" w:rsidR="00F46EFD" w:rsidRDefault="00F46EFD" w:rsidP="00F46EFD">
      <w:pPr>
        <w:pStyle w:val="CGCNumberedPara"/>
        <w:numPr>
          <w:ilvl w:val="1"/>
          <w:numId w:val="3"/>
        </w:numPr>
      </w:pPr>
      <w:r>
        <w:t>Needs were assessed only for the ACT and New South Wales because cross-border use between other States was not material.</w:t>
      </w:r>
    </w:p>
    <w:p w14:paraId="2F30EFFA" w14:textId="0C9C7575" w:rsidR="005226E3" w:rsidRDefault="00A20B21" w:rsidP="00F46EFD">
      <w:pPr>
        <w:pStyle w:val="CGCNumberedPara"/>
        <w:numPr>
          <w:ilvl w:val="1"/>
          <w:numId w:val="3"/>
        </w:numPr>
      </w:pPr>
      <w:r w:rsidRPr="00A20B21">
        <w:rPr>
          <w:rStyle w:val="Heading6Char"/>
        </w:rPr>
        <w:t>Hospitals.</w:t>
      </w:r>
      <w:r>
        <w:t xml:space="preserve"> </w:t>
      </w:r>
      <w:r w:rsidR="00F46EFD" w:rsidRPr="003249F7">
        <w:t xml:space="preserve">There are two aspects to the </w:t>
      </w:r>
      <w:r w:rsidR="005226E3">
        <w:t xml:space="preserve">Commonwealth-State </w:t>
      </w:r>
      <w:r w:rsidR="00F46EFD" w:rsidRPr="003249F7">
        <w:t xml:space="preserve">arrangements for </w:t>
      </w:r>
      <w:r w:rsidR="005226E3">
        <w:t>funding hospitals which ensure States are compensated for the costs of treating residents of other States.</w:t>
      </w:r>
    </w:p>
    <w:p w14:paraId="03730D1C" w14:textId="6E5DAA66" w:rsidR="00477C92" w:rsidRDefault="005226E3" w:rsidP="005226E3">
      <w:pPr>
        <w:pStyle w:val="CGCBulletlist"/>
      </w:pPr>
      <w:r>
        <w:t xml:space="preserve">First, the </w:t>
      </w:r>
      <w:r w:rsidRPr="003249F7">
        <w:t xml:space="preserve">National Health Reform funding payments </w:t>
      </w:r>
      <w:r>
        <w:t xml:space="preserve">the </w:t>
      </w:r>
      <w:r w:rsidRPr="003249F7">
        <w:t>Commonwealth</w:t>
      </w:r>
      <w:r>
        <w:t xml:space="preserve"> makes to the States include an element which compensates the States for part of the costs of treating interstate residents. </w:t>
      </w:r>
      <w:r w:rsidR="001F2C21">
        <w:t xml:space="preserve">In making its assessments, the Commission ensures any </w:t>
      </w:r>
      <w:r w:rsidR="00477C92">
        <w:t>Commonwealth contributions received by each State for the costs of treating interstate residents do not affect its share of the GST.</w:t>
      </w:r>
      <w:r w:rsidR="00FE5DAB">
        <w:t xml:space="preserve"> </w:t>
      </w:r>
    </w:p>
    <w:p w14:paraId="6FCAA2FE" w14:textId="4ACF99B1" w:rsidR="005226E3" w:rsidRDefault="00477C92" w:rsidP="005226E3">
      <w:pPr>
        <w:pStyle w:val="CGCBulletlist"/>
      </w:pPr>
      <w:r>
        <w:t>Second, t</w:t>
      </w:r>
      <w:r w:rsidRPr="003249F7">
        <w:t xml:space="preserve">he National Healthcare Agreement provides for bilateral agreements between States </w:t>
      </w:r>
      <w:r w:rsidR="000D7773">
        <w:t xml:space="preserve">under which </w:t>
      </w:r>
      <w:r w:rsidRPr="003249F7">
        <w:t>a State can obtain reimbursement for its share of the cost of treating non</w:t>
      </w:r>
      <w:r>
        <w:noBreakHyphen/>
        <w:t xml:space="preserve">residents. </w:t>
      </w:r>
      <w:r w:rsidRPr="003249F7">
        <w:t xml:space="preserve">There is </w:t>
      </w:r>
      <w:r w:rsidR="000D7773">
        <w:t xml:space="preserve">such </w:t>
      </w:r>
      <w:r w:rsidRPr="003249F7">
        <w:t>a bilateral agreement between New South Wales and the ACT covering costs</w:t>
      </w:r>
      <w:r>
        <w:rPr>
          <w:rStyle w:val="FootnoteReference"/>
        </w:rPr>
        <w:footnoteReference w:id="1"/>
      </w:r>
      <w:r w:rsidRPr="003249F7">
        <w:t xml:space="preserve"> </w:t>
      </w:r>
      <w:r w:rsidR="000D7773">
        <w:t>for</w:t>
      </w:r>
      <w:r w:rsidRPr="003249F7">
        <w:t xml:space="preserve"> servic</w:t>
      </w:r>
      <w:r>
        <w:t>es provided to admitted and non</w:t>
      </w:r>
      <w:r>
        <w:noBreakHyphen/>
      </w:r>
      <w:r w:rsidRPr="003249F7">
        <w:t>admitted patients.</w:t>
      </w:r>
      <w:r w:rsidR="00FE5DAB">
        <w:t xml:space="preserve"> </w:t>
      </w:r>
    </w:p>
    <w:p w14:paraId="4BDBD07A" w14:textId="77777777" w:rsidR="000D7773" w:rsidRDefault="000D7773" w:rsidP="00F46EFD">
      <w:pPr>
        <w:pStyle w:val="CGCNumberedPara"/>
        <w:numPr>
          <w:ilvl w:val="1"/>
          <w:numId w:val="3"/>
        </w:numPr>
      </w:pPr>
      <w:r>
        <w:t>These arrangements mean a</w:t>
      </w:r>
      <w:r w:rsidRPr="003249F7">
        <w:t xml:space="preserve"> cross-border factor </w:t>
      </w:r>
      <w:r>
        <w:t>wa</w:t>
      </w:r>
      <w:r w:rsidRPr="003249F7">
        <w:t xml:space="preserve">s </w:t>
      </w:r>
      <w:r>
        <w:t xml:space="preserve">not </w:t>
      </w:r>
      <w:r w:rsidRPr="003249F7">
        <w:t>required in the hospital assessments.</w:t>
      </w:r>
    </w:p>
    <w:p w14:paraId="4AD9A8DE" w14:textId="6952C36C" w:rsidR="00F46EFD" w:rsidRPr="00282840" w:rsidRDefault="00A20B21" w:rsidP="00F46EFD">
      <w:pPr>
        <w:pStyle w:val="CGCNumberedPara"/>
        <w:numPr>
          <w:ilvl w:val="1"/>
          <w:numId w:val="3"/>
        </w:numPr>
      </w:pPr>
      <w:r w:rsidRPr="00A20B21">
        <w:rPr>
          <w:rStyle w:val="Heading6Char"/>
        </w:rPr>
        <w:t>Roads.</w:t>
      </w:r>
      <w:r>
        <w:t xml:space="preserve"> </w:t>
      </w:r>
      <w:r w:rsidR="00F46EFD" w:rsidRPr="00282840">
        <w:t>In th</w:t>
      </w:r>
      <w:r>
        <w:t>is</w:t>
      </w:r>
      <w:r w:rsidR="00F46EFD" w:rsidRPr="00282840">
        <w:t xml:space="preserve"> category, the </w:t>
      </w:r>
      <w:r w:rsidR="00F46EFD">
        <w:t>indicator of</w:t>
      </w:r>
      <w:r w:rsidR="00F46EFD" w:rsidRPr="00282840">
        <w:t xml:space="preserve"> road use measures the actual use of roads by residents and</w:t>
      </w:r>
      <w:r w:rsidR="000D7773">
        <w:t xml:space="preserve"> non-residents</w:t>
      </w:r>
      <w:r w:rsidR="00F46EFD" w:rsidRPr="00282840">
        <w:t xml:space="preserve"> alike. </w:t>
      </w:r>
      <w:r w:rsidR="00F46EFD">
        <w:t xml:space="preserve">Therefore, </w:t>
      </w:r>
      <w:r w:rsidR="000D7773">
        <w:t xml:space="preserve">a </w:t>
      </w:r>
      <w:r w:rsidR="00F46EFD" w:rsidRPr="00282840">
        <w:t>cross-border factor</w:t>
      </w:r>
      <w:r w:rsidR="000D7773">
        <w:t xml:space="preserve"> was not required</w:t>
      </w:r>
      <w:r w:rsidR="00F46EFD" w:rsidRPr="00282840">
        <w:t>.</w:t>
      </w:r>
    </w:p>
    <w:p w14:paraId="1B30309B" w14:textId="77777777" w:rsidR="00F46EFD" w:rsidRDefault="00F46EFD" w:rsidP="00537992">
      <w:pPr>
        <w:pStyle w:val="Heading5"/>
      </w:pPr>
      <w:bookmarkStart w:id="28" w:name="_Toc511048303"/>
      <w:bookmarkStart w:id="29" w:name="_Toc511048405"/>
      <w:bookmarkStart w:id="30" w:name="_Toc511048443"/>
      <w:bookmarkStart w:id="31" w:name="_Toc511048478"/>
      <w:r>
        <w:t>Services where no comprehensive data exist</w:t>
      </w:r>
      <w:bookmarkEnd w:id="28"/>
      <w:bookmarkEnd w:id="29"/>
      <w:bookmarkEnd w:id="30"/>
      <w:bookmarkEnd w:id="31"/>
    </w:p>
    <w:p w14:paraId="22C569A0" w14:textId="77777777" w:rsidR="00F46EFD" w:rsidRDefault="00F46EFD" w:rsidP="00F46EFD">
      <w:pPr>
        <w:pStyle w:val="CGCNumberedPara"/>
        <w:numPr>
          <w:ilvl w:val="1"/>
          <w:numId w:val="3"/>
        </w:numPr>
      </w:pPr>
      <w:r>
        <w:t>In the 2015 Review, the Commission</w:t>
      </w:r>
      <w:r w:rsidRPr="00282840">
        <w:t xml:space="preserve"> </w:t>
      </w:r>
      <w:r>
        <w:t xml:space="preserve">considered there was a conceptual case for the cross-border use of some services </w:t>
      </w:r>
      <w:r w:rsidR="00A20B21">
        <w:t>even though</w:t>
      </w:r>
      <w:r>
        <w:t xml:space="preserve"> comprehensive data on cross-border use were </w:t>
      </w:r>
      <w:r w:rsidR="00A20B21">
        <w:t xml:space="preserve">not </w:t>
      </w:r>
      <w:r>
        <w:t>available. For these services, the Commission assessed cross-border needs</w:t>
      </w:r>
      <w:r w:rsidR="00A20B21">
        <w:t xml:space="preserve"> for</w:t>
      </w:r>
      <w:r>
        <w:t xml:space="preserve"> only the ACT and New South Wales through the general method described below. This approach represented a simplification, consistent with the Commission’s supporting principles.</w:t>
      </w:r>
    </w:p>
    <w:p w14:paraId="0A71E543" w14:textId="77777777" w:rsidR="00F46EFD" w:rsidRDefault="00F46EFD" w:rsidP="00F46EFD">
      <w:pPr>
        <w:pStyle w:val="CGCNumberedPara"/>
        <w:numPr>
          <w:ilvl w:val="1"/>
          <w:numId w:val="3"/>
        </w:numPr>
      </w:pPr>
      <w:r>
        <w:t xml:space="preserve">The services </w:t>
      </w:r>
      <w:r w:rsidR="004D5100">
        <w:t xml:space="preserve">where the general method was used </w:t>
      </w:r>
      <w:r>
        <w:t>were:</w:t>
      </w:r>
    </w:p>
    <w:p w14:paraId="4E74EF6A" w14:textId="77777777" w:rsidR="00F46EFD" w:rsidRPr="006D5756" w:rsidRDefault="00F46EFD" w:rsidP="00F46EFD">
      <w:pPr>
        <w:pStyle w:val="CGCBulletlist"/>
        <w:numPr>
          <w:ilvl w:val="0"/>
          <w:numId w:val="1"/>
        </w:numPr>
        <w:tabs>
          <w:tab w:val="clear" w:pos="927"/>
        </w:tabs>
        <w:ind w:left="1134" w:hanging="567"/>
      </w:pPr>
      <w:r w:rsidRPr="006D5756">
        <w:t>community health services</w:t>
      </w:r>
    </w:p>
    <w:p w14:paraId="7711988F" w14:textId="0ACD7DC6" w:rsidR="00F46EFD" w:rsidRPr="006D5756" w:rsidRDefault="00F46EFD" w:rsidP="00B14BC6">
      <w:pPr>
        <w:pStyle w:val="CGCBulletlist"/>
      </w:pPr>
      <w:r>
        <w:t xml:space="preserve">welfare - </w:t>
      </w:r>
      <w:r w:rsidRPr="006D5756">
        <w:t>non-</w:t>
      </w:r>
      <w:r w:rsidR="00B14BC6" w:rsidRPr="00B14BC6">
        <w:t>National Disability Insurance Scheme</w:t>
      </w:r>
      <w:r w:rsidR="00B14BC6">
        <w:t xml:space="preserve"> (</w:t>
      </w:r>
      <w:r w:rsidRPr="006D5756">
        <w:t>NDIS</w:t>
      </w:r>
      <w:r w:rsidR="00B14BC6">
        <w:t>)</w:t>
      </w:r>
      <w:r w:rsidRPr="006D5756">
        <w:t xml:space="preserve"> disability </w:t>
      </w:r>
      <w:r>
        <w:t xml:space="preserve">and </w:t>
      </w:r>
      <w:r w:rsidRPr="006D5756">
        <w:t>other general welfare services</w:t>
      </w:r>
    </w:p>
    <w:p w14:paraId="7916AB18" w14:textId="77777777" w:rsidR="00F46EFD" w:rsidRPr="00282840" w:rsidRDefault="00F46EFD" w:rsidP="00F46EFD">
      <w:pPr>
        <w:pStyle w:val="CGCBulletlist"/>
        <w:numPr>
          <w:ilvl w:val="0"/>
          <w:numId w:val="1"/>
        </w:numPr>
        <w:tabs>
          <w:tab w:val="clear" w:pos="927"/>
        </w:tabs>
        <w:ind w:left="1134" w:hanging="567"/>
      </w:pPr>
      <w:r w:rsidRPr="006D5756">
        <w:t>recreation and culture</w:t>
      </w:r>
      <w:r w:rsidRPr="00282840">
        <w:t>.</w:t>
      </w:r>
    </w:p>
    <w:p w14:paraId="75AEAF60" w14:textId="5300D6B0" w:rsidR="00F46EFD" w:rsidRPr="00282840" w:rsidRDefault="00A20B21" w:rsidP="00F46EFD">
      <w:pPr>
        <w:pStyle w:val="CGCNumberedPara"/>
        <w:numPr>
          <w:ilvl w:val="1"/>
          <w:numId w:val="3"/>
        </w:numPr>
      </w:pPr>
      <w:r w:rsidRPr="00A20B21">
        <w:rPr>
          <w:rStyle w:val="Heading6Char"/>
        </w:rPr>
        <w:t>Community health.</w:t>
      </w:r>
      <w:r>
        <w:t xml:space="preserve"> </w:t>
      </w:r>
      <w:r w:rsidR="00F46EFD" w:rsidRPr="00282840">
        <w:t>Data supplied by the ACT in the 2010 Review indicated that around 10-12% of community health services in the ACT were provided to non-ACT residents. This ranged from around 40% of the post-natal services provided in the Queen Elizabeth II facility to 6% of alcohol and drug programs.</w:t>
      </w:r>
    </w:p>
    <w:p w14:paraId="498AF939" w14:textId="77777777" w:rsidR="00F46EFD" w:rsidRPr="00282840" w:rsidRDefault="00F46EFD" w:rsidP="00F46EFD">
      <w:pPr>
        <w:pStyle w:val="CGCNumberedPara"/>
        <w:numPr>
          <w:ilvl w:val="1"/>
          <w:numId w:val="3"/>
        </w:numPr>
      </w:pPr>
      <w:r w:rsidRPr="00282840">
        <w:t xml:space="preserve">While </w:t>
      </w:r>
      <w:r>
        <w:t>the Commission</w:t>
      </w:r>
      <w:r w:rsidRPr="00282840">
        <w:t xml:space="preserve"> acknowledge</w:t>
      </w:r>
      <w:r>
        <w:t>d</w:t>
      </w:r>
      <w:r w:rsidRPr="00282840">
        <w:t xml:space="preserve"> that the figures do not allow for the use by ACT residents of community health services provided by New South Wales, </w:t>
      </w:r>
      <w:r>
        <w:t>it</w:t>
      </w:r>
      <w:r w:rsidRPr="00282840">
        <w:t xml:space="preserve"> expect</w:t>
      </w:r>
      <w:r>
        <w:t>ed</w:t>
      </w:r>
      <w:r w:rsidRPr="00282840">
        <w:t xml:space="preserve"> those nu</w:t>
      </w:r>
      <w:r>
        <w:t>mbers would be small. Overall, it</w:t>
      </w:r>
      <w:r w:rsidRPr="00282840">
        <w:t xml:space="preserve"> conclude</w:t>
      </w:r>
      <w:r>
        <w:t>d</w:t>
      </w:r>
      <w:r w:rsidRPr="00282840">
        <w:t xml:space="preserve"> that, on a net basis, approximately 7-10% of ACT community health</w:t>
      </w:r>
      <w:r>
        <w:t xml:space="preserve"> services </w:t>
      </w:r>
      <w:r w:rsidR="004D5100">
        <w:t>we</w:t>
      </w:r>
      <w:r>
        <w:t>re used by New </w:t>
      </w:r>
      <w:r w:rsidRPr="00791F45">
        <w:t>South</w:t>
      </w:r>
      <w:r>
        <w:t> </w:t>
      </w:r>
      <w:r w:rsidRPr="00791F45">
        <w:t>Wales</w:t>
      </w:r>
      <w:r w:rsidRPr="00282840">
        <w:t xml:space="preserve"> residents.</w:t>
      </w:r>
    </w:p>
    <w:p w14:paraId="7387E994" w14:textId="363953D1" w:rsidR="00840190" w:rsidRDefault="00A20B21" w:rsidP="00840190">
      <w:pPr>
        <w:pStyle w:val="CGCNumberedPara"/>
        <w:numPr>
          <w:ilvl w:val="1"/>
          <w:numId w:val="3"/>
        </w:numPr>
      </w:pPr>
      <w:r w:rsidRPr="00A20B21">
        <w:rPr>
          <w:rStyle w:val="Heading6Char"/>
        </w:rPr>
        <w:t>Welfare.</w:t>
      </w:r>
      <w:r>
        <w:t xml:space="preserve"> </w:t>
      </w:r>
      <w:r w:rsidR="00840190" w:rsidRPr="00282840">
        <w:t xml:space="preserve">Indicative evidence provided by the ACT in the 2010 Review pointed to </w:t>
      </w:r>
      <w:r w:rsidR="00840190">
        <w:t>a</w:t>
      </w:r>
      <w:r w:rsidR="00840190" w:rsidRPr="00282840">
        <w:t xml:space="preserve"> cross</w:t>
      </w:r>
      <w:r w:rsidR="00840190">
        <w:noBreakHyphen/>
      </w:r>
      <w:r w:rsidR="00840190" w:rsidRPr="00282840">
        <w:t xml:space="preserve">border flow for some welfare services having a material impact on </w:t>
      </w:r>
      <w:r w:rsidR="00E55D20">
        <w:t xml:space="preserve">the </w:t>
      </w:r>
      <w:proofErr w:type="spellStart"/>
      <w:r w:rsidR="00840190" w:rsidRPr="00282840">
        <w:t>ACT</w:t>
      </w:r>
      <w:r w:rsidR="00E55D20">
        <w:t>’s</w:t>
      </w:r>
      <w:proofErr w:type="spellEnd"/>
      <w:r w:rsidR="00840190" w:rsidRPr="00282840">
        <w:t xml:space="preserve"> costs. </w:t>
      </w:r>
      <w:r w:rsidR="00840190">
        <w:t xml:space="preserve">The Commission accepted </w:t>
      </w:r>
      <w:r w:rsidR="00840190" w:rsidRPr="00282840">
        <w:t xml:space="preserve">there </w:t>
      </w:r>
      <w:r w:rsidR="00840190">
        <w:t>wa</w:t>
      </w:r>
      <w:r w:rsidR="00840190" w:rsidRPr="00282840">
        <w:t xml:space="preserve">s a conceptual case that some welfare services provided by the ACT </w:t>
      </w:r>
      <w:r w:rsidR="00840190">
        <w:t>we</w:t>
      </w:r>
      <w:r w:rsidR="00840190" w:rsidRPr="00282840">
        <w:t xml:space="preserve">re used by New South Wales residents and that the reverse flow </w:t>
      </w:r>
      <w:r w:rsidR="00840190">
        <w:t>wa</w:t>
      </w:r>
      <w:r w:rsidR="00840190" w:rsidRPr="00282840">
        <w:t xml:space="preserve">s </w:t>
      </w:r>
      <w:r w:rsidR="00840190">
        <w:t>much</w:t>
      </w:r>
      <w:r w:rsidR="00840190" w:rsidRPr="00282840">
        <w:t xml:space="preserve"> smaller.</w:t>
      </w:r>
      <w:r w:rsidR="00840190">
        <w:t xml:space="preserve"> </w:t>
      </w:r>
    </w:p>
    <w:p w14:paraId="4018C5DB" w14:textId="77777777" w:rsidR="00F46EFD" w:rsidRPr="00282840" w:rsidRDefault="00840190" w:rsidP="00A20B21">
      <w:pPr>
        <w:pStyle w:val="CGCNumberedPara"/>
      </w:pPr>
      <w:r>
        <w:t xml:space="preserve">It applied a </w:t>
      </w:r>
      <w:r w:rsidR="00F46EFD">
        <w:t>cross</w:t>
      </w:r>
      <w:r w:rsidR="00F46EFD">
        <w:noBreakHyphen/>
        <w:t>border factor</w:t>
      </w:r>
      <w:r>
        <w:t xml:space="preserve"> assessed by the general method </w:t>
      </w:r>
      <w:r w:rsidR="00F46EFD">
        <w:t xml:space="preserve">to 50% of non-NDIS disability expenses and to other general welfare expenses, which mainly </w:t>
      </w:r>
      <w:r>
        <w:t>cover</w:t>
      </w:r>
      <w:r w:rsidR="00F46EFD">
        <w:t xml:space="preserve"> homelessness expenses. </w:t>
      </w:r>
      <w:r>
        <w:t>The factor wa</w:t>
      </w:r>
      <w:r w:rsidR="00F46EFD" w:rsidRPr="009E7826">
        <w:t>s not applied to child protection</w:t>
      </w:r>
      <w:r w:rsidR="00F46EFD">
        <w:t xml:space="preserve">, </w:t>
      </w:r>
      <w:r w:rsidR="00F46EFD" w:rsidRPr="009E7826">
        <w:t>aged care services</w:t>
      </w:r>
      <w:r w:rsidR="00F46EFD">
        <w:t>,</w:t>
      </w:r>
      <w:r w:rsidR="00F46EFD" w:rsidRPr="009E7826">
        <w:t xml:space="preserve"> </w:t>
      </w:r>
      <w:r w:rsidR="00F46EFD">
        <w:t xml:space="preserve">and concession </w:t>
      </w:r>
      <w:r w:rsidR="00F46EFD" w:rsidRPr="009E7826">
        <w:t xml:space="preserve">expenses in the category because, normally, people must be a resident in the ACT to </w:t>
      </w:r>
      <w:r w:rsidR="00F46EFD">
        <w:t>access</w:t>
      </w:r>
      <w:r w:rsidR="00F46EFD" w:rsidRPr="009E7826">
        <w:t xml:space="preserve"> those services.</w:t>
      </w:r>
    </w:p>
    <w:p w14:paraId="116B3C67" w14:textId="1947FBF6" w:rsidR="009D73FC" w:rsidRPr="00282840" w:rsidRDefault="00F46EFD" w:rsidP="009D73FC">
      <w:pPr>
        <w:pStyle w:val="CGCNumberedPara"/>
        <w:numPr>
          <w:ilvl w:val="1"/>
          <w:numId w:val="3"/>
        </w:numPr>
      </w:pPr>
      <w:r w:rsidRPr="00840190">
        <w:rPr>
          <w:rStyle w:val="Heading6Char"/>
        </w:rPr>
        <w:t>Recreation and culture</w:t>
      </w:r>
      <w:r w:rsidR="00840190" w:rsidRPr="00840190">
        <w:rPr>
          <w:rStyle w:val="Heading6Char"/>
        </w:rPr>
        <w:t>.</w:t>
      </w:r>
      <w:r w:rsidR="00840190">
        <w:rPr>
          <w:rStyle w:val="Heading6Char"/>
          <w:b w:val="0"/>
          <w:i w:val="0"/>
          <w:iCs w:val="0"/>
        </w:rPr>
        <w:t xml:space="preserve"> </w:t>
      </w:r>
      <w:r w:rsidR="009D73FC" w:rsidRPr="00282840">
        <w:t>Data provided by ACT Library and Information Services in the 2010 Review indicated 4% of all ACT library membe</w:t>
      </w:r>
      <w:r w:rsidR="00E55D20">
        <w:t>r</w:t>
      </w:r>
      <w:r w:rsidR="009D73FC" w:rsidRPr="00282840">
        <w:t>s</w:t>
      </w:r>
      <w:r w:rsidR="00E55D20">
        <w:t xml:space="preserve"> were</w:t>
      </w:r>
      <w:r w:rsidR="009D73FC" w:rsidRPr="00282840">
        <w:t xml:space="preserve"> interstate </w:t>
      </w:r>
      <w:r w:rsidR="009D73FC">
        <w:t>residents</w:t>
      </w:r>
      <w:r w:rsidR="009D73FC" w:rsidRPr="00282840">
        <w:t xml:space="preserve">. </w:t>
      </w:r>
      <w:r w:rsidR="009D73FC">
        <w:t xml:space="preserve">It also </w:t>
      </w:r>
      <w:r w:rsidR="009D73FC" w:rsidRPr="00282840">
        <w:t xml:space="preserve">noted </w:t>
      </w:r>
      <w:r w:rsidR="009D73FC">
        <w:t>most</w:t>
      </w:r>
      <w:r w:rsidR="009D73FC" w:rsidRPr="00282840">
        <w:t xml:space="preserve"> library services available to the public do not require </w:t>
      </w:r>
      <w:r w:rsidR="009D73FC">
        <w:t>the</w:t>
      </w:r>
      <w:r w:rsidR="009D73FC" w:rsidRPr="00282840">
        <w:t xml:space="preserve"> user to be a member of the library.</w:t>
      </w:r>
    </w:p>
    <w:p w14:paraId="59F8E6BA" w14:textId="1C333E31" w:rsidR="00F46EFD" w:rsidRPr="00F46B46" w:rsidRDefault="00F46EFD" w:rsidP="00840190">
      <w:pPr>
        <w:pStyle w:val="CGCNumberedPara"/>
      </w:pPr>
      <w:r>
        <w:t xml:space="preserve">The Commission </w:t>
      </w:r>
      <w:r w:rsidR="009D73FC">
        <w:t>accepted</w:t>
      </w:r>
      <w:r>
        <w:t xml:space="preserve"> e</w:t>
      </w:r>
      <w:r w:rsidRPr="00F46B46">
        <w:t>xpe</w:t>
      </w:r>
      <w:r>
        <w:t>nses for the ACT library, sports</w:t>
      </w:r>
      <w:r w:rsidRPr="00F46B46">
        <w:t>grounds and other recreation and cultur</w:t>
      </w:r>
      <w:r>
        <w:t>e</w:t>
      </w:r>
      <w:r w:rsidRPr="00F46B46">
        <w:t xml:space="preserve"> services </w:t>
      </w:r>
      <w:r w:rsidR="009D73FC">
        <w:t>we</w:t>
      </w:r>
      <w:r w:rsidRPr="00F46B46">
        <w:t xml:space="preserve">re increased because of </w:t>
      </w:r>
      <w:r w:rsidR="009D73FC">
        <w:t>their</w:t>
      </w:r>
      <w:r w:rsidRPr="00F46B46">
        <w:t xml:space="preserve"> use by New</w:t>
      </w:r>
      <w:r w:rsidR="0074426F">
        <w:t> </w:t>
      </w:r>
      <w:r w:rsidRPr="00F46B46">
        <w:t>South</w:t>
      </w:r>
      <w:r w:rsidR="0074426F">
        <w:t> </w:t>
      </w:r>
      <w:r w:rsidRPr="00F46B46">
        <w:t xml:space="preserve">Wales residents. </w:t>
      </w:r>
      <w:r>
        <w:t>Consequently, a cross</w:t>
      </w:r>
      <w:r>
        <w:noBreakHyphen/>
      </w:r>
      <w:r w:rsidRPr="00DD0A30">
        <w:t xml:space="preserve">border factor </w:t>
      </w:r>
      <w:r>
        <w:t>based on the general method described below wa</w:t>
      </w:r>
      <w:r w:rsidRPr="00DD0A30">
        <w:t xml:space="preserve">s applied to </w:t>
      </w:r>
      <w:r>
        <w:t xml:space="preserve">all </w:t>
      </w:r>
      <w:r w:rsidR="0074426F">
        <w:t xml:space="preserve">of </w:t>
      </w:r>
      <w:r>
        <w:t xml:space="preserve">the </w:t>
      </w:r>
      <w:proofErr w:type="spellStart"/>
      <w:r>
        <w:t>ACT’s</w:t>
      </w:r>
      <w:proofErr w:type="spellEnd"/>
      <w:r>
        <w:t xml:space="preserve"> recreation and culture expenses</w:t>
      </w:r>
      <w:r w:rsidRPr="00DD0A30">
        <w:t>.</w:t>
      </w:r>
    </w:p>
    <w:p w14:paraId="3CB846F6" w14:textId="77777777" w:rsidR="00F46EFD" w:rsidRDefault="00F46EFD" w:rsidP="00537992">
      <w:pPr>
        <w:pStyle w:val="Heading5"/>
      </w:pPr>
      <w:bookmarkStart w:id="32" w:name="_Toc511048304"/>
      <w:bookmarkStart w:id="33" w:name="_Toc511048406"/>
      <w:bookmarkStart w:id="34" w:name="_Toc511048444"/>
      <w:bookmarkStart w:id="35" w:name="_Toc511048479"/>
      <w:r>
        <w:t>Summary</w:t>
      </w:r>
      <w:bookmarkEnd w:id="32"/>
      <w:bookmarkEnd w:id="33"/>
      <w:bookmarkEnd w:id="34"/>
      <w:bookmarkEnd w:id="35"/>
    </w:p>
    <w:p w14:paraId="04871999" w14:textId="779DF48F" w:rsidR="00F46EFD" w:rsidRDefault="00E93F0C" w:rsidP="00F46EFD">
      <w:pPr>
        <w:pStyle w:val="CGCNumberedPara"/>
        <w:numPr>
          <w:ilvl w:val="1"/>
          <w:numId w:val="3"/>
        </w:numPr>
      </w:pPr>
      <w:r>
        <w:fldChar w:fldCharType="begin"/>
      </w:r>
      <w:r>
        <w:instrText xml:space="preserve"> REF _Ref511892185 \h </w:instrText>
      </w:r>
      <w:r>
        <w:fldChar w:fldCharType="separate"/>
      </w:r>
      <w:r w:rsidR="00C40664">
        <w:t xml:space="preserve">Table </w:t>
      </w:r>
      <w:r w:rsidR="00C40664">
        <w:rPr>
          <w:noProof/>
        </w:rPr>
        <w:t>1</w:t>
      </w:r>
      <w:r>
        <w:fldChar w:fldCharType="end"/>
      </w:r>
      <w:r w:rsidR="00F46EFD">
        <w:t xml:space="preserve"> shows the 2015 Review categories where a cross-border disability was assessed and the method of calculation.</w:t>
      </w:r>
    </w:p>
    <w:p w14:paraId="4DEDA7F9" w14:textId="77777777" w:rsidR="00F46EFD" w:rsidRDefault="00F46EFD" w:rsidP="00F46EFD">
      <w:pPr>
        <w:pStyle w:val="CGCTableHeading"/>
      </w:pPr>
      <w:bookmarkStart w:id="36" w:name="_Ref511892185"/>
      <w:r>
        <w:t xml:space="preserve">Table </w:t>
      </w:r>
      <w:fldSimple w:instr=" SEQ Table \* ARABIC ">
        <w:r w:rsidR="00C40664">
          <w:rPr>
            <w:noProof/>
          </w:rPr>
          <w:t>1</w:t>
        </w:r>
      </w:fldSimple>
      <w:bookmarkEnd w:id="36"/>
      <w:r>
        <w:tab/>
        <w:t xml:space="preserve">Cross-border assessment, 2015 Review </w:t>
      </w:r>
    </w:p>
    <w:tbl>
      <w:tblPr>
        <w:tblW w:w="5000" w:type="pct"/>
        <w:tblLayout w:type="fixed"/>
        <w:tblCellMar>
          <w:left w:w="0" w:type="dxa"/>
          <w:right w:w="0" w:type="dxa"/>
        </w:tblCellMar>
        <w:tblLook w:val="0000" w:firstRow="0" w:lastRow="0" w:firstColumn="0" w:lastColumn="0" w:noHBand="0" w:noVBand="0"/>
      </w:tblPr>
      <w:tblGrid>
        <w:gridCol w:w="2726"/>
        <w:gridCol w:w="3339"/>
        <w:gridCol w:w="2886"/>
      </w:tblGrid>
      <w:tr w:rsidR="00F46EFD" w:rsidRPr="004537EA" w14:paraId="36E7D093" w14:textId="77777777" w:rsidTr="00E93F0C">
        <w:tc>
          <w:tcPr>
            <w:tcW w:w="1523" w:type="pct"/>
            <w:tcBorders>
              <w:top w:val="single" w:sz="6" w:space="0" w:color="auto"/>
              <w:bottom w:val="single" w:sz="6" w:space="0" w:color="auto"/>
            </w:tcBorders>
            <w:vAlign w:val="center"/>
          </w:tcPr>
          <w:p w14:paraId="3151C76F" w14:textId="77777777" w:rsidR="00F46EFD" w:rsidRPr="004537EA" w:rsidRDefault="00F46EFD" w:rsidP="00E93F0C">
            <w:pPr>
              <w:pStyle w:val="TableColHeadings"/>
              <w:ind w:left="193" w:hanging="142"/>
              <w:jc w:val="left"/>
              <w:rPr>
                <w:rFonts w:cstheme="minorHAnsi"/>
              </w:rPr>
            </w:pPr>
            <w:r>
              <w:rPr>
                <w:rFonts w:cstheme="minorHAnsi"/>
              </w:rPr>
              <w:t>Category</w:t>
            </w:r>
          </w:p>
        </w:tc>
        <w:tc>
          <w:tcPr>
            <w:tcW w:w="1865" w:type="pct"/>
            <w:tcBorders>
              <w:top w:val="single" w:sz="6" w:space="0" w:color="auto"/>
              <w:bottom w:val="single" w:sz="6" w:space="0" w:color="auto"/>
            </w:tcBorders>
            <w:vAlign w:val="center"/>
          </w:tcPr>
          <w:p w14:paraId="295CCE35" w14:textId="77777777" w:rsidR="00F46EFD" w:rsidRPr="004537EA" w:rsidRDefault="00F46EFD" w:rsidP="00E93F0C">
            <w:pPr>
              <w:pStyle w:val="TableColHeadings"/>
              <w:jc w:val="left"/>
              <w:rPr>
                <w:rFonts w:cstheme="minorHAnsi"/>
              </w:rPr>
            </w:pPr>
            <w:r>
              <w:rPr>
                <w:rFonts w:cstheme="minorHAnsi"/>
              </w:rPr>
              <w:t>Expenses</w:t>
            </w:r>
          </w:p>
        </w:tc>
        <w:tc>
          <w:tcPr>
            <w:tcW w:w="1612" w:type="pct"/>
            <w:tcBorders>
              <w:top w:val="single" w:sz="6" w:space="0" w:color="auto"/>
              <w:bottom w:val="single" w:sz="6" w:space="0" w:color="auto"/>
            </w:tcBorders>
            <w:vAlign w:val="center"/>
          </w:tcPr>
          <w:p w14:paraId="685F9BC5" w14:textId="77777777" w:rsidR="00F46EFD" w:rsidRPr="004537EA" w:rsidRDefault="00F46EFD" w:rsidP="00E93F0C">
            <w:pPr>
              <w:pStyle w:val="TableColHeadings"/>
              <w:jc w:val="left"/>
              <w:rPr>
                <w:rFonts w:cstheme="minorHAnsi"/>
              </w:rPr>
            </w:pPr>
            <w:r>
              <w:rPr>
                <w:rFonts w:cstheme="minorHAnsi"/>
              </w:rPr>
              <w:t>Method</w:t>
            </w:r>
          </w:p>
        </w:tc>
      </w:tr>
      <w:tr w:rsidR="00F46EFD" w:rsidRPr="004537EA" w14:paraId="3A2809BD" w14:textId="77777777" w:rsidTr="00E93F0C">
        <w:tc>
          <w:tcPr>
            <w:tcW w:w="1523" w:type="pct"/>
          </w:tcPr>
          <w:p w14:paraId="7639627A" w14:textId="77777777" w:rsidR="00F46EFD" w:rsidRPr="004537EA" w:rsidRDefault="00F46EFD" w:rsidP="00E93F0C">
            <w:pPr>
              <w:pStyle w:val="CGCTableStub"/>
              <w:ind w:left="193" w:hanging="142"/>
              <w:rPr>
                <w:rFonts w:cstheme="minorHAnsi"/>
              </w:rPr>
            </w:pPr>
            <w:r w:rsidRPr="00794ECA">
              <w:rPr>
                <w:rFonts w:cstheme="minorHAnsi"/>
              </w:rPr>
              <w:t>Schools</w:t>
            </w:r>
          </w:p>
        </w:tc>
        <w:tc>
          <w:tcPr>
            <w:tcW w:w="1865" w:type="pct"/>
          </w:tcPr>
          <w:p w14:paraId="1283E2AD" w14:textId="77777777" w:rsidR="00F46EFD" w:rsidRPr="004537EA" w:rsidRDefault="00F46EFD" w:rsidP="00E93F0C">
            <w:pPr>
              <w:pStyle w:val="TableRowNormal"/>
              <w:jc w:val="left"/>
              <w:rPr>
                <w:rFonts w:cstheme="minorHAnsi"/>
              </w:rPr>
            </w:pPr>
            <w:r w:rsidRPr="00794ECA">
              <w:rPr>
                <w:rFonts w:cstheme="minorHAnsi"/>
              </w:rPr>
              <w:t>All service delivery expenses</w:t>
            </w:r>
          </w:p>
        </w:tc>
        <w:tc>
          <w:tcPr>
            <w:tcW w:w="1612" w:type="pct"/>
          </w:tcPr>
          <w:p w14:paraId="689BC02A" w14:textId="77777777" w:rsidR="00F46EFD" w:rsidRPr="004537EA" w:rsidRDefault="00F46EFD" w:rsidP="00E93F0C">
            <w:pPr>
              <w:pStyle w:val="TableRowNormal"/>
              <w:jc w:val="left"/>
              <w:rPr>
                <w:rFonts w:cstheme="minorHAnsi"/>
              </w:rPr>
            </w:pPr>
            <w:r w:rsidRPr="00794ECA">
              <w:rPr>
                <w:rFonts w:cstheme="minorHAnsi"/>
              </w:rPr>
              <w:t xml:space="preserve">Implicit in </w:t>
            </w:r>
            <w:r>
              <w:rPr>
                <w:rFonts w:cstheme="minorHAnsi"/>
              </w:rPr>
              <w:t xml:space="preserve">use </w:t>
            </w:r>
            <w:r w:rsidRPr="00794ECA">
              <w:rPr>
                <w:rFonts w:cstheme="minorHAnsi"/>
              </w:rPr>
              <w:t>data</w:t>
            </w:r>
          </w:p>
        </w:tc>
      </w:tr>
      <w:tr w:rsidR="00F46EFD" w:rsidRPr="004537EA" w14:paraId="58EECA8C" w14:textId="77777777" w:rsidTr="00E93F0C">
        <w:tc>
          <w:tcPr>
            <w:tcW w:w="1523" w:type="pct"/>
          </w:tcPr>
          <w:p w14:paraId="2D0A6284" w14:textId="77777777" w:rsidR="00F46EFD" w:rsidRPr="00794ECA" w:rsidRDefault="00F46EFD" w:rsidP="00E93F0C">
            <w:pPr>
              <w:pStyle w:val="CGCTableStub"/>
              <w:ind w:left="193" w:hanging="142"/>
              <w:rPr>
                <w:rFonts w:cstheme="minorHAnsi"/>
              </w:rPr>
            </w:pPr>
            <w:r w:rsidRPr="00794ECA">
              <w:rPr>
                <w:rFonts w:cstheme="minorHAnsi"/>
              </w:rPr>
              <w:t>Post-secondary education</w:t>
            </w:r>
          </w:p>
        </w:tc>
        <w:tc>
          <w:tcPr>
            <w:tcW w:w="1865" w:type="pct"/>
          </w:tcPr>
          <w:p w14:paraId="0272270B" w14:textId="77777777" w:rsidR="00F46EFD" w:rsidRPr="004537EA" w:rsidRDefault="00F46EFD" w:rsidP="00E93F0C">
            <w:pPr>
              <w:pStyle w:val="TableRowNormal"/>
              <w:jc w:val="left"/>
              <w:rPr>
                <w:rFonts w:cstheme="minorHAnsi"/>
              </w:rPr>
            </w:pPr>
            <w:r w:rsidRPr="00794ECA">
              <w:rPr>
                <w:rFonts w:cstheme="minorHAnsi"/>
              </w:rPr>
              <w:t>All service delivery expenses</w:t>
            </w:r>
          </w:p>
        </w:tc>
        <w:tc>
          <w:tcPr>
            <w:tcW w:w="1612" w:type="pct"/>
          </w:tcPr>
          <w:p w14:paraId="7050703D" w14:textId="77777777" w:rsidR="00F46EFD" w:rsidRPr="004537EA" w:rsidRDefault="00F46EFD" w:rsidP="00E93F0C">
            <w:pPr>
              <w:pStyle w:val="TableRowNormal"/>
              <w:jc w:val="left"/>
              <w:rPr>
                <w:rFonts w:cstheme="minorHAnsi"/>
              </w:rPr>
            </w:pPr>
            <w:r>
              <w:rPr>
                <w:rFonts w:cstheme="minorHAnsi"/>
              </w:rPr>
              <w:t>Category specific adjustment based on actual data</w:t>
            </w:r>
          </w:p>
        </w:tc>
      </w:tr>
      <w:tr w:rsidR="00F46EFD" w:rsidRPr="004537EA" w14:paraId="586362BC" w14:textId="77777777" w:rsidTr="00E93F0C">
        <w:tc>
          <w:tcPr>
            <w:tcW w:w="1523" w:type="pct"/>
          </w:tcPr>
          <w:p w14:paraId="5BDD4D7A" w14:textId="77777777" w:rsidR="00F46EFD" w:rsidRDefault="00F46EFD" w:rsidP="00E93F0C">
            <w:pPr>
              <w:pStyle w:val="CGCTableStub"/>
              <w:ind w:left="193" w:hanging="142"/>
              <w:rPr>
                <w:rFonts w:cstheme="minorHAnsi"/>
              </w:rPr>
            </w:pPr>
            <w:r>
              <w:rPr>
                <w:rFonts w:cstheme="minorHAnsi"/>
              </w:rPr>
              <w:t>Hospitals</w:t>
            </w:r>
          </w:p>
        </w:tc>
        <w:tc>
          <w:tcPr>
            <w:tcW w:w="1865" w:type="pct"/>
          </w:tcPr>
          <w:p w14:paraId="53F21B62" w14:textId="35EF41C5" w:rsidR="00F46EFD" w:rsidRPr="00794ECA" w:rsidRDefault="00EC175E" w:rsidP="00E93F0C">
            <w:pPr>
              <w:pStyle w:val="TableRowNormal"/>
              <w:jc w:val="left"/>
              <w:rPr>
                <w:rFonts w:cstheme="minorHAnsi"/>
              </w:rPr>
            </w:pPr>
            <w:r w:rsidRPr="00794ECA">
              <w:rPr>
                <w:rFonts w:cstheme="minorHAnsi"/>
              </w:rPr>
              <w:t>All service delivery expenses</w:t>
            </w:r>
          </w:p>
        </w:tc>
        <w:tc>
          <w:tcPr>
            <w:tcW w:w="1612" w:type="pct"/>
          </w:tcPr>
          <w:p w14:paraId="0A11652F" w14:textId="77777777" w:rsidR="00F46EFD" w:rsidRDefault="00F46EFD" w:rsidP="00E93F0C">
            <w:pPr>
              <w:pStyle w:val="TableRowNormal"/>
              <w:jc w:val="left"/>
            </w:pPr>
            <w:r>
              <w:t>Adjustment to Commonwealth payments</w:t>
            </w:r>
          </w:p>
        </w:tc>
      </w:tr>
      <w:tr w:rsidR="00F46EFD" w:rsidRPr="004537EA" w14:paraId="4E19FF87" w14:textId="77777777" w:rsidTr="00E93F0C">
        <w:tc>
          <w:tcPr>
            <w:tcW w:w="1523" w:type="pct"/>
            <w:vAlign w:val="bottom"/>
          </w:tcPr>
          <w:p w14:paraId="77CFBC02" w14:textId="10BBD9F2" w:rsidR="00F46EFD" w:rsidRPr="00794ECA" w:rsidRDefault="00F46EFD" w:rsidP="00E93F0C">
            <w:pPr>
              <w:pStyle w:val="CGCTableStub"/>
              <w:ind w:left="193" w:hanging="142"/>
              <w:rPr>
                <w:rFonts w:cstheme="minorHAnsi"/>
              </w:rPr>
            </w:pPr>
            <w:r>
              <w:rPr>
                <w:rFonts w:cstheme="minorHAnsi"/>
              </w:rPr>
              <w:t>Out-of-hospital services</w:t>
            </w:r>
            <w:r w:rsidR="00EC175E">
              <w:rPr>
                <w:rFonts w:cstheme="minorHAnsi"/>
              </w:rPr>
              <w:t xml:space="preserve"> (Community health)</w:t>
            </w:r>
          </w:p>
        </w:tc>
        <w:tc>
          <w:tcPr>
            <w:tcW w:w="1865" w:type="pct"/>
          </w:tcPr>
          <w:p w14:paraId="776C8046" w14:textId="36BAEB79" w:rsidR="00F46EFD" w:rsidRPr="004537EA" w:rsidRDefault="00EC175E" w:rsidP="00E93F0C">
            <w:pPr>
              <w:pStyle w:val="TableRowNormal"/>
              <w:jc w:val="left"/>
              <w:rPr>
                <w:rFonts w:cstheme="minorHAnsi"/>
              </w:rPr>
            </w:pPr>
            <w:r w:rsidRPr="00794ECA">
              <w:rPr>
                <w:rFonts w:cstheme="minorHAnsi"/>
              </w:rPr>
              <w:t>All service delivery expenses</w:t>
            </w:r>
          </w:p>
        </w:tc>
        <w:tc>
          <w:tcPr>
            <w:tcW w:w="1612" w:type="pct"/>
          </w:tcPr>
          <w:p w14:paraId="1881FED5" w14:textId="77777777" w:rsidR="00F46EFD" w:rsidRPr="00794ECA" w:rsidRDefault="00F46EFD" w:rsidP="00E93F0C">
            <w:pPr>
              <w:pStyle w:val="TableRowNormal"/>
              <w:jc w:val="left"/>
              <w:rPr>
                <w:rFonts w:cstheme="minorHAnsi"/>
              </w:rPr>
            </w:pPr>
            <w:r>
              <w:t>General method</w:t>
            </w:r>
          </w:p>
        </w:tc>
      </w:tr>
      <w:tr w:rsidR="00F46EFD" w:rsidRPr="004537EA" w14:paraId="1717C1DB" w14:textId="77777777" w:rsidTr="00E93F0C">
        <w:tc>
          <w:tcPr>
            <w:tcW w:w="1523" w:type="pct"/>
          </w:tcPr>
          <w:p w14:paraId="566CC930" w14:textId="77777777" w:rsidR="00F46EFD" w:rsidRPr="00794ECA" w:rsidRDefault="00F46EFD" w:rsidP="00E93F0C">
            <w:pPr>
              <w:pStyle w:val="CGCTableStub"/>
              <w:ind w:left="193" w:hanging="142"/>
              <w:rPr>
                <w:rFonts w:cstheme="minorHAnsi"/>
              </w:rPr>
            </w:pPr>
            <w:r w:rsidRPr="00794ECA">
              <w:rPr>
                <w:rFonts w:cstheme="minorHAnsi"/>
              </w:rPr>
              <w:t>Welfare</w:t>
            </w:r>
          </w:p>
        </w:tc>
        <w:tc>
          <w:tcPr>
            <w:tcW w:w="1865" w:type="pct"/>
          </w:tcPr>
          <w:p w14:paraId="266F2CE7" w14:textId="77777777" w:rsidR="00F46EFD" w:rsidRPr="004537EA" w:rsidRDefault="00F46EFD" w:rsidP="00E93F0C">
            <w:pPr>
              <w:pStyle w:val="TableRowNormal"/>
              <w:jc w:val="left"/>
              <w:rPr>
                <w:rFonts w:cstheme="minorHAnsi"/>
              </w:rPr>
            </w:pPr>
            <w:r>
              <w:rPr>
                <w:rFonts w:cstheme="minorHAnsi"/>
              </w:rPr>
              <w:t>50% of non-NDIS expenses and all other general welfare expenses</w:t>
            </w:r>
          </w:p>
        </w:tc>
        <w:tc>
          <w:tcPr>
            <w:tcW w:w="1612" w:type="pct"/>
          </w:tcPr>
          <w:p w14:paraId="121A5411" w14:textId="77777777" w:rsidR="00F46EFD" w:rsidRPr="004537EA" w:rsidRDefault="00F46EFD" w:rsidP="00E93F0C">
            <w:pPr>
              <w:pStyle w:val="TableRowNormal"/>
              <w:jc w:val="left"/>
              <w:rPr>
                <w:rFonts w:cstheme="minorHAnsi"/>
              </w:rPr>
            </w:pPr>
            <w:r>
              <w:t>General method</w:t>
            </w:r>
          </w:p>
        </w:tc>
      </w:tr>
      <w:tr w:rsidR="00F46EFD" w:rsidRPr="004537EA" w14:paraId="5BBF0A2E" w14:textId="77777777" w:rsidTr="00E93F0C">
        <w:tc>
          <w:tcPr>
            <w:tcW w:w="1523" w:type="pct"/>
          </w:tcPr>
          <w:p w14:paraId="0574B273" w14:textId="77777777" w:rsidR="00F46EFD" w:rsidRPr="00794ECA" w:rsidRDefault="00F46EFD" w:rsidP="00E93F0C">
            <w:pPr>
              <w:pStyle w:val="CGCTableStub"/>
              <w:ind w:left="193" w:hanging="142"/>
              <w:rPr>
                <w:rFonts w:cstheme="minorHAnsi"/>
              </w:rPr>
            </w:pPr>
            <w:r w:rsidRPr="00794ECA">
              <w:rPr>
                <w:rFonts w:cstheme="minorHAnsi"/>
              </w:rPr>
              <w:t>Roads</w:t>
            </w:r>
          </w:p>
        </w:tc>
        <w:tc>
          <w:tcPr>
            <w:tcW w:w="1865" w:type="pct"/>
          </w:tcPr>
          <w:p w14:paraId="68EE889E" w14:textId="77777777" w:rsidR="00F46EFD" w:rsidRPr="004537EA" w:rsidRDefault="00F46EFD" w:rsidP="00E93F0C">
            <w:pPr>
              <w:pStyle w:val="TableRowNormal"/>
              <w:jc w:val="left"/>
              <w:rPr>
                <w:rFonts w:cstheme="minorHAnsi"/>
              </w:rPr>
            </w:pPr>
            <w:r w:rsidRPr="00794ECA">
              <w:rPr>
                <w:rFonts w:cstheme="minorHAnsi"/>
              </w:rPr>
              <w:t>All service delivery expenses</w:t>
            </w:r>
          </w:p>
        </w:tc>
        <w:tc>
          <w:tcPr>
            <w:tcW w:w="1612" w:type="pct"/>
          </w:tcPr>
          <w:p w14:paraId="21FC00FF" w14:textId="77777777" w:rsidR="00F46EFD" w:rsidRPr="004537EA" w:rsidRDefault="00F46EFD" w:rsidP="00E93F0C">
            <w:pPr>
              <w:pStyle w:val="TableRowNormal"/>
              <w:jc w:val="left"/>
              <w:rPr>
                <w:rFonts w:cstheme="minorHAnsi"/>
              </w:rPr>
            </w:pPr>
            <w:r w:rsidRPr="00794ECA">
              <w:rPr>
                <w:rFonts w:cstheme="minorHAnsi"/>
              </w:rPr>
              <w:t xml:space="preserve">Implicit in </w:t>
            </w:r>
            <w:r>
              <w:rPr>
                <w:rFonts w:cstheme="minorHAnsi"/>
              </w:rPr>
              <w:t xml:space="preserve">use </w:t>
            </w:r>
            <w:r w:rsidRPr="00794ECA">
              <w:rPr>
                <w:rFonts w:cstheme="minorHAnsi"/>
              </w:rPr>
              <w:t>data</w:t>
            </w:r>
          </w:p>
        </w:tc>
      </w:tr>
      <w:tr w:rsidR="00F46EFD" w:rsidRPr="004537EA" w14:paraId="766B2D4D" w14:textId="77777777" w:rsidTr="00E93F0C">
        <w:tc>
          <w:tcPr>
            <w:tcW w:w="1523" w:type="pct"/>
            <w:tcBorders>
              <w:bottom w:val="single" w:sz="6" w:space="0" w:color="auto"/>
            </w:tcBorders>
            <w:vAlign w:val="bottom"/>
          </w:tcPr>
          <w:p w14:paraId="4AF674DB" w14:textId="77777777" w:rsidR="00F46EFD" w:rsidRPr="004537EA" w:rsidRDefault="00F46EFD" w:rsidP="00E93F0C">
            <w:pPr>
              <w:pStyle w:val="CGCTableStub"/>
              <w:ind w:left="193" w:hanging="142"/>
              <w:rPr>
                <w:rFonts w:cstheme="minorHAnsi"/>
              </w:rPr>
            </w:pPr>
            <w:r w:rsidRPr="00794ECA">
              <w:rPr>
                <w:rFonts w:cstheme="minorHAnsi"/>
              </w:rPr>
              <w:t>Other expenses</w:t>
            </w:r>
          </w:p>
        </w:tc>
        <w:tc>
          <w:tcPr>
            <w:tcW w:w="1865" w:type="pct"/>
            <w:tcBorders>
              <w:bottom w:val="single" w:sz="6" w:space="0" w:color="auto"/>
            </w:tcBorders>
            <w:vAlign w:val="bottom"/>
          </w:tcPr>
          <w:p w14:paraId="6BEDCFD8" w14:textId="77777777" w:rsidR="00F46EFD" w:rsidRPr="004537EA" w:rsidRDefault="00F46EFD" w:rsidP="00E93F0C">
            <w:pPr>
              <w:pStyle w:val="TableRowNormal"/>
              <w:jc w:val="left"/>
              <w:rPr>
                <w:rFonts w:cstheme="minorHAnsi"/>
              </w:rPr>
            </w:pPr>
            <w:r>
              <w:t>Culture and recreation</w:t>
            </w:r>
          </w:p>
        </w:tc>
        <w:tc>
          <w:tcPr>
            <w:tcW w:w="1612" w:type="pct"/>
            <w:tcBorders>
              <w:bottom w:val="single" w:sz="6" w:space="0" w:color="auto"/>
            </w:tcBorders>
            <w:vAlign w:val="bottom"/>
          </w:tcPr>
          <w:p w14:paraId="1D4B8CF4" w14:textId="77777777" w:rsidR="00F46EFD" w:rsidRPr="004537EA" w:rsidRDefault="00F46EFD" w:rsidP="00E93F0C">
            <w:pPr>
              <w:pStyle w:val="TableRowNormal"/>
              <w:jc w:val="left"/>
              <w:rPr>
                <w:rFonts w:cstheme="minorHAnsi"/>
              </w:rPr>
            </w:pPr>
            <w:r>
              <w:t>General method</w:t>
            </w:r>
          </w:p>
        </w:tc>
      </w:tr>
    </w:tbl>
    <w:p w14:paraId="4371B756" w14:textId="779DFB6A" w:rsidR="00F46EFD" w:rsidRDefault="00F46EFD" w:rsidP="00E93F0C">
      <w:pPr>
        <w:pStyle w:val="CGCTableFootnote"/>
      </w:pPr>
      <w:r>
        <w:t>Source:</w:t>
      </w:r>
      <w:r>
        <w:tab/>
        <w:t>2015 Review report.</w:t>
      </w:r>
    </w:p>
    <w:p w14:paraId="7C932F9C" w14:textId="77777777" w:rsidR="00F46EFD" w:rsidRPr="00282840" w:rsidRDefault="00F46EFD" w:rsidP="001A1E05">
      <w:pPr>
        <w:pStyle w:val="Heading5"/>
      </w:pPr>
      <w:bookmarkStart w:id="37" w:name="_Toc511048305"/>
      <w:bookmarkStart w:id="38" w:name="_Toc511048407"/>
      <w:bookmarkStart w:id="39" w:name="_Toc511048445"/>
      <w:bookmarkStart w:id="40" w:name="_Toc511048480"/>
      <w:r w:rsidRPr="00282840">
        <w:t>The general method</w:t>
      </w:r>
      <w:r w:rsidR="00685D22">
        <w:t xml:space="preserve"> for cross-border factors</w:t>
      </w:r>
      <w:bookmarkEnd w:id="37"/>
      <w:bookmarkEnd w:id="38"/>
      <w:bookmarkEnd w:id="39"/>
      <w:bookmarkEnd w:id="40"/>
    </w:p>
    <w:p w14:paraId="35967DEA" w14:textId="77777777" w:rsidR="00F46EFD" w:rsidRDefault="00F46EFD" w:rsidP="00F46EFD">
      <w:pPr>
        <w:pStyle w:val="CGCNumberedPara"/>
        <w:numPr>
          <w:ilvl w:val="1"/>
          <w:numId w:val="3"/>
        </w:numPr>
      </w:pPr>
      <w:r>
        <w:t>The Commission developed</w:t>
      </w:r>
      <w:r w:rsidRPr="00282840">
        <w:t xml:space="preserve"> a simple general method to </w:t>
      </w:r>
      <w:r>
        <w:t>estimate</w:t>
      </w:r>
      <w:r w:rsidRPr="00282840">
        <w:t xml:space="preserve"> </w:t>
      </w:r>
      <w:r>
        <w:t>net</w:t>
      </w:r>
      <w:r w:rsidRPr="00282840">
        <w:t xml:space="preserve"> cross-border use of ACT services</w:t>
      </w:r>
      <w:r>
        <w:t xml:space="preserve"> where there was </w:t>
      </w:r>
      <w:r w:rsidR="00685D22">
        <w:t xml:space="preserve">inadequate </w:t>
      </w:r>
      <w:r>
        <w:t>reliable and comprehensive data</w:t>
      </w:r>
      <w:r w:rsidRPr="00282840">
        <w:t xml:space="preserve">. </w:t>
      </w:r>
    </w:p>
    <w:p w14:paraId="696958CA" w14:textId="77777777" w:rsidR="00F46EFD" w:rsidRPr="00282840" w:rsidRDefault="00F46EFD" w:rsidP="00F46EFD">
      <w:pPr>
        <w:pStyle w:val="CGCNumberedPara"/>
        <w:numPr>
          <w:ilvl w:val="1"/>
          <w:numId w:val="3"/>
        </w:numPr>
      </w:pPr>
      <w:r w:rsidRPr="00282840">
        <w:t xml:space="preserve">The information </w:t>
      </w:r>
      <w:r>
        <w:t xml:space="preserve">available to the Commission </w:t>
      </w:r>
      <w:r w:rsidRPr="00282840">
        <w:t>suggest</w:t>
      </w:r>
      <w:r>
        <w:t>ed</w:t>
      </w:r>
      <w:r w:rsidRPr="00282840">
        <w:t xml:space="preserve"> that, on a net basis, between 7-10% of community health, some welfare, and cultural and recreational services provided by the ACT are used by New South Wales residents.</w:t>
      </w:r>
    </w:p>
    <w:p w14:paraId="098034F9" w14:textId="77777777" w:rsidR="00F46EFD" w:rsidRPr="00282840" w:rsidRDefault="00F46EFD" w:rsidP="00F46EFD">
      <w:pPr>
        <w:pStyle w:val="CGCNumberedPara"/>
        <w:numPr>
          <w:ilvl w:val="1"/>
          <w:numId w:val="3"/>
        </w:numPr>
      </w:pPr>
      <w:r>
        <w:t>The Commission</w:t>
      </w:r>
      <w:r w:rsidR="00216403">
        <w:t xml:space="preserve">, therefore, decided to determine the assessed use of ACT services by applying national average use rates to the </w:t>
      </w:r>
      <w:r w:rsidRPr="00282840">
        <w:t xml:space="preserve">ACT population </w:t>
      </w:r>
      <w:r w:rsidR="00216403" w:rsidRPr="00282840">
        <w:t xml:space="preserve">plus a proportion of the population of </w:t>
      </w:r>
      <w:r w:rsidR="00216403">
        <w:t xml:space="preserve">the </w:t>
      </w:r>
      <w:r w:rsidR="00216403" w:rsidRPr="00282840">
        <w:t>surrounding areas of New South Wales</w:t>
      </w:r>
      <w:r w:rsidR="00216403">
        <w:t xml:space="preserve"> which would </w:t>
      </w:r>
      <w:r w:rsidR="00685D22">
        <w:t xml:space="preserve">increase the use of ACT services by </w:t>
      </w:r>
      <w:r w:rsidRPr="00282840">
        <w:t>7-10%</w:t>
      </w:r>
      <w:r w:rsidR="00685D22">
        <w:t>.</w:t>
      </w:r>
      <w:r w:rsidRPr="00282840">
        <w:t xml:space="preserve"> The population of New South Wales </w:t>
      </w:r>
      <w:r>
        <w:t>was r</w:t>
      </w:r>
      <w:r w:rsidRPr="00282840">
        <w:t>educed by the same amount.</w:t>
      </w:r>
    </w:p>
    <w:p w14:paraId="167CE40A" w14:textId="29617BAB" w:rsidR="00F46EFD" w:rsidRPr="00282840" w:rsidRDefault="00F46EFD" w:rsidP="00F46EFD">
      <w:pPr>
        <w:pStyle w:val="CGCNumberedPara"/>
        <w:numPr>
          <w:ilvl w:val="1"/>
          <w:numId w:val="3"/>
        </w:numPr>
      </w:pPr>
      <w:r w:rsidRPr="00282840">
        <w:t xml:space="preserve">With an ACT population of 380 000 </w:t>
      </w:r>
      <w:r>
        <w:t xml:space="preserve">(at the time of the 2015 Review) </w:t>
      </w:r>
      <w:r w:rsidRPr="00282840">
        <w:t>and national average use rates, a 7-10% cross</w:t>
      </w:r>
      <w:r>
        <w:noBreakHyphen/>
      </w:r>
      <w:r w:rsidRPr="00282840">
        <w:t xml:space="preserve">border use of ACT services </w:t>
      </w:r>
      <w:r>
        <w:t>wa</w:t>
      </w:r>
      <w:r w:rsidRPr="00282840">
        <w:t>s equivalent to approximately 33 000 extra residents. This equate</w:t>
      </w:r>
      <w:r>
        <w:t>d</w:t>
      </w:r>
      <w:r w:rsidRPr="00282840">
        <w:t xml:space="preserve"> to about 30% of the population of the Statistical areas level 2 (SA2s) in the </w:t>
      </w:r>
      <w:r w:rsidR="00216403">
        <w:t xml:space="preserve">following </w:t>
      </w:r>
      <w:r w:rsidRPr="00282840">
        <w:t>surrounding parts of New</w:t>
      </w:r>
      <w:r w:rsidR="0074426F">
        <w:t> </w:t>
      </w:r>
      <w:r w:rsidRPr="00282840">
        <w:t>South</w:t>
      </w:r>
      <w:r w:rsidR="0074426F">
        <w:t> </w:t>
      </w:r>
      <w:r w:rsidRPr="00282840">
        <w:t>Wales and which are shown in Figure 1:</w:t>
      </w:r>
    </w:p>
    <w:p w14:paraId="50451438" w14:textId="77777777" w:rsidR="00F46EFD" w:rsidRPr="00282840" w:rsidRDefault="00F46EFD" w:rsidP="00F46EFD">
      <w:pPr>
        <w:pStyle w:val="CGCBulletlist"/>
        <w:numPr>
          <w:ilvl w:val="0"/>
          <w:numId w:val="1"/>
        </w:numPr>
        <w:tabs>
          <w:tab w:val="clear" w:pos="927"/>
        </w:tabs>
        <w:ind w:left="1134" w:hanging="567"/>
      </w:pPr>
      <w:r w:rsidRPr="00282840">
        <w:t>Queanbeyan region</w:t>
      </w:r>
    </w:p>
    <w:p w14:paraId="05259837" w14:textId="77777777" w:rsidR="00F46EFD" w:rsidRPr="00282840" w:rsidRDefault="00F46EFD" w:rsidP="00F46EFD">
      <w:pPr>
        <w:pStyle w:val="CGCBulletlist"/>
        <w:numPr>
          <w:ilvl w:val="0"/>
          <w:numId w:val="1"/>
        </w:numPr>
        <w:tabs>
          <w:tab w:val="clear" w:pos="927"/>
        </w:tabs>
        <w:ind w:left="1134" w:hanging="567"/>
      </w:pPr>
      <w:proofErr w:type="spellStart"/>
      <w:r w:rsidRPr="00282840">
        <w:t>Karabar</w:t>
      </w:r>
      <w:proofErr w:type="spellEnd"/>
    </w:p>
    <w:p w14:paraId="0E4D30BA" w14:textId="77777777" w:rsidR="00F46EFD" w:rsidRPr="00282840" w:rsidRDefault="00F46EFD" w:rsidP="00F46EFD">
      <w:pPr>
        <w:pStyle w:val="CGCBulletlist"/>
        <w:numPr>
          <w:ilvl w:val="0"/>
          <w:numId w:val="1"/>
        </w:numPr>
        <w:tabs>
          <w:tab w:val="clear" w:pos="927"/>
        </w:tabs>
        <w:ind w:left="1134" w:hanging="567"/>
      </w:pPr>
      <w:r w:rsidRPr="00282840">
        <w:t>Braidwood</w:t>
      </w:r>
    </w:p>
    <w:p w14:paraId="425312A2" w14:textId="77777777" w:rsidR="00F46EFD" w:rsidRPr="00282840" w:rsidRDefault="00F46EFD" w:rsidP="00F46EFD">
      <w:pPr>
        <w:pStyle w:val="CGCBulletlist"/>
        <w:numPr>
          <w:ilvl w:val="0"/>
          <w:numId w:val="1"/>
        </w:numPr>
        <w:tabs>
          <w:tab w:val="clear" w:pos="927"/>
        </w:tabs>
        <w:ind w:left="1134" w:hanging="567"/>
      </w:pPr>
      <w:r w:rsidRPr="00282840">
        <w:t>Cooma region</w:t>
      </w:r>
    </w:p>
    <w:p w14:paraId="07FE9A23" w14:textId="77777777" w:rsidR="00F46EFD" w:rsidRPr="00282840" w:rsidRDefault="00F46EFD" w:rsidP="00F46EFD">
      <w:pPr>
        <w:pStyle w:val="CGCBulletlist"/>
        <w:numPr>
          <w:ilvl w:val="0"/>
          <w:numId w:val="1"/>
        </w:numPr>
        <w:tabs>
          <w:tab w:val="clear" w:pos="927"/>
        </w:tabs>
        <w:ind w:left="1134" w:hanging="567"/>
      </w:pPr>
      <w:r w:rsidRPr="00282840">
        <w:t>Goulburn region</w:t>
      </w:r>
    </w:p>
    <w:p w14:paraId="4D6BD68E" w14:textId="77777777" w:rsidR="00F46EFD" w:rsidRPr="00282840" w:rsidRDefault="00F46EFD" w:rsidP="00F46EFD">
      <w:pPr>
        <w:pStyle w:val="CGCBulletlist"/>
        <w:numPr>
          <w:ilvl w:val="0"/>
          <w:numId w:val="1"/>
        </w:numPr>
        <w:tabs>
          <w:tab w:val="clear" w:pos="927"/>
        </w:tabs>
        <w:ind w:left="1134" w:hanging="567"/>
      </w:pPr>
      <w:r w:rsidRPr="00282840">
        <w:t>Yass region.</w:t>
      </w:r>
    </w:p>
    <w:p w14:paraId="3D12D503" w14:textId="4D367231" w:rsidR="00F46EFD" w:rsidRPr="00282840" w:rsidRDefault="00F46EFD" w:rsidP="00F46EFD">
      <w:pPr>
        <w:pStyle w:val="CGCNumberedPara"/>
        <w:numPr>
          <w:ilvl w:val="1"/>
          <w:numId w:val="3"/>
        </w:numPr>
      </w:pPr>
      <w:r w:rsidRPr="00282840">
        <w:t>The SA2s were chosen on the basis that they are largely within an hour’s drive from the ACT and</w:t>
      </w:r>
      <w:r w:rsidR="00216403">
        <w:t>, thus,</w:t>
      </w:r>
      <w:r w:rsidRPr="00282840">
        <w:t xml:space="preserve"> it </w:t>
      </w:r>
      <w:r w:rsidR="00216403">
        <w:t>wa</w:t>
      </w:r>
      <w:r w:rsidRPr="00282840">
        <w:t xml:space="preserve">s not unreasonable to assume that many of their residents </w:t>
      </w:r>
      <w:r w:rsidR="00216403">
        <w:t xml:space="preserve">would </w:t>
      </w:r>
      <w:r w:rsidRPr="00282840">
        <w:t xml:space="preserve">travel to the ACT on a daily or weekly basis for various purposes. While many New South Wales residents from outside this catchment area may also use ACT services, they would tend to do so on a less frequent basis. In the absence of better </w:t>
      </w:r>
      <w:r w:rsidR="00287495">
        <w:t>information</w:t>
      </w:r>
      <w:r w:rsidRPr="00282840">
        <w:t xml:space="preserve">, </w:t>
      </w:r>
      <w:r>
        <w:t>the Commission</w:t>
      </w:r>
      <w:r w:rsidRPr="00282840">
        <w:t xml:space="preserve"> consider</w:t>
      </w:r>
      <w:r>
        <w:t>ed</w:t>
      </w:r>
      <w:r w:rsidRPr="00282840">
        <w:t xml:space="preserve"> the areas chosen </w:t>
      </w:r>
      <w:r w:rsidR="00216403">
        <w:t>were</w:t>
      </w:r>
      <w:r w:rsidRPr="00282840">
        <w:t xml:space="preserve"> a reasonable compromise.</w:t>
      </w:r>
    </w:p>
    <w:p w14:paraId="16829C40" w14:textId="77777777" w:rsidR="00F46EFD" w:rsidRPr="00282840" w:rsidRDefault="00F46EFD" w:rsidP="00F46EFD">
      <w:pPr>
        <w:pStyle w:val="CGCNumberedPara"/>
        <w:numPr>
          <w:ilvl w:val="1"/>
          <w:numId w:val="3"/>
        </w:numPr>
      </w:pPr>
      <w:r w:rsidRPr="00282840">
        <w:t>Basing the assessment</w:t>
      </w:r>
      <w:r w:rsidR="00216403">
        <w:t>s</w:t>
      </w:r>
      <w:r w:rsidRPr="00282840">
        <w:t xml:space="preserve"> on </w:t>
      </w:r>
      <w:r w:rsidR="00216403">
        <w:t xml:space="preserve">the ACT population plus </w:t>
      </w:r>
      <w:r w:rsidRPr="00282840">
        <w:t>a proportion of the population of surrounding</w:t>
      </w:r>
      <w:r>
        <w:t xml:space="preserve"> regions </w:t>
      </w:r>
      <w:r w:rsidR="00892E38">
        <w:t xml:space="preserve">allowed for the possibility </w:t>
      </w:r>
      <w:r w:rsidRPr="00282840">
        <w:t xml:space="preserve">that the demand for ACT services </w:t>
      </w:r>
      <w:r>
        <w:t xml:space="preserve">from </w:t>
      </w:r>
      <w:r w:rsidR="00892E38">
        <w:t xml:space="preserve">people in </w:t>
      </w:r>
      <w:r>
        <w:t>th</w:t>
      </w:r>
      <w:r w:rsidR="00892E38">
        <w:t>o</w:t>
      </w:r>
      <w:r>
        <w:t>se areas may grow at a different rate from that of ACT</w:t>
      </w:r>
      <w:r w:rsidR="00892E38">
        <w:t xml:space="preserve"> residents</w:t>
      </w:r>
      <w:r>
        <w:t>.</w:t>
      </w:r>
      <w:r w:rsidRPr="00282840">
        <w:t xml:space="preserve"> The population estimates of the surrounding regions </w:t>
      </w:r>
      <w:r>
        <w:t xml:space="preserve">are updated </w:t>
      </w:r>
      <w:r w:rsidRPr="00282840">
        <w:t>annually</w:t>
      </w:r>
      <w:r>
        <w:t>.</w:t>
      </w:r>
    </w:p>
    <w:p w14:paraId="2BB0F3A8" w14:textId="1BD21FD2" w:rsidR="00F46EFD" w:rsidRPr="00282840" w:rsidRDefault="00F46EFD" w:rsidP="00F46EFD">
      <w:pPr>
        <w:pStyle w:val="CGCTableHeading"/>
      </w:pPr>
      <w:r w:rsidRPr="00282840">
        <w:t>Figure 1</w:t>
      </w:r>
      <w:r w:rsidRPr="00282840">
        <w:tab/>
        <w:t xml:space="preserve">Catchment for the </w:t>
      </w:r>
      <w:r w:rsidR="0074426F">
        <w:t>c</w:t>
      </w:r>
      <w:r w:rsidRPr="00282840">
        <w:t>ross-border assessment</w:t>
      </w:r>
    </w:p>
    <w:p w14:paraId="3E80348C" w14:textId="77777777" w:rsidR="00F46EFD" w:rsidRPr="00282840" w:rsidRDefault="00F46EFD" w:rsidP="00F46EFD">
      <w:pPr>
        <w:pStyle w:val="CGCTableFootnote"/>
      </w:pPr>
      <w:r w:rsidRPr="00F46B46">
        <w:rPr>
          <w:noProof/>
          <w:lang w:eastAsia="en-AU"/>
        </w:rPr>
        <w:drawing>
          <wp:inline distT="0" distB="0" distL="0" distR="0" wp14:anchorId="45B086E3" wp14:editId="20338723">
            <wp:extent cx="4324350" cy="4367884"/>
            <wp:effectExtent l="19050" t="19050" r="19050" b="13970"/>
            <wp:docPr id="17" name="Picture 17" descr="A map of SA2s in the parts of New South Wales surrounding the 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24350" cy="4367884"/>
                    </a:xfrm>
                    <a:prstGeom prst="rect">
                      <a:avLst/>
                    </a:prstGeom>
                    <a:noFill/>
                    <a:ln>
                      <a:solidFill>
                        <a:schemeClr val="tx1"/>
                      </a:solidFill>
                    </a:ln>
                  </pic:spPr>
                </pic:pic>
              </a:graphicData>
            </a:graphic>
          </wp:inline>
        </w:drawing>
      </w:r>
    </w:p>
    <w:p w14:paraId="576CA165" w14:textId="77777777" w:rsidR="00F46EFD" w:rsidRPr="00282840" w:rsidRDefault="00F46EFD" w:rsidP="00F46EFD">
      <w:pPr>
        <w:pStyle w:val="CGCTableFootnote"/>
      </w:pPr>
      <w:r w:rsidRPr="00282840">
        <w:t>Source:</w:t>
      </w:r>
      <w:r w:rsidRPr="00282840">
        <w:tab/>
        <w:t xml:space="preserve">Commission illustration. </w:t>
      </w:r>
    </w:p>
    <w:p w14:paraId="7D7884EB" w14:textId="77777777" w:rsidR="00F46EFD" w:rsidRDefault="00F46EFD" w:rsidP="00537992">
      <w:pPr>
        <w:pStyle w:val="Heading5"/>
      </w:pPr>
      <w:bookmarkStart w:id="41" w:name="_Toc511048306"/>
      <w:bookmarkStart w:id="42" w:name="_Toc511048408"/>
      <w:bookmarkStart w:id="43" w:name="_Toc511048446"/>
      <w:bookmarkStart w:id="44" w:name="_Toc511048481"/>
      <w:r>
        <w:t>The cross-border assessments</w:t>
      </w:r>
      <w:bookmarkEnd w:id="41"/>
      <w:bookmarkEnd w:id="42"/>
      <w:bookmarkEnd w:id="43"/>
      <w:bookmarkEnd w:id="44"/>
    </w:p>
    <w:p w14:paraId="1390146C" w14:textId="22F56A0F" w:rsidR="005C0516" w:rsidRDefault="00F46EFD" w:rsidP="00F46EFD">
      <w:pPr>
        <w:pStyle w:val="CGCNumberedPara"/>
        <w:numPr>
          <w:ilvl w:val="1"/>
          <w:numId w:val="3"/>
        </w:numPr>
      </w:pPr>
      <w:r>
        <w:fldChar w:fldCharType="begin"/>
      </w:r>
      <w:r>
        <w:instrText xml:space="preserve"> REF _Ref497314366 \h </w:instrText>
      </w:r>
      <w:r>
        <w:fldChar w:fldCharType="separate"/>
      </w:r>
      <w:r w:rsidR="00C40664">
        <w:t xml:space="preserve">Table </w:t>
      </w:r>
      <w:r w:rsidR="00C40664">
        <w:rPr>
          <w:noProof/>
        </w:rPr>
        <w:t>2</w:t>
      </w:r>
      <w:r>
        <w:fldChar w:fldCharType="end"/>
      </w:r>
      <w:r>
        <w:t xml:space="preserve"> </w:t>
      </w:r>
      <w:r w:rsidR="005C0516">
        <w:t>shows the</w:t>
      </w:r>
      <w:r>
        <w:t xml:space="preserve"> calculation </w:t>
      </w:r>
      <w:r w:rsidR="005C0516">
        <w:t>of</w:t>
      </w:r>
      <w:r>
        <w:t xml:space="preserve"> the cross-border factor</w:t>
      </w:r>
      <w:r w:rsidR="005C0516">
        <w:t>s</w:t>
      </w:r>
      <w:r>
        <w:t xml:space="preserve"> for 201</w:t>
      </w:r>
      <w:r w:rsidR="0074426F">
        <w:t>6</w:t>
      </w:r>
      <w:r>
        <w:t>-1</w:t>
      </w:r>
      <w:r w:rsidR="0074426F">
        <w:t>7</w:t>
      </w:r>
      <w:r>
        <w:t xml:space="preserve">. </w:t>
      </w:r>
    </w:p>
    <w:p w14:paraId="196C4030" w14:textId="77777777" w:rsidR="00F46EFD" w:rsidRDefault="00F46EFD" w:rsidP="00F46EFD">
      <w:pPr>
        <w:pStyle w:val="CGCNumberedPara"/>
        <w:numPr>
          <w:ilvl w:val="1"/>
          <w:numId w:val="3"/>
        </w:numPr>
      </w:pPr>
      <w:r>
        <w:t xml:space="preserve">These factors are </w:t>
      </w:r>
      <w:r w:rsidR="005C0516">
        <w:t xml:space="preserve">subsequently </w:t>
      </w:r>
      <w:r>
        <w:t xml:space="preserve">weighted to reflect the proportion of expenses </w:t>
      </w:r>
      <w:r w:rsidR="005C0516">
        <w:t xml:space="preserve">in each category </w:t>
      </w:r>
      <w:r>
        <w:t>affected by cross-border costs.</w:t>
      </w:r>
    </w:p>
    <w:p w14:paraId="68E739D1" w14:textId="1A0BCD62" w:rsidR="00F46EFD" w:rsidRDefault="00F46EFD" w:rsidP="00F46EFD">
      <w:pPr>
        <w:pStyle w:val="CGCTableHeading"/>
      </w:pPr>
      <w:bookmarkStart w:id="45" w:name="_Ref497314366"/>
      <w:r>
        <w:t xml:space="preserve">Table </w:t>
      </w:r>
      <w:fldSimple w:instr=" SEQ Table \* ARABIC ">
        <w:r w:rsidR="00C40664">
          <w:rPr>
            <w:noProof/>
          </w:rPr>
          <w:t>2</w:t>
        </w:r>
      </w:fldSimple>
      <w:bookmarkEnd w:id="45"/>
      <w:r>
        <w:tab/>
      </w:r>
      <w:r w:rsidR="002A4135" w:rsidRPr="00C269CD">
        <w:t>Cross</w:t>
      </w:r>
      <w:r w:rsidRPr="00C269CD">
        <w:t>-border factor calculations, 201</w:t>
      </w:r>
      <w:r w:rsidR="003478FF">
        <w:t>6</w:t>
      </w:r>
      <w:r w:rsidRPr="00C269CD">
        <w:t>-1</w:t>
      </w:r>
      <w:r w:rsidR="003478FF">
        <w:t>7</w:t>
      </w:r>
    </w:p>
    <w:tbl>
      <w:tblPr>
        <w:tblW w:w="5000" w:type="pct"/>
        <w:tblCellMar>
          <w:left w:w="85" w:type="dxa"/>
          <w:right w:w="85" w:type="dxa"/>
        </w:tblCellMar>
        <w:tblLook w:val="0000" w:firstRow="0" w:lastRow="0" w:firstColumn="0" w:lastColumn="0" w:noHBand="0" w:noVBand="0"/>
      </w:tblPr>
      <w:tblGrid>
        <w:gridCol w:w="4095"/>
        <w:gridCol w:w="2514"/>
        <w:gridCol w:w="2512"/>
      </w:tblGrid>
      <w:tr w:rsidR="00F46EFD" w:rsidRPr="004537EA" w14:paraId="006E4FB1" w14:textId="77777777" w:rsidTr="00412BFF">
        <w:tc>
          <w:tcPr>
            <w:tcW w:w="2245" w:type="pct"/>
            <w:tcBorders>
              <w:top w:val="single" w:sz="6" w:space="0" w:color="auto"/>
              <w:bottom w:val="single" w:sz="6" w:space="0" w:color="auto"/>
            </w:tcBorders>
            <w:vAlign w:val="bottom"/>
          </w:tcPr>
          <w:p w14:paraId="09A1F29A" w14:textId="77777777" w:rsidR="00F46EFD" w:rsidRPr="004537EA" w:rsidRDefault="00F46EFD" w:rsidP="00412BFF">
            <w:pPr>
              <w:pStyle w:val="TableColHeadings"/>
              <w:rPr>
                <w:rFonts w:cstheme="minorHAnsi"/>
              </w:rPr>
            </w:pPr>
          </w:p>
        </w:tc>
        <w:tc>
          <w:tcPr>
            <w:tcW w:w="1378" w:type="pct"/>
            <w:tcBorders>
              <w:top w:val="single" w:sz="6" w:space="0" w:color="auto"/>
              <w:bottom w:val="single" w:sz="6" w:space="0" w:color="auto"/>
            </w:tcBorders>
            <w:vAlign w:val="bottom"/>
          </w:tcPr>
          <w:p w14:paraId="24E4B219" w14:textId="77777777" w:rsidR="00F46EFD" w:rsidRPr="004537EA" w:rsidRDefault="00F46EFD" w:rsidP="00412BFF">
            <w:pPr>
              <w:pStyle w:val="TableColHeadings"/>
              <w:rPr>
                <w:rFonts w:cstheme="minorHAnsi"/>
              </w:rPr>
            </w:pPr>
            <w:r>
              <w:rPr>
                <w:rFonts w:cstheme="minorHAnsi"/>
              </w:rPr>
              <w:t>NSW</w:t>
            </w:r>
          </w:p>
        </w:tc>
        <w:tc>
          <w:tcPr>
            <w:tcW w:w="1377" w:type="pct"/>
            <w:tcBorders>
              <w:top w:val="single" w:sz="6" w:space="0" w:color="auto"/>
              <w:bottom w:val="single" w:sz="6" w:space="0" w:color="auto"/>
            </w:tcBorders>
            <w:vAlign w:val="bottom"/>
          </w:tcPr>
          <w:p w14:paraId="74912CBD" w14:textId="77777777" w:rsidR="00F46EFD" w:rsidRPr="004537EA" w:rsidRDefault="00F46EFD" w:rsidP="00412BFF">
            <w:pPr>
              <w:pStyle w:val="TableColHeadings"/>
              <w:rPr>
                <w:rFonts w:cstheme="minorHAnsi"/>
              </w:rPr>
            </w:pPr>
            <w:r>
              <w:rPr>
                <w:rFonts w:cstheme="minorHAnsi"/>
              </w:rPr>
              <w:t>ACT</w:t>
            </w:r>
          </w:p>
        </w:tc>
      </w:tr>
      <w:tr w:rsidR="00F46EFD" w:rsidRPr="004537EA" w14:paraId="2F78B9BD" w14:textId="77777777" w:rsidTr="00412BFF">
        <w:tc>
          <w:tcPr>
            <w:tcW w:w="2245" w:type="pct"/>
            <w:tcMar>
              <w:top w:w="0" w:type="dxa"/>
              <w:bottom w:w="0" w:type="dxa"/>
            </w:tcMar>
            <w:vAlign w:val="bottom"/>
          </w:tcPr>
          <w:p w14:paraId="22F3E4B0" w14:textId="77777777" w:rsidR="00F46EFD" w:rsidRPr="004537EA" w:rsidRDefault="00F46EFD" w:rsidP="00412BFF">
            <w:pPr>
              <w:pStyle w:val="TableRowUnits"/>
              <w:rPr>
                <w:rFonts w:cstheme="minorHAnsi"/>
              </w:rPr>
            </w:pPr>
          </w:p>
        </w:tc>
        <w:tc>
          <w:tcPr>
            <w:tcW w:w="1378" w:type="pct"/>
            <w:tcMar>
              <w:top w:w="0" w:type="dxa"/>
              <w:bottom w:w="0" w:type="dxa"/>
            </w:tcMar>
            <w:vAlign w:val="bottom"/>
          </w:tcPr>
          <w:p w14:paraId="0198EDF0" w14:textId="77777777" w:rsidR="00F46EFD" w:rsidRPr="004537EA" w:rsidRDefault="00F46EFD" w:rsidP="00412BFF">
            <w:pPr>
              <w:pStyle w:val="TableRowUnits"/>
              <w:rPr>
                <w:rFonts w:cstheme="minorHAnsi"/>
              </w:rPr>
            </w:pPr>
            <w:r>
              <w:rPr>
                <w:rFonts w:cstheme="minorHAnsi"/>
              </w:rPr>
              <w:t>no.</w:t>
            </w:r>
          </w:p>
        </w:tc>
        <w:tc>
          <w:tcPr>
            <w:tcW w:w="1377" w:type="pct"/>
            <w:tcMar>
              <w:top w:w="0" w:type="dxa"/>
              <w:bottom w:w="0" w:type="dxa"/>
            </w:tcMar>
            <w:vAlign w:val="bottom"/>
          </w:tcPr>
          <w:p w14:paraId="62ECBF6E" w14:textId="77777777" w:rsidR="00F46EFD" w:rsidRPr="004537EA" w:rsidRDefault="00F46EFD" w:rsidP="00412BFF">
            <w:pPr>
              <w:pStyle w:val="TableRowUnits"/>
              <w:rPr>
                <w:rFonts w:cstheme="minorHAnsi"/>
              </w:rPr>
            </w:pPr>
            <w:r>
              <w:rPr>
                <w:rFonts w:cstheme="minorHAnsi"/>
              </w:rPr>
              <w:t>no.</w:t>
            </w:r>
          </w:p>
        </w:tc>
      </w:tr>
      <w:tr w:rsidR="003478FF" w:rsidRPr="004537EA" w14:paraId="397A444D" w14:textId="77777777" w:rsidTr="00C149DA">
        <w:tc>
          <w:tcPr>
            <w:tcW w:w="2245" w:type="pct"/>
            <w:vAlign w:val="bottom"/>
          </w:tcPr>
          <w:p w14:paraId="457A5C08" w14:textId="77777777" w:rsidR="003478FF" w:rsidRPr="004537EA" w:rsidRDefault="003478FF" w:rsidP="00412BFF">
            <w:pPr>
              <w:pStyle w:val="CGCTableStub"/>
              <w:rPr>
                <w:rFonts w:cstheme="minorHAnsi"/>
              </w:rPr>
            </w:pPr>
            <w:r>
              <w:t>A.</w:t>
            </w:r>
            <w:r w:rsidRPr="0010655A">
              <w:rPr>
                <w:rFonts w:cstheme="minorHAnsi"/>
              </w:rPr>
              <w:tab/>
              <w:t>State population</w:t>
            </w:r>
          </w:p>
        </w:tc>
        <w:tc>
          <w:tcPr>
            <w:tcW w:w="1378" w:type="pct"/>
            <w:vAlign w:val="center"/>
          </w:tcPr>
          <w:p w14:paraId="0229669E" w14:textId="5CF137BA" w:rsidR="003478FF" w:rsidRPr="004537EA" w:rsidRDefault="003478FF" w:rsidP="00412BFF">
            <w:pPr>
              <w:pStyle w:val="TableRowNormal"/>
              <w:rPr>
                <w:rFonts w:cstheme="minorHAnsi"/>
              </w:rPr>
            </w:pPr>
            <w:r w:rsidRPr="003478FF">
              <w:rPr>
                <w:rFonts w:cstheme="minorHAnsi"/>
              </w:rPr>
              <w:t>7 797 791</w:t>
            </w:r>
          </w:p>
        </w:tc>
        <w:tc>
          <w:tcPr>
            <w:tcW w:w="1377" w:type="pct"/>
            <w:vAlign w:val="center"/>
          </w:tcPr>
          <w:p w14:paraId="0952685C" w14:textId="1C3D533E" w:rsidR="003478FF" w:rsidRPr="004537EA" w:rsidRDefault="003478FF" w:rsidP="00412BFF">
            <w:pPr>
              <w:pStyle w:val="TableRowNormal"/>
              <w:rPr>
                <w:rFonts w:cstheme="minorHAnsi"/>
              </w:rPr>
            </w:pPr>
            <w:r w:rsidRPr="003478FF">
              <w:rPr>
                <w:rFonts w:cstheme="minorHAnsi"/>
              </w:rPr>
              <w:t xml:space="preserve"> 406 403</w:t>
            </w:r>
          </w:p>
        </w:tc>
      </w:tr>
      <w:tr w:rsidR="003478FF" w:rsidRPr="004537EA" w14:paraId="24589A09" w14:textId="77777777" w:rsidTr="00412BFF">
        <w:tc>
          <w:tcPr>
            <w:tcW w:w="2245" w:type="pct"/>
            <w:vAlign w:val="bottom"/>
          </w:tcPr>
          <w:p w14:paraId="229B1542" w14:textId="78CC70F1" w:rsidR="003478FF" w:rsidRPr="004537EA" w:rsidRDefault="003478FF" w:rsidP="00412BFF">
            <w:pPr>
              <w:pStyle w:val="CGCTableStub"/>
              <w:rPr>
                <w:rFonts w:cstheme="minorHAnsi"/>
              </w:rPr>
            </w:pPr>
            <w:r w:rsidRPr="0010655A">
              <w:rPr>
                <w:rFonts w:cstheme="minorHAnsi"/>
              </w:rPr>
              <w:t>B.</w:t>
            </w:r>
            <w:r w:rsidRPr="0010655A">
              <w:rPr>
                <w:rFonts w:cstheme="minorHAnsi"/>
              </w:rPr>
              <w:tab/>
              <w:t xml:space="preserve">Total population of catchment area </w:t>
            </w:r>
            <w:r>
              <w:rPr>
                <w:rFonts w:cstheme="minorHAnsi"/>
              </w:rPr>
              <w:t>(a)</w:t>
            </w:r>
          </w:p>
        </w:tc>
        <w:tc>
          <w:tcPr>
            <w:tcW w:w="1378" w:type="pct"/>
            <w:vAlign w:val="bottom"/>
          </w:tcPr>
          <w:p w14:paraId="328B409F" w14:textId="1A0FE1FE" w:rsidR="003478FF" w:rsidRPr="004537EA" w:rsidRDefault="003478FF" w:rsidP="003478FF">
            <w:pPr>
              <w:pStyle w:val="TableRowNormal"/>
              <w:rPr>
                <w:rFonts w:cstheme="minorHAnsi"/>
              </w:rPr>
            </w:pPr>
            <w:r w:rsidRPr="003478FF">
              <w:rPr>
                <w:rFonts w:cstheme="minorHAnsi"/>
              </w:rPr>
              <w:t>125</w:t>
            </w:r>
            <w:r>
              <w:rPr>
                <w:rFonts w:cstheme="minorHAnsi"/>
              </w:rPr>
              <w:t xml:space="preserve"> </w:t>
            </w:r>
            <w:r w:rsidRPr="003478FF">
              <w:rPr>
                <w:rFonts w:cstheme="minorHAnsi"/>
              </w:rPr>
              <w:t>388</w:t>
            </w:r>
          </w:p>
        </w:tc>
        <w:tc>
          <w:tcPr>
            <w:tcW w:w="1377" w:type="pct"/>
            <w:vAlign w:val="bottom"/>
          </w:tcPr>
          <w:p w14:paraId="233ADDB8" w14:textId="77777777" w:rsidR="003478FF" w:rsidRPr="004537EA" w:rsidRDefault="003478FF" w:rsidP="00412BFF">
            <w:pPr>
              <w:pStyle w:val="TableRowNormal"/>
              <w:rPr>
                <w:rFonts w:cstheme="minorHAnsi"/>
              </w:rPr>
            </w:pPr>
          </w:p>
        </w:tc>
      </w:tr>
      <w:tr w:rsidR="003478FF" w:rsidRPr="004537EA" w14:paraId="65639C68" w14:textId="77777777" w:rsidTr="00412BFF">
        <w:tc>
          <w:tcPr>
            <w:tcW w:w="2245" w:type="pct"/>
            <w:vAlign w:val="bottom"/>
          </w:tcPr>
          <w:p w14:paraId="761A1BF7" w14:textId="77777777" w:rsidR="003478FF" w:rsidRPr="004537EA" w:rsidRDefault="003478FF" w:rsidP="00412BFF">
            <w:pPr>
              <w:pStyle w:val="CGCTableStub"/>
              <w:rPr>
                <w:rFonts w:cstheme="minorHAnsi"/>
              </w:rPr>
            </w:pPr>
            <w:r w:rsidRPr="0010655A">
              <w:rPr>
                <w:rFonts w:cstheme="minorHAnsi"/>
              </w:rPr>
              <w:t>C.</w:t>
            </w:r>
            <w:r w:rsidRPr="0010655A">
              <w:rPr>
                <w:rFonts w:cstheme="minorHAnsi"/>
              </w:rPr>
              <w:tab/>
              <w:t>Cross-border weight</w:t>
            </w:r>
          </w:p>
        </w:tc>
        <w:tc>
          <w:tcPr>
            <w:tcW w:w="1378" w:type="pct"/>
            <w:vAlign w:val="bottom"/>
          </w:tcPr>
          <w:p w14:paraId="62AFC49F" w14:textId="77777777" w:rsidR="003478FF" w:rsidRPr="004537EA" w:rsidRDefault="003478FF" w:rsidP="00412BFF">
            <w:pPr>
              <w:pStyle w:val="TableRowNormal"/>
              <w:rPr>
                <w:rFonts w:cstheme="minorHAnsi"/>
              </w:rPr>
            </w:pPr>
            <w:r>
              <w:rPr>
                <w:rFonts w:cstheme="minorHAnsi"/>
              </w:rPr>
              <w:t>-0.3</w:t>
            </w:r>
          </w:p>
        </w:tc>
        <w:tc>
          <w:tcPr>
            <w:tcW w:w="1377" w:type="pct"/>
            <w:vAlign w:val="bottom"/>
          </w:tcPr>
          <w:p w14:paraId="0C16E533" w14:textId="77777777" w:rsidR="003478FF" w:rsidRPr="004537EA" w:rsidRDefault="003478FF" w:rsidP="00412BFF">
            <w:pPr>
              <w:pStyle w:val="TableRowNormal"/>
              <w:rPr>
                <w:rFonts w:cstheme="minorHAnsi"/>
              </w:rPr>
            </w:pPr>
            <w:r>
              <w:rPr>
                <w:rFonts w:cstheme="minorHAnsi"/>
              </w:rPr>
              <w:t>0.3</w:t>
            </w:r>
          </w:p>
        </w:tc>
      </w:tr>
      <w:tr w:rsidR="00915266" w:rsidRPr="004537EA" w14:paraId="60107415" w14:textId="77777777" w:rsidTr="00C149DA">
        <w:tc>
          <w:tcPr>
            <w:tcW w:w="2245" w:type="pct"/>
            <w:vAlign w:val="bottom"/>
          </w:tcPr>
          <w:p w14:paraId="39743B8A" w14:textId="77777777" w:rsidR="00915266" w:rsidRPr="004537EA" w:rsidRDefault="00915266" w:rsidP="00412BFF">
            <w:pPr>
              <w:pStyle w:val="CGCTableStub"/>
              <w:rPr>
                <w:rFonts w:cstheme="minorHAnsi"/>
              </w:rPr>
            </w:pPr>
            <w:r w:rsidRPr="0010655A">
              <w:rPr>
                <w:rFonts w:cstheme="minorHAnsi"/>
              </w:rPr>
              <w:t>D.</w:t>
            </w:r>
            <w:r w:rsidRPr="0010655A">
              <w:rPr>
                <w:rFonts w:cstheme="minorHAnsi"/>
              </w:rPr>
              <w:tab/>
              <w:t>Cross-border population [D = B * C]</w:t>
            </w:r>
          </w:p>
        </w:tc>
        <w:tc>
          <w:tcPr>
            <w:tcW w:w="1378" w:type="pct"/>
            <w:vAlign w:val="center"/>
          </w:tcPr>
          <w:p w14:paraId="3B1CFD57" w14:textId="35A85D79" w:rsidR="00915266" w:rsidRPr="004537EA" w:rsidRDefault="00915266" w:rsidP="00412BFF">
            <w:pPr>
              <w:pStyle w:val="TableRowNormal"/>
              <w:rPr>
                <w:rFonts w:cstheme="minorHAnsi"/>
              </w:rPr>
            </w:pPr>
            <w:r w:rsidRPr="00915266">
              <w:rPr>
                <w:rFonts w:cstheme="minorHAnsi"/>
              </w:rPr>
              <w:t>-37 616</w:t>
            </w:r>
          </w:p>
        </w:tc>
        <w:tc>
          <w:tcPr>
            <w:tcW w:w="1377" w:type="pct"/>
            <w:vAlign w:val="center"/>
          </w:tcPr>
          <w:p w14:paraId="622FD522" w14:textId="38CA6033" w:rsidR="00915266" w:rsidRPr="004537EA" w:rsidRDefault="00915266" w:rsidP="00412BFF">
            <w:pPr>
              <w:pStyle w:val="TableRowNormal"/>
              <w:rPr>
                <w:rFonts w:cstheme="minorHAnsi"/>
              </w:rPr>
            </w:pPr>
            <w:r w:rsidRPr="00915266">
              <w:rPr>
                <w:rFonts w:cstheme="minorHAnsi"/>
              </w:rPr>
              <w:t>37 616</w:t>
            </w:r>
          </w:p>
        </w:tc>
      </w:tr>
      <w:tr w:rsidR="00915266" w:rsidRPr="004537EA" w14:paraId="139243C5" w14:textId="77777777" w:rsidTr="00C149DA">
        <w:tc>
          <w:tcPr>
            <w:tcW w:w="2245" w:type="pct"/>
            <w:vAlign w:val="bottom"/>
          </w:tcPr>
          <w:p w14:paraId="724237B2" w14:textId="77777777" w:rsidR="00915266" w:rsidRPr="004537EA" w:rsidRDefault="00915266" w:rsidP="00412BFF">
            <w:pPr>
              <w:pStyle w:val="CGCTableStub"/>
              <w:rPr>
                <w:rFonts w:cstheme="minorHAnsi"/>
              </w:rPr>
            </w:pPr>
            <w:r w:rsidRPr="0010655A">
              <w:rPr>
                <w:rFonts w:cstheme="minorHAnsi"/>
              </w:rPr>
              <w:t>E.</w:t>
            </w:r>
            <w:r w:rsidRPr="0010655A">
              <w:rPr>
                <w:rFonts w:cstheme="minorHAnsi"/>
              </w:rPr>
              <w:tab/>
              <w:t>Adjusted population [E = A + D]</w:t>
            </w:r>
          </w:p>
        </w:tc>
        <w:tc>
          <w:tcPr>
            <w:tcW w:w="1378" w:type="pct"/>
            <w:vAlign w:val="center"/>
          </w:tcPr>
          <w:p w14:paraId="715FA158" w14:textId="5A59C48B" w:rsidR="00915266" w:rsidRPr="004537EA" w:rsidRDefault="00915266" w:rsidP="00412BFF">
            <w:pPr>
              <w:pStyle w:val="TableRowNormal"/>
              <w:rPr>
                <w:rFonts w:cstheme="minorHAnsi"/>
              </w:rPr>
            </w:pPr>
            <w:r w:rsidRPr="00915266">
              <w:rPr>
                <w:rFonts w:cstheme="minorHAnsi"/>
              </w:rPr>
              <w:t>7 760 175</w:t>
            </w:r>
          </w:p>
        </w:tc>
        <w:tc>
          <w:tcPr>
            <w:tcW w:w="1377" w:type="pct"/>
            <w:vAlign w:val="center"/>
          </w:tcPr>
          <w:p w14:paraId="7CBDAC91" w14:textId="404F2EFC" w:rsidR="00915266" w:rsidRPr="004537EA" w:rsidRDefault="00915266" w:rsidP="00412BFF">
            <w:pPr>
              <w:pStyle w:val="TableRowNormal"/>
              <w:rPr>
                <w:rFonts w:cstheme="minorHAnsi"/>
              </w:rPr>
            </w:pPr>
            <w:r w:rsidRPr="00915266">
              <w:rPr>
                <w:rFonts w:cstheme="minorHAnsi"/>
              </w:rPr>
              <w:t>444 019</w:t>
            </w:r>
          </w:p>
        </w:tc>
      </w:tr>
      <w:tr w:rsidR="00915266" w:rsidRPr="004537EA" w14:paraId="4ACA66CD" w14:textId="77777777" w:rsidTr="00C149DA">
        <w:tc>
          <w:tcPr>
            <w:tcW w:w="2245" w:type="pct"/>
            <w:tcBorders>
              <w:bottom w:val="single" w:sz="6" w:space="0" w:color="auto"/>
            </w:tcBorders>
            <w:vAlign w:val="bottom"/>
          </w:tcPr>
          <w:p w14:paraId="6D3E913D" w14:textId="51D2E704" w:rsidR="00915266" w:rsidRPr="004537EA" w:rsidRDefault="00915266" w:rsidP="002A4135">
            <w:pPr>
              <w:pStyle w:val="CGCTableStub"/>
              <w:rPr>
                <w:rFonts w:cstheme="minorHAnsi"/>
              </w:rPr>
            </w:pPr>
            <w:r w:rsidRPr="0010655A">
              <w:rPr>
                <w:rFonts w:cstheme="minorHAnsi"/>
              </w:rPr>
              <w:t>F.</w:t>
            </w:r>
            <w:r w:rsidRPr="0010655A">
              <w:rPr>
                <w:rFonts w:cstheme="minorHAnsi"/>
              </w:rPr>
              <w:tab/>
              <w:t>Weight factor [F = E / A]</w:t>
            </w:r>
          </w:p>
        </w:tc>
        <w:tc>
          <w:tcPr>
            <w:tcW w:w="1378" w:type="pct"/>
            <w:tcBorders>
              <w:bottom w:val="single" w:sz="6" w:space="0" w:color="auto"/>
            </w:tcBorders>
            <w:vAlign w:val="center"/>
          </w:tcPr>
          <w:p w14:paraId="1456C59A" w14:textId="51548FFB" w:rsidR="00915266" w:rsidRPr="004537EA" w:rsidRDefault="00915266" w:rsidP="00412BFF">
            <w:pPr>
              <w:pStyle w:val="TableRowNormal"/>
              <w:rPr>
                <w:rFonts w:cstheme="minorHAnsi"/>
              </w:rPr>
            </w:pPr>
            <w:r w:rsidRPr="00915266">
              <w:rPr>
                <w:rFonts w:cstheme="minorHAnsi"/>
              </w:rPr>
              <w:t>0.995</w:t>
            </w:r>
          </w:p>
        </w:tc>
        <w:tc>
          <w:tcPr>
            <w:tcW w:w="1377" w:type="pct"/>
            <w:tcBorders>
              <w:bottom w:val="single" w:sz="6" w:space="0" w:color="auto"/>
            </w:tcBorders>
            <w:vAlign w:val="center"/>
          </w:tcPr>
          <w:p w14:paraId="5FE762E9" w14:textId="73A83DFD" w:rsidR="00915266" w:rsidRPr="004537EA" w:rsidRDefault="00915266" w:rsidP="00412BFF">
            <w:pPr>
              <w:pStyle w:val="TableRowNormal"/>
              <w:rPr>
                <w:rFonts w:cstheme="minorHAnsi"/>
              </w:rPr>
            </w:pPr>
            <w:r w:rsidRPr="00915266">
              <w:rPr>
                <w:rFonts w:cstheme="minorHAnsi"/>
              </w:rPr>
              <w:t>1.093</w:t>
            </w:r>
          </w:p>
        </w:tc>
      </w:tr>
    </w:tbl>
    <w:p w14:paraId="593F9B40" w14:textId="5615BCD1" w:rsidR="003478FF" w:rsidRDefault="003478FF" w:rsidP="003478FF">
      <w:pPr>
        <w:pStyle w:val="CGCTableFootnote"/>
        <w:keepNext/>
        <w:keepLines/>
      </w:pPr>
      <w:r>
        <w:t>(a)</w:t>
      </w:r>
      <w:r>
        <w:tab/>
        <w:t>Population of New South Wales regions surrounding the ACT from the ABS, June estimated resident population.</w:t>
      </w:r>
    </w:p>
    <w:p w14:paraId="51D69E5D" w14:textId="77777777" w:rsidR="00F46EFD" w:rsidRDefault="00F46EFD" w:rsidP="00F46EFD">
      <w:pPr>
        <w:pStyle w:val="CGCTableFootnote"/>
        <w:keepNext/>
        <w:keepLines/>
      </w:pPr>
      <w:r>
        <w:t>Source:</w:t>
      </w:r>
      <w:r>
        <w:tab/>
        <w:t>State population from the ABS, December estimated resident population.</w:t>
      </w:r>
    </w:p>
    <w:p w14:paraId="09B3E2CC" w14:textId="77777777" w:rsidR="00537992" w:rsidRPr="00C2657C" w:rsidRDefault="00537992" w:rsidP="00C2657C">
      <w:pPr>
        <w:pStyle w:val="Heading5"/>
      </w:pPr>
      <w:r w:rsidRPr="00C2657C">
        <w:t>GST redistribution</w:t>
      </w:r>
    </w:p>
    <w:p w14:paraId="28CCB7E4" w14:textId="3660F2CB" w:rsidR="00F46EFD" w:rsidRDefault="00F46EFD" w:rsidP="00F46EFD">
      <w:pPr>
        <w:pStyle w:val="CGCNumberedPara"/>
        <w:numPr>
          <w:ilvl w:val="1"/>
          <w:numId w:val="3"/>
        </w:numPr>
      </w:pPr>
      <w:r>
        <w:fldChar w:fldCharType="begin"/>
      </w:r>
      <w:r>
        <w:instrText xml:space="preserve"> REF _Ref496100394 \h </w:instrText>
      </w:r>
      <w:r>
        <w:fldChar w:fldCharType="separate"/>
      </w:r>
      <w:r w:rsidR="00C40664">
        <w:t xml:space="preserve">Table </w:t>
      </w:r>
      <w:r w:rsidR="00C40664">
        <w:rPr>
          <w:noProof/>
        </w:rPr>
        <w:t>3</w:t>
      </w:r>
      <w:r>
        <w:fldChar w:fldCharType="end"/>
      </w:r>
      <w:r>
        <w:t xml:space="preserve"> shows the</w:t>
      </w:r>
      <w:r w:rsidR="00892E38">
        <w:t xml:space="preserve"> impact on the</w:t>
      </w:r>
      <w:r>
        <w:t xml:space="preserve"> GST distribution of </w:t>
      </w:r>
      <w:r w:rsidR="004A1AF3">
        <w:t>the</w:t>
      </w:r>
      <w:r w:rsidR="00FB0118">
        <w:t xml:space="preserve"> </w:t>
      </w:r>
      <w:r>
        <w:t>cross-border disabilities.</w:t>
      </w:r>
    </w:p>
    <w:p w14:paraId="5C633833" w14:textId="71E30ECD" w:rsidR="00AA6866" w:rsidRDefault="00AA6866" w:rsidP="004A1AF3">
      <w:pPr>
        <w:pStyle w:val="CGCTableHeading"/>
        <w:ind w:left="0" w:firstLine="0"/>
      </w:pPr>
      <w:bookmarkStart w:id="46" w:name="_Ref496100394"/>
      <w:r>
        <w:t xml:space="preserve">Table </w:t>
      </w:r>
      <w:fldSimple w:instr=" SEQ Table \* ARABIC ">
        <w:r w:rsidR="00C40664">
          <w:rPr>
            <w:noProof/>
          </w:rPr>
          <w:t>3</w:t>
        </w:r>
      </w:fldSimple>
      <w:bookmarkEnd w:id="46"/>
      <w:r>
        <w:tab/>
        <w:t xml:space="preserve">GST </w:t>
      </w:r>
      <w:r w:rsidR="00ED4348">
        <w:t>re</w:t>
      </w:r>
      <w:r>
        <w:t xml:space="preserve">distribution, cross-border </w:t>
      </w:r>
    </w:p>
    <w:tbl>
      <w:tblPr>
        <w:tblW w:w="4956" w:type="pct"/>
        <w:tblInd w:w="70" w:type="dxa"/>
        <w:tblLook w:val="04A0" w:firstRow="1" w:lastRow="0" w:firstColumn="1" w:lastColumn="0" w:noHBand="0" w:noVBand="1"/>
      </w:tblPr>
      <w:tblGrid>
        <w:gridCol w:w="2214"/>
        <w:gridCol w:w="764"/>
        <w:gridCol w:w="764"/>
        <w:gridCol w:w="764"/>
        <w:gridCol w:w="764"/>
        <w:gridCol w:w="764"/>
        <w:gridCol w:w="763"/>
        <w:gridCol w:w="763"/>
        <w:gridCol w:w="763"/>
        <w:gridCol w:w="763"/>
      </w:tblGrid>
      <w:tr w:rsidR="00AA6866" w:rsidRPr="00B17EA4" w14:paraId="0CB8C781" w14:textId="77777777" w:rsidTr="002A4135">
        <w:trPr>
          <w:trHeight w:val="375"/>
        </w:trPr>
        <w:tc>
          <w:tcPr>
            <w:tcW w:w="1218" w:type="pct"/>
            <w:tcBorders>
              <w:top w:val="single" w:sz="4" w:space="0" w:color="auto"/>
              <w:left w:val="nil"/>
              <w:bottom w:val="single" w:sz="4" w:space="0" w:color="auto"/>
              <w:right w:val="nil"/>
            </w:tcBorders>
            <w:shd w:val="clear" w:color="auto" w:fill="auto"/>
            <w:vAlign w:val="center"/>
            <w:hideMark/>
          </w:tcPr>
          <w:p w14:paraId="0B25FF62" w14:textId="77777777" w:rsidR="00AA6866" w:rsidRPr="00B17EA4" w:rsidRDefault="00AA6866" w:rsidP="00ED4348">
            <w:pPr>
              <w:tabs>
                <w:tab w:val="clear" w:pos="567"/>
              </w:tabs>
              <w:spacing w:after="0" w:line="240" w:lineRule="auto"/>
              <w:rPr>
                <w:rFonts w:ascii="Calibri" w:eastAsia="Times New Roman" w:hAnsi="Calibri" w:cs="Times New Roman"/>
                <w:sz w:val="20"/>
                <w:szCs w:val="20"/>
                <w:lang w:eastAsia="en-AU"/>
              </w:rPr>
            </w:pPr>
            <w:r w:rsidRPr="00B17EA4">
              <w:rPr>
                <w:rFonts w:ascii="Calibri" w:eastAsia="Times New Roman" w:hAnsi="Calibri" w:cs="Times New Roman"/>
                <w:sz w:val="20"/>
                <w:szCs w:val="20"/>
                <w:lang w:eastAsia="en-AU"/>
              </w:rPr>
              <w:t> </w:t>
            </w:r>
          </w:p>
        </w:tc>
        <w:tc>
          <w:tcPr>
            <w:tcW w:w="420" w:type="pct"/>
            <w:tcBorders>
              <w:top w:val="single" w:sz="4" w:space="0" w:color="auto"/>
              <w:left w:val="nil"/>
              <w:bottom w:val="single" w:sz="4" w:space="0" w:color="auto"/>
              <w:right w:val="nil"/>
            </w:tcBorders>
            <w:shd w:val="clear" w:color="auto" w:fill="auto"/>
            <w:vAlign w:val="center"/>
            <w:hideMark/>
          </w:tcPr>
          <w:p w14:paraId="4BC2F9F0" w14:textId="77777777" w:rsidR="00AA6866" w:rsidRPr="00B17EA4" w:rsidRDefault="00AA6866" w:rsidP="00ED4348">
            <w:pPr>
              <w:tabs>
                <w:tab w:val="clear" w:pos="567"/>
              </w:tabs>
              <w:spacing w:after="0" w:line="240" w:lineRule="auto"/>
              <w:jc w:val="right"/>
              <w:rPr>
                <w:rFonts w:ascii="Calibri" w:eastAsia="Times New Roman" w:hAnsi="Calibri" w:cs="Times New Roman"/>
                <w:sz w:val="20"/>
                <w:szCs w:val="20"/>
                <w:lang w:eastAsia="en-AU"/>
              </w:rPr>
            </w:pPr>
            <w:r w:rsidRPr="00B17EA4">
              <w:rPr>
                <w:rFonts w:ascii="Calibri" w:eastAsia="Times New Roman" w:hAnsi="Calibri" w:cs="Times New Roman"/>
                <w:sz w:val="20"/>
                <w:szCs w:val="20"/>
                <w:lang w:eastAsia="en-AU"/>
              </w:rPr>
              <w:t>NSW</w:t>
            </w:r>
          </w:p>
        </w:tc>
        <w:tc>
          <w:tcPr>
            <w:tcW w:w="420" w:type="pct"/>
            <w:tcBorders>
              <w:top w:val="single" w:sz="4" w:space="0" w:color="auto"/>
              <w:left w:val="nil"/>
              <w:bottom w:val="single" w:sz="4" w:space="0" w:color="auto"/>
              <w:right w:val="nil"/>
            </w:tcBorders>
            <w:shd w:val="clear" w:color="auto" w:fill="auto"/>
            <w:vAlign w:val="center"/>
            <w:hideMark/>
          </w:tcPr>
          <w:p w14:paraId="11FB53E4" w14:textId="77777777" w:rsidR="00AA6866" w:rsidRPr="00B17EA4" w:rsidRDefault="00AA6866" w:rsidP="00ED4348">
            <w:pPr>
              <w:tabs>
                <w:tab w:val="clear" w:pos="567"/>
              </w:tabs>
              <w:spacing w:after="0" w:line="240" w:lineRule="auto"/>
              <w:jc w:val="right"/>
              <w:rPr>
                <w:rFonts w:ascii="Calibri" w:eastAsia="Times New Roman" w:hAnsi="Calibri" w:cs="Times New Roman"/>
                <w:sz w:val="20"/>
                <w:szCs w:val="20"/>
                <w:lang w:eastAsia="en-AU"/>
              </w:rPr>
            </w:pPr>
            <w:r w:rsidRPr="00B17EA4">
              <w:rPr>
                <w:rFonts w:ascii="Calibri" w:eastAsia="Times New Roman" w:hAnsi="Calibri" w:cs="Times New Roman"/>
                <w:sz w:val="20"/>
                <w:szCs w:val="20"/>
                <w:lang w:eastAsia="en-AU"/>
              </w:rPr>
              <w:t>Vic</w:t>
            </w:r>
          </w:p>
        </w:tc>
        <w:tc>
          <w:tcPr>
            <w:tcW w:w="420" w:type="pct"/>
            <w:tcBorders>
              <w:top w:val="single" w:sz="4" w:space="0" w:color="auto"/>
              <w:left w:val="nil"/>
              <w:bottom w:val="single" w:sz="4" w:space="0" w:color="auto"/>
              <w:right w:val="nil"/>
            </w:tcBorders>
            <w:shd w:val="clear" w:color="auto" w:fill="auto"/>
            <w:vAlign w:val="center"/>
            <w:hideMark/>
          </w:tcPr>
          <w:p w14:paraId="71CE1449" w14:textId="77777777" w:rsidR="00AA6866" w:rsidRPr="00B17EA4" w:rsidRDefault="00AA6866" w:rsidP="00ED4348">
            <w:pPr>
              <w:tabs>
                <w:tab w:val="clear" w:pos="567"/>
              </w:tabs>
              <w:spacing w:after="0" w:line="240" w:lineRule="auto"/>
              <w:jc w:val="right"/>
              <w:rPr>
                <w:rFonts w:ascii="Calibri" w:eastAsia="Times New Roman" w:hAnsi="Calibri" w:cs="Times New Roman"/>
                <w:sz w:val="20"/>
                <w:szCs w:val="20"/>
                <w:lang w:eastAsia="en-AU"/>
              </w:rPr>
            </w:pPr>
            <w:r w:rsidRPr="00B17EA4">
              <w:rPr>
                <w:rFonts w:ascii="Calibri" w:eastAsia="Times New Roman" w:hAnsi="Calibri" w:cs="Times New Roman"/>
                <w:sz w:val="20"/>
                <w:szCs w:val="20"/>
                <w:lang w:eastAsia="en-AU"/>
              </w:rPr>
              <w:t>Qld</w:t>
            </w:r>
          </w:p>
        </w:tc>
        <w:tc>
          <w:tcPr>
            <w:tcW w:w="420" w:type="pct"/>
            <w:tcBorders>
              <w:top w:val="single" w:sz="4" w:space="0" w:color="auto"/>
              <w:left w:val="nil"/>
              <w:bottom w:val="single" w:sz="4" w:space="0" w:color="auto"/>
              <w:right w:val="nil"/>
            </w:tcBorders>
            <w:shd w:val="clear" w:color="auto" w:fill="auto"/>
            <w:vAlign w:val="center"/>
            <w:hideMark/>
          </w:tcPr>
          <w:p w14:paraId="09ED3925" w14:textId="77777777" w:rsidR="00AA6866" w:rsidRPr="00B17EA4" w:rsidRDefault="00AA6866" w:rsidP="00ED4348">
            <w:pPr>
              <w:tabs>
                <w:tab w:val="clear" w:pos="567"/>
              </w:tabs>
              <w:spacing w:after="0" w:line="240" w:lineRule="auto"/>
              <w:jc w:val="right"/>
              <w:rPr>
                <w:rFonts w:ascii="Calibri" w:eastAsia="Times New Roman" w:hAnsi="Calibri" w:cs="Times New Roman"/>
                <w:sz w:val="20"/>
                <w:szCs w:val="20"/>
                <w:lang w:eastAsia="en-AU"/>
              </w:rPr>
            </w:pPr>
            <w:r w:rsidRPr="00B17EA4">
              <w:rPr>
                <w:rFonts w:ascii="Calibri" w:eastAsia="Times New Roman" w:hAnsi="Calibri" w:cs="Times New Roman"/>
                <w:sz w:val="20"/>
                <w:szCs w:val="20"/>
                <w:lang w:eastAsia="en-AU"/>
              </w:rPr>
              <w:t>WA</w:t>
            </w:r>
          </w:p>
        </w:tc>
        <w:tc>
          <w:tcPr>
            <w:tcW w:w="420" w:type="pct"/>
            <w:tcBorders>
              <w:top w:val="single" w:sz="4" w:space="0" w:color="auto"/>
              <w:left w:val="nil"/>
              <w:bottom w:val="single" w:sz="4" w:space="0" w:color="auto"/>
              <w:right w:val="nil"/>
            </w:tcBorders>
            <w:shd w:val="clear" w:color="auto" w:fill="auto"/>
            <w:vAlign w:val="center"/>
            <w:hideMark/>
          </w:tcPr>
          <w:p w14:paraId="6CB6073F" w14:textId="77777777" w:rsidR="00AA6866" w:rsidRPr="00B17EA4" w:rsidRDefault="00AA6866" w:rsidP="00ED4348">
            <w:pPr>
              <w:tabs>
                <w:tab w:val="clear" w:pos="567"/>
              </w:tabs>
              <w:spacing w:after="0" w:line="240" w:lineRule="auto"/>
              <w:jc w:val="right"/>
              <w:rPr>
                <w:rFonts w:ascii="Calibri" w:eastAsia="Times New Roman" w:hAnsi="Calibri" w:cs="Times New Roman"/>
                <w:sz w:val="20"/>
                <w:szCs w:val="20"/>
                <w:lang w:eastAsia="en-AU"/>
              </w:rPr>
            </w:pPr>
            <w:r w:rsidRPr="00B17EA4">
              <w:rPr>
                <w:rFonts w:ascii="Calibri" w:eastAsia="Times New Roman" w:hAnsi="Calibri" w:cs="Times New Roman"/>
                <w:sz w:val="20"/>
                <w:szCs w:val="20"/>
                <w:lang w:eastAsia="en-AU"/>
              </w:rPr>
              <w:t>SA</w:t>
            </w:r>
          </w:p>
        </w:tc>
        <w:tc>
          <w:tcPr>
            <w:tcW w:w="420" w:type="pct"/>
            <w:tcBorders>
              <w:top w:val="single" w:sz="4" w:space="0" w:color="auto"/>
              <w:left w:val="nil"/>
              <w:bottom w:val="single" w:sz="4" w:space="0" w:color="auto"/>
              <w:right w:val="nil"/>
            </w:tcBorders>
            <w:shd w:val="clear" w:color="auto" w:fill="auto"/>
            <w:vAlign w:val="center"/>
            <w:hideMark/>
          </w:tcPr>
          <w:p w14:paraId="1E40EEAE" w14:textId="77777777" w:rsidR="00AA6866" w:rsidRPr="00B17EA4" w:rsidRDefault="00AA6866" w:rsidP="00ED4348">
            <w:pPr>
              <w:tabs>
                <w:tab w:val="clear" w:pos="567"/>
              </w:tabs>
              <w:spacing w:after="0" w:line="240" w:lineRule="auto"/>
              <w:jc w:val="right"/>
              <w:rPr>
                <w:rFonts w:ascii="Calibri" w:eastAsia="Times New Roman" w:hAnsi="Calibri" w:cs="Times New Roman"/>
                <w:sz w:val="20"/>
                <w:szCs w:val="20"/>
                <w:lang w:eastAsia="en-AU"/>
              </w:rPr>
            </w:pPr>
            <w:proofErr w:type="spellStart"/>
            <w:r w:rsidRPr="00B17EA4">
              <w:rPr>
                <w:rFonts w:ascii="Calibri" w:eastAsia="Times New Roman" w:hAnsi="Calibri" w:cs="Times New Roman"/>
                <w:sz w:val="20"/>
                <w:szCs w:val="20"/>
                <w:lang w:eastAsia="en-AU"/>
              </w:rPr>
              <w:t>Tas</w:t>
            </w:r>
            <w:proofErr w:type="spellEnd"/>
          </w:p>
        </w:tc>
        <w:tc>
          <w:tcPr>
            <w:tcW w:w="420" w:type="pct"/>
            <w:tcBorders>
              <w:top w:val="single" w:sz="4" w:space="0" w:color="auto"/>
              <w:left w:val="nil"/>
              <w:bottom w:val="single" w:sz="4" w:space="0" w:color="auto"/>
              <w:right w:val="nil"/>
            </w:tcBorders>
            <w:shd w:val="clear" w:color="auto" w:fill="auto"/>
            <w:vAlign w:val="center"/>
            <w:hideMark/>
          </w:tcPr>
          <w:p w14:paraId="3C11472D" w14:textId="77777777" w:rsidR="00AA6866" w:rsidRPr="00B17EA4" w:rsidRDefault="00AA6866" w:rsidP="00ED4348">
            <w:pPr>
              <w:tabs>
                <w:tab w:val="clear" w:pos="567"/>
              </w:tabs>
              <w:spacing w:after="0" w:line="240" w:lineRule="auto"/>
              <w:jc w:val="right"/>
              <w:rPr>
                <w:rFonts w:ascii="Calibri" w:eastAsia="Times New Roman" w:hAnsi="Calibri" w:cs="Times New Roman"/>
                <w:sz w:val="20"/>
                <w:szCs w:val="20"/>
                <w:lang w:eastAsia="en-AU"/>
              </w:rPr>
            </w:pPr>
            <w:r w:rsidRPr="00B17EA4">
              <w:rPr>
                <w:rFonts w:ascii="Calibri" w:eastAsia="Times New Roman" w:hAnsi="Calibri" w:cs="Times New Roman"/>
                <w:sz w:val="20"/>
                <w:szCs w:val="20"/>
                <w:lang w:eastAsia="en-AU"/>
              </w:rPr>
              <w:t>ACT</w:t>
            </w:r>
          </w:p>
        </w:tc>
        <w:tc>
          <w:tcPr>
            <w:tcW w:w="420" w:type="pct"/>
            <w:tcBorders>
              <w:top w:val="single" w:sz="4" w:space="0" w:color="auto"/>
              <w:left w:val="nil"/>
              <w:bottom w:val="single" w:sz="4" w:space="0" w:color="auto"/>
              <w:right w:val="nil"/>
            </w:tcBorders>
            <w:shd w:val="clear" w:color="auto" w:fill="auto"/>
            <w:vAlign w:val="center"/>
            <w:hideMark/>
          </w:tcPr>
          <w:p w14:paraId="7DE46B80" w14:textId="77777777" w:rsidR="00AA6866" w:rsidRPr="00B17EA4" w:rsidRDefault="00AA6866" w:rsidP="00ED4348">
            <w:pPr>
              <w:tabs>
                <w:tab w:val="clear" w:pos="567"/>
              </w:tabs>
              <w:spacing w:after="0" w:line="240" w:lineRule="auto"/>
              <w:jc w:val="right"/>
              <w:rPr>
                <w:rFonts w:ascii="Calibri" w:eastAsia="Times New Roman" w:hAnsi="Calibri" w:cs="Times New Roman"/>
                <w:sz w:val="20"/>
                <w:szCs w:val="20"/>
                <w:lang w:eastAsia="en-AU"/>
              </w:rPr>
            </w:pPr>
            <w:r w:rsidRPr="00B17EA4">
              <w:rPr>
                <w:rFonts w:ascii="Calibri" w:eastAsia="Times New Roman" w:hAnsi="Calibri" w:cs="Times New Roman"/>
                <w:sz w:val="20"/>
                <w:szCs w:val="20"/>
                <w:lang w:eastAsia="en-AU"/>
              </w:rPr>
              <w:t>NT</w:t>
            </w:r>
          </w:p>
        </w:tc>
        <w:tc>
          <w:tcPr>
            <w:tcW w:w="420" w:type="pct"/>
            <w:tcBorders>
              <w:top w:val="single" w:sz="4" w:space="0" w:color="auto"/>
              <w:left w:val="nil"/>
              <w:bottom w:val="single" w:sz="4" w:space="0" w:color="auto"/>
              <w:right w:val="nil"/>
            </w:tcBorders>
            <w:shd w:val="clear" w:color="auto" w:fill="auto"/>
            <w:vAlign w:val="center"/>
            <w:hideMark/>
          </w:tcPr>
          <w:p w14:paraId="3EFD0BC1" w14:textId="77777777" w:rsidR="00AA6866" w:rsidRPr="00B17EA4" w:rsidRDefault="00AA6866" w:rsidP="00ED4348">
            <w:pPr>
              <w:tabs>
                <w:tab w:val="clear" w:pos="567"/>
              </w:tabs>
              <w:spacing w:after="0" w:line="240" w:lineRule="auto"/>
              <w:jc w:val="right"/>
              <w:rPr>
                <w:rFonts w:ascii="Calibri" w:eastAsia="Times New Roman" w:hAnsi="Calibri" w:cs="Times New Roman"/>
                <w:sz w:val="20"/>
                <w:szCs w:val="20"/>
                <w:lang w:eastAsia="en-AU"/>
              </w:rPr>
            </w:pPr>
            <w:proofErr w:type="spellStart"/>
            <w:r w:rsidRPr="00B17EA4">
              <w:rPr>
                <w:rFonts w:ascii="Calibri" w:eastAsia="Times New Roman" w:hAnsi="Calibri" w:cs="Times New Roman"/>
                <w:sz w:val="20"/>
                <w:szCs w:val="20"/>
                <w:lang w:eastAsia="en-AU"/>
              </w:rPr>
              <w:t>Redist</w:t>
            </w:r>
            <w:proofErr w:type="spellEnd"/>
          </w:p>
        </w:tc>
      </w:tr>
      <w:tr w:rsidR="00AA6866" w:rsidRPr="00B17EA4" w14:paraId="6DD9DD4B" w14:textId="77777777" w:rsidTr="002A4135">
        <w:trPr>
          <w:trHeight w:val="255"/>
        </w:trPr>
        <w:tc>
          <w:tcPr>
            <w:tcW w:w="1218" w:type="pct"/>
            <w:tcBorders>
              <w:top w:val="nil"/>
              <w:left w:val="nil"/>
              <w:bottom w:val="nil"/>
              <w:right w:val="nil"/>
            </w:tcBorders>
            <w:shd w:val="clear" w:color="auto" w:fill="auto"/>
            <w:vAlign w:val="center"/>
            <w:hideMark/>
          </w:tcPr>
          <w:p w14:paraId="27CA51EB" w14:textId="77777777" w:rsidR="00AA6866" w:rsidRPr="00B17EA4" w:rsidRDefault="00AA6866" w:rsidP="00ED4348">
            <w:pPr>
              <w:tabs>
                <w:tab w:val="clear" w:pos="567"/>
              </w:tabs>
              <w:spacing w:after="0" w:line="240" w:lineRule="auto"/>
              <w:jc w:val="right"/>
              <w:rPr>
                <w:rFonts w:ascii="Calibri" w:eastAsia="Times New Roman" w:hAnsi="Calibri" w:cs="Times New Roman"/>
                <w:sz w:val="20"/>
                <w:szCs w:val="20"/>
                <w:lang w:eastAsia="en-AU"/>
              </w:rPr>
            </w:pPr>
            <w:r w:rsidRPr="00B17EA4">
              <w:rPr>
                <w:rFonts w:ascii="Calibri" w:eastAsia="Times New Roman" w:hAnsi="Calibri" w:cs="Times New Roman"/>
                <w:sz w:val="20"/>
                <w:szCs w:val="20"/>
                <w:lang w:eastAsia="en-AU"/>
              </w:rPr>
              <w:t> </w:t>
            </w:r>
          </w:p>
        </w:tc>
        <w:tc>
          <w:tcPr>
            <w:tcW w:w="420" w:type="pct"/>
            <w:tcBorders>
              <w:top w:val="nil"/>
              <w:left w:val="nil"/>
              <w:bottom w:val="nil"/>
              <w:right w:val="nil"/>
            </w:tcBorders>
            <w:shd w:val="clear" w:color="auto" w:fill="auto"/>
            <w:vAlign w:val="center"/>
            <w:hideMark/>
          </w:tcPr>
          <w:p w14:paraId="17B564BD" w14:textId="77777777" w:rsidR="00AA6866" w:rsidRPr="00B17EA4" w:rsidRDefault="00AA6866" w:rsidP="00ED4348">
            <w:pPr>
              <w:tabs>
                <w:tab w:val="clear" w:pos="567"/>
              </w:tabs>
              <w:spacing w:after="0" w:line="240" w:lineRule="auto"/>
              <w:jc w:val="right"/>
              <w:rPr>
                <w:rFonts w:ascii="Calibri" w:eastAsia="Times New Roman" w:hAnsi="Calibri" w:cs="Times New Roman"/>
                <w:color w:val="000000"/>
                <w:sz w:val="20"/>
                <w:szCs w:val="20"/>
                <w:lang w:eastAsia="en-AU"/>
              </w:rPr>
            </w:pPr>
            <w:r w:rsidRPr="00B17EA4">
              <w:rPr>
                <w:rFonts w:ascii="Calibri" w:eastAsia="Times New Roman" w:hAnsi="Calibri" w:cs="Times New Roman"/>
                <w:color w:val="000000"/>
                <w:sz w:val="20"/>
                <w:szCs w:val="20"/>
                <w:lang w:eastAsia="en-AU"/>
              </w:rPr>
              <w:t>$m</w:t>
            </w:r>
          </w:p>
        </w:tc>
        <w:tc>
          <w:tcPr>
            <w:tcW w:w="420" w:type="pct"/>
            <w:tcBorders>
              <w:top w:val="nil"/>
              <w:left w:val="nil"/>
              <w:bottom w:val="nil"/>
              <w:right w:val="nil"/>
            </w:tcBorders>
            <w:shd w:val="clear" w:color="auto" w:fill="auto"/>
            <w:vAlign w:val="center"/>
            <w:hideMark/>
          </w:tcPr>
          <w:p w14:paraId="24E65B43" w14:textId="77777777" w:rsidR="00AA6866" w:rsidRPr="00B17EA4" w:rsidRDefault="00AA6866" w:rsidP="00ED4348">
            <w:pPr>
              <w:tabs>
                <w:tab w:val="clear" w:pos="567"/>
              </w:tabs>
              <w:spacing w:after="0" w:line="240" w:lineRule="auto"/>
              <w:jc w:val="right"/>
              <w:rPr>
                <w:rFonts w:ascii="Calibri" w:eastAsia="Times New Roman" w:hAnsi="Calibri" w:cs="Times New Roman"/>
                <w:color w:val="000000"/>
                <w:sz w:val="20"/>
                <w:szCs w:val="20"/>
                <w:lang w:eastAsia="en-AU"/>
              </w:rPr>
            </w:pPr>
            <w:r w:rsidRPr="00B17EA4">
              <w:rPr>
                <w:rFonts w:ascii="Calibri" w:eastAsia="Times New Roman" w:hAnsi="Calibri" w:cs="Times New Roman"/>
                <w:color w:val="000000"/>
                <w:sz w:val="20"/>
                <w:szCs w:val="20"/>
                <w:lang w:eastAsia="en-AU"/>
              </w:rPr>
              <w:t>$m</w:t>
            </w:r>
          </w:p>
        </w:tc>
        <w:tc>
          <w:tcPr>
            <w:tcW w:w="420" w:type="pct"/>
            <w:tcBorders>
              <w:top w:val="nil"/>
              <w:left w:val="nil"/>
              <w:bottom w:val="nil"/>
              <w:right w:val="nil"/>
            </w:tcBorders>
            <w:shd w:val="clear" w:color="auto" w:fill="auto"/>
            <w:vAlign w:val="center"/>
            <w:hideMark/>
          </w:tcPr>
          <w:p w14:paraId="3447E073" w14:textId="77777777" w:rsidR="00AA6866" w:rsidRPr="00B17EA4" w:rsidRDefault="00AA6866" w:rsidP="00ED4348">
            <w:pPr>
              <w:tabs>
                <w:tab w:val="clear" w:pos="567"/>
              </w:tabs>
              <w:spacing w:after="0" w:line="240" w:lineRule="auto"/>
              <w:jc w:val="right"/>
              <w:rPr>
                <w:rFonts w:ascii="Calibri" w:eastAsia="Times New Roman" w:hAnsi="Calibri" w:cs="Times New Roman"/>
                <w:color w:val="000000"/>
                <w:sz w:val="20"/>
                <w:szCs w:val="20"/>
                <w:lang w:eastAsia="en-AU"/>
              </w:rPr>
            </w:pPr>
            <w:r w:rsidRPr="00B17EA4">
              <w:rPr>
                <w:rFonts w:ascii="Calibri" w:eastAsia="Times New Roman" w:hAnsi="Calibri" w:cs="Times New Roman"/>
                <w:color w:val="000000"/>
                <w:sz w:val="20"/>
                <w:szCs w:val="20"/>
                <w:lang w:eastAsia="en-AU"/>
              </w:rPr>
              <w:t>$m</w:t>
            </w:r>
          </w:p>
        </w:tc>
        <w:tc>
          <w:tcPr>
            <w:tcW w:w="420" w:type="pct"/>
            <w:tcBorders>
              <w:top w:val="nil"/>
              <w:left w:val="nil"/>
              <w:bottom w:val="nil"/>
              <w:right w:val="nil"/>
            </w:tcBorders>
            <w:shd w:val="clear" w:color="auto" w:fill="auto"/>
            <w:vAlign w:val="center"/>
            <w:hideMark/>
          </w:tcPr>
          <w:p w14:paraId="447A5DB7" w14:textId="77777777" w:rsidR="00AA6866" w:rsidRPr="00B17EA4" w:rsidRDefault="00AA6866" w:rsidP="00ED4348">
            <w:pPr>
              <w:tabs>
                <w:tab w:val="clear" w:pos="567"/>
              </w:tabs>
              <w:spacing w:after="0" w:line="240" w:lineRule="auto"/>
              <w:jc w:val="right"/>
              <w:rPr>
                <w:rFonts w:ascii="Calibri" w:eastAsia="Times New Roman" w:hAnsi="Calibri" w:cs="Times New Roman"/>
                <w:color w:val="000000"/>
                <w:sz w:val="20"/>
                <w:szCs w:val="20"/>
                <w:lang w:eastAsia="en-AU"/>
              </w:rPr>
            </w:pPr>
            <w:r w:rsidRPr="00B17EA4">
              <w:rPr>
                <w:rFonts w:ascii="Calibri" w:eastAsia="Times New Roman" w:hAnsi="Calibri" w:cs="Times New Roman"/>
                <w:color w:val="000000"/>
                <w:sz w:val="20"/>
                <w:szCs w:val="20"/>
                <w:lang w:eastAsia="en-AU"/>
              </w:rPr>
              <w:t>$m</w:t>
            </w:r>
          </w:p>
        </w:tc>
        <w:tc>
          <w:tcPr>
            <w:tcW w:w="420" w:type="pct"/>
            <w:tcBorders>
              <w:top w:val="nil"/>
              <w:left w:val="nil"/>
              <w:bottom w:val="nil"/>
              <w:right w:val="nil"/>
            </w:tcBorders>
            <w:shd w:val="clear" w:color="auto" w:fill="auto"/>
            <w:vAlign w:val="center"/>
            <w:hideMark/>
          </w:tcPr>
          <w:p w14:paraId="256A0954" w14:textId="77777777" w:rsidR="00AA6866" w:rsidRPr="00B17EA4" w:rsidRDefault="00AA6866" w:rsidP="00ED4348">
            <w:pPr>
              <w:tabs>
                <w:tab w:val="clear" w:pos="567"/>
              </w:tabs>
              <w:spacing w:after="0" w:line="240" w:lineRule="auto"/>
              <w:jc w:val="right"/>
              <w:rPr>
                <w:rFonts w:ascii="Calibri" w:eastAsia="Times New Roman" w:hAnsi="Calibri" w:cs="Times New Roman"/>
                <w:color w:val="000000"/>
                <w:sz w:val="20"/>
                <w:szCs w:val="20"/>
                <w:lang w:eastAsia="en-AU"/>
              </w:rPr>
            </w:pPr>
            <w:r w:rsidRPr="00B17EA4">
              <w:rPr>
                <w:rFonts w:ascii="Calibri" w:eastAsia="Times New Roman" w:hAnsi="Calibri" w:cs="Times New Roman"/>
                <w:color w:val="000000"/>
                <w:sz w:val="20"/>
                <w:szCs w:val="20"/>
                <w:lang w:eastAsia="en-AU"/>
              </w:rPr>
              <w:t>$m</w:t>
            </w:r>
          </w:p>
        </w:tc>
        <w:tc>
          <w:tcPr>
            <w:tcW w:w="420" w:type="pct"/>
            <w:tcBorders>
              <w:top w:val="nil"/>
              <w:left w:val="nil"/>
              <w:bottom w:val="nil"/>
              <w:right w:val="nil"/>
            </w:tcBorders>
            <w:shd w:val="clear" w:color="auto" w:fill="auto"/>
            <w:vAlign w:val="center"/>
            <w:hideMark/>
          </w:tcPr>
          <w:p w14:paraId="6FF498CE" w14:textId="77777777" w:rsidR="00AA6866" w:rsidRPr="00B17EA4" w:rsidRDefault="00AA6866" w:rsidP="00ED4348">
            <w:pPr>
              <w:tabs>
                <w:tab w:val="clear" w:pos="567"/>
              </w:tabs>
              <w:spacing w:after="0" w:line="240" w:lineRule="auto"/>
              <w:jc w:val="right"/>
              <w:rPr>
                <w:rFonts w:ascii="Calibri" w:eastAsia="Times New Roman" w:hAnsi="Calibri" w:cs="Times New Roman"/>
                <w:color w:val="000000"/>
                <w:sz w:val="20"/>
                <w:szCs w:val="20"/>
                <w:lang w:eastAsia="en-AU"/>
              </w:rPr>
            </w:pPr>
            <w:r w:rsidRPr="00B17EA4">
              <w:rPr>
                <w:rFonts w:ascii="Calibri" w:eastAsia="Times New Roman" w:hAnsi="Calibri" w:cs="Times New Roman"/>
                <w:color w:val="000000"/>
                <w:sz w:val="20"/>
                <w:szCs w:val="20"/>
                <w:lang w:eastAsia="en-AU"/>
              </w:rPr>
              <w:t>$m</w:t>
            </w:r>
          </w:p>
        </w:tc>
        <w:tc>
          <w:tcPr>
            <w:tcW w:w="420" w:type="pct"/>
            <w:tcBorders>
              <w:top w:val="nil"/>
              <w:left w:val="nil"/>
              <w:bottom w:val="nil"/>
              <w:right w:val="nil"/>
            </w:tcBorders>
            <w:shd w:val="clear" w:color="auto" w:fill="auto"/>
            <w:vAlign w:val="center"/>
            <w:hideMark/>
          </w:tcPr>
          <w:p w14:paraId="15970702" w14:textId="77777777" w:rsidR="00AA6866" w:rsidRPr="00B17EA4" w:rsidRDefault="00AA6866" w:rsidP="00ED4348">
            <w:pPr>
              <w:tabs>
                <w:tab w:val="clear" w:pos="567"/>
              </w:tabs>
              <w:spacing w:after="0" w:line="240" w:lineRule="auto"/>
              <w:jc w:val="right"/>
              <w:rPr>
                <w:rFonts w:ascii="Calibri" w:eastAsia="Times New Roman" w:hAnsi="Calibri" w:cs="Times New Roman"/>
                <w:color w:val="000000"/>
                <w:sz w:val="20"/>
                <w:szCs w:val="20"/>
                <w:lang w:eastAsia="en-AU"/>
              </w:rPr>
            </w:pPr>
            <w:r w:rsidRPr="00B17EA4">
              <w:rPr>
                <w:rFonts w:ascii="Calibri" w:eastAsia="Times New Roman" w:hAnsi="Calibri" w:cs="Times New Roman"/>
                <w:color w:val="000000"/>
                <w:sz w:val="20"/>
                <w:szCs w:val="20"/>
                <w:lang w:eastAsia="en-AU"/>
              </w:rPr>
              <w:t>$m</w:t>
            </w:r>
          </w:p>
        </w:tc>
        <w:tc>
          <w:tcPr>
            <w:tcW w:w="420" w:type="pct"/>
            <w:tcBorders>
              <w:top w:val="nil"/>
              <w:left w:val="nil"/>
              <w:bottom w:val="nil"/>
              <w:right w:val="nil"/>
            </w:tcBorders>
            <w:shd w:val="clear" w:color="auto" w:fill="auto"/>
            <w:vAlign w:val="center"/>
            <w:hideMark/>
          </w:tcPr>
          <w:p w14:paraId="5DF4880E" w14:textId="77777777" w:rsidR="00AA6866" w:rsidRPr="00B17EA4" w:rsidRDefault="00AA6866" w:rsidP="00ED4348">
            <w:pPr>
              <w:tabs>
                <w:tab w:val="clear" w:pos="567"/>
              </w:tabs>
              <w:spacing w:after="0" w:line="240" w:lineRule="auto"/>
              <w:jc w:val="right"/>
              <w:rPr>
                <w:rFonts w:ascii="Calibri" w:eastAsia="Times New Roman" w:hAnsi="Calibri" w:cs="Times New Roman"/>
                <w:color w:val="000000"/>
                <w:sz w:val="20"/>
                <w:szCs w:val="20"/>
                <w:lang w:eastAsia="en-AU"/>
              </w:rPr>
            </w:pPr>
            <w:r w:rsidRPr="00B17EA4">
              <w:rPr>
                <w:rFonts w:ascii="Calibri" w:eastAsia="Times New Roman" w:hAnsi="Calibri" w:cs="Times New Roman"/>
                <w:color w:val="000000"/>
                <w:sz w:val="20"/>
                <w:szCs w:val="20"/>
                <w:lang w:eastAsia="en-AU"/>
              </w:rPr>
              <w:t>$m</w:t>
            </w:r>
          </w:p>
        </w:tc>
        <w:tc>
          <w:tcPr>
            <w:tcW w:w="420" w:type="pct"/>
            <w:tcBorders>
              <w:top w:val="nil"/>
              <w:left w:val="nil"/>
              <w:bottom w:val="nil"/>
              <w:right w:val="nil"/>
            </w:tcBorders>
            <w:shd w:val="clear" w:color="auto" w:fill="auto"/>
            <w:vAlign w:val="center"/>
            <w:hideMark/>
          </w:tcPr>
          <w:p w14:paraId="091460FF" w14:textId="77777777" w:rsidR="00AA6866" w:rsidRPr="00B17EA4" w:rsidRDefault="00AA6866" w:rsidP="00ED4348">
            <w:pPr>
              <w:tabs>
                <w:tab w:val="clear" w:pos="567"/>
              </w:tabs>
              <w:spacing w:after="0" w:line="240" w:lineRule="auto"/>
              <w:jc w:val="right"/>
              <w:rPr>
                <w:rFonts w:ascii="Calibri" w:eastAsia="Times New Roman" w:hAnsi="Calibri" w:cs="Times New Roman"/>
                <w:color w:val="000000"/>
                <w:sz w:val="20"/>
                <w:szCs w:val="20"/>
                <w:lang w:eastAsia="en-AU"/>
              </w:rPr>
            </w:pPr>
            <w:r w:rsidRPr="00B17EA4">
              <w:rPr>
                <w:rFonts w:ascii="Calibri" w:eastAsia="Times New Roman" w:hAnsi="Calibri" w:cs="Times New Roman"/>
                <w:color w:val="000000"/>
                <w:sz w:val="20"/>
                <w:szCs w:val="20"/>
                <w:lang w:eastAsia="en-AU"/>
              </w:rPr>
              <w:t>$m</w:t>
            </w:r>
          </w:p>
        </w:tc>
      </w:tr>
      <w:tr w:rsidR="00AA6866" w:rsidRPr="00B17EA4" w14:paraId="7AF1212E" w14:textId="77777777" w:rsidTr="002A4135">
        <w:trPr>
          <w:trHeight w:val="315"/>
        </w:trPr>
        <w:tc>
          <w:tcPr>
            <w:tcW w:w="1218" w:type="pct"/>
            <w:tcBorders>
              <w:top w:val="nil"/>
              <w:left w:val="nil"/>
              <w:bottom w:val="nil"/>
              <w:right w:val="nil"/>
            </w:tcBorders>
            <w:shd w:val="clear" w:color="auto" w:fill="auto"/>
            <w:vAlign w:val="center"/>
            <w:hideMark/>
          </w:tcPr>
          <w:p w14:paraId="5A0B6B19" w14:textId="59352BE3" w:rsidR="00AA6866" w:rsidRPr="00B17EA4" w:rsidRDefault="008C747C" w:rsidP="008C747C">
            <w:pPr>
              <w:tabs>
                <w:tab w:val="clear" w:pos="567"/>
              </w:tabs>
              <w:spacing w:after="0" w:line="240" w:lineRule="auto"/>
              <w:rPr>
                <w:rFonts w:ascii="Calibri" w:eastAsia="Times New Roman" w:hAnsi="Calibri" w:cs="Times New Roman"/>
                <w:sz w:val="20"/>
                <w:szCs w:val="20"/>
                <w:lang w:eastAsia="en-AU"/>
              </w:rPr>
            </w:pPr>
            <w:r>
              <w:rPr>
                <w:rFonts w:ascii="Calibri" w:eastAsia="Times New Roman" w:hAnsi="Calibri" w:cs="Times New Roman"/>
                <w:sz w:val="20"/>
                <w:szCs w:val="20"/>
                <w:lang w:eastAsia="en-AU"/>
              </w:rPr>
              <w:t>Community health</w:t>
            </w:r>
          </w:p>
        </w:tc>
        <w:tc>
          <w:tcPr>
            <w:tcW w:w="420" w:type="pct"/>
            <w:tcBorders>
              <w:top w:val="nil"/>
              <w:left w:val="nil"/>
              <w:bottom w:val="nil"/>
              <w:right w:val="nil"/>
            </w:tcBorders>
            <w:shd w:val="clear" w:color="auto" w:fill="auto"/>
            <w:vAlign w:val="center"/>
            <w:hideMark/>
          </w:tcPr>
          <w:p w14:paraId="03188AA8" w14:textId="77777777" w:rsidR="00AA6866" w:rsidRPr="00B17EA4" w:rsidRDefault="00AA6866" w:rsidP="00ED4348">
            <w:pPr>
              <w:tabs>
                <w:tab w:val="clear" w:pos="567"/>
              </w:tabs>
              <w:spacing w:after="0" w:line="240" w:lineRule="auto"/>
              <w:jc w:val="right"/>
              <w:rPr>
                <w:rFonts w:ascii="Calibri" w:eastAsia="Times New Roman" w:hAnsi="Calibri" w:cs="Times New Roman"/>
                <w:color w:val="000000"/>
                <w:sz w:val="20"/>
                <w:szCs w:val="20"/>
                <w:lang w:eastAsia="en-AU"/>
              </w:rPr>
            </w:pPr>
            <w:r w:rsidRPr="00B17EA4">
              <w:rPr>
                <w:rFonts w:ascii="Calibri" w:eastAsia="Times New Roman" w:hAnsi="Calibri" w:cs="Times New Roman"/>
                <w:color w:val="000000"/>
                <w:sz w:val="20"/>
                <w:szCs w:val="20"/>
                <w:lang w:eastAsia="en-AU"/>
              </w:rPr>
              <w:t>-21</w:t>
            </w:r>
          </w:p>
        </w:tc>
        <w:tc>
          <w:tcPr>
            <w:tcW w:w="420" w:type="pct"/>
            <w:tcBorders>
              <w:top w:val="nil"/>
              <w:left w:val="nil"/>
              <w:bottom w:val="nil"/>
              <w:right w:val="nil"/>
            </w:tcBorders>
            <w:shd w:val="clear" w:color="auto" w:fill="auto"/>
            <w:vAlign w:val="center"/>
            <w:hideMark/>
          </w:tcPr>
          <w:p w14:paraId="5F8C0A13" w14:textId="77777777" w:rsidR="00AA6866" w:rsidRPr="00B17EA4" w:rsidRDefault="00AA6866" w:rsidP="00ED4348">
            <w:pPr>
              <w:tabs>
                <w:tab w:val="clear" w:pos="567"/>
              </w:tabs>
              <w:spacing w:after="0" w:line="240" w:lineRule="auto"/>
              <w:jc w:val="right"/>
              <w:rPr>
                <w:rFonts w:ascii="Calibri" w:eastAsia="Times New Roman" w:hAnsi="Calibri" w:cs="Times New Roman"/>
                <w:color w:val="000000"/>
                <w:sz w:val="20"/>
                <w:szCs w:val="20"/>
                <w:lang w:eastAsia="en-AU"/>
              </w:rPr>
            </w:pPr>
            <w:r w:rsidRPr="00B17EA4">
              <w:rPr>
                <w:rFonts w:ascii="Calibri" w:eastAsia="Times New Roman" w:hAnsi="Calibri" w:cs="Times New Roman"/>
                <w:color w:val="000000"/>
                <w:sz w:val="20"/>
                <w:szCs w:val="20"/>
                <w:lang w:eastAsia="en-AU"/>
              </w:rPr>
              <w:t>0</w:t>
            </w:r>
          </w:p>
        </w:tc>
        <w:tc>
          <w:tcPr>
            <w:tcW w:w="420" w:type="pct"/>
            <w:tcBorders>
              <w:top w:val="nil"/>
              <w:left w:val="nil"/>
              <w:bottom w:val="nil"/>
              <w:right w:val="nil"/>
            </w:tcBorders>
            <w:shd w:val="clear" w:color="auto" w:fill="auto"/>
            <w:vAlign w:val="center"/>
            <w:hideMark/>
          </w:tcPr>
          <w:p w14:paraId="1A6B59D7" w14:textId="77777777" w:rsidR="00AA6866" w:rsidRPr="00B17EA4" w:rsidRDefault="00AA6866" w:rsidP="00ED4348">
            <w:pPr>
              <w:tabs>
                <w:tab w:val="clear" w:pos="567"/>
              </w:tabs>
              <w:spacing w:after="0" w:line="240" w:lineRule="auto"/>
              <w:jc w:val="right"/>
              <w:rPr>
                <w:rFonts w:ascii="Calibri" w:eastAsia="Times New Roman" w:hAnsi="Calibri" w:cs="Times New Roman"/>
                <w:color w:val="000000"/>
                <w:sz w:val="20"/>
                <w:szCs w:val="20"/>
                <w:lang w:eastAsia="en-AU"/>
              </w:rPr>
            </w:pPr>
            <w:r w:rsidRPr="00B17EA4">
              <w:rPr>
                <w:rFonts w:ascii="Calibri" w:eastAsia="Times New Roman" w:hAnsi="Calibri" w:cs="Times New Roman"/>
                <w:color w:val="000000"/>
                <w:sz w:val="20"/>
                <w:szCs w:val="20"/>
                <w:lang w:eastAsia="en-AU"/>
              </w:rPr>
              <w:t>0</w:t>
            </w:r>
          </w:p>
        </w:tc>
        <w:tc>
          <w:tcPr>
            <w:tcW w:w="420" w:type="pct"/>
            <w:tcBorders>
              <w:top w:val="nil"/>
              <w:left w:val="nil"/>
              <w:bottom w:val="nil"/>
              <w:right w:val="nil"/>
            </w:tcBorders>
            <w:shd w:val="clear" w:color="auto" w:fill="auto"/>
            <w:vAlign w:val="center"/>
            <w:hideMark/>
          </w:tcPr>
          <w:p w14:paraId="23625CE8" w14:textId="77777777" w:rsidR="00AA6866" w:rsidRPr="00B17EA4" w:rsidRDefault="00AA6866" w:rsidP="00ED4348">
            <w:pPr>
              <w:tabs>
                <w:tab w:val="clear" w:pos="567"/>
              </w:tabs>
              <w:spacing w:after="0" w:line="240" w:lineRule="auto"/>
              <w:jc w:val="right"/>
              <w:rPr>
                <w:rFonts w:ascii="Calibri" w:eastAsia="Times New Roman" w:hAnsi="Calibri" w:cs="Times New Roman"/>
                <w:color w:val="000000"/>
                <w:sz w:val="20"/>
                <w:szCs w:val="20"/>
                <w:lang w:eastAsia="en-AU"/>
              </w:rPr>
            </w:pPr>
            <w:r w:rsidRPr="00B17EA4">
              <w:rPr>
                <w:rFonts w:ascii="Calibri" w:eastAsia="Times New Roman" w:hAnsi="Calibri" w:cs="Times New Roman"/>
                <w:color w:val="000000"/>
                <w:sz w:val="20"/>
                <w:szCs w:val="20"/>
                <w:lang w:eastAsia="en-AU"/>
              </w:rPr>
              <w:t>0</w:t>
            </w:r>
          </w:p>
        </w:tc>
        <w:tc>
          <w:tcPr>
            <w:tcW w:w="420" w:type="pct"/>
            <w:tcBorders>
              <w:top w:val="nil"/>
              <w:left w:val="nil"/>
              <w:bottom w:val="nil"/>
              <w:right w:val="nil"/>
            </w:tcBorders>
            <w:shd w:val="clear" w:color="auto" w:fill="auto"/>
            <w:vAlign w:val="center"/>
            <w:hideMark/>
          </w:tcPr>
          <w:p w14:paraId="0F92F4EB" w14:textId="77777777" w:rsidR="00AA6866" w:rsidRPr="00B17EA4" w:rsidRDefault="00AA6866" w:rsidP="00ED4348">
            <w:pPr>
              <w:tabs>
                <w:tab w:val="clear" w:pos="567"/>
              </w:tabs>
              <w:spacing w:after="0" w:line="240" w:lineRule="auto"/>
              <w:jc w:val="right"/>
              <w:rPr>
                <w:rFonts w:ascii="Calibri" w:eastAsia="Times New Roman" w:hAnsi="Calibri" w:cs="Times New Roman"/>
                <w:color w:val="000000"/>
                <w:sz w:val="20"/>
                <w:szCs w:val="20"/>
                <w:lang w:eastAsia="en-AU"/>
              </w:rPr>
            </w:pPr>
            <w:r w:rsidRPr="00B17EA4">
              <w:rPr>
                <w:rFonts w:ascii="Calibri" w:eastAsia="Times New Roman" w:hAnsi="Calibri" w:cs="Times New Roman"/>
                <w:color w:val="000000"/>
                <w:sz w:val="20"/>
                <w:szCs w:val="20"/>
                <w:lang w:eastAsia="en-AU"/>
              </w:rPr>
              <w:t>0</w:t>
            </w:r>
          </w:p>
        </w:tc>
        <w:tc>
          <w:tcPr>
            <w:tcW w:w="420" w:type="pct"/>
            <w:tcBorders>
              <w:top w:val="nil"/>
              <w:left w:val="nil"/>
              <w:bottom w:val="nil"/>
              <w:right w:val="nil"/>
            </w:tcBorders>
            <w:shd w:val="clear" w:color="auto" w:fill="auto"/>
            <w:vAlign w:val="center"/>
            <w:hideMark/>
          </w:tcPr>
          <w:p w14:paraId="13CA9D89" w14:textId="77777777" w:rsidR="00AA6866" w:rsidRPr="00B17EA4" w:rsidRDefault="00AA6866" w:rsidP="00ED4348">
            <w:pPr>
              <w:tabs>
                <w:tab w:val="clear" w:pos="567"/>
              </w:tabs>
              <w:spacing w:after="0" w:line="240" w:lineRule="auto"/>
              <w:jc w:val="right"/>
              <w:rPr>
                <w:rFonts w:ascii="Calibri" w:eastAsia="Times New Roman" w:hAnsi="Calibri" w:cs="Times New Roman"/>
                <w:color w:val="000000"/>
                <w:sz w:val="20"/>
                <w:szCs w:val="20"/>
                <w:lang w:eastAsia="en-AU"/>
              </w:rPr>
            </w:pPr>
            <w:r w:rsidRPr="00B17EA4">
              <w:rPr>
                <w:rFonts w:ascii="Calibri" w:eastAsia="Times New Roman" w:hAnsi="Calibri" w:cs="Times New Roman"/>
                <w:color w:val="000000"/>
                <w:sz w:val="20"/>
                <w:szCs w:val="20"/>
                <w:lang w:eastAsia="en-AU"/>
              </w:rPr>
              <w:t>0</w:t>
            </w:r>
          </w:p>
        </w:tc>
        <w:tc>
          <w:tcPr>
            <w:tcW w:w="420" w:type="pct"/>
            <w:tcBorders>
              <w:top w:val="nil"/>
              <w:left w:val="nil"/>
              <w:bottom w:val="nil"/>
              <w:right w:val="nil"/>
            </w:tcBorders>
            <w:shd w:val="clear" w:color="auto" w:fill="auto"/>
            <w:vAlign w:val="center"/>
            <w:hideMark/>
          </w:tcPr>
          <w:p w14:paraId="5F0A5328" w14:textId="77777777" w:rsidR="00AA6866" w:rsidRPr="00B17EA4" w:rsidRDefault="00AA6866" w:rsidP="00ED4348">
            <w:pPr>
              <w:tabs>
                <w:tab w:val="clear" w:pos="567"/>
              </w:tabs>
              <w:spacing w:after="0" w:line="240" w:lineRule="auto"/>
              <w:jc w:val="right"/>
              <w:rPr>
                <w:rFonts w:ascii="Calibri" w:eastAsia="Times New Roman" w:hAnsi="Calibri" w:cs="Times New Roman"/>
                <w:color w:val="000000"/>
                <w:sz w:val="20"/>
                <w:szCs w:val="20"/>
                <w:lang w:eastAsia="en-AU"/>
              </w:rPr>
            </w:pPr>
            <w:r w:rsidRPr="00B17EA4">
              <w:rPr>
                <w:rFonts w:ascii="Calibri" w:eastAsia="Times New Roman" w:hAnsi="Calibri" w:cs="Times New Roman"/>
                <w:color w:val="000000"/>
                <w:sz w:val="20"/>
                <w:szCs w:val="20"/>
                <w:lang w:eastAsia="en-AU"/>
              </w:rPr>
              <w:t>21</w:t>
            </w:r>
          </w:p>
        </w:tc>
        <w:tc>
          <w:tcPr>
            <w:tcW w:w="420" w:type="pct"/>
            <w:tcBorders>
              <w:top w:val="nil"/>
              <w:left w:val="nil"/>
              <w:bottom w:val="nil"/>
              <w:right w:val="nil"/>
            </w:tcBorders>
            <w:shd w:val="clear" w:color="auto" w:fill="auto"/>
            <w:vAlign w:val="center"/>
            <w:hideMark/>
          </w:tcPr>
          <w:p w14:paraId="2A24FCD3" w14:textId="77777777" w:rsidR="00AA6866" w:rsidRPr="00B17EA4" w:rsidRDefault="00AA6866" w:rsidP="00ED4348">
            <w:pPr>
              <w:tabs>
                <w:tab w:val="clear" w:pos="567"/>
              </w:tabs>
              <w:spacing w:after="0" w:line="240" w:lineRule="auto"/>
              <w:jc w:val="right"/>
              <w:rPr>
                <w:rFonts w:ascii="Calibri" w:eastAsia="Times New Roman" w:hAnsi="Calibri" w:cs="Times New Roman"/>
                <w:color w:val="000000"/>
                <w:sz w:val="20"/>
                <w:szCs w:val="20"/>
                <w:lang w:eastAsia="en-AU"/>
              </w:rPr>
            </w:pPr>
            <w:r w:rsidRPr="00B17EA4">
              <w:rPr>
                <w:rFonts w:ascii="Calibri" w:eastAsia="Times New Roman" w:hAnsi="Calibri" w:cs="Times New Roman"/>
                <w:color w:val="000000"/>
                <w:sz w:val="20"/>
                <w:szCs w:val="20"/>
                <w:lang w:eastAsia="en-AU"/>
              </w:rPr>
              <w:t>0</w:t>
            </w:r>
          </w:p>
        </w:tc>
        <w:tc>
          <w:tcPr>
            <w:tcW w:w="420" w:type="pct"/>
            <w:tcBorders>
              <w:top w:val="nil"/>
              <w:left w:val="nil"/>
              <w:bottom w:val="nil"/>
              <w:right w:val="nil"/>
            </w:tcBorders>
            <w:shd w:val="clear" w:color="auto" w:fill="auto"/>
            <w:vAlign w:val="center"/>
            <w:hideMark/>
          </w:tcPr>
          <w:p w14:paraId="6803F594" w14:textId="77777777" w:rsidR="00AA6866" w:rsidRPr="00B17EA4" w:rsidRDefault="00AA6866" w:rsidP="00ED4348">
            <w:pPr>
              <w:tabs>
                <w:tab w:val="clear" w:pos="567"/>
              </w:tabs>
              <w:spacing w:after="0" w:line="240" w:lineRule="auto"/>
              <w:jc w:val="right"/>
              <w:rPr>
                <w:rFonts w:ascii="Calibri" w:eastAsia="Times New Roman" w:hAnsi="Calibri" w:cs="Times New Roman"/>
                <w:color w:val="000000"/>
                <w:sz w:val="20"/>
                <w:szCs w:val="20"/>
                <w:lang w:eastAsia="en-AU"/>
              </w:rPr>
            </w:pPr>
            <w:r w:rsidRPr="00B17EA4">
              <w:rPr>
                <w:rFonts w:ascii="Calibri" w:eastAsia="Times New Roman" w:hAnsi="Calibri" w:cs="Times New Roman"/>
                <w:color w:val="000000"/>
                <w:sz w:val="20"/>
                <w:szCs w:val="20"/>
                <w:lang w:eastAsia="en-AU"/>
              </w:rPr>
              <w:t>21</w:t>
            </w:r>
          </w:p>
        </w:tc>
      </w:tr>
      <w:tr w:rsidR="00AA6866" w:rsidRPr="00B17EA4" w14:paraId="5CC968F2" w14:textId="77777777" w:rsidTr="002A4135">
        <w:trPr>
          <w:trHeight w:val="315"/>
        </w:trPr>
        <w:tc>
          <w:tcPr>
            <w:tcW w:w="1218" w:type="pct"/>
            <w:tcBorders>
              <w:top w:val="nil"/>
              <w:left w:val="nil"/>
              <w:bottom w:val="nil"/>
              <w:right w:val="nil"/>
            </w:tcBorders>
            <w:shd w:val="clear" w:color="auto" w:fill="auto"/>
            <w:vAlign w:val="center"/>
            <w:hideMark/>
          </w:tcPr>
          <w:p w14:paraId="63C5BC0F" w14:textId="77777777" w:rsidR="00AA6866" w:rsidRPr="00B17EA4" w:rsidRDefault="00AA6866" w:rsidP="00ED4348">
            <w:pPr>
              <w:tabs>
                <w:tab w:val="clear" w:pos="567"/>
              </w:tabs>
              <w:spacing w:after="0" w:line="240" w:lineRule="auto"/>
              <w:rPr>
                <w:rFonts w:ascii="Calibri" w:eastAsia="Times New Roman" w:hAnsi="Calibri" w:cs="Times New Roman"/>
                <w:sz w:val="20"/>
                <w:szCs w:val="20"/>
                <w:lang w:eastAsia="en-AU"/>
              </w:rPr>
            </w:pPr>
            <w:r w:rsidRPr="00B17EA4">
              <w:rPr>
                <w:rFonts w:ascii="Calibri" w:eastAsia="Times New Roman" w:hAnsi="Calibri" w:cs="Times New Roman"/>
                <w:sz w:val="20"/>
                <w:szCs w:val="20"/>
                <w:lang w:eastAsia="en-AU"/>
              </w:rPr>
              <w:t>Welfare</w:t>
            </w:r>
          </w:p>
        </w:tc>
        <w:tc>
          <w:tcPr>
            <w:tcW w:w="420" w:type="pct"/>
            <w:tcBorders>
              <w:top w:val="nil"/>
              <w:left w:val="nil"/>
              <w:bottom w:val="nil"/>
              <w:right w:val="nil"/>
            </w:tcBorders>
            <w:shd w:val="clear" w:color="auto" w:fill="auto"/>
            <w:vAlign w:val="center"/>
            <w:hideMark/>
          </w:tcPr>
          <w:p w14:paraId="33CC6703" w14:textId="77777777" w:rsidR="00AA6866" w:rsidRPr="00B17EA4" w:rsidRDefault="00AA6866" w:rsidP="00ED4348">
            <w:pPr>
              <w:tabs>
                <w:tab w:val="clear" w:pos="567"/>
              </w:tabs>
              <w:spacing w:after="0" w:line="240" w:lineRule="auto"/>
              <w:jc w:val="right"/>
              <w:rPr>
                <w:rFonts w:ascii="Calibri" w:eastAsia="Times New Roman" w:hAnsi="Calibri" w:cs="Times New Roman"/>
                <w:color w:val="000000"/>
                <w:sz w:val="20"/>
                <w:szCs w:val="20"/>
                <w:lang w:eastAsia="en-AU"/>
              </w:rPr>
            </w:pPr>
            <w:r w:rsidRPr="00B17EA4">
              <w:rPr>
                <w:rFonts w:ascii="Calibri" w:eastAsia="Times New Roman" w:hAnsi="Calibri" w:cs="Times New Roman"/>
                <w:color w:val="000000"/>
                <w:sz w:val="20"/>
                <w:szCs w:val="20"/>
                <w:lang w:eastAsia="en-AU"/>
              </w:rPr>
              <w:t>-2</w:t>
            </w:r>
          </w:p>
        </w:tc>
        <w:tc>
          <w:tcPr>
            <w:tcW w:w="420" w:type="pct"/>
            <w:tcBorders>
              <w:top w:val="nil"/>
              <w:left w:val="nil"/>
              <w:bottom w:val="nil"/>
              <w:right w:val="nil"/>
            </w:tcBorders>
            <w:shd w:val="clear" w:color="auto" w:fill="auto"/>
            <w:vAlign w:val="center"/>
            <w:hideMark/>
          </w:tcPr>
          <w:p w14:paraId="4398B695" w14:textId="77777777" w:rsidR="00AA6866" w:rsidRPr="00B17EA4" w:rsidRDefault="00AA6866" w:rsidP="00ED4348">
            <w:pPr>
              <w:tabs>
                <w:tab w:val="clear" w:pos="567"/>
              </w:tabs>
              <w:spacing w:after="0" w:line="240" w:lineRule="auto"/>
              <w:jc w:val="right"/>
              <w:rPr>
                <w:rFonts w:ascii="Calibri" w:eastAsia="Times New Roman" w:hAnsi="Calibri" w:cs="Times New Roman"/>
                <w:color w:val="000000"/>
                <w:sz w:val="20"/>
                <w:szCs w:val="20"/>
                <w:lang w:eastAsia="en-AU"/>
              </w:rPr>
            </w:pPr>
            <w:r w:rsidRPr="00B17EA4">
              <w:rPr>
                <w:rFonts w:ascii="Calibri" w:eastAsia="Times New Roman" w:hAnsi="Calibri" w:cs="Times New Roman"/>
                <w:color w:val="000000"/>
                <w:sz w:val="20"/>
                <w:szCs w:val="20"/>
                <w:lang w:eastAsia="en-AU"/>
              </w:rPr>
              <w:t>0</w:t>
            </w:r>
          </w:p>
        </w:tc>
        <w:tc>
          <w:tcPr>
            <w:tcW w:w="420" w:type="pct"/>
            <w:tcBorders>
              <w:top w:val="nil"/>
              <w:left w:val="nil"/>
              <w:bottom w:val="nil"/>
              <w:right w:val="nil"/>
            </w:tcBorders>
            <w:shd w:val="clear" w:color="auto" w:fill="auto"/>
            <w:vAlign w:val="center"/>
            <w:hideMark/>
          </w:tcPr>
          <w:p w14:paraId="54A13976" w14:textId="77777777" w:rsidR="00AA6866" w:rsidRPr="00B17EA4" w:rsidRDefault="00AA6866" w:rsidP="00ED4348">
            <w:pPr>
              <w:tabs>
                <w:tab w:val="clear" w:pos="567"/>
              </w:tabs>
              <w:spacing w:after="0" w:line="240" w:lineRule="auto"/>
              <w:jc w:val="right"/>
              <w:rPr>
                <w:rFonts w:ascii="Calibri" w:eastAsia="Times New Roman" w:hAnsi="Calibri" w:cs="Times New Roman"/>
                <w:color w:val="000000"/>
                <w:sz w:val="20"/>
                <w:szCs w:val="20"/>
                <w:lang w:eastAsia="en-AU"/>
              </w:rPr>
            </w:pPr>
            <w:r w:rsidRPr="00B17EA4">
              <w:rPr>
                <w:rFonts w:ascii="Calibri" w:eastAsia="Times New Roman" w:hAnsi="Calibri" w:cs="Times New Roman"/>
                <w:color w:val="000000"/>
                <w:sz w:val="20"/>
                <w:szCs w:val="20"/>
                <w:lang w:eastAsia="en-AU"/>
              </w:rPr>
              <w:t>0</w:t>
            </w:r>
          </w:p>
        </w:tc>
        <w:tc>
          <w:tcPr>
            <w:tcW w:w="420" w:type="pct"/>
            <w:tcBorders>
              <w:top w:val="nil"/>
              <w:left w:val="nil"/>
              <w:bottom w:val="nil"/>
              <w:right w:val="nil"/>
            </w:tcBorders>
            <w:shd w:val="clear" w:color="auto" w:fill="auto"/>
            <w:vAlign w:val="center"/>
            <w:hideMark/>
          </w:tcPr>
          <w:p w14:paraId="48263AB5" w14:textId="77777777" w:rsidR="00AA6866" w:rsidRPr="00B17EA4" w:rsidRDefault="00AA6866" w:rsidP="00ED4348">
            <w:pPr>
              <w:tabs>
                <w:tab w:val="clear" w:pos="567"/>
              </w:tabs>
              <w:spacing w:after="0" w:line="240" w:lineRule="auto"/>
              <w:jc w:val="right"/>
              <w:rPr>
                <w:rFonts w:ascii="Calibri" w:eastAsia="Times New Roman" w:hAnsi="Calibri" w:cs="Times New Roman"/>
                <w:color w:val="000000"/>
                <w:sz w:val="20"/>
                <w:szCs w:val="20"/>
                <w:lang w:eastAsia="en-AU"/>
              </w:rPr>
            </w:pPr>
            <w:r w:rsidRPr="00B17EA4">
              <w:rPr>
                <w:rFonts w:ascii="Calibri" w:eastAsia="Times New Roman" w:hAnsi="Calibri" w:cs="Times New Roman"/>
                <w:color w:val="000000"/>
                <w:sz w:val="20"/>
                <w:szCs w:val="20"/>
                <w:lang w:eastAsia="en-AU"/>
              </w:rPr>
              <w:t>0</w:t>
            </w:r>
          </w:p>
        </w:tc>
        <w:tc>
          <w:tcPr>
            <w:tcW w:w="420" w:type="pct"/>
            <w:tcBorders>
              <w:top w:val="nil"/>
              <w:left w:val="nil"/>
              <w:bottom w:val="nil"/>
              <w:right w:val="nil"/>
            </w:tcBorders>
            <w:shd w:val="clear" w:color="auto" w:fill="auto"/>
            <w:vAlign w:val="center"/>
            <w:hideMark/>
          </w:tcPr>
          <w:p w14:paraId="7DA71F98" w14:textId="77777777" w:rsidR="00AA6866" w:rsidRPr="00B17EA4" w:rsidRDefault="00AA6866" w:rsidP="00ED4348">
            <w:pPr>
              <w:tabs>
                <w:tab w:val="clear" w:pos="567"/>
              </w:tabs>
              <w:spacing w:after="0" w:line="240" w:lineRule="auto"/>
              <w:jc w:val="right"/>
              <w:rPr>
                <w:rFonts w:ascii="Calibri" w:eastAsia="Times New Roman" w:hAnsi="Calibri" w:cs="Times New Roman"/>
                <w:color w:val="000000"/>
                <w:sz w:val="20"/>
                <w:szCs w:val="20"/>
                <w:lang w:eastAsia="en-AU"/>
              </w:rPr>
            </w:pPr>
            <w:r w:rsidRPr="00B17EA4">
              <w:rPr>
                <w:rFonts w:ascii="Calibri" w:eastAsia="Times New Roman" w:hAnsi="Calibri" w:cs="Times New Roman"/>
                <w:color w:val="000000"/>
                <w:sz w:val="20"/>
                <w:szCs w:val="20"/>
                <w:lang w:eastAsia="en-AU"/>
              </w:rPr>
              <w:t>0</w:t>
            </w:r>
          </w:p>
        </w:tc>
        <w:tc>
          <w:tcPr>
            <w:tcW w:w="420" w:type="pct"/>
            <w:tcBorders>
              <w:top w:val="nil"/>
              <w:left w:val="nil"/>
              <w:bottom w:val="nil"/>
              <w:right w:val="nil"/>
            </w:tcBorders>
            <w:shd w:val="clear" w:color="auto" w:fill="auto"/>
            <w:vAlign w:val="center"/>
            <w:hideMark/>
          </w:tcPr>
          <w:p w14:paraId="0F74155D" w14:textId="77777777" w:rsidR="00AA6866" w:rsidRPr="00B17EA4" w:rsidRDefault="00AA6866" w:rsidP="00ED4348">
            <w:pPr>
              <w:tabs>
                <w:tab w:val="clear" w:pos="567"/>
              </w:tabs>
              <w:spacing w:after="0" w:line="240" w:lineRule="auto"/>
              <w:jc w:val="right"/>
              <w:rPr>
                <w:rFonts w:ascii="Calibri" w:eastAsia="Times New Roman" w:hAnsi="Calibri" w:cs="Times New Roman"/>
                <w:color w:val="000000"/>
                <w:sz w:val="20"/>
                <w:szCs w:val="20"/>
                <w:lang w:eastAsia="en-AU"/>
              </w:rPr>
            </w:pPr>
            <w:r w:rsidRPr="00B17EA4">
              <w:rPr>
                <w:rFonts w:ascii="Calibri" w:eastAsia="Times New Roman" w:hAnsi="Calibri" w:cs="Times New Roman"/>
                <w:color w:val="000000"/>
                <w:sz w:val="20"/>
                <w:szCs w:val="20"/>
                <w:lang w:eastAsia="en-AU"/>
              </w:rPr>
              <w:t>0</w:t>
            </w:r>
          </w:p>
        </w:tc>
        <w:tc>
          <w:tcPr>
            <w:tcW w:w="420" w:type="pct"/>
            <w:tcBorders>
              <w:top w:val="nil"/>
              <w:left w:val="nil"/>
              <w:bottom w:val="nil"/>
              <w:right w:val="nil"/>
            </w:tcBorders>
            <w:shd w:val="clear" w:color="auto" w:fill="auto"/>
            <w:vAlign w:val="center"/>
            <w:hideMark/>
          </w:tcPr>
          <w:p w14:paraId="73645019" w14:textId="77777777" w:rsidR="00AA6866" w:rsidRPr="00B17EA4" w:rsidRDefault="00AA6866" w:rsidP="00ED4348">
            <w:pPr>
              <w:tabs>
                <w:tab w:val="clear" w:pos="567"/>
              </w:tabs>
              <w:spacing w:after="0" w:line="240" w:lineRule="auto"/>
              <w:jc w:val="right"/>
              <w:rPr>
                <w:rFonts w:ascii="Calibri" w:eastAsia="Times New Roman" w:hAnsi="Calibri" w:cs="Times New Roman"/>
                <w:color w:val="000000"/>
                <w:sz w:val="20"/>
                <w:szCs w:val="20"/>
                <w:lang w:eastAsia="en-AU"/>
              </w:rPr>
            </w:pPr>
            <w:r w:rsidRPr="00B17EA4">
              <w:rPr>
                <w:rFonts w:ascii="Calibri" w:eastAsia="Times New Roman" w:hAnsi="Calibri" w:cs="Times New Roman"/>
                <w:color w:val="000000"/>
                <w:sz w:val="20"/>
                <w:szCs w:val="20"/>
                <w:lang w:eastAsia="en-AU"/>
              </w:rPr>
              <w:t>2</w:t>
            </w:r>
          </w:p>
        </w:tc>
        <w:tc>
          <w:tcPr>
            <w:tcW w:w="420" w:type="pct"/>
            <w:tcBorders>
              <w:top w:val="nil"/>
              <w:left w:val="nil"/>
              <w:bottom w:val="nil"/>
              <w:right w:val="nil"/>
            </w:tcBorders>
            <w:shd w:val="clear" w:color="auto" w:fill="auto"/>
            <w:vAlign w:val="center"/>
            <w:hideMark/>
          </w:tcPr>
          <w:p w14:paraId="6A61BB93" w14:textId="77777777" w:rsidR="00AA6866" w:rsidRPr="00B17EA4" w:rsidRDefault="00AA6866" w:rsidP="00ED4348">
            <w:pPr>
              <w:tabs>
                <w:tab w:val="clear" w:pos="567"/>
              </w:tabs>
              <w:spacing w:after="0" w:line="240" w:lineRule="auto"/>
              <w:jc w:val="right"/>
              <w:rPr>
                <w:rFonts w:ascii="Calibri" w:eastAsia="Times New Roman" w:hAnsi="Calibri" w:cs="Times New Roman"/>
                <w:color w:val="000000"/>
                <w:sz w:val="20"/>
                <w:szCs w:val="20"/>
                <w:lang w:eastAsia="en-AU"/>
              </w:rPr>
            </w:pPr>
            <w:r w:rsidRPr="00B17EA4">
              <w:rPr>
                <w:rFonts w:ascii="Calibri" w:eastAsia="Times New Roman" w:hAnsi="Calibri" w:cs="Times New Roman"/>
                <w:color w:val="000000"/>
                <w:sz w:val="20"/>
                <w:szCs w:val="20"/>
                <w:lang w:eastAsia="en-AU"/>
              </w:rPr>
              <w:t>0</w:t>
            </w:r>
          </w:p>
        </w:tc>
        <w:tc>
          <w:tcPr>
            <w:tcW w:w="420" w:type="pct"/>
            <w:tcBorders>
              <w:top w:val="nil"/>
              <w:left w:val="nil"/>
              <w:bottom w:val="nil"/>
              <w:right w:val="nil"/>
            </w:tcBorders>
            <w:shd w:val="clear" w:color="auto" w:fill="auto"/>
            <w:vAlign w:val="center"/>
            <w:hideMark/>
          </w:tcPr>
          <w:p w14:paraId="4265F734" w14:textId="77777777" w:rsidR="00AA6866" w:rsidRPr="00B17EA4" w:rsidRDefault="00AA6866" w:rsidP="00ED4348">
            <w:pPr>
              <w:tabs>
                <w:tab w:val="clear" w:pos="567"/>
              </w:tabs>
              <w:spacing w:after="0" w:line="240" w:lineRule="auto"/>
              <w:jc w:val="right"/>
              <w:rPr>
                <w:rFonts w:ascii="Calibri" w:eastAsia="Times New Roman" w:hAnsi="Calibri" w:cs="Times New Roman"/>
                <w:color w:val="000000"/>
                <w:sz w:val="20"/>
                <w:szCs w:val="20"/>
                <w:lang w:eastAsia="en-AU"/>
              </w:rPr>
            </w:pPr>
            <w:r w:rsidRPr="00B17EA4">
              <w:rPr>
                <w:rFonts w:ascii="Calibri" w:eastAsia="Times New Roman" w:hAnsi="Calibri" w:cs="Times New Roman"/>
                <w:color w:val="000000"/>
                <w:sz w:val="20"/>
                <w:szCs w:val="20"/>
                <w:lang w:eastAsia="en-AU"/>
              </w:rPr>
              <w:t>2</w:t>
            </w:r>
          </w:p>
        </w:tc>
      </w:tr>
      <w:tr w:rsidR="00AA6866" w:rsidRPr="00B17EA4" w14:paraId="46E030B2" w14:textId="77777777" w:rsidTr="002A4135">
        <w:trPr>
          <w:trHeight w:val="315"/>
        </w:trPr>
        <w:tc>
          <w:tcPr>
            <w:tcW w:w="1218" w:type="pct"/>
            <w:tcBorders>
              <w:top w:val="nil"/>
              <w:left w:val="nil"/>
              <w:bottom w:val="nil"/>
              <w:right w:val="nil"/>
            </w:tcBorders>
            <w:shd w:val="clear" w:color="auto" w:fill="auto"/>
            <w:vAlign w:val="center"/>
            <w:hideMark/>
          </w:tcPr>
          <w:p w14:paraId="35CBEAB3" w14:textId="77777777" w:rsidR="00AA6866" w:rsidRPr="00B17EA4" w:rsidRDefault="00AA6866" w:rsidP="00ED4348">
            <w:pPr>
              <w:tabs>
                <w:tab w:val="clear" w:pos="567"/>
              </w:tabs>
              <w:spacing w:after="0" w:line="240" w:lineRule="auto"/>
              <w:rPr>
                <w:rFonts w:ascii="Calibri" w:eastAsia="Times New Roman" w:hAnsi="Calibri" w:cs="Times New Roman"/>
                <w:sz w:val="20"/>
                <w:szCs w:val="20"/>
                <w:lang w:eastAsia="en-AU"/>
              </w:rPr>
            </w:pPr>
            <w:r w:rsidRPr="00B17EA4">
              <w:rPr>
                <w:rFonts w:ascii="Calibri" w:eastAsia="Times New Roman" w:hAnsi="Calibri" w:cs="Times New Roman"/>
                <w:sz w:val="20"/>
                <w:szCs w:val="20"/>
                <w:lang w:eastAsia="en-AU"/>
              </w:rPr>
              <w:t>Other expenses</w:t>
            </w:r>
          </w:p>
        </w:tc>
        <w:tc>
          <w:tcPr>
            <w:tcW w:w="420" w:type="pct"/>
            <w:tcBorders>
              <w:top w:val="nil"/>
              <w:left w:val="nil"/>
              <w:bottom w:val="nil"/>
              <w:right w:val="nil"/>
            </w:tcBorders>
            <w:shd w:val="clear" w:color="auto" w:fill="auto"/>
            <w:vAlign w:val="center"/>
            <w:hideMark/>
          </w:tcPr>
          <w:p w14:paraId="6AF7A63F" w14:textId="77777777" w:rsidR="00AA6866" w:rsidRPr="00B17EA4" w:rsidRDefault="00AA6866" w:rsidP="00ED4348">
            <w:pPr>
              <w:tabs>
                <w:tab w:val="clear" w:pos="567"/>
              </w:tabs>
              <w:spacing w:after="0" w:line="240" w:lineRule="auto"/>
              <w:jc w:val="right"/>
              <w:rPr>
                <w:rFonts w:ascii="Calibri" w:eastAsia="Times New Roman" w:hAnsi="Calibri" w:cs="Times New Roman"/>
                <w:color w:val="000000"/>
                <w:sz w:val="20"/>
                <w:szCs w:val="20"/>
                <w:lang w:eastAsia="en-AU"/>
              </w:rPr>
            </w:pPr>
            <w:r w:rsidRPr="00B17EA4">
              <w:rPr>
                <w:rFonts w:ascii="Calibri" w:eastAsia="Times New Roman" w:hAnsi="Calibri" w:cs="Times New Roman"/>
                <w:color w:val="000000"/>
                <w:sz w:val="20"/>
                <w:szCs w:val="20"/>
                <w:lang w:eastAsia="en-AU"/>
              </w:rPr>
              <w:t>-5</w:t>
            </w:r>
          </w:p>
        </w:tc>
        <w:tc>
          <w:tcPr>
            <w:tcW w:w="420" w:type="pct"/>
            <w:tcBorders>
              <w:top w:val="nil"/>
              <w:left w:val="nil"/>
              <w:bottom w:val="nil"/>
              <w:right w:val="nil"/>
            </w:tcBorders>
            <w:shd w:val="clear" w:color="auto" w:fill="auto"/>
            <w:vAlign w:val="center"/>
            <w:hideMark/>
          </w:tcPr>
          <w:p w14:paraId="39B1BB32" w14:textId="77777777" w:rsidR="00AA6866" w:rsidRPr="00B17EA4" w:rsidRDefault="00AA6866" w:rsidP="00ED4348">
            <w:pPr>
              <w:tabs>
                <w:tab w:val="clear" w:pos="567"/>
              </w:tabs>
              <w:spacing w:after="0" w:line="240" w:lineRule="auto"/>
              <w:jc w:val="right"/>
              <w:rPr>
                <w:rFonts w:ascii="Calibri" w:eastAsia="Times New Roman" w:hAnsi="Calibri" w:cs="Times New Roman"/>
                <w:color w:val="000000"/>
                <w:sz w:val="20"/>
                <w:szCs w:val="20"/>
                <w:lang w:eastAsia="en-AU"/>
              </w:rPr>
            </w:pPr>
            <w:r w:rsidRPr="00B17EA4">
              <w:rPr>
                <w:rFonts w:ascii="Calibri" w:eastAsia="Times New Roman" w:hAnsi="Calibri" w:cs="Times New Roman"/>
                <w:color w:val="000000"/>
                <w:sz w:val="20"/>
                <w:szCs w:val="20"/>
                <w:lang w:eastAsia="en-AU"/>
              </w:rPr>
              <w:t>0</w:t>
            </w:r>
          </w:p>
        </w:tc>
        <w:tc>
          <w:tcPr>
            <w:tcW w:w="420" w:type="pct"/>
            <w:tcBorders>
              <w:top w:val="nil"/>
              <w:left w:val="nil"/>
              <w:bottom w:val="nil"/>
              <w:right w:val="nil"/>
            </w:tcBorders>
            <w:shd w:val="clear" w:color="auto" w:fill="auto"/>
            <w:vAlign w:val="center"/>
            <w:hideMark/>
          </w:tcPr>
          <w:p w14:paraId="72672DD3" w14:textId="77777777" w:rsidR="00AA6866" w:rsidRPr="00B17EA4" w:rsidRDefault="00AA6866" w:rsidP="00ED4348">
            <w:pPr>
              <w:tabs>
                <w:tab w:val="clear" w:pos="567"/>
              </w:tabs>
              <w:spacing w:after="0" w:line="240" w:lineRule="auto"/>
              <w:jc w:val="right"/>
              <w:rPr>
                <w:rFonts w:ascii="Calibri" w:eastAsia="Times New Roman" w:hAnsi="Calibri" w:cs="Times New Roman"/>
                <w:color w:val="000000"/>
                <w:sz w:val="20"/>
                <w:szCs w:val="20"/>
                <w:lang w:eastAsia="en-AU"/>
              </w:rPr>
            </w:pPr>
            <w:r w:rsidRPr="00B17EA4">
              <w:rPr>
                <w:rFonts w:ascii="Calibri" w:eastAsia="Times New Roman" w:hAnsi="Calibri" w:cs="Times New Roman"/>
                <w:color w:val="000000"/>
                <w:sz w:val="20"/>
                <w:szCs w:val="20"/>
                <w:lang w:eastAsia="en-AU"/>
              </w:rPr>
              <w:t>0</w:t>
            </w:r>
          </w:p>
        </w:tc>
        <w:tc>
          <w:tcPr>
            <w:tcW w:w="420" w:type="pct"/>
            <w:tcBorders>
              <w:top w:val="nil"/>
              <w:left w:val="nil"/>
              <w:bottom w:val="nil"/>
              <w:right w:val="nil"/>
            </w:tcBorders>
            <w:shd w:val="clear" w:color="auto" w:fill="auto"/>
            <w:vAlign w:val="center"/>
            <w:hideMark/>
          </w:tcPr>
          <w:p w14:paraId="7B55EE7C" w14:textId="77777777" w:rsidR="00AA6866" w:rsidRPr="00B17EA4" w:rsidRDefault="00AA6866" w:rsidP="00ED4348">
            <w:pPr>
              <w:tabs>
                <w:tab w:val="clear" w:pos="567"/>
              </w:tabs>
              <w:spacing w:after="0" w:line="240" w:lineRule="auto"/>
              <w:jc w:val="right"/>
              <w:rPr>
                <w:rFonts w:ascii="Calibri" w:eastAsia="Times New Roman" w:hAnsi="Calibri" w:cs="Times New Roman"/>
                <w:color w:val="000000"/>
                <w:sz w:val="20"/>
                <w:szCs w:val="20"/>
                <w:lang w:eastAsia="en-AU"/>
              </w:rPr>
            </w:pPr>
            <w:r w:rsidRPr="00B17EA4">
              <w:rPr>
                <w:rFonts w:ascii="Calibri" w:eastAsia="Times New Roman" w:hAnsi="Calibri" w:cs="Times New Roman"/>
                <w:color w:val="000000"/>
                <w:sz w:val="20"/>
                <w:szCs w:val="20"/>
                <w:lang w:eastAsia="en-AU"/>
              </w:rPr>
              <w:t>0</w:t>
            </w:r>
          </w:p>
        </w:tc>
        <w:tc>
          <w:tcPr>
            <w:tcW w:w="420" w:type="pct"/>
            <w:tcBorders>
              <w:top w:val="nil"/>
              <w:left w:val="nil"/>
              <w:bottom w:val="nil"/>
              <w:right w:val="nil"/>
            </w:tcBorders>
            <w:shd w:val="clear" w:color="auto" w:fill="auto"/>
            <w:vAlign w:val="center"/>
            <w:hideMark/>
          </w:tcPr>
          <w:p w14:paraId="2AAB0E66" w14:textId="77777777" w:rsidR="00AA6866" w:rsidRPr="00B17EA4" w:rsidRDefault="00AA6866" w:rsidP="00ED4348">
            <w:pPr>
              <w:tabs>
                <w:tab w:val="clear" w:pos="567"/>
              </w:tabs>
              <w:spacing w:after="0" w:line="240" w:lineRule="auto"/>
              <w:jc w:val="right"/>
              <w:rPr>
                <w:rFonts w:ascii="Calibri" w:eastAsia="Times New Roman" w:hAnsi="Calibri" w:cs="Times New Roman"/>
                <w:color w:val="000000"/>
                <w:sz w:val="20"/>
                <w:szCs w:val="20"/>
                <w:lang w:eastAsia="en-AU"/>
              </w:rPr>
            </w:pPr>
            <w:r w:rsidRPr="00B17EA4">
              <w:rPr>
                <w:rFonts w:ascii="Calibri" w:eastAsia="Times New Roman" w:hAnsi="Calibri" w:cs="Times New Roman"/>
                <w:color w:val="000000"/>
                <w:sz w:val="20"/>
                <w:szCs w:val="20"/>
                <w:lang w:eastAsia="en-AU"/>
              </w:rPr>
              <w:t>0</w:t>
            </w:r>
          </w:p>
        </w:tc>
        <w:tc>
          <w:tcPr>
            <w:tcW w:w="420" w:type="pct"/>
            <w:tcBorders>
              <w:top w:val="nil"/>
              <w:left w:val="nil"/>
              <w:bottom w:val="nil"/>
              <w:right w:val="nil"/>
            </w:tcBorders>
            <w:shd w:val="clear" w:color="auto" w:fill="auto"/>
            <w:vAlign w:val="center"/>
            <w:hideMark/>
          </w:tcPr>
          <w:p w14:paraId="7F542290" w14:textId="77777777" w:rsidR="00AA6866" w:rsidRPr="00B17EA4" w:rsidRDefault="00AA6866" w:rsidP="00ED4348">
            <w:pPr>
              <w:tabs>
                <w:tab w:val="clear" w:pos="567"/>
              </w:tabs>
              <w:spacing w:after="0" w:line="240" w:lineRule="auto"/>
              <w:jc w:val="right"/>
              <w:rPr>
                <w:rFonts w:ascii="Calibri" w:eastAsia="Times New Roman" w:hAnsi="Calibri" w:cs="Times New Roman"/>
                <w:color w:val="000000"/>
                <w:sz w:val="20"/>
                <w:szCs w:val="20"/>
                <w:lang w:eastAsia="en-AU"/>
              </w:rPr>
            </w:pPr>
            <w:r w:rsidRPr="00B17EA4">
              <w:rPr>
                <w:rFonts w:ascii="Calibri" w:eastAsia="Times New Roman" w:hAnsi="Calibri" w:cs="Times New Roman"/>
                <w:color w:val="000000"/>
                <w:sz w:val="20"/>
                <w:szCs w:val="20"/>
                <w:lang w:eastAsia="en-AU"/>
              </w:rPr>
              <w:t>0</w:t>
            </w:r>
          </w:p>
        </w:tc>
        <w:tc>
          <w:tcPr>
            <w:tcW w:w="420" w:type="pct"/>
            <w:tcBorders>
              <w:top w:val="nil"/>
              <w:left w:val="nil"/>
              <w:bottom w:val="nil"/>
              <w:right w:val="nil"/>
            </w:tcBorders>
            <w:shd w:val="clear" w:color="auto" w:fill="auto"/>
            <w:vAlign w:val="center"/>
            <w:hideMark/>
          </w:tcPr>
          <w:p w14:paraId="59BEE167" w14:textId="77777777" w:rsidR="00AA6866" w:rsidRPr="00B17EA4" w:rsidRDefault="00AA6866" w:rsidP="00ED4348">
            <w:pPr>
              <w:tabs>
                <w:tab w:val="clear" w:pos="567"/>
              </w:tabs>
              <w:spacing w:after="0" w:line="240" w:lineRule="auto"/>
              <w:jc w:val="right"/>
              <w:rPr>
                <w:rFonts w:ascii="Calibri" w:eastAsia="Times New Roman" w:hAnsi="Calibri" w:cs="Times New Roman"/>
                <w:color w:val="000000"/>
                <w:sz w:val="20"/>
                <w:szCs w:val="20"/>
                <w:lang w:eastAsia="en-AU"/>
              </w:rPr>
            </w:pPr>
            <w:r w:rsidRPr="00B17EA4">
              <w:rPr>
                <w:rFonts w:ascii="Calibri" w:eastAsia="Times New Roman" w:hAnsi="Calibri" w:cs="Times New Roman"/>
                <w:color w:val="000000"/>
                <w:sz w:val="20"/>
                <w:szCs w:val="20"/>
                <w:lang w:eastAsia="en-AU"/>
              </w:rPr>
              <w:t>5</w:t>
            </w:r>
          </w:p>
        </w:tc>
        <w:tc>
          <w:tcPr>
            <w:tcW w:w="420" w:type="pct"/>
            <w:tcBorders>
              <w:top w:val="nil"/>
              <w:left w:val="nil"/>
              <w:bottom w:val="nil"/>
              <w:right w:val="nil"/>
            </w:tcBorders>
            <w:shd w:val="clear" w:color="auto" w:fill="auto"/>
            <w:vAlign w:val="center"/>
            <w:hideMark/>
          </w:tcPr>
          <w:p w14:paraId="0ADA0643" w14:textId="77777777" w:rsidR="00AA6866" w:rsidRPr="00B17EA4" w:rsidRDefault="00AA6866" w:rsidP="00ED4348">
            <w:pPr>
              <w:tabs>
                <w:tab w:val="clear" w:pos="567"/>
              </w:tabs>
              <w:spacing w:after="0" w:line="240" w:lineRule="auto"/>
              <w:jc w:val="right"/>
              <w:rPr>
                <w:rFonts w:ascii="Calibri" w:eastAsia="Times New Roman" w:hAnsi="Calibri" w:cs="Times New Roman"/>
                <w:color w:val="000000"/>
                <w:sz w:val="20"/>
                <w:szCs w:val="20"/>
                <w:lang w:eastAsia="en-AU"/>
              </w:rPr>
            </w:pPr>
            <w:r w:rsidRPr="00B17EA4">
              <w:rPr>
                <w:rFonts w:ascii="Calibri" w:eastAsia="Times New Roman" w:hAnsi="Calibri" w:cs="Times New Roman"/>
                <w:color w:val="000000"/>
                <w:sz w:val="20"/>
                <w:szCs w:val="20"/>
                <w:lang w:eastAsia="en-AU"/>
              </w:rPr>
              <w:t>0</w:t>
            </w:r>
          </w:p>
        </w:tc>
        <w:tc>
          <w:tcPr>
            <w:tcW w:w="420" w:type="pct"/>
            <w:tcBorders>
              <w:top w:val="nil"/>
              <w:left w:val="nil"/>
              <w:bottom w:val="single" w:sz="4" w:space="0" w:color="auto"/>
              <w:right w:val="nil"/>
            </w:tcBorders>
            <w:shd w:val="clear" w:color="auto" w:fill="auto"/>
            <w:vAlign w:val="center"/>
            <w:hideMark/>
          </w:tcPr>
          <w:p w14:paraId="692EE3A5" w14:textId="77777777" w:rsidR="00AA6866" w:rsidRPr="00B17EA4" w:rsidRDefault="00AA6866" w:rsidP="00ED4348">
            <w:pPr>
              <w:tabs>
                <w:tab w:val="clear" w:pos="567"/>
              </w:tabs>
              <w:spacing w:after="0" w:line="240" w:lineRule="auto"/>
              <w:jc w:val="right"/>
              <w:rPr>
                <w:rFonts w:ascii="Calibri" w:eastAsia="Times New Roman" w:hAnsi="Calibri" w:cs="Times New Roman"/>
                <w:color w:val="000000"/>
                <w:sz w:val="20"/>
                <w:szCs w:val="20"/>
                <w:lang w:eastAsia="en-AU"/>
              </w:rPr>
            </w:pPr>
            <w:r w:rsidRPr="00B17EA4">
              <w:rPr>
                <w:rFonts w:ascii="Calibri" w:eastAsia="Times New Roman" w:hAnsi="Calibri" w:cs="Times New Roman"/>
                <w:color w:val="000000"/>
                <w:sz w:val="20"/>
                <w:szCs w:val="20"/>
                <w:lang w:eastAsia="en-AU"/>
              </w:rPr>
              <w:t>5</w:t>
            </w:r>
          </w:p>
        </w:tc>
      </w:tr>
      <w:tr w:rsidR="00AA6866" w:rsidRPr="00B17EA4" w14:paraId="1AFDF4CC" w14:textId="77777777" w:rsidTr="002A4135">
        <w:trPr>
          <w:trHeight w:val="315"/>
        </w:trPr>
        <w:tc>
          <w:tcPr>
            <w:tcW w:w="1218" w:type="pct"/>
            <w:tcBorders>
              <w:top w:val="nil"/>
              <w:left w:val="nil"/>
              <w:bottom w:val="single" w:sz="4" w:space="0" w:color="auto"/>
              <w:right w:val="nil"/>
            </w:tcBorders>
            <w:shd w:val="clear" w:color="auto" w:fill="auto"/>
            <w:vAlign w:val="center"/>
            <w:hideMark/>
          </w:tcPr>
          <w:p w14:paraId="21B8EAE4" w14:textId="77777777" w:rsidR="00AA6866" w:rsidRPr="00B17EA4" w:rsidRDefault="00AA6866" w:rsidP="00ED4348">
            <w:pPr>
              <w:tabs>
                <w:tab w:val="clear" w:pos="567"/>
              </w:tabs>
              <w:spacing w:after="0" w:line="240" w:lineRule="auto"/>
              <w:rPr>
                <w:rFonts w:ascii="Calibri" w:eastAsia="Times New Roman" w:hAnsi="Calibri" w:cs="Times New Roman"/>
                <w:sz w:val="20"/>
                <w:szCs w:val="20"/>
                <w:lang w:eastAsia="en-AU"/>
              </w:rPr>
            </w:pPr>
            <w:r w:rsidRPr="00B17EA4">
              <w:rPr>
                <w:rFonts w:ascii="Calibri" w:eastAsia="Times New Roman" w:hAnsi="Calibri" w:cs="Times New Roman"/>
                <w:sz w:val="20"/>
                <w:szCs w:val="20"/>
                <w:lang w:eastAsia="en-AU"/>
              </w:rPr>
              <w:t>Total</w:t>
            </w:r>
          </w:p>
        </w:tc>
        <w:tc>
          <w:tcPr>
            <w:tcW w:w="420" w:type="pct"/>
            <w:tcBorders>
              <w:top w:val="single" w:sz="4" w:space="0" w:color="auto"/>
              <w:left w:val="nil"/>
              <w:bottom w:val="single" w:sz="4" w:space="0" w:color="auto"/>
              <w:right w:val="nil"/>
            </w:tcBorders>
            <w:shd w:val="clear" w:color="auto" w:fill="auto"/>
            <w:vAlign w:val="center"/>
            <w:hideMark/>
          </w:tcPr>
          <w:p w14:paraId="4E17F895" w14:textId="77777777" w:rsidR="00AA6866" w:rsidRPr="00B17EA4" w:rsidRDefault="00AA6866" w:rsidP="00ED4348">
            <w:pPr>
              <w:tabs>
                <w:tab w:val="clear" w:pos="567"/>
              </w:tabs>
              <w:spacing w:after="0" w:line="240" w:lineRule="auto"/>
              <w:jc w:val="right"/>
              <w:rPr>
                <w:rFonts w:ascii="Calibri" w:eastAsia="Times New Roman" w:hAnsi="Calibri" w:cs="Times New Roman"/>
                <w:color w:val="000000"/>
                <w:sz w:val="20"/>
                <w:szCs w:val="20"/>
                <w:lang w:eastAsia="en-AU"/>
              </w:rPr>
            </w:pPr>
            <w:r w:rsidRPr="00B17EA4">
              <w:rPr>
                <w:rFonts w:ascii="Calibri" w:eastAsia="Times New Roman" w:hAnsi="Calibri" w:cs="Times New Roman"/>
                <w:color w:val="000000"/>
                <w:sz w:val="20"/>
                <w:szCs w:val="20"/>
                <w:lang w:eastAsia="en-AU"/>
              </w:rPr>
              <w:t>-46</w:t>
            </w:r>
          </w:p>
        </w:tc>
        <w:tc>
          <w:tcPr>
            <w:tcW w:w="420" w:type="pct"/>
            <w:tcBorders>
              <w:top w:val="single" w:sz="4" w:space="0" w:color="auto"/>
              <w:left w:val="nil"/>
              <w:bottom w:val="single" w:sz="4" w:space="0" w:color="auto"/>
              <w:right w:val="nil"/>
            </w:tcBorders>
            <w:shd w:val="clear" w:color="auto" w:fill="auto"/>
            <w:vAlign w:val="center"/>
            <w:hideMark/>
          </w:tcPr>
          <w:p w14:paraId="08A8381C" w14:textId="77777777" w:rsidR="00AA6866" w:rsidRPr="00B17EA4" w:rsidRDefault="00AA6866" w:rsidP="00ED4348">
            <w:pPr>
              <w:tabs>
                <w:tab w:val="clear" w:pos="567"/>
              </w:tabs>
              <w:spacing w:after="0" w:line="240" w:lineRule="auto"/>
              <w:jc w:val="right"/>
              <w:rPr>
                <w:rFonts w:ascii="Calibri" w:eastAsia="Times New Roman" w:hAnsi="Calibri" w:cs="Times New Roman"/>
                <w:color w:val="000000"/>
                <w:sz w:val="20"/>
                <w:szCs w:val="20"/>
                <w:lang w:eastAsia="en-AU"/>
              </w:rPr>
            </w:pPr>
            <w:r w:rsidRPr="00B17EA4">
              <w:rPr>
                <w:rFonts w:ascii="Calibri" w:eastAsia="Times New Roman" w:hAnsi="Calibri" w:cs="Times New Roman"/>
                <w:color w:val="000000"/>
                <w:sz w:val="20"/>
                <w:szCs w:val="20"/>
                <w:lang w:eastAsia="en-AU"/>
              </w:rPr>
              <w:t>0</w:t>
            </w:r>
          </w:p>
        </w:tc>
        <w:tc>
          <w:tcPr>
            <w:tcW w:w="420" w:type="pct"/>
            <w:tcBorders>
              <w:top w:val="single" w:sz="4" w:space="0" w:color="auto"/>
              <w:left w:val="nil"/>
              <w:bottom w:val="single" w:sz="4" w:space="0" w:color="auto"/>
              <w:right w:val="nil"/>
            </w:tcBorders>
            <w:shd w:val="clear" w:color="auto" w:fill="auto"/>
            <w:vAlign w:val="center"/>
            <w:hideMark/>
          </w:tcPr>
          <w:p w14:paraId="387D44B1" w14:textId="77777777" w:rsidR="00AA6866" w:rsidRPr="00B17EA4" w:rsidRDefault="00AA6866" w:rsidP="00ED4348">
            <w:pPr>
              <w:tabs>
                <w:tab w:val="clear" w:pos="567"/>
              </w:tabs>
              <w:spacing w:after="0" w:line="240" w:lineRule="auto"/>
              <w:jc w:val="right"/>
              <w:rPr>
                <w:rFonts w:ascii="Calibri" w:eastAsia="Times New Roman" w:hAnsi="Calibri" w:cs="Times New Roman"/>
                <w:color w:val="000000"/>
                <w:sz w:val="20"/>
                <w:szCs w:val="20"/>
                <w:lang w:eastAsia="en-AU"/>
              </w:rPr>
            </w:pPr>
            <w:r w:rsidRPr="00B17EA4">
              <w:rPr>
                <w:rFonts w:ascii="Calibri" w:eastAsia="Times New Roman" w:hAnsi="Calibri" w:cs="Times New Roman"/>
                <w:color w:val="000000"/>
                <w:sz w:val="20"/>
                <w:szCs w:val="20"/>
                <w:lang w:eastAsia="en-AU"/>
              </w:rPr>
              <w:t>0</w:t>
            </w:r>
          </w:p>
        </w:tc>
        <w:tc>
          <w:tcPr>
            <w:tcW w:w="420" w:type="pct"/>
            <w:tcBorders>
              <w:top w:val="single" w:sz="4" w:space="0" w:color="auto"/>
              <w:left w:val="nil"/>
              <w:bottom w:val="single" w:sz="4" w:space="0" w:color="auto"/>
              <w:right w:val="nil"/>
            </w:tcBorders>
            <w:shd w:val="clear" w:color="auto" w:fill="auto"/>
            <w:vAlign w:val="center"/>
            <w:hideMark/>
          </w:tcPr>
          <w:p w14:paraId="38C10ED2" w14:textId="77777777" w:rsidR="00AA6866" w:rsidRPr="00B17EA4" w:rsidRDefault="00AA6866" w:rsidP="00ED4348">
            <w:pPr>
              <w:tabs>
                <w:tab w:val="clear" w:pos="567"/>
              </w:tabs>
              <w:spacing w:after="0" w:line="240" w:lineRule="auto"/>
              <w:jc w:val="right"/>
              <w:rPr>
                <w:rFonts w:ascii="Calibri" w:eastAsia="Times New Roman" w:hAnsi="Calibri" w:cs="Times New Roman"/>
                <w:color w:val="000000"/>
                <w:sz w:val="20"/>
                <w:szCs w:val="20"/>
                <w:lang w:eastAsia="en-AU"/>
              </w:rPr>
            </w:pPr>
            <w:r w:rsidRPr="00B17EA4">
              <w:rPr>
                <w:rFonts w:ascii="Calibri" w:eastAsia="Times New Roman" w:hAnsi="Calibri" w:cs="Times New Roman"/>
                <w:color w:val="000000"/>
                <w:sz w:val="20"/>
                <w:szCs w:val="20"/>
                <w:lang w:eastAsia="en-AU"/>
              </w:rPr>
              <w:t>0</w:t>
            </w:r>
          </w:p>
        </w:tc>
        <w:tc>
          <w:tcPr>
            <w:tcW w:w="420" w:type="pct"/>
            <w:tcBorders>
              <w:top w:val="single" w:sz="4" w:space="0" w:color="auto"/>
              <w:left w:val="nil"/>
              <w:bottom w:val="single" w:sz="4" w:space="0" w:color="auto"/>
              <w:right w:val="nil"/>
            </w:tcBorders>
            <w:shd w:val="clear" w:color="auto" w:fill="auto"/>
            <w:vAlign w:val="center"/>
            <w:hideMark/>
          </w:tcPr>
          <w:p w14:paraId="616263EE" w14:textId="77777777" w:rsidR="00AA6866" w:rsidRPr="00B17EA4" w:rsidRDefault="00AA6866" w:rsidP="00ED4348">
            <w:pPr>
              <w:tabs>
                <w:tab w:val="clear" w:pos="567"/>
              </w:tabs>
              <w:spacing w:after="0" w:line="240" w:lineRule="auto"/>
              <w:jc w:val="right"/>
              <w:rPr>
                <w:rFonts w:ascii="Calibri" w:eastAsia="Times New Roman" w:hAnsi="Calibri" w:cs="Times New Roman"/>
                <w:color w:val="000000"/>
                <w:sz w:val="20"/>
                <w:szCs w:val="20"/>
                <w:lang w:eastAsia="en-AU"/>
              </w:rPr>
            </w:pPr>
            <w:r w:rsidRPr="00B17EA4">
              <w:rPr>
                <w:rFonts w:ascii="Calibri" w:eastAsia="Times New Roman" w:hAnsi="Calibri" w:cs="Times New Roman"/>
                <w:color w:val="000000"/>
                <w:sz w:val="20"/>
                <w:szCs w:val="20"/>
                <w:lang w:eastAsia="en-AU"/>
              </w:rPr>
              <w:t>0</w:t>
            </w:r>
          </w:p>
        </w:tc>
        <w:tc>
          <w:tcPr>
            <w:tcW w:w="420" w:type="pct"/>
            <w:tcBorders>
              <w:top w:val="single" w:sz="4" w:space="0" w:color="auto"/>
              <w:left w:val="nil"/>
              <w:bottom w:val="single" w:sz="4" w:space="0" w:color="auto"/>
              <w:right w:val="nil"/>
            </w:tcBorders>
            <w:shd w:val="clear" w:color="auto" w:fill="auto"/>
            <w:vAlign w:val="center"/>
            <w:hideMark/>
          </w:tcPr>
          <w:p w14:paraId="16A092E8" w14:textId="77777777" w:rsidR="00AA6866" w:rsidRPr="00B17EA4" w:rsidRDefault="00AA6866" w:rsidP="00ED4348">
            <w:pPr>
              <w:tabs>
                <w:tab w:val="clear" w:pos="567"/>
              </w:tabs>
              <w:spacing w:after="0" w:line="240" w:lineRule="auto"/>
              <w:jc w:val="right"/>
              <w:rPr>
                <w:rFonts w:ascii="Calibri" w:eastAsia="Times New Roman" w:hAnsi="Calibri" w:cs="Times New Roman"/>
                <w:color w:val="000000"/>
                <w:sz w:val="20"/>
                <w:szCs w:val="20"/>
                <w:lang w:eastAsia="en-AU"/>
              </w:rPr>
            </w:pPr>
            <w:r w:rsidRPr="00B17EA4">
              <w:rPr>
                <w:rFonts w:ascii="Calibri" w:eastAsia="Times New Roman" w:hAnsi="Calibri" w:cs="Times New Roman"/>
                <w:color w:val="000000"/>
                <w:sz w:val="20"/>
                <w:szCs w:val="20"/>
                <w:lang w:eastAsia="en-AU"/>
              </w:rPr>
              <w:t>0</w:t>
            </w:r>
          </w:p>
        </w:tc>
        <w:tc>
          <w:tcPr>
            <w:tcW w:w="420" w:type="pct"/>
            <w:tcBorders>
              <w:top w:val="single" w:sz="4" w:space="0" w:color="auto"/>
              <w:left w:val="nil"/>
              <w:bottom w:val="single" w:sz="4" w:space="0" w:color="auto"/>
              <w:right w:val="nil"/>
            </w:tcBorders>
            <w:shd w:val="clear" w:color="auto" w:fill="auto"/>
            <w:vAlign w:val="center"/>
            <w:hideMark/>
          </w:tcPr>
          <w:p w14:paraId="293081E9" w14:textId="77777777" w:rsidR="00AA6866" w:rsidRPr="00B17EA4" w:rsidRDefault="00AA6866" w:rsidP="00ED4348">
            <w:pPr>
              <w:tabs>
                <w:tab w:val="clear" w:pos="567"/>
              </w:tabs>
              <w:spacing w:after="0" w:line="240" w:lineRule="auto"/>
              <w:jc w:val="right"/>
              <w:rPr>
                <w:rFonts w:ascii="Calibri" w:eastAsia="Times New Roman" w:hAnsi="Calibri" w:cs="Times New Roman"/>
                <w:color w:val="000000"/>
                <w:sz w:val="20"/>
                <w:szCs w:val="20"/>
                <w:lang w:eastAsia="en-AU"/>
              </w:rPr>
            </w:pPr>
            <w:r w:rsidRPr="00B17EA4">
              <w:rPr>
                <w:rFonts w:ascii="Calibri" w:eastAsia="Times New Roman" w:hAnsi="Calibri" w:cs="Times New Roman"/>
                <w:color w:val="000000"/>
                <w:sz w:val="20"/>
                <w:szCs w:val="20"/>
                <w:lang w:eastAsia="en-AU"/>
              </w:rPr>
              <w:t>46</w:t>
            </w:r>
          </w:p>
        </w:tc>
        <w:tc>
          <w:tcPr>
            <w:tcW w:w="420" w:type="pct"/>
            <w:tcBorders>
              <w:top w:val="single" w:sz="4" w:space="0" w:color="auto"/>
              <w:left w:val="nil"/>
              <w:bottom w:val="single" w:sz="4" w:space="0" w:color="auto"/>
              <w:right w:val="nil"/>
            </w:tcBorders>
            <w:shd w:val="clear" w:color="auto" w:fill="auto"/>
            <w:vAlign w:val="center"/>
            <w:hideMark/>
          </w:tcPr>
          <w:p w14:paraId="44F480E4" w14:textId="77777777" w:rsidR="00AA6866" w:rsidRPr="00B17EA4" w:rsidRDefault="00AA6866" w:rsidP="00ED4348">
            <w:pPr>
              <w:tabs>
                <w:tab w:val="clear" w:pos="567"/>
              </w:tabs>
              <w:spacing w:after="0" w:line="240" w:lineRule="auto"/>
              <w:jc w:val="right"/>
              <w:rPr>
                <w:rFonts w:ascii="Calibri" w:eastAsia="Times New Roman" w:hAnsi="Calibri" w:cs="Times New Roman"/>
                <w:color w:val="000000"/>
                <w:sz w:val="20"/>
                <w:szCs w:val="20"/>
                <w:lang w:eastAsia="en-AU"/>
              </w:rPr>
            </w:pPr>
            <w:r w:rsidRPr="00B17EA4">
              <w:rPr>
                <w:rFonts w:ascii="Calibri" w:eastAsia="Times New Roman" w:hAnsi="Calibri" w:cs="Times New Roman"/>
                <w:color w:val="000000"/>
                <w:sz w:val="20"/>
                <w:szCs w:val="20"/>
                <w:lang w:eastAsia="en-AU"/>
              </w:rPr>
              <w:t>0</w:t>
            </w:r>
          </w:p>
        </w:tc>
        <w:tc>
          <w:tcPr>
            <w:tcW w:w="420" w:type="pct"/>
            <w:tcBorders>
              <w:top w:val="nil"/>
              <w:left w:val="nil"/>
              <w:bottom w:val="single" w:sz="4" w:space="0" w:color="auto"/>
              <w:right w:val="nil"/>
            </w:tcBorders>
            <w:shd w:val="clear" w:color="auto" w:fill="auto"/>
            <w:vAlign w:val="center"/>
            <w:hideMark/>
          </w:tcPr>
          <w:p w14:paraId="73017BF9" w14:textId="77777777" w:rsidR="00AA6866" w:rsidRPr="00B17EA4" w:rsidRDefault="00AA6866" w:rsidP="00ED4348">
            <w:pPr>
              <w:tabs>
                <w:tab w:val="clear" w:pos="567"/>
              </w:tabs>
              <w:spacing w:after="0" w:line="240" w:lineRule="auto"/>
              <w:jc w:val="right"/>
              <w:rPr>
                <w:rFonts w:ascii="Calibri" w:eastAsia="Times New Roman" w:hAnsi="Calibri" w:cs="Times New Roman"/>
                <w:color w:val="000000"/>
                <w:sz w:val="20"/>
                <w:szCs w:val="20"/>
                <w:lang w:eastAsia="en-AU"/>
              </w:rPr>
            </w:pPr>
            <w:r w:rsidRPr="00B17EA4">
              <w:rPr>
                <w:rFonts w:ascii="Calibri" w:eastAsia="Times New Roman" w:hAnsi="Calibri" w:cs="Times New Roman"/>
                <w:color w:val="000000"/>
                <w:sz w:val="20"/>
                <w:szCs w:val="20"/>
                <w:lang w:eastAsia="en-AU"/>
              </w:rPr>
              <w:t>46</w:t>
            </w:r>
          </w:p>
        </w:tc>
      </w:tr>
    </w:tbl>
    <w:p w14:paraId="1BA4FAD2" w14:textId="18590AF8" w:rsidR="00AA6866" w:rsidRDefault="00AA6866" w:rsidP="004A1AF3">
      <w:pPr>
        <w:pStyle w:val="CGCTableFootnote"/>
        <w:ind w:left="0" w:firstLine="0"/>
      </w:pPr>
      <w:r>
        <w:t>Source:</w:t>
      </w:r>
      <w:r>
        <w:tab/>
        <w:t>2018 Update.</w:t>
      </w:r>
    </w:p>
    <w:p w14:paraId="3BB5BC31" w14:textId="71120F05" w:rsidR="00F46EFD" w:rsidRDefault="00F46EFD" w:rsidP="00F46EFD">
      <w:pPr>
        <w:pStyle w:val="Heading3"/>
      </w:pPr>
      <w:bookmarkStart w:id="47" w:name="_Toc511048308"/>
      <w:bookmarkStart w:id="48" w:name="_Toc511048410"/>
      <w:bookmarkStart w:id="49" w:name="_Toc511048448"/>
      <w:bookmarkStart w:id="50" w:name="_Toc511048483"/>
      <w:bookmarkStart w:id="51" w:name="_Toc511398658"/>
      <w:bookmarkStart w:id="52" w:name="_Toc511398702"/>
      <w:bookmarkStart w:id="53" w:name="_Toc511892526"/>
      <w:r w:rsidRPr="00617ED7">
        <w:t>I</w:t>
      </w:r>
      <w:r w:rsidR="00C23AC3">
        <w:t>ssues and analysis</w:t>
      </w:r>
      <w:bookmarkEnd w:id="47"/>
      <w:bookmarkEnd w:id="48"/>
      <w:bookmarkEnd w:id="49"/>
      <w:bookmarkEnd w:id="50"/>
      <w:bookmarkEnd w:id="51"/>
      <w:bookmarkEnd w:id="52"/>
      <w:bookmarkEnd w:id="53"/>
    </w:p>
    <w:p w14:paraId="460173AD" w14:textId="77777777" w:rsidR="00F46EFD" w:rsidRDefault="00F46EFD" w:rsidP="00F46EFD">
      <w:pPr>
        <w:pStyle w:val="Heading4"/>
      </w:pPr>
      <w:bookmarkStart w:id="54" w:name="_Toc511048309"/>
      <w:bookmarkStart w:id="55" w:name="_Toc511048411"/>
      <w:bookmarkStart w:id="56" w:name="_Toc511048449"/>
      <w:bookmarkStart w:id="57" w:name="_Toc511048484"/>
      <w:bookmarkStart w:id="58" w:name="_Toc511398659"/>
      <w:bookmarkStart w:id="59" w:name="_Toc511398703"/>
      <w:bookmarkStart w:id="60" w:name="_Toc511892527"/>
      <w:r>
        <w:t>Services where comprehensive actual data exist</w:t>
      </w:r>
      <w:bookmarkEnd w:id="54"/>
      <w:bookmarkEnd w:id="55"/>
      <w:bookmarkEnd w:id="56"/>
      <w:bookmarkEnd w:id="57"/>
      <w:bookmarkEnd w:id="58"/>
      <w:bookmarkEnd w:id="59"/>
      <w:bookmarkEnd w:id="60"/>
    </w:p>
    <w:p w14:paraId="40BF7F73" w14:textId="4F821CC3" w:rsidR="00F46EFD" w:rsidRDefault="00F46EFD" w:rsidP="00F46EFD">
      <w:pPr>
        <w:pStyle w:val="CGCNumberedPara"/>
        <w:numPr>
          <w:ilvl w:val="1"/>
          <w:numId w:val="3"/>
        </w:numPr>
      </w:pPr>
      <w:r>
        <w:t xml:space="preserve">Staff preference is to use actual </w:t>
      </w:r>
      <w:r w:rsidR="00212822">
        <w:t xml:space="preserve">service </w:t>
      </w:r>
      <w:r>
        <w:t xml:space="preserve">use data to measure cross-border disabilities where possible. As such, we intend to retain the 2015 Review </w:t>
      </w:r>
      <w:r w:rsidR="00212822">
        <w:t xml:space="preserve">approaches to </w:t>
      </w:r>
      <w:r>
        <w:t>cross</w:t>
      </w:r>
      <w:r w:rsidR="00915266">
        <w:noBreakHyphen/>
      </w:r>
      <w:r>
        <w:t>border disabilities for schools,</w:t>
      </w:r>
      <w:r w:rsidR="00915266">
        <w:t xml:space="preserve"> </w:t>
      </w:r>
      <w:r>
        <w:t xml:space="preserve">post-secondary education and roads. </w:t>
      </w:r>
    </w:p>
    <w:p w14:paraId="0D89432F" w14:textId="36A1B23C" w:rsidR="00F46EFD" w:rsidRPr="007712DD" w:rsidRDefault="00F46EFD" w:rsidP="00915266">
      <w:pPr>
        <w:pStyle w:val="CGCNumberedPara"/>
      </w:pPr>
      <w:r>
        <w:t xml:space="preserve">We expect the reimbursement arrangements for cross-border use of hospital services between the Commonwealth and the States to continue. We intend to retain the current adjustments to the </w:t>
      </w:r>
      <w:r w:rsidRPr="008A3F5C">
        <w:t>National Health Reform funding payments</w:t>
      </w:r>
      <w:r>
        <w:t>.</w:t>
      </w:r>
      <w:r w:rsidR="00915266">
        <w:t xml:space="preserve"> There is a more detailed discussion of the hospital services cross-border arrangement in the </w:t>
      </w:r>
      <w:r w:rsidR="00AB4177">
        <w:t>Staff Draft Assessment P</w:t>
      </w:r>
      <w:r w:rsidR="00915266">
        <w:t xml:space="preserve">aper </w:t>
      </w:r>
      <w:r w:rsidR="00AB4177">
        <w:rPr>
          <w:i/>
        </w:rPr>
        <w:t>CGC 2018-01/12</w:t>
      </w:r>
      <w:r w:rsidR="00915266" w:rsidRPr="009220E2">
        <w:rPr>
          <w:i/>
        </w:rPr>
        <w:t>-S</w:t>
      </w:r>
      <w:r w:rsidR="009220E2">
        <w:rPr>
          <w:i/>
        </w:rPr>
        <w:t>,</w:t>
      </w:r>
      <w:r w:rsidR="00915266">
        <w:t xml:space="preserve"> </w:t>
      </w:r>
      <w:r w:rsidR="00915266" w:rsidRPr="00915266">
        <w:rPr>
          <w:i/>
        </w:rPr>
        <w:t>Health</w:t>
      </w:r>
      <w:r w:rsidR="00915266">
        <w:t>.</w:t>
      </w:r>
    </w:p>
    <w:tbl>
      <w:tblPr>
        <w:tblStyle w:val="TableGrid"/>
        <w:tblW w:w="0" w:type="auto"/>
        <w:tblLook w:val="04A0" w:firstRow="1" w:lastRow="0" w:firstColumn="1" w:lastColumn="0" w:noHBand="0" w:noVBand="1"/>
      </w:tblPr>
      <w:tblGrid>
        <w:gridCol w:w="9167"/>
      </w:tblGrid>
      <w:tr w:rsidR="00F46EFD" w14:paraId="3C79B8B8" w14:textId="77777777" w:rsidTr="00412BFF">
        <w:tc>
          <w:tcPr>
            <w:tcW w:w="9167" w:type="dxa"/>
            <w:tcBorders>
              <w:top w:val="nil"/>
              <w:left w:val="nil"/>
              <w:bottom w:val="nil"/>
              <w:right w:val="nil"/>
            </w:tcBorders>
            <w:shd w:val="clear" w:color="auto" w:fill="D9F3E6"/>
          </w:tcPr>
          <w:p w14:paraId="5608F983" w14:textId="77777777" w:rsidR="00F46EFD" w:rsidRDefault="00F46EFD" w:rsidP="00412BFF">
            <w:r>
              <w:t>Staff propose to recommend the Commission:</w:t>
            </w:r>
          </w:p>
          <w:p w14:paraId="3158F347" w14:textId="7B4FF3B9" w:rsidR="00F46EFD" w:rsidRDefault="00F46EFD" w:rsidP="00915266">
            <w:pPr>
              <w:pStyle w:val="CGCBulletlist"/>
              <w:numPr>
                <w:ilvl w:val="0"/>
                <w:numId w:val="1"/>
              </w:numPr>
              <w:tabs>
                <w:tab w:val="clear" w:pos="927"/>
              </w:tabs>
              <w:ind w:left="1134" w:hanging="567"/>
            </w:pPr>
            <w:r>
              <w:t xml:space="preserve">retain the 2015 Review </w:t>
            </w:r>
            <w:r w:rsidR="00212822">
              <w:t>approaches to</w:t>
            </w:r>
            <w:r>
              <w:t xml:space="preserve"> cross-border disabilities for schools, post</w:t>
            </w:r>
            <w:r w:rsidR="00915266">
              <w:noBreakHyphen/>
            </w:r>
            <w:r>
              <w:t>secondary education, roads and hospitals.</w:t>
            </w:r>
          </w:p>
        </w:tc>
      </w:tr>
    </w:tbl>
    <w:p w14:paraId="24B04117" w14:textId="77777777" w:rsidR="00F46EFD" w:rsidRDefault="00F46EFD" w:rsidP="00F46EFD">
      <w:pPr>
        <w:pStyle w:val="Heading4"/>
      </w:pPr>
      <w:bookmarkStart w:id="61" w:name="_Toc511048310"/>
      <w:bookmarkStart w:id="62" w:name="_Toc511048412"/>
      <w:bookmarkStart w:id="63" w:name="_Toc511048450"/>
      <w:bookmarkStart w:id="64" w:name="_Toc511048485"/>
      <w:bookmarkStart w:id="65" w:name="_Toc511398660"/>
      <w:bookmarkStart w:id="66" w:name="_Toc511398704"/>
      <w:bookmarkStart w:id="67" w:name="_Toc511892528"/>
      <w:r>
        <w:t>Community health</w:t>
      </w:r>
      <w:bookmarkEnd w:id="61"/>
      <w:bookmarkEnd w:id="62"/>
      <w:bookmarkEnd w:id="63"/>
      <w:bookmarkEnd w:id="64"/>
      <w:bookmarkEnd w:id="65"/>
      <w:bookmarkEnd w:id="66"/>
      <w:bookmarkEnd w:id="67"/>
      <w:r>
        <w:t xml:space="preserve"> </w:t>
      </w:r>
    </w:p>
    <w:p w14:paraId="18BDC575" w14:textId="38C9EEA5" w:rsidR="00F46EFD" w:rsidRDefault="00F46EFD" w:rsidP="00F46EFD">
      <w:pPr>
        <w:pStyle w:val="CGCNumberedPara"/>
        <w:numPr>
          <w:ilvl w:val="1"/>
          <w:numId w:val="3"/>
        </w:numPr>
      </w:pPr>
      <w:r>
        <w:t xml:space="preserve">In previous reviews, the ACT provided evidence of significant cross-border use of its community health services by New South Wales residents. </w:t>
      </w:r>
      <w:r w:rsidR="00084FC5">
        <w:t xml:space="preserve">That situation is likely to continue, implying there </w:t>
      </w:r>
      <w:r>
        <w:t xml:space="preserve">is a strong case to retain a cross-border assessment for community health expenses. </w:t>
      </w:r>
    </w:p>
    <w:p w14:paraId="434CD286" w14:textId="3F5D79F6" w:rsidR="00F46EFD" w:rsidRDefault="00084FC5" w:rsidP="00F46EFD">
      <w:pPr>
        <w:pStyle w:val="CGCNumberedPara"/>
        <w:numPr>
          <w:ilvl w:val="1"/>
          <w:numId w:val="3"/>
        </w:numPr>
      </w:pPr>
      <w:r>
        <w:t>Since</w:t>
      </w:r>
      <w:r w:rsidR="00F46EFD">
        <w:t xml:space="preserve"> the 2015 Review assessment was based on data </w:t>
      </w:r>
      <w:r>
        <w:t>provided</w:t>
      </w:r>
      <w:r w:rsidR="00F46EFD">
        <w:t xml:space="preserve"> in the 2010 Review, staff consider the cross-border use data should be updated. </w:t>
      </w:r>
      <w:r>
        <w:t>We</w:t>
      </w:r>
      <w:r w:rsidR="00F46EFD">
        <w:t xml:space="preserve"> propose to work with the ACT to identify the </w:t>
      </w:r>
      <w:r>
        <w:t>current net level</w:t>
      </w:r>
      <w:r w:rsidR="00F46EFD">
        <w:t xml:space="preserve"> of </w:t>
      </w:r>
      <w:r>
        <w:t xml:space="preserve">cross-border </w:t>
      </w:r>
      <w:r w:rsidR="00F46EFD">
        <w:t xml:space="preserve">use of </w:t>
      </w:r>
      <w:r>
        <w:t>ACT and New</w:t>
      </w:r>
      <w:r w:rsidR="00FB0118">
        <w:t> </w:t>
      </w:r>
      <w:r>
        <w:t>South</w:t>
      </w:r>
      <w:r w:rsidR="00FB0118">
        <w:t> </w:t>
      </w:r>
      <w:r>
        <w:t xml:space="preserve">Wales </w:t>
      </w:r>
      <w:r w:rsidR="00F46EFD">
        <w:t xml:space="preserve">community health services. </w:t>
      </w:r>
    </w:p>
    <w:tbl>
      <w:tblPr>
        <w:tblStyle w:val="TableGrid"/>
        <w:tblW w:w="0" w:type="auto"/>
        <w:tblLook w:val="04A0" w:firstRow="1" w:lastRow="0" w:firstColumn="1" w:lastColumn="0" w:noHBand="0" w:noVBand="1"/>
      </w:tblPr>
      <w:tblGrid>
        <w:gridCol w:w="9167"/>
      </w:tblGrid>
      <w:tr w:rsidR="00F46EFD" w14:paraId="7B6DCE57" w14:textId="77777777" w:rsidTr="00412BFF">
        <w:tc>
          <w:tcPr>
            <w:tcW w:w="9167" w:type="dxa"/>
            <w:tcBorders>
              <w:top w:val="nil"/>
              <w:left w:val="nil"/>
              <w:bottom w:val="nil"/>
              <w:right w:val="nil"/>
            </w:tcBorders>
            <w:shd w:val="clear" w:color="auto" w:fill="D9F3E6"/>
          </w:tcPr>
          <w:p w14:paraId="171668DC" w14:textId="77777777" w:rsidR="00F46EFD" w:rsidRDefault="00F46EFD" w:rsidP="00412BFF">
            <w:r>
              <w:t>Staff propose to recommend the Commission:</w:t>
            </w:r>
          </w:p>
          <w:p w14:paraId="51C18395" w14:textId="77777777" w:rsidR="00F46EFD" w:rsidRDefault="00F46EFD" w:rsidP="00F46EFD">
            <w:pPr>
              <w:pStyle w:val="CGCBulletlist"/>
              <w:numPr>
                <w:ilvl w:val="0"/>
                <w:numId w:val="1"/>
              </w:numPr>
              <w:tabs>
                <w:tab w:val="clear" w:pos="927"/>
              </w:tabs>
              <w:ind w:left="1134" w:hanging="567"/>
            </w:pPr>
            <w:r>
              <w:t>retain a cross-border assessment for community health expenses</w:t>
            </w:r>
          </w:p>
          <w:p w14:paraId="07E1C5CC" w14:textId="77777777" w:rsidR="00F46EFD" w:rsidRDefault="00F46EFD" w:rsidP="00F46EFD">
            <w:pPr>
              <w:pStyle w:val="CGCBulletlist"/>
              <w:numPr>
                <w:ilvl w:val="0"/>
                <w:numId w:val="1"/>
              </w:numPr>
              <w:tabs>
                <w:tab w:val="clear" w:pos="927"/>
              </w:tabs>
              <w:ind w:left="1134" w:hanging="567"/>
            </w:pPr>
            <w:r>
              <w:t>collect updated evidence on cross-border use of ACT community health services by residents from New South Wales and use of New South Wales community health services by ACT residents.</w:t>
            </w:r>
          </w:p>
        </w:tc>
      </w:tr>
    </w:tbl>
    <w:p w14:paraId="3E91D864" w14:textId="77777777" w:rsidR="00F46EFD" w:rsidRDefault="00F46EFD" w:rsidP="00F46EFD">
      <w:pPr>
        <w:pStyle w:val="Heading4"/>
      </w:pPr>
      <w:bookmarkStart w:id="68" w:name="_Toc511048311"/>
      <w:bookmarkStart w:id="69" w:name="_Toc511048413"/>
      <w:bookmarkStart w:id="70" w:name="_Toc511048451"/>
      <w:bookmarkStart w:id="71" w:name="_Toc511048486"/>
      <w:bookmarkStart w:id="72" w:name="_Toc511398661"/>
      <w:bookmarkStart w:id="73" w:name="_Toc511398705"/>
      <w:bookmarkStart w:id="74" w:name="_Toc511892529"/>
      <w:r>
        <w:t>Other services</w:t>
      </w:r>
      <w:bookmarkEnd w:id="68"/>
      <w:bookmarkEnd w:id="69"/>
      <w:bookmarkEnd w:id="70"/>
      <w:bookmarkEnd w:id="71"/>
      <w:bookmarkEnd w:id="72"/>
      <w:bookmarkEnd w:id="73"/>
      <w:bookmarkEnd w:id="74"/>
      <w:r>
        <w:t xml:space="preserve"> </w:t>
      </w:r>
    </w:p>
    <w:p w14:paraId="7C2746AC" w14:textId="789A3F36" w:rsidR="00F46EFD" w:rsidRDefault="00F46EFD" w:rsidP="00F46EFD">
      <w:pPr>
        <w:pStyle w:val="CGCNumberedPara"/>
        <w:numPr>
          <w:ilvl w:val="1"/>
          <w:numId w:val="3"/>
        </w:numPr>
      </w:pPr>
      <w:r>
        <w:t>We do not propose to assess cross-border disabilities for any other services</w:t>
      </w:r>
      <w:r w:rsidR="00084FC5">
        <w:t>, unless</w:t>
      </w:r>
      <w:r>
        <w:t xml:space="preserve"> States </w:t>
      </w:r>
      <w:r w:rsidR="00084FC5">
        <w:t xml:space="preserve">can </w:t>
      </w:r>
      <w:r>
        <w:t>make a conceptual case, supported by</w:t>
      </w:r>
      <w:r w:rsidR="00246E76">
        <w:t xml:space="preserve"> current</w:t>
      </w:r>
      <w:r>
        <w:t xml:space="preserve"> data</w:t>
      </w:r>
      <w:r w:rsidR="00246E76">
        <w:t xml:space="preserve"> that </w:t>
      </w:r>
      <w:r>
        <w:t xml:space="preserve">cross-border </w:t>
      </w:r>
      <w:r w:rsidR="00246E76">
        <w:t>use materially affects their costs</w:t>
      </w:r>
      <w:r>
        <w:t xml:space="preserve">. </w:t>
      </w:r>
    </w:p>
    <w:p w14:paraId="6AFA4EB7" w14:textId="60E1B0F1" w:rsidR="00F46EFD" w:rsidRDefault="00246E76" w:rsidP="00F46EFD">
      <w:pPr>
        <w:pStyle w:val="CGCNumberedPara"/>
        <w:numPr>
          <w:ilvl w:val="1"/>
          <w:numId w:val="3"/>
        </w:numPr>
      </w:pPr>
      <w:r>
        <w:rPr>
          <w:rStyle w:val="Heading6Char"/>
        </w:rPr>
        <w:t>Welfare - d</w:t>
      </w:r>
      <w:r w:rsidR="00F46EFD" w:rsidRPr="00C46B9B">
        <w:rPr>
          <w:rStyle w:val="Heading6Char"/>
        </w:rPr>
        <w:t>isability services.</w:t>
      </w:r>
      <w:r w:rsidR="00F46EFD">
        <w:t xml:space="preserve"> </w:t>
      </w:r>
      <w:r>
        <w:t xml:space="preserve">A </w:t>
      </w:r>
      <w:r w:rsidR="00F46EFD">
        <w:t>cross-border assessment will no</w:t>
      </w:r>
      <w:r>
        <w:t>t</w:t>
      </w:r>
      <w:r w:rsidR="00F46EFD">
        <w:t xml:space="preserve"> be required for disability services</w:t>
      </w:r>
      <w:r w:rsidRPr="00246E76">
        <w:t xml:space="preserve"> </w:t>
      </w:r>
      <w:r>
        <w:t xml:space="preserve">after the full implementation of the NDIS, since </w:t>
      </w:r>
      <w:r w:rsidR="00F46EFD">
        <w:t xml:space="preserve">NDIS services do not attract cross-border use. </w:t>
      </w:r>
      <w:r>
        <w:t xml:space="preserve">While </w:t>
      </w:r>
      <w:r w:rsidR="00F46EFD">
        <w:t>some residual State disability services</w:t>
      </w:r>
      <w:r>
        <w:t xml:space="preserve"> will remain, cross-border use of them is expected to be negligible</w:t>
      </w:r>
      <w:r w:rsidR="00F46EFD">
        <w:t>.</w:t>
      </w:r>
    </w:p>
    <w:p w14:paraId="1FAAC5E8" w14:textId="2F84068D" w:rsidR="00F46EFD" w:rsidRPr="008C2AAF" w:rsidRDefault="00F46EFD" w:rsidP="00777E96">
      <w:pPr>
        <w:pStyle w:val="CGCNumberedPara"/>
      </w:pPr>
      <w:r>
        <w:t xml:space="preserve">In </w:t>
      </w:r>
      <w:r w:rsidR="00246E76">
        <w:t>its</w:t>
      </w:r>
      <w:r>
        <w:t xml:space="preserve"> response to the</w:t>
      </w:r>
      <w:r w:rsidRPr="008C2AAF">
        <w:t xml:space="preserve"> </w:t>
      </w:r>
      <w:r w:rsidR="000846BF">
        <w:t>Staff Research Paper</w:t>
      </w:r>
      <w:r w:rsidR="001011C4">
        <w:t xml:space="preserve"> </w:t>
      </w:r>
      <w:r w:rsidR="001011C4">
        <w:rPr>
          <w:i/>
        </w:rPr>
        <w:t>CGC 2016-10-S,</w:t>
      </w:r>
      <w:r w:rsidRPr="008C2AAF">
        <w:rPr>
          <w:i/>
        </w:rPr>
        <w:t xml:space="preserve"> </w:t>
      </w:r>
      <w:r w:rsidR="000846BF">
        <w:rPr>
          <w:i/>
        </w:rPr>
        <w:t xml:space="preserve">What States Do — </w:t>
      </w:r>
      <w:r w:rsidRPr="008C2AAF">
        <w:rPr>
          <w:i/>
        </w:rPr>
        <w:t>Welfare Services</w:t>
      </w:r>
      <w:r w:rsidRPr="008C2AAF">
        <w:t>,</w:t>
      </w:r>
      <w:r>
        <w:t xml:space="preserve"> t</w:t>
      </w:r>
      <w:r w:rsidRPr="008C2AAF">
        <w:t xml:space="preserve">he ACT </w:t>
      </w:r>
      <w:r>
        <w:t>said it would</w:t>
      </w:r>
      <w:r w:rsidRPr="008C2AAF">
        <w:t xml:space="preserve"> continue to support peak organisations but w</w:t>
      </w:r>
      <w:r>
        <w:t>ould</w:t>
      </w:r>
      <w:r w:rsidRPr="008C2AAF">
        <w:t xml:space="preserve"> not fund ‘residual’ specialist disability services. The Community Assistance and Support Program </w:t>
      </w:r>
      <w:r w:rsidR="00412D61">
        <w:t>(</w:t>
      </w:r>
      <w:proofErr w:type="spellStart"/>
      <w:r w:rsidR="00412D61">
        <w:t>CASP</w:t>
      </w:r>
      <w:proofErr w:type="spellEnd"/>
      <w:r w:rsidR="00412D61">
        <w:t xml:space="preserve">) </w:t>
      </w:r>
      <w:r w:rsidRPr="008C2AAF">
        <w:t xml:space="preserve">(new name for the under 65s </w:t>
      </w:r>
      <w:r w:rsidR="00777E96" w:rsidRPr="00777E96">
        <w:t xml:space="preserve">Home and Community Care </w:t>
      </w:r>
      <w:r w:rsidRPr="008C2AAF">
        <w:t>program funded through ACT Health</w:t>
      </w:r>
      <w:r>
        <w:t>)</w:t>
      </w:r>
      <w:r w:rsidRPr="008C2AAF">
        <w:t xml:space="preserve"> provide</w:t>
      </w:r>
      <w:r>
        <w:t>s</w:t>
      </w:r>
      <w:r w:rsidRPr="008C2AAF">
        <w:t xml:space="preserve"> support for people under the age of 65 years who are not eligible</w:t>
      </w:r>
      <w:r w:rsidRPr="00C66640">
        <w:t xml:space="preserve"> </w:t>
      </w:r>
      <w:r>
        <w:t xml:space="preserve">for </w:t>
      </w:r>
      <w:r w:rsidRPr="008C2AAF">
        <w:t>NDIS</w:t>
      </w:r>
      <w:r w:rsidR="00FA08D0">
        <w:t>, but it</w:t>
      </w:r>
      <w:r>
        <w:t xml:space="preserve"> is only available to ACT residents.</w:t>
      </w:r>
      <w:r>
        <w:rPr>
          <w:rStyle w:val="FootnoteReference"/>
        </w:rPr>
        <w:footnoteReference w:id="2"/>
      </w:r>
    </w:p>
    <w:p w14:paraId="1B587938" w14:textId="77777777" w:rsidR="000565BA" w:rsidRDefault="000565BA" w:rsidP="000565BA">
      <w:pPr>
        <w:pStyle w:val="CGCNumberedPara"/>
        <w:numPr>
          <w:ilvl w:val="1"/>
          <w:numId w:val="3"/>
        </w:numPr>
      </w:pPr>
      <w:r>
        <w:t>Therefore, Commission staff propose not to apply a cross-border factor to these expenses unless there is evidence that they are significant, the services attract cross</w:t>
      </w:r>
      <w:r>
        <w:noBreakHyphen/>
        <w:t>border use and that use leads to identifiable costs for the ACT.</w:t>
      </w:r>
    </w:p>
    <w:p w14:paraId="760D2450" w14:textId="6A326FDD" w:rsidR="00F46EFD" w:rsidRDefault="00F46EFD" w:rsidP="00F46EFD">
      <w:pPr>
        <w:pStyle w:val="CGCNumberedPara"/>
        <w:numPr>
          <w:ilvl w:val="1"/>
          <w:numId w:val="3"/>
        </w:numPr>
      </w:pPr>
      <w:r w:rsidRPr="00C46B9B">
        <w:rPr>
          <w:rStyle w:val="Heading6Char"/>
        </w:rPr>
        <w:t>Other general welfare services.</w:t>
      </w:r>
      <w:r>
        <w:t xml:space="preserve"> In the 2015 Review, a cross-border factor was applied to the other general welfare expenses</w:t>
      </w:r>
      <w:r w:rsidR="00FA08D0">
        <w:t xml:space="preserve">, which were mostly for </w:t>
      </w:r>
      <w:r>
        <w:t xml:space="preserve">homelessness services. </w:t>
      </w:r>
      <w:r w:rsidRPr="00CB412C">
        <w:t xml:space="preserve">Government </w:t>
      </w:r>
      <w:r>
        <w:t>fund</w:t>
      </w:r>
      <w:r w:rsidR="00FA08D0">
        <w:t>ed</w:t>
      </w:r>
      <w:r w:rsidRPr="00CB412C">
        <w:t xml:space="preserve"> homelessness service</w:t>
      </w:r>
      <w:r>
        <w:t>s</w:t>
      </w:r>
      <w:r w:rsidR="00FA08D0">
        <w:t xml:space="preserve"> </w:t>
      </w:r>
      <w:r w:rsidRPr="00CB412C">
        <w:t>includ</w:t>
      </w:r>
      <w:r>
        <w:t>e</w:t>
      </w:r>
      <w:r w:rsidRPr="00CB412C">
        <w:t xml:space="preserve"> supported accommodation, counselling, advocacy, links to housing, health, education and employment services, outreach support, brokerage</w:t>
      </w:r>
      <w:r w:rsidR="003D5439">
        <w:t>,</w:t>
      </w:r>
      <w:r w:rsidRPr="00CB412C">
        <w:t xml:space="preserve"> meals services, and financial assistance.</w:t>
      </w:r>
      <w:r>
        <w:t xml:space="preserve"> Other general welfare expenses also include </w:t>
      </w:r>
      <w:r w:rsidR="00FA08D0">
        <w:t xml:space="preserve">small amounts for </w:t>
      </w:r>
      <w:r>
        <w:t xml:space="preserve">prisoners’ aid, care of refugees, aboriginal welfare services and women’s shelters. </w:t>
      </w:r>
    </w:p>
    <w:p w14:paraId="71370DAA" w14:textId="77777777" w:rsidR="00F46EFD" w:rsidRDefault="00F46EFD" w:rsidP="00F46EFD">
      <w:pPr>
        <w:pStyle w:val="CGCNumberedPara"/>
        <w:numPr>
          <w:ilvl w:val="1"/>
          <w:numId w:val="3"/>
        </w:numPr>
      </w:pPr>
      <w:r>
        <w:t>According to the Housing and Community Services Directorate’s website</w:t>
      </w:r>
      <w:r>
        <w:rPr>
          <w:rStyle w:val="FootnoteReference"/>
        </w:rPr>
        <w:footnoteReference w:id="3"/>
      </w:r>
      <w:r>
        <w:t xml:space="preserve">, eligibility for social housing assistance, which includes, at least partly, homelessness services, is restricted to ACT residents. </w:t>
      </w:r>
    </w:p>
    <w:p w14:paraId="681435A8" w14:textId="135B67C4" w:rsidR="00F46EFD" w:rsidRDefault="00FA08D0" w:rsidP="00F46EFD">
      <w:pPr>
        <w:pStyle w:val="CGCNumberedPara"/>
        <w:numPr>
          <w:ilvl w:val="1"/>
          <w:numId w:val="3"/>
        </w:numPr>
      </w:pPr>
      <w:r>
        <w:t>Staff understand t</w:t>
      </w:r>
      <w:r w:rsidR="00F46EFD">
        <w:t>he ACT may act as a hub for homeless people from the surrounding areas of New South Wales, which may result in the ACT having a higher number of homeless persons than it</w:t>
      </w:r>
      <w:r>
        <w:t xml:space="preserve">s population suggests. However, </w:t>
      </w:r>
      <w:r w:rsidR="00813032">
        <w:t>any</w:t>
      </w:r>
      <w:r w:rsidR="00F46EFD">
        <w:t xml:space="preserve"> higher number should be </w:t>
      </w:r>
      <w:r w:rsidR="00813032">
        <w:t xml:space="preserve">included in </w:t>
      </w:r>
      <w:r w:rsidR="00F46EFD">
        <w:t>the census estimated resident population</w:t>
      </w:r>
      <w:r w:rsidR="00813032">
        <w:t>, which</w:t>
      </w:r>
      <w:r w:rsidR="00F46EFD">
        <w:t xml:space="preserve"> aims to c</w:t>
      </w:r>
      <w:r w:rsidR="00813032">
        <w:t>over</w:t>
      </w:r>
      <w:r w:rsidR="00F46EFD">
        <w:t xml:space="preserve"> all pe</w:t>
      </w:r>
      <w:r w:rsidR="00813032">
        <w:t>ople</w:t>
      </w:r>
      <w:r w:rsidR="00F46EFD">
        <w:t xml:space="preserve"> in the ACT on census night. </w:t>
      </w:r>
    </w:p>
    <w:p w14:paraId="6A5B5475" w14:textId="104FD6EF" w:rsidR="00F46EFD" w:rsidRDefault="00813032" w:rsidP="00F46EFD">
      <w:pPr>
        <w:pStyle w:val="CGCNumberedPara"/>
        <w:numPr>
          <w:ilvl w:val="1"/>
          <w:numId w:val="3"/>
        </w:numPr>
      </w:pPr>
      <w:r>
        <w:t>The o</w:t>
      </w:r>
      <w:r w:rsidR="00F46EFD">
        <w:t>ther services included in other general welfare are unlikely to be available to non</w:t>
      </w:r>
      <w:r w:rsidR="00F46EFD">
        <w:noBreakHyphen/>
        <w:t>ACT residents and, in any case, the related expenses are small.</w:t>
      </w:r>
    </w:p>
    <w:p w14:paraId="4CC3F1F5" w14:textId="678A6C12" w:rsidR="00F46EFD" w:rsidRPr="0059445D" w:rsidRDefault="00813032" w:rsidP="00F46EFD">
      <w:pPr>
        <w:pStyle w:val="CGCNumberedPara"/>
        <w:numPr>
          <w:ilvl w:val="1"/>
          <w:numId w:val="3"/>
        </w:numPr>
      </w:pPr>
      <w:r>
        <w:t>These considerations indicate</w:t>
      </w:r>
      <w:r w:rsidR="00F46EFD">
        <w:t xml:space="preserve"> the extent of cross</w:t>
      </w:r>
      <w:r w:rsidR="00F46EFD">
        <w:noBreakHyphen/>
        <w:t xml:space="preserve">border use and the impact on the costs of providing </w:t>
      </w:r>
      <w:r>
        <w:t xml:space="preserve">homelessness services and other services included in other general welfare expenses </w:t>
      </w:r>
      <w:r w:rsidR="00F46EFD">
        <w:t>are likely to be small. Staff do not propose to apply a cross-border factor to other general welfare expenses unless the ACT provide</w:t>
      </w:r>
      <w:r>
        <w:t>s</w:t>
      </w:r>
      <w:r w:rsidR="00F46EFD">
        <w:t xml:space="preserve"> evidence of significant cross-border use that leads to</w:t>
      </w:r>
      <w:r>
        <w:t xml:space="preserve"> material</w:t>
      </w:r>
      <w:r w:rsidR="00F46EFD">
        <w:t xml:space="preserve"> costs for the ACT.</w:t>
      </w:r>
    </w:p>
    <w:p w14:paraId="14261B99" w14:textId="77777777" w:rsidR="00F46EFD" w:rsidRDefault="00F46EFD" w:rsidP="00F46EFD">
      <w:pPr>
        <w:pStyle w:val="Heading5"/>
      </w:pPr>
      <w:r>
        <w:t xml:space="preserve">Recreation and culture </w:t>
      </w:r>
    </w:p>
    <w:p w14:paraId="14FD7D06" w14:textId="77777777" w:rsidR="00F46EFD" w:rsidRDefault="00F46EFD" w:rsidP="00F46EFD">
      <w:pPr>
        <w:pStyle w:val="CGCNumberedPara"/>
        <w:numPr>
          <w:ilvl w:val="1"/>
          <w:numId w:val="3"/>
        </w:numPr>
      </w:pPr>
      <w:r>
        <w:t>A cross-border factor is currently applied to recreation and culture expenses, which include services such as:</w:t>
      </w:r>
    </w:p>
    <w:p w14:paraId="5BB20ABF" w14:textId="1A8D837A" w:rsidR="00F46EFD" w:rsidRDefault="00F46EFD" w:rsidP="00F46EFD">
      <w:pPr>
        <w:pStyle w:val="CGCBulletlist"/>
        <w:numPr>
          <w:ilvl w:val="0"/>
          <w:numId w:val="1"/>
        </w:numPr>
        <w:tabs>
          <w:tab w:val="clear" w:pos="927"/>
        </w:tabs>
        <w:ind w:left="1134" w:hanging="567"/>
      </w:pPr>
      <w:r w:rsidRPr="00185131">
        <w:t>public halls and civic centres, swimming pools and other recreational facilities</w:t>
      </w:r>
    </w:p>
    <w:p w14:paraId="58532ABC" w14:textId="77777777" w:rsidR="00F46EFD" w:rsidRDefault="00F46EFD" w:rsidP="00F46EFD">
      <w:pPr>
        <w:pStyle w:val="CGCBulletlist"/>
        <w:numPr>
          <w:ilvl w:val="0"/>
          <w:numId w:val="1"/>
        </w:numPr>
        <w:tabs>
          <w:tab w:val="clear" w:pos="927"/>
        </w:tabs>
        <w:ind w:left="1134" w:hanging="567"/>
      </w:pPr>
      <w:r>
        <w:t xml:space="preserve">public </w:t>
      </w:r>
      <w:r w:rsidRPr="00185131">
        <w:t>libraries, facilities and services for the creative and performing arts, museums, art galleries, and other cultural facilities and services</w:t>
      </w:r>
    </w:p>
    <w:p w14:paraId="099B56FA" w14:textId="77777777" w:rsidR="00F46EFD" w:rsidRDefault="00F46EFD" w:rsidP="00F46EFD">
      <w:pPr>
        <w:pStyle w:val="CGCBulletlist"/>
        <w:numPr>
          <w:ilvl w:val="0"/>
          <w:numId w:val="1"/>
        </w:numPr>
        <w:tabs>
          <w:tab w:val="clear" w:pos="927"/>
        </w:tabs>
        <w:ind w:left="1134" w:hanging="567"/>
      </w:pPr>
      <w:r w:rsidRPr="00771A68">
        <w:t>broadcasting services and film production</w:t>
      </w:r>
      <w:r w:rsidRPr="00185131">
        <w:t>.</w:t>
      </w:r>
    </w:p>
    <w:p w14:paraId="1E001F1B" w14:textId="11C3059D" w:rsidR="00813032" w:rsidRDefault="00813032" w:rsidP="00F46EFD">
      <w:pPr>
        <w:pStyle w:val="CGCNumberedPara"/>
        <w:numPr>
          <w:ilvl w:val="1"/>
          <w:numId w:val="3"/>
        </w:numPr>
      </w:pPr>
      <w:r>
        <w:t>The matters listed below suggest the use of recreational</w:t>
      </w:r>
      <w:r w:rsidR="0099038A">
        <w:t xml:space="preserve"> and cultural facilities by New </w:t>
      </w:r>
      <w:r>
        <w:t>South Wales residents is unlikely to have a noticeable impact on costs.</w:t>
      </w:r>
    </w:p>
    <w:p w14:paraId="27645EC8" w14:textId="71C09F47" w:rsidR="00F46EFD" w:rsidRDefault="00F46EFD" w:rsidP="00813032">
      <w:pPr>
        <w:pStyle w:val="CGCBulletlist"/>
      </w:pPr>
      <w:r>
        <w:t>Some services, such as swimming pools and theatres, are provided on a user charge basis. So, the</w:t>
      </w:r>
      <w:r w:rsidR="008720D6">
        <w:t>ir</w:t>
      </w:r>
      <w:r>
        <w:t xml:space="preserve"> use by New South Wales residents </w:t>
      </w:r>
      <w:r w:rsidR="008720D6">
        <w:t>may</w:t>
      </w:r>
      <w:r>
        <w:t xml:space="preserve"> reduce ACT net expenses. In addition, the level of services </w:t>
      </w:r>
      <w:r w:rsidR="008720D6">
        <w:t xml:space="preserve">provided </w:t>
      </w:r>
      <w:r>
        <w:t>is unlikely to have been set to cater for additional demand from New South Wales residents.</w:t>
      </w:r>
    </w:p>
    <w:p w14:paraId="5094EDB4" w14:textId="22FD48BB" w:rsidR="00F46EFD" w:rsidRDefault="00F46EFD" w:rsidP="00813032">
      <w:pPr>
        <w:pStyle w:val="CGCBulletlist"/>
      </w:pPr>
      <w:r>
        <w:t>The use of sportsgrounds by New South Wales sport</w:t>
      </w:r>
      <w:r w:rsidR="008720D6">
        <w:t>ing</w:t>
      </w:r>
      <w:r>
        <w:t xml:space="preserve"> teams </w:t>
      </w:r>
      <w:r w:rsidR="008720D6">
        <w:t>w</w:t>
      </w:r>
      <w:r>
        <w:t xml:space="preserve">as </w:t>
      </w:r>
      <w:r w:rsidR="008720D6">
        <w:t xml:space="preserve">previously </w:t>
      </w:r>
      <w:r>
        <w:t>used as an example of cross</w:t>
      </w:r>
      <w:r>
        <w:noBreakHyphen/>
        <w:t xml:space="preserve">border use of recreational services. However, </w:t>
      </w:r>
      <w:r w:rsidR="008720D6">
        <w:t>it is not clear what extra costs the ACT would incur.</w:t>
      </w:r>
      <w:r w:rsidR="00FE5DAB">
        <w:t xml:space="preserve"> </w:t>
      </w:r>
      <w:r w:rsidR="008720D6">
        <w:t xml:space="preserve">Moreover, any costs would be partially offset </w:t>
      </w:r>
      <w:r w:rsidR="00422CAA">
        <w:t xml:space="preserve">by </w:t>
      </w:r>
      <w:r w:rsidR="008720D6">
        <w:t xml:space="preserve">the use of </w:t>
      </w:r>
      <w:r>
        <w:t>New South Wales’ sportsgrounds</w:t>
      </w:r>
      <w:r w:rsidR="008720D6">
        <w:t xml:space="preserve"> by ACT teams.</w:t>
      </w:r>
      <w:r>
        <w:t xml:space="preserve"> </w:t>
      </w:r>
    </w:p>
    <w:p w14:paraId="7C70046E" w14:textId="77777777" w:rsidR="00F46EFD" w:rsidRDefault="00F46EFD" w:rsidP="00813032">
      <w:pPr>
        <w:pStyle w:val="CGCBulletlist"/>
      </w:pPr>
      <w:r>
        <w:t>Membership of library services is restricted to ACT residents.</w:t>
      </w:r>
      <w:r>
        <w:rPr>
          <w:rStyle w:val="FootnoteReference"/>
        </w:rPr>
        <w:footnoteReference w:id="4"/>
      </w:r>
      <w:r>
        <w:t xml:space="preserve"> While New South Wales residents can use library services that are not restricted to members, such as reading newspapers and magazines, it is not clear how this use would noticeably increase costs.</w:t>
      </w:r>
    </w:p>
    <w:p w14:paraId="7066DB55" w14:textId="52B22FA5" w:rsidR="00F46EFD" w:rsidRDefault="00F46EFD" w:rsidP="00813032">
      <w:pPr>
        <w:pStyle w:val="CGCBulletlist"/>
      </w:pPr>
      <w:r>
        <w:t xml:space="preserve">The allowance for cross-border use of cultural services includes an amount for Floriade. Services such as Floriade are set up with the purpose of attracting interstate tourists. </w:t>
      </w:r>
      <w:r w:rsidR="005E5D31">
        <w:t>Overall, Floriade has a positive effect on the ACT.</w:t>
      </w:r>
      <w:r w:rsidR="00FE5DAB">
        <w:t xml:space="preserve"> </w:t>
      </w:r>
    </w:p>
    <w:p w14:paraId="34F930F5" w14:textId="35DF4DA3" w:rsidR="00F46EFD" w:rsidRDefault="005E5D31" w:rsidP="00412D61">
      <w:pPr>
        <w:pStyle w:val="CGCNumberedPara"/>
      </w:pPr>
      <w:r>
        <w:t>S</w:t>
      </w:r>
      <w:r w:rsidR="00F46EFD" w:rsidRPr="001F3D89">
        <w:t>taff</w:t>
      </w:r>
      <w:r>
        <w:t>, therefore,</w:t>
      </w:r>
      <w:r w:rsidR="00F46EFD" w:rsidRPr="001F3D89">
        <w:t xml:space="preserve"> propose </w:t>
      </w:r>
      <w:r w:rsidR="00F46EFD">
        <w:t xml:space="preserve">not </w:t>
      </w:r>
      <w:r w:rsidR="00F46EFD" w:rsidRPr="001F3D89">
        <w:t xml:space="preserve">to apply a cross-border factor to </w:t>
      </w:r>
      <w:r w:rsidR="00F46EFD">
        <w:t>recreation and culture</w:t>
      </w:r>
      <w:r w:rsidR="00F46EFD" w:rsidRPr="001F3D89">
        <w:t xml:space="preserve"> expenses</w:t>
      </w:r>
      <w:r w:rsidR="00F46EFD">
        <w:t>,</w:t>
      </w:r>
      <w:r w:rsidR="00F46EFD" w:rsidRPr="001F3D89">
        <w:t xml:space="preserve"> unless the ACT provide</w:t>
      </w:r>
      <w:r>
        <w:t>s</w:t>
      </w:r>
      <w:r w:rsidR="00F46EFD" w:rsidRPr="001F3D89">
        <w:t xml:space="preserve"> evidence of significant cross-border use </w:t>
      </w:r>
      <w:r w:rsidR="00412D61" w:rsidRPr="00412D61">
        <w:t>and that use leads to identifiable costs for the ACT.</w:t>
      </w:r>
    </w:p>
    <w:tbl>
      <w:tblPr>
        <w:tblStyle w:val="TableGrid"/>
        <w:tblW w:w="0" w:type="auto"/>
        <w:tblLook w:val="04A0" w:firstRow="1" w:lastRow="0" w:firstColumn="1" w:lastColumn="0" w:noHBand="0" w:noVBand="1"/>
      </w:tblPr>
      <w:tblGrid>
        <w:gridCol w:w="9167"/>
      </w:tblGrid>
      <w:tr w:rsidR="00F46EFD" w14:paraId="5673A378" w14:textId="77777777" w:rsidTr="00412BFF">
        <w:tc>
          <w:tcPr>
            <w:tcW w:w="9167" w:type="dxa"/>
            <w:tcBorders>
              <w:top w:val="nil"/>
              <w:left w:val="nil"/>
              <w:bottom w:val="nil"/>
              <w:right w:val="nil"/>
            </w:tcBorders>
            <w:shd w:val="clear" w:color="auto" w:fill="D9F3E6"/>
          </w:tcPr>
          <w:p w14:paraId="37D8EDD0" w14:textId="77777777" w:rsidR="00F46EFD" w:rsidRDefault="00F46EFD" w:rsidP="00412BFF">
            <w:r>
              <w:t>Staff propose to recommend the Commission:</w:t>
            </w:r>
          </w:p>
          <w:p w14:paraId="18282081" w14:textId="2141FF66" w:rsidR="00F46EFD" w:rsidRDefault="00F46EFD" w:rsidP="00412D61">
            <w:pPr>
              <w:pStyle w:val="CGCBulletlist"/>
              <w:numPr>
                <w:ilvl w:val="0"/>
                <w:numId w:val="1"/>
              </w:numPr>
              <w:tabs>
                <w:tab w:val="clear" w:pos="927"/>
              </w:tabs>
              <w:ind w:left="1134" w:hanging="567"/>
            </w:pPr>
            <w:r>
              <w:t>not apply a cross-border factor to residual State disability expenses, other general welfare expenses and recreation and culture</w:t>
            </w:r>
            <w:r w:rsidRPr="001F3D89">
              <w:t xml:space="preserve"> expenses</w:t>
            </w:r>
            <w:r>
              <w:t xml:space="preserve">, unless the ACT </w:t>
            </w:r>
            <w:r w:rsidR="005E5D31" w:rsidRPr="001F3D89">
              <w:t>provide</w:t>
            </w:r>
            <w:r w:rsidR="005E5D31">
              <w:t>s</w:t>
            </w:r>
            <w:r w:rsidR="005E5D31" w:rsidRPr="001F3D89">
              <w:t xml:space="preserve"> evidence of significant cross-border use </w:t>
            </w:r>
            <w:r w:rsidR="00412D61" w:rsidRPr="00412D61">
              <w:t>and that use leads to identifiable costs for the ACT</w:t>
            </w:r>
            <w:r w:rsidR="00412D61">
              <w:t>.</w:t>
            </w:r>
          </w:p>
        </w:tc>
      </w:tr>
    </w:tbl>
    <w:p w14:paraId="2D530BAF" w14:textId="77777777" w:rsidR="00F46EFD" w:rsidRDefault="00F46EFD" w:rsidP="00F46EFD">
      <w:pPr>
        <w:pStyle w:val="Heading4"/>
      </w:pPr>
      <w:bookmarkStart w:id="75" w:name="_Toc511048312"/>
      <w:bookmarkStart w:id="76" w:name="_Toc511048414"/>
      <w:bookmarkStart w:id="77" w:name="_Toc511048452"/>
      <w:bookmarkStart w:id="78" w:name="_Toc511048487"/>
      <w:bookmarkStart w:id="79" w:name="_Toc511398662"/>
      <w:bookmarkStart w:id="80" w:name="_Toc511398706"/>
      <w:bookmarkStart w:id="81" w:name="_Toc511892530"/>
      <w:r>
        <w:t>General method</w:t>
      </w:r>
      <w:bookmarkEnd w:id="75"/>
      <w:bookmarkEnd w:id="76"/>
      <w:bookmarkEnd w:id="77"/>
      <w:bookmarkEnd w:id="78"/>
      <w:bookmarkEnd w:id="79"/>
      <w:bookmarkEnd w:id="80"/>
      <w:bookmarkEnd w:id="81"/>
    </w:p>
    <w:p w14:paraId="65F4114A" w14:textId="2D37669F" w:rsidR="00F46EFD" w:rsidRDefault="00F46EFD" w:rsidP="00F46EFD">
      <w:pPr>
        <w:pStyle w:val="CGCNumberedPara"/>
        <w:numPr>
          <w:ilvl w:val="1"/>
          <w:numId w:val="3"/>
        </w:numPr>
      </w:pPr>
      <w:r>
        <w:t xml:space="preserve">Staff consider the general method produces appropriate results. However, if the Commission decides to retain a cross-border factor for only community health, staff would </w:t>
      </w:r>
      <w:r w:rsidR="005E5D31">
        <w:t>consider</w:t>
      </w:r>
      <w:r>
        <w:t xml:space="preserve"> whether a community health </w:t>
      </w:r>
      <w:r w:rsidR="005E5D31">
        <w:t>specific method</w:t>
      </w:r>
      <w:r>
        <w:t xml:space="preserve"> could be developed. </w:t>
      </w:r>
    </w:p>
    <w:p w14:paraId="5F48201E" w14:textId="1525E27C" w:rsidR="00F46EFD" w:rsidRPr="00D03C86" w:rsidRDefault="00F46EFD" w:rsidP="00F46EFD">
      <w:pPr>
        <w:pStyle w:val="CGCNumberedPara"/>
        <w:numPr>
          <w:ilvl w:val="1"/>
          <w:numId w:val="3"/>
        </w:numPr>
      </w:pPr>
      <w:r>
        <w:t>If the Commission decides to retain other cross-border assessments, we would retain the general method</w:t>
      </w:r>
      <w:r w:rsidR="005E5D31">
        <w:t xml:space="preserve">, but would review </w:t>
      </w:r>
      <w:r w:rsidR="009564B6">
        <w:t xml:space="preserve">whether 30% of the population of surrounding areas is still the appropriate addition to the ACT population. </w:t>
      </w:r>
    </w:p>
    <w:tbl>
      <w:tblPr>
        <w:tblStyle w:val="TableGrid"/>
        <w:tblW w:w="0" w:type="auto"/>
        <w:tblLook w:val="04A0" w:firstRow="1" w:lastRow="0" w:firstColumn="1" w:lastColumn="0" w:noHBand="0" w:noVBand="1"/>
      </w:tblPr>
      <w:tblGrid>
        <w:gridCol w:w="9167"/>
      </w:tblGrid>
      <w:tr w:rsidR="00F46EFD" w14:paraId="2DE7CD7D" w14:textId="77777777" w:rsidTr="00412BFF">
        <w:tc>
          <w:tcPr>
            <w:tcW w:w="9167" w:type="dxa"/>
            <w:tcBorders>
              <w:top w:val="nil"/>
              <w:left w:val="nil"/>
              <w:bottom w:val="nil"/>
              <w:right w:val="nil"/>
            </w:tcBorders>
            <w:shd w:val="clear" w:color="auto" w:fill="D9F3E6"/>
          </w:tcPr>
          <w:p w14:paraId="7639B4A0" w14:textId="77777777" w:rsidR="00F46EFD" w:rsidRDefault="00F46EFD" w:rsidP="00EC175E">
            <w:pPr>
              <w:keepNext/>
              <w:keepLines/>
            </w:pPr>
            <w:r>
              <w:t>Staff propose to recommend the Commission:</w:t>
            </w:r>
          </w:p>
          <w:p w14:paraId="1ED35EC7" w14:textId="1AD77A8B" w:rsidR="00F46EFD" w:rsidRDefault="009564B6" w:rsidP="00EC175E">
            <w:pPr>
              <w:pStyle w:val="CGCBulletlist"/>
              <w:keepNext/>
              <w:keepLines/>
              <w:numPr>
                <w:ilvl w:val="0"/>
                <w:numId w:val="1"/>
              </w:numPr>
              <w:tabs>
                <w:tab w:val="clear" w:pos="927"/>
              </w:tabs>
              <w:ind w:left="1134" w:hanging="567"/>
            </w:pPr>
            <w:r>
              <w:t>consider</w:t>
            </w:r>
            <w:r w:rsidR="00F46EFD">
              <w:t xml:space="preserve"> whether a community health </w:t>
            </w:r>
            <w:r>
              <w:t xml:space="preserve">specific method could be assessed to measure a </w:t>
            </w:r>
            <w:r w:rsidR="00F46EFD">
              <w:t>cross</w:t>
            </w:r>
            <w:r w:rsidR="00F46EFD">
              <w:noBreakHyphen/>
              <w:t>border factor or whether the general method, su</w:t>
            </w:r>
            <w:r w:rsidR="00AA7641">
              <w:t xml:space="preserve">bject to a review of the proportion of the population from surrounding areas </w:t>
            </w:r>
            <w:r w:rsidR="00897FA5">
              <w:t xml:space="preserve">who are </w:t>
            </w:r>
            <w:r w:rsidR="00AA7641">
              <w:t>considered to use ACT services</w:t>
            </w:r>
            <w:r w:rsidR="00F46EFD">
              <w:t>, should continue.</w:t>
            </w:r>
          </w:p>
        </w:tc>
      </w:tr>
    </w:tbl>
    <w:p w14:paraId="30C2FC0B" w14:textId="77777777" w:rsidR="00F46EFD" w:rsidRDefault="00F46EFD" w:rsidP="00537992">
      <w:pPr>
        <w:pStyle w:val="Heading3"/>
      </w:pPr>
      <w:bookmarkStart w:id="82" w:name="_Toc511048313"/>
      <w:bookmarkStart w:id="83" w:name="_Toc511048415"/>
      <w:bookmarkStart w:id="84" w:name="_Toc511048453"/>
      <w:bookmarkStart w:id="85" w:name="_Toc511048488"/>
      <w:bookmarkStart w:id="86" w:name="_Toc511398663"/>
      <w:bookmarkStart w:id="87" w:name="_Toc511398707"/>
      <w:bookmarkStart w:id="88" w:name="_Toc511892531"/>
      <w:r w:rsidRPr="00FE3214">
        <w:t>Conclusion and way forward</w:t>
      </w:r>
      <w:bookmarkEnd w:id="82"/>
      <w:bookmarkEnd w:id="83"/>
      <w:bookmarkEnd w:id="84"/>
      <w:bookmarkEnd w:id="85"/>
      <w:bookmarkEnd w:id="86"/>
      <w:bookmarkEnd w:id="87"/>
      <w:bookmarkEnd w:id="88"/>
    </w:p>
    <w:p w14:paraId="434BFE59" w14:textId="759C28EF" w:rsidR="00F46EFD" w:rsidRDefault="00F46EFD" w:rsidP="00F46EFD">
      <w:pPr>
        <w:pStyle w:val="CGCNumberedPara"/>
        <w:numPr>
          <w:ilvl w:val="1"/>
          <w:numId w:val="3"/>
        </w:numPr>
      </w:pPr>
      <w:r>
        <w:t>Comprehensive and reliable cross-border use data are available to a</w:t>
      </w:r>
      <w:r w:rsidR="00897FA5">
        <w:t>ssess</w:t>
      </w:r>
      <w:r>
        <w:t xml:space="preserve"> cross</w:t>
      </w:r>
      <w:r>
        <w:noBreakHyphen/>
        <w:t xml:space="preserve">border costs for services </w:t>
      </w:r>
      <w:r w:rsidR="00897FA5">
        <w:t xml:space="preserve">such as </w:t>
      </w:r>
      <w:r>
        <w:t xml:space="preserve">schools, post-secondary education, hospitals and roads. The use of these data </w:t>
      </w:r>
      <w:r w:rsidR="00897FA5">
        <w:t>provides</w:t>
      </w:r>
      <w:r>
        <w:t xml:space="preserve"> an appropriate assessment of cross-border needs and staff intend to retain them for the 2020 Review.</w:t>
      </w:r>
    </w:p>
    <w:p w14:paraId="556979B1" w14:textId="77777777" w:rsidR="00F46EFD" w:rsidRDefault="00F46EFD" w:rsidP="00F46EFD">
      <w:pPr>
        <w:pStyle w:val="CGCNumberedPara"/>
        <w:numPr>
          <w:ilvl w:val="1"/>
          <w:numId w:val="3"/>
        </w:numPr>
      </w:pPr>
      <w:r>
        <w:t xml:space="preserve">Of the four cross-border assessments that use the general method, staff propose to retain only the community health assessment. However, we will seek updated information from the ACT on cross-border use of community health services by New South Wales residents and use of New South Wales community health services by ACT residents. </w:t>
      </w:r>
    </w:p>
    <w:p w14:paraId="752FD52E" w14:textId="142F4A21" w:rsidR="001A1E05" w:rsidRDefault="00F46EFD" w:rsidP="001A1E05">
      <w:pPr>
        <w:pStyle w:val="CGCNumberedPara"/>
        <w:numPr>
          <w:ilvl w:val="1"/>
          <w:numId w:val="3"/>
        </w:numPr>
      </w:pPr>
      <w:r>
        <w:t xml:space="preserve">Staff consider there is </w:t>
      </w:r>
      <w:r w:rsidR="00897FA5">
        <w:t>in</w:t>
      </w:r>
      <w:r>
        <w:t>sufficient evidence to s</w:t>
      </w:r>
      <w:r w:rsidR="00897FA5">
        <w:t>how that</w:t>
      </w:r>
      <w:r>
        <w:t xml:space="preserve"> the ACT </w:t>
      </w:r>
      <w:r w:rsidR="00897FA5">
        <w:t xml:space="preserve">incurs material extra </w:t>
      </w:r>
      <w:r>
        <w:t xml:space="preserve">expenses </w:t>
      </w:r>
      <w:r w:rsidR="00897FA5">
        <w:t xml:space="preserve">because of </w:t>
      </w:r>
      <w:r>
        <w:t>cross</w:t>
      </w:r>
      <w:r>
        <w:noBreakHyphen/>
        <w:t xml:space="preserve">border use of </w:t>
      </w:r>
      <w:r w:rsidR="00897FA5">
        <w:t xml:space="preserve">residual State disability expenses, </w:t>
      </w:r>
      <w:r>
        <w:t>other general welfare</w:t>
      </w:r>
      <w:r w:rsidR="00897FA5">
        <w:t xml:space="preserve"> services</w:t>
      </w:r>
      <w:r>
        <w:t xml:space="preserve"> and recreation and culture services. </w:t>
      </w:r>
    </w:p>
    <w:p w14:paraId="6D601C4A" w14:textId="77777777" w:rsidR="00C2657C" w:rsidRDefault="00C2657C" w:rsidP="00C2657C">
      <w:pPr>
        <w:pStyle w:val="Heading4"/>
      </w:pPr>
      <w:bookmarkStart w:id="89" w:name="_Toc511398664"/>
      <w:bookmarkStart w:id="90" w:name="_Toc511398708"/>
      <w:bookmarkStart w:id="91" w:name="_Toc511399110"/>
      <w:bookmarkStart w:id="92" w:name="_Toc511823926"/>
      <w:bookmarkStart w:id="93" w:name="_Toc511892532"/>
      <w:r>
        <w:t>Proposed assessment</w:t>
      </w:r>
      <w:bookmarkEnd w:id="89"/>
      <w:bookmarkEnd w:id="90"/>
      <w:bookmarkEnd w:id="91"/>
      <w:bookmarkEnd w:id="92"/>
      <w:bookmarkEnd w:id="93"/>
      <w:r>
        <w:t xml:space="preserve"> </w:t>
      </w:r>
    </w:p>
    <w:p w14:paraId="1B2A3EBE" w14:textId="77777777" w:rsidR="00C2657C" w:rsidRDefault="00C2657C" w:rsidP="00C2657C">
      <w:pPr>
        <w:pStyle w:val="CGCNumberedPara"/>
        <w:numPr>
          <w:ilvl w:val="1"/>
          <w:numId w:val="3"/>
        </w:numPr>
      </w:pPr>
      <w:r>
        <w:t xml:space="preserve">Staff propose the following assessment for cross-border costs in the 2020 Review. </w:t>
      </w:r>
    </w:p>
    <w:p w14:paraId="3EB5BC3E" w14:textId="77777777" w:rsidR="00C2657C" w:rsidRDefault="00C2657C" w:rsidP="00C2657C">
      <w:pPr>
        <w:pStyle w:val="CGCTableHeading"/>
      </w:pPr>
      <w:r>
        <w:t xml:space="preserve">Table </w:t>
      </w:r>
      <w:fldSimple w:instr=" SEQ Table \* ARABIC ">
        <w:r w:rsidR="00C40664">
          <w:rPr>
            <w:noProof/>
          </w:rPr>
          <w:t>4</w:t>
        </w:r>
      </w:fldSimple>
      <w:r>
        <w:tab/>
      </w:r>
      <w:r w:rsidRPr="00B7517F">
        <w:t xml:space="preserve">Proposed </w:t>
      </w:r>
      <w:r>
        <w:t>cross-border</w:t>
      </w:r>
      <w:r w:rsidRPr="00B7517F">
        <w:t xml:space="preserve"> </w:t>
      </w:r>
      <w:r>
        <w:t>assessment</w:t>
      </w:r>
    </w:p>
    <w:tbl>
      <w:tblPr>
        <w:tblW w:w="8960" w:type="dxa"/>
        <w:tblInd w:w="93" w:type="dxa"/>
        <w:tblLook w:val="04A0" w:firstRow="1" w:lastRow="0" w:firstColumn="1" w:lastColumn="0" w:noHBand="0" w:noVBand="1"/>
      </w:tblPr>
      <w:tblGrid>
        <w:gridCol w:w="2140"/>
        <w:gridCol w:w="3000"/>
        <w:gridCol w:w="3820"/>
      </w:tblGrid>
      <w:tr w:rsidR="00C2657C" w:rsidRPr="0004587E" w14:paraId="5B29E72A" w14:textId="77777777" w:rsidTr="00C52419">
        <w:trPr>
          <w:trHeight w:val="375"/>
        </w:trPr>
        <w:tc>
          <w:tcPr>
            <w:tcW w:w="2140" w:type="dxa"/>
            <w:tcBorders>
              <w:top w:val="single" w:sz="4" w:space="0" w:color="auto"/>
              <w:left w:val="nil"/>
              <w:bottom w:val="single" w:sz="4" w:space="0" w:color="auto"/>
              <w:right w:val="nil"/>
            </w:tcBorders>
            <w:shd w:val="clear" w:color="auto" w:fill="auto"/>
            <w:vAlign w:val="center"/>
            <w:hideMark/>
          </w:tcPr>
          <w:p w14:paraId="5D03595C" w14:textId="77777777" w:rsidR="00C2657C" w:rsidRPr="0004587E" w:rsidRDefault="00C2657C" w:rsidP="00C52419">
            <w:pPr>
              <w:keepNext/>
              <w:keepLines/>
              <w:tabs>
                <w:tab w:val="clear" w:pos="567"/>
              </w:tabs>
              <w:spacing w:after="0" w:line="240" w:lineRule="auto"/>
              <w:rPr>
                <w:rFonts w:ascii="Calibri" w:eastAsia="Times New Roman" w:hAnsi="Calibri" w:cs="Times New Roman"/>
                <w:color w:val="000000"/>
                <w:sz w:val="20"/>
                <w:szCs w:val="20"/>
                <w:lang w:eastAsia="en-AU"/>
              </w:rPr>
            </w:pPr>
            <w:bookmarkStart w:id="94" w:name="RANGE!A27:C33"/>
            <w:r w:rsidRPr="0004587E">
              <w:rPr>
                <w:rFonts w:ascii="Calibri" w:eastAsia="Times New Roman" w:hAnsi="Calibri" w:cstheme="minorHAnsi"/>
                <w:color w:val="000000"/>
                <w:sz w:val="20"/>
                <w:szCs w:val="20"/>
                <w:lang w:eastAsia="en-AU"/>
              </w:rPr>
              <w:t>Category</w:t>
            </w:r>
            <w:bookmarkEnd w:id="94"/>
          </w:p>
        </w:tc>
        <w:tc>
          <w:tcPr>
            <w:tcW w:w="3000" w:type="dxa"/>
            <w:tcBorders>
              <w:top w:val="single" w:sz="4" w:space="0" w:color="auto"/>
              <w:left w:val="nil"/>
              <w:bottom w:val="single" w:sz="4" w:space="0" w:color="auto"/>
              <w:right w:val="nil"/>
            </w:tcBorders>
            <w:shd w:val="clear" w:color="auto" w:fill="auto"/>
            <w:vAlign w:val="center"/>
            <w:hideMark/>
          </w:tcPr>
          <w:p w14:paraId="6487F928" w14:textId="77777777" w:rsidR="00C2657C" w:rsidRPr="0004587E" w:rsidRDefault="00C2657C" w:rsidP="00C52419">
            <w:pPr>
              <w:keepNext/>
              <w:keepLines/>
              <w:tabs>
                <w:tab w:val="clear" w:pos="567"/>
              </w:tabs>
              <w:spacing w:after="0" w:line="240" w:lineRule="auto"/>
              <w:rPr>
                <w:rFonts w:ascii="Calibri" w:eastAsia="Times New Roman" w:hAnsi="Calibri" w:cs="Times New Roman"/>
                <w:color w:val="000000"/>
                <w:sz w:val="20"/>
                <w:szCs w:val="20"/>
                <w:lang w:eastAsia="en-AU"/>
              </w:rPr>
            </w:pPr>
            <w:r w:rsidRPr="0004587E">
              <w:rPr>
                <w:rFonts w:ascii="Calibri" w:eastAsia="Times New Roman" w:hAnsi="Calibri" w:cstheme="minorHAnsi"/>
                <w:color w:val="000000"/>
                <w:sz w:val="20"/>
                <w:szCs w:val="20"/>
                <w:lang w:eastAsia="en-AU"/>
              </w:rPr>
              <w:t>Expenses</w:t>
            </w:r>
          </w:p>
        </w:tc>
        <w:tc>
          <w:tcPr>
            <w:tcW w:w="3820" w:type="dxa"/>
            <w:tcBorders>
              <w:top w:val="single" w:sz="4" w:space="0" w:color="auto"/>
              <w:left w:val="nil"/>
              <w:bottom w:val="single" w:sz="4" w:space="0" w:color="auto"/>
              <w:right w:val="nil"/>
            </w:tcBorders>
            <w:shd w:val="clear" w:color="auto" w:fill="auto"/>
            <w:vAlign w:val="center"/>
            <w:hideMark/>
          </w:tcPr>
          <w:p w14:paraId="4F6E7276" w14:textId="77777777" w:rsidR="00C2657C" w:rsidRPr="0004587E" w:rsidRDefault="00C2657C" w:rsidP="00C52419">
            <w:pPr>
              <w:keepNext/>
              <w:keepLines/>
              <w:tabs>
                <w:tab w:val="clear" w:pos="567"/>
              </w:tabs>
              <w:spacing w:after="0" w:line="240" w:lineRule="auto"/>
              <w:rPr>
                <w:rFonts w:ascii="Calibri" w:eastAsia="Times New Roman" w:hAnsi="Calibri" w:cs="Times New Roman"/>
                <w:color w:val="000000"/>
                <w:sz w:val="20"/>
                <w:szCs w:val="20"/>
                <w:lang w:eastAsia="en-AU"/>
              </w:rPr>
            </w:pPr>
            <w:r w:rsidRPr="0004587E">
              <w:rPr>
                <w:rFonts w:ascii="Calibri" w:eastAsia="Times New Roman" w:hAnsi="Calibri" w:cstheme="minorHAnsi"/>
                <w:color w:val="000000"/>
                <w:sz w:val="20"/>
                <w:szCs w:val="20"/>
                <w:lang w:eastAsia="en-AU"/>
              </w:rPr>
              <w:t>Method</w:t>
            </w:r>
          </w:p>
        </w:tc>
      </w:tr>
      <w:tr w:rsidR="00C2657C" w:rsidRPr="0004587E" w14:paraId="1A9B9884" w14:textId="77777777" w:rsidTr="00C52419">
        <w:trPr>
          <w:trHeight w:val="315"/>
        </w:trPr>
        <w:tc>
          <w:tcPr>
            <w:tcW w:w="2140" w:type="dxa"/>
            <w:tcBorders>
              <w:top w:val="nil"/>
              <w:left w:val="nil"/>
              <w:bottom w:val="nil"/>
              <w:right w:val="nil"/>
            </w:tcBorders>
            <w:shd w:val="clear" w:color="auto" w:fill="auto"/>
            <w:hideMark/>
          </w:tcPr>
          <w:p w14:paraId="71962F57" w14:textId="77777777" w:rsidR="00C2657C" w:rsidRPr="0004587E" w:rsidRDefault="00C2657C" w:rsidP="00C52419">
            <w:pPr>
              <w:keepNext/>
              <w:keepLines/>
              <w:tabs>
                <w:tab w:val="clear" w:pos="567"/>
              </w:tabs>
              <w:spacing w:after="0" w:line="240" w:lineRule="auto"/>
              <w:rPr>
                <w:rFonts w:ascii="Calibri" w:eastAsia="Times New Roman" w:hAnsi="Calibri" w:cs="Times New Roman"/>
                <w:color w:val="000000"/>
                <w:sz w:val="20"/>
                <w:szCs w:val="20"/>
                <w:lang w:eastAsia="en-AU"/>
              </w:rPr>
            </w:pPr>
            <w:r w:rsidRPr="0004587E">
              <w:rPr>
                <w:rFonts w:ascii="Calibri" w:eastAsia="Times New Roman" w:hAnsi="Calibri" w:cstheme="minorHAnsi"/>
                <w:color w:val="000000"/>
                <w:sz w:val="20"/>
                <w:szCs w:val="20"/>
                <w:lang w:eastAsia="en-AU"/>
              </w:rPr>
              <w:t>Schools</w:t>
            </w:r>
          </w:p>
        </w:tc>
        <w:tc>
          <w:tcPr>
            <w:tcW w:w="3000" w:type="dxa"/>
            <w:tcBorders>
              <w:top w:val="nil"/>
              <w:left w:val="nil"/>
              <w:bottom w:val="nil"/>
              <w:right w:val="nil"/>
            </w:tcBorders>
            <w:shd w:val="clear" w:color="auto" w:fill="auto"/>
            <w:hideMark/>
          </w:tcPr>
          <w:p w14:paraId="29A30AD4" w14:textId="77777777" w:rsidR="00C2657C" w:rsidRPr="0004587E" w:rsidRDefault="00C2657C" w:rsidP="00C52419">
            <w:pPr>
              <w:keepNext/>
              <w:keepLines/>
              <w:tabs>
                <w:tab w:val="clear" w:pos="567"/>
              </w:tabs>
              <w:spacing w:after="0" w:line="240" w:lineRule="auto"/>
              <w:rPr>
                <w:rFonts w:ascii="Calibri" w:eastAsia="Times New Roman" w:hAnsi="Calibri" w:cs="Times New Roman"/>
                <w:color w:val="000000"/>
                <w:sz w:val="20"/>
                <w:szCs w:val="20"/>
                <w:lang w:eastAsia="en-AU"/>
              </w:rPr>
            </w:pPr>
            <w:r w:rsidRPr="0004587E">
              <w:rPr>
                <w:rFonts w:ascii="Calibri" w:eastAsia="Times New Roman" w:hAnsi="Calibri" w:cstheme="minorHAnsi"/>
                <w:color w:val="000000"/>
                <w:sz w:val="20"/>
                <w:szCs w:val="20"/>
                <w:lang w:eastAsia="en-AU"/>
              </w:rPr>
              <w:t>All service delivery expenses</w:t>
            </w:r>
          </w:p>
        </w:tc>
        <w:tc>
          <w:tcPr>
            <w:tcW w:w="3820" w:type="dxa"/>
            <w:tcBorders>
              <w:top w:val="nil"/>
              <w:left w:val="nil"/>
              <w:bottom w:val="nil"/>
              <w:right w:val="nil"/>
            </w:tcBorders>
            <w:shd w:val="clear" w:color="auto" w:fill="auto"/>
            <w:hideMark/>
          </w:tcPr>
          <w:p w14:paraId="6EE321FB" w14:textId="77777777" w:rsidR="00C2657C" w:rsidRPr="0004587E" w:rsidRDefault="00C2657C" w:rsidP="00C52419">
            <w:pPr>
              <w:keepNext/>
              <w:keepLines/>
              <w:tabs>
                <w:tab w:val="clear" w:pos="567"/>
              </w:tabs>
              <w:spacing w:after="0" w:line="240" w:lineRule="auto"/>
              <w:rPr>
                <w:rFonts w:ascii="Calibri" w:eastAsia="Times New Roman" w:hAnsi="Calibri" w:cs="Times New Roman"/>
                <w:color w:val="000000"/>
                <w:sz w:val="20"/>
                <w:szCs w:val="20"/>
                <w:lang w:eastAsia="en-AU"/>
              </w:rPr>
            </w:pPr>
            <w:r w:rsidRPr="0004587E">
              <w:rPr>
                <w:rFonts w:ascii="Calibri" w:eastAsia="Times New Roman" w:hAnsi="Calibri" w:cstheme="minorHAnsi"/>
                <w:color w:val="000000"/>
                <w:sz w:val="20"/>
                <w:szCs w:val="20"/>
                <w:lang w:eastAsia="en-AU"/>
              </w:rPr>
              <w:t>Implicit in use data</w:t>
            </w:r>
          </w:p>
        </w:tc>
      </w:tr>
      <w:tr w:rsidR="00C2657C" w:rsidRPr="0004587E" w14:paraId="14A62660" w14:textId="77777777" w:rsidTr="00C52419">
        <w:trPr>
          <w:trHeight w:val="555"/>
        </w:trPr>
        <w:tc>
          <w:tcPr>
            <w:tcW w:w="2140" w:type="dxa"/>
            <w:tcBorders>
              <w:top w:val="nil"/>
              <w:left w:val="nil"/>
              <w:bottom w:val="nil"/>
              <w:right w:val="nil"/>
            </w:tcBorders>
            <w:shd w:val="clear" w:color="auto" w:fill="auto"/>
            <w:hideMark/>
          </w:tcPr>
          <w:p w14:paraId="5E36BCDE" w14:textId="77777777" w:rsidR="00C2657C" w:rsidRPr="0004587E" w:rsidRDefault="00C2657C" w:rsidP="00C52419">
            <w:pPr>
              <w:keepNext/>
              <w:keepLines/>
              <w:tabs>
                <w:tab w:val="clear" w:pos="567"/>
              </w:tabs>
              <w:spacing w:after="0" w:line="240" w:lineRule="auto"/>
              <w:rPr>
                <w:rFonts w:ascii="Calibri" w:eastAsia="Times New Roman" w:hAnsi="Calibri" w:cs="Times New Roman"/>
                <w:color w:val="000000"/>
                <w:sz w:val="20"/>
                <w:szCs w:val="20"/>
                <w:lang w:eastAsia="en-AU"/>
              </w:rPr>
            </w:pPr>
            <w:r w:rsidRPr="0004587E">
              <w:rPr>
                <w:rFonts w:ascii="Calibri" w:eastAsia="Times New Roman" w:hAnsi="Calibri" w:cstheme="minorHAnsi"/>
                <w:color w:val="000000"/>
                <w:sz w:val="20"/>
                <w:szCs w:val="20"/>
                <w:lang w:eastAsia="en-AU"/>
              </w:rPr>
              <w:t>Post-secondary education</w:t>
            </w:r>
          </w:p>
        </w:tc>
        <w:tc>
          <w:tcPr>
            <w:tcW w:w="3000" w:type="dxa"/>
            <w:tcBorders>
              <w:top w:val="nil"/>
              <w:left w:val="nil"/>
              <w:bottom w:val="nil"/>
              <w:right w:val="nil"/>
            </w:tcBorders>
            <w:shd w:val="clear" w:color="auto" w:fill="auto"/>
            <w:hideMark/>
          </w:tcPr>
          <w:p w14:paraId="74F88456" w14:textId="77777777" w:rsidR="00C2657C" w:rsidRPr="0004587E" w:rsidRDefault="00C2657C" w:rsidP="00C52419">
            <w:pPr>
              <w:keepNext/>
              <w:keepLines/>
              <w:tabs>
                <w:tab w:val="clear" w:pos="567"/>
              </w:tabs>
              <w:spacing w:after="0" w:line="240" w:lineRule="auto"/>
              <w:rPr>
                <w:rFonts w:ascii="Calibri" w:eastAsia="Times New Roman" w:hAnsi="Calibri" w:cs="Times New Roman"/>
                <w:color w:val="000000"/>
                <w:sz w:val="20"/>
                <w:szCs w:val="20"/>
                <w:lang w:eastAsia="en-AU"/>
              </w:rPr>
            </w:pPr>
            <w:r w:rsidRPr="0004587E">
              <w:rPr>
                <w:rFonts w:ascii="Calibri" w:eastAsia="Times New Roman" w:hAnsi="Calibri" w:cstheme="minorHAnsi"/>
                <w:color w:val="000000"/>
                <w:sz w:val="20"/>
                <w:szCs w:val="20"/>
                <w:lang w:eastAsia="en-AU"/>
              </w:rPr>
              <w:t>All service delivery expenses</w:t>
            </w:r>
          </w:p>
        </w:tc>
        <w:tc>
          <w:tcPr>
            <w:tcW w:w="3820" w:type="dxa"/>
            <w:tcBorders>
              <w:top w:val="nil"/>
              <w:left w:val="nil"/>
              <w:bottom w:val="nil"/>
              <w:right w:val="nil"/>
            </w:tcBorders>
            <w:shd w:val="clear" w:color="auto" w:fill="auto"/>
            <w:hideMark/>
          </w:tcPr>
          <w:p w14:paraId="7CF9C276" w14:textId="77777777" w:rsidR="00C2657C" w:rsidRPr="0004587E" w:rsidRDefault="00C2657C" w:rsidP="00C52419">
            <w:pPr>
              <w:keepNext/>
              <w:keepLines/>
              <w:tabs>
                <w:tab w:val="clear" w:pos="567"/>
              </w:tabs>
              <w:spacing w:after="0" w:line="240" w:lineRule="auto"/>
              <w:rPr>
                <w:rFonts w:ascii="Calibri" w:eastAsia="Times New Roman" w:hAnsi="Calibri" w:cs="Times New Roman"/>
                <w:color w:val="000000"/>
                <w:sz w:val="20"/>
                <w:szCs w:val="20"/>
                <w:lang w:eastAsia="en-AU"/>
              </w:rPr>
            </w:pPr>
            <w:r w:rsidRPr="0004587E">
              <w:rPr>
                <w:rFonts w:ascii="Calibri" w:eastAsia="Times New Roman" w:hAnsi="Calibri" w:cstheme="minorHAnsi"/>
                <w:color w:val="000000"/>
                <w:sz w:val="20"/>
                <w:szCs w:val="20"/>
                <w:lang w:eastAsia="en-AU"/>
              </w:rPr>
              <w:t>Category specific adjustment based on actual data</w:t>
            </w:r>
          </w:p>
        </w:tc>
      </w:tr>
      <w:tr w:rsidR="00C2657C" w:rsidRPr="0004587E" w14:paraId="46701B50" w14:textId="77777777" w:rsidTr="00C52419">
        <w:trPr>
          <w:trHeight w:val="315"/>
        </w:trPr>
        <w:tc>
          <w:tcPr>
            <w:tcW w:w="2140" w:type="dxa"/>
            <w:tcBorders>
              <w:top w:val="nil"/>
              <w:left w:val="nil"/>
              <w:bottom w:val="nil"/>
              <w:right w:val="nil"/>
            </w:tcBorders>
            <w:shd w:val="clear" w:color="auto" w:fill="auto"/>
            <w:hideMark/>
          </w:tcPr>
          <w:p w14:paraId="451AEDF1" w14:textId="77777777" w:rsidR="00C2657C" w:rsidRPr="0004587E" w:rsidRDefault="00C2657C" w:rsidP="00C52419">
            <w:pPr>
              <w:keepNext/>
              <w:keepLines/>
              <w:tabs>
                <w:tab w:val="clear" w:pos="567"/>
              </w:tabs>
              <w:spacing w:after="0" w:line="240" w:lineRule="auto"/>
              <w:rPr>
                <w:rFonts w:ascii="Calibri" w:eastAsia="Times New Roman" w:hAnsi="Calibri" w:cs="Times New Roman"/>
                <w:color w:val="000000"/>
                <w:sz w:val="20"/>
                <w:szCs w:val="20"/>
                <w:lang w:eastAsia="en-AU"/>
              </w:rPr>
            </w:pPr>
            <w:r w:rsidRPr="0004587E">
              <w:rPr>
                <w:rFonts w:ascii="Calibri" w:eastAsia="Times New Roman" w:hAnsi="Calibri" w:cstheme="minorHAnsi"/>
                <w:color w:val="000000"/>
                <w:sz w:val="20"/>
                <w:szCs w:val="20"/>
                <w:lang w:eastAsia="en-AU"/>
              </w:rPr>
              <w:t>Hospitals</w:t>
            </w:r>
          </w:p>
        </w:tc>
        <w:tc>
          <w:tcPr>
            <w:tcW w:w="3000" w:type="dxa"/>
            <w:tcBorders>
              <w:top w:val="nil"/>
              <w:left w:val="nil"/>
              <w:bottom w:val="nil"/>
              <w:right w:val="nil"/>
            </w:tcBorders>
            <w:shd w:val="clear" w:color="auto" w:fill="auto"/>
            <w:hideMark/>
          </w:tcPr>
          <w:p w14:paraId="352711D0" w14:textId="6775F660" w:rsidR="00C2657C" w:rsidRPr="0004587E" w:rsidRDefault="00EC175E" w:rsidP="00C52419">
            <w:pPr>
              <w:keepNext/>
              <w:keepLines/>
              <w:tabs>
                <w:tab w:val="clear" w:pos="567"/>
              </w:tabs>
              <w:spacing w:after="0" w:line="240" w:lineRule="auto"/>
              <w:rPr>
                <w:rFonts w:ascii="Calibri" w:eastAsia="Times New Roman" w:hAnsi="Calibri" w:cs="Times New Roman"/>
                <w:color w:val="000000"/>
                <w:sz w:val="20"/>
                <w:szCs w:val="20"/>
                <w:lang w:eastAsia="en-AU"/>
              </w:rPr>
            </w:pPr>
            <w:r w:rsidRPr="00EC175E">
              <w:rPr>
                <w:rFonts w:ascii="Calibri" w:eastAsia="Times New Roman" w:hAnsi="Calibri" w:cs="Times New Roman"/>
                <w:color w:val="000000"/>
                <w:sz w:val="20"/>
                <w:szCs w:val="20"/>
                <w:lang w:eastAsia="en-AU"/>
              </w:rPr>
              <w:t>All service delivery expenses</w:t>
            </w:r>
          </w:p>
        </w:tc>
        <w:tc>
          <w:tcPr>
            <w:tcW w:w="3820" w:type="dxa"/>
            <w:tcBorders>
              <w:top w:val="nil"/>
              <w:left w:val="nil"/>
              <w:bottom w:val="nil"/>
              <w:right w:val="nil"/>
            </w:tcBorders>
            <w:shd w:val="clear" w:color="auto" w:fill="auto"/>
            <w:hideMark/>
          </w:tcPr>
          <w:p w14:paraId="36E33B8B" w14:textId="77777777" w:rsidR="00C2657C" w:rsidRPr="0004587E" w:rsidRDefault="00C2657C" w:rsidP="00C52419">
            <w:pPr>
              <w:keepNext/>
              <w:keepLines/>
              <w:tabs>
                <w:tab w:val="clear" w:pos="567"/>
              </w:tabs>
              <w:spacing w:after="0" w:line="240" w:lineRule="auto"/>
              <w:rPr>
                <w:rFonts w:ascii="Calibri" w:eastAsia="Times New Roman" w:hAnsi="Calibri" w:cs="Times New Roman"/>
                <w:color w:val="000000"/>
                <w:sz w:val="20"/>
                <w:szCs w:val="20"/>
                <w:lang w:eastAsia="en-AU"/>
              </w:rPr>
            </w:pPr>
            <w:r w:rsidRPr="0004587E">
              <w:rPr>
                <w:rFonts w:ascii="Calibri" w:eastAsia="Times New Roman" w:hAnsi="Calibri" w:cs="Times New Roman"/>
                <w:color w:val="000000"/>
                <w:sz w:val="20"/>
                <w:szCs w:val="20"/>
                <w:lang w:eastAsia="en-AU"/>
              </w:rPr>
              <w:t>Adjustment to Commonwealth payments</w:t>
            </w:r>
          </w:p>
        </w:tc>
      </w:tr>
      <w:tr w:rsidR="00C2657C" w:rsidRPr="0004587E" w14:paraId="4CADF4DC" w14:textId="77777777" w:rsidTr="00C52419">
        <w:trPr>
          <w:trHeight w:val="555"/>
        </w:trPr>
        <w:tc>
          <w:tcPr>
            <w:tcW w:w="2140" w:type="dxa"/>
            <w:tcBorders>
              <w:top w:val="nil"/>
              <w:left w:val="nil"/>
              <w:bottom w:val="nil"/>
              <w:right w:val="nil"/>
            </w:tcBorders>
            <w:shd w:val="clear" w:color="auto" w:fill="auto"/>
            <w:hideMark/>
          </w:tcPr>
          <w:p w14:paraId="0C5D3727" w14:textId="77777777" w:rsidR="00C2657C" w:rsidRPr="0004587E" w:rsidRDefault="00C2657C" w:rsidP="00C52419">
            <w:pPr>
              <w:keepNext/>
              <w:keepLines/>
              <w:tabs>
                <w:tab w:val="clear" w:pos="567"/>
              </w:tabs>
              <w:spacing w:after="0" w:line="240" w:lineRule="auto"/>
              <w:rPr>
                <w:rFonts w:ascii="Calibri" w:eastAsia="Times New Roman" w:hAnsi="Calibri" w:cs="Times New Roman"/>
                <w:color w:val="000000"/>
                <w:sz w:val="20"/>
                <w:szCs w:val="20"/>
                <w:lang w:eastAsia="en-AU"/>
              </w:rPr>
            </w:pPr>
            <w:r w:rsidRPr="0004587E">
              <w:rPr>
                <w:rFonts w:ascii="Calibri" w:eastAsia="Times New Roman" w:hAnsi="Calibri" w:cs="Times New Roman"/>
                <w:color w:val="000000"/>
                <w:sz w:val="20"/>
                <w:szCs w:val="20"/>
                <w:lang w:eastAsia="en-AU"/>
              </w:rPr>
              <w:t>Community health</w:t>
            </w:r>
          </w:p>
        </w:tc>
        <w:tc>
          <w:tcPr>
            <w:tcW w:w="3000" w:type="dxa"/>
            <w:tcBorders>
              <w:top w:val="nil"/>
              <w:left w:val="nil"/>
              <w:bottom w:val="nil"/>
              <w:right w:val="nil"/>
            </w:tcBorders>
            <w:shd w:val="clear" w:color="auto" w:fill="auto"/>
            <w:hideMark/>
          </w:tcPr>
          <w:p w14:paraId="6F19818C" w14:textId="39972411" w:rsidR="00C2657C" w:rsidRPr="0004587E" w:rsidRDefault="00EC175E" w:rsidP="00C52419">
            <w:pPr>
              <w:keepNext/>
              <w:keepLines/>
              <w:tabs>
                <w:tab w:val="clear" w:pos="567"/>
              </w:tabs>
              <w:spacing w:after="0" w:line="240" w:lineRule="auto"/>
              <w:rPr>
                <w:rFonts w:ascii="Calibri" w:eastAsia="Times New Roman" w:hAnsi="Calibri" w:cs="Times New Roman"/>
                <w:color w:val="000000"/>
                <w:sz w:val="20"/>
                <w:szCs w:val="20"/>
                <w:lang w:eastAsia="en-AU"/>
              </w:rPr>
            </w:pPr>
            <w:r w:rsidRPr="00EC175E">
              <w:rPr>
                <w:rFonts w:ascii="Calibri" w:eastAsia="Times New Roman" w:hAnsi="Calibri" w:cs="Times New Roman"/>
                <w:color w:val="000000"/>
                <w:sz w:val="20"/>
                <w:szCs w:val="20"/>
                <w:lang w:eastAsia="en-AU"/>
              </w:rPr>
              <w:t>All service delivery expenses</w:t>
            </w:r>
          </w:p>
        </w:tc>
        <w:tc>
          <w:tcPr>
            <w:tcW w:w="3820" w:type="dxa"/>
            <w:tcBorders>
              <w:top w:val="nil"/>
              <w:left w:val="nil"/>
              <w:bottom w:val="nil"/>
              <w:right w:val="nil"/>
            </w:tcBorders>
            <w:shd w:val="clear" w:color="auto" w:fill="auto"/>
            <w:hideMark/>
          </w:tcPr>
          <w:p w14:paraId="408BC268" w14:textId="77777777" w:rsidR="00C2657C" w:rsidRPr="0004587E" w:rsidRDefault="00C2657C" w:rsidP="00C52419">
            <w:pPr>
              <w:keepNext/>
              <w:keepLines/>
              <w:tabs>
                <w:tab w:val="clear" w:pos="567"/>
              </w:tabs>
              <w:spacing w:after="0" w:line="240" w:lineRule="auto"/>
              <w:rPr>
                <w:rFonts w:ascii="Calibri" w:eastAsia="Times New Roman" w:hAnsi="Calibri" w:cs="Times New Roman"/>
                <w:color w:val="000000"/>
                <w:sz w:val="20"/>
                <w:szCs w:val="20"/>
                <w:lang w:eastAsia="en-AU"/>
              </w:rPr>
            </w:pPr>
            <w:r w:rsidRPr="0004587E">
              <w:rPr>
                <w:rFonts w:ascii="Calibri" w:eastAsia="Times New Roman" w:hAnsi="Calibri" w:cstheme="minorHAnsi"/>
                <w:color w:val="000000"/>
                <w:sz w:val="20"/>
                <w:szCs w:val="20"/>
                <w:lang w:eastAsia="en-AU"/>
              </w:rPr>
              <w:t>Category specific adjustment based on actual data if data are available, otherwise general method</w:t>
            </w:r>
          </w:p>
        </w:tc>
      </w:tr>
      <w:tr w:rsidR="00C2657C" w:rsidRPr="0004587E" w14:paraId="00ED33DC" w14:textId="77777777" w:rsidTr="00C52419">
        <w:trPr>
          <w:trHeight w:val="315"/>
        </w:trPr>
        <w:tc>
          <w:tcPr>
            <w:tcW w:w="2140" w:type="dxa"/>
            <w:tcBorders>
              <w:top w:val="nil"/>
              <w:left w:val="nil"/>
              <w:bottom w:val="single" w:sz="4" w:space="0" w:color="auto"/>
              <w:right w:val="nil"/>
            </w:tcBorders>
            <w:shd w:val="clear" w:color="auto" w:fill="auto"/>
            <w:hideMark/>
          </w:tcPr>
          <w:p w14:paraId="48977709" w14:textId="77777777" w:rsidR="00C2657C" w:rsidRPr="0004587E" w:rsidRDefault="00C2657C" w:rsidP="00C52419">
            <w:pPr>
              <w:keepNext/>
              <w:keepLines/>
              <w:tabs>
                <w:tab w:val="clear" w:pos="567"/>
              </w:tabs>
              <w:spacing w:after="0" w:line="240" w:lineRule="auto"/>
              <w:rPr>
                <w:rFonts w:ascii="Calibri" w:eastAsia="Times New Roman" w:hAnsi="Calibri" w:cs="Times New Roman"/>
                <w:color w:val="000000"/>
                <w:sz w:val="20"/>
                <w:szCs w:val="20"/>
                <w:lang w:eastAsia="en-AU"/>
              </w:rPr>
            </w:pPr>
            <w:r w:rsidRPr="0004587E">
              <w:rPr>
                <w:rFonts w:ascii="Calibri" w:eastAsia="Times New Roman" w:hAnsi="Calibri" w:cstheme="minorHAnsi"/>
                <w:color w:val="000000"/>
                <w:sz w:val="20"/>
                <w:szCs w:val="20"/>
                <w:lang w:eastAsia="en-AU"/>
              </w:rPr>
              <w:t>Roads</w:t>
            </w:r>
          </w:p>
        </w:tc>
        <w:tc>
          <w:tcPr>
            <w:tcW w:w="3000" w:type="dxa"/>
            <w:tcBorders>
              <w:top w:val="nil"/>
              <w:left w:val="nil"/>
              <w:bottom w:val="single" w:sz="4" w:space="0" w:color="auto"/>
              <w:right w:val="nil"/>
            </w:tcBorders>
            <w:shd w:val="clear" w:color="auto" w:fill="auto"/>
            <w:hideMark/>
          </w:tcPr>
          <w:p w14:paraId="75BE694F" w14:textId="77777777" w:rsidR="00C2657C" w:rsidRPr="0004587E" w:rsidRDefault="00C2657C" w:rsidP="00C52419">
            <w:pPr>
              <w:keepNext/>
              <w:keepLines/>
              <w:tabs>
                <w:tab w:val="clear" w:pos="567"/>
              </w:tabs>
              <w:spacing w:after="0" w:line="240" w:lineRule="auto"/>
              <w:rPr>
                <w:rFonts w:ascii="Calibri" w:eastAsia="Times New Roman" w:hAnsi="Calibri" w:cs="Times New Roman"/>
                <w:color w:val="000000"/>
                <w:sz w:val="20"/>
                <w:szCs w:val="20"/>
                <w:lang w:eastAsia="en-AU"/>
              </w:rPr>
            </w:pPr>
            <w:r w:rsidRPr="0004587E">
              <w:rPr>
                <w:rFonts w:ascii="Calibri" w:eastAsia="Times New Roman" w:hAnsi="Calibri" w:cstheme="minorHAnsi"/>
                <w:color w:val="000000"/>
                <w:sz w:val="20"/>
                <w:szCs w:val="20"/>
                <w:lang w:eastAsia="en-AU"/>
              </w:rPr>
              <w:t>All service delivery expenses</w:t>
            </w:r>
          </w:p>
        </w:tc>
        <w:tc>
          <w:tcPr>
            <w:tcW w:w="3820" w:type="dxa"/>
            <w:tcBorders>
              <w:top w:val="nil"/>
              <w:left w:val="nil"/>
              <w:bottom w:val="single" w:sz="4" w:space="0" w:color="auto"/>
              <w:right w:val="nil"/>
            </w:tcBorders>
            <w:shd w:val="clear" w:color="auto" w:fill="auto"/>
            <w:hideMark/>
          </w:tcPr>
          <w:p w14:paraId="24DB021F" w14:textId="77777777" w:rsidR="00C2657C" w:rsidRPr="0004587E" w:rsidRDefault="00C2657C" w:rsidP="00C52419">
            <w:pPr>
              <w:keepNext/>
              <w:keepLines/>
              <w:tabs>
                <w:tab w:val="clear" w:pos="567"/>
              </w:tabs>
              <w:spacing w:after="0" w:line="240" w:lineRule="auto"/>
              <w:rPr>
                <w:rFonts w:ascii="Calibri" w:eastAsia="Times New Roman" w:hAnsi="Calibri" w:cs="Times New Roman"/>
                <w:color w:val="000000"/>
                <w:sz w:val="20"/>
                <w:szCs w:val="20"/>
                <w:lang w:eastAsia="en-AU"/>
              </w:rPr>
            </w:pPr>
            <w:r w:rsidRPr="0004587E">
              <w:rPr>
                <w:rFonts w:ascii="Calibri" w:eastAsia="Times New Roman" w:hAnsi="Calibri" w:cstheme="minorHAnsi"/>
                <w:color w:val="000000"/>
                <w:sz w:val="20"/>
                <w:szCs w:val="20"/>
                <w:lang w:eastAsia="en-AU"/>
              </w:rPr>
              <w:t>Implicit in use data</w:t>
            </w:r>
          </w:p>
        </w:tc>
      </w:tr>
    </w:tbl>
    <w:p w14:paraId="1BFF8FD7" w14:textId="77777777" w:rsidR="00C2657C" w:rsidRDefault="00C2657C" w:rsidP="00EC175E">
      <w:pPr>
        <w:pStyle w:val="Heading4"/>
      </w:pPr>
      <w:bookmarkStart w:id="95" w:name="_Toc511398665"/>
      <w:bookmarkStart w:id="96" w:name="_Toc511398709"/>
      <w:bookmarkStart w:id="97" w:name="_Toc511399111"/>
      <w:bookmarkStart w:id="98" w:name="_Toc511823927"/>
      <w:bookmarkStart w:id="99" w:name="_Toc511892533"/>
      <w:r w:rsidRPr="00EC175E">
        <w:t>Information</w:t>
      </w:r>
      <w:r>
        <w:t xml:space="preserve"> sought from States</w:t>
      </w:r>
      <w:bookmarkEnd w:id="95"/>
      <w:bookmarkEnd w:id="96"/>
      <w:bookmarkEnd w:id="97"/>
      <w:bookmarkEnd w:id="98"/>
      <w:bookmarkEnd w:id="99"/>
    </w:p>
    <w:p w14:paraId="363DF98E" w14:textId="77777777" w:rsidR="00C2657C" w:rsidRDefault="00C2657C" w:rsidP="00EC175E">
      <w:pPr>
        <w:pStyle w:val="CGCNumberedPara"/>
      </w:pPr>
      <w:r w:rsidRPr="00EC175E">
        <w:t>Staff</w:t>
      </w:r>
      <w:r>
        <w:t xml:space="preserve"> will seek the following information from the ACT:</w:t>
      </w:r>
    </w:p>
    <w:p w14:paraId="029B9D3F" w14:textId="77777777" w:rsidR="00C2657C" w:rsidRDefault="00C2657C" w:rsidP="00EC175E">
      <w:pPr>
        <w:pStyle w:val="CGCBulletlist"/>
      </w:pPr>
      <w:r>
        <w:t xml:space="preserve">use of </w:t>
      </w:r>
      <w:r w:rsidRPr="00EC175E">
        <w:t>community</w:t>
      </w:r>
      <w:r>
        <w:t xml:space="preserve"> health services by New South Wales residents </w:t>
      </w:r>
    </w:p>
    <w:p w14:paraId="26EC3981" w14:textId="77777777" w:rsidR="00C2657C" w:rsidRDefault="00C2657C" w:rsidP="00EC175E">
      <w:pPr>
        <w:pStyle w:val="CGCBulletlist"/>
      </w:pPr>
      <w:r>
        <w:t>use of New South Wales community health services by ACT residents.</w:t>
      </w:r>
    </w:p>
    <w:p w14:paraId="4F66C582" w14:textId="77777777" w:rsidR="00C2657C" w:rsidRDefault="00C2657C" w:rsidP="00EC175E">
      <w:pPr>
        <w:pStyle w:val="CGCNumberedPara"/>
      </w:pPr>
      <w:r>
        <w:t xml:space="preserve">The ACT may wish to provide information to support a cross-border assessment for </w:t>
      </w:r>
      <w:r w:rsidRPr="00EC175E">
        <w:t>other</w:t>
      </w:r>
      <w:r>
        <w:t xml:space="preserve"> services, such as the use of cultural and recreational services by New South Wales residents.</w:t>
      </w:r>
    </w:p>
    <w:p w14:paraId="76D5A3FD" w14:textId="22BEDF37" w:rsidR="00C54930" w:rsidRPr="00C54930" w:rsidRDefault="00C54930" w:rsidP="001A1E05">
      <w:pPr>
        <w:pStyle w:val="CGCNumberedPara"/>
        <w:numPr>
          <w:ilvl w:val="0"/>
          <w:numId w:val="0"/>
        </w:numPr>
      </w:pPr>
      <w:r>
        <w:br w:type="page"/>
      </w:r>
    </w:p>
    <w:p w14:paraId="7D0106F6" w14:textId="06C54F1A" w:rsidR="00C54930" w:rsidRDefault="00C23AC3" w:rsidP="00C23AC3">
      <w:pPr>
        <w:pStyle w:val="Heading2"/>
      </w:pPr>
      <w:bookmarkStart w:id="100" w:name="_Toc511048314"/>
      <w:bookmarkStart w:id="101" w:name="_Toc511048416"/>
      <w:bookmarkStart w:id="102" w:name="_Toc511048454"/>
      <w:bookmarkStart w:id="103" w:name="_Toc511048489"/>
      <w:bookmarkStart w:id="104" w:name="_Toc511398666"/>
      <w:bookmarkStart w:id="105" w:name="_Toc511398710"/>
      <w:bookmarkStart w:id="106" w:name="_Toc511892534"/>
      <w:r>
        <w:t>N</w:t>
      </w:r>
      <w:r w:rsidR="00C54930">
        <w:t>ational capital</w:t>
      </w:r>
      <w:r w:rsidR="00CB40F4">
        <w:t xml:space="preserve"> allowances</w:t>
      </w:r>
      <w:bookmarkEnd w:id="100"/>
      <w:bookmarkEnd w:id="101"/>
      <w:bookmarkEnd w:id="102"/>
      <w:bookmarkEnd w:id="103"/>
      <w:bookmarkEnd w:id="104"/>
      <w:bookmarkEnd w:id="105"/>
      <w:bookmarkEnd w:id="106"/>
    </w:p>
    <w:p w14:paraId="2B74F47E" w14:textId="77777777" w:rsidR="00C54930" w:rsidRPr="00741FF2" w:rsidRDefault="00C54930" w:rsidP="00C54930">
      <w:pPr>
        <w:pStyle w:val="Heading3"/>
      </w:pPr>
      <w:bookmarkStart w:id="107" w:name="_Toc511048315"/>
      <w:bookmarkStart w:id="108" w:name="_Toc511048417"/>
      <w:bookmarkStart w:id="109" w:name="_Toc511048455"/>
      <w:bookmarkStart w:id="110" w:name="_Toc511048490"/>
      <w:bookmarkStart w:id="111" w:name="_Toc511398667"/>
      <w:bookmarkStart w:id="112" w:name="_Toc511398711"/>
      <w:bookmarkStart w:id="113" w:name="_Toc511892535"/>
      <w:r w:rsidRPr="00741FF2">
        <w:t>201</w:t>
      </w:r>
      <w:r>
        <w:t>5</w:t>
      </w:r>
      <w:r w:rsidRPr="00741FF2">
        <w:t xml:space="preserve"> </w:t>
      </w:r>
      <w:r>
        <w:t>Review</w:t>
      </w:r>
      <w:r w:rsidRPr="00741FF2">
        <w:t xml:space="preserve"> approach</w:t>
      </w:r>
      <w:bookmarkEnd w:id="107"/>
      <w:bookmarkEnd w:id="108"/>
      <w:bookmarkEnd w:id="109"/>
      <w:bookmarkEnd w:id="110"/>
      <w:bookmarkEnd w:id="111"/>
      <w:bookmarkEnd w:id="112"/>
      <w:bookmarkEnd w:id="113"/>
    </w:p>
    <w:p w14:paraId="40D4599E" w14:textId="77777777" w:rsidR="00C54930" w:rsidRDefault="00C54930" w:rsidP="00EC175E">
      <w:pPr>
        <w:pStyle w:val="CGCNumberedPara"/>
      </w:pPr>
      <w:r w:rsidRPr="00F46B46">
        <w:t>National capital allowances recognise the unavoidable extra costs incurred by the ACT because of Canberra’s status as the national capital or because of legacies inherited from the Commonwealth at self-government.</w:t>
      </w:r>
      <w:r>
        <w:t xml:space="preserve"> </w:t>
      </w:r>
    </w:p>
    <w:p w14:paraId="08D3D451" w14:textId="651E35A7" w:rsidR="0066653D" w:rsidRDefault="0066653D" w:rsidP="00C54930">
      <w:pPr>
        <w:pStyle w:val="Heading4"/>
      </w:pPr>
      <w:bookmarkStart w:id="114" w:name="_Toc511398668"/>
      <w:bookmarkStart w:id="115" w:name="_Toc511398712"/>
      <w:bookmarkStart w:id="116" w:name="_Toc511892536"/>
      <w:bookmarkStart w:id="117" w:name="_Toc511048316"/>
      <w:bookmarkStart w:id="118" w:name="_Toc511048418"/>
      <w:bookmarkStart w:id="119" w:name="_Toc511048456"/>
      <w:bookmarkStart w:id="120" w:name="_Toc511048491"/>
      <w:r w:rsidRPr="002132CC">
        <w:t>Services</w:t>
      </w:r>
      <w:r>
        <w:t xml:space="preserve"> </w:t>
      </w:r>
      <w:r w:rsidRPr="002132CC">
        <w:t xml:space="preserve">included in this </w:t>
      </w:r>
      <w:bookmarkEnd w:id="114"/>
      <w:bookmarkEnd w:id="115"/>
      <w:r w:rsidR="003624A7">
        <w:t>disability</w:t>
      </w:r>
      <w:bookmarkEnd w:id="116"/>
    </w:p>
    <w:p w14:paraId="2779A385" w14:textId="34EE5C5B" w:rsidR="0066653D" w:rsidRDefault="0066653D" w:rsidP="00EC175E">
      <w:pPr>
        <w:pStyle w:val="CGCNumberedPara"/>
        <w:numPr>
          <w:ilvl w:val="1"/>
          <w:numId w:val="3"/>
        </w:numPr>
      </w:pPr>
      <w:r>
        <w:t xml:space="preserve">The Commission recognised three types of national capital allowances in the 2015 Review: </w:t>
      </w:r>
    </w:p>
    <w:p w14:paraId="0082F8B7" w14:textId="002F9F93" w:rsidR="0066653D" w:rsidRDefault="0066653D" w:rsidP="0066653D">
      <w:pPr>
        <w:pStyle w:val="CGCBulletlist"/>
        <w:numPr>
          <w:ilvl w:val="0"/>
          <w:numId w:val="1"/>
        </w:numPr>
        <w:tabs>
          <w:tab w:val="clear" w:pos="927"/>
          <w:tab w:val="num" w:pos="4472"/>
        </w:tabs>
        <w:ind w:left="1134" w:hanging="567"/>
      </w:pPr>
      <w:r>
        <w:t>planning allowance</w:t>
      </w:r>
      <w:r w:rsidR="00142588">
        <w:t>s</w:t>
      </w:r>
    </w:p>
    <w:p w14:paraId="3B8C3E53" w14:textId="0D2372EF" w:rsidR="0066653D" w:rsidRDefault="0066653D" w:rsidP="0066653D">
      <w:pPr>
        <w:pStyle w:val="CGCBulletlist"/>
        <w:numPr>
          <w:ilvl w:val="0"/>
          <w:numId w:val="1"/>
        </w:numPr>
        <w:tabs>
          <w:tab w:val="clear" w:pos="927"/>
          <w:tab w:val="num" w:pos="4472"/>
        </w:tabs>
        <w:ind w:left="1134" w:hanging="567"/>
      </w:pPr>
      <w:r>
        <w:t xml:space="preserve">police </w:t>
      </w:r>
      <w:r w:rsidR="00142588">
        <w:t>services</w:t>
      </w:r>
    </w:p>
    <w:p w14:paraId="0E3FD8B0" w14:textId="23FCE65C" w:rsidR="0066653D" w:rsidRPr="00F46B46" w:rsidRDefault="0066653D" w:rsidP="0066653D">
      <w:pPr>
        <w:pStyle w:val="CGCBulletlist"/>
        <w:numPr>
          <w:ilvl w:val="0"/>
          <w:numId w:val="1"/>
        </w:numPr>
        <w:tabs>
          <w:tab w:val="clear" w:pos="927"/>
          <w:tab w:val="num" w:pos="4472"/>
        </w:tabs>
        <w:ind w:left="1134" w:hanging="567"/>
      </w:pPr>
      <w:r>
        <w:t>roads.</w:t>
      </w:r>
    </w:p>
    <w:p w14:paraId="0DFA348A" w14:textId="6B4183A8" w:rsidR="0066653D" w:rsidRPr="0066653D" w:rsidRDefault="0066653D" w:rsidP="0066653D">
      <w:pPr>
        <w:pStyle w:val="Heading4"/>
      </w:pPr>
      <w:bookmarkStart w:id="121" w:name="_Toc511398669"/>
      <w:bookmarkStart w:id="122" w:name="_Toc511398713"/>
      <w:bookmarkStart w:id="123" w:name="_Toc511892537"/>
      <w:r>
        <w:t>Data sources and assessment methods</w:t>
      </w:r>
      <w:bookmarkEnd w:id="121"/>
      <w:bookmarkEnd w:id="122"/>
      <w:bookmarkEnd w:id="123"/>
    </w:p>
    <w:p w14:paraId="11F0DCD7" w14:textId="77777777" w:rsidR="00C54930" w:rsidRPr="0066653D" w:rsidRDefault="00C54930" w:rsidP="0066653D">
      <w:pPr>
        <w:pStyle w:val="Heading5"/>
      </w:pPr>
      <w:r w:rsidRPr="0066653D">
        <w:rPr>
          <w:rStyle w:val="Heading6Char"/>
          <w:b/>
          <w:i/>
          <w:iCs w:val="0"/>
        </w:rPr>
        <w:t>Planning allowances</w:t>
      </w:r>
      <w:bookmarkEnd w:id="117"/>
      <w:bookmarkEnd w:id="118"/>
      <w:bookmarkEnd w:id="119"/>
      <w:bookmarkEnd w:id="120"/>
    </w:p>
    <w:p w14:paraId="6054E238" w14:textId="3347EFCD" w:rsidR="00C54930" w:rsidRDefault="00C54930" w:rsidP="00C54930">
      <w:pPr>
        <w:pStyle w:val="CGCNumberedPara"/>
        <w:numPr>
          <w:ilvl w:val="1"/>
          <w:numId w:val="3"/>
        </w:numPr>
      </w:pPr>
      <w:r w:rsidRPr="00F46B46">
        <w:t>In 1989, when the ACT was granted self-government, the Commonwealth established the National Capital Authority (</w:t>
      </w:r>
      <w:proofErr w:type="spellStart"/>
      <w:r w:rsidRPr="00F46B46">
        <w:t>NCA</w:t>
      </w:r>
      <w:proofErr w:type="spellEnd"/>
      <w:r w:rsidRPr="00F46B46">
        <w:t>) to manage its continuing interest in the strategic planning and development of Canberra as the nation’s capital. It did so, in part, through the development and management of the National Capital Plan</w:t>
      </w:r>
      <w:r>
        <w:t xml:space="preserve"> (NCP)</w:t>
      </w:r>
      <w:r w:rsidRPr="00F46B46">
        <w:t>. This plan place</w:t>
      </w:r>
      <w:r>
        <w:t>d</w:t>
      </w:r>
      <w:r w:rsidRPr="00F46B46">
        <w:t xml:space="preserve"> restrictions on some of the planning and development decisions in the ACT and </w:t>
      </w:r>
      <w:r>
        <w:t xml:space="preserve">the Commission considered that these </w:t>
      </w:r>
      <w:r w:rsidRPr="00F46B46">
        <w:t>led to higher costs for the ACT Government</w:t>
      </w:r>
      <w:r>
        <w:t xml:space="preserve"> at that time</w:t>
      </w:r>
      <w:r w:rsidRPr="00F46B46">
        <w:t>. The</w:t>
      </w:r>
      <w:r>
        <w:t xml:space="preserve"> Commission concluded </w:t>
      </w:r>
      <w:r w:rsidR="00A36E0C">
        <w:t xml:space="preserve">similar </w:t>
      </w:r>
      <w:r w:rsidRPr="00F46B46">
        <w:t xml:space="preserve">additional costs </w:t>
      </w:r>
      <w:r>
        <w:t>we</w:t>
      </w:r>
      <w:r w:rsidRPr="00F46B46">
        <w:t>re not incurred by other States.</w:t>
      </w:r>
    </w:p>
    <w:p w14:paraId="33776E70" w14:textId="33D1290A" w:rsidR="00C54930" w:rsidRDefault="00C54930" w:rsidP="00C54930">
      <w:pPr>
        <w:pStyle w:val="CGCNumberedPara"/>
        <w:numPr>
          <w:ilvl w:val="1"/>
          <w:numId w:val="3"/>
        </w:numPr>
      </w:pPr>
      <w:r w:rsidRPr="000F0644">
        <w:rPr>
          <w:rStyle w:val="Heading6Char"/>
          <w:rFonts w:eastAsiaTheme="minorHAnsi" w:cstheme="minorBidi"/>
          <w:b w:val="0"/>
          <w:i w:val="0"/>
          <w:iCs w:val="0"/>
          <w:color w:val="auto"/>
          <w:sz w:val="24"/>
        </w:rPr>
        <w:t xml:space="preserve">The </w:t>
      </w:r>
      <w:r w:rsidR="00CB40F4" w:rsidRPr="000F0644">
        <w:rPr>
          <w:rStyle w:val="Heading6Char"/>
          <w:rFonts w:eastAsiaTheme="minorHAnsi" w:cstheme="minorBidi"/>
          <w:b w:val="0"/>
          <w:i w:val="0"/>
          <w:iCs w:val="0"/>
          <w:color w:val="auto"/>
          <w:sz w:val="24"/>
        </w:rPr>
        <w:t>2004</w:t>
      </w:r>
      <w:r w:rsidR="00CB40F4">
        <w:rPr>
          <w:rStyle w:val="Heading6Char"/>
          <w:rFonts w:eastAsiaTheme="minorHAnsi" w:cstheme="minorBidi"/>
          <w:b w:val="0"/>
          <w:i w:val="0"/>
          <w:iCs w:val="0"/>
          <w:color w:val="auto"/>
          <w:sz w:val="24"/>
        </w:rPr>
        <w:t> </w:t>
      </w:r>
      <w:r w:rsidR="00CB40F4" w:rsidRPr="000F0644">
        <w:rPr>
          <w:rStyle w:val="Heading6Char"/>
          <w:rFonts w:eastAsiaTheme="minorHAnsi" w:cstheme="minorBidi"/>
          <w:b w:val="0"/>
          <w:i w:val="0"/>
          <w:iCs w:val="0"/>
          <w:color w:val="auto"/>
          <w:sz w:val="24"/>
        </w:rPr>
        <w:t xml:space="preserve">Review </w:t>
      </w:r>
      <w:r w:rsidR="00CB40F4">
        <w:rPr>
          <w:rStyle w:val="Heading6Char"/>
          <w:rFonts w:eastAsiaTheme="minorHAnsi" w:cstheme="minorBidi"/>
          <w:b w:val="0"/>
          <w:i w:val="0"/>
          <w:iCs w:val="0"/>
          <w:color w:val="auto"/>
          <w:sz w:val="24"/>
        </w:rPr>
        <w:t xml:space="preserve">is the </w:t>
      </w:r>
      <w:r w:rsidRPr="000F0644">
        <w:rPr>
          <w:rStyle w:val="Heading6Char"/>
          <w:rFonts w:eastAsiaTheme="minorHAnsi" w:cstheme="minorBidi"/>
          <w:b w:val="0"/>
          <w:i w:val="0"/>
          <w:iCs w:val="0"/>
          <w:color w:val="auto"/>
          <w:sz w:val="24"/>
        </w:rPr>
        <w:t>last time these allowances were comprehensively reviewed.</w:t>
      </w:r>
      <w:r>
        <w:rPr>
          <w:rStyle w:val="Heading6Char"/>
          <w:rFonts w:eastAsiaTheme="minorHAnsi" w:cstheme="minorBidi"/>
          <w:b w:val="0"/>
          <w:i w:val="0"/>
          <w:iCs w:val="0"/>
          <w:color w:val="auto"/>
          <w:sz w:val="24"/>
        </w:rPr>
        <w:t xml:space="preserve"> </w:t>
      </w:r>
      <w:r w:rsidR="00CB40F4">
        <w:rPr>
          <w:rStyle w:val="Heading6Char"/>
          <w:rFonts w:eastAsiaTheme="minorHAnsi" w:cstheme="minorBidi"/>
          <w:b w:val="0"/>
          <w:i w:val="0"/>
          <w:iCs w:val="0"/>
          <w:color w:val="auto"/>
          <w:sz w:val="24"/>
        </w:rPr>
        <w:t>They were reviewed i</w:t>
      </w:r>
      <w:r>
        <w:rPr>
          <w:rStyle w:val="Heading6Char"/>
          <w:rFonts w:eastAsiaTheme="minorHAnsi" w:cstheme="minorBidi"/>
          <w:b w:val="0"/>
          <w:i w:val="0"/>
          <w:iCs w:val="0"/>
          <w:color w:val="auto"/>
          <w:sz w:val="24"/>
        </w:rPr>
        <w:t>n the 2010 Review</w:t>
      </w:r>
      <w:r>
        <w:t xml:space="preserve"> in </w:t>
      </w:r>
      <w:r w:rsidR="00CB40F4">
        <w:t xml:space="preserve">the </w:t>
      </w:r>
      <w:r>
        <w:t xml:space="preserve">light of the 2010 Review assessment guidelines, with their extra </w:t>
      </w:r>
      <w:r w:rsidRPr="00B476C1">
        <w:t>emphasis on simplif</w:t>
      </w:r>
      <w:r>
        <w:t>ication, reliability and materiality. This resulted in fewer national capital allowances.</w:t>
      </w:r>
    </w:p>
    <w:p w14:paraId="07D48E57" w14:textId="1DB24BD6" w:rsidR="00C54930" w:rsidRPr="000F0644" w:rsidRDefault="006403DF" w:rsidP="00C54930">
      <w:pPr>
        <w:pStyle w:val="CGCNumberedPara"/>
        <w:numPr>
          <w:ilvl w:val="1"/>
          <w:numId w:val="3"/>
        </w:numPr>
      </w:pPr>
      <w:r>
        <w:t>T</w:t>
      </w:r>
      <w:r w:rsidR="00C54930">
        <w:t>he 2010 Review allowances</w:t>
      </w:r>
      <w:r>
        <w:t xml:space="preserve"> were retained in the 2015 Review and subsequent updates</w:t>
      </w:r>
      <w:r w:rsidR="00C54930">
        <w:t xml:space="preserve">. The amounts assessed </w:t>
      </w:r>
      <w:r>
        <w:t xml:space="preserve">for 2016-17 in the 2018 Update </w:t>
      </w:r>
      <w:r w:rsidR="00C54930">
        <w:t xml:space="preserve">are shown in </w:t>
      </w:r>
      <w:r w:rsidR="00C54930">
        <w:fldChar w:fldCharType="begin"/>
      </w:r>
      <w:r w:rsidR="00C54930">
        <w:instrText xml:space="preserve"> REF _Ref488744073 \h </w:instrText>
      </w:r>
      <w:r w:rsidR="00C54930">
        <w:fldChar w:fldCharType="separate"/>
      </w:r>
      <w:r w:rsidR="00C40664">
        <w:t xml:space="preserve">Table </w:t>
      </w:r>
      <w:r w:rsidR="00C40664">
        <w:rPr>
          <w:noProof/>
        </w:rPr>
        <w:t>5</w:t>
      </w:r>
      <w:r w:rsidR="00C54930">
        <w:fldChar w:fldCharType="end"/>
      </w:r>
      <w:r w:rsidR="00C54930">
        <w:t>.</w:t>
      </w:r>
    </w:p>
    <w:p w14:paraId="0065564F" w14:textId="758460F8" w:rsidR="00C54930" w:rsidRDefault="00C54930" w:rsidP="004939CE">
      <w:pPr>
        <w:pStyle w:val="CGCTableHeading"/>
      </w:pPr>
      <w:bookmarkStart w:id="124" w:name="_Ref488744073"/>
      <w:r>
        <w:t xml:space="preserve">Table </w:t>
      </w:r>
      <w:fldSimple w:instr=" SEQ Table \* ARABIC ">
        <w:r w:rsidR="00C40664">
          <w:rPr>
            <w:noProof/>
          </w:rPr>
          <w:t>5</w:t>
        </w:r>
      </w:fldSimple>
      <w:bookmarkEnd w:id="124"/>
      <w:r>
        <w:tab/>
        <w:t xml:space="preserve">National </w:t>
      </w:r>
      <w:r w:rsidR="00BC67F4">
        <w:t>C</w:t>
      </w:r>
      <w:r>
        <w:t xml:space="preserve">apital </w:t>
      </w:r>
      <w:r w:rsidR="00BC67F4">
        <w:t>P</w:t>
      </w:r>
      <w:r>
        <w:t>lan allowances, 2015 Review</w:t>
      </w:r>
    </w:p>
    <w:tbl>
      <w:tblPr>
        <w:tblW w:w="8920" w:type="dxa"/>
        <w:tblLayout w:type="fixed"/>
        <w:tblCellMar>
          <w:left w:w="0" w:type="dxa"/>
          <w:right w:w="0" w:type="dxa"/>
        </w:tblCellMar>
        <w:tblLook w:val="04A0" w:firstRow="1" w:lastRow="0" w:firstColumn="1" w:lastColumn="0" w:noHBand="0" w:noVBand="1"/>
      </w:tblPr>
      <w:tblGrid>
        <w:gridCol w:w="5820"/>
        <w:gridCol w:w="2040"/>
        <w:gridCol w:w="1060"/>
      </w:tblGrid>
      <w:tr w:rsidR="004939CE" w:rsidRPr="004939CE" w14:paraId="2FB3AEA6" w14:textId="77777777" w:rsidTr="004939CE">
        <w:trPr>
          <w:trHeight w:val="375"/>
        </w:trPr>
        <w:tc>
          <w:tcPr>
            <w:tcW w:w="5820" w:type="dxa"/>
            <w:tcBorders>
              <w:top w:val="single" w:sz="4" w:space="0" w:color="auto"/>
              <w:left w:val="nil"/>
              <w:bottom w:val="single" w:sz="4" w:space="0" w:color="auto"/>
              <w:right w:val="nil"/>
            </w:tcBorders>
            <w:shd w:val="clear" w:color="auto" w:fill="auto"/>
            <w:vAlign w:val="center"/>
            <w:hideMark/>
          </w:tcPr>
          <w:p w14:paraId="6017A582" w14:textId="77777777" w:rsidR="004939CE" w:rsidRPr="004939CE" w:rsidRDefault="004939CE" w:rsidP="004939CE">
            <w:pPr>
              <w:keepNext/>
              <w:keepLines/>
              <w:tabs>
                <w:tab w:val="clear" w:pos="567"/>
              </w:tabs>
              <w:spacing w:after="0" w:line="240" w:lineRule="auto"/>
              <w:ind w:left="193" w:hanging="142"/>
              <w:jc w:val="right"/>
              <w:rPr>
                <w:rFonts w:ascii="Calibri" w:eastAsia="Times New Roman" w:hAnsi="Calibri" w:cs="Times New Roman"/>
                <w:sz w:val="20"/>
                <w:szCs w:val="20"/>
                <w:lang w:eastAsia="en-AU"/>
              </w:rPr>
            </w:pPr>
            <w:bookmarkStart w:id="125" w:name="RANGE!AB3:AD11"/>
            <w:r w:rsidRPr="004939CE">
              <w:rPr>
                <w:rFonts w:ascii="Calibri" w:eastAsia="Times New Roman" w:hAnsi="Calibri" w:cstheme="minorHAnsi"/>
                <w:sz w:val="20"/>
                <w:szCs w:val="20"/>
                <w:lang w:eastAsia="en-AU"/>
              </w:rPr>
              <w:t> </w:t>
            </w:r>
            <w:bookmarkEnd w:id="125"/>
          </w:p>
        </w:tc>
        <w:tc>
          <w:tcPr>
            <w:tcW w:w="2040" w:type="dxa"/>
            <w:tcBorders>
              <w:top w:val="single" w:sz="4" w:space="0" w:color="auto"/>
              <w:left w:val="nil"/>
              <w:bottom w:val="single" w:sz="4" w:space="0" w:color="auto"/>
              <w:right w:val="nil"/>
            </w:tcBorders>
            <w:shd w:val="clear" w:color="auto" w:fill="auto"/>
            <w:vAlign w:val="center"/>
            <w:hideMark/>
          </w:tcPr>
          <w:p w14:paraId="06354EB0" w14:textId="77777777" w:rsidR="004939CE" w:rsidRPr="004939CE" w:rsidRDefault="004939CE" w:rsidP="004939CE">
            <w:pPr>
              <w:keepNext/>
              <w:keepLines/>
              <w:tabs>
                <w:tab w:val="clear" w:pos="567"/>
              </w:tabs>
              <w:spacing w:after="0" w:line="240" w:lineRule="auto"/>
              <w:jc w:val="right"/>
              <w:rPr>
                <w:rFonts w:ascii="Calibri" w:eastAsia="Times New Roman" w:hAnsi="Calibri" w:cs="Times New Roman"/>
                <w:sz w:val="20"/>
                <w:szCs w:val="20"/>
                <w:lang w:eastAsia="en-AU"/>
              </w:rPr>
            </w:pPr>
            <w:r w:rsidRPr="004939CE">
              <w:rPr>
                <w:rFonts w:ascii="Calibri" w:eastAsia="Times New Roman" w:hAnsi="Calibri" w:cstheme="minorHAnsi"/>
                <w:sz w:val="20"/>
                <w:szCs w:val="20"/>
                <w:lang w:eastAsia="en-AU"/>
              </w:rPr>
              <w:t>2002-03 (2004 Review)</w:t>
            </w:r>
          </w:p>
        </w:tc>
        <w:tc>
          <w:tcPr>
            <w:tcW w:w="1060" w:type="dxa"/>
            <w:tcBorders>
              <w:top w:val="single" w:sz="4" w:space="0" w:color="auto"/>
              <w:left w:val="nil"/>
              <w:bottom w:val="single" w:sz="4" w:space="0" w:color="auto"/>
              <w:right w:val="nil"/>
            </w:tcBorders>
            <w:shd w:val="clear" w:color="auto" w:fill="auto"/>
            <w:vAlign w:val="center"/>
            <w:hideMark/>
          </w:tcPr>
          <w:p w14:paraId="46185CFA" w14:textId="77777777" w:rsidR="004939CE" w:rsidRPr="004939CE" w:rsidRDefault="004939CE" w:rsidP="004939CE">
            <w:pPr>
              <w:keepNext/>
              <w:keepLines/>
              <w:tabs>
                <w:tab w:val="clear" w:pos="567"/>
              </w:tabs>
              <w:spacing w:after="0" w:line="240" w:lineRule="auto"/>
              <w:jc w:val="right"/>
              <w:rPr>
                <w:rFonts w:ascii="Calibri" w:eastAsia="Times New Roman" w:hAnsi="Calibri" w:cs="Times New Roman"/>
                <w:sz w:val="20"/>
                <w:szCs w:val="20"/>
                <w:lang w:eastAsia="en-AU"/>
              </w:rPr>
            </w:pPr>
            <w:r w:rsidRPr="004939CE">
              <w:rPr>
                <w:rFonts w:ascii="Calibri" w:eastAsia="Times New Roman" w:hAnsi="Calibri" w:cstheme="minorHAnsi"/>
                <w:sz w:val="20"/>
                <w:szCs w:val="20"/>
                <w:lang w:eastAsia="en-AU"/>
              </w:rPr>
              <w:t>2016-17</w:t>
            </w:r>
          </w:p>
        </w:tc>
      </w:tr>
      <w:tr w:rsidR="004939CE" w:rsidRPr="004939CE" w14:paraId="4D1C01BE" w14:textId="77777777" w:rsidTr="004939CE">
        <w:trPr>
          <w:trHeight w:val="259"/>
        </w:trPr>
        <w:tc>
          <w:tcPr>
            <w:tcW w:w="5820" w:type="dxa"/>
            <w:tcBorders>
              <w:top w:val="nil"/>
              <w:left w:val="nil"/>
              <w:bottom w:val="nil"/>
              <w:right w:val="nil"/>
            </w:tcBorders>
            <w:shd w:val="clear" w:color="auto" w:fill="auto"/>
            <w:noWrap/>
            <w:vAlign w:val="bottom"/>
            <w:hideMark/>
          </w:tcPr>
          <w:p w14:paraId="1B3FE941" w14:textId="77777777" w:rsidR="004939CE" w:rsidRPr="004939CE" w:rsidRDefault="004939CE" w:rsidP="004939CE">
            <w:pPr>
              <w:keepNext/>
              <w:keepLines/>
              <w:tabs>
                <w:tab w:val="clear" w:pos="567"/>
              </w:tabs>
              <w:spacing w:after="0" w:line="240" w:lineRule="auto"/>
              <w:ind w:left="193" w:hanging="142"/>
              <w:jc w:val="right"/>
              <w:rPr>
                <w:rFonts w:ascii="Calibri" w:eastAsia="Times New Roman" w:hAnsi="Calibri" w:cs="Times New Roman"/>
                <w:sz w:val="20"/>
                <w:szCs w:val="20"/>
                <w:lang w:eastAsia="en-AU"/>
              </w:rPr>
            </w:pPr>
          </w:p>
        </w:tc>
        <w:tc>
          <w:tcPr>
            <w:tcW w:w="2040" w:type="dxa"/>
            <w:tcBorders>
              <w:top w:val="nil"/>
              <w:left w:val="nil"/>
              <w:bottom w:val="nil"/>
              <w:right w:val="nil"/>
            </w:tcBorders>
            <w:shd w:val="clear" w:color="auto" w:fill="auto"/>
            <w:noWrap/>
            <w:vAlign w:val="bottom"/>
            <w:hideMark/>
          </w:tcPr>
          <w:p w14:paraId="7DE41902" w14:textId="77777777" w:rsidR="004939CE" w:rsidRPr="004939CE" w:rsidRDefault="004939CE" w:rsidP="004939CE">
            <w:pPr>
              <w:keepNext/>
              <w:keepLines/>
              <w:tabs>
                <w:tab w:val="clear" w:pos="567"/>
              </w:tabs>
              <w:spacing w:after="0" w:line="240" w:lineRule="auto"/>
              <w:jc w:val="right"/>
              <w:rPr>
                <w:rFonts w:ascii="Calibri" w:eastAsia="Times New Roman" w:hAnsi="Calibri" w:cs="Times New Roman"/>
                <w:sz w:val="20"/>
                <w:szCs w:val="20"/>
                <w:lang w:eastAsia="en-AU"/>
              </w:rPr>
            </w:pPr>
            <w:r w:rsidRPr="004939CE">
              <w:rPr>
                <w:rFonts w:ascii="Calibri" w:eastAsia="Times New Roman" w:hAnsi="Calibri" w:cstheme="minorHAnsi"/>
                <w:sz w:val="20"/>
                <w:szCs w:val="20"/>
                <w:lang w:eastAsia="en-AU"/>
              </w:rPr>
              <w:t>$m</w:t>
            </w:r>
          </w:p>
        </w:tc>
        <w:tc>
          <w:tcPr>
            <w:tcW w:w="1060" w:type="dxa"/>
            <w:tcBorders>
              <w:top w:val="nil"/>
              <w:left w:val="nil"/>
              <w:bottom w:val="nil"/>
              <w:right w:val="nil"/>
            </w:tcBorders>
            <w:shd w:val="clear" w:color="auto" w:fill="auto"/>
            <w:noWrap/>
            <w:vAlign w:val="bottom"/>
            <w:hideMark/>
          </w:tcPr>
          <w:p w14:paraId="32A05CFC" w14:textId="77777777" w:rsidR="004939CE" w:rsidRPr="004939CE" w:rsidRDefault="004939CE" w:rsidP="004939CE">
            <w:pPr>
              <w:keepNext/>
              <w:keepLines/>
              <w:tabs>
                <w:tab w:val="clear" w:pos="567"/>
              </w:tabs>
              <w:spacing w:after="0" w:line="240" w:lineRule="auto"/>
              <w:jc w:val="right"/>
              <w:rPr>
                <w:rFonts w:ascii="Calibri" w:eastAsia="Times New Roman" w:hAnsi="Calibri" w:cs="Times New Roman"/>
                <w:sz w:val="20"/>
                <w:szCs w:val="20"/>
                <w:lang w:eastAsia="en-AU"/>
              </w:rPr>
            </w:pPr>
            <w:r w:rsidRPr="004939CE">
              <w:rPr>
                <w:rFonts w:ascii="Calibri" w:eastAsia="Times New Roman" w:hAnsi="Calibri" w:cstheme="minorHAnsi"/>
                <w:sz w:val="20"/>
                <w:szCs w:val="20"/>
                <w:lang w:eastAsia="en-AU"/>
              </w:rPr>
              <w:t>$m</w:t>
            </w:r>
          </w:p>
        </w:tc>
      </w:tr>
      <w:tr w:rsidR="004939CE" w:rsidRPr="004939CE" w14:paraId="5DC8FDE2" w14:textId="77777777" w:rsidTr="004939CE">
        <w:trPr>
          <w:trHeight w:val="555"/>
        </w:trPr>
        <w:tc>
          <w:tcPr>
            <w:tcW w:w="5820" w:type="dxa"/>
            <w:tcBorders>
              <w:top w:val="nil"/>
              <w:left w:val="nil"/>
              <w:bottom w:val="nil"/>
              <w:right w:val="nil"/>
            </w:tcBorders>
            <w:shd w:val="clear" w:color="auto" w:fill="auto"/>
            <w:vAlign w:val="bottom"/>
            <w:hideMark/>
          </w:tcPr>
          <w:p w14:paraId="467BB9D4" w14:textId="77777777" w:rsidR="004939CE" w:rsidRPr="004939CE" w:rsidRDefault="004939CE" w:rsidP="004939CE">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4939CE">
              <w:rPr>
                <w:rFonts w:ascii="Calibri" w:eastAsia="Times New Roman" w:hAnsi="Calibri" w:cstheme="minorHAnsi"/>
                <w:sz w:val="20"/>
                <w:szCs w:val="20"/>
                <w:lang w:eastAsia="en-AU"/>
              </w:rPr>
              <w:t xml:space="preserve">The impact of the National Capital Plan on the </w:t>
            </w:r>
            <w:proofErr w:type="spellStart"/>
            <w:r w:rsidRPr="004939CE">
              <w:rPr>
                <w:rFonts w:ascii="Calibri" w:eastAsia="Times New Roman" w:hAnsi="Calibri" w:cstheme="minorHAnsi"/>
                <w:sz w:val="20"/>
                <w:szCs w:val="20"/>
                <w:lang w:eastAsia="en-AU"/>
              </w:rPr>
              <w:t>ACT’s</w:t>
            </w:r>
            <w:proofErr w:type="spellEnd"/>
            <w:r w:rsidRPr="004939CE">
              <w:rPr>
                <w:rFonts w:ascii="Calibri" w:eastAsia="Times New Roman" w:hAnsi="Calibri" w:cstheme="minorHAnsi"/>
                <w:sz w:val="20"/>
                <w:szCs w:val="20"/>
                <w:lang w:eastAsia="en-AU"/>
              </w:rPr>
              <w:t xml:space="preserve"> capital works program</w:t>
            </w:r>
          </w:p>
        </w:tc>
        <w:tc>
          <w:tcPr>
            <w:tcW w:w="2040" w:type="dxa"/>
            <w:tcBorders>
              <w:top w:val="nil"/>
              <w:left w:val="nil"/>
              <w:bottom w:val="nil"/>
              <w:right w:val="nil"/>
            </w:tcBorders>
            <w:shd w:val="clear" w:color="auto" w:fill="auto"/>
            <w:vAlign w:val="bottom"/>
            <w:hideMark/>
          </w:tcPr>
          <w:p w14:paraId="1394D1C2" w14:textId="77777777" w:rsidR="004939CE" w:rsidRPr="004939CE" w:rsidRDefault="004939CE" w:rsidP="004939CE">
            <w:pPr>
              <w:keepNext/>
              <w:keepLines/>
              <w:tabs>
                <w:tab w:val="clear" w:pos="567"/>
              </w:tabs>
              <w:spacing w:after="0" w:line="240" w:lineRule="auto"/>
              <w:jc w:val="right"/>
              <w:rPr>
                <w:rFonts w:ascii="Calibri" w:eastAsia="Times New Roman" w:hAnsi="Calibri" w:cs="Times New Roman"/>
                <w:sz w:val="20"/>
                <w:szCs w:val="20"/>
                <w:lang w:eastAsia="en-AU"/>
              </w:rPr>
            </w:pPr>
            <w:r w:rsidRPr="004939CE">
              <w:rPr>
                <w:rFonts w:ascii="Calibri" w:eastAsia="Times New Roman" w:hAnsi="Calibri" w:cstheme="minorHAnsi"/>
                <w:sz w:val="20"/>
                <w:szCs w:val="20"/>
                <w:lang w:eastAsia="en-AU"/>
              </w:rPr>
              <w:t>1.0</w:t>
            </w:r>
          </w:p>
        </w:tc>
        <w:tc>
          <w:tcPr>
            <w:tcW w:w="1060" w:type="dxa"/>
            <w:tcBorders>
              <w:top w:val="nil"/>
              <w:left w:val="nil"/>
              <w:bottom w:val="nil"/>
              <w:right w:val="nil"/>
            </w:tcBorders>
            <w:shd w:val="clear" w:color="auto" w:fill="auto"/>
            <w:vAlign w:val="bottom"/>
            <w:hideMark/>
          </w:tcPr>
          <w:p w14:paraId="4F3FCDDA" w14:textId="77777777" w:rsidR="004939CE" w:rsidRPr="004939CE" w:rsidRDefault="004939CE" w:rsidP="004939CE">
            <w:pPr>
              <w:keepNext/>
              <w:keepLines/>
              <w:tabs>
                <w:tab w:val="clear" w:pos="567"/>
              </w:tabs>
              <w:spacing w:after="0" w:line="240" w:lineRule="auto"/>
              <w:jc w:val="right"/>
              <w:rPr>
                <w:rFonts w:ascii="Calibri" w:eastAsia="Times New Roman" w:hAnsi="Calibri" w:cs="Times New Roman"/>
                <w:sz w:val="20"/>
                <w:szCs w:val="20"/>
                <w:lang w:eastAsia="en-AU"/>
              </w:rPr>
            </w:pPr>
            <w:r w:rsidRPr="004939CE">
              <w:rPr>
                <w:rFonts w:ascii="Calibri" w:eastAsia="Times New Roman" w:hAnsi="Calibri" w:cstheme="minorHAnsi"/>
                <w:sz w:val="20"/>
                <w:szCs w:val="20"/>
                <w:lang w:eastAsia="en-AU"/>
              </w:rPr>
              <w:t>1.5</w:t>
            </w:r>
          </w:p>
        </w:tc>
      </w:tr>
      <w:tr w:rsidR="004939CE" w:rsidRPr="004939CE" w14:paraId="1FFFBB50" w14:textId="77777777" w:rsidTr="004939CE">
        <w:trPr>
          <w:trHeight w:val="555"/>
        </w:trPr>
        <w:tc>
          <w:tcPr>
            <w:tcW w:w="5820" w:type="dxa"/>
            <w:tcBorders>
              <w:top w:val="nil"/>
              <w:left w:val="nil"/>
              <w:bottom w:val="nil"/>
              <w:right w:val="nil"/>
            </w:tcBorders>
            <w:shd w:val="clear" w:color="auto" w:fill="auto"/>
            <w:vAlign w:val="bottom"/>
            <w:hideMark/>
          </w:tcPr>
          <w:p w14:paraId="02C0B134" w14:textId="77777777" w:rsidR="004939CE" w:rsidRPr="004939CE" w:rsidRDefault="004939CE" w:rsidP="004939CE">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4939CE">
              <w:rPr>
                <w:rFonts w:ascii="Calibri" w:eastAsia="Times New Roman" w:hAnsi="Calibri" w:cstheme="minorHAnsi"/>
                <w:sz w:val="20"/>
                <w:szCs w:val="20"/>
                <w:lang w:eastAsia="en-AU"/>
              </w:rPr>
              <w:t>The impact of the National Capital Plan on planning and development activities</w:t>
            </w:r>
          </w:p>
        </w:tc>
        <w:tc>
          <w:tcPr>
            <w:tcW w:w="2040" w:type="dxa"/>
            <w:tcBorders>
              <w:top w:val="nil"/>
              <w:left w:val="nil"/>
              <w:bottom w:val="nil"/>
              <w:right w:val="nil"/>
            </w:tcBorders>
            <w:shd w:val="clear" w:color="auto" w:fill="auto"/>
            <w:vAlign w:val="bottom"/>
            <w:hideMark/>
          </w:tcPr>
          <w:p w14:paraId="355AD329" w14:textId="77777777" w:rsidR="004939CE" w:rsidRPr="004939CE" w:rsidRDefault="004939CE" w:rsidP="004939CE">
            <w:pPr>
              <w:keepNext/>
              <w:keepLines/>
              <w:tabs>
                <w:tab w:val="clear" w:pos="567"/>
              </w:tabs>
              <w:spacing w:after="0" w:line="240" w:lineRule="auto"/>
              <w:jc w:val="right"/>
              <w:rPr>
                <w:rFonts w:ascii="Calibri" w:eastAsia="Times New Roman" w:hAnsi="Calibri" w:cs="Times New Roman"/>
                <w:sz w:val="20"/>
                <w:szCs w:val="20"/>
                <w:lang w:eastAsia="en-AU"/>
              </w:rPr>
            </w:pPr>
            <w:r w:rsidRPr="004939CE">
              <w:rPr>
                <w:rFonts w:ascii="Calibri" w:eastAsia="Times New Roman" w:hAnsi="Calibri" w:cstheme="minorHAnsi"/>
                <w:sz w:val="20"/>
                <w:szCs w:val="20"/>
                <w:lang w:eastAsia="en-AU"/>
              </w:rPr>
              <w:t>1.5</w:t>
            </w:r>
          </w:p>
        </w:tc>
        <w:tc>
          <w:tcPr>
            <w:tcW w:w="1060" w:type="dxa"/>
            <w:tcBorders>
              <w:top w:val="nil"/>
              <w:left w:val="nil"/>
              <w:bottom w:val="nil"/>
              <w:right w:val="nil"/>
            </w:tcBorders>
            <w:shd w:val="clear" w:color="auto" w:fill="auto"/>
            <w:vAlign w:val="bottom"/>
            <w:hideMark/>
          </w:tcPr>
          <w:p w14:paraId="7863995F" w14:textId="77777777" w:rsidR="004939CE" w:rsidRPr="004939CE" w:rsidRDefault="004939CE" w:rsidP="004939CE">
            <w:pPr>
              <w:keepNext/>
              <w:keepLines/>
              <w:tabs>
                <w:tab w:val="clear" w:pos="567"/>
              </w:tabs>
              <w:spacing w:after="0" w:line="240" w:lineRule="auto"/>
              <w:jc w:val="right"/>
              <w:rPr>
                <w:rFonts w:ascii="Calibri" w:eastAsia="Times New Roman" w:hAnsi="Calibri" w:cs="Times New Roman"/>
                <w:sz w:val="20"/>
                <w:szCs w:val="20"/>
                <w:lang w:eastAsia="en-AU"/>
              </w:rPr>
            </w:pPr>
            <w:r w:rsidRPr="004939CE">
              <w:rPr>
                <w:rFonts w:ascii="Calibri" w:eastAsia="Times New Roman" w:hAnsi="Calibri" w:cstheme="minorHAnsi"/>
                <w:sz w:val="20"/>
                <w:szCs w:val="20"/>
                <w:lang w:eastAsia="en-AU"/>
              </w:rPr>
              <w:t>2.3</w:t>
            </w:r>
          </w:p>
        </w:tc>
      </w:tr>
      <w:tr w:rsidR="004939CE" w:rsidRPr="004939CE" w14:paraId="2A139AC6" w14:textId="77777777" w:rsidTr="004939CE">
        <w:trPr>
          <w:trHeight w:val="555"/>
        </w:trPr>
        <w:tc>
          <w:tcPr>
            <w:tcW w:w="5820" w:type="dxa"/>
            <w:tcBorders>
              <w:top w:val="nil"/>
              <w:left w:val="nil"/>
              <w:bottom w:val="nil"/>
              <w:right w:val="nil"/>
            </w:tcBorders>
            <w:shd w:val="clear" w:color="auto" w:fill="auto"/>
            <w:vAlign w:val="bottom"/>
            <w:hideMark/>
          </w:tcPr>
          <w:p w14:paraId="30C1B1D2" w14:textId="77777777" w:rsidR="004939CE" w:rsidRPr="004939CE" w:rsidRDefault="004939CE" w:rsidP="004939CE">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4939CE">
              <w:rPr>
                <w:rFonts w:ascii="Calibri" w:eastAsia="Times New Roman" w:hAnsi="Calibri" w:cstheme="minorHAnsi"/>
                <w:sz w:val="20"/>
                <w:szCs w:val="20"/>
                <w:lang w:eastAsia="en-AU"/>
              </w:rPr>
              <w:t>The impact of the National Capital Plan on the costs incurred by the ACT in operating a leasehold land management system</w:t>
            </w:r>
          </w:p>
        </w:tc>
        <w:tc>
          <w:tcPr>
            <w:tcW w:w="2040" w:type="dxa"/>
            <w:tcBorders>
              <w:top w:val="nil"/>
              <w:left w:val="nil"/>
              <w:bottom w:val="nil"/>
              <w:right w:val="nil"/>
            </w:tcBorders>
            <w:shd w:val="clear" w:color="auto" w:fill="auto"/>
            <w:vAlign w:val="bottom"/>
            <w:hideMark/>
          </w:tcPr>
          <w:p w14:paraId="11CFA341" w14:textId="77777777" w:rsidR="004939CE" w:rsidRPr="004939CE" w:rsidRDefault="004939CE" w:rsidP="004939CE">
            <w:pPr>
              <w:keepNext/>
              <w:keepLines/>
              <w:tabs>
                <w:tab w:val="clear" w:pos="567"/>
              </w:tabs>
              <w:spacing w:after="0" w:line="240" w:lineRule="auto"/>
              <w:jc w:val="right"/>
              <w:rPr>
                <w:rFonts w:ascii="Calibri" w:eastAsia="Times New Roman" w:hAnsi="Calibri" w:cs="Times New Roman"/>
                <w:sz w:val="20"/>
                <w:szCs w:val="20"/>
                <w:lang w:eastAsia="en-AU"/>
              </w:rPr>
            </w:pPr>
            <w:r w:rsidRPr="004939CE">
              <w:rPr>
                <w:rFonts w:ascii="Calibri" w:eastAsia="Times New Roman" w:hAnsi="Calibri" w:cstheme="minorHAnsi"/>
                <w:sz w:val="20"/>
                <w:szCs w:val="20"/>
                <w:lang w:eastAsia="en-AU"/>
              </w:rPr>
              <w:t>2.5</w:t>
            </w:r>
          </w:p>
        </w:tc>
        <w:tc>
          <w:tcPr>
            <w:tcW w:w="1060" w:type="dxa"/>
            <w:tcBorders>
              <w:top w:val="nil"/>
              <w:left w:val="nil"/>
              <w:bottom w:val="nil"/>
              <w:right w:val="nil"/>
            </w:tcBorders>
            <w:shd w:val="clear" w:color="auto" w:fill="auto"/>
            <w:vAlign w:val="bottom"/>
            <w:hideMark/>
          </w:tcPr>
          <w:p w14:paraId="65B69F8C" w14:textId="77777777" w:rsidR="004939CE" w:rsidRPr="004939CE" w:rsidRDefault="004939CE" w:rsidP="004939CE">
            <w:pPr>
              <w:keepNext/>
              <w:keepLines/>
              <w:tabs>
                <w:tab w:val="clear" w:pos="567"/>
              </w:tabs>
              <w:spacing w:after="0" w:line="240" w:lineRule="auto"/>
              <w:jc w:val="right"/>
              <w:rPr>
                <w:rFonts w:ascii="Calibri" w:eastAsia="Times New Roman" w:hAnsi="Calibri" w:cs="Times New Roman"/>
                <w:sz w:val="20"/>
                <w:szCs w:val="20"/>
                <w:lang w:eastAsia="en-AU"/>
              </w:rPr>
            </w:pPr>
            <w:r w:rsidRPr="004939CE">
              <w:rPr>
                <w:rFonts w:ascii="Calibri" w:eastAsia="Times New Roman" w:hAnsi="Calibri" w:cstheme="minorHAnsi"/>
                <w:sz w:val="20"/>
                <w:szCs w:val="20"/>
                <w:lang w:eastAsia="en-AU"/>
              </w:rPr>
              <w:t>3.8</w:t>
            </w:r>
          </w:p>
        </w:tc>
      </w:tr>
      <w:tr w:rsidR="004939CE" w:rsidRPr="004939CE" w14:paraId="03FEAAF8" w14:textId="77777777" w:rsidTr="004939CE">
        <w:trPr>
          <w:trHeight w:val="795"/>
        </w:trPr>
        <w:tc>
          <w:tcPr>
            <w:tcW w:w="5820" w:type="dxa"/>
            <w:tcBorders>
              <w:top w:val="nil"/>
              <w:left w:val="nil"/>
              <w:bottom w:val="nil"/>
              <w:right w:val="nil"/>
            </w:tcBorders>
            <w:shd w:val="clear" w:color="auto" w:fill="auto"/>
            <w:vAlign w:val="bottom"/>
            <w:hideMark/>
          </w:tcPr>
          <w:p w14:paraId="4D255A65" w14:textId="77777777" w:rsidR="004939CE" w:rsidRPr="004939CE" w:rsidRDefault="004939CE" w:rsidP="004939CE">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4939CE">
              <w:rPr>
                <w:rFonts w:ascii="Calibri" w:eastAsia="Times New Roman" w:hAnsi="Calibri" w:cstheme="minorHAnsi"/>
                <w:sz w:val="20"/>
                <w:szCs w:val="20"/>
                <w:lang w:eastAsia="en-AU"/>
              </w:rPr>
              <w:t>The additional costs incurred by the ACT in managing and maintaining above average urban open space and land classified as Designated Land Areas under the National Capital Plan</w:t>
            </w:r>
          </w:p>
        </w:tc>
        <w:tc>
          <w:tcPr>
            <w:tcW w:w="2040" w:type="dxa"/>
            <w:tcBorders>
              <w:top w:val="nil"/>
              <w:left w:val="nil"/>
              <w:bottom w:val="nil"/>
              <w:right w:val="nil"/>
            </w:tcBorders>
            <w:shd w:val="clear" w:color="auto" w:fill="auto"/>
            <w:vAlign w:val="bottom"/>
            <w:hideMark/>
          </w:tcPr>
          <w:p w14:paraId="2D09C4EF" w14:textId="77777777" w:rsidR="004939CE" w:rsidRPr="004939CE" w:rsidRDefault="004939CE" w:rsidP="004939CE">
            <w:pPr>
              <w:keepNext/>
              <w:keepLines/>
              <w:tabs>
                <w:tab w:val="clear" w:pos="567"/>
              </w:tabs>
              <w:spacing w:after="0" w:line="240" w:lineRule="auto"/>
              <w:jc w:val="right"/>
              <w:rPr>
                <w:rFonts w:ascii="Calibri" w:eastAsia="Times New Roman" w:hAnsi="Calibri" w:cs="Times New Roman"/>
                <w:sz w:val="20"/>
                <w:szCs w:val="20"/>
                <w:lang w:eastAsia="en-AU"/>
              </w:rPr>
            </w:pPr>
            <w:r w:rsidRPr="004939CE">
              <w:rPr>
                <w:rFonts w:ascii="Calibri" w:eastAsia="Times New Roman" w:hAnsi="Calibri" w:cstheme="minorHAnsi"/>
                <w:sz w:val="20"/>
                <w:szCs w:val="20"/>
                <w:lang w:eastAsia="en-AU"/>
              </w:rPr>
              <w:t>4.9</w:t>
            </w:r>
          </w:p>
        </w:tc>
        <w:tc>
          <w:tcPr>
            <w:tcW w:w="1060" w:type="dxa"/>
            <w:tcBorders>
              <w:top w:val="nil"/>
              <w:left w:val="nil"/>
              <w:bottom w:val="nil"/>
              <w:right w:val="nil"/>
            </w:tcBorders>
            <w:shd w:val="clear" w:color="auto" w:fill="auto"/>
            <w:vAlign w:val="bottom"/>
            <w:hideMark/>
          </w:tcPr>
          <w:p w14:paraId="6AD4E268" w14:textId="77777777" w:rsidR="004939CE" w:rsidRPr="004939CE" w:rsidRDefault="004939CE" w:rsidP="004939CE">
            <w:pPr>
              <w:keepNext/>
              <w:keepLines/>
              <w:tabs>
                <w:tab w:val="clear" w:pos="567"/>
              </w:tabs>
              <w:spacing w:after="0" w:line="240" w:lineRule="auto"/>
              <w:jc w:val="right"/>
              <w:rPr>
                <w:rFonts w:ascii="Calibri" w:eastAsia="Times New Roman" w:hAnsi="Calibri" w:cs="Times New Roman"/>
                <w:sz w:val="20"/>
                <w:szCs w:val="20"/>
                <w:lang w:eastAsia="en-AU"/>
              </w:rPr>
            </w:pPr>
            <w:r w:rsidRPr="004939CE">
              <w:rPr>
                <w:rFonts w:ascii="Calibri" w:eastAsia="Times New Roman" w:hAnsi="Calibri" w:cstheme="minorHAnsi"/>
                <w:sz w:val="20"/>
                <w:szCs w:val="20"/>
                <w:lang w:eastAsia="en-AU"/>
              </w:rPr>
              <w:t>7.5</w:t>
            </w:r>
          </w:p>
        </w:tc>
      </w:tr>
      <w:tr w:rsidR="004939CE" w:rsidRPr="004939CE" w14:paraId="3D7801B6" w14:textId="77777777" w:rsidTr="004939CE">
        <w:trPr>
          <w:trHeight w:val="315"/>
        </w:trPr>
        <w:tc>
          <w:tcPr>
            <w:tcW w:w="5820" w:type="dxa"/>
            <w:tcBorders>
              <w:top w:val="nil"/>
              <w:left w:val="nil"/>
              <w:bottom w:val="nil"/>
              <w:right w:val="nil"/>
            </w:tcBorders>
            <w:shd w:val="clear" w:color="auto" w:fill="auto"/>
            <w:vAlign w:val="bottom"/>
            <w:hideMark/>
          </w:tcPr>
          <w:p w14:paraId="5BF190E2" w14:textId="77777777" w:rsidR="004939CE" w:rsidRPr="004939CE" w:rsidRDefault="004939CE" w:rsidP="004939CE">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4939CE">
              <w:rPr>
                <w:rFonts w:ascii="Calibri" w:eastAsia="Times New Roman" w:hAnsi="Calibri" w:cstheme="minorHAnsi"/>
                <w:sz w:val="20"/>
                <w:szCs w:val="20"/>
                <w:lang w:eastAsia="en-AU"/>
              </w:rPr>
              <w:t>The above average areas of urban/bush interface</w:t>
            </w:r>
          </w:p>
        </w:tc>
        <w:tc>
          <w:tcPr>
            <w:tcW w:w="2040" w:type="dxa"/>
            <w:tcBorders>
              <w:top w:val="nil"/>
              <w:left w:val="nil"/>
              <w:bottom w:val="nil"/>
              <w:right w:val="nil"/>
            </w:tcBorders>
            <w:shd w:val="clear" w:color="auto" w:fill="auto"/>
            <w:vAlign w:val="bottom"/>
            <w:hideMark/>
          </w:tcPr>
          <w:p w14:paraId="5D500F0F" w14:textId="77777777" w:rsidR="004939CE" w:rsidRPr="004939CE" w:rsidRDefault="004939CE" w:rsidP="004939CE">
            <w:pPr>
              <w:keepNext/>
              <w:keepLines/>
              <w:tabs>
                <w:tab w:val="clear" w:pos="567"/>
              </w:tabs>
              <w:spacing w:after="0" w:line="240" w:lineRule="auto"/>
              <w:jc w:val="right"/>
              <w:rPr>
                <w:rFonts w:ascii="Calibri" w:eastAsia="Times New Roman" w:hAnsi="Calibri" w:cs="Times New Roman"/>
                <w:sz w:val="20"/>
                <w:szCs w:val="20"/>
                <w:lang w:eastAsia="en-AU"/>
              </w:rPr>
            </w:pPr>
            <w:r w:rsidRPr="004939CE">
              <w:rPr>
                <w:rFonts w:ascii="Calibri" w:eastAsia="Times New Roman" w:hAnsi="Calibri" w:cstheme="minorHAnsi"/>
                <w:sz w:val="20"/>
                <w:szCs w:val="20"/>
                <w:lang w:eastAsia="en-AU"/>
              </w:rPr>
              <w:t>0.5</w:t>
            </w:r>
          </w:p>
        </w:tc>
        <w:tc>
          <w:tcPr>
            <w:tcW w:w="1060" w:type="dxa"/>
            <w:tcBorders>
              <w:top w:val="nil"/>
              <w:left w:val="nil"/>
              <w:bottom w:val="nil"/>
              <w:right w:val="nil"/>
            </w:tcBorders>
            <w:shd w:val="clear" w:color="auto" w:fill="auto"/>
            <w:vAlign w:val="bottom"/>
            <w:hideMark/>
          </w:tcPr>
          <w:p w14:paraId="635E8DEF" w14:textId="77777777" w:rsidR="004939CE" w:rsidRPr="004939CE" w:rsidRDefault="004939CE" w:rsidP="004939CE">
            <w:pPr>
              <w:keepNext/>
              <w:keepLines/>
              <w:tabs>
                <w:tab w:val="clear" w:pos="567"/>
              </w:tabs>
              <w:spacing w:after="0" w:line="240" w:lineRule="auto"/>
              <w:jc w:val="right"/>
              <w:rPr>
                <w:rFonts w:ascii="Calibri" w:eastAsia="Times New Roman" w:hAnsi="Calibri" w:cs="Times New Roman"/>
                <w:sz w:val="20"/>
                <w:szCs w:val="20"/>
                <w:lang w:eastAsia="en-AU"/>
              </w:rPr>
            </w:pPr>
            <w:r w:rsidRPr="004939CE">
              <w:rPr>
                <w:rFonts w:ascii="Calibri" w:eastAsia="Times New Roman" w:hAnsi="Calibri" w:cstheme="minorHAnsi"/>
                <w:sz w:val="20"/>
                <w:szCs w:val="20"/>
                <w:lang w:eastAsia="en-AU"/>
              </w:rPr>
              <w:t>0.8</w:t>
            </w:r>
          </w:p>
        </w:tc>
      </w:tr>
      <w:tr w:rsidR="004939CE" w:rsidRPr="004939CE" w14:paraId="27FFED75" w14:textId="77777777" w:rsidTr="004939CE">
        <w:trPr>
          <w:trHeight w:val="315"/>
        </w:trPr>
        <w:tc>
          <w:tcPr>
            <w:tcW w:w="5820" w:type="dxa"/>
            <w:tcBorders>
              <w:top w:val="nil"/>
              <w:left w:val="nil"/>
              <w:bottom w:val="nil"/>
              <w:right w:val="nil"/>
            </w:tcBorders>
            <w:shd w:val="clear" w:color="auto" w:fill="auto"/>
            <w:vAlign w:val="bottom"/>
            <w:hideMark/>
          </w:tcPr>
          <w:p w14:paraId="3FE66E92" w14:textId="77777777" w:rsidR="004939CE" w:rsidRPr="004939CE" w:rsidRDefault="004939CE" w:rsidP="004939CE">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4939CE">
              <w:rPr>
                <w:rFonts w:ascii="Calibri" w:eastAsia="Times New Roman" w:hAnsi="Calibri" w:cstheme="minorHAnsi"/>
                <w:sz w:val="20"/>
                <w:szCs w:val="20"/>
                <w:lang w:eastAsia="en-AU"/>
              </w:rPr>
              <w:t xml:space="preserve">The impact on ACTION pricing subsidies of the </w:t>
            </w:r>
            <w:proofErr w:type="spellStart"/>
            <w:r w:rsidRPr="004939CE">
              <w:rPr>
                <w:rFonts w:ascii="Calibri" w:eastAsia="Times New Roman" w:hAnsi="Calibri" w:cstheme="minorHAnsi"/>
                <w:sz w:val="20"/>
                <w:szCs w:val="20"/>
                <w:lang w:eastAsia="en-AU"/>
              </w:rPr>
              <w:t>ACT’s</w:t>
            </w:r>
            <w:proofErr w:type="spellEnd"/>
            <w:r w:rsidRPr="004939CE">
              <w:rPr>
                <w:rFonts w:ascii="Calibri" w:eastAsia="Times New Roman" w:hAnsi="Calibri" w:cstheme="minorHAnsi"/>
                <w:sz w:val="20"/>
                <w:szCs w:val="20"/>
                <w:lang w:eastAsia="en-AU"/>
              </w:rPr>
              <w:t xml:space="preserve"> urban form</w:t>
            </w:r>
          </w:p>
        </w:tc>
        <w:tc>
          <w:tcPr>
            <w:tcW w:w="2040" w:type="dxa"/>
            <w:tcBorders>
              <w:top w:val="nil"/>
              <w:left w:val="nil"/>
              <w:bottom w:val="nil"/>
              <w:right w:val="nil"/>
            </w:tcBorders>
            <w:shd w:val="clear" w:color="auto" w:fill="auto"/>
            <w:vAlign w:val="bottom"/>
            <w:hideMark/>
          </w:tcPr>
          <w:p w14:paraId="062CAD83" w14:textId="77777777" w:rsidR="004939CE" w:rsidRPr="004939CE" w:rsidRDefault="004939CE" w:rsidP="004939CE">
            <w:pPr>
              <w:keepNext/>
              <w:keepLines/>
              <w:tabs>
                <w:tab w:val="clear" w:pos="567"/>
              </w:tabs>
              <w:spacing w:after="0" w:line="240" w:lineRule="auto"/>
              <w:jc w:val="right"/>
              <w:rPr>
                <w:rFonts w:ascii="Calibri" w:eastAsia="Times New Roman" w:hAnsi="Calibri" w:cs="Times New Roman"/>
                <w:sz w:val="20"/>
                <w:szCs w:val="20"/>
                <w:lang w:eastAsia="en-AU"/>
              </w:rPr>
            </w:pPr>
            <w:r w:rsidRPr="004939CE">
              <w:rPr>
                <w:rFonts w:ascii="Calibri" w:eastAsia="Times New Roman" w:hAnsi="Calibri" w:cstheme="minorHAnsi"/>
                <w:sz w:val="20"/>
                <w:szCs w:val="20"/>
                <w:lang w:eastAsia="en-AU"/>
              </w:rPr>
              <w:t>1.0</w:t>
            </w:r>
          </w:p>
        </w:tc>
        <w:tc>
          <w:tcPr>
            <w:tcW w:w="1060" w:type="dxa"/>
            <w:tcBorders>
              <w:top w:val="nil"/>
              <w:left w:val="nil"/>
              <w:bottom w:val="nil"/>
              <w:right w:val="nil"/>
            </w:tcBorders>
            <w:shd w:val="clear" w:color="auto" w:fill="auto"/>
            <w:vAlign w:val="bottom"/>
            <w:hideMark/>
          </w:tcPr>
          <w:p w14:paraId="7B091F3A" w14:textId="77777777" w:rsidR="004939CE" w:rsidRPr="004939CE" w:rsidRDefault="004939CE" w:rsidP="004939CE">
            <w:pPr>
              <w:keepNext/>
              <w:keepLines/>
              <w:tabs>
                <w:tab w:val="clear" w:pos="567"/>
              </w:tabs>
              <w:spacing w:after="0" w:line="240" w:lineRule="auto"/>
              <w:jc w:val="right"/>
              <w:rPr>
                <w:rFonts w:ascii="Calibri" w:eastAsia="Times New Roman" w:hAnsi="Calibri" w:cs="Times New Roman"/>
                <w:sz w:val="20"/>
                <w:szCs w:val="20"/>
                <w:lang w:eastAsia="en-AU"/>
              </w:rPr>
            </w:pPr>
            <w:r w:rsidRPr="004939CE">
              <w:rPr>
                <w:rFonts w:ascii="Calibri" w:eastAsia="Times New Roman" w:hAnsi="Calibri" w:cstheme="minorHAnsi"/>
                <w:sz w:val="20"/>
                <w:szCs w:val="20"/>
                <w:lang w:eastAsia="en-AU"/>
              </w:rPr>
              <w:t>1.5</w:t>
            </w:r>
          </w:p>
        </w:tc>
      </w:tr>
      <w:tr w:rsidR="004939CE" w:rsidRPr="004939CE" w14:paraId="24265745" w14:textId="77777777" w:rsidTr="004939CE">
        <w:trPr>
          <w:trHeight w:val="315"/>
        </w:trPr>
        <w:tc>
          <w:tcPr>
            <w:tcW w:w="5820" w:type="dxa"/>
            <w:tcBorders>
              <w:top w:val="nil"/>
              <w:left w:val="nil"/>
              <w:bottom w:val="single" w:sz="4" w:space="0" w:color="auto"/>
              <w:right w:val="nil"/>
            </w:tcBorders>
            <w:shd w:val="clear" w:color="auto" w:fill="auto"/>
            <w:vAlign w:val="bottom"/>
            <w:hideMark/>
          </w:tcPr>
          <w:p w14:paraId="20455EDF" w14:textId="77777777" w:rsidR="004939CE" w:rsidRPr="004939CE" w:rsidRDefault="004939CE" w:rsidP="004939CE">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4939CE">
              <w:rPr>
                <w:rFonts w:ascii="Calibri" w:eastAsia="Times New Roman" w:hAnsi="Calibri" w:cstheme="minorHAnsi"/>
                <w:sz w:val="20"/>
                <w:szCs w:val="20"/>
                <w:lang w:eastAsia="en-AU"/>
              </w:rPr>
              <w:t>Total</w:t>
            </w:r>
          </w:p>
        </w:tc>
        <w:tc>
          <w:tcPr>
            <w:tcW w:w="2040" w:type="dxa"/>
            <w:tcBorders>
              <w:top w:val="single" w:sz="4" w:space="0" w:color="auto"/>
              <w:left w:val="nil"/>
              <w:bottom w:val="single" w:sz="4" w:space="0" w:color="auto"/>
              <w:right w:val="nil"/>
            </w:tcBorders>
            <w:shd w:val="clear" w:color="auto" w:fill="auto"/>
            <w:vAlign w:val="bottom"/>
            <w:hideMark/>
          </w:tcPr>
          <w:p w14:paraId="205561C9" w14:textId="77777777" w:rsidR="004939CE" w:rsidRPr="004939CE" w:rsidRDefault="004939CE" w:rsidP="004939CE">
            <w:pPr>
              <w:keepNext/>
              <w:keepLines/>
              <w:tabs>
                <w:tab w:val="clear" w:pos="567"/>
              </w:tabs>
              <w:spacing w:after="0" w:line="240" w:lineRule="auto"/>
              <w:jc w:val="right"/>
              <w:rPr>
                <w:rFonts w:ascii="Calibri" w:eastAsia="Times New Roman" w:hAnsi="Calibri" w:cs="Times New Roman"/>
                <w:sz w:val="20"/>
                <w:szCs w:val="20"/>
                <w:lang w:eastAsia="en-AU"/>
              </w:rPr>
            </w:pPr>
            <w:r w:rsidRPr="004939CE">
              <w:rPr>
                <w:rFonts w:ascii="Calibri" w:eastAsia="Times New Roman" w:hAnsi="Calibri" w:cstheme="minorHAnsi"/>
                <w:sz w:val="20"/>
                <w:szCs w:val="20"/>
                <w:lang w:eastAsia="en-AU"/>
              </w:rPr>
              <w:t>11.4</w:t>
            </w:r>
          </w:p>
        </w:tc>
        <w:tc>
          <w:tcPr>
            <w:tcW w:w="1060" w:type="dxa"/>
            <w:tcBorders>
              <w:top w:val="single" w:sz="4" w:space="0" w:color="auto"/>
              <w:left w:val="nil"/>
              <w:bottom w:val="single" w:sz="4" w:space="0" w:color="auto"/>
              <w:right w:val="nil"/>
            </w:tcBorders>
            <w:shd w:val="clear" w:color="auto" w:fill="auto"/>
            <w:vAlign w:val="bottom"/>
            <w:hideMark/>
          </w:tcPr>
          <w:p w14:paraId="06952E85" w14:textId="77777777" w:rsidR="004939CE" w:rsidRPr="004939CE" w:rsidRDefault="004939CE" w:rsidP="004939CE">
            <w:pPr>
              <w:keepNext/>
              <w:keepLines/>
              <w:tabs>
                <w:tab w:val="clear" w:pos="567"/>
              </w:tabs>
              <w:spacing w:after="0" w:line="240" w:lineRule="auto"/>
              <w:jc w:val="right"/>
              <w:rPr>
                <w:rFonts w:ascii="Calibri" w:eastAsia="Times New Roman" w:hAnsi="Calibri" w:cs="Times New Roman"/>
                <w:sz w:val="20"/>
                <w:szCs w:val="20"/>
                <w:lang w:eastAsia="en-AU"/>
              </w:rPr>
            </w:pPr>
            <w:r w:rsidRPr="004939CE">
              <w:rPr>
                <w:rFonts w:ascii="Calibri" w:eastAsia="Times New Roman" w:hAnsi="Calibri" w:cstheme="minorHAnsi"/>
                <w:sz w:val="20"/>
                <w:szCs w:val="20"/>
                <w:lang w:eastAsia="en-AU"/>
              </w:rPr>
              <w:t>17.5</w:t>
            </w:r>
          </w:p>
        </w:tc>
      </w:tr>
    </w:tbl>
    <w:p w14:paraId="1666D2B7" w14:textId="7AE4D1E0" w:rsidR="00C54930" w:rsidRDefault="00C54930" w:rsidP="004939CE">
      <w:pPr>
        <w:pStyle w:val="CGCTableFootnote"/>
        <w:keepNext/>
        <w:keepLines/>
      </w:pPr>
      <w:r>
        <w:t>Source:</w:t>
      </w:r>
      <w:r>
        <w:tab/>
      </w:r>
      <w:r w:rsidR="004939CE">
        <w:t>2018 Update and 2015 Review</w:t>
      </w:r>
      <w:r>
        <w:t xml:space="preserve">. </w:t>
      </w:r>
    </w:p>
    <w:p w14:paraId="01AE7B0B" w14:textId="77777777" w:rsidR="00C54930" w:rsidRPr="00894942" w:rsidRDefault="00C54930" w:rsidP="0066653D">
      <w:pPr>
        <w:pStyle w:val="Heading5"/>
      </w:pPr>
      <w:bookmarkStart w:id="126" w:name="_Toc511048317"/>
      <w:bookmarkStart w:id="127" w:name="_Toc511048419"/>
      <w:bookmarkStart w:id="128" w:name="_Toc511048457"/>
      <w:bookmarkStart w:id="129" w:name="_Toc511048492"/>
      <w:r w:rsidRPr="00894942">
        <w:t>Police services</w:t>
      </w:r>
      <w:bookmarkEnd w:id="126"/>
      <w:bookmarkEnd w:id="127"/>
      <w:bookmarkEnd w:id="128"/>
      <w:bookmarkEnd w:id="129"/>
      <w:r w:rsidRPr="00894942">
        <w:t xml:space="preserve"> </w:t>
      </w:r>
    </w:p>
    <w:p w14:paraId="1DB31031" w14:textId="77777777" w:rsidR="00C54930" w:rsidRDefault="00C54930" w:rsidP="00C54930">
      <w:pPr>
        <w:pStyle w:val="CGCNumberedPara"/>
        <w:numPr>
          <w:ilvl w:val="1"/>
          <w:numId w:val="3"/>
        </w:numPr>
      </w:pPr>
      <w:r>
        <w:t xml:space="preserve">The Commission has long accepted that the ACT has </w:t>
      </w:r>
      <w:r w:rsidRPr="00C65B42">
        <w:t>no practical alternative but to use the Australian Federal Police (</w:t>
      </w:r>
      <w:proofErr w:type="spellStart"/>
      <w:r w:rsidRPr="00C65B42">
        <w:t>AFP</w:t>
      </w:r>
      <w:proofErr w:type="spellEnd"/>
      <w:r w:rsidRPr="00C65B42">
        <w:t xml:space="preserve">) as the provider of its policing services. This leads to higher costs because the </w:t>
      </w:r>
      <w:proofErr w:type="spellStart"/>
      <w:r w:rsidRPr="00C65B42">
        <w:t>AFP</w:t>
      </w:r>
      <w:proofErr w:type="spellEnd"/>
      <w:r w:rsidRPr="00C65B42">
        <w:t xml:space="preserve"> pays above average salaries to its employees.</w:t>
      </w:r>
    </w:p>
    <w:p w14:paraId="7980EE4F" w14:textId="77777777" w:rsidR="00C54930" w:rsidRDefault="00C54930" w:rsidP="00C54930">
      <w:pPr>
        <w:pStyle w:val="CGCNumberedPara"/>
        <w:numPr>
          <w:ilvl w:val="1"/>
          <w:numId w:val="3"/>
        </w:numPr>
      </w:pPr>
      <w:r>
        <w:t xml:space="preserve">The foundation of the constraints on the </w:t>
      </w:r>
      <w:proofErr w:type="spellStart"/>
      <w:r>
        <w:t>ACT’s</w:t>
      </w:r>
      <w:proofErr w:type="spellEnd"/>
      <w:r>
        <w:t xml:space="preserve"> policing arrangements lies in:</w:t>
      </w:r>
    </w:p>
    <w:p w14:paraId="62433A9E" w14:textId="02E26990" w:rsidR="00C54930" w:rsidRDefault="00651406" w:rsidP="00C54930">
      <w:pPr>
        <w:pStyle w:val="CGCBulletlist"/>
        <w:numPr>
          <w:ilvl w:val="0"/>
          <w:numId w:val="1"/>
        </w:numPr>
        <w:tabs>
          <w:tab w:val="clear" w:pos="927"/>
          <w:tab w:val="num" w:pos="4472"/>
        </w:tabs>
        <w:ind w:left="1134" w:hanging="567"/>
      </w:pPr>
      <w:r w:rsidRPr="00651406">
        <w:t>t</w:t>
      </w:r>
      <w:r w:rsidR="002B76D9" w:rsidRPr="00651406">
        <w:t xml:space="preserve">he </w:t>
      </w:r>
      <w:r w:rsidR="00C54930" w:rsidRPr="000E4322">
        <w:rPr>
          <w:i/>
        </w:rPr>
        <w:t>Australian Capital Territory (Self-Government) Act</w:t>
      </w:r>
      <w:r w:rsidR="00C54930">
        <w:t xml:space="preserve"> 1988 - Section 23(1)(c), which s</w:t>
      </w:r>
      <w:r>
        <w:t>ays</w:t>
      </w:r>
      <w:r w:rsidR="00C54930">
        <w:t>: ‘…the [ACT Legislative] Assembly has no power to make laws with respect to … the provision by the Australian Federal Police of police services in relation to the Territory’</w:t>
      </w:r>
    </w:p>
    <w:p w14:paraId="482CAB38" w14:textId="77777777" w:rsidR="00C54930" w:rsidRDefault="00C54930" w:rsidP="00C54930">
      <w:pPr>
        <w:pStyle w:val="CGCBulletlist"/>
        <w:numPr>
          <w:ilvl w:val="0"/>
          <w:numId w:val="1"/>
        </w:numPr>
        <w:tabs>
          <w:tab w:val="clear" w:pos="927"/>
          <w:tab w:val="num" w:pos="4472"/>
        </w:tabs>
        <w:ind w:left="1134" w:hanging="567"/>
      </w:pPr>
      <w:r>
        <w:t>Section 28 of the same act, which states that any law passed by the ACT Legislative Assembly will have no effect if it is inconsistent with ‘…a [Federal] law in force in the Territory…’</w:t>
      </w:r>
    </w:p>
    <w:p w14:paraId="74B16BCA" w14:textId="7288F863" w:rsidR="00C54930" w:rsidRDefault="00C54930" w:rsidP="00C54930">
      <w:pPr>
        <w:pStyle w:val="CGCBulletlist"/>
        <w:numPr>
          <w:ilvl w:val="0"/>
          <w:numId w:val="1"/>
        </w:numPr>
        <w:tabs>
          <w:tab w:val="clear" w:pos="927"/>
          <w:tab w:val="num" w:pos="4472"/>
        </w:tabs>
        <w:ind w:left="1134" w:hanging="567"/>
      </w:pPr>
      <w:r>
        <w:t xml:space="preserve">Section 8(1)(a) of the </w:t>
      </w:r>
      <w:r w:rsidRPr="00EC24E7">
        <w:rPr>
          <w:i/>
        </w:rPr>
        <w:t>Australian Federal Police Act</w:t>
      </w:r>
      <w:r>
        <w:t xml:space="preserve"> 1979, which states that a primary function of the </w:t>
      </w:r>
      <w:proofErr w:type="spellStart"/>
      <w:r>
        <w:t>AFP</w:t>
      </w:r>
      <w:proofErr w:type="spellEnd"/>
      <w:r>
        <w:t xml:space="preserve"> is ‘… the provision of police services in relation to the Australian Capital Territory’.</w:t>
      </w:r>
      <w:r w:rsidR="00FE5DAB">
        <w:t xml:space="preserve"> </w:t>
      </w:r>
    </w:p>
    <w:p w14:paraId="55812C87" w14:textId="26FEE2C1" w:rsidR="00C54930" w:rsidRPr="00F46B46" w:rsidRDefault="00C54930" w:rsidP="00C54930">
      <w:pPr>
        <w:pStyle w:val="CGCNumberedPara"/>
        <w:numPr>
          <w:ilvl w:val="1"/>
          <w:numId w:val="3"/>
        </w:numPr>
      </w:pPr>
      <w:r w:rsidRPr="00BD6E17">
        <w:rPr>
          <w:rStyle w:val="Heading6Char"/>
        </w:rPr>
        <w:t>Police allowance calculation method.</w:t>
      </w:r>
      <w:r>
        <w:t xml:space="preserve"> </w:t>
      </w:r>
      <w:r>
        <w:fldChar w:fldCharType="begin"/>
      </w:r>
      <w:r>
        <w:instrText xml:space="preserve"> REF _Ref498611172 \h </w:instrText>
      </w:r>
      <w:r>
        <w:fldChar w:fldCharType="separate"/>
      </w:r>
      <w:r w:rsidR="00C40664" w:rsidRPr="00F46B46">
        <w:t xml:space="preserve">Table </w:t>
      </w:r>
      <w:r w:rsidR="00C40664">
        <w:rPr>
          <w:noProof/>
        </w:rPr>
        <w:t>6</w:t>
      </w:r>
      <w:r>
        <w:fldChar w:fldCharType="end"/>
      </w:r>
      <w:r>
        <w:t xml:space="preserve"> shows the police allowance was calculated in the 2015 Review by:</w:t>
      </w:r>
    </w:p>
    <w:p w14:paraId="57961288" w14:textId="63718F9E" w:rsidR="00C54930" w:rsidRPr="00F46B46" w:rsidRDefault="00C54930" w:rsidP="00C54930">
      <w:pPr>
        <w:pStyle w:val="CGCBulletlist"/>
        <w:numPr>
          <w:ilvl w:val="0"/>
          <w:numId w:val="1"/>
        </w:numPr>
        <w:tabs>
          <w:tab w:val="clear" w:pos="927"/>
          <w:tab w:val="num" w:pos="4472"/>
        </w:tabs>
        <w:ind w:left="1134" w:hanging="567"/>
      </w:pPr>
      <w:r w:rsidRPr="00F46B46">
        <w:t>deriv</w:t>
      </w:r>
      <w:r>
        <w:t>ing</w:t>
      </w:r>
      <w:r w:rsidRPr="00F46B46">
        <w:t xml:space="preserve"> a nominal level of ACT police staffing by applying an adjusted national average per capita </w:t>
      </w:r>
      <w:r w:rsidR="00651406">
        <w:t>number</w:t>
      </w:r>
      <w:r w:rsidRPr="00F46B46">
        <w:t xml:space="preserve"> of police staff (sworn and unsworn officers combined) to the ACT population</w:t>
      </w:r>
    </w:p>
    <w:p w14:paraId="3351BCEE" w14:textId="6893EBF2" w:rsidR="00C54930" w:rsidRPr="00F46B46" w:rsidRDefault="00C54930" w:rsidP="00C54930">
      <w:pPr>
        <w:pStyle w:val="CGCBulletlist"/>
        <w:numPr>
          <w:ilvl w:val="0"/>
          <w:numId w:val="1"/>
        </w:numPr>
        <w:tabs>
          <w:tab w:val="clear" w:pos="927"/>
          <w:tab w:val="num" w:pos="4472"/>
        </w:tabs>
        <w:ind w:left="1134" w:hanging="567"/>
      </w:pPr>
      <w:r w:rsidRPr="00F46B46">
        <w:t>multiply</w:t>
      </w:r>
      <w:r>
        <w:t>ing</w:t>
      </w:r>
      <w:r w:rsidR="00651406">
        <w:t xml:space="preserve"> that nominal staffing</w:t>
      </w:r>
      <w:r w:rsidRPr="00F46B46">
        <w:t xml:space="preserve"> by the difference between average </w:t>
      </w:r>
      <w:proofErr w:type="spellStart"/>
      <w:r w:rsidRPr="00F46B46">
        <w:t>AFP</w:t>
      </w:r>
      <w:proofErr w:type="spellEnd"/>
      <w:r w:rsidRPr="00F46B46">
        <w:t xml:space="preserve"> and average State police staff salaries (sworn and unsworn officers combined) discounted for the wage costs factor to avoid double counting the higher underlying wage levels in the ACT.</w:t>
      </w:r>
    </w:p>
    <w:p w14:paraId="61C9C1E9" w14:textId="14B9FBE8" w:rsidR="00C54930" w:rsidRPr="00F46B46" w:rsidRDefault="00C54930" w:rsidP="00C54930">
      <w:pPr>
        <w:pStyle w:val="CGCNumberedPara"/>
        <w:numPr>
          <w:ilvl w:val="1"/>
          <w:numId w:val="3"/>
        </w:numPr>
      </w:pPr>
      <w:r>
        <w:t xml:space="preserve">The </w:t>
      </w:r>
      <w:r w:rsidRPr="00F46B46">
        <w:t xml:space="preserve">national average staffing level </w:t>
      </w:r>
      <w:r w:rsidR="00651406">
        <w:t xml:space="preserve">used in those calculations was adjusted </w:t>
      </w:r>
      <w:r w:rsidRPr="00F46B46">
        <w:t xml:space="preserve">because </w:t>
      </w:r>
      <w:r>
        <w:t xml:space="preserve">the </w:t>
      </w:r>
      <w:proofErr w:type="spellStart"/>
      <w:r w:rsidRPr="00F46B46">
        <w:t>ACT</w:t>
      </w:r>
      <w:r w:rsidR="00540A1D">
        <w:t>’s</w:t>
      </w:r>
      <w:proofErr w:type="spellEnd"/>
      <w:r w:rsidR="00540A1D">
        <w:t xml:space="preserve"> demographic characteristics examined</w:t>
      </w:r>
      <w:r w:rsidR="00540A1D" w:rsidRPr="00540A1D">
        <w:t xml:space="preserve"> </w:t>
      </w:r>
      <w:r w:rsidR="00540A1D" w:rsidRPr="00F46B46">
        <w:t>in the Justice services assessment</w:t>
      </w:r>
      <w:r w:rsidR="00540A1D">
        <w:t xml:space="preserve"> indicated it </w:t>
      </w:r>
      <w:r w:rsidRPr="00F46B46">
        <w:t>need</w:t>
      </w:r>
      <w:r w:rsidR="00540A1D">
        <w:t>s</w:t>
      </w:r>
      <w:r w:rsidRPr="00F46B46">
        <w:t xml:space="preserve"> less than the average police staff to population ratio. The ACT staffing level </w:t>
      </w:r>
      <w:r w:rsidR="00540A1D">
        <w:t>wa</w:t>
      </w:r>
      <w:r w:rsidRPr="00F46B46">
        <w:t xml:space="preserve">s calculated by multiplying the national average per capita level of police staff by the </w:t>
      </w:r>
      <w:proofErr w:type="spellStart"/>
      <w:r w:rsidRPr="00F46B46">
        <w:t>ACT’s</w:t>
      </w:r>
      <w:proofErr w:type="spellEnd"/>
      <w:r w:rsidRPr="00F46B46">
        <w:t xml:space="preserve"> justice services socio-demographic composition factor and its population.</w:t>
      </w:r>
    </w:p>
    <w:p w14:paraId="1421047A" w14:textId="5C158237" w:rsidR="00C54930" w:rsidRPr="00F46B46" w:rsidRDefault="00C54930" w:rsidP="00C54930">
      <w:pPr>
        <w:pStyle w:val="CGCNumberedPara"/>
        <w:numPr>
          <w:ilvl w:val="1"/>
          <w:numId w:val="3"/>
        </w:numPr>
      </w:pPr>
      <w:r w:rsidRPr="00F46B46">
        <w:t xml:space="preserve">Data used in the assessment </w:t>
      </w:r>
      <w:r w:rsidR="00540A1D">
        <w:t>we</w:t>
      </w:r>
      <w:r w:rsidRPr="00F46B46">
        <w:t xml:space="preserve">re taken from the Productivity Commission’s </w:t>
      </w:r>
      <w:r w:rsidRPr="00EC175E">
        <w:rPr>
          <w:i/>
        </w:rPr>
        <w:t>Report on Government Services</w:t>
      </w:r>
      <w:r w:rsidRPr="00F46B46">
        <w:t xml:space="preserve">, which is a reliable and comparable </w:t>
      </w:r>
      <w:r w:rsidR="00684EF8">
        <w:t xml:space="preserve">data </w:t>
      </w:r>
      <w:r w:rsidRPr="00F46B46">
        <w:t>source. The assessment</w:t>
      </w:r>
      <w:r>
        <w:t xml:space="preserve"> is updated annually</w:t>
      </w:r>
      <w:r w:rsidRPr="00F46B46">
        <w:t xml:space="preserve">. However, due to the time lag in </w:t>
      </w:r>
      <w:r w:rsidR="00684EF8">
        <w:t xml:space="preserve">the </w:t>
      </w:r>
      <w:r w:rsidRPr="00F46B46">
        <w:t xml:space="preserve">production and availability of these data, </w:t>
      </w:r>
      <w:r>
        <w:t>the Commission</w:t>
      </w:r>
      <w:r w:rsidRPr="00F46B46">
        <w:t xml:space="preserve"> indexe</w:t>
      </w:r>
      <w:r>
        <w:t>s</w:t>
      </w:r>
      <w:r w:rsidRPr="00F46B46">
        <w:t xml:space="preserve"> the most recently calculated allowance using ABS’ national public sector wage price index.</w:t>
      </w:r>
    </w:p>
    <w:p w14:paraId="51B58753" w14:textId="1B4DCE7F" w:rsidR="00C54930" w:rsidRPr="00F46B46" w:rsidRDefault="00C54930" w:rsidP="00233E13">
      <w:pPr>
        <w:pStyle w:val="Caption"/>
      </w:pPr>
      <w:bookmarkStart w:id="130" w:name="_Ref385504171"/>
      <w:bookmarkStart w:id="131" w:name="_Ref410735856"/>
      <w:bookmarkStart w:id="132" w:name="_Ref498611172"/>
      <w:r w:rsidRPr="00F46B46">
        <w:t xml:space="preserve">Table </w:t>
      </w:r>
      <w:bookmarkEnd w:id="130"/>
      <w:bookmarkEnd w:id="131"/>
      <w:r>
        <w:fldChar w:fldCharType="begin"/>
      </w:r>
      <w:r>
        <w:instrText xml:space="preserve"> SEQ Table \* ARABIC </w:instrText>
      </w:r>
      <w:r>
        <w:fldChar w:fldCharType="separate"/>
      </w:r>
      <w:r w:rsidR="00C40664">
        <w:rPr>
          <w:noProof/>
        </w:rPr>
        <w:t>6</w:t>
      </w:r>
      <w:r>
        <w:rPr>
          <w:noProof/>
        </w:rPr>
        <w:fldChar w:fldCharType="end"/>
      </w:r>
      <w:bookmarkEnd w:id="132"/>
      <w:r w:rsidRPr="00F46B46">
        <w:tab/>
        <w:t>National capital allowance, police services</w:t>
      </w:r>
    </w:p>
    <w:tbl>
      <w:tblPr>
        <w:tblW w:w="8960" w:type="dxa"/>
        <w:tblInd w:w="93" w:type="dxa"/>
        <w:tblLook w:val="04A0" w:firstRow="1" w:lastRow="0" w:firstColumn="1" w:lastColumn="0" w:noHBand="0" w:noVBand="1"/>
      </w:tblPr>
      <w:tblGrid>
        <w:gridCol w:w="4080"/>
        <w:gridCol w:w="1220"/>
        <w:gridCol w:w="1220"/>
        <w:gridCol w:w="1220"/>
        <w:gridCol w:w="1220"/>
      </w:tblGrid>
      <w:tr w:rsidR="00C2657C" w:rsidRPr="00C2657C" w14:paraId="7A1A07B3" w14:textId="77777777" w:rsidTr="00C2657C">
        <w:trPr>
          <w:trHeight w:val="375"/>
        </w:trPr>
        <w:tc>
          <w:tcPr>
            <w:tcW w:w="4080" w:type="dxa"/>
            <w:tcBorders>
              <w:top w:val="single" w:sz="4" w:space="0" w:color="auto"/>
              <w:left w:val="nil"/>
              <w:bottom w:val="single" w:sz="4" w:space="0" w:color="auto"/>
              <w:right w:val="nil"/>
            </w:tcBorders>
            <w:shd w:val="clear" w:color="auto" w:fill="auto"/>
            <w:noWrap/>
            <w:vAlign w:val="center"/>
            <w:hideMark/>
          </w:tcPr>
          <w:p w14:paraId="4B41FD68" w14:textId="77777777" w:rsidR="00C2657C" w:rsidRPr="00C2657C" w:rsidRDefault="00C2657C" w:rsidP="00C2657C">
            <w:pPr>
              <w:tabs>
                <w:tab w:val="clear" w:pos="567"/>
              </w:tabs>
              <w:spacing w:after="0" w:line="240" w:lineRule="auto"/>
              <w:rPr>
                <w:rFonts w:ascii="Calibri" w:eastAsia="Times New Roman" w:hAnsi="Calibri" w:cs="Times New Roman"/>
                <w:sz w:val="20"/>
                <w:szCs w:val="20"/>
                <w:lang w:eastAsia="en-AU"/>
              </w:rPr>
            </w:pPr>
            <w:r w:rsidRPr="00C2657C">
              <w:rPr>
                <w:rFonts w:ascii="Calibri" w:eastAsia="Times New Roman" w:hAnsi="Calibri" w:cs="Times New Roman"/>
                <w:sz w:val="20"/>
                <w:szCs w:val="20"/>
                <w:lang w:eastAsia="en-AU"/>
              </w:rPr>
              <w:t> </w:t>
            </w:r>
          </w:p>
        </w:tc>
        <w:tc>
          <w:tcPr>
            <w:tcW w:w="1220" w:type="dxa"/>
            <w:tcBorders>
              <w:top w:val="single" w:sz="4" w:space="0" w:color="auto"/>
              <w:left w:val="nil"/>
              <w:bottom w:val="single" w:sz="4" w:space="0" w:color="auto"/>
              <w:right w:val="nil"/>
            </w:tcBorders>
            <w:shd w:val="clear" w:color="auto" w:fill="auto"/>
            <w:noWrap/>
            <w:vAlign w:val="center"/>
            <w:hideMark/>
          </w:tcPr>
          <w:p w14:paraId="3DA3643C" w14:textId="77777777" w:rsidR="00C2657C" w:rsidRPr="00C2657C" w:rsidRDefault="00C2657C" w:rsidP="00C2657C">
            <w:pPr>
              <w:tabs>
                <w:tab w:val="clear" w:pos="567"/>
              </w:tabs>
              <w:spacing w:after="0" w:line="240" w:lineRule="auto"/>
              <w:jc w:val="right"/>
              <w:rPr>
                <w:rFonts w:ascii="Calibri" w:eastAsia="Times New Roman" w:hAnsi="Calibri" w:cs="Times New Roman"/>
                <w:sz w:val="20"/>
                <w:szCs w:val="20"/>
                <w:lang w:eastAsia="en-AU"/>
              </w:rPr>
            </w:pPr>
            <w:r w:rsidRPr="00C2657C">
              <w:rPr>
                <w:rFonts w:ascii="Calibri" w:eastAsia="Times New Roman" w:hAnsi="Calibri" w:cs="Times New Roman"/>
                <w:sz w:val="20"/>
                <w:szCs w:val="20"/>
                <w:lang w:eastAsia="en-AU"/>
              </w:rPr>
              <w:t>2013-14</w:t>
            </w:r>
          </w:p>
        </w:tc>
        <w:tc>
          <w:tcPr>
            <w:tcW w:w="1220" w:type="dxa"/>
            <w:tcBorders>
              <w:top w:val="single" w:sz="4" w:space="0" w:color="auto"/>
              <w:left w:val="nil"/>
              <w:bottom w:val="single" w:sz="4" w:space="0" w:color="auto"/>
              <w:right w:val="nil"/>
            </w:tcBorders>
            <w:shd w:val="clear" w:color="auto" w:fill="auto"/>
            <w:noWrap/>
            <w:vAlign w:val="center"/>
            <w:hideMark/>
          </w:tcPr>
          <w:p w14:paraId="40492963" w14:textId="77777777" w:rsidR="00C2657C" w:rsidRPr="00C2657C" w:rsidRDefault="00C2657C" w:rsidP="00C2657C">
            <w:pPr>
              <w:tabs>
                <w:tab w:val="clear" w:pos="567"/>
              </w:tabs>
              <w:spacing w:after="0" w:line="240" w:lineRule="auto"/>
              <w:jc w:val="right"/>
              <w:rPr>
                <w:rFonts w:ascii="Calibri" w:eastAsia="Times New Roman" w:hAnsi="Calibri" w:cs="Times New Roman"/>
                <w:sz w:val="20"/>
                <w:szCs w:val="20"/>
                <w:lang w:eastAsia="en-AU"/>
              </w:rPr>
            </w:pPr>
            <w:r w:rsidRPr="00C2657C">
              <w:rPr>
                <w:rFonts w:ascii="Calibri" w:eastAsia="Times New Roman" w:hAnsi="Calibri" w:cs="Times New Roman"/>
                <w:sz w:val="20"/>
                <w:szCs w:val="20"/>
                <w:lang w:eastAsia="en-AU"/>
              </w:rPr>
              <w:t>2014-15</w:t>
            </w:r>
          </w:p>
        </w:tc>
        <w:tc>
          <w:tcPr>
            <w:tcW w:w="1220" w:type="dxa"/>
            <w:tcBorders>
              <w:top w:val="single" w:sz="4" w:space="0" w:color="auto"/>
              <w:left w:val="nil"/>
              <w:bottom w:val="single" w:sz="4" w:space="0" w:color="auto"/>
              <w:right w:val="nil"/>
            </w:tcBorders>
            <w:shd w:val="clear" w:color="auto" w:fill="auto"/>
            <w:noWrap/>
            <w:vAlign w:val="center"/>
            <w:hideMark/>
          </w:tcPr>
          <w:p w14:paraId="51C5A1C4" w14:textId="77777777" w:rsidR="00C2657C" w:rsidRPr="00C2657C" w:rsidRDefault="00C2657C" w:rsidP="00C2657C">
            <w:pPr>
              <w:tabs>
                <w:tab w:val="clear" w:pos="567"/>
              </w:tabs>
              <w:spacing w:after="0" w:line="240" w:lineRule="auto"/>
              <w:jc w:val="right"/>
              <w:rPr>
                <w:rFonts w:ascii="Calibri" w:eastAsia="Times New Roman" w:hAnsi="Calibri" w:cs="Times New Roman"/>
                <w:sz w:val="20"/>
                <w:szCs w:val="20"/>
                <w:lang w:eastAsia="en-AU"/>
              </w:rPr>
            </w:pPr>
            <w:r w:rsidRPr="00C2657C">
              <w:rPr>
                <w:rFonts w:ascii="Calibri" w:eastAsia="Times New Roman" w:hAnsi="Calibri" w:cs="Times New Roman"/>
                <w:sz w:val="20"/>
                <w:szCs w:val="20"/>
                <w:lang w:eastAsia="en-AU"/>
              </w:rPr>
              <w:t>2015-16</w:t>
            </w:r>
          </w:p>
        </w:tc>
        <w:tc>
          <w:tcPr>
            <w:tcW w:w="1220" w:type="dxa"/>
            <w:tcBorders>
              <w:top w:val="single" w:sz="4" w:space="0" w:color="auto"/>
              <w:left w:val="nil"/>
              <w:bottom w:val="single" w:sz="4" w:space="0" w:color="auto"/>
              <w:right w:val="nil"/>
            </w:tcBorders>
            <w:shd w:val="clear" w:color="auto" w:fill="auto"/>
            <w:noWrap/>
            <w:vAlign w:val="center"/>
            <w:hideMark/>
          </w:tcPr>
          <w:p w14:paraId="25DBBE23" w14:textId="77777777" w:rsidR="00C2657C" w:rsidRPr="00C2657C" w:rsidRDefault="00C2657C" w:rsidP="00C2657C">
            <w:pPr>
              <w:tabs>
                <w:tab w:val="clear" w:pos="567"/>
              </w:tabs>
              <w:spacing w:after="0" w:line="240" w:lineRule="auto"/>
              <w:jc w:val="right"/>
              <w:rPr>
                <w:rFonts w:ascii="Calibri" w:eastAsia="Times New Roman" w:hAnsi="Calibri" w:cs="Times New Roman"/>
                <w:sz w:val="20"/>
                <w:szCs w:val="20"/>
                <w:lang w:eastAsia="en-AU"/>
              </w:rPr>
            </w:pPr>
            <w:r w:rsidRPr="00C2657C">
              <w:rPr>
                <w:rFonts w:ascii="Calibri" w:eastAsia="Times New Roman" w:hAnsi="Calibri" w:cs="Times New Roman"/>
                <w:sz w:val="20"/>
                <w:szCs w:val="20"/>
                <w:lang w:eastAsia="en-AU"/>
              </w:rPr>
              <w:t>2016-17</w:t>
            </w:r>
          </w:p>
        </w:tc>
      </w:tr>
      <w:tr w:rsidR="00C2657C" w:rsidRPr="00C2657C" w14:paraId="3BE14C5F" w14:textId="77777777" w:rsidTr="00C2657C">
        <w:trPr>
          <w:trHeight w:val="315"/>
        </w:trPr>
        <w:tc>
          <w:tcPr>
            <w:tcW w:w="4080" w:type="dxa"/>
            <w:tcBorders>
              <w:top w:val="nil"/>
              <w:left w:val="nil"/>
              <w:bottom w:val="nil"/>
              <w:right w:val="nil"/>
            </w:tcBorders>
            <w:shd w:val="clear" w:color="auto" w:fill="auto"/>
            <w:noWrap/>
            <w:vAlign w:val="bottom"/>
            <w:hideMark/>
          </w:tcPr>
          <w:p w14:paraId="53A646B4" w14:textId="77777777" w:rsidR="00C2657C" w:rsidRPr="00C2657C" w:rsidRDefault="00C2657C" w:rsidP="00C2657C">
            <w:pPr>
              <w:tabs>
                <w:tab w:val="clear" w:pos="567"/>
              </w:tabs>
              <w:spacing w:after="0" w:line="240" w:lineRule="auto"/>
              <w:rPr>
                <w:rFonts w:ascii="Calibri" w:eastAsia="Times New Roman" w:hAnsi="Calibri" w:cs="Times New Roman"/>
                <w:sz w:val="20"/>
                <w:szCs w:val="20"/>
                <w:lang w:eastAsia="en-AU"/>
              </w:rPr>
            </w:pPr>
            <w:r w:rsidRPr="00C2657C">
              <w:rPr>
                <w:rFonts w:ascii="Calibri" w:eastAsia="Times New Roman" w:hAnsi="Calibri" w:cs="Times New Roman"/>
                <w:sz w:val="20"/>
                <w:szCs w:val="20"/>
                <w:lang w:eastAsia="en-AU"/>
              </w:rPr>
              <w:t>A.   Total staff</w:t>
            </w:r>
          </w:p>
        </w:tc>
        <w:tc>
          <w:tcPr>
            <w:tcW w:w="1220" w:type="dxa"/>
            <w:tcBorders>
              <w:top w:val="nil"/>
              <w:left w:val="nil"/>
              <w:bottom w:val="nil"/>
              <w:right w:val="nil"/>
            </w:tcBorders>
            <w:shd w:val="clear" w:color="auto" w:fill="auto"/>
            <w:noWrap/>
            <w:vAlign w:val="center"/>
            <w:hideMark/>
          </w:tcPr>
          <w:p w14:paraId="2CF337CA" w14:textId="35C9E215" w:rsidR="00C2657C" w:rsidRPr="00C2657C" w:rsidRDefault="00C2657C" w:rsidP="00830360">
            <w:pPr>
              <w:tabs>
                <w:tab w:val="clear" w:pos="567"/>
              </w:tabs>
              <w:spacing w:after="0" w:line="240" w:lineRule="auto"/>
              <w:jc w:val="right"/>
              <w:rPr>
                <w:rFonts w:ascii="Calibri" w:eastAsia="Times New Roman" w:hAnsi="Calibri" w:cs="Times New Roman"/>
                <w:sz w:val="20"/>
                <w:szCs w:val="20"/>
                <w:lang w:eastAsia="en-AU"/>
              </w:rPr>
            </w:pPr>
            <w:r w:rsidRPr="00C2657C">
              <w:rPr>
                <w:rFonts w:ascii="Calibri" w:eastAsia="Times New Roman" w:hAnsi="Calibri" w:cs="Times New Roman"/>
                <w:sz w:val="20"/>
                <w:szCs w:val="20"/>
                <w:lang w:eastAsia="en-AU"/>
              </w:rPr>
              <w:t>69</w:t>
            </w:r>
            <w:r w:rsidR="00830360">
              <w:rPr>
                <w:rFonts w:ascii="Calibri" w:eastAsia="Times New Roman" w:hAnsi="Calibri" w:cs="Times New Roman"/>
                <w:sz w:val="20"/>
                <w:szCs w:val="20"/>
                <w:lang w:eastAsia="en-AU"/>
              </w:rPr>
              <w:t xml:space="preserve"> </w:t>
            </w:r>
            <w:r w:rsidRPr="00C2657C">
              <w:rPr>
                <w:rFonts w:ascii="Calibri" w:eastAsia="Times New Roman" w:hAnsi="Calibri" w:cs="Times New Roman"/>
                <w:sz w:val="20"/>
                <w:szCs w:val="20"/>
                <w:lang w:eastAsia="en-AU"/>
              </w:rPr>
              <w:t>462</w:t>
            </w:r>
          </w:p>
        </w:tc>
        <w:tc>
          <w:tcPr>
            <w:tcW w:w="1220" w:type="dxa"/>
            <w:tcBorders>
              <w:top w:val="nil"/>
              <w:left w:val="nil"/>
              <w:bottom w:val="nil"/>
              <w:right w:val="nil"/>
            </w:tcBorders>
            <w:shd w:val="clear" w:color="auto" w:fill="auto"/>
            <w:noWrap/>
            <w:vAlign w:val="center"/>
            <w:hideMark/>
          </w:tcPr>
          <w:p w14:paraId="09B01667" w14:textId="334D777A" w:rsidR="00C2657C" w:rsidRPr="00C2657C" w:rsidRDefault="00C2657C" w:rsidP="00830360">
            <w:pPr>
              <w:tabs>
                <w:tab w:val="clear" w:pos="567"/>
              </w:tabs>
              <w:spacing w:after="0" w:line="240" w:lineRule="auto"/>
              <w:jc w:val="right"/>
              <w:rPr>
                <w:rFonts w:ascii="Calibri" w:eastAsia="Times New Roman" w:hAnsi="Calibri" w:cs="Times New Roman"/>
                <w:sz w:val="20"/>
                <w:szCs w:val="20"/>
                <w:lang w:eastAsia="en-AU"/>
              </w:rPr>
            </w:pPr>
            <w:r w:rsidRPr="00C2657C">
              <w:rPr>
                <w:rFonts w:ascii="Calibri" w:eastAsia="Times New Roman" w:hAnsi="Calibri" w:cs="Times New Roman"/>
                <w:sz w:val="20"/>
                <w:szCs w:val="20"/>
                <w:lang w:eastAsia="en-AU"/>
              </w:rPr>
              <w:t>69</w:t>
            </w:r>
            <w:r w:rsidR="00830360">
              <w:rPr>
                <w:rFonts w:ascii="Calibri" w:eastAsia="Times New Roman" w:hAnsi="Calibri" w:cs="Times New Roman"/>
                <w:sz w:val="20"/>
                <w:szCs w:val="20"/>
                <w:lang w:eastAsia="en-AU"/>
              </w:rPr>
              <w:t xml:space="preserve"> </w:t>
            </w:r>
            <w:r w:rsidRPr="00C2657C">
              <w:rPr>
                <w:rFonts w:ascii="Calibri" w:eastAsia="Times New Roman" w:hAnsi="Calibri" w:cs="Times New Roman"/>
                <w:sz w:val="20"/>
                <w:szCs w:val="20"/>
                <w:lang w:eastAsia="en-AU"/>
              </w:rPr>
              <w:t>282</w:t>
            </w:r>
          </w:p>
        </w:tc>
        <w:tc>
          <w:tcPr>
            <w:tcW w:w="1220" w:type="dxa"/>
            <w:tcBorders>
              <w:top w:val="nil"/>
              <w:left w:val="nil"/>
              <w:bottom w:val="nil"/>
              <w:right w:val="nil"/>
            </w:tcBorders>
            <w:shd w:val="clear" w:color="auto" w:fill="auto"/>
            <w:noWrap/>
            <w:vAlign w:val="center"/>
            <w:hideMark/>
          </w:tcPr>
          <w:p w14:paraId="435834FA" w14:textId="53D719B0" w:rsidR="00C2657C" w:rsidRPr="00C2657C" w:rsidRDefault="00C2657C" w:rsidP="00830360">
            <w:pPr>
              <w:tabs>
                <w:tab w:val="clear" w:pos="567"/>
              </w:tabs>
              <w:spacing w:after="0" w:line="240" w:lineRule="auto"/>
              <w:jc w:val="right"/>
              <w:rPr>
                <w:rFonts w:ascii="Calibri" w:eastAsia="Times New Roman" w:hAnsi="Calibri" w:cs="Times New Roman"/>
                <w:sz w:val="20"/>
                <w:szCs w:val="20"/>
                <w:lang w:eastAsia="en-AU"/>
              </w:rPr>
            </w:pPr>
            <w:r w:rsidRPr="00C2657C">
              <w:rPr>
                <w:rFonts w:ascii="Calibri" w:eastAsia="Times New Roman" w:hAnsi="Calibri" w:cs="Times New Roman"/>
                <w:sz w:val="20"/>
                <w:szCs w:val="20"/>
                <w:lang w:eastAsia="en-AU"/>
              </w:rPr>
              <w:t>70</w:t>
            </w:r>
            <w:r w:rsidR="00830360">
              <w:rPr>
                <w:rFonts w:ascii="Calibri" w:eastAsia="Times New Roman" w:hAnsi="Calibri" w:cs="Times New Roman"/>
                <w:sz w:val="20"/>
                <w:szCs w:val="20"/>
                <w:lang w:eastAsia="en-AU"/>
              </w:rPr>
              <w:t xml:space="preserve"> </w:t>
            </w:r>
            <w:r w:rsidRPr="00C2657C">
              <w:rPr>
                <w:rFonts w:ascii="Calibri" w:eastAsia="Times New Roman" w:hAnsi="Calibri" w:cs="Times New Roman"/>
                <w:sz w:val="20"/>
                <w:szCs w:val="20"/>
                <w:lang w:eastAsia="en-AU"/>
              </w:rPr>
              <w:t>651</w:t>
            </w:r>
          </w:p>
        </w:tc>
        <w:tc>
          <w:tcPr>
            <w:tcW w:w="1220" w:type="dxa"/>
            <w:tcBorders>
              <w:top w:val="nil"/>
              <w:left w:val="nil"/>
              <w:bottom w:val="nil"/>
              <w:right w:val="nil"/>
            </w:tcBorders>
            <w:shd w:val="clear" w:color="auto" w:fill="auto"/>
            <w:noWrap/>
            <w:vAlign w:val="center"/>
            <w:hideMark/>
          </w:tcPr>
          <w:p w14:paraId="29F52035" w14:textId="172BCC72" w:rsidR="00C2657C" w:rsidRPr="00C2657C" w:rsidRDefault="00C2657C" w:rsidP="00830360">
            <w:pPr>
              <w:tabs>
                <w:tab w:val="clear" w:pos="567"/>
              </w:tabs>
              <w:spacing w:after="0" w:line="240" w:lineRule="auto"/>
              <w:jc w:val="right"/>
              <w:rPr>
                <w:rFonts w:ascii="Calibri" w:eastAsia="Times New Roman" w:hAnsi="Calibri" w:cs="Times New Roman"/>
                <w:sz w:val="20"/>
                <w:szCs w:val="20"/>
                <w:lang w:eastAsia="en-AU"/>
              </w:rPr>
            </w:pPr>
            <w:r w:rsidRPr="00C2657C">
              <w:rPr>
                <w:rFonts w:ascii="Calibri" w:eastAsia="Times New Roman" w:hAnsi="Calibri" w:cs="Times New Roman"/>
                <w:sz w:val="20"/>
                <w:szCs w:val="20"/>
                <w:lang w:eastAsia="en-AU"/>
              </w:rPr>
              <w:t>70</w:t>
            </w:r>
            <w:r w:rsidR="00830360">
              <w:rPr>
                <w:rFonts w:ascii="Calibri" w:eastAsia="Times New Roman" w:hAnsi="Calibri" w:cs="Times New Roman"/>
                <w:sz w:val="20"/>
                <w:szCs w:val="20"/>
                <w:lang w:eastAsia="en-AU"/>
              </w:rPr>
              <w:t xml:space="preserve"> </w:t>
            </w:r>
            <w:r w:rsidRPr="00C2657C">
              <w:rPr>
                <w:rFonts w:ascii="Calibri" w:eastAsia="Times New Roman" w:hAnsi="Calibri" w:cs="Times New Roman"/>
                <w:sz w:val="20"/>
                <w:szCs w:val="20"/>
                <w:lang w:eastAsia="en-AU"/>
              </w:rPr>
              <w:t>651</w:t>
            </w:r>
          </w:p>
        </w:tc>
      </w:tr>
      <w:tr w:rsidR="00C2657C" w:rsidRPr="00C2657C" w14:paraId="50163E43" w14:textId="77777777" w:rsidTr="00C2657C">
        <w:trPr>
          <w:trHeight w:val="315"/>
        </w:trPr>
        <w:tc>
          <w:tcPr>
            <w:tcW w:w="4080" w:type="dxa"/>
            <w:tcBorders>
              <w:top w:val="nil"/>
              <w:left w:val="nil"/>
              <w:bottom w:val="nil"/>
              <w:right w:val="nil"/>
            </w:tcBorders>
            <w:shd w:val="clear" w:color="auto" w:fill="auto"/>
            <w:noWrap/>
            <w:vAlign w:val="bottom"/>
            <w:hideMark/>
          </w:tcPr>
          <w:p w14:paraId="4D3BBE6A" w14:textId="77777777" w:rsidR="00C2657C" w:rsidRPr="00C2657C" w:rsidRDefault="00C2657C" w:rsidP="00C2657C">
            <w:pPr>
              <w:tabs>
                <w:tab w:val="clear" w:pos="567"/>
              </w:tabs>
              <w:spacing w:after="0" w:line="240" w:lineRule="auto"/>
              <w:rPr>
                <w:rFonts w:ascii="Calibri" w:eastAsia="Times New Roman" w:hAnsi="Calibri" w:cs="Times New Roman"/>
                <w:sz w:val="20"/>
                <w:szCs w:val="20"/>
                <w:lang w:eastAsia="en-AU"/>
              </w:rPr>
            </w:pPr>
            <w:r w:rsidRPr="00C2657C">
              <w:rPr>
                <w:rFonts w:ascii="Calibri" w:eastAsia="Times New Roman" w:hAnsi="Calibri" w:cs="Times New Roman"/>
                <w:sz w:val="20"/>
                <w:szCs w:val="20"/>
                <w:lang w:eastAsia="en-AU"/>
              </w:rPr>
              <w:t>B.   Total population</w:t>
            </w:r>
          </w:p>
        </w:tc>
        <w:tc>
          <w:tcPr>
            <w:tcW w:w="1220" w:type="dxa"/>
            <w:tcBorders>
              <w:top w:val="nil"/>
              <w:left w:val="nil"/>
              <w:bottom w:val="nil"/>
              <w:right w:val="nil"/>
            </w:tcBorders>
            <w:shd w:val="clear" w:color="auto" w:fill="auto"/>
            <w:noWrap/>
            <w:vAlign w:val="bottom"/>
            <w:hideMark/>
          </w:tcPr>
          <w:p w14:paraId="0804C38D" w14:textId="77777777" w:rsidR="00C2657C" w:rsidRPr="00C2657C" w:rsidRDefault="00C2657C" w:rsidP="00C2657C">
            <w:pPr>
              <w:tabs>
                <w:tab w:val="clear" w:pos="567"/>
              </w:tabs>
              <w:spacing w:after="0" w:line="240" w:lineRule="auto"/>
              <w:jc w:val="right"/>
              <w:rPr>
                <w:rFonts w:ascii="Calibri" w:eastAsia="Times New Roman" w:hAnsi="Calibri" w:cs="Times New Roman"/>
                <w:sz w:val="20"/>
                <w:szCs w:val="20"/>
                <w:lang w:eastAsia="en-AU"/>
              </w:rPr>
            </w:pPr>
            <w:r w:rsidRPr="00C2657C">
              <w:rPr>
                <w:rFonts w:ascii="Calibri" w:eastAsia="Times New Roman" w:hAnsi="Calibri" w:cs="Times New Roman"/>
                <w:sz w:val="20"/>
                <w:szCs w:val="20"/>
                <w:lang w:eastAsia="en-AU"/>
              </w:rPr>
              <w:t>23 318 772</w:t>
            </w:r>
          </w:p>
        </w:tc>
        <w:tc>
          <w:tcPr>
            <w:tcW w:w="1220" w:type="dxa"/>
            <w:tcBorders>
              <w:top w:val="nil"/>
              <w:left w:val="nil"/>
              <w:bottom w:val="nil"/>
              <w:right w:val="nil"/>
            </w:tcBorders>
            <w:shd w:val="clear" w:color="auto" w:fill="auto"/>
            <w:noWrap/>
            <w:vAlign w:val="bottom"/>
            <w:hideMark/>
          </w:tcPr>
          <w:p w14:paraId="39CE9FEF" w14:textId="77777777" w:rsidR="00C2657C" w:rsidRPr="00C2657C" w:rsidRDefault="00C2657C" w:rsidP="00C2657C">
            <w:pPr>
              <w:tabs>
                <w:tab w:val="clear" w:pos="567"/>
              </w:tabs>
              <w:spacing w:after="0" w:line="240" w:lineRule="auto"/>
              <w:jc w:val="right"/>
              <w:rPr>
                <w:rFonts w:ascii="Calibri" w:eastAsia="Times New Roman" w:hAnsi="Calibri" w:cs="Times New Roman"/>
                <w:sz w:val="20"/>
                <w:szCs w:val="20"/>
                <w:lang w:eastAsia="en-AU"/>
              </w:rPr>
            </w:pPr>
            <w:r w:rsidRPr="00C2657C">
              <w:rPr>
                <w:rFonts w:ascii="Calibri" w:eastAsia="Times New Roman" w:hAnsi="Calibri" w:cs="Times New Roman"/>
                <w:sz w:val="20"/>
                <w:szCs w:val="20"/>
                <w:lang w:eastAsia="en-AU"/>
              </w:rPr>
              <w:t>23 669 720</w:t>
            </w:r>
          </w:p>
        </w:tc>
        <w:tc>
          <w:tcPr>
            <w:tcW w:w="1220" w:type="dxa"/>
            <w:tcBorders>
              <w:top w:val="nil"/>
              <w:left w:val="nil"/>
              <w:bottom w:val="nil"/>
              <w:right w:val="nil"/>
            </w:tcBorders>
            <w:shd w:val="clear" w:color="auto" w:fill="auto"/>
            <w:noWrap/>
            <w:vAlign w:val="bottom"/>
            <w:hideMark/>
          </w:tcPr>
          <w:p w14:paraId="46DA7801" w14:textId="77777777" w:rsidR="00C2657C" w:rsidRPr="00C2657C" w:rsidRDefault="00C2657C" w:rsidP="00C2657C">
            <w:pPr>
              <w:tabs>
                <w:tab w:val="clear" w:pos="567"/>
              </w:tabs>
              <w:spacing w:after="0" w:line="240" w:lineRule="auto"/>
              <w:jc w:val="right"/>
              <w:rPr>
                <w:rFonts w:ascii="Calibri" w:eastAsia="Times New Roman" w:hAnsi="Calibri" w:cs="Times New Roman"/>
                <w:sz w:val="20"/>
                <w:szCs w:val="20"/>
                <w:lang w:eastAsia="en-AU"/>
              </w:rPr>
            </w:pPr>
            <w:r w:rsidRPr="00C2657C">
              <w:rPr>
                <w:rFonts w:ascii="Calibri" w:eastAsia="Times New Roman" w:hAnsi="Calibri" w:cs="Times New Roman"/>
                <w:sz w:val="20"/>
                <w:szCs w:val="20"/>
                <w:lang w:eastAsia="en-AU"/>
              </w:rPr>
              <w:t>24 009 961</w:t>
            </w:r>
          </w:p>
        </w:tc>
        <w:tc>
          <w:tcPr>
            <w:tcW w:w="1220" w:type="dxa"/>
            <w:tcBorders>
              <w:top w:val="nil"/>
              <w:left w:val="nil"/>
              <w:bottom w:val="nil"/>
              <w:right w:val="nil"/>
            </w:tcBorders>
            <w:shd w:val="clear" w:color="auto" w:fill="auto"/>
            <w:noWrap/>
            <w:vAlign w:val="bottom"/>
            <w:hideMark/>
          </w:tcPr>
          <w:p w14:paraId="463A9295" w14:textId="77777777" w:rsidR="00C2657C" w:rsidRPr="00C2657C" w:rsidRDefault="00C2657C" w:rsidP="00C2657C">
            <w:pPr>
              <w:tabs>
                <w:tab w:val="clear" w:pos="567"/>
              </w:tabs>
              <w:spacing w:after="0" w:line="240" w:lineRule="auto"/>
              <w:jc w:val="right"/>
              <w:rPr>
                <w:rFonts w:ascii="Calibri" w:eastAsia="Times New Roman" w:hAnsi="Calibri" w:cs="Times New Roman"/>
                <w:sz w:val="20"/>
                <w:szCs w:val="20"/>
                <w:lang w:eastAsia="en-AU"/>
              </w:rPr>
            </w:pPr>
            <w:r w:rsidRPr="00C2657C">
              <w:rPr>
                <w:rFonts w:ascii="Calibri" w:eastAsia="Times New Roman" w:hAnsi="Calibri" w:cs="Times New Roman"/>
                <w:sz w:val="20"/>
                <w:szCs w:val="20"/>
                <w:lang w:eastAsia="en-AU"/>
              </w:rPr>
              <w:t>24 381 012</w:t>
            </w:r>
          </w:p>
        </w:tc>
      </w:tr>
      <w:tr w:rsidR="00C2657C" w:rsidRPr="00C2657C" w14:paraId="56EE7772" w14:textId="77777777" w:rsidTr="00C2657C">
        <w:trPr>
          <w:trHeight w:val="315"/>
        </w:trPr>
        <w:tc>
          <w:tcPr>
            <w:tcW w:w="4080" w:type="dxa"/>
            <w:tcBorders>
              <w:top w:val="nil"/>
              <w:left w:val="nil"/>
              <w:bottom w:val="nil"/>
              <w:right w:val="nil"/>
            </w:tcBorders>
            <w:shd w:val="clear" w:color="auto" w:fill="auto"/>
            <w:noWrap/>
            <w:vAlign w:val="bottom"/>
            <w:hideMark/>
          </w:tcPr>
          <w:p w14:paraId="005F6BE8" w14:textId="77777777" w:rsidR="00C2657C" w:rsidRPr="00C2657C" w:rsidRDefault="00C2657C" w:rsidP="00C2657C">
            <w:pPr>
              <w:tabs>
                <w:tab w:val="clear" w:pos="567"/>
              </w:tabs>
              <w:spacing w:after="0" w:line="240" w:lineRule="auto"/>
              <w:rPr>
                <w:rFonts w:ascii="Calibri" w:eastAsia="Times New Roman" w:hAnsi="Calibri" w:cs="Times New Roman"/>
                <w:sz w:val="20"/>
                <w:szCs w:val="20"/>
                <w:lang w:eastAsia="en-AU"/>
              </w:rPr>
            </w:pPr>
            <w:r w:rsidRPr="00C2657C">
              <w:rPr>
                <w:rFonts w:ascii="Calibri" w:eastAsia="Times New Roman" w:hAnsi="Calibri" w:cs="Times New Roman"/>
                <w:sz w:val="20"/>
                <w:szCs w:val="20"/>
                <w:lang w:eastAsia="en-AU"/>
              </w:rPr>
              <w:t>C.   Average staff  [C = A / B]</w:t>
            </w:r>
          </w:p>
        </w:tc>
        <w:tc>
          <w:tcPr>
            <w:tcW w:w="1220" w:type="dxa"/>
            <w:tcBorders>
              <w:top w:val="nil"/>
              <w:left w:val="nil"/>
              <w:bottom w:val="nil"/>
              <w:right w:val="nil"/>
            </w:tcBorders>
            <w:shd w:val="clear" w:color="auto" w:fill="auto"/>
            <w:noWrap/>
            <w:vAlign w:val="bottom"/>
            <w:hideMark/>
          </w:tcPr>
          <w:p w14:paraId="67BB5568" w14:textId="77777777" w:rsidR="00C2657C" w:rsidRPr="00C2657C" w:rsidRDefault="00C2657C" w:rsidP="00C2657C">
            <w:pPr>
              <w:tabs>
                <w:tab w:val="clear" w:pos="567"/>
              </w:tabs>
              <w:spacing w:after="0" w:line="240" w:lineRule="auto"/>
              <w:jc w:val="right"/>
              <w:rPr>
                <w:rFonts w:ascii="Calibri" w:eastAsia="Times New Roman" w:hAnsi="Calibri" w:cs="Times New Roman"/>
                <w:sz w:val="20"/>
                <w:szCs w:val="20"/>
                <w:lang w:eastAsia="en-AU"/>
              </w:rPr>
            </w:pPr>
            <w:r w:rsidRPr="00C2657C">
              <w:rPr>
                <w:rFonts w:ascii="Calibri" w:eastAsia="Times New Roman" w:hAnsi="Calibri" w:cs="Times New Roman"/>
                <w:sz w:val="20"/>
                <w:szCs w:val="20"/>
                <w:lang w:eastAsia="en-AU"/>
              </w:rPr>
              <w:t>0.003</w:t>
            </w:r>
          </w:p>
        </w:tc>
        <w:tc>
          <w:tcPr>
            <w:tcW w:w="1220" w:type="dxa"/>
            <w:tcBorders>
              <w:top w:val="nil"/>
              <w:left w:val="nil"/>
              <w:bottom w:val="nil"/>
              <w:right w:val="nil"/>
            </w:tcBorders>
            <w:shd w:val="clear" w:color="auto" w:fill="auto"/>
            <w:noWrap/>
            <w:vAlign w:val="bottom"/>
            <w:hideMark/>
          </w:tcPr>
          <w:p w14:paraId="18C8647B" w14:textId="77777777" w:rsidR="00C2657C" w:rsidRPr="00C2657C" w:rsidRDefault="00C2657C" w:rsidP="00C2657C">
            <w:pPr>
              <w:tabs>
                <w:tab w:val="clear" w:pos="567"/>
              </w:tabs>
              <w:spacing w:after="0" w:line="240" w:lineRule="auto"/>
              <w:jc w:val="right"/>
              <w:rPr>
                <w:rFonts w:ascii="Calibri" w:eastAsia="Times New Roman" w:hAnsi="Calibri" w:cs="Times New Roman"/>
                <w:sz w:val="20"/>
                <w:szCs w:val="20"/>
                <w:lang w:eastAsia="en-AU"/>
              </w:rPr>
            </w:pPr>
            <w:r w:rsidRPr="00C2657C">
              <w:rPr>
                <w:rFonts w:ascii="Calibri" w:eastAsia="Times New Roman" w:hAnsi="Calibri" w:cs="Times New Roman"/>
                <w:sz w:val="20"/>
                <w:szCs w:val="20"/>
                <w:lang w:eastAsia="en-AU"/>
              </w:rPr>
              <w:t>0.003</w:t>
            </w:r>
          </w:p>
        </w:tc>
        <w:tc>
          <w:tcPr>
            <w:tcW w:w="1220" w:type="dxa"/>
            <w:tcBorders>
              <w:top w:val="nil"/>
              <w:left w:val="nil"/>
              <w:bottom w:val="nil"/>
              <w:right w:val="nil"/>
            </w:tcBorders>
            <w:shd w:val="clear" w:color="auto" w:fill="auto"/>
            <w:noWrap/>
            <w:vAlign w:val="bottom"/>
            <w:hideMark/>
          </w:tcPr>
          <w:p w14:paraId="5AC3818C" w14:textId="77777777" w:rsidR="00C2657C" w:rsidRPr="00C2657C" w:rsidRDefault="00C2657C" w:rsidP="00C2657C">
            <w:pPr>
              <w:tabs>
                <w:tab w:val="clear" w:pos="567"/>
              </w:tabs>
              <w:spacing w:after="0" w:line="240" w:lineRule="auto"/>
              <w:jc w:val="right"/>
              <w:rPr>
                <w:rFonts w:ascii="Calibri" w:eastAsia="Times New Roman" w:hAnsi="Calibri" w:cs="Times New Roman"/>
                <w:sz w:val="20"/>
                <w:szCs w:val="20"/>
                <w:lang w:eastAsia="en-AU"/>
              </w:rPr>
            </w:pPr>
            <w:r w:rsidRPr="00C2657C">
              <w:rPr>
                <w:rFonts w:ascii="Calibri" w:eastAsia="Times New Roman" w:hAnsi="Calibri" w:cs="Times New Roman"/>
                <w:sz w:val="20"/>
                <w:szCs w:val="20"/>
                <w:lang w:eastAsia="en-AU"/>
              </w:rPr>
              <w:t>0.003</w:t>
            </w:r>
          </w:p>
        </w:tc>
        <w:tc>
          <w:tcPr>
            <w:tcW w:w="1220" w:type="dxa"/>
            <w:tcBorders>
              <w:top w:val="nil"/>
              <w:left w:val="nil"/>
              <w:bottom w:val="nil"/>
              <w:right w:val="nil"/>
            </w:tcBorders>
            <w:shd w:val="clear" w:color="auto" w:fill="auto"/>
            <w:noWrap/>
            <w:vAlign w:val="bottom"/>
            <w:hideMark/>
          </w:tcPr>
          <w:p w14:paraId="194DC0E9" w14:textId="77777777" w:rsidR="00C2657C" w:rsidRPr="00C2657C" w:rsidRDefault="00C2657C" w:rsidP="00C2657C">
            <w:pPr>
              <w:tabs>
                <w:tab w:val="clear" w:pos="567"/>
              </w:tabs>
              <w:spacing w:after="0" w:line="240" w:lineRule="auto"/>
              <w:jc w:val="right"/>
              <w:rPr>
                <w:rFonts w:ascii="Calibri" w:eastAsia="Times New Roman" w:hAnsi="Calibri" w:cs="Times New Roman"/>
                <w:sz w:val="20"/>
                <w:szCs w:val="20"/>
                <w:lang w:eastAsia="en-AU"/>
              </w:rPr>
            </w:pPr>
            <w:r w:rsidRPr="00C2657C">
              <w:rPr>
                <w:rFonts w:ascii="Calibri" w:eastAsia="Times New Roman" w:hAnsi="Calibri" w:cs="Times New Roman"/>
                <w:sz w:val="20"/>
                <w:szCs w:val="20"/>
                <w:lang w:eastAsia="en-AU"/>
              </w:rPr>
              <w:t>0.003</w:t>
            </w:r>
          </w:p>
        </w:tc>
      </w:tr>
      <w:tr w:rsidR="00C2657C" w:rsidRPr="00C2657C" w14:paraId="71141D7A" w14:textId="77777777" w:rsidTr="00C2657C">
        <w:trPr>
          <w:trHeight w:val="315"/>
        </w:trPr>
        <w:tc>
          <w:tcPr>
            <w:tcW w:w="4080" w:type="dxa"/>
            <w:tcBorders>
              <w:top w:val="nil"/>
              <w:left w:val="nil"/>
              <w:bottom w:val="nil"/>
              <w:right w:val="nil"/>
            </w:tcBorders>
            <w:shd w:val="clear" w:color="auto" w:fill="auto"/>
            <w:noWrap/>
            <w:vAlign w:val="bottom"/>
            <w:hideMark/>
          </w:tcPr>
          <w:p w14:paraId="15693139" w14:textId="77777777" w:rsidR="00C2657C" w:rsidRPr="00C2657C" w:rsidRDefault="00C2657C" w:rsidP="00C2657C">
            <w:pPr>
              <w:tabs>
                <w:tab w:val="clear" w:pos="567"/>
              </w:tabs>
              <w:spacing w:after="0" w:line="240" w:lineRule="auto"/>
              <w:rPr>
                <w:rFonts w:ascii="Calibri" w:eastAsia="Times New Roman" w:hAnsi="Calibri" w:cs="Times New Roman"/>
                <w:sz w:val="20"/>
                <w:szCs w:val="20"/>
                <w:lang w:eastAsia="en-AU"/>
              </w:rPr>
            </w:pPr>
            <w:r w:rsidRPr="00C2657C">
              <w:rPr>
                <w:rFonts w:ascii="Calibri" w:eastAsia="Times New Roman" w:hAnsi="Calibri" w:cs="Times New Roman"/>
                <w:sz w:val="20"/>
                <w:szCs w:val="20"/>
                <w:lang w:eastAsia="en-AU"/>
              </w:rPr>
              <w:t>D.   ACT population</w:t>
            </w:r>
          </w:p>
        </w:tc>
        <w:tc>
          <w:tcPr>
            <w:tcW w:w="1220" w:type="dxa"/>
            <w:tcBorders>
              <w:top w:val="nil"/>
              <w:left w:val="nil"/>
              <w:bottom w:val="nil"/>
              <w:right w:val="nil"/>
            </w:tcBorders>
            <w:shd w:val="clear" w:color="auto" w:fill="auto"/>
            <w:noWrap/>
            <w:vAlign w:val="bottom"/>
            <w:hideMark/>
          </w:tcPr>
          <w:p w14:paraId="7F922541" w14:textId="77777777" w:rsidR="00C2657C" w:rsidRPr="00C2657C" w:rsidRDefault="00C2657C" w:rsidP="00C2657C">
            <w:pPr>
              <w:tabs>
                <w:tab w:val="clear" w:pos="567"/>
              </w:tabs>
              <w:spacing w:after="0" w:line="240" w:lineRule="auto"/>
              <w:jc w:val="right"/>
              <w:rPr>
                <w:rFonts w:ascii="Calibri" w:eastAsia="Times New Roman" w:hAnsi="Calibri" w:cs="Times New Roman"/>
                <w:sz w:val="20"/>
                <w:szCs w:val="20"/>
                <w:lang w:eastAsia="en-AU"/>
              </w:rPr>
            </w:pPr>
            <w:r w:rsidRPr="00C2657C">
              <w:rPr>
                <w:rFonts w:ascii="Calibri" w:eastAsia="Times New Roman" w:hAnsi="Calibri" w:cs="Times New Roman"/>
                <w:sz w:val="20"/>
                <w:szCs w:val="20"/>
                <w:lang w:eastAsia="en-AU"/>
              </w:rPr>
              <w:t xml:space="preserve"> 386 714</w:t>
            </w:r>
          </w:p>
        </w:tc>
        <w:tc>
          <w:tcPr>
            <w:tcW w:w="1220" w:type="dxa"/>
            <w:tcBorders>
              <w:top w:val="nil"/>
              <w:left w:val="nil"/>
              <w:bottom w:val="nil"/>
              <w:right w:val="nil"/>
            </w:tcBorders>
            <w:shd w:val="clear" w:color="auto" w:fill="auto"/>
            <w:noWrap/>
            <w:vAlign w:val="bottom"/>
            <w:hideMark/>
          </w:tcPr>
          <w:p w14:paraId="24AC2EBE" w14:textId="77777777" w:rsidR="00C2657C" w:rsidRPr="00C2657C" w:rsidRDefault="00C2657C" w:rsidP="00C2657C">
            <w:pPr>
              <w:tabs>
                <w:tab w:val="clear" w:pos="567"/>
              </w:tabs>
              <w:spacing w:after="0" w:line="240" w:lineRule="auto"/>
              <w:jc w:val="right"/>
              <w:rPr>
                <w:rFonts w:ascii="Calibri" w:eastAsia="Times New Roman" w:hAnsi="Calibri" w:cs="Times New Roman"/>
                <w:sz w:val="20"/>
                <w:szCs w:val="20"/>
                <w:lang w:eastAsia="en-AU"/>
              </w:rPr>
            </w:pPr>
            <w:r w:rsidRPr="00C2657C">
              <w:rPr>
                <w:rFonts w:ascii="Calibri" w:eastAsia="Times New Roman" w:hAnsi="Calibri" w:cs="Times New Roman"/>
                <w:sz w:val="20"/>
                <w:szCs w:val="20"/>
                <w:lang w:eastAsia="en-AU"/>
              </w:rPr>
              <w:t xml:space="preserve"> 392 605</w:t>
            </w:r>
          </w:p>
        </w:tc>
        <w:tc>
          <w:tcPr>
            <w:tcW w:w="1220" w:type="dxa"/>
            <w:tcBorders>
              <w:top w:val="nil"/>
              <w:left w:val="nil"/>
              <w:bottom w:val="nil"/>
              <w:right w:val="nil"/>
            </w:tcBorders>
            <w:shd w:val="clear" w:color="auto" w:fill="auto"/>
            <w:noWrap/>
            <w:vAlign w:val="bottom"/>
            <w:hideMark/>
          </w:tcPr>
          <w:p w14:paraId="7C89F9B9" w14:textId="77777777" w:rsidR="00C2657C" w:rsidRPr="00C2657C" w:rsidRDefault="00C2657C" w:rsidP="00C2657C">
            <w:pPr>
              <w:tabs>
                <w:tab w:val="clear" w:pos="567"/>
              </w:tabs>
              <w:spacing w:after="0" w:line="240" w:lineRule="auto"/>
              <w:jc w:val="right"/>
              <w:rPr>
                <w:rFonts w:ascii="Calibri" w:eastAsia="Times New Roman" w:hAnsi="Calibri" w:cs="Times New Roman"/>
                <w:sz w:val="20"/>
                <w:szCs w:val="20"/>
                <w:lang w:eastAsia="en-AU"/>
              </w:rPr>
            </w:pPr>
            <w:r w:rsidRPr="00C2657C">
              <w:rPr>
                <w:rFonts w:ascii="Calibri" w:eastAsia="Times New Roman" w:hAnsi="Calibri" w:cs="Times New Roman"/>
                <w:sz w:val="20"/>
                <w:szCs w:val="20"/>
                <w:lang w:eastAsia="en-AU"/>
              </w:rPr>
              <w:t xml:space="preserve"> 399 578</w:t>
            </w:r>
          </w:p>
        </w:tc>
        <w:tc>
          <w:tcPr>
            <w:tcW w:w="1220" w:type="dxa"/>
            <w:tcBorders>
              <w:top w:val="nil"/>
              <w:left w:val="nil"/>
              <w:bottom w:val="nil"/>
              <w:right w:val="nil"/>
            </w:tcBorders>
            <w:shd w:val="clear" w:color="auto" w:fill="auto"/>
            <w:noWrap/>
            <w:vAlign w:val="bottom"/>
            <w:hideMark/>
          </w:tcPr>
          <w:p w14:paraId="543E3214" w14:textId="77777777" w:rsidR="00C2657C" w:rsidRPr="00C2657C" w:rsidRDefault="00C2657C" w:rsidP="00C2657C">
            <w:pPr>
              <w:tabs>
                <w:tab w:val="clear" w:pos="567"/>
              </w:tabs>
              <w:spacing w:after="0" w:line="240" w:lineRule="auto"/>
              <w:jc w:val="right"/>
              <w:rPr>
                <w:rFonts w:ascii="Calibri" w:eastAsia="Times New Roman" w:hAnsi="Calibri" w:cs="Times New Roman"/>
                <w:sz w:val="20"/>
                <w:szCs w:val="20"/>
                <w:lang w:eastAsia="en-AU"/>
              </w:rPr>
            </w:pPr>
            <w:r w:rsidRPr="00C2657C">
              <w:rPr>
                <w:rFonts w:ascii="Calibri" w:eastAsia="Times New Roman" w:hAnsi="Calibri" w:cs="Times New Roman"/>
                <w:sz w:val="20"/>
                <w:szCs w:val="20"/>
                <w:lang w:eastAsia="en-AU"/>
              </w:rPr>
              <w:t xml:space="preserve"> 406 403</w:t>
            </w:r>
          </w:p>
        </w:tc>
      </w:tr>
      <w:tr w:rsidR="00C2657C" w:rsidRPr="00C2657C" w14:paraId="56DC7C40" w14:textId="77777777" w:rsidTr="00C2657C">
        <w:trPr>
          <w:trHeight w:val="315"/>
        </w:trPr>
        <w:tc>
          <w:tcPr>
            <w:tcW w:w="4080" w:type="dxa"/>
            <w:tcBorders>
              <w:top w:val="nil"/>
              <w:left w:val="nil"/>
              <w:bottom w:val="nil"/>
              <w:right w:val="nil"/>
            </w:tcBorders>
            <w:shd w:val="clear" w:color="auto" w:fill="auto"/>
            <w:noWrap/>
            <w:vAlign w:val="bottom"/>
            <w:hideMark/>
          </w:tcPr>
          <w:p w14:paraId="2BBBC6F6" w14:textId="77777777" w:rsidR="00C2657C" w:rsidRPr="00C2657C" w:rsidRDefault="00C2657C" w:rsidP="00C2657C">
            <w:pPr>
              <w:tabs>
                <w:tab w:val="clear" w:pos="567"/>
              </w:tabs>
              <w:spacing w:after="0" w:line="240" w:lineRule="auto"/>
              <w:rPr>
                <w:rFonts w:ascii="Calibri" w:eastAsia="Times New Roman" w:hAnsi="Calibri" w:cs="Times New Roman"/>
                <w:sz w:val="20"/>
                <w:szCs w:val="20"/>
                <w:lang w:eastAsia="en-AU"/>
              </w:rPr>
            </w:pPr>
            <w:r w:rsidRPr="00C2657C">
              <w:rPr>
                <w:rFonts w:ascii="Calibri" w:eastAsia="Times New Roman" w:hAnsi="Calibri" w:cs="Times New Roman"/>
                <w:sz w:val="20"/>
                <w:szCs w:val="20"/>
                <w:lang w:eastAsia="en-AU"/>
              </w:rPr>
              <w:t>E.   Assessed staff  [E = C * D]</w:t>
            </w:r>
          </w:p>
        </w:tc>
        <w:tc>
          <w:tcPr>
            <w:tcW w:w="1220" w:type="dxa"/>
            <w:tcBorders>
              <w:top w:val="nil"/>
              <w:left w:val="nil"/>
              <w:bottom w:val="nil"/>
              <w:right w:val="nil"/>
            </w:tcBorders>
            <w:shd w:val="clear" w:color="auto" w:fill="auto"/>
            <w:noWrap/>
            <w:vAlign w:val="bottom"/>
            <w:hideMark/>
          </w:tcPr>
          <w:p w14:paraId="5DCC8596" w14:textId="77777777" w:rsidR="00C2657C" w:rsidRPr="00C2657C" w:rsidRDefault="00C2657C" w:rsidP="00C2657C">
            <w:pPr>
              <w:tabs>
                <w:tab w:val="clear" w:pos="567"/>
              </w:tabs>
              <w:spacing w:after="0" w:line="240" w:lineRule="auto"/>
              <w:jc w:val="right"/>
              <w:rPr>
                <w:rFonts w:ascii="Calibri" w:eastAsia="Times New Roman" w:hAnsi="Calibri" w:cs="Times New Roman"/>
                <w:sz w:val="20"/>
                <w:szCs w:val="20"/>
                <w:lang w:eastAsia="en-AU"/>
              </w:rPr>
            </w:pPr>
            <w:r w:rsidRPr="00C2657C">
              <w:rPr>
                <w:rFonts w:ascii="Calibri" w:eastAsia="Times New Roman" w:hAnsi="Calibri" w:cs="Times New Roman"/>
                <w:sz w:val="20"/>
                <w:szCs w:val="20"/>
                <w:lang w:eastAsia="en-AU"/>
              </w:rPr>
              <w:t xml:space="preserve"> 1 152</w:t>
            </w:r>
          </w:p>
        </w:tc>
        <w:tc>
          <w:tcPr>
            <w:tcW w:w="1220" w:type="dxa"/>
            <w:tcBorders>
              <w:top w:val="nil"/>
              <w:left w:val="nil"/>
              <w:bottom w:val="nil"/>
              <w:right w:val="nil"/>
            </w:tcBorders>
            <w:shd w:val="clear" w:color="auto" w:fill="auto"/>
            <w:noWrap/>
            <w:vAlign w:val="bottom"/>
            <w:hideMark/>
          </w:tcPr>
          <w:p w14:paraId="0A2DAA81" w14:textId="77777777" w:rsidR="00C2657C" w:rsidRPr="00C2657C" w:rsidRDefault="00C2657C" w:rsidP="00C2657C">
            <w:pPr>
              <w:tabs>
                <w:tab w:val="clear" w:pos="567"/>
              </w:tabs>
              <w:spacing w:after="0" w:line="240" w:lineRule="auto"/>
              <w:jc w:val="right"/>
              <w:rPr>
                <w:rFonts w:ascii="Calibri" w:eastAsia="Times New Roman" w:hAnsi="Calibri" w:cs="Times New Roman"/>
                <w:sz w:val="20"/>
                <w:szCs w:val="20"/>
                <w:lang w:eastAsia="en-AU"/>
              </w:rPr>
            </w:pPr>
            <w:r w:rsidRPr="00C2657C">
              <w:rPr>
                <w:rFonts w:ascii="Calibri" w:eastAsia="Times New Roman" w:hAnsi="Calibri" w:cs="Times New Roman"/>
                <w:sz w:val="20"/>
                <w:szCs w:val="20"/>
                <w:lang w:eastAsia="en-AU"/>
              </w:rPr>
              <w:t xml:space="preserve"> 1 149</w:t>
            </w:r>
          </w:p>
        </w:tc>
        <w:tc>
          <w:tcPr>
            <w:tcW w:w="1220" w:type="dxa"/>
            <w:tcBorders>
              <w:top w:val="nil"/>
              <w:left w:val="nil"/>
              <w:bottom w:val="nil"/>
              <w:right w:val="nil"/>
            </w:tcBorders>
            <w:shd w:val="clear" w:color="auto" w:fill="auto"/>
            <w:noWrap/>
            <w:vAlign w:val="bottom"/>
            <w:hideMark/>
          </w:tcPr>
          <w:p w14:paraId="14F2D6A1" w14:textId="77777777" w:rsidR="00C2657C" w:rsidRPr="00C2657C" w:rsidRDefault="00C2657C" w:rsidP="00C2657C">
            <w:pPr>
              <w:tabs>
                <w:tab w:val="clear" w:pos="567"/>
              </w:tabs>
              <w:spacing w:after="0" w:line="240" w:lineRule="auto"/>
              <w:jc w:val="right"/>
              <w:rPr>
                <w:rFonts w:ascii="Calibri" w:eastAsia="Times New Roman" w:hAnsi="Calibri" w:cs="Times New Roman"/>
                <w:sz w:val="20"/>
                <w:szCs w:val="20"/>
                <w:lang w:eastAsia="en-AU"/>
              </w:rPr>
            </w:pPr>
            <w:r w:rsidRPr="00C2657C">
              <w:rPr>
                <w:rFonts w:ascii="Calibri" w:eastAsia="Times New Roman" w:hAnsi="Calibri" w:cs="Times New Roman"/>
                <w:sz w:val="20"/>
                <w:szCs w:val="20"/>
                <w:lang w:eastAsia="en-AU"/>
              </w:rPr>
              <w:t xml:space="preserve"> 1 176</w:t>
            </w:r>
          </w:p>
        </w:tc>
        <w:tc>
          <w:tcPr>
            <w:tcW w:w="1220" w:type="dxa"/>
            <w:tcBorders>
              <w:top w:val="nil"/>
              <w:left w:val="nil"/>
              <w:bottom w:val="nil"/>
              <w:right w:val="nil"/>
            </w:tcBorders>
            <w:shd w:val="clear" w:color="auto" w:fill="auto"/>
            <w:noWrap/>
            <w:vAlign w:val="bottom"/>
            <w:hideMark/>
          </w:tcPr>
          <w:p w14:paraId="4320A811" w14:textId="77777777" w:rsidR="00C2657C" w:rsidRPr="00C2657C" w:rsidRDefault="00C2657C" w:rsidP="00C2657C">
            <w:pPr>
              <w:tabs>
                <w:tab w:val="clear" w:pos="567"/>
              </w:tabs>
              <w:spacing w:after="0" w:line="240" w:lineRule="auto"/>
              <w:jc w:val="right"/>
              <w:rPr>
                <w:rFonts w:ascii="Calibri" w:eastAsia="Times New Roman" w:hAnsi="Calibri" w:cs="Times New Roman"/>
                <w:sz w:val="20"/>
                <w:szCs w:val="20"/>
                <w:lang w:eastAsia="en-AU"/>
              </w:rPr>
            </w:pPr>
            <w:r w:rsidRPr="00C2657C">
              <w:rPr>
                <w:rFonts w:ascii="Calibri" w:eastAsia="Times New Roman" w:hAnsi="Calibri" w:cs="Times New Roman"/>
                <w:sz w:val="20"/>
                <w:szCs w:val="20"/>
                <w:lang w:eastAsia="en-AU"/>
              </w:rPr>
              <w:t xml:space="preserve"> 1 178</w:t>
            </w:r>
          </w:p>
        </w:tc>
      </w:tr>
      <w:tr w:rsidR="00C2657C" w:rsidRPr="00C2657C" w14:paraId="7237A3FB" w14:textId="77777777" w:rsidTr="00C2657C">
        <w:trPr>
          <w:trHeight w:val="315"/>
        </w:trPr>
        <w:tc>
          <w:tcPr>
            <w:tcW w:w="4080" w:type="dxa"/>
            <w:tcBorders>
              <w:top w:val="nil"/>
              <w:left w:val="nil"/>
              <w:bottom w:val="nil"/>
              <w:right w:val="nil"/>
            </w:tcBorders>
            <w:shd w:val="clear" w:color="auto" w:fill="auto"/>
            <w:noWrap/>
            <w:vAlign w:val="bottom"/>
            <w:hideMark/>
          </w:tcPr>
          <w:p w14:paraId="6397888D" w14:textId="77777777" w:rsidR="00C2657C" w:rsidRPr="00C2657C" w:rsidRDefault="00C2657C" w:rsidP="00C2657C">
            <w:pPr>
              <w:tabs>
                <w:tab w:val="clear" w:pos="567"/>
              </w:tabs>
              <w:spacing w:after="0" w:line="240" w:lineRule="auto"/>
              <w:rPr>
                <w:rFonts w:ascii="Calibri" w:eastAsia="Times New Roman" w:hAnsi="Calibri" w:cs="Times New Roman"/>
                <w:sz w:val="20"/>
                <w:szCs w:val="20"/>
                <w:lang w:eastAsia="en-AU"/>
              </w:rPr>
            </w:pPr>
            <w:r w:rsidRPr="00C2657C">
              <w:rPr>
                <w:rFonts w:ascii="Calibri" w:eastAsia="Times New Roman" w:hAnsi="Calibri" w:cs="Times New Roman"/>
                <w:sz w:val="20"/>
                <w:szCs w:val="20"/>
                <w:lang w:eastAsia="en-AU"/>
              </w:rPr>
              <w:t>F.   ACT socio-demographic composition factor</w:t>
            </w:r>
          </w:p>
        </w:tc>
        <w:tc>
          <w:tcPr>
            <w:tcW w:w="1220" w:type="dxa"/>
            <w:tcBorders>
              <w:top w:val="nil"/>
              <w:left w:val="nil"/>
              <w:bottom w:val="nil"/>
              <w:right w:val="nil"/>
            </w:tcBorders>
            <w:shd w:val="clear" w:color="auto" w:fill="auto"/>
            <w:noWrap/>
            <w:vAlign w:val="center"/>
            <w:hideMark/>
          </w:tcPr>
          <w:p w14:paraId="475E793E" w14:textId="77777777" w:rsidR="00C2657C" w:rsidRPr="00C2657C" w:rsidRDefault="00C2657C" w:rsidP="00C2657C">
            <w:pPr>
              <w:tabs>
                <w:tab w:val="clear" w:pos="567"/>
              </w:tabs>
              <w:spacing w:after="0" w:line="240" w:lineRule="auto"/>
              <w:jc w:val="right"/>
              <w:rPr>
                <w:rFonts w:ascii="Calibri" w:eastAsia="Times New Roman" w:hAnsi="Calibri" w:cs="Times New Roman"/>
                <w:sz w:val="20"/>
                <w:szCs w:val="20"/>
                <w:lang w:eastAsia="en-AU"/>
              </w:rPr>
            </w:pPr>
            <w:r w:rsidRPr="00C2657C">
              <w:rPr>
                <w:rFonts w:ascii="Calibri" w:eastAsia="Times New Roman" w:hAnsi="Calibri" w:cs="Times New Roman"/>
                <w:sz w:val="20"/>
                <w:szCs w:val="20"/>
                <w:lang w:eastAsia="en-AU"/>
              </w:rPr>
              <w:t>0.916</w:t>
            </w:r>
          </w:p>
        </w:tc>
        <w:tc>
          <w:tcPr>
            <w:tcW w:w="1220" w:type="dxa"/>
            <w:tcBorders>
              <w:top w:val="nil"/>
              <w:left w:val="nil"/>
              <w:bottom w:val="nil"/>
              <w:right w:val="nil"/>
            </w:tcBorders>
            <w:shd w:val="clear" w:color="auto" w:fill="auto"/>
            <w:noWrap/>
            <w:vAlign w:val="center"/>
            <w:hideMark/>
          </w:tcPr>
          <w:p w14:paraId="0E5E0835" w14:textId="77777777" w:rsidR="00C2657C" w:rsidRPr="00C2657C" w:rsidRDefault="00C2657C" w:rsidP="00C2657C">
            <w:pPr>
              <w:tabs>
                <w:tab w:val="clear" w:pos="567"/>
              </w:tabs>
              <w:spacing w:after="0" w:line="240" w:lineRule="auto"/>
              <w:jc w:val="right"/>
              <w:rPr>
                <w:rFonts w:ascii="Calibri" w:eastAsia="Times New Roman" w:hAnsi="Calibri" w:cs="Times New Roman"/>
                <w:sz w:val="20"/>
                <w:szCs w:val="20"/>
                <w:lang w:eastAsia="en-AU"/>
              </w:rPr>
            </w:pPr>
            <w:r w:rsidRPr="00C2657C">
              <w:rPr>
                <w:rFonts w:ascii="Calibri" w:eastAsia="Times New Roman" w:hAnsi="Calibri" w:cs="Times New Roman"/>
                <w:sz w:val="20"/>
                <w:szCs w:val="20"/>
                <w:lang w:eastAsia="en-AU"/>
              </w:rPr>
              <w:t>0.914</w:t>
            </w:r>
          </w:p>
        </w:tc>
        <w:tc>
          <w:tcPr>
            <w:tcW w:w="1220" w:type="dxa"/>
            <w:tcBorders>
              <w:top w:val="nil"/>
              <w:left w:val="nil"/>
              <w:bottom w:val="nil"/>
              <w:right w:val="nil"/>
            </w:tcBorders>
            <w:shd w:val="clear" w:color="auto" w:fill="auto"/>
            <w:noWrap/>
            <w:vAlign w:val="center"/>
            <w:hideMark/>
          </w:tcPr>
          <w:p w14:paraId="486D9413" w14:textId="77777777" w:rsidR="00C2657C" w:rsidRPr="00C2657C" w:rsidRDefault="00C2657C" w:rsidP="00C2657C">
            <w:pPr>
              <w:tabs>
                <w:tab w:val="clear" w:pos="567"/>
              </w:tabs>
              <w:spacing w:after="0" w:line="240" w:lineRule="auto"/>
              <w:jc w:val="right"/>
              <w:rPr>
                <w:rFonts w:ascii="Calibri" w:eastAsia="Times New Roman" w:hAnsi="Calibri" w:cs="Times New Roman"/>
                <w:sz w:val="20"/>
                <w:szCs w:val="20"/>
                <w:lang w:eastAsia="en-AU"/>
              </w:rPr>
            </w:pPr>
            <w:r w:rsidRPr="00C2657C">
              <w:rPr>
                <w:rFonts w:ascii="Calibri" w:eastAsia="Times New Roman" w:hAnsi="Calibri" w:cs="Times New Roman"/>
                <w:sz w:val="20"/>
                <w:szCs w:val="20"/>
                <w:lang w:eastAsia="en-AU"/>
              </w:rPr>
              <w:t>0.913</w:t>
            </w:r>
          </w:p>
        </w:tc>
        <w:tc>
          <w:tcPr>
            <w:tcW w:w="1220" w:type="dxa"/>
            <w:tcBorders>
              <w:top w:val="nil"/>
              <w:left w:val="nil"/>
              <w:bottom w:val="nil"/>
              <w:right w:val="nil"/>
            </w:tcBorders>
            <w:shd w:val="clear" w:color="auto" w:fill="auto"/>
            <w:noWrap/>
            <w:vAlign w:val="center"/>
            <w:hideMark/>
          </w:tcPr>
          <w:p w14:paraId="2ED666EF" w14:textId="77777777" w:rsidR="00C2657C" w:rsidRPr="00C2657C" w:rsidRDefault="00C2657C" w:rsidP="00C2657C">
            <w:pPr>
              <w:tabs>
                <w:tab w:val="clear" w:pos="567"/>
              </w:tabs>
              <w:spacing w:after="0" w:line="240" w:lineRule="auto"/>
              <w:jc w:val="right"/>
              <w:rPr>
                <w:rFonts w:ascii="Calibri" w:eastAsia="Times New Roman" w:hAnsi="Calibri" w:cs="Times New Roman"/>
                <w:sz w:val="20"/>
                <w:szCs w:val="20"/>
                <w:lang w:eastAsia="en-AU"/>
              </w:rPr>
            </w:pPr>
            <w:r w:rsidRPr="00C2657C">
              <w:rPr>
                <w:rFonts w:ascii="Calibri" w:eastAsia="Times New Roman" w:hAnsi="Calibri" w:cs="Times New Roman"/>
                <w:sz w:val="20"/>
                <w:szCs w:val="20"/>
                <w:lang w:eastAsia="en-AU"/>
              </w:rPr>
              <w:t>0.911</w:t>
            </w:r>
          </w:p>
        </w:tc>
      </w:tr>
      <w:tr w:rsidR="00C2657C" w:rsidRPr="00C2657C" w14:paraId="4F410637" w14:textId="77777777" w:rsidTr="00C2657C">
        <w:trPr>
          <w:trHeight w:val="315"/>
        </w:trPr>
        <w:tc>
          <w:tcPr>
            <w:tcW w:w="4080" w:type="dxa"/>
            <w:tcBorders>
              <w:top w:val="nil"/>
              <w:left w:val="nil"/>
              <w:bottom w:val="nil"/>
              <w:right w:val="nil"/>
            </w:tcBorders>
            <w:shd w:val="clear" w:color="auto" w:fill="auto"/>
            <w:noWrap/>
            <w:vAlign w:val="bottom"/>
            <w:hideMark/>
          </w:tcPr>
          <w:p w14:paraId="5B9AC71F" w14:textId="77777777" w:rsidR="00C2657C" w:rsidRPr="00C2657C" w:rsidRDefault="00C2657C" w:rsidP="00C2657C">
            <w:pPr>
              <w:tabs>
                <w:tab w:val="clear" w:pos="567"/>
              </w:tabs>
              <w:spacing w:after="0" w:line="240" w:lineRule="auto"/>
              <w:rPr>
                <w:rFonts w:ascii="Calibri" w:eastAsia="Times New Roman" w:hAnsi="Calibri" w:cs="Times New Roman"/>
                <w:sz w:val="20"/>
                <w:szCs w:val="20"/>
                <w:lang w:eastAsia="en-AU"/>
              </w:rPr>
            </w:pPr>
            <w:r w:rsidRPr="00C2657C">
              <w:rPr>
                <w:rFonts w:ascii="Calibri" w:eastAsia="Times New Roman" w:hAnsi="Calibri" w:cs="Times New Roman"/>
                <w:sz w:val="20"/>
                <w:szCs w:val="20"/>
                <w:lang w:eastAsia="en-AU"/>
              </w:rPr>
              <w:t>G.   Adjusted assessed staff [G = E * F]</w:t>
            </w:r>
          </w:p>
        </w:tc>
        <w:tc>
          <w:tcPr>
            <w:tcW w:w="1220" w:type="dxa"/>
            <w:tcBorders>
              <w:top w:val="nil"/>
              <w:left w:val="nil"/>
              <w:bottom w:val="nil"/>
              <w:right w:val="nil"/>
            </w:tcBorders>
            <w:shd w:val="clear" w:color="auto" w:fill="auto"/>
            <w:noWrap/>
            <w:vAlign w:val="bottom"/>
            <w:hideMark/>
          </w:tcPr>
          <w:p w14:paraId="5BD5E287" w14:textId="77777777" w:rsidR="00C2657C" w:rsidRPr="00C2657C" w:rsidRDefault="00C2657C" w:rsidP="00C2657C">
            <w:pPr>
              <w:tabs>
                <w:tab w:val="clear" w:pos="567"/>
              </w:tabs>
              <w:spacing w:after="0" w:line="240" w:lineRule="auto"/>
              <w:jc w:val="right"/>
              <w:rPr>
                <w:rFonts w:ascii="Calibri" w:eastAsia="Times New Roman" w:hAnsi="Calibri" w:cs="Times New Roman"/>
                <w:sz w:val="20"/>
                <w:szCs w:val="20"/>
                <w:lang w:eastAsia="en-AU"/>
              </w:rPr>
            </w:pPr>
            <w:r w:rsidRPr="00C2657C">
              <w:rPr>
                <w:rFonts w:ascii="Calibri" w:eastAsia="Times New Roman" w:hAnsi="Calibri" w:cs="Times New Roman"/>
                <w:sz w:val="20"/>
                <w:szCs w:val="20"/>
                <w:lang w:eastAsia="en-AU"/>
              </w:rPr>
              <w:t xml:space="preserve"> 1 055</w:t>
            </w:r>
          </w:p>
        </w:tc>
        <w:tc>
          <w:tcPr>
            <w:tcW w:w="1220" w:type="dxa"/>
            <w:tcBorders>
              <w:top w:val="nil"/>
              <w:left w:val="nil"/>
              <w:bottom w:val="nil"/>
              <w:right w:val="nil"/>
            </w:tcBorders>
            <w:shd w:val="clear" w:color="auto" w:fill="auto"/>
            <w:noWrap/>
            <w:vAlign w:val="bottom"/>
            <w:hideMark/>
          </w:tcPr>
          <w:p w14:paraId="37602EF5" w14:textId="77777777" w:rsidR="00C2657C" w:rsidRPr="00C2657C" w:rsidRDefault="00C2657C" w:rsidP="00C2657C">
            <w:pPr>
              <w:tabs>
                <w:tab w:val="clear" w:pos="567"/>
              </w:tabs>
              <w:spacing w:after="0" w:line="240" w:lineRule="auto"/>
              <w:jc w:val="right"/>
              <w:rPr>
                <w:rFonts w:ascii="Calibri" w:eastAsia="Times New Roman" w:hAnsi="Calibri" w:cs="Times New Roman"/>
                <w:sz w:val="20"/>
                <w:szCs w:val="20"/>
                <w:lang w:eastAsia="en-AU"/>
              </w:rPr>
            </w:pPr>
            <w:r w:rsidRPr="00C2657C">
              <w:rPr>
                <w:rFonts w:ascii="Calibri" w:eastAsia="Times New Roman" w:hAnsi="Calibri" w:cs="Times New Roman"/>
                <w:sz w:val="20"/>
                <w:szCs w:val="20"/>
                <w:lang w:eastAsia="en-AU"/>
              </w:rPr>
              <w:t xml:space="preserve"> 1 050</w:t>
            </w:r>
          </w:p>
        </w:tc>
        <w:tc>
          <w:tcPr>
            <w:tcW w:w="1220" w:type="dxa"/>
            <w:tcBorders>
              <w:top w:val="nil"/>
              <w:left w:val="nil"/>
              <w:bottom w:val="nil"/>
              <w:right w:val="nil"/>
            </w:tcBorders>
            <w:shd w:val="clear" w:color="auto" w:fill="auto"/>
            <w:noWrap/>
            <w:vAlign w:val="bottom"/>
            <w:hideMark/>
          </w:tcPr>
          <w:p w14:paraId="7FF645A4" w14:textId="77777777" w:rsidR="00C2657C" w:rsidRPr="00C2657C" w:rsidRDefault="00C2657C" w:rsidP="00C2657C">
            <w:pPr>
              <w:tabs>
                <w:tab w:val="clear" w:pos="567"/>
              </w:tabs>
              <w:spacing w:after="0" w:line="240" w:lineRule="auto"/>
              <w:jc w:val="right"/>
              <w:rPr>
                <w:rFonts w:ascii="Calibri" w:eastAsia="Times New Roman" w:hAnsi="Calibri" w:cs="Times New Roman"/>
                <w:sz w:val="20"/>
                <w:szCs w:val="20"/>
                <w:lang w:eastAsia="en-AU"/>
              </w:rPr>
            </w:pPr>
            <w:r w:rsidRPr="00C2657C">
              <w:rPr>
                <w:rFonts w:ascii="Calibri" w:eastAsia="Times New Roman" w:hAnsi="Calibri" w:cs="Times New Roman"/>
                <w:sz w:val="20"/>
                <w:szCs w:val="20"/>
                <w:lang w:eastAsia="en-AU"/>
              </w:rPr>
              <w:t xml:space="preserve"> 1 073</w:t>
            </w:r>
          </w:p>
        </w:tc>
        <w:tc>
          <w:tcPr>
            <w:tcW w:w="1220" w:type="dxa"/>
            <w:tcBorders>
              <w:top w:val="nil"/>
              <w:left w:val="nil"/>
              <w:bottom w:val="nil"/>
              <w:right w:val="nil"/>
            </w:tcBorders>
            <w:shd w:val="clear" w:color="auto" w:fill="auto"/>
            <w:noWrap/>
            <w:vAlign w:val="bottom"/>
            <w:hideMark/>
          </w:tcPr>
          <w:p w14:paraId="25DAA036" w14:textId="77777777" w:rsidR="00C2657C" w:rsidRPr="00C2657C" w:rsidRDefault="00C2657C" w:rsidP="00C2657C">
            <w:pPr>
              <w:tabs>
                <w:tab w:val="clear" w:pos="567"/>
              </w:tabs>
              <w:spacing w:after="0" w:line="240" w:lineRule="auto"/>
              <w:jc w:val="right"/>
              <w:rPr>
                <w:rFonts w:ascii="Calibri" w:eastAsia="Times New Roman" w:hAnsi="Calibri" w:cs="Times New Roman"/>
                <w:sz w:val="20"/>
                <w:szCs w:val="20"/>
                <w:lang w:eastAsia="en-AU"/>
              </w:rPr>
            </w:pPr>
            <w:r w:rsidRPr="00C2657C">
              <w:rPr>
                <w:rFonts w:ascii="Calibri" w:eastAsia="Times New Roman" w:hAnsi="Calibri" w:cs="Times New Roman"/>
                <w:sz w:val="20"/>
                <w:szCs w:val="20"/>
                <w:lang w:eastAsia="en-AU"/>
              </w:rPr>
              <w:t xml:space="preserve"> 1 073</w:t>
            </w:r>
          </w:p>
        </w:tc>
      </w:tr>
      <w:tr w:rsidR="00C2657C" w:rsidRPr="00C2657C" w14:paraId="76FD3580" w14:textId="77777777" w:rsidTr="00C2657C">
        <w:trPr>
          <w:trHeight w:val="315"/>
        </w:trPr>
        <w:tc>
          <w:tcPr>
            <w:tcW w:w="4080" w:type="dxa"/>
            <w:tcBorders>
              <w:top w:val="nil"/>
              <w:left w:val="nil"/>
              <w:bottom w:val="nil"/>
              <w:right w:val="nil"/>
            </w:tcBorders>
            <w:shd w:val="clear" w:color="auto" w:fill="auto"/>
            <w:noWrap/>
            <w:vAlign w:val="bottom"/>
            <w:hideMark/>
          </w:tcPr>
          <w:p w14:paraId="0C985A94" w14:textId="77777777" w:rsidR="00C2657C" w:rsidRPr="00C2657C" w:rsidRDefault="00C2657C" w:rsidP="00C2657C">
            <w:pPr>
              <w:tabs>
                <w:tab w:val="clear" w:pos="567"/>
              </w:tabs>
              <w:spacing w:after="0" w:line="240" w:lineRule="auto"/>
              <w:rPr>
                <w:rFonts w:ascii="Calibri" w:eastAsia="Times New Roman" w:hAnsi="Calibri" w:cs="Times New Roman"/>
                <w:sz w:val="20"/>
                <w:szCs w:val="20"/>
                <w:lang w:eastAsia="en-AU"/>
              </w:rPr>
            </w:pPr>
            <w:r w:rsidRPr="00C2657C">
              <w:rPr>
                <w:rFonts w:ascii="Calibri" w:eastAsia="Times New Roman" w:hAnsi="Calibri" w:cs="Times New Roman"/>
                <w:sz w:val="20"/>
                <w:szCs w:val="20"/>
                <w:lang w:eastAsia="en-AU"/>
              </w:rPr>
              <w:t>H.   Average State salary (a) $</w:t>
            </w:r>
          </w:p>
        </w:tc>
        <w:tc>
          <w:tcPr>
            <w:tcW w:w="1220" w:type="dxa"/>
            <w:tcBorders>
              <w:top w:val="nil"/>
              <w:left w:val="nil"/>
              <w:bottom w:val="nil"/>
              <w:right w:val="nil"/>
            </w:tcBorders>
            <w:shd w:val="clear" w:color="auto" w:fill="auto"/>
            <w:noWrap/>
            <w:vAlign w:val="bottom"/>
            <w:hideMark/>
          </w:tcPr>
          <w:p w14:paraId="4BD79723" w14:textId="77777777" w:rsidR="00C2657C" w:rsidRPr="00C2657C" w:rsidRDefault="00C2657C" w:rsidP="00C2657C">
            <w:pPr>
              <w:tabs>
                <w:tab w:val="clear" w:pos="567"/>
              </w:tabs>
              <w:spacing w:after="0" w:line="240" w:lineRule="auto"/>
              <w:jc w:val="right"/>
              <w:rPr>
                <w:rFonts w:ascii="Calibri" w:eastAsia="Times New Roman" w:hAnsi="Calibri" w:cs="Times New Roman"/>
                <w:sz w:val="20"/>
                <w:szCs w:val="20"/>
                <w:lang w:eastAsia="en-AU"/>
              </w:rPr>
            </w:pPr>
            <w:r w:rsidRPr="00C2657C">
              <w:rPr>
                <w:rFonts w:ascii="Calibri" w:eastAsia="Times New Roman" w:hAnsi="Calibri" w:cs="Times New Roman"/>
                <w:sz w:val="20"/>
                <w:szCs w:val="20"/>
                <w:lang w:eastAsia="en-AU"/>
              </w:rPr>
              <w:t>113,363</w:t>
            </w:r>
          </w:p>
        </w:tc>
        <w:tc>
          <w:tcPr>
            <w:tcW w:w="1220" w:type="dxa"/>
            <w:tcBorders>
              <w:top w:val="nil"/>
              <w:left w:val="nil"/>
              <w:bottom w:val="nil"/>
              <w:right w:val="nil"/>
            </w:tcBorders>
            <w:shd w:val="clear" w:color="auto" w:fill="auto"/>
            <w:noWrap/>
            <w:vAlign w:val="bottom"/>
            <w:hideMark/>
          </w:tcPr>
          <w:p w14:paraId="28CDFC79" w14:textId="77777777" w:rsidR="00C2657C" w:rsidRPr="00C2657C" w:rsidRDefault="00C2657C" w:rsidP="00C2657C">
            <w:pPr>
              <w:tabs>
                <w:tab w:val="clear" w:pos="567"/>
              </w:tabs>
              <w:spacing w:after="0" w:line="240" w:lineRule="auto"/>
              <w:jc w:val="right"/>
              <w:rPr>
                <w:rFonts w:ascii="Calibri" w:eastAsia="Times New Roman" w:hAnsi="Calibri" w:cs="Times New Roman"/>
                <w:sz w:val="20"/>
                <w:szCs w:val="20"/>
                <w:lang w:eastAsia="en-AU"/>
              </w:rPr>
            </w:pPr>
            <w:r w:rsidRPr="00C2657C">
              <w:rPr>
                <w:rFonts w:ascii="Calibri" w:eastAsia="Times New Roman" w:hAnsi="Calibri" w:cs="Times New Roman"/>
                <w:sz w:val="20"/>
                <w:szCs w:val="20"/>
                <w:lang w:eastAsia="en-AU"/>
              </w:rPr>
              <w:t>119,397</w:t>
            </w:r>
          </w:p>
        </w:tc>
        <w:tc>
          <w:tcPr>
            <w:tcW w:w="1220" w:type="dxa"/>
            <w:tcBorders>
              <w:top w:val="nil"/>
              <w:left w:val="nil"/>
              <w:bottom w:val="nil"/>
              <w:right w:val="nil"/>
            </w:tcBorders>
            <w:shd w:val="clear" w:color="auto" w:fill="auto"/>
            <w:noWrap/>
            <w:vAlign w:val="bottom"/>
            <w:hideMark/>
          </w:tcPr>
          <w:p w14:paraId="015B70DF" w14:textId="77777777" w:rsidR="00C2657C" w:rsidRPr="00C2657C" w:rsidRDefault="00C2657C" w:rsidP="00C2657C">
            <w:pPr>
              <w:tabs>
                <w:tab w:val="clear" w:pos="567"/>
              </w:tabs>
              <w:spacing w:after="0" w:line="240" w:lineRule="auto"/>
              <w:jc w:val="right"/>
              <w:rPr>
                <w:rFonts w:ascii="Calibri" w:eastAsia="Times New Roman" w:hAnsi="Calibri" w:cs="Times New Roman"/>
                <w:sz w:val="20"/>
                <w:szCs w:val="20"/>
                <w:lang w:eastAsia="en-AU"/>
              </w:rPr>
            </w:pPr>
            <w:r w:rsidRPr="00C2657C">
              <w:rPr>
                <w:rFonts w:ascii="Calibri" w:eastAsia="Times New Roman" w:hAnsi="Calibri" w:cs="Times New Roman"/>
                <w:sz w:val="20"/>
                <w:szCs w:val="20"/>
                <w:lang w:eastAsia="en-AU"/>
              </w:rPr>
              <w:t>121,095</w:t>
            </w:r>
          </w:p>
        </w:tc>
        <w:tc>
          <w:tcPr>
            <w:tcW w:w="1220" w:type="dxa"/>
            <w:tcBorders>
              <w:top w:val="nil"/>
              <w:left w:val="nil"/>
              <w:bottom w:val="nil"/>
              <w:right w:val="nil"/>
            </w:tcBorders>
            <w:shd w:val="clear" w:color="auto" w:fill="auto"/>
            <w:noWrap/>
            <w:vAlign w:val="bottom"/>
            <w:hideMark/>
          </w:tcPr>
          <w:p w14:paraId="2C05D65B" w14:textId="77777777" w:rsidR="00C2657C" w:rsidRPr="00C2657C" w:rsidRDefault="00C2657C" w:rsidP="00C2657C">
            <w:pPr>
              <w:tabs>
                <w:tab w:val="clear" w:pos="567"/>
              </w:tabs>
              <w:spacing w:after="0" w:line="240" w:lineRule="auto"/>
              <w:jc w:val="right"/>
              <w:rPr>
                <w:rFonts w:ascii="Calibri" w:eastAsia="Times New Roman" w:hAnsi="Calibri" w:cs="Times New Roman"/>
                <w:sz w:val="20"/>
                <w:szCs w:val="20"/>
                <w:lang w:eastAsia="en-AU"/>
              </w:rPr>
            </w:pPr>
            <w:r w:rsidRPr="00C2657C">
              <w:rPr>
                <w:rFonts w:ascii="Calibri" w:eastAsia="Times New Roman" w:hAnsi="Calibri" w:cs="Times New Roman"/>
                <w:sz w:val="20"/>
                <w:szCs w:val="20"/>
                <w:lang w:eastAsia="en-AU"/>
              </w:rPr>
              <w:t>121,095</w:t>
            </w:r>
          </w:p>
        </w:tc>
      </w:tr>
      <w:tr w:rsidR="00C2657C" w:rsidRPr="00C2657C" w14:paraId="3DFE779D" w14:textId="77777777" w:rsidTr="00C2657C">
        <w:trPr>
          <w:trHeight w:val="315"/>
        </w:trPr>
        <w:tc>
          <w:tcPr>
            <w:tcW w:w="4080" w:type="dxa"/>
            <w:tcBorders>
              <w:top w:val="nil"/>
              <w:left w:val="nil"/>
              <w:bottom w:val="nil"/>
              <w:right w:val="nil"/>
            </w:tcBorders>
            <w:shd w:val="clear" w:color="auto" w:fill="auto"/>
            <w:noWrap/>
            <w:vAlign w:val="bottom"/>
            <w:hideMark/>
          </w:tcPr>
          <w:p w14:paraId="6AFA700A" w14:textId="77777777" w:rsidR="00C2657C" w:rsidRPr="00C2657C" w:rsidRDefault="00C2657C" w:rsidP="00C2657C">
            <w:pPr>
              <w:tabs>
                <w:tab w:val="clear" w:pos="567"/>
              </w:tabs>
              <w:spacing w:after="0" w:line="240" w:lineRule="auto"/>
              <w:rPr>
                <w:rFonts w:ascii="Calibri" w:eastAsia="Times New Roman" w:hAnsi="Calibri" w:cs="Times New Roman"/>
                <w:sz w:val="20"/>
                <w:szCs w:val="20"/>
                <w:lang w:eastAsia="en-AU"/>
              </w:rPr>
            </w:pPr>
            <w:r w:rsidRPr="00C2657C">
              <w:rPr>
                <w:rFonts w:ascii="Calibri" w:eastAsia="Times New Roman" w:hAnsi="Calibri" w:cs="Times New Roman"/>
                <w:sz w:val="20"/>
                <w:szCs w:val="20"/>
                <w:lang w:eastAsia="en-AU"/>
              </w:rPr>
              <w:t>I.   ACT labour factor</w:t>
            </w:r>
          </w:p>
        </w:tc>
        <w:tc>
          <w:tcPr>
            <w:tcW w:w="1220" w:type="dxa"/>
            <w:tcBorders>
              <w:top w:val="nil"/>
              <w:left w:val="nil"/>
              <w:bottom w:val="nil"/>
              <w:right w:val="nil"/>
            </w:tcBorders>
            <w:shd w:val="clear" w:color="auto" w:fill="auto"/>
            <w:noWrap/>
            <w:vAlign w:val="bottom"/>
            <w:hideMark/>
          </w:tcPr>
          <w:p w14:paraId="24A90D85" w14:textId="77777777" w:rsidR="00C2657C" w:rsidRPr="00C2657C" w:rsidRDefault="00C2657C" w:rsidP="00C2657C">
            <w:pPr>
              <w:tabs>
                <w:tab w:val="clear" w:pos="567"/>
              </w:tabs>
              <w:spacing w:after="0" w:line="240" w:lineRule="auto"/>
              <w:jc w:val="right"/>
              <w:rPr>
                <w:rFonts w:ascii="Calibri" w:eastAsia="Times New Roman" w:hAnsi="Calibri" w:cs="Times New Roman"/>
                <w:sz w:val="20"/>
                <w:szCs w:val="20"/>
                <w:lang w:eastAsia="en-AU"/>
              </w:rPr>
            </w:pPr>
            <w:r w:rsidRPr="00C2657C">
              <w:rPr>
                <w:rFonts w:ascii="Calibri" w:eastAsia="Times New Roman" w:hAnsi="Calibri" w:cs="Times New Roman"/>
                <w:sz w:val="20"/>
                <w:szCs w:val="20"/>
                <w:lang w:eastAsia="en-AU"/>
              </w:rPr>
              <w:t>1.026</w:t>
            </w:r>
          </w:p>
        </w:tc>
        <w:tc>
          <w:tcPr>
            <w:tcW w:w="1220" w:type="dxa"/>
            <w:tcBorders>
              <w:top w:val="nil"/>
              <w:left w:val="nil"/>
              <w:bottom w:val="nil"/>
              <w:right w:val="nil"/>
            </w:tcBorders>
            <w:shd w:val="clear" w:color="auto" w:fill="auto"/>
            <w:noWrap/>
            <w:vAlign w:val="bottom"/>
            <w:hideMark/>
          </w:tcPr>
          <w:p w14:paraId="047871B9" w14:textId="77777777" w:rsidR="00C2657C" w:rsidRPr="00C2657C" w:rsidRDefault="00C2657C" w:rsidP="00C2657C">
            <w:pPr>
              <w:tabs>
                <w:tab w:val="clear" w:pos="567"/>
              </w:tabs>
              <w:spacing w:after="0" w:line="240" w:lineRule="auto"/>
              <w:jc w:val="right"/>
              <w:rPr>
                <w:rFonts w:ascii="Calibri" w:eastAsia="Times New Roman" w:hAnsi="Calibri" w:cs="Times New Roman"/>
                <w:sz w:val="20"/>
                <w:szCs w:val="20"/>
                <w:lang w:eastAsia="en-AU"/>
              </w:rPr>
            </w:pPr>
            <w:r w:rsidRPr="00C2657C">
              <w:rPr>
                <w:rFonts w:ascii="Calibri" w:eastAsia="Times New Roman" w:hAnsi="Calibri" w:cs="Times New Roman"/>
                <w:sz w:val="20"/>
                <w:szCs w:val="20"/>
                <w:lang w:eastAsia="en-AU"/>
              </w:rPr>
              <w:t>1.020</w:t>
            </w:r>
          </w:p>
        </w:tc>
        <w:tc>
          <w:tcPr>
            <w:tcW w:w="1220" w:type="dxa"/>
            <w:tcBorders>
              <w:top w:val="nil"/>
              <w:left w:val="nil"/>
              <w:bottom w:val="nil"/>
              <w:right w:val="nil"/>
            </w:tcBorders>
            <w:shd w:val="clear" w:color="auto" w:fill="auto"/>
            <w:noWrap/>
            <w:vAlign w:val="bottom"/>
            <w:hideMark/>
          </w:tcPr>
          <w:p w14:paraId="1BAF87D9" w14:textId="77777777" w:rsidR="00C2657C" w:rsidRPr="00C2657C" w:rsidRDefault="00C2657C" w:rsidP="00C2657C">
            <w:pPr>
              <w:tabs>
                <w:tab w:val="clear" w:pos="567"/>
              </w:tabs>
              <w:spacing w:after="0" w:line="240" w:lineRule="auto"/>
              <w:jc w:val="right"/>
              <w:rPr>
                <w:rFonts w:ascii="Calibri" w:eastAsia="Times New Roman" w:hAnsi="Calibri" w:cs="Times New Roman"/>
                <w:sz w:val="20"/>
                <w:szCs w:val="20"/>
                <w:lang w:eastAsia="en-AU"/>
              </w:rPr>
            </w:pPr>
            <w:r w:rsidRPr="00C2657C">
              <w:rPr>
                <w:rFonts w:ascii="Calibri" w:eastAsia="Times New Roman" w:hAnsi="Calibri" w:cs="Times New Roman"/>
                <w:sz w:val="20"/>
                <w:szCs w:val="20"/>
                <w:lang w:eastAsia="en-AU"/>
              </w:rPr>
              <w:t>1.035</w:t>
            </w:r>
          </w:p>
        </w:tc>
        <w:tc>
          <w:tcPr>
            <w:tcW w:w="1220" w:type="dxa"/>
            <w:tcBorders>
              <w:top w:val="nil"/>
              <w:left w:val="nil"/>
              <w:bottom w:val="nil"/>
              <w:right w:val="nil"/>
            </w:tcBorders>
            <w:shd w:val="clear" w:color="auto" w:fill="auto"/>
            <w:noWrap/>
            <w:vAlign w:val="bottom"/>
            <w:hideMark/>
          </w:tcPr>
          <w:p w14:paraId="37FB47CE" w14:textId="77777777" w:rsidR="00C2657C" w:rsidRPr="00C2657C" w:rsidRDefault="00C2657C" w:rsidP="00C2657C">
            <w:pPr>
              <w:tabs>
                <w:tab w:val="clear" w:pos="567"/>
              </w:tabs>
              <w:spacing w:after="0" w:line="240" w:lineRule="auto"/>
              <w:jc w:val="right"/>
              <w:rPr>
                <w:rFonts w:ascii="Calibri" w:eastAsia="Times New Roman" w:hAnsi="Calibri" w:cs="Times New Roman"/>
                <w:sz w:val="20"/>
                <w:szCs w:val="20"/>
                <w:lang w:eastAsia="en-AU"/>
              </w:rPr>
            </w:pPr>
            <w:r w:rsidRPr="00C2657C">
              <w:rPr>
                <w:rFonts w:ascii="Calibri" w:eastAsia="Times New Roman" w:hAnsi="Calibri" w:cs="Times New Roman"/>
                <w:sz w:val="20"/>
                <w:szCs w:val="20"/>
                <w:lang w:eastAsia="en-AU"/>
              </w:rPr>
              <w:t>1.045</w:t>
            </w:r>
          </w:p>
        </w:tc>
      </w:tr>
      <w:tr w:rsidR="00C2657C" w:rsidRPr="00C2657C" w14:paraId="617E9B59" w14:textId="77777777" w:rsidTr="00C2657C">
        <w:trPr>
          <w:trHeight w:val="315"/>
        </w:trPr>
        <w:tc>
          <w:tcPr>
            <w:tcW w:w="4080" w:type="dxa"/>
            <w:tcBorders>
              <w:top w:val="nil"/>
              <w:left w:val="nil"/>
              <w:bottom w:val="nil"/>
              <w:right w:val="nil"/>
            </w:tcBorders>
            <w:shd w:val="clear" w:color="auto" w:fill="auto"/>
            <w:noWrap/>
            <w:vAlign w:val="bottom"/>
            <w:hideMark/>
          </w:tcPr>
          <w:p w14:paraId="663F8A57" w14:textId="77777777" w:rsidR="00C2657C" w:rsidRPr="00C2657C" w:rsidRDefault="00C2657C" w:rsidP="00C2657C">
            <w:pPr>
              <w:tabs>
                <w:tab w:val="clear" w:pos="567"/>
              </w:tabs>
              <w:spacing w:after="0" w:line="240" w:lineRule="auto"/>
              <w:rPr>
                <w:rFonts w:ascii="Calibri" w:eastAsia="Times New Roman" w:hAnsi="Calibri" w:cs="Times New Roman"/>
                <w:sz w:val="20"/>
                <w:szCs w:val="20"/>
                <w:lang w:eastAsia="en-AU"/>
              </w:rPr>
            </w:pPr>
            <w:r w:rsidRPr="00C2657C">
              <w:rPr>
                <w:rFonts w:ascii="Calibri" w:eastAsia="Times New Roman" w:hAnsi="Calibri" w:cs="Times New Roman"/>
                <w:sz w:val="20"/>
                <w:szCs w:val="20"/>
                <w:lang w:eastAsia="en-AU"/>
              </w:rPr>
              <w:t>J.   Adjusted State salary [J = H * I] $</w:t>
            </w:r>
          </w:p>
        </w:tc>
        <w:tc>
          <w:tcPr>
            <w:tcW w:w="1220" w:type="dxa"/>
            <w:tcBorders>
              <w:top w:val="nil"/>
              <w:left w:val="nil"/>
              <w:bottom w:val="nil"/>
              <w:right w:val="nil"/>
            </w:tcBorders>
            <w:shd w:val="clear" w:color="auto" w:fill="auto"/>
            <w:noWrap/>
            <w:vAlign w:val="bottom"/>
            <w:hideMark/>
          </w:tcPr>
          <w:p w14:paraId="2EAB104F" w14:textId="77777777" w:rsidR="00C2657C" w:rsidRPr="00C2657C" w:rsidRDefault="00C2657C" w:rsidP="00C2657C">
            <w:pPr>
              <w:tabs>
                <w:tab w:val="clear" w:pos="567"/>
              </w:tabs>
              <w:spacing w:after="0" w:line="240" w:lineRule="auto"/>
              <w:jc w:val="right"/>
              <w:rPr>
                <w:rFonts w:ascii="Calibri" w:eastAsia="Times New Roman" w:hAnsi="Calibri" w:cs="Times New Roman"/>
                <w:sz w:val="20"/>
                <w:szCs w:val="20"/>
                <w:lang w:eastAsia="en-AU"/>
              </w:rPr>
            </w:pPr>
            <w:r w:rsidRPr="00C2657C">
              <w:rPr>
                <w:rFonts w:ascii="Calibri" w:eastAsia="Times New Roman" w:hAnsi="Calibri" w:cs="Times New Roman"/>
                <w:sz w:val="20"/>
                <w:szCs w:val="20"/>
                <w:lang w:eastAsia="en-AU"/>
              </w:rPr>
              <w:t xml:space="preserve"> 116 302</w:t>
            </w:r>
          </w:p>
        </w:tc>
        <w:tc>
          <w:tcPr>
            <w:tcW w:w="1220" w:type="dxa"/>
            <w:tcBorders>
              <w:top w:val="nil"/>
              <w:left w:val="nil"/>
              <w:bottom w:val="nil"/>
              <w:right w:val="nil"/>
            </w:tcBorders>
            <w:shd w:val="clear" w:color="auto" w:fill="auto"/>
            <w:noWrap/>
            <w:vAlign w:val="bottom"/>
            <w:hideMark/>
          </w:tcPr>
          <w:p w14:paraId="739D8555" w14:textId="77777777" w:rsidR="00C2657C" w:rsidRPr="00C2657C" w:rsidRDefault="00C2657C" w:rsidP="00C2657C">
            <w:pPr>
              <w:tabs>
                <w:tab w:val="clear" w:pos="567"/>
              </w:tabs>
              <w:spacing w:after="0" w:line="240" w:lineRule="auto"/>
              <w:jc w:val="right"/>
              <w:rPr>
                <w:rFonts w:ascii="Calibri" w:eastAsia="Times New Roman" w:hAnsi="Calibri" w:cs="Times New Roman"/>
                <w:sz w:val="20"/>
                <w:szCs w:val="20"/>
                <w:lang w:eastAsia="en-AU"/>
              </w:rPr>
            </w:pPr>
            <w:r w:rsidRPr="00C2657C">
              <w:rPr>
                <w:rFonts w:ascii="Calibri" w:eastAsia="Times New Roman" w:hAnsi="Calibri" w:cs="Times New Roman"/>
                <w:sz w:val="20"/>
                <w:szCs w:val="20"/>
                <w:lang w:eastAsia="en-AU"/>
              </w:rPr>
              <w:t xml:space="preserve"> 121 822</w:t>
            </w:r>
          </w:p>
        </w:tc>
        <w:tc>
          <w:tcPr>
            <w:tcW w:w="1220" w:type="dxa"/>
            <w:tcBorders>
              <w:top w:val="nil"/>
              <w:left w:val="nil"/>
              <w:bottom w:val="nil"/>
              <w:right w:val="nil"/>
            </w:tcBorders>
            <w:shd w:val="clear" w:color="auto" w:fill="auto"/>
            <w:noWrap/>
            <w:vAlign w:val="bottom"/>
            <w:hideMark/>
          </w:tcPr>
          <w:p w14:paraId="7D10F786" w14:textId="77777777" w:rsidR="00C2657C" w:rsidRPr="00C2657C" w:rsidRDefault="00C2657C" w:rsidP="00C2657C">
            <w:pPr>
              <w:tabs>
                <w:tab w:val="clear" w:pos="567"/>
              </w:tabs>
              <w:spacing w:after="0" w:line="240" w:lineRule="auto"/>
              <w:jc w:val="right"/>
              <w:rPr>
                <w:rFonts w:ascii="Calibri" w:eastAsia="Times New Roman" w:hAnsi="Calibri" w:cs="Times New Roman"/>
                <w:sz w:val="20"/>
                <w:szCs w:val="20"/>
                <w:lang w:eastAsia="en-AU"/>
              </w:rPr>
            </w:pPr>
            <w:r w:rsidRPr="00C2657C">
              <w:rPr>
                <w:rFonts w:ascii="Calibri" w:eastAsia="Times New Roman" w:hAnsi="Calibri" w:cs="Times New Roman"/>
                <w:sz w:val="20"/>
                <w:szCs w:val="20"/>
                <w:lang w:eastAsia="en-AU"/>
              </w:rPr>
              <w:t xml:space="preserve"> 125 321</w:t>
            </w:r>
          </w:p>
        </w:tc>
        <w:tc>
          <w:tcPr>
            <w:tcW w:w="1220" w:type="dxa"/>
            <w:tcBorders>
              <w:top w:val="nil"/>
              <w:left w:val="nil"/>
              <w:bottom w:val="nil"/>
              <w:right w:val="nil"/>
            </w:tcBorders>
            <w:shd w:val="clear" w:color="auto" w:fill="auto"/>
            <w:noWrap/>
            <w:vAlign w:val="bottom"/>
            <w:hideMark/>
          </w:tcPr>
          <w:p w14:paraId="0EF4D43B" w14:textId="77777777" w:rsidR="00C2657C" w:rsidRPr="00C2657C" w:rsidRDefault="00C2657C" w:rsidP="00C2657C">
            <w:pPr>
              <w:tabs>
                <w:tab w:val="clear" w:pos="567"/>
              </w:tabs>
              <w:spacing w:after="0" w:line="240" w:lineRule="auto"/>
              <w:jc w:val="right"/>
              <w:rPr>
                <w:rFonts w:ascii="Calibri" w:eastAsia="Times New Roman" w:hAnsi="Calibri" w:cs="Times New Roman"/>
                <w:sz w:val="20"/>
                <w:szCs w:val="20"/>
                <w:lang w:eastAsia="en-AU"/>
              </w:rPr>
            </w:pPr>
            <w:r w:rsidRPr="00C2657C">
              <w:rPr>
                <w:rFonts w:ascii="Calibri" w:eastAsia="Times New Roman" w:hAnsi="Calibri" w:cs="Times New Roman"/>
                <w:sz w:val="20"/>
                <w:szCs w:val="20"/>
                <w:lang w:eastAsia="en-AU"/>
              </w:rPr>
              <w:t xml:space="preserve"> 126 545</w:t>
            </w:r>
          </w:p>
        </w:tc>
      </w:tr>
      <w:tr w:rsidR="00C2657C" w:rsidRPr="00C2657C" w14:paraId="41F2EDF0" w14:textId="77777777" w:rsidTr="00C2657C">
        <w:trPr>
          <w:trHeight w:val="315"/>
        </w:trPr>
        <w:tc>
          <w:tcPr>
            <w:tcW w:w="4080" w:type="dxa"/>
            <w:tcBorders>
              <w:top w:val="nil"/>
              <w:left w:val="nil"/>
              <w:bottom w:val="nil"/>
              <w:right w:val="nil"/>
            </w:tcBorders>
            <w:shd w:val="clear" w:color="auto" w:fill="auto"/>
            <w:noWrap/>
            <w:vAlign w:val="bottom"/>
            <w:hideMark/>
          </w:tcPr>
          <w:p w14:paraId="511A7CD9" w14:textId="77777777" w:rsidR="00C2657C" w:rsidRPr="00C2657C" w:rsidRDefault="00C2657C" w:rsidP="00C2657C">
            <w:pPr>
              <w:tabs>
                <w:tab w:val="clear" w:pos="567"/>
              </w:tabs>
              <w:spacing w:after="0" w:line="240" w:lineRule="auto"/>
              <w:rPr>
                <w:rFonts w:ascii="Calibri" w:eastAsia="Times New Roman" w:hAnsi="Calibri" w:cs="Times New Roman"/>
                <w:sz w:val="20"/>
                <w:szCs w:val="20"/>
                <w:lang w:eastAsia="en-AU"/>
              </w:rPr>
            </w:pPr>
            <w:r w:rsidRPr="00C2657C">
              <w:rPr>
                <w:rFonts w:ascii="Calibri" w:eastAsia="Times New Roman" w:hAnsi="Calibri" w:cs="Times New Roman"/>
                <w:sz w:val="20"/>
                <w:szCs w:val="20"/>
                <w:lang w:eastAsia="en-AU"/>
              </w:rPr>
              <w:t>K.   Average ACT salary (a) $</w:t>
            </w:r>
          </w:p>
        </w:tc>
        <w:tc>
          <w:tcPr>
            <w:tcW w:w="1220" w:type="dxa"/>
            <w:tcBorders>
              <w:top w:val="nil"/>
              <w:left w:val="nil"/>
              <w:bottom w:val="nil"/>
              <w:right w:val="nil"/>
            </w:tcBorders>
            <w:shd w:val="clear" w:color="auto" w:fill="auto"/>
            <w:noWrap/>
            <w:vAlign w:val="bottom"/>
            <w:hideMark/>
          </w:tcPr>
          <w:p w14:paraId="003470AB" w14:textId="77777777" w:rsidR="00C2657C" w:rsidRPr="00C2657C" w:rsidRDefault="00C2657C" w:rsidP="00C2657C">
            <w:pPr>
              <w:tabs>
                <w:tab w:val="clear" w:pos="567"/>
              </w:tabs>
              <w:spacing w:after="0" w:line="240" w:lineRule="auto"/>
              <w:jc w:val="right"/>
              <w:rPr>
                <w:rFonts w:ascii="Calibri" w:eastAsia="Times New Roman" w:hAnsi="Calibri" w:cs="Times New Roman"/>
                <w:sz w:val="20"/>
                <w:szCs w:val="20"/>
                <w:lang w:eastAsia="en-AU"/>
              </w:rPr>
            </w:pPr>
            <w:r w:rsidRPr="00C2657C">
              <w:rPr>
                <w:rFonts w:ascii="Calibri" w:eastAsia="Times New Roman" w:hAnsi="Calibri" w:cs="Times New Roman"/>
                <w:sz w:val="20"/>
                <w:szCs w:val="20"/>
                <w:lang w:eastAsia="en-AU"/>
              </w:rPr>
              <w:t>124,882</w:t>
            </w:r>
          </w:p>
        </w:tc>
        <w:tc>
          <w:tcPr>
            <w:tcW w:w="1220" w:type="dxa"/>
            <w:tcBorders>
              <w:top w:val="nil"/>
              <w:left w:val="nil"/>
              <w:bottom w:val="nil"/>
              <w:right w:val="nil"/>
            </w:tcBorders>
            <w:shd w:val="clear" w:color="auto" w:fill="auto"/>
            <w:noWrap/>
            <w:vAlign w:val="bottom"/>
            <w:hideMark/>
          </w:tcPr>
          <w:p w14:paraId="76D30FCF" w14:textId="77777777" w:rsidR="00C2657C" w:rsidRPr="00C2657C" w:rsidRDefault="00C2657C" w:rsidP="00C2657C">
            <w:pPr>
              <w:tabs>
                <w:tab w:val="clear" w:pos="567"/>
              </w:tabs>
              <w:spacing w:after="0" w:line="240" w:lineRule="auto"/>
              <w:jc w:val="right"/>
              <w:rPr>
                <w:rFonts w:ascii="Calibri" w:eastAsia="Times New Roman" w:hAnsi="Calibri" w:cs="Times New Roman"/>
                <w:sz w:val="20"/>
                <w:szCs w:val="20"/>
                <w:lang w:eastAsia="en-AU"/>
              </w:rPr>
            </w:pPr>
            <w:r w:rsidRPr="00C2657C">
              <w:rPr>
                <w:rFonts w:ascii="Calibri" w:eastAsia="Times New Roman" w:hAnsi="Calibri" w:cs="Times New Roman"/>
                <w:sz w:val="20"/>
                <w:szCs w:val="20"/>
                <w:lang w:eastAsia="en-AU"/>
              </w:rPr>
              <w:t>134,427</w:t>
            </w:r>
          </w:p>
        </w:tc>
        <w:tc>
          <w:tcPr>
            <w:tcW w:w="1220" w:type="dxa"/>
            <w:tcBorders>
              <w:top w:val="nil"/>
              <w:left w:val="nil"/>
              <w:bottom w:val="nil"/>
              <w:right w:val="nil"/>
            </w:tcBorders>
            <w:shd w:val="clear" w:color="auto" w:fill="auto"/>
            <w:noWrap/>
            <w:vAlign w:val="bottom"/>
            <w:hideMark/>
          </w:tcPr>
          <w:p w14:paraId="1A12612E" w14:textId="77777777" w:rsidR="00C2657C" w:rsidRPr="00C2657C" w:rsidRDefault="00C2657C" w:rsidP="00C2657C">
            <w:pPr>
              <w:tabs>
                <w:tab w:val="clear" w:pos="567"/>
              </w:tabs>
              <w:spacing w:after="0" w:line="240" w:lineRule="auto"/>
              <w:jc w:val="right"/>
              <w:rPr>
                <w:rFonts w:ascii="Calibri" w:eastAsia="Times New Roman" w:hAnsi="Calibri" w:cs="Times New Roman"/>
                <w:sz w:val="20"/>
                <w:szCs w:val="20"/>
                <w:lang w:eastAsia="en-AU"/>
              </w:rPr>
            </w:pPr>
            <w:r w:rsidRPr="00C2657C">
              <w:rPr>
                <w:rFonts w:ascii="Calibri" w:eastAsia="Times New Roman" w:hAnsi="Calibri" w:cs="Times New Roman"/>
                <w:sz w:val="20"/>
                <w:szCs w:val="20"/>
                <w:lang w:eastAsia="en-AU"/>
              </w:rPr>
              <w:t>130,146</w:t>
            </w:r>
          </w:p>
        </w:tc>
        <w:tc>
          <w:tcPr>
            <w:tcW w:w="1220" w:type="dxa"/>
            <w:tcBorders>
              <w:top w:val="nil"/>
              <w:left w:val="nil"/>
              <w:bottom w:val="nil"/>
              <w:right w:val="nil"/>
            </w:tcBorders>
            <w:shd w:val="clear" w:color="auto" w:fill="auto"/>
            <w:noWrap/>
            <w:vAlign w:val="bottom"/>
            <w:hideMark/>
          </w:tcPr>
          <w:p w14:paraId="4E26CF7E" w14:textId="77777777" w:rsidR="00C2657C" w:rsidRPr="00C2657C" w:rsidRDefault="00C2657C" w:rsidP="00C2657C">
            <w:pPr>
              <w:tabs>
                <w:tab w:val="clear" w:pos="567"/>
              </w:tabs>
              <w:spacing w:after="0" w:line="240" w:lineRule="auto"/>
              <w:jc w:val="right"/>
              <w:rPr>
                <w:rFonts w:ascii="Calibri" w:eastAsia="Times New Roman" w:hAnsi="Calibri" w:cs="Times New Roman"/>
                <w:sz w:val="20"/>
                <w:szCs w:val="20"/>
                <w:lang w:eastAsia="en-AU"/>
              </w:rPr>
            </w:pPr>
            <w:r w:rsidRPr="00C2657C">
              <w:rPr>
                <w:rFonts w:ascii="Calibri" w:eastAsia="Times New Roman" w:hAnsi="Calibri" w:cs="Times New Roman"/>
                <w:sz w:val="20"/>
                <w:szCs w:val="20"/>
                <w:lang w:eastAsia="en-AU"/>
              </w:rPr>
              <w:t>130,146</w:t>
            </w:r>
          </w:p>
        </w:tc>
      </w:tr>
      <w:tr w:rsidR="00C2657C" w:rsidRPr="00C2657C" w14:paraId="3E422430" w14:textId="77777777" w:rsidTr="00C2657C">
        <w:trPr>
          <w:trHeight w:val="315"/>
        </w:trPr>
        <w:tc>
          <w:tcPr>
            <w:tcW w:w="4080" w:type="dxa"/>
            <w:tcBorders>
              <w:top w:val="nil"/>
              <w:left w:val="nil"/>
              <w:bottom w:val="nil"/>
              <w:right w:val="nil"/>
            </w:tcBorders>
            <w:shd w:val="clear" w:color="auto" w:fill="auto"/>
            <w:noWrap/>
            <w:vAlign w:val="bottom"/>
            <w:hideMark/>
          </w:tcPr>
          <w:p w14:paraId="1F9EEFE0" w14:textId="77777777" w:rsidR="00C2657C" w:rsidRPr="00C2657C" w:rsidRDefault="00C2657C" w:rsidP="00C2657C">
            <w:pPr>
              <w:tabs>
                <w:tab w:val="clear" w:pos="567"/>
              </w:tabs>
              <w:spacing w:after="0" w:line="240" w:lineRule="auto"/>
              <w:rPr>
                <w:rFonts w:ascii="Calibri" w:eastAsia="Times New Roman" w:hAnsi="Calibri" w:cs="Times New Roman"/>
                <w:sz w:val="20"/>
                <w:szCs w:val="20"/>
                <w:lang w:eastAsia="en-AU"/>
              </w:rPr>
            </w:pPr>
            <w:r w:rsidRPr="00C2657C">
              <w:rPr>
                <w:rFonts w:ascii="Calibri" w:eastAsia="Times New Roman" w:hAnsi="Calibri" w:cs="Times New Roman"/>
                <w:sz w:val="20"/>
                <w:szCs w:val="20"/>
                <w:lang w:eastAsia="en-AU"/>
              </w:rPr>
              <w:t>L.   Difference [L = K - J] $</w:t>
            </w:r>
          </w:p>
        </w:tc>
        <w:tc>
          <w:tcPr>
            <w:tcW w:w="1220" w:type="dxa"/>
            <w:tcBorders>
              <w:top w:val="nil"/>
              <w:left w:val="nil"/>
              <w:bottom w:val="nil"/>
              <w:right w:val="nil"/>
            </w:tcBorders>
            <w:shd w:val="clear" w:color="auto" w:fill="auto"/>
            <w:noWrap/>
            <w:vAlign w:val="bottom"/>
            <w:hideMark/>
          </w:tcPr>
          <w:p w14:paraId="2F651621" w14:textId="77777777" w:rsidR="00C2657C" w:rsidRPr="00C2657C" w:rsidRDefault="00C2657C" w:rsidP="00C2657C">
            <w:pPr>
              <w:tabs>
                <w:tab w:val="clear" w:pos="567"/>
              </w:tabs>
              <w:spacing w:after="0" w:line="240" w:lineRule="auto"/>
              <w:jc w:val="right"/>
              <w:rPr>
                <w:rFonts w:ascii="Calibri" w:eastAsia="Times New Roman" w:hAnsi="Calibri" w:cs="Times New Roman"/>
                <w:sz w:val="20"/>
                <w:szCs w:val="20"/>
                <w:lang w:eastAsia="en-AU"/>
              </w:rPr>
            </w:pPr>
            <w:r w:rsidRPr="00C2657C">
              <w:rPr>
                <w:rFonts w:ascii="Calibri" w:eastAsia="Times New Roman" w:hAnsi="Calibri" w:cs="Times New Roman"/>
                <w:sz w:val="20"/>
                <w:szCs w:val="20"/>
                <w:lang w:eastAsia="en-AU"/>
              </w:rPr>
              <w:t xml:space="preserve"> 8 580</w:t>
            </w:r>
          </w:p>
        </w:tc>
        <w:tc>
          <w:tcPr>
            <w:tcW w:w="1220" w:type="dxa"/>
            <w:tcBorders>
              <w:top w:val="nil"/>
              <w:left w:val="nil"/>
              <w:bottom w:val="nil"/>
              <w:right w:val="nil"/>
            </w:tcBorders>
            <w:shd w:val="clear" w:color="auto" w:fill="auto"/>
            <w:noWrap/>
            <w:vAlign w:val="bottom"/>
            <w:hideMark/>
          </w:tcPr>
          <w:p w14:paraId="540EBAD7" w14:textId="77777777" w:rsidR="00C2657C" w:rsidRPr="00C2657C" w:rsidRDefault="00C2657C" w:rsidP="00C2657C">
            <w:pPr>
              <w:tabs>
                <w:tab w:val="clear" w:pos="567"/>
              </w:tabs>
              <w:spacing w:after="0" w:line="240" w:lineRule="auto"/>
              <w:jc w:val="right"/>
              <w:rPr>
                <w:rFonts w:ascii="Calibri" w:eastAsia="Times New Roman" w:hAnsi="Calibri" w:cs="Times New Roman"/>
                <w:sz w:val="20"/>
                <w:szCs w:val="20"/>
                <w:lang w:eastAsia="en-AU"/>
              </w:rPr>
            </w:pPr>
            <w:r w:rsidRPr="00C2657C">
              <w:rPr>
                <w:rFonts w:ascii="Calibri" w:eastAsia="Times New Roman" w:hAnsi="Calibri" w:cs="Times New Roman"/>
                <w:sz w:val="20"/>
                <w:szCs w:val="20"/>
                <w:lang w:eastAsia="en-AU"/>
              </w:rPr>
              <w:t xml:space="preserve"> 12 605</w:t>
            </w:r>
          </w:p>
        </w:tc>
        <w:tc>
          <w:tcPr>
            <w:tcW w:w="1220" w:type="dxa"/>
            <w:tcBorders>
              <w:top w:val="nil"/>
              <w:left w:val="nil"/>
              <w:bottom w:val="nil"/>
              <w:right w:val="nil"/>
            </w:tcBorders>
            <w:shd w:val="clear" w:color="auto" w:fill="auto"/>
            <w:noWrap/>
            <w:vAlign w:val="bottom"/>
            <w:hideMark/>
          </w:tcPr>
          <w:p w14:paraId="5422B58D" w14:textId="77777777" w:rsidR="00C2657C" w:rsidRPr="00C2657C" w:rsidRDefault="00C2657C" w:rsidP="00C2657C">
            <w:pPr>
              <w:tabs>
                <w:tab w:val="clear" w:pos="567"/>
              </w:tabs>
              <w:spacing w:after="0" w:line="240" w:lineRule="auto"/>
              <w:jc w:val="right"/>
              <w:rPr>
                <w:rFonts w:ascii="Calibri" w:eastAsia="Times New Roman" w:hAnsi="Calibri" w:cs="Times New Roman"/>
                <w:sz w:val="20"/>
                <w:szCs w:val="20"/>
                <w:lang w:eastAsia="en-AU"/>
              </w:rPr>
            </w:pPr>
            <w:r w:rsidRPr="00C2657C">
              <w:rPr>
                <w:rFonts w:ascii="Calibri" w:eastAsia="Times New Roman" w:hAnsi="Calibri" w:cs="Times New Roman"/>
                <w:sz w:val="20"/>
                <w:szCs w:val="20"/>
                <w:lang w:eastAsia="en-AU"/>
              </w:rPr>
              <w:t xml:space="preserve"> 4 824</w:t>
            </w:r>
          </w:p>
        </w:tc>
        <w:tc>
          <w:tcPr>
            <w:tcW w:w="1220" w:type="dxa"/>
            <w:tcBorders>
              <w:top w:val="nil"/>
              <w:left w:val="nil"/>
              <w:bottom w:val="nil"/>
              <w:right w:val="nil"/>
            </w:tcBorders>
            <w:shd w:val="clear" w:color="auto" w:fill="auto"/>
            <w:noWrap/>
            <w:vAlign w:val="bottom"/>
            <w:hideMark/>
          </w:tcPr>
          <w:p w14:paraId="529BCE32" w14:textId="77777777" w:rsidR="00C2657C" w:rsidRPr="00C2657C" w:rsidRDefault="00C2657C" w:rsidP="00C2657C">
            <w:pPr>
              <w:tabs>
                <w:tab w:val="clear" w:pos="567"/>
              </w:tabs>
              <w:spacing w:after="0" w:line="240" w:lineRule="auto"/>
              <w:jc w:val="right"/>
              <w:rPr>
                <w:rFonts w:ascii="Calibri" w:eastAsia="Times New Roman" w:hAnsi="Calibri" w:cs="Times New Roman"/>
                <w:sz w:val="20"/>
                <w:szCs w:val="20"/>
                <w:lang w:eastAsia="en-AU"/>
              </w:rPr>
            </w:pPr>
            <w:r w:rsidRPr="00C2657C">
              <w:rPr>
                <w:rFonts w:ascii="Calibri" w:eastAsia="Times New Roman" w:hAnsi="Calibri" w:cs="Times New Roman"/>
                <w:sz w:val="20"/>
                <w:szCs w:val="20"/>
                <w:lang w:eastAsia="en-AU"/>
              </w:rPr>
              <w:t xml:space="preserve"> 3 601</w:t>
            </w:r>
          </w:p>
        </w:tc>
      </w:tr>
      <w:tr w:rsidR="00C2657C" w:rsidRPr="00C2657C" w14:paraId="2AD76C00" w14:textId="77777777" w:rsidTr="00C2657C">
        <w:trPr>
          <w:trHeight w:val="315"/>
        </w:trPr>
        <w:tc>
          <w:tcPr>
            <w:tcW w:w="4080" w:type="dxa"/>
            <w:tcBorders>
              <w:top w:val="nil"/>
              <w:left w:val="nil"/>
              <w:bottom w:val="nil"/>
              <w:right w:val="nil"/>
            </w:tcBorders>
            <w:shd w:val="clear" w:color="auto" w:fill="auto"/>
            <w:noWrap/>
            <w:vAlign w:val="bottom"/>
            <w:hideMark/>
          </w:tcPr>
          <w:p w14:paraId="0A731EFB" w14:textId="77777777" w:rsidR="00C2657C" w:rsidRPr="00C2657C" w:rsidRDefault="00C2657C" w:rsidP="00C2657C">
            <w:pPr>
              <w:tabs>
                <w:tab w:val="clear" w:pos="567"/>
              </w:tabs>
              <w:spacing w:after="0" w:line="240" w:lineRule="auto"/>
              <w:rPr>
                <w:rFonts w:ascii="Calibri" w:eastAsia="Times New Roman" w:hAnsi="Calibri" w:cs="Times New Roman"/>
                <w:sz w:val="20"/>
                <w:szCs w:val="20"/>
                <w:lang w:eastAsia="en-AU"/>
              </w:rPr>
            </w:pPr>
            <w:r w:rsidRPr="00C2657C">
              <w:rPr>
                <w:rFonts w:ascii="Calibri" w:eastAsia="Times New Roman" w:hAnsi="Calibri" w:cs="Times New Roman"/>
                <w:sz w:val="20"/>
                <w:szCs w:val="20"/>
                <w:lang w:eastAsia="en-AU"/>
              </w:rPr>
              <w:t>M. Wage price index adjustment</w:t>
            </w:r>
          </w:p>
        </w:tc>
        <w:tc>
          <w:tcPr>
            <w:tcW w:w="1220" w:type="dxa"/>
            <w:tcBorders>
              <w:top w:val="nil"/>
              <w:left w:val="nil"/>
              <w:bottom w:val="nil"/>
              <w:right w:val="nil"/>
            </w:tcBorders>
            <w:shd w:val="clear" w:color="auto" w:fill="auto"/>
            <w:noWrap/>
            <w:vAlign w:val="bottom"/>
            <w:hideMark/>
          </w:tcPr>
          <w:p w14:paraId="7D7838FB" w14:textId="77777777" w:rsidR="00C2657C" w:rsidRPr="00C2657C" w:rsidRDefault="00C2657C" w:rsidP="00C2657C">
            <w:pPr>
              <w:tabs>
                <w:tab w:val="clear" w:pos="567"/>
              </w:tabs>
              <w:spacing w:after="0" w:line="240" w:lineRule="auto"/>
              <w:rPr>
                <w:rFonts w:ascii="Calibri" w:eastAsia="Times New Roman" w:hAnsi="Calibri" w:cs="Times New Roman"/>
                <w:sz w:val="20"/>
                <w:szCs w:val="20"/>
                <w:lang w:eastAsia="en-AU"/>
              </w:rPr>
            </w:pPr>
          </w:p>
        </w:tc>
        <w:tc>
          <w:tcPr>
            <w:tcW w:w="1220" w:type="dxa"/>
            <w:tcBorders>
              <w:top w:val="nil"/>
              <w:left w:val="nil"/>
              <w:bottom w:val="nil"/>
              <w:right w:val="nil"/>
            </w:tcBorders>
            <w:shd w:val="clear" w:color="auto" w:fill="auto"/>
            <w:noWrap/>
            <w:vAlign w:val="bottom"/>
            <w:hideMark/>
          </w:tcPr>
          <w:p w14:paraId="082EDF10" w14:textId="77777777" w:rsidR="00C2657C" w:rsidRPr="00C2657C" w:rsidRDefault="00C2657C" w:rsidP="00C2657C">
            <w:pPr>
              <w:tabs>
                <w:tab w:val="clear" w:pos="567"/>
              </w:tabs>
              <w:spacing w:after="0" w:line="240" w:lineRule="auto"/>
              <w:rPr>
                <w:rFonts w:ascii="Calibri" w:eastAsia="Times New Roman" w:hAnsi="Calibri" w:cs="Times New Roman"/>
                <w:sz w:val="20"/>
                <w:szCs w:val="20"/>
                <w:lang w:eastAsia="en-AU"/>
              </w:rPr>
            </w:pPr>
          </w:p>
        </w:tc>
        <w:tc>
          <w:tcPr>
            <w:tcW w:w="1220" w:type="dxa"/>
            <w:tcBorders>
              <w:top w:val="nil"/>
              <w:left w:val="nil"/>
              <w:bottom w:val="nil"/>
              <w:right w:val="nil"/>
            </w:tcBorders>
            <w:shd w:val="clear" w:color="auto" w:fill="auto"/>
            <w:noWrap/>
            <w:vAlign w:val="bottom"/>
            <w:hideMark/>
          </w:tcPr>
          <w:p w14:paraId="09300F41" w14:textId="77777777" w:rsidR="00C2657C" w:rsidRPr="00C2657C" w:rsidRDefault="00C2657C" w:rsidP="00C2657C">
            <w:pPr>
              <w:tabs>
                <w:tab w:val="clear" w:pos="567"/>
              </w:tabs>
              <w:spacing w:after="0" w:line="240" w:lineRule="auto"/>
              <w:rPr>
                <w:rFonts w:ascii="Calibri" w:eastAsia="Times New Roman" w:hAnsi="Calibri" w:cs="Times New Roman"/>
                <w:sz w:val="20"/>
                <w:szCs w:val="20"/>
                <w:lang w:eastAsia="en-AU"/>
              </w:rPr>
            </w:pPr>
          </w:p>
        </w:tc>
        <w:tc>
          <w:tcPr>
            <w:tcW w:w="1220" w:type="dxa"/>
            <w:tcBorders>
              <w:top w:val="nil"/>
              <w:left w:val="nil"/>
              <w:bottom w:val="nil"/>
              <w:right w:val="nil"/>
            </w:tcBorders>
            <w:shd w:val="clear" w:color="auto" w:fill="auto"/>
            <w:noWrap/>
            <w:vAlign w:val="bottom"/>
            <w:hideMark/>
          </w:tcPr>
          <w:p w14:paraId="13C5EB0F" w14:textId="77777777" w:rsidR="00C2657C" w:rsidRPr="00C2657C" w:rsidRDefault="00C2657C" w:rsidP="00C2657C">
            <w:pPr>
              <w:tabs>
                <w:tab w:val="clear" w:pos="567"/>
              </w:tabs>
              <w:spacing w:after="0" w:line="240" w:lineRule="auto"/>
              <w:jc w:val="right"/>
              <w:rPr>
                <w:rFonts w:ascii="Calibri" w:eastAsia="Times New Roman" w:hAnsi="Calibri" w:cs="Times New Roman"/>
                <w:sz w:val="20"/>
                <w:szCs w:val="20"/>
                <w:lang w:eastAsia="en-AU"/>
              </w:rPr>
            </w:pPr>
            <w:r w:rsidRPr="00C2657C">
              <w:rPr>
                <w:rFonts w:ascii="Calibri" w:eastAsia="Times New Roman" w:hAnsi="Calibri" w:cs="Times New Roman"/>
                <w:sz w:val="20"/>
                <w:szCs w:val="20"/>
                <w:lang w:eastAsia="en-AU"/>
              </w:rPr>
              <w:t>1.024</w:t>
            </w:r>
          </w:p>
        </w:tc>
      </w:tr>
      <w:tr w:rsidR="00C2657C" w:rsidRPr="00C2657C" w14:paraId="09C0E526" w14:textId="77777777" w:rsidTr="00C2657C">
        <w:trPr>
          <w:trHeight w:val="315"/>
        </w:trPr>
        <w:tc>
          <w:tcPr>
            <w:tcW w:w="4080" w:type="dxa"/>
            <w:tcBorders>
              <w:top w:val="nil"/>
              <w:left w:val="nil"/>
              <w:bottom w:val="single" w:sz="4" w:space="0" w:color="auto"/>
              <w:right w:val="nil"/>
            </w:tcBorders>
            <w:shd w:val="clear" w:color="auto" w:fill="auto"/>
            <w:noWrap/>
            <w:vAlign w:val="bottom"/>
            <w:hideMark/>
          </w:tcPr>
          <w:p w14:paraId="255715C4" w14:textId="77777777" w:rsidR="00C2657C" w:rsidRPr="00C2657C" w:rsidRDefault="00C2657C" w:rsidP="00C2657C">
            <w:pPr>
              <w:tabs>
                <w:tab w:val="clear" w:pos="567"/>
              </w:tabs>
              <w:spacing w:after="0" w:line="240" w:lineRule="auto"/>
              <w:rPr>
                <w:rFonts w:ascii="Calibri" w:eastAsia="Times New Roman" w:hAnsi="Calibri" w:cs="Times New Roman"/>
                <w:sz w:val="20"/>
                <w:szCs w:val="20"/>
                <w:lang w:eastAsia="en-AU"/>
              </w:rPr>
            </w:pPr>
            <w:r w:rsidRPr="00C2657C">
              <w:rPr>
                <w:rFonts w:ascii="Calibri" w:eastAsia="Times New Roman" w:hAnsi="Calibri" w:cs="Times New Roman"/>
                <w:sz w:val="20"/>
                <w:szCs w:val="20"/>
                <w:lang w:eastAsia="en-AU"/>
              </w:rPr>
              <w:t>N.   Assessed allowance [N = G * L* M] $</w:t>
            </w:r>
          </w:p>
        </w:tc>
        <w:tc>
          <w:tcPr>
            <w:tcW w:w="1220" w:type="dxa"/>
            <w:tcBorders>
              <w:top w:val="nil"/>
              <w:left w:val="nil"/>
              <w:bottom w:val="single" w:sz="4" w:space="0" w:color="auto"/>
              <w:right w:val="nil"/>
            </w:tcBorders>
            <w:shd w:val="clear" w:color="auto" w:fill="auto"/>
            <w:noWrap/>
            <w:vAlign w:val="bottom"/>
            <w:hideMark/>
          </w:tcPr>
          <w:p w14:paraId="18EACAE9" w14:textId="77777777" w:rsidR="00C2657C" w:rsidRPr="00C2657C" w:rsidRDefault="00C2657C" w:rsidP="00C2657C">
            <w:pPr>
              <w:tabs>
                <w:tab w:val="clear" w:pos="567"/>
              </w:tabs>
              <w:spacing w:after="0" w:line="240" w:lineRule="auto"/>
              <w:jc w:val="right"/>
              <w:rPr>
                <w:rFonts w:ascii="Calibri" w:eastAsia="Times New Roman" w:hAnsi="Calibri" w:cs="Times New Roman"/>
                <w:sz w:val="20"/>
                <w:szCs w:val="20"/>
                <w:lang w:eastAsia="en-AU"/>
              </w:rPr>
            </w:pPr>
            <w:r w:rsidRPr="00C2657C">
              <w:rPr>
                <w:rFonts w:ascii="Calibri" w:eastAsia="Times New Roman" w:hAnsi="Calibri" w:cs="Times New Roman"/>
                <w:sz w:val="20"/>
                <w:szCs w:val="20"/>
                <w:lang w:eastAsia="en-AU"/>
              </w:rPr>
              <w:t>9 050 005</w:t>
            </w:r>
          </w:p>
        </w:tc>
        <w:tc>
          <w:tcPr>
            <w:tcW w:w="1220" w:type="dxa"/>
            <w:tcBorders>
              <w:top w:val="nil"/>
              <w:left w:val="nil"/>
              <w:bottom w:val="single" w:sz="4" w:space="0" w:color="auto"/>
              <w:right w:val="nil"/>
            </w:tcBorders>
            <w:shd w:val="clear" w:color="auto" w:fill="auto"/>
            <w:noWrap/>
            <w:vAlign w:val="bottom"/>
            <w:hideMark/>
          </w:tcPr>
          <w:p w14:paraId="027703CC" w14:textId="77777777" w:rsidR="00C2657C" w:rsidRPr="00C2657C" w:rsidRDefault="00C2657C" w:rsidP="00C2657C">
            <w:pPr>
              <w:tabs>
                <w:tab w:val="clear" w:pos="567"/>
              </w:tabs>
              <w:spacing w:after="0" w:line="240" w:lineRule="auto"/>
              <w:jc w:val="right"/>
              <w:rPr>
                <w:rFonts w:ascii="Calibri" w:eastAsia="Times New Roman" w:hAnsi="Calibri" w:cs="Times New Roman"/>
                <w:sz w:val="20"/>
                <w:szCs w:val="20"/>
                <w:lang w:eastAsia="en-AU"/>
              </w:rPr>
            </w:pPr>
            <w:r w:rsidRPr="00C2657C">
              <w:rPr>
                <w:rFonts w:ascii="Calibri" w:eastAsia="Times New Roman" w:hAnsi="Calibri" w:cs="Times New Roman"/>
                <w:sz w:val="20"/>
                <w:szCs w:val="20"/>
                <w:lang w:eastAsia="en-AU"/>
              </w:rPr>
              <w:t>13 240 675</w:t>
            </w:r>
          </w:p>
        </w:tc>
        <w:tc>
          <w:tcPr>
            <w:tcW w:w="1220" w:type="dxa"/>
            <w:tcBorders>
              <w:top w:val="nil"/>
              <w:left w:val="nil"/>
              <w:bottom w:val="single" w:sz="4" w:space="0" w:color="auto"/>
              <w:right w:val="nil"/>
            </w:tcBorders>
            <w:shd w:val="clear" w:color="auto" w:fill="auto"/>
            <w:noWrap/>
            <w:vAlign w:val="bottom"/>
            <w:hideMark/>
          </w:tcPr>
          <w:p w14:paraId="2AD95099" w14:textId="77777777" w:rsidR="00C2657C" w:rsidRPr="00C2657C" w:rsidRDefault="00C2657C" w:rsidP="00C2657C">
            <w:pPr>
              <w:tabs>
                <w:tab w:val="clear" w:pos="567"/>
              </w:tabs>
              <w:spacing w:after="0" w:line="240" w:lineRule="auto"/>
              <w:jc w:val="right"/>
              <w:rPr>
                <w:rFonts w:ascii="Calibri" w:eastAsia="Times New Roman" w:hAnsi="Calibri" w:cs="Times New Roman"/>
                <w:sz w:val="20"/>
                <w:szCs w:val="20"/>
                <w:lang w:eastAsia="en-AU"/>
              </w:rPr>
            </w:pPr>
            <w:r w:rsidRPr="00C2657C">
              <w:rPr>
                <w:rFonts w:ascii="Calibri" w:eastAsia="Times New Roman" w:hAnsi="Calibri" w:cs="Times New Roman"/>
                <w:sz w:val="20"/>
                <w:szCs w:val="20"/>
                <w:lang w:eastAsia="en-AU"/>
              </w:rPr>
              <w:t>5 176 679</w:t>
            </w:r>
          </w:p>
        </w:tc>
        <w:tc>
          <w:tcPr>
            <w:tcW w:w="1220" w:type="dxa"/>
            <w:tcBorders>
              <w:top w:val="nil"/>
              <w:left w:val="nil"/>
              <w:bottom w:val="single" w:sz="4" w:space="0" w:color="auto"/>
              <w:right w:val="nil"/>
            </w:tcBorders>
            <w:shd w:val="clear" w:color="auto" w:fill="auto"/>
            <w:noWrap/>
            <w:vAlign w:val="bottom"/>
            <w:hideMark/>
          </w:tcPr>
          <w:p w14:paraId="6DF5CCDB" w14:textId="77777777" w:rsidR="00C2657C" w:rsidRPr="00C2657C" w:rsidRDefault="00C2657C" w:rsidP="00C2657C">
            <w:pPr>
              <w:tabs>
                <w:tab w:val="clear" w:pos="567"/>
              </w:tabs>
              <w:spacing w:after="0" w:line="240" w:lineRule="auto"/>
              <w:jc w:val="right"/>
              <w:rPr>
                <w:rFonts w:ascii="Calibri" w:eastAsia="Times New Roman" w:hAnsi="Calibri" w:cs="Times New Roman"/>
                <w:sz w:val="20"/>
                <w:szCs w:val="20"/>
                <w:lang w:eastAsia="en-AU"/>
              </w:rPr>
            </w:pPr>
            <w:r w:rsidRPr="00C2657C">
              <w:rPr>
                <w:rFonts w:ascii="Calibri" w:eastAsia="Times New Roman" w:hAnsi="Calibri" w:cs="Times New Roman"/>
                <w:sz w:val="20"/>
                <w:szCs w:val="20"/>
                <w:lang w:eastAsia="en-AU"/>
              </w:rPr>
              <w:t>3 957 147</w:t>
            </w:r>
          </w:p>
        </w:tc>
      </w:tr>
    </w:tbl>
    <w:p w14:paraId="4918E9BC" w14:textId="59DD30A2" w:rsidR="00C54930" w:rsidRPr="00EC175E" w:rsidRDefault="00C54930" w:rsidP="00EC175E">
      <w:pPr>
        <w:pStyle w:val="CGCTableFootnote"/>
      </w:pPr>
      <w:r w:rsidRPr="00F46B46">
        <w:t>(a)</w:t>
      </w:r>
      <w:r w:rsidRPr="00F46B46">
        <w:tab/>
        <w:t xml:space="preserve">Excludes </w:t>
      </w:r>
      <w:r w:rsidR="00756072">
        <w:t>payroll tax</w:t>
      </w:r>
      <w:r w:rsidRPr="00EC175E">
        <w:t xml:space="preserve"> because the </w:t>
      </w:r>
      <w:proofErr w:type="spellStart"/>
      <w:r w:rsidRPr="00EC175E">
        <w:t>AFP</w:t>
      </w:r>
      <w:proofErr w:type="spellEnd"/>
      <w:r w:rsidRPr="00EC175E">
        <w:t xml:space="preserve"> is exempt from paying payroll tax.</w:t>
      </w:r>
    </w:p>
    <w:p w14:paraId="5BCBAE6E" w14:textId="77777777" w:rsidR="00C54930" w:rsidRPr="00EC175E" w:rsidRDefault="00C54930" w:rsidP="00EC175E">
      <w:pPr>
        <w:pStyle w:val="CGCTableFootnote"/>
      </w:pPr>
      <w:r w:rsidRPr="00EC175E">
        <w:t>Source:</w:t>
      </w:r>
      <w:r w:rsidRPr="00EC175E">
        <w:tab/>
        <w:t>Productivity Commission, Report on Government Services.</w:t>
      </w:r>
    </w:p>
    <w:p w14:paraId="2FEFA9B3" w14:textId="77777777" w:rsidR="00C54930" w:rsidRPr="00F46B46" w:rsidRDefault="00C54930" w:rsidP="00EC175E">
      <w:pPr>
        <w:pStyle w:val="CGCTableFootnote"/>
      </w:pPr>
      <w:r w:rsidRPr="00EC175E">
        <w:tab/>
        <w:t>ABS, Wage Price</w:t>
      </w:r>
      <w:r w:rsidRPr="00F46B46">
        <w:t xml:space="preserve"> Index, Australia, Cat. No. 6345.0, Table 4a.</w:t>
      </w:r>
    </w:p>
    <w:p w14:paraId="184DF58C" w14:textId="77777777" w:rsidR="00C54930" w:rsidRPr="0066653D" w:rsidRDefault="00C54930" w:rsidP="0066653D">
      <w:pPr>
        <w:pStyle w:val="Heading5"/>
        <w:rPr>
          <w:rStyle w:val="Heading6Char"/>
          <w:b/>
          <w:i/>
          <w:iCs w:val="0"/>
        </w:rPr>
      </w:pPr>
      <w:bookmarkStart w:id="133" w:name="_Toc511048318"/>
      <w:bookmarkStart w:id="134" w:name="_Toc511048420"/>
      <w:bookmarkStart w:id="135" w:name="_Toc511048458"/>
      <w:bookmarkStart w:id="136" w:name="_Toc511048493"/>
      <w:r w:rsidRPr="0066653D">
        <w:rPr>
          <w:rStyle w:val="Heading6Char"/>
          <w:b/>
          <w:i/>
          <w:iCs w:val="0"/>
        </w:rPr>
        <w:t>Roads</w:t>
      </w:r>
      <w:bookmarkEnd w:id="133"/>
      <w:bookmarkEnd w:id="134"/>
      <w:bookmarkEnd w:id="135"/>
      <w:bookmarkEnd w:id="136"/>
    </w:p>
    <w:p w14:paraId="01D1B436" w14:textId="6358794F" w:rsidR="00C54930" w:rsidRDefault="00C54930" w:rsidP="00C54930">
      <w:pPr>
        <w:pStyle w:val="CGCNumberedPara"/>
        <w:numPr>
          <w:ilvl w:val="1"/>
          <w:numId w:val="3"/>
        </w:numPr>
      </w:pPr>
      <w:r>
        <w:t>In the 2004 Review, the Commission considered that t</w:t>
      </w:r>
      <w:r w:rsidRPr="00BB2B59">
        <w:t>he allowance for roads recognise</w:t>
      </w:r>
      <w:r>
        <w:t>d</w:t>
      </w:r>
      <w:r w:rsidRPr="00BB2B59">
        <w:t xml:space="preserve"> </w:t>
      </w:r>
      <w:r w:rsidR="00466399">
        <w:t>the extra costs the ACT incurred because</w:t>
      </w:r>
      <w:r w:rsidR="00FC299E">
        <w:t xml:space="preserve">, when it gained </w:t>
      </w:r>
      <w:r w:rsidRPr="00BB2B59">
        <w:t>self-government</w:t>
      </w:r>
      <w:r>
        <w:t>,</w:t>
      </w:r>
      <w:r w:rsidRPr="00BB2B59">
        <w:t xml:space="preserve"> </w:t>
      </w:r>
      <w:r w:rsidR="00FC299E">
        <w:t xml:space="preserve">it </w:t>
      </w:r>
      <w:r w:rsidRPr="00BB2B59">
        <w:t xml:space="preserve">inherited roads that were wider than Australian standards. </w:t>
      </w:r>
      <w:r w:rsidR="00FC299E">
        <w:t xml:space="preserve">The Commission </w:t>
      </w:r>
      <w:r w:rsidRPr="00BB2B59">
        <w:t>expect</w:t>
      </w:r>
      <w:r>
        <w:t>ed</w:t>
      </w:r>
      <w:r w:rsidRPr="00BB2B59">
        <w:t xml:space="preserve"> this allowance w</w:t>
      </w:r>
      <w:r>
        <w:t>ould</w:t>
      </w:r>
      <w:r w:rsidRPr="00BB2B59">
        <w:t xml:space="preserve"> continue to be required for a further 15 years. </w:t>
      </w:r>
      <w:r w:rsidR="00FC299E">
        <w:t xml:space="preserve">By then the ACT would have had </w:t>
      </w:r>
      <w:r w:rsidRPr="00BB2B59">
        <w:t xml:space="preserve">sufficient time to rebuild or restructure the wider roads it inherited. </w:t>
      </w:r>
    </w:p>
    <w:p w14:paraId="64FB1F82" w14:textId="77777777" w:rsidR="00C54930" w:rsidRPr="00BB2B59" w:rsidRDefault="00C54930" w:rsidP="00C54930">
      <w:pPr>
        <w:pStyle w:val="CGCNumberedPara"/>
        <w:numPr>
          <w:ilvl w:val="1"/>
          <w:numId w:val="3"/>
        </w:numPr>
      </w:pPr>
      <w:r w:rsidRPr="00BB2B59">
        <w:rPr>
          <w:rStyle w:val="Heading6Char"/>
          <w:rFonts w:eastAsiaTheme="minorHAnsi" w:cstheme="minorBidi"/>
          <w:b w:val="0"/>
          <w:i w:val="0"/>
          <w:iCs w:val="0"/>
          <w:color w:val="auto"/>
          <w:sz w:val="24"/>
        </w:rPr>
        <w:t xml:space="preserve">This means </w:t>
      </w:r>
      <w:r>
        <w:rPr>
          <w:rStyle w:val="Heading6Char"/>
          <w:rFonts w:eastAsiaTheme="minorHAnsi" w:cstheme="minorBidi"/>
          <w:b w:val="0"/>
          <w:i w:val="0"/>
          <w:iCs w:val="0"/>
          <w:color w:val="auto"/>
          <w:sz w:val="24"/>
        </w:rPr>
        <w:t>the last roads transitional allowance will be assessed in the 2019 Update.</w:t>
      </w:r>
    </w:p>
    <w:p w14:paraId="10F4984C" w14:textId="0082CA93" w:rsidR="00C54930" w:rsidRDefault="00C54930" w:rsidP="00C2657C">
      <w:pPr>
        <w:pStyle w:val="Heading5"/>
      </w:pPr>
      <w:bookmarkStart w:id="137" w:name="_Toc511048319"/>
      <w:bookmarkStart w:id="138" w:name="_Toc511048421"/>
      <w:bookmarkStart w:id="139" w:name="_Toc511048459"/>
      <w:bookmarkStart w:id="140" w:name="_Toc511048494"/>
      <w:bookmarkStart w:id="141" w:name="_Toc511398670"/>
      <w:bookmarkStart w:id="142" w:name="_Toc511398714"/>
      <w:r>
        <w:t xml:space="preserve">GST </w:t>
      </w:r>
      <w:r w:rsidR="00BC67F4">
        <w:t>re</w:t>
      </w:r>
      <w:r>
        <w:t>distribution</w:t>
      </w:r>
      <w:bookmarkEnd w:id="137"/>
      <w:bookmarkEnd w:id="138"/>
      <w:bookmarkEnd w:id="139"/>
      <w:bookmarkEnd w:id="140"/>
      <w:bookmarkEnd w:id="141"/>
      <w:bookmarkEnd w:id="142"/>
    </w:p>
    <w:p w14:paraId="12834C77" w14:textId="36DC07EB" w:rsidR="00C54930" w:rsidRDefault="00C54930" w:rsidP="00C54930">
      <w:pPr>
        <w:pStyle w:val="CGCNumberedPara"/>
        <w:numPr>
          <w:ilvl w:val="1"/>
          <w:numId w:val="3"/>
        </w:numPr>
      </w:pPr>
      <w:r>
        <w:fldChar w:fldCharType="begin"/>
      </w:r>
      <w:r>
        <w:instrText xml:space="preserve"> REF _Ref496100394 \h </w:instrText>
      </w:r>
      <w:r>
        <w:fldChar w:fldCharType="separate"/>
      </w:r>
      <w:r w:rsidR="00C40664">
        <w:t xml:space="preserve">Table </w:t>
      </w:r>
      <w:r w:rsidR="00C40664">
        <w:rPr>
          <w:noProof/>
        </w:rPr>
        <w:t>3</w:t>
      </w:r>
      <w:r>
        <w:fldChar w:fldCharType="end"/>
      </w:r>
      <w:r>
        <w:t xml:space="preserve"> shows the GST redistributed by the national capital</w:t>
      </w:r>
      <w:r w:rsidRPr="00214AB6">
        <w:t xml:space="preserve"> </w:t>
      </w:r>
      <w:r>
        <w:t>assessment in the 2</w:t>
      </w:r>
      <w:r w:rsidR="00233E13">
        <w:t>018 </w:t>
      </w:r>
      <w:r>
        <w:t xml:space="preserve">Update. The assessment is material for the ACT. </w:t>
      </w:r>
    </w:p>
    <w:p w14:paraId="52193531" w14:textId="1CB284DD" w:rsidR="00C54930" w:rsidRDefault="00C54930" w:rsidP="006828EE">
      <w:pPr>
        <w:pStyle w:val="CGCTableHeading"/>
      </w:pPr>
      <w:bookmarkStart w:id="143" w:name="_Ref511403428"/>
      <w:r>
        <w:t xml:space="preserve">Table </w:t>
      </w:r>
      <w:fldSimple w:instr=" SEQ Table \* ARABIC ">
        <w:r w:rsidR="00C40664">
          <w:rPr>
            <w:noProof/>
          </w:rPr>
          <w:t>7</w:t>
        </w:r>
      </w:fldSimple>
      <w:bookmarkEnd w:id="143"/>
      <w:r>
        <w:tab/>
        <w:t xml:space="preserve">GST </w:t>
      </w:r>
      <w:r w:rsidR="00ED4348">
        <w:t>re</w:t>
      </w:r>
      <w:r>
        <w:t>distribution, national capital assessment</w:t>
      </w:r>
    </w:p>
    <w:tbl>
      <w:tblPr>
        <w:tblW w:w="8960" w:type="dxa"/>
        <w:tblInd w:w="93" w:type="dxa"/>
        <w:tblLook w:val="04A0" w:firstRow="1" w:lastRow="0" w:firstColumn="1" w:lastColumn="0" w:noHBand="0" w:noVBand="1"/>
      </w:tblPr>
      <w:tblGrid>
        <w:gridCol w:w="1240"/>
        <w:gridCol w:w="920"/>
        <w:gridCol w:w="820"/>
        <w:gridCol w:w="820"/>
        <w:gridCol w:w="820"/>
        <w:gridCol w:w="820"/>
        <w:gridCol w:w="820"/>
        <w:gridCol w:w="820"/>
        <w:gridCol w:w="820"/>
        <w:gridCol w:w="1060"/>
      </w:tblGrid>
      <w:tr w:rsidR="00C2657C" w:rsidRPr="006828EE" w14:paraId="231E3A24" w14:textId="77777777" w:rsidTr="00C52419">
        <w:trPr>
          <w:trHeight w:val="379"/>
        </w:trPr>
        <w:tc>
          <w:tcPr>
            <w:tcW w:w="1240" w:type="dxa"/>
            <w:tcBorders>
              <w:top w:val="single" w:sz="4" w:space="0" w:color="auto"/>
              <w:left w:val="nil"/>
              <w:bottom w:val="single" w:sz="4" w:space="0" w:color="auto"/>
              <w:right w:val="nil"/>
            </w:tcBorders>
            <w:shd w:val="clear" w:color="auto" w:fill="auto"/>
            <w:noWrap/>
            <w:vAlign w:val="center"/>
            <w:hideMark/>
          </w:tcPr>
          <w:p w14:paraId="00E9C89F" w14:textId="77777777" w:rsidR="00C2657C" w:rsidRPr="006828EE" w:rsidRDefault="00C2657C" w:rsidP="00C52419">
            <w:pPr>
              <w:keepNext/>
              <w:keepLines/>
              <w:tabs>
                <w:tab w:val="clear" w:pos="567"/>
              </w:tabs>
              <w:spacing w:after="0" w:line="240" w:lineRule="auto"/>
              <w:jc w:val="right"/>
              <w:rPr>
                <w:rFonts w:ascii="Calibri" w:eastAsia="Times New Roman" w:hAnsi="Calibri" w:cs="Times New Roman"/>
                <w:sz w:val="20"/>
                <w:szCs w:val="20"/>
                <w:lang w:eastAsia="en-AU"/>
              </w:rPr>
            </w:pPr>
            <w:bookmarkStart w:id="144" w:name="RANGE!A77:J87"/>
            <w:r w:rsidRPr="006828EE">
              <w:rPr>
                <w:rFonts w:ascii="Calibri" w:eastAsia="Times New Roman" w:hAnsi="Calibri" w:cstheme="minorHAnsi"/>
                <w:sz w:val="20"/>
                <w:szCs w:val="20"/>
                <w:lang w:eastAsia="en-AU"/>
              </w:rPr>
              <w:t> </w:t>
            </w:r>
            <w:bookmarkEnd w:id="144"/>
          </w:p>
        </w:tc>
        <w:tc>
          <w:tcPr>
            <w:tcW w:w="920" w:type="dxa"/>
            <w:tcBorders>
              <w:top w:val="single" w:sz="4" w:space="0" w:color="auto"/>
              <w:left w:val="nil"/>
              <w:bottom w:val="single" w:sz="4" w:space="0" w:color="auto"/>
              <w:right w:val="nil"/>
            </w:tcBorders>
            <w:shd w:val="clear" w:color="auto" w:fill="auto"/>
            <w:noWrap/>
            <w:vAlign w:val="center"/>
            <w:hideMark/>
          </w:tcPr>
          <w:p w14:paraId="23C230AA" w14:textId="77777777" w:rsidR="00C2657C" w:rsidRPr="006828EE" w:rsidRDefault="00C2657C" w:rsidP="00C52419">
            <w:pPr>
              <w:keepNext/>
              <w:keepLines/>
              <w:tabs>
                <w:tab w:val="clear" w:pos="567"/>
              </w:tabs>
              <w:spacing w:after="0" w:line="240" w:lineRule="auto"/>
              <w:jc w:val="right"/>
              <w:rPr>
                <w:rFonts w:ascii="Calibri" w:eastAsia="Times New Roman" w:hAnsi="Calibri" w:cs="Times New Roman"/>
                <w:sz w:val="20"/>
                <w:szCs w:val="20"/>
                <w:lang w:eastAsia="en-AU"/>
              </w:rPr>
            </w:pPr>
            <w:r w:rsidRPr="006828EE">
              <w:rPr>
                <w:rFonts w:ascii="Calibri" w:eastAsia="Times New Roman" w:hAnsi="Calibri" w:cstheme="minorHAnsi"/>
                <w:sz w:val="20"/>
                <w:szCs w:val="20"/>
                <w:lang w:eastAsia="en-AU"/>
              </w:rPr>
              <w:t>NSW</w:t>
            </w:r>
          </w:p>
        </w:tc>
        <w:tc>
          <w:tcPr>
            <w:tcW w:w="820" w:type="dxa"/>
            <w:tcBorders>
              <w:top w:val="single" w:sz="4" w:space="0" w:color="auto"/>
              <w:left w:val="nil"/>
              <w:bottom w:val="single" w:sz="4" w:space="0" w:color="auto"/>
              <w:right w:val="nil"/>
            </w:tcBorders>
            <w:shd w:val="clear" w:color="auto" w:fill="auto"/>
            <w:noWrap/>
            <w:vAlign w:val="center"/>
            <w:hideMark/>
          </w:tcPr>
          <w:p w14:paraId="6BD1A660" w14:textId="77777777" w:rsidR="00C2657C" w:rsidRPr="006828EE" w:rsidRDefault="00C2657C" w:rsidP="00C52419">
            <w:pPr>
              <w:keepNext/>
              <w:keepLines/>
              <w:tabs>
                <w:tab w:val="clear" w:pos="567"/>
              </w:tabs>
              <w:spacing w:after="0" w:line="240" w:lineRule="auto"/>
              <w:jc w:val="right"/>
              <w:rPr>
                <w:rFonts w:ascii="Calibri" w:eastAsia="Times New Roman" w:hAnsi="Calibri" w:cs="Times New Roman"/>
                <w:sz w:val="20"/>
                <w:szCs w:val="20"/>
                <w:lang w:eastAsia="en-AU"/>
              </w:rPr>
            </w:pPr>
            <w:r w:rsidRPr="006828EE">
              <w:rPr>
                <w:rFonts w:ascii="Calibri" w:eastAsia="Times New Roman" w:hAnsi="Calibri" w:cstheme="minorHAnsi"/>
                <w:sz w:val="20"/>
                <w:szCs w:val="20"/>
                <w:lang w:eastAsia="en-AU"/>
              </w:rPr>
              <w:t>Vic</w:t>
            </w:r>
          </w:p>
        </w:tc>
        <w:tc>
          <w:tcPr>
            <w:tcW w:w="820" w:type="dxa"/>
            <w:tcBorders>
              <w:top w:val="single" w:sz="4" w:space="0" w:color="auto"/>
              <w:left w:val="nil"/>
              <w:bottom w:val="single" w:sz="4" w:space="0" w:color="auto"/>
              <w:right w:val="nil"/>
            </w:tcBorders>
            <w:shd w:val="clear" w:color="auto" w:fill="auto"/>
            <w:noWrap/>
            <w:vAlign w:val="center"/>
            <w:hideMark/>
          </w:tcPr>
          <w:p w14:paraId="64E89431" w14:textId="77777777" w:rsidR="00C2657C" w:rsidRPr="006828EE" w:rsidRDefault="00C2657C" w:rsidP="00C52419">
            <w:pPr>
              <w:keepNext/>
              <w:keepLines/>
              <w:tabs>
                <w:tab w:val="clear" w:pos="567"/>
              </w:tabs>
              <w:spacing w:after="0" w:line="240" w:lineRule="auto"/>
              <w:jc w:val="right"/>
              <w:rPr>
                <w:rFonts w:ascii="Calibri" w:eastAsia="Times New Roman" w:hAnsi="Calibri" w:cs="Times New Roman"/>
                <w:sz w:val="20"/>
                <w:szCs w:val="20"/>
                <w:lang w:eastAsia="en-AU"/>
              </w:rPr>
            </w:pPr>
            <w:r w:rsidRPr="006828EE">
              <w:rPr>
                <w:rFonts w:ascii="Calibri" w:eastAsia="Times New Roman" w:hAnsi="Calibri" w:cstheme="minorHAnsi"/>
                <w:sz w:val="20"/>
                <w:szCs w:val="20"/>
                <w:lang w:eastAsia="en-AU"/>
              </w:rPr>
              <w:t>Qld</w:t>
            </w:r>
          </w:p>
        </w:tc>
        <w:tc>
          <w:tcPr>
            <w:tcW w:w="820" w:type="dxa"/>
            <w:tcBorders>
              <w:top w:val="single" w:sz="4" w:space="0" w:color="auto"/>
              <w:left w:val="nil"/>
              <w:bottom w:val="single" w:sz="4" w:space="0" w:color="auto"/>
              <w:right w:val="nil"/>
            </w:tcBorders>
            <w:shd w:val="clear" w:color="auto" w:fill="auto"/>
            <w:noWrap/>
            <w:vAlign w:val="center"/>
            <w:hideMark/>
          </w:tcPr>
          <w:p w14:paraId="4989FFD4" w14:textId="77777777" w:rsidR="00C2657C" w:rsidRPr="006828EE" w:rsidRDefault="00C2657C" w:rsidP="00C52419">
            <w:pPr>
              <w:keepNext/>
              <w:keepLines/>
              <w:tabs>
                <w:tab w:val="clear" w:pos="567"/>
              </w:tabs>
              <w:spacing w:after="0" w:line="240" w:lineRule="auto"/>
              <w:jc w:val="right"/>
              <w:rPr>
                <w:rFonts w:ascii="Calibri" w:eastAsia="Times New Roman" w:hAnsi="Calibri" w:cs="Times New Roman"/>
                <w:sz w:val="20"/>
                <w:szCs w:val="20"/>
                <w:lang w:eastAsia="en-AU"/>
              </w:rPr>
            </w:pPr>
            <w:r w:rsidRPr="006828EE">
              <w:rPr>
                <w:rFonts w:ascii="Calibri" w:eastAsia="Times New Roman" w:hAnsi="Calibri" w:cstheme="minorHAnsi"/>
                <w:sz w:val="20"/>
                <w:szCs w:val="20"/>
                <w:lang w:eastAsia="en-AU"/>
              </w:rPr>
              <w:t>WA</w:t>
            </w:r>
          </w:p>
        </w:tc>
        <w:tc>
          <w:tcPr>
            <w:tcW w:w="820" w:type="dxa"/>
            <w:tcBorders>
              <w:top w:val="single" w:sz="4" w:space="0" w:color="auto"/>
              <w:left w:val="nil"/>
              <w:bottom w:val="single" w:sz="4" w:space="0" w:color="auto"/>
              <w:right w:val="nil"/>
            </w:tcBorders>
            <w:shd w:val="clear" w:color="auto" w:fill="auto"/>
            <w:noWrap/>
            <w:vAlign w:val="center"/>
            <w:hideMark/>
          </w:tcPr>
          <w:p w14:paraId="4E2854A9" w14:textId="77777777" w:rsidR="00C2657C" w:rsidRPr="006828EE" w:rsidRDefault="00C2657C" w:rsidP="00C52419">
            <w:pPr>
              <w:keepNext/>
              <w:keepLines/>
              <w:tabs>
                <w:tab w:val="clear" w:pos="567"/>
              </w:tabs>
              <w:spacing w:after="0" w:line="240" w:lineRule="auto"/>
              <w:jc w:val="right"/>
              <w:rPr>
                <w:rFonts w:ascii="Calibri" w:eastAsia="Times New Roman" w:hAnsi="Calibri" w:cs="Times New Roman"/>
                <w:sz w:val="20"/>
                <w:szCs w:val="20"/>
                <w:lang w:eastAsia="en-AU"/>
              </w:rPr>
            </w:pPr>
            <w:r w:rsidRPr="006828EE">
              <w:rPr>
                <w:rFonts w:ascii="Calibri" w:eastAsia="Times New Roman" w:hAnsi="Calibri" w:cstheme="minorHAnsi"/>
                <w:sz w:val="20"/>
                <w:szCs w:val="20"/>
                <w:lang w:eastAsia="en-AU"/>
              </w:rPr>
              <w:t>SA</w:t>
            </w:r>
          </w:p>
        </w:tc>
        <w:tc>
          <w:tcPr>
            <w:tcW w:w="820" w:type="dxa"/>
            <w:tcBorders>
              <w:top w:val="single" w:sz="4" w:space="0" w:color="auto"/>
              <w:left w:val="nil"/>
              <w:bottom w:val="single" w:sz="4" w:space="0" w:color="auto"/>
              <w:right w:val="nil"/>
            </w:tcBorders>
            <w:shd w:val="clear" w:color="auto" w:fill="auto"/>
            <w:noWrap/>
            <w:vAlign w:val="center"/>
            <w:hideMark/>
          </w:tcPr>
          <w:p w14:paraId="7C44BFC4" w14:textId="77777777" w:rsidR="00C2657C" w:rsidRPr="006828EE" w:rsidRDefault="00C2657C" w:rsidP="00C52419">
            <w:pPr>
              <w:keepNext/>
              <w:keepLines/>
              <w:tabs>
                <w:tab w:val="clear" w:pos="567"/>
              </w:tabs>
              <w:spacing w:after="0" w:line="240" w:lineRule="auto"/>
              <w:jc w:val="right"/>
              <w:rPr>
                <w:rFonts w:ascii="Calibri" w:eastAsia="Times New Roman" w:hAnsi="Calibri" w:cs="Times New Roman"/>
                <w:sz w:val="20"/>
                <w:szCs w:val="20"/>
                <w:lang w:eastAsia="en-AU"/>
              </w:rPr>
            </w:pPr>
            <w:proofErr w:type="spellStart"/>
            <w:r w:rsidRPr="006828EE">
              <w:rPr>
                <w:rFonts w:ascii="Calibri" w:eastAsia="Times New Roman" w:hAnsi="Calibri" w:cstheme="minorHAnsi"/>
                <w:sz w:val="20"/>
                <w:szCs w:val="20"/>
                <w:lang w:eastAsia="en-AU"/>
              </w:rPr>
              <w:t>Tas</w:t>
            </w:r>
            <w:proofErr w:type="spellEnd"/>
          </w:p>
        </w:tc>
        <w:tc>
          <w:tcPr>
            <w:tcW w:w="820" w:type="dxa"/>
            <w:tcBorders>
              <w:top w:val="single" w:sz="4" w:space="0" w:color="auto"/>
              <w:left w:val="nil"/>
              <w:bottom w:val="single" w:sz="4" w:space="0" w:color="auto"/>
              <w:right w:val="nil"/>
            </w:tcBorders>
            <w:shd w:val="clear" w:color="auto" w:fill="auto"/>
            <w:noWrap/>
            <w:vAlign w:val="center"/>
            <w:hideMark/>
          </w:tcPr>
          <w:p w14:paraId="747DC360" w14:textId="77777777" w:rsidR="00C2657C" w:rsidRPr="006828EE" w:rsidRDefault="00C2657C" w:rsidP="00C52419">
            <w:pPr>
              <w:keepNext/>
              <w:keepLines/>
              <w:tabs>
                <w:tab w:val="clear" w:pos="567"/>
              </w:tabs>
              <w:spacing w:after="0" w:line="240" w:lineRule="auto"/>
              <w:jc w:val="right"/>
              <w:rPr>
                <w:rFonts w:ascii="Calibri" w:eastAsia="Times New Roman" w:hAnsi="Calibri" w:cs="Times New Roman"/>
                <w:sz w:val="20"/>
                <w:szCs w:val="20"/>
                <w:lang w:eastAsia="en-AU"/>
              </w:rPr>
            </w:pPr>
            <w:r w:rsidRPr="006828EE">
              <w:rPr>
                <w:rFonts w:ascii="Calibri" w:eastAsia="Times New Roman" w:hAnsi="Calibri" w:cstheme="minorHAnsi"/>
                <w:sz w:val="20"/>
                <w:szCs w:val="20"/>
                <w:lang w:eastAsia="en-AU"/>
              </w:rPr>
              <w:t>ACT</w:t>
            </w:r>
          </w:p>
        </w:tc>
        <w:tc>
          <w:tcPr>
            <w:tcW w:w="820" w:type="dxa"/>
            <w:tcBorders>
              <w:top w:val="single" w:sz="4" w:space="0" w:color="auto"/>
              <w:left w:val="nil"/>
              <w:bottom w:val="single" w:sz="4" w:space="0" w:color="auto"/>
              <w:right w:val="nil"/>
            </w:tcBorders>
            <w:shd w:val="clear" w:color="auto" w:fill="auto"/>
            <w:noWrap/>
            <w:vAlign w:val="center"/>
            <w:hideMark/>
          </w:tcPr>
          <w:p w14:paraId="17BD3FC6" w14:textId="77777777" w:rsidR="00C2657C" w:rsidRPr="006828EE" w:rsidRDefault="00C2657C" w:rsidP="00C52419">
            <w:pPr>
              <w:keepNext/>
              <w:keepLines/>
              <w:tabs>
                <w:tab w:val="clear" w:pos="567"/>
              </w:tabs>
              <w:spacing w:after="0" w:line="240" w:lineRule="auto"/>
              <w:jc w:val="right"/>
              <w:rPr>
                <w:rFonts w:ascii="Calibri" w:eastAsia="Times New Roman" w:hAnsi="Calibri" w:cs="Times New Roman"/>
                <w:sz w:val="20"/>
                <w:szCs w:val="20"/>
                <w:lang w:eastAsia="en-AU"/>
              </w:rPr>
            </w:pPr>
            <w:r w:rsidRPr="006828EE">
              <w:rPr>
                <w:rFonts w:ascii="Calibri" w:eastAsia="Times New Roman" w:hAnsi="Calibri" w:cstheme="minorHAnsi"/>
                <w:sz w:val="20"/>
                <w:szCs w:val="20"/>
                <w:lang w:eastAsia="en-AU"/>
              </w:rPr>
              <w:t>NT</w:t>
            </w:r>
          </w:p>
        </w:tc>
        <w:tc>
          <w:tcPr>
            <w:tcW w:w="1060" w:type="dxa"/>
            <w:tcBorders>
              <w:top w:val="single" w:sz="4" w:space="0" w:color="auto"/>
              <w:left w:val="nil"/>
              <w:bottom w:val="single" w:sz="4" w:space="0" w:color="auto"/>
              <w:right w:val="nil"/>
            </w:tcBorders>
            <w:shd w:val="clear" w:color="auto" w:fill="auto"/>
            <w:noWrap/>
            <w:vAlign w:val="center"/>
            <w:hideMark/>
          </w:tcPr>
          <w:p w14:paraId="5244592F" w14:textId="77777777" w:rsidR="00C2657C" w:rsidRPr="006828EE" w:rsidRDefault="00C2657C" w:rsidP="00C52419">
            <w:pPr>
              <w:keepNext/>
              <w:keepLines/>
              <w:tabs>
                <w:tab w:val="clear" w:pos="567"/>
              </w:tabs>
              <w:spacing w:after="0" w:line="240" w:lineRule="auto"/>
              <w:jc w:val="right"/>
              <w:rPr>
                <w:rFonts w:ascii="Calibri" w:eastAsia="Times New Roman" w:hAnsi="Calibri" w:cs="Times New Roman"/>
                <w:sz w:val="20"/>
                <w:szCs w:val="20"/>
                <w:lang w:eastAsia="en-AU"/>
              </w:rPr>
            </w:pPr>
            <w:proofErr w:type="spellStart"/>
            <w:r w:rsidRPr="006828EE">
              <w:rPr>
                <w:rFonts w:ascii="Calibri" w:eastAsia="Times New Roman" w:hAnsi="Calibri" w:cstheme="minorHAnsi"/>
                <w:sz w:val="20"/>
                <w:szCs w:val="20"/>
                <w:lang w:eastAsia="en-AU"/>
              </w:rPr>
              <w:t>Redist</w:t>
            </w:r>
            <w:proofErr w:type="spellEnd"/>
          </w:p>
        </w:tc>
      </w:tr>
      <w:tr w:rsidR="00C2657C" w:rsidRPr="006828EE" w14:paraId="04D3A420" w14:textId="77777777" w:rsidTr="00C52419">
        <w:trPr>
          <w:trHeight w:val="259"/>
        </w:trPr>
        <w:tc>
          <w:tcPr>
            <w:tcW w:w="1240" w:type="dxa"/>
            <w:tcBorders>
              <w:top w:val="nil"/>
              <w:left w:val="nil"/>
              <w:bottom w:val="nil"/>
              <w:right w:val="nil"/>
            </w:tcBorders>
            <w:shd w:val="clear" w:color="auto" w:fill="auto"/>
            <w:noWrap/>
            <w:vAlign w:val="bottom"/>
            <w:hideMark/>
          </w:tcPr>
          <w:p w14:paraId="59A9374A" w14:textId="77777777" w:rsidR="00C2657C" w:rsidRPr="006828EE" w:rsidRDefault="00C2657C" w:rsidP="00C52419">
            <w:pPr>
              <w:keepNext/>
              <w:keepLines/>
              <w:tabs>
                <w:tab w:val="clear" w:pos="567"/>
              </w:tabs>
              <w:spacing w:after="0" w:line="240" w:lineRule="auto"/>
              <w:jc w:val="right"/>
              <w:rPr>
                <w:rFonts w:ascii="Calibri" w:eastAsia="Times New Roman" w:hAnsi="Calibri" w:cs="Times New Roman"/>
                <w:sz w:val="20"/>
                <w:szCs w:val="20"/>
                <w:lang w:eastAsia="en-AU"/>
              </w:rPr>
            </w:pPr>
          </w:p>
        </w:tc>
        <w:tc>
          <w:tcPr>
            <w:tcW w:w="920" w:type="dxa"/>
            <w:tcBorders>
              <w:top w:val="nil"/>
              <w:left w:val="nil"/>
              <w:bottom w:val="nil"/>
              <w:right w:val="nil"/>
            </w:tcBorders>
            <w:shd w:val="clear" w:color="auto" w:fill="auto"/>
            <w:noWrap/>
            <w:vAlign w:val="bottom"/>
            <w:hideMark/>
          </w:tcPr>
          <w:p w14:paraId="4BBB0546" w14:textId="77777777" w:rsidR="00C2657C" w:rsidRPr="006828EE" w:rsidRDefault="00C2657C" w:rsidP="00C52419">
            <w:pPr>
              <w:keepNext/>
              <w:keepLines/>
              <w:tabs>
                <w:tab w:val="clear" w:pos="567"/>
              </w:tabs>
              <w:spacing w:after="0" w:line="240" w:lineRule="auto"/>
              <w:jc w:val="right"/>
              <w:rPr>
                <w:rFonts w:ascii="Calibri" w:eastAsia="Times New Roman" w:hAnsi="Calibri" w:cs="Times New Roman"/>
                <w:sz w:val="20"/>
                <w:szCs w:val="20"/>
                <w:lang w:eastAsia="en-AU"/>
              </w:rPr>
            </w:pPr>
            <w:r w:rsidRPr="006828EE">
              <w:rPr>
                <w:rFonts w:ascii="Calibri" w:eastAsia="Times New Roman" w:hAnsi="Calibri" w:cstheme="minorHAnsi"/>
                <w:sz w:val="20"/>
                <w:szCs w:val="20"/>
                <w:lang w:eastAsia="en-AU"/>
              </w:rPr>
              <w:t>$m</w:t>
            </w:r>
          </w:p>
        </w:tc>
        <w:tc>
          <w:tcPr>
            <w:tcW w:w="820" w:type="dxa"/>
            <w:tcBorders>
              <w:top w:val="nil"/>
              <w:left w:val="nil"/>
              <w:bottom w:val="nil"/>
              <w:right w:val="nil"/>
            </w:tcBorders>
            <w:shd w:val="clear" w:color="auto" w:fill="auto"/>
            <w:noWrap/>
            <w:vAlign w:val="bottom"/>
            <w:hideMark/>
          </w:tcPr>
          <w:p w14:paraId="60C61DC7" w14:textId="77777777" w:rsidR="00C2657C" w:rsidRPr="006828EE" w:rsidRDefault="00C2657C" w:rsidP="00C52419">
            <w:pPr>
              <w:keepNext/>
              <w:keepLines/>
              <w:tabs>
                <w:tab w:val="clear" w:pos="567"/>
              </w:tabs>
              <w:spacing w:after="0" w:line="240" w:lineRule="auto"/>
              <w:jc w:val="right"/>
              <w:rPr>
                <w:rFonts w:ascii="Calibri" w:eastAsia="Times New Roman" w:hAnsi="Calibri" w:cs="Times New Roman"/>
                <w:sz w:val="20"/>
                <w:szCs w:val="20"/>
                <w:lang w:eastAsia="en-AU"/>
              </w:rPr>
            </w:pPr>
            <w:r w:rsidRPr="006828EE">
              <w:rPr>
                <w:rFonts w:ascii="Calibri" w:eastAsia="Times New Roman" w:hAnsi="Calibri" w:cstheme="minorHAnsi"/>
                <w:sz w:val="20"/>
                <w:szCs w:val="20"/>
                <w:lang w:eastAsia="en-AU"/>
              </w:rPr>
              <w:t>$m</w:t>
            </w:r>
          </w:p>
        </w:tc>
        <w:tc>
          <w:tcPr>
            <w:tcW w:w="820" w:type="dxa"/>
            <w:tcBorders>
              <w:top w:val="nil"/>
              <w:left w:val="nil"/>
              <w:bottom w:val="nil"/>
              <w:right w:val="nil"/>
            </w:tcBorders>
            <w:shd w:val="clear" w:color="auto" w:fill="auto"/>
            <w:noWrap/>
            <w:vAlign w:val="bottom"/>
            <w:hideMark/>
          </w:tcPr>
          <w:p w14:paraId="2B7142D8" w14:textId="77777777" w:rsidR="00C2657C" w:rsidRPr="006828EE" w:rsidRDefault="00C2657C" w:rsidP="00C52419">
            <w:pPr>
              <w:keepNext/>
              <w:keepLines/>
              <w:tabs>
                <w:tab w:val="clear" w:pos="567"/>
              </w:tabs>
              <w:spacing w:after="0" w:line="240" w:lineRule="auto"/>
              <w:jc w:val="right"/>
              <w:rPr>
                <w:rFonts w:ascii="Calibri" w:eastAsia="Times New Roman" w:hAnsi="Calibri" w:cs="Times New Roman"/>
                <w:sz w:val="20"/>
                <w:szCs w:val="20"/>
                <w:lang w:eastAsia="en-AU"/>
              </w:rPr>
            </w:pPr>
            <w:r w:rsidRPr="006828EE">
              <w:rPr>
                <w:rFonts w:ascii="Calibri" w:eastAsia="Times New Roman" w:hAnsi="Calibri" w:cstheme="minorHAnsi"/>
                <w:sz w:val="20"/>
                <w:szCs w:val="20"/>
                <w:lang w:eastAsia="en-AU"/>
              </w:rPr>
              <w:t>$m</w:t>
            </w:r>
          </w:p>
        </w:tc>
        <w:tc>
          <w:tcPr>
            <w:tcW w:w="820" w:type="dxa"/>
            <w:tcBorders>
              <w:top w:val="nil"/>
              <w:left w:val="nil"/>
              <w:bottom w:val="nil"/>
              <w:right w:val="nil"/>
            </w:tcBorders>
            <w:shd w:val="clear" w:color="auto" w:fill="auto"/>
            <w:noWrap/>
            <w:vAlign w:val="bottom"/>
            <w:hideMark/>
          </w:tcPr>
          <w:p w14:paraId="331E335C" w14:textId="77777777" w:rsidR="00C2657C" w:rsidRPr="006828EE" w:rsidRDefault="00C2657C" w:rsidP="00C52419">
            <w:pPr>
              <w:keepNext/>
              <w:keepLines/>
              <w:tabs>
                <w:tab w:val="clear" w:pos="567"/>
              </w:tabs>
              <w:spacing w:after="0" w:line="240" w:lineRule="auto"/>
              <w:jc w:val="right"/>
              <w:rPr>
                <w:rFonts w:ascii="Calibri" w:eastAsia="Times New Roman" w:hAnsi="Calibri" w:cs="Times New Roman"/>
                <w:sz w:val="20"/>
                <w:szCs w:val="20"/>
                <w:lang w:eastAsia="en-AU"/>
              </w:rPr>
            </w:pPr>
            <w:r w:rsidRPr="006828EE">
              <w:rPr>
                <w:rFonts w:ascii="Calibri" w:eastAsia="Times New Roman" w:hAnsi="Calibri" w:cstheme="minorHAnsi"/>
                <w:sz w:val="20"/>
                <w:szCs w:val="20"/>
                <w:lang w:eastAsia="en-AU"/>
              </w:rPr>
              <w:t>$m</w:t>
            </w:r>
          </w:p>
        </w:tc>
        <w:tc>
          <w:tcPr>
            <w:tcW w:w="820" w:type="dxa"/>
            <w:tcBorders>
              <w:top w:val="nil"/>
              <w:left w:val="nil"/>
              <w:bottom w:val="nil"/>
              <w:right w:val="nil"/>
            </w:tcBorders>
            <w:shd w:val="clear" w:color="auto" w:fill="auto"/>
            <w:noWrap/>
            <w:vAlign w:val="bottom"/>
            <w:hideMark/>
          </w:tcPr>
          <w:p w14:paraId="28A51090" w14:textId="77777777" w:rsidR="00C2657C" w:rsidRPr="006828EE" w:rsidRDefault="00C2657C" w:rsidP="00C52419">
            <w:pPr>
              <w:keepNext/>
              <w:keepLines/>
              <w:tabs>
                <w:tab w:val="clear" w:pos="567"/>
              </w:tabs>
              <w:spacing w:after="0" w:line="240" w:lineRule="auto"/>
              <w:jc w:val="right"/>
              <w:rPr>
                <w:rFonts w:ascii="Calibri" w:eastAsia="Times New Roman" w:hAnsi="Calibri" w:cs="Times New Roman"/>
                <w:sz w:val="20"/>
                <w:szCs w:val="20"/>
                <w:lang w:eastAsia="en-AU"/>
              </w:rPr>
            </w:pPr>
            <w:r w:rsidRPr="006828EE">
              <w:rPr>
                <w:rFonts w:ascii="Calibri" w:eastAsia="Times New Roman" w:hAnsi="Calibri" w:cstheme="minorHAnsi"/>
                <w:sz w:val="20"/>
                <w:szCs w:val="20"/>
                <w:lang w:eastAsia="en-AU"/>
              </w:rPr>
              <w:t>$m</w:t>
            </w:r>
          </w:p>
        </w:tc>
        <w:tc>
          <w:tcPr>
            <w:tcW w:w="820" w:type="dxa"/>
            <w:tcBorders>
              <w:top w:val="nil"/>
              <w:left w:val="nil"/>
              <w:bottom w:val="nil"/>
              <w:right w:val="nil"/>
            </w:tcBorders>
            <w:shd w:val="clear" w:color="auto" w:fill="auto"/>
            <w:noWrap/>
            <w:vAlign w:val="bottom"/>
            <w:hideMark/>
          </w:tcPr>
          <w:p w14:paraId="5F792A5E" w14:textId="77777777" w:rsidR="00C2657C" w:rsidRPr="006828EE" w:rsidRDefault="00C2657C" w:rsidP="00C52419">
            <w:pPr>
              <w:keepNext/>
              <w:keepLines/>
              <w:tabs>
                <w:tab w:val="clear" w:pos="567"/>
              </w:tabs>
              <w:spacing w:after="0" w:line="240" w:lineRule="auto"/>
              <w:jc w:val="right"/>
              <w:rPr>
                <w:rFonts w:ascii="Calibri" w:eastAsia="Times New Roman" w:hAnsi="Calibri" w:cs="Times New Roman"/>
                <w:sz w:val="20"/>
                <w:szCs w:val="20"/>
                <w:lang w:eastAsia="en-AU"/>
              </w:rPr>
            </w:pPr>
            <w:r w:rsidRPr="006828EE">
              <w:rPr>
                <w:rFonts w:ascii="Calibri" w:eastAsia="Times New Roman" w:hAnsi="Calibri" w:cstheme="minorHAnsi"/>
                <w:sz w:val="20"/>
                <w:szCs w:val="20"/>
                <w:lang w:eastAsia="en-AU"/>
              </w:rPr>
              <w:t>$m</w:t>
            </w:r>
          </w:p>
        </w:tc>
        <w:tc>
          <w:tcPr>
            <w:tcW w:w="820" w:type="dxa"/>
            <w:tcBorders>
              <w:top w:val="nil"/>
              <w:left w:val="nil"/>
              <w:bottom w:val="nil"/>
              <w:right w:val="nil"/>
            </w:tcBorders>
            <w:shd w:val="clear" w:color="auto" w:fill="auto"/>
            <w:noWrap/>
            <w:vAlign w:val="bottom"/>
            <w:hideMark/>
          </w:tcPr>
          <w:p w14:paraId="465B51FB" w14:textId="77777777" w:rsidR="00C2657C" w:rsidRPr="006828EE" w:rsidRDefault="00C2657C" w:rsidP="00C52419">
            <w:pPr>
              <w:keepNext/>
              <w:keepLines/>
              <w:tabs>
                <w:tab w:val="clear" w:pos="567"/>
              </w:tabs>
              <w:spacing w:after="0" w:line="240" w:lineRule="auto"/>
              <w:jc w:val="right"/>
              <w:rPr>
                <w:rFonts w:ascii="Calibri" w:eastAsia="Times New Roman" w:hAnsi="Calibri" w:cs="Times New Roman"/>
                <w:sz w:val="20"/>
                <w:szCs w:val="20"/>
                <w:lang w:eastAsia="en-AU"/>
              </w:rPr>
            </w:pPr>
            <w:r w:rsidRPr="006828EE">
              <w:rPr>
                <w:rFonts w:ascii="Calibri" w:eastAsia="Times New Roman" w:hAnsi="Calibri" w:cstheme="minorHAnsi"/>
                <w:sz w:val="20"/>
                <w:szCs w:val="20"/>
                <w:lang w:eastAsia="en-AU"/>
              </w:rPr>
              <w:t>$m</w:t>
            </w:r>
          </w:p>
        </w:tc>
        <w:tc>
          <w:tcPr>
            <w:tcW w:w="820" w:type="dxa"/>
            <w:tcBorders>
              <w:top w:val="nil"/>
              <w:left w:val="nil"/>
              <w:bottom w:val="nil"/>
              <w:right w:val="nil"/>
            </w:tcBorders>
            <w:shd w:val="clear" w:color="auto" w:fill="auto"/>
            <w:noWrap/>
            <w:vAlign w:val="bottom"/>
            <w:hideMark/>
          </w:tcPr>
          <w:p w14:paraId="3864F15C" w14:textId="77777777" w:rsidR="00C2657C" w:rsidRPr="006828EE" w:rsidRDefault="00C2657C" w:rsidP="00C52419">
            <w:pPr>
              <w:keepNext/>
              <w:keepLines/>
              <w:tabs>
                <w:tab w:val="clear" w:pos="567"/>
              </w:tabs>
              <w:spacing w:after="0" w:line="240" w:lineRule="auto"/>
              <w:jc w:val="right"/>
              <w:rPr>
                <w:rFonts w:ascii="Calibri" w:eastAsia="Times New Roman" w:hAnsi="Calibri" w:cs="Times New Roman"/>
                <w:sz w:val="20"/>
                <w:szCs w:val="20"/>
                <w:lang w:eastAsia="en-AU"/>
              </w:rPr>
            </w:pPr>
            <w:r w:rsidRPr="006828EE">
              <w:rPr>
                <w:rFonts w:ascii="Calibri" w:eastAsia="Times New Roman" w:hAnsi="Calibri" w:cstheme="minorHAnsi"/>
                <w:sz w:val="20"/>
                <w:szCs w:val="20"/>
                <w:lang w:eastAsia="en-AU"/>
              </w:rPr>
              <w:t>$m</w:t>
            </w:r>
          </w:p>
        </w:tc>
        <w:tc>
          <w:tcPr>
            <w:tcW w:w="1060" w:type="dxa"/>
            <w:tcBorders>
              <w:top w:val="nil"/>
              <w:left w:val="nil"/>
              <w:bottom w:val="nil"/>
              <w:right w:val="nil"/>
            </w:tcBorders>
            <w:shd w:val="clear" w:color="auto" w:fill="auto"/>
            <w:noWrap/>
            <w:vAlign w:val="bottom"/>
            <w:hideMark/>
          </w:tcPr>
          <w:p w14:paraId="138C34D6" w14:textId="77777777" w:rsidR="00C2657C" w:rsidRPr="006828EE" w:rsidRDefault="00C2657C" w:rsidP="00C52419">
            <w:pPr>
              <w:keepNext/>
              <w:keepLines/>
              <w:tabs>
                <w:tab w:val="clear" w:pos="567"/>
              </w:tabs>
              <w:spacing w:after="0" w:line="240" w:lineRule="auto"/>
              <w:jc w:val="right"/>
              <w:rPr>
                <w:rFonts w:ascii="Calibri" w:eastAsia="Times New Roman" w:hAnsi="Calibri" w:cs="Times New Roman"/>
                <w:sz w:val="20"/>
                <w:szCs w:val="20"/>
                <w:lang w:eastAsia="en-AU"/>
              </w:rPr>
            </w:pPr>
            <w:r w:rsidRPr="006828EE">
              <w:rPr>
                <w:rFonts w:ascii="Calibri" w:eastAsia="Times New Roman" w:hAnsi="Calibri" w:cstheme="minorHAnsi"/>
                <w:sz w:val="20"/>
                <w:szCs w:val="20"/>
                <w:lang w:eastAsia="en-AU"/>
              </w:rPr>
              <w:t>$m</w:t>
            </w:r>
          </w:p>
        </w:tc>
      </w:tr>
      <w:tr w:rsidR="00C2657C" w:rsidRPr="006828EE" w14:paraId="7B2356DE" w14:textId="77777777" w:rsidTr="00C52419">
        <w:trPr>
          <w:trHeight w:val="315"/>
        </w:trPr>
        <w:tc>
          <w:tcPr>
            <w:tcW w:w="1240" w:type="dxa"/>
            <w:tcBorders>
              <w:top w:val="nil"/>
              <w:left w:val="nil"/>
              <w:bottom w:val="nil"/>
              <w:right w:val="nil"/>
            </w:tcBorders>
            <w:shd w:val="clear" w:color="auto" w:fill="auto"/>
            <w:vAlign w:val="bottom"/>
            <w:hideMark/>
          </w:tcPr>
          <w:p w14:paraId="464C23CF" w14:textId="77777777" w:rsidR="00C2657C" w:rsidRPr="006828EE" w:rsidRDefault="00C2657C" w:rsidP="00C52419">
            <w:pPr>
              <w:keepNext/>
              <w:keepLines/>
              <w:tabs>
                <w:tab w:val="clear" w:pos="567"/>
              </w:tabs>
              <w:spacing w:after="0" w:line="240" w:lineRule="auto"/>
              <w:rPr>
                <w:rFonts w:ascii="Calibri" w:eastAsia="Times New Roman" w:hAnsi="Calibri" w:cs="Times New Roman"/>
                <w:sz w:val="20"/>
                <w:szCs w:val="20"/>
                <w:lang w:eastAsia="en-AU"/>
              </w:rPr>
            </w:pPr>
            <w:r w:rsidRPr="006828EE">
              <w:rPr>
                <w:rFonts w:ascii="Calibri" w:eastAsia="Times New Roman" w:hAnsi="Calibri" w:cs="Times New Roman"/>
                <w:sz w:val="20"/>
                <w:szCs w:val="20"/>
                <w:lang w:eastAsia="en-AU"/>
              </w:rPr>
              <w:t>Planning</w:t>
            </w:r>
          </w:p>
        </w:tc>
        <w:tc>
          <w:tcPr>
            <w:tcW w:w="920" w:type="dxa"/>
            <w:tcBorders>
              <w:top w:val="nil"/>
              <w:left w:val="nil"/>
              <w:bottom w:val="nil"/>
              <w:right w:val="nil"/>
            </w:tcBorders>
            <w:shd w:val="clear" w:color="auto" w:fill="auto"/>
            <w:vAlign w:val="bottom"/>
            <w:hideMark/>
          </w:tcPr>
          <w:p w14:paraId="7206A146" w14:textId="77777777" w:rsidR="00C2657C" w:rsidRPr="006828EE" w:rsidRDefault="00C2657C" w:rsidP="00C52419">
            <w:pPr>
              <w:keepNext/>
              <w:keepLines/>
              <w:tabs>
                <w:tab w:val="clear" w:pos="567"/>
              </w:tabs>
              <w:spacing w:after="0" w:line="240" w:lineRule="auto"/>
              <w:jc w:val="right"/>
              <w:rPr>
                <w:rFonts w:ascii="Calibri" w:eastAsia="Times New Roman" w:hAnsi="Calibri" w:cs="Times New Roman"/>
                <w:sz w:val="20"/>
                <w:szCs w:val="20"/>
                <w:lang w:eastAsia="en-AU"/>
              </w:rPr>
            </w:pPr>
            <w:r w:rsidRPr="006828EE">
              <w:rPr>
                <w:rFonts w:ascii="Calibri" w:eastAsia="Times New Roman" w:hAnsi="Calibri" w:cstheme="minorHAnsi"/>
                <w:sz w:val="20"/>
                <w:szCs w:val="20"/>
                <w:lang w:eastAsia="en-AU"/>
              </w:rPr>
              <w:t>-6</w:t>
            </w:r>
          </w:p>
        </w:tc>
        <w:tc>
          <w:tcPr>
            <w:tcW w:w="820" w:type="dxa"/>
            <w:tcBorders>
              <w:top w:val="nil"/>
              <w:left w:val="nil"/>
              <w:bottom w:val="nil"/>
              <w:right w:val="nil"/>
            </w:tcBorders>
            <w:shd w:val="clear" w:color="auto" w:fill="auto"/>
            <w:vAlign w:val="bottom"/>
            <w:hideMark/>
          </w:tcPr>
          <w:p w14:paraId="0365FBE9" w14:textId="77777777" w:rsidR="00C2657C" w:rsidRPr="006828EE" w:rsidRDefault="00C2657C" w:rsidP="00C52419">
            <w:pPr>
              <w:keepNext/>
              <w:keepLines/>
              <w:tabs>
                <w:tab w:val="clear" w:pos="567"/>
              </w:tabs>
              <w:spacing w:after="0" w:line="240" w:lineRule="auto"/>
              <w:jc w:val="right"/>
              <w:rPr>
                <w:rFonts w:ascii="Calibri" w:eastAsia="Times New Roman" w:hAnsi="Calibri" w:cs="Times New Roman"/>
                <w:sz w:val="20"/>
                <w:szCs w:val="20"/>
                <w:lang w:eastAsia="en-AU"/>
              </w:rPr>
            </w:pPr>
            <w:r w:rsidRPr="006828EE">
              <w:rPr>
                <w:rFonts w:ascii="Calibri" w:eastAsia="Times New Roman" w:hAnsi="Calibri" w:cstheme="minorHAnsi"/>
                <w:sz w:val="20"/>
                <w:szCs w:val="20"/>
                <w:lang w:eastAsia="en-AU"/>
              </w:rPr>
              <w:t>-4</w:t>
            </w:r>
          </w:p>
        </w:tc>
        <w:tc>
          <w:tcPr>
            <w:tcW w:w="820" w:type="dxa"/>
            <w:tcBorders>
              <w:top w:val="nil"/>
              <w:left w:val="nil"/>
              <w:bottom w:val="nil"/>
              <w:right w:val="nil"/>
            </w:tcBorders>
            <w:shd w:val="clear" w:color="auto" w:fill="auto"/>
            <w:vAlign w:val="bottom"/>
            <w:hideMark/>
          </w:tcPr>
          <w:p w14:paraId="7A7DC852" w14:textId="77777777" w:rsidR="00C2657C" w:rsidRPr="006828EE" w:rsidRDefault="00C2657C" w:rsidP="00C52419">
            <w:pPr>
              <w:keepNext/>
              <w:keepLines/>
              <w:tabs>
                <w:tab w:val="clear" w:pos="567"/>
              </w:tabs>
              <w:spacing w:after="0" w:line="240" w:lineRule="auto"/>
              <w:jc w:val="right"/>
              <w:rPr>
                <w:rFonts w:ascii="Calibri" w:eastAsia="Times New Roman" w:hAnsi="Calibri" w:cs="Times New Roman"/>
                <w:sz w:val="20"/>
                <w:szCs w:val="20"/>
                <w:lang w:eastAsia="en-AU"/>
              </w:rPr>
            </w:pPr>
            <w:r w:rsidRPr="006828EE">
              <w:rPr>
                <w:rFonts w:ascii="Calibri" w:eastAsia="Times New Roman" w:hAnsi="Calibri" w:cstheme="minorHAnsi"/>
                <w:sz w:val="20"/>
                <w:szCs w:val="20"/>
                <w:lang w:eastAsia="en-AU"/>
              </w:rPr>
              <w:t>-4</w:t>
            </w:r>
          </w:p>
        </w:tc>
        <w:tc>
          <w:tcPr>
            <w:tcW w:w="820" w:type="dxa"/>
            <w:tcBorders>
              <w:top w:val="nil"/>
              <w:left w:val="nil"/>
              <w:bottom w:val="nil"/>
              <w:right w:val="nil"/>
            </w:tcBorders>
            <w:shd w:val="clear" w:color="auto" w:fill="auto"/>
            <w:vAlign w:val="bottom"/>
            <w:hideMark/>
          </w:tcPr>
          <w:p w14:paraId="467AF836" w14:textId="77777777" w:rsidR="00C2657C" w:rsidRPr="006828EE" w:rsidRDefault="00C2657C" w:rsidP="00C52419">
            <w:pPr>
              <w:keepNext/>
              <w:keepLines/>
              <w:tabs>
                <w:tab w:val="clear" w:pos="567"/>
              </w:tabs>
              <w:spacing w:after="0" w:line="240" w:lineRule="auto"/>
              <w:jc w:val="right"/>
              <w:rPr>
                <w:rFonts w:ascii="Calibri" w:eastAsia="Times New Roman" w:hAnsi="Calibri" w:cs="Times New Roman"/>
                <w:sz w:val="20"/>
                <w:szCs w:val="20"/>
                <w:lang w:eastAsia="en-AU"/>
              </w:rPr>
            </w:pPr>
            <w:r w:rsidRPr="006828EE">
              <w:rPr>
                <w:rFonts w:ascii="Calibri" w:eastAsia="Times New Roman" w:hAnsi="Calibri" w:cstheme="minorHAnsi"/>
                <w:sz w:val="20"/>
                <w:szCs w:val="20"/>
                <w:lang w:eastAsia="en-AU"/>
              </w:rPr>
              <w:t>-2</w:t>
            </w:r>
          </w:p>
        </w:tc>
        <w:tc>
          <w:tcPr>
            <w:tcW w:w="820" w:type="dxa"/>
            <w:tcBorders>
              <w:top w:val="nil"/>
              <w:left w:val="nil"/>
              <w:bottom w:val="nil"/>
              <w:right w:val="nil"/>
            </w:tcBorders>
            <w:shd w:val="clear" w:color="auto" w:fill="auto"/>
            <w:vAlign w:val="bottom"/>
            <w:hideMark/>
          </w:tcPr>
          <w:p w14:paraId="76910435" w14:textId="77777777" w:rsidR="00C2657C" w:rsidRPr="006828EE" w:rsidRDefault="00C2657C" w:rsidP="00C52419">
            <w:pPr>
              <w:keepNext/>
              <w:keepLines/>
              <w:tabs>
                <w:tab w:val="clear" w:pos="567"/>
              </w:tabs>
              <w:spacing w:after="0" w:line="240" w:lineRule="auto"/>
              <w:jc w:val="right"/>
              <w:rPr>
                <w:rFonts w:ascii="Calibri" w:eastAsia="Times New Roman" w:hAnsi="Calibri" w:cs="Times New Roman"/>
                <w:sz w:val="20"/>
                <w:szCs w:val="20"/>
                <w:lang w:eastAsia="en-AU"/>
              </w:rPr>
            </w:pPr>
            <w:r w:rsidRPr="006828EE">
              <w:rPr>
                <w:rFonts w:ascii="Calibri" w:eastAsia="Times New Roman" w:hAnsi="Calibri" w:cstheme="minorHAnsi"/>
                <w:sz w:val="20"/>
                <w:szCs w:val="20"/>
                <w:lang w:eastAsia="en-AU"/>
              </w:rPr>
              <w:t>-1</w:t>
            </w:r>
          </w:p>
        </w:tc>
        <w:tc>
          <w:tcPr>
            <w:tcW w:w="820" w:type="dxa"/>
            <w:tcBorders>
              <w:top w:val="nil"/>
              <w:left w:val="nil"/>
              <w:bottom w:val="nil"/>
              <w:right w:val="nil"/>
            </w:tcBorders>
            <w:shd w:val="clear" w:color="auto" w:fill="auto"/>
            <w:vAlign w:val="bottom"/>
            <w:hideMark/>
          </w:tcPr>
          <w:p w14:paraId="345B683B" w14:textId="77777777" w:rsidR="00C2657C" w:rsidRPr="006828EE" w:rsidRDefault="00C2657C" w:rsidP="00C52419">
            <w:pPr>
              <w:keepNext/>
              <w:keepLines/>
              <w:tabs>
                <w:tab w:val="clear" w:pos="567"/>
              </w:tabs>
              <w:spacing w:after="0" w:line="240" w:lineRule="auto"/>
              <w:jc w:val="right"/>
              <w:rPr>
                <w:rFonts w:ascii="Calibri" w:eastAsia="Times New Roman" w:hAnsi="Calibri" w:cs="Times New Roman"/>
                <w:sz w:val="20"/>
                <w:szCs w:val="20"/>
                <w:lang w:eastAsia="en-AU"/>
              </w:rPr>
            </w:pPr>
            <w:r w:rsidRPr="006828EE">
              <w:rPr>
                <w:rFonts w:ascii="Calibri" w:eastAsia="Times New Roman" w:hAnsi="Calibri" w:cstheme="minorHAnsi"/>
                <w:sz w:val="20"/>
                <w:szCs w:val="20"/>
                <w:lang w:eastAsia="en-AU"/>
              </w:rPr>
              <w:t>0</w:t>
            </w:r>
          </w:p>
        </w:tc>
        <w:tc>
          <w:tcPr>
            <w:tcW w:w="820" w:type="dxa"/>
            <w:tcBorders>
              <w:top w:val="nil"/>
              <w:left w:val="nil"/>
              <w:bottom w:val="nil"/>
              <w:right w:val="nil"/>
            </w:tcBorders>
            <w:shd w:val="clear" w:color="auto" w:fill="auto"/>
            <w:vAlign w:val="bottom"/>
            <w:hideMark/>
          </w:tcPr>
          <w:p w14:paraId="31BA6664" w14:textId="77777777" w:rsidR="00C2657C" w:rsidRPr="006828EE" w:rsidRDefault="00C2657C" w:rsidP="00C52419">
            <w:pPr>
              <w:keepNext/>
              <w:keepLines/>
              <w:tabs>
                <w:tab w:val="clear" w:pos="567"/>
              </w:tabs>
              <w:spacing w:after="0" w:line="240" w:lineRule="auto"/>
              <w:jc w:val="right"/>
              <w:rPr>
                <w:rFonts w:ascii="Calibri" w:eastAsia="Times New Roman" w:hAnsi="Calibri" w:cs="Times New Roman"/>
                <w:sz w:val="20"/>
                <w:szCs w:val="20"/>
                <w:lang w:eastAsia="en-AU"/>
              </w:rPr>
            </w:pPr>
            <w:r w:rsidRPr="006828EE">
              <w:rPr>
                <w:rFonts w:ascii="Calibri" w:eastAsia="Times New Roman" w:hAnsi="Calibri" w:cstheme="minorHAnsi"/>
                <w:sz w:val="20"/>
                <w:szCs w:val="20"/>
                <w:lang w:eastAsia="en-AU"/>
              </w:rPr>
              <w:t>17</w:t>
            </w:r>
          </w:p>
        </w:tc>
        <w:tc>
          <w:tcPr>
            <w:tcW w:w="820" w:type="dxa"/>
            <w:tcBorders>
              <w:top w:val="nil"/>
              <w:left w:val="nil"/>
              <w:bottom w:val="nil"/>
              <w:right w:val="nil"/>
            </w:tcBorders>
            <w:shd w:val="clear" w:color="auto" w:fill="auto"/>
            <w:vAlign w:val="bottom"/>
            <w:hideMark/>
          </w:tcPr>
          <w:p w14:paraId="56F6E4B1" w14:textId="77777777" w:rsidR="00C2657C" w:rsidRPr="006828EE" w:rsidRDefault="00C2657C" w:rsidP="00C52419">
            <w:pPr>
              <w:keepNext/>
              <w:keepLines/>
              <w:tabs>
                <w:tab w:val="clear" w:pos="567"/>
              </w:tabs>
              <w:spacing w:after="0" w:line="240" w:lineRule="auto"/>
              <w:jc w:val="right"/>
              <w:rPr>
                <w:rFonts w:ascii="Calibri" w:eastAsia="Times New Roman" w:hAnsi="Calibri" w:cs="Times New Roman"/>
                <w:sz w:val="20"/>
                <w:szCs w:val="20"/>
                <w:lang w:eastAsia="en-AU"/>
              </w:rPr>
            </w:pPr>
            <w:r w:rsidRPr="006828EE">
              <w:rPr>
                <w:rFonts w:ascii="Calibri" w:eastAsia="Times New Roman" w:hAnsi="Calibri" w:cstheme="minorHAnsi"/>
                <w:sz w:val="20"/>
                <w:szCs w:val="20"/>
                <w:lang w:eastAsia="en-AU"/>
              </w:rPr>
              <w:t>0</w:t>
            </w:r>
          </w:p>
        </w:tc>
        <w:tc>
          <w:tcPr>
            <w:tcW w:w="1060" w:type="dxa"/>
            <w:tcBorders>
              <w:top w:val="nil"/>
              <w:left w:val="nil"/>
              <w:bottom w:val="nil"/>
              <w:right w:val="nil"/>
            </w:tcBorders>
            <w:shd w:val="clear" w:color="auto" w:fill="auto"/>
            <w:vAlign w:val="bottom"/>
            <w:hideMark/>
          </w:tcPr>
          <w:p w14:paraId="58B03663" w14:textId="77777777" w:rsidR="00C2657C" w:rsidRPr="006828EE" w:rsidRDefault="00C2657C" w:rsidP="00C52419">
            <w:pPr>
              <w:keepNext/>
              <w:keepLines/>
              <w:tabs>
                <w:tab w:val="clear" w:pos="567"/>
              </w:tabs>
              <w:spacing w:after="0" w:line="240" w:lineRule="auto"/>
              <w:jc w:val="right"/>
              <w:rPr>
                <w:rFonts w:ascii="Calibri" w:eastAsia="Times New Roman" w:hAnsi="Calibri" w:cs="Times New Roman"/>
                <w:sz w:val="20"/>
                <w:szCs w:val="20"/>
                <w:lang w:eastAsia="en-AU"/>
              </w:rPr>
            </w:pPr>
            <w:r w:rsidRPr="006828EE">
              <w:rPr>
                <w:rFonts w:ascii="Calibri" w:eastAsia="Times New Roman" w:hAnsi="Calibri" w:cstheme="minorHAnsi"/>
                <w:sz w:val="20"/>
                <w:szCs w:val="20"/>
                <w:lang w:eastAsia="en-AU"/>
              </w:rPr>
              <w:t>17</w:t>
            </w:r>
          </w:p>
        </w:tc>
      </w:tr>
      <w:tr w:rsidR="00060EB6" w:rsidRPr="006828EE" w14:paraId="6D093423" w14:textId="77777777" w:rsidTr="00C52419">
        <w:trPr>
          <w:trHeight w:val="315"/>
        </w:trPr>
        <w:tc>
          <w:tcPr>
            <w:tcW w:w="1240" w:type="dxa"/>
            <w:tcBorders>
              <w:top w:val="nil"/>
              <w:left w:val="nil"/>
              <w:bottom w:val="nil"/>
              <w:right w:val="nil"/>
            </w:tcBorders>
            <w:shd w:val="clear" w:color="auto" w:fill="auto"/>
            <w:vAlign w:val="bottom"/>
            <w:hideMark/>
          </w:tcPr>
          <w:p w14:paraId="15C879DD" w14:textId="77777777" w:rsidR="00060EB6" w:rsidRPr="006828EE" w:rsidRDefault="00060EB6" w:rsidP="00C52419">
            <w:pPr>
              <w:keepNext/>
              <w:keepLines/>
              <w:tabs>
                <w:tab w:val="clear" w:pos="567"/>
              </w:tabs>
              <w:spacing w:after="0" w:line="240" w:lineRule="auto"/>
              <w:rPr>
                <w:rFonts w:ascii="Calibri" w:eastAsia="Times New Roman" w:hAnsi="Calibri" w:cs="Times New Roman"/>
                <w:sz w:val="20"/>
                <w:szCs w:val="20"/>
                <w:lang w:eastAsia="en-AU"/>
              </w:rPr>
            </w:pPr>
            <w:r w:rsidRPr="006828EE">
              <w:rPr>
                <w:rFonts w:ascii="Calibri" w:eastAsia="Times New Roman" w:hAnsi="Calibri" w:cs="Times New Roman"/>
                <w:sz w:val="20"/>
                <w:szCs w:val="20"/>
                <w:lang w:eastAsia="en-AU"/>
              </w:rPr>
              <w:t>Police</w:t>
            </w:r>
          </w:p>
        </w:tc>
        <w:tc>
          <w:tcPr>
            <w:tcW w:w="920" w:type="dxa"/>
            <w:tcBorders>
              <w:top w:val="nil"/>
              <w:left w:val="nil"/>
              <w:bottom w:val="nil"/>
              <w:right w:val="nil"/>
            </w:tcBorders>
            <w:shd w:val="clear" w:color="auto" w:fill="auto"/>
            <w:vAlign w:val="bottom"/>
            <w:hideMark/>
          </w:tcPr>
          <w:p w14:paraId="46F7C676" w14:textId="00D20510" w:rsidR="00060EB6" w:rsidRPr="006828EE" w:rsidRDefault="00060EB6" w:rsidP="00C52419">
            <w:pPr>
              <w:keepNext/>
              <w:keepLines/>
              <w:tabs>
                <w:tab w:val="clear" w:pos="567"/>
              </w:tabs>
              <w:spacing w:after="0" w:line="240" w:lineRule="auto"/>
              <w:jc w:val="right"/>
              <w:rPr>
                <w:rFonts w:ascii="Calibri" w:eastAsia="Times New Roman" w:hAnsi="Calibri" w:cs="Times New Roman"/>
                <w:sz w:val="20"/>
                <w:szCs w:val="20"/>
                <w:lang w:eastAsia="en-AU"/>
              </w:rPr>
            </w:pPr>
            <w:r w:rsidRPr="00060EB6">
              <w:rPr>
                <w:rFonts w:ascii="Calibri" w:eastAsia="Times New Roman" w:hAnsi="Calibri" w:cstheme="minorHAnsi"/>
                <w:sz w:val="20"/>
                <w:szCs w:val="20"/>
                <w:lang w:eastAsia="en-AU"/>
              </w:rPr>
              <w:t>-3</w:t>
            </w:r>
          </w:p>
        </w:tc>
        <w:tc>
          <w:tcPr>
            <w:tcW w:w="820" w:type="dxa"/>
            <w:tcBorders>
              <w:top w:val="nil"/>
              <w:left w:val="nil"/>
              <w:bottom w:val="nil"/>
              <w:right w:val="nil"/>
            </w:tcBorders>
            <w:shd w:val="clear" w:color="auto" w:fill="auto"/>
            <w:vAlign w:val="bottom"/>
            <w:hideMark/>
          </w:tcPr>
          <w:p w14:paraId="2A857908" w14:textId="1B42A629" w:rsidR="00060EB6" w:rsidRPr="006828EE" w:rsidRDefault="00060EB6" w:rsidP="00C52419">
            <w:pPr>
              <w:keepNext/>
              <w:keepLines/>
              <w:tabs>
                <w:tab w:val="clear" w:pos="567"/>
              </w:tabs>
              <w:spacing w:after="0" w:line="240" w:lineRule="auto"/>
              <w:jc w:val="right"/>
              <w:rPr>
                <w:rFonts w:ascii="Calibri" w:eastAsia="Times New Roman" w:hAnsi="Calibri" w:cs="Times New Roman"/>
                <w:sz w:val="20"/>
                <w:szCs w:val="20"/>
                <w:lang w:eastAsia="en-AU"/>
              </w:rPr>
            </w:pPr>
            <w:r w:rsidRPr="00060EB6">
              <w:rPr>
                <w:rFonts w:ascii="Calibri" w:eastAsia="Times New Roman" w:hAnsi="Calibri" w:cstheme="minorHAnsi"/>
                <w:sz w:val="20"/>
                <w:szCs w:val="20"/>
                <w:lang w:eastAsia="en-AU"/>
              </w:rPr>
              <w:t>-2</w:t>
            </w:r>
          </w:p>
        </w:tc>
        <w:tc>
          <w:tcPr>
            <w:tcW w:w="820" w:type="dxa"/>
            <w:tcBorders>
              <w:top w:val="nil"/>
              <w:left w:val="nil"/>
              <w:bottom w:val="nil"/>
              <w:right w:val="nil"/>
            </w:tcBorders>
            <w:shd w:val="clear" w:color="auto" w:fill="auto"/>
            <w:vAlign w:val="bottom"/>
            <w:hideMark/>
          </w:tcPr>
          <w:p w14:paraId="5D80EB6A" w14:textId="368D8217" w:rsidR="00060EB6" w:rsidRPr="006828EE" w:rsidRDefault="00060EB6" w:rsidP="00C52419">
            <w:pPr>
              <w:keepNext/>
              <w:keepLines/>
              <w:tabs>
                <w:tab w:val="clear" w:pos="567"/>
              </w:tabs>
              <w:spacing w:after="0" w:line="240" w:lineRule="auto"/>
              <w:jc w:val="right"/>
              <w:rPr>
                <w:rFonts w:ascii="Calibri" w:eastAsia="Times New Roman" w:hAnsi="Calibri" w:cs="Times New Roman"/>
                <w:sz w:val="20"/>
                <w:szCs w:val="20"/>
                <w:lang w:eastAsia="en-AU"/>
              </w:rPr>
            </w:pPr>
            <w:r w:rsidRPr="00060EB6">
              <w:rPr>
                <w:rFonts w:ascii="Calibri" w:eastAsia="Times New Roman" w:hAnsi="Calibri" w:cstheme="minorHAnsi"/>
                <w:sz w:val="20"/>
                <w:szCs w:val="20"/>
                <w:lang w:eastAsia="en-AU"/>
              </w:rPr>
              <w:t>-2</w:t>
            </w:r>
          </w:p>
        </w:tc>
        <w:tc>
          <w:tcPr>
            <w:tcW w:w="820" w:type="dxa"/>
            <w:tcBorders>
              <w:top w:val="nil"/>
              <w:left w:val="nil"/>
              <w:bottom w:val="nil"/>
              <w:right w:val="nil"/>
            </w:tcBorders>
            <w:shd w:val="clear" w:color="auto" w:fill="auto"/>
            <w:vAlign w:val="bottom"/>
            <w:hideMark/>
          </w:tcPr>
          <w:p w14:paraId="35D43499" w14:textId="249F9D65" w:rsidR="00060EB6" w:rsidRPr="006828EE" w:rsidRDefault="00060EB6" w:rsidP="00C52419">
            <w:pPr>
              <w:keepNext/>
              <w:keepLines/>
              <w:tabs>
                <w:tab w:val="clear" w:pos="567"/>
              </w:tabs>
              <w:spacing w:after="0" w:line="240" w:lineRule="auto"/>
              <w:jc w:val="right"/>
              <w:rPr>
                <w:rFonts w:ascii="Calibri" w:eastAsia="Times New Roman" w:hAnsi="Calibri" w:cs="Times New Roman"/>
                <w:sz w:val="20"/>
                <w:szCs w:val="20"/>
                <w:lang w:eastAsia="en-AU"/>
              </w:rPr>
            </w:pPr>
            <w:r w:rsidRPr="00060EB6">
              <w:rPr>
                <w:rFonts w:ascii="Calibri" w:eastAsia="Times New Roman" w:hAnsi="Calibri" w:cstheme="minorHAnsi"/>
                <w:sz w:val="20"/>
                <w:szCs w:val="20"/>
                <w:lang w:eastAsia="en-AU"/>
              </w:rPr>
              <w:t>-1</w:t>
            </w:r>
          </w:p>
        </w:tc>
        <w:tc>
          <w:tcPr>
            <w:tcW w:w="820" w:type="dxa"/>
            <w:tcBorders>
              <w:top w:val="nil"/>
              <w:left w:val="nil"/>
              <w:bottom w:val="nil"/>
              <w:right w:val="nil"/>
            </w:tcBorders>
            <w:shd w:val="clear" w:color="auto" w:fill="auto"/>
            <w:vAlign w:val="bottom"/>
            <w:hideMark/>
          </w:tcPr>
          <w:p w14:paraId="28F2AB6C" w14:textId="5254791A" w:rsidR="00060EB6" w:rsidRPr="006828EE" w:rsidRDefault="00060EB6" w:rsidP="00C52419">
            <w:pPr>
              <w:keepNext/>
              <w:keepLines/>
              <w:tabs>
                <w:tab w:val="clear" w:pos="567"/>
              </w:tabs>
              <w:spacing w:after="0" w:line="240" w:lineRule="auto"/>
              <w:jc w:val="right"/>
              <w:rPr>
                <w:rFonts w:ascii="Calibri" w:eastAsia="Times New Roman" w:hAnsi="Calibri" w:cs="Times New Roman"/>
                <w:sz w:val="20"/>
                <w:szCs w:val="20"/>
                <w:lang w:eastAsia="en-AU"/>
              </w:rPr>
            </w:pPr>
            <w:r w:rsidRPr="00060EB6">
              <w:rPr>
                <w:rFonts w:ascii="Calibri" w:eastAsia="Times New Roman" w:hAnsi="Calibri" w:cstheme="minorHAnsi"/>
                <w:sz w:val="20"/>
                <w:szCs w:val="20"/>
                <w:lang w:eastAsia="en-AU"/>
              </w:rPr>
              <w:t>-1</w:t>
            </w:r>
          </w:p>
        </w:tc>
        <w:tc>
          <w:tcPr>
            <w:tcW w:w="820" w:type="dxa"/>
            <w:tcBorders>
              <w:top w:val="nil"/>
              <w:left w:val="nil"/>
              <w:bottom w:val="nil"/>
              <w:right w:val="nil"/>
            </w:tcBorders>
            <w:shd w:val="clear" w:color="auto" w:fill="auto"/>
            <w:vAlign w:val="bottom"/>
            <w:hideMark/>
          </w:tcPr>
          <w:p w14:paraId="00A71FE9" w14:textId="355D2420" w:rsidR="00060EB6" w:rsidRPr="006828EE" w:rsidRDefault="00060EB6" w:rsidP="00C52419">
            <w:pPr>
              <w:keepNext/>
              <w:keepLines/>
              <w:tabs>
                <w:tab w:val="clear" w:pos="567"/>
              </w:tabs>
              <w:spacing w:after="0" w:line="240" w:lineRule="auto"/>
              <w:jc w:val="right"/>
              <w:rPr>
                <w:rFonts w:ascii="Calibri" w:eastAsia="Times New Roman" w:hAnsi="Calibri" w:cs="Times New Roman"/>
                <w:sz w:val="20"/>
                <w:szCs w:val="20"/>
                <w:lang w:eastAsia="en-AU"/>
              </w:rPr>
            </w:pPr>
            <w:r w:rsidRPr="00060EB6">
              <w:rPr>
                <w:rFonts w:ascii="Calibri" w:eastAsia="Times New Roman" w:hAnsi="Calibri" w:cstheme="minorHAnsi"/>
                <w:sz w:val="20"/>
                <w:szCs w:val="20"/>
                <w:lang w:eastAsia="en-AU"/>
              </w:rPr>
              <w:t>-0</w:t>
            </w:r>
          </w:p>
        </w:tc>
        <w:tc>
          <w:tcPr>
            <w:tcW w:w="820" w:type="dxa"/>
            <w:tcBorders>
              <w:top w:val="nil"/>
              <w:left w:val="nil"/>
              <w:bottom w:val="nil"/>
              <w:right w:val="nil"/>
            </w:tcBorders>
            <w:shd w:val="clear" w:color="auto" w:fill="auto"/>
            <w:vAlign w:val="bottom"/>
            <w:hideMark/>
          </w:tcPr>
          <w:p w14:paraId="267FE0AC" w14:textId="1087CC46" w:rsidR="00060EB6" w:rsidRPr="006828EE" w:rsidRDefault="00060EB6" w:rsidP="00C52419">
            <w:pPr>
              <w:keepNext/>
              <w:keepLines/>
              <w:tabs>
                <w:tab w:val="clear" w:pos="567"/>
              </w:tabs>
              <w:spacing w:after="0" w:line="240" w:lineRule="auto"/>
              <w:jc w:val="right"/>
              <w:rPr>
                <w:rFonts w:ascii="Calibri" w:eastAsia="Times New Roman" w:hAnsi="Calibri" w:cs="Times New Roman"/>
                <w:sz w:val="20"/>
                <w:szCs w:val="20"/>
                <w:lang w:eastAsia="en-AU"/>
              </w:rPr>
            </w:pPr>
            <w:r w:rsidRPr="00060EB6">
              <w:rPr>
                <w:rFonts w:ascii="Calibri" w:eastAsia="Times New Roman" w:hAnsi="Calibri" w:cstheme="minorHAnsi"/>
                <w:sz w:val="20"/>
                <w:szCs w:val="20"/>
                <w:lang w:eastAsia="en-AU"/>
              </w:rPr>
              <w:t>9</w:t>
            </w:r>
          </w:p>
        </w:tc>
        <w:tc>
          <w:tcPr>
            <w:tcW w:w="820" w:type="dxa"/>
            <w:tcBorders>
              <w:top w:val="nil"/>
              <w:left w:val="nil"/>
              <w:bottom w:val="nil"/>
              <w:right w:val="nil"/>
            </w:tcBorders>
            <w:shd w:val="clear" w:color="auto" w:fill="auto"/>
            <w:vAlign w:val="bottom"/>
            <w:hideMark/>
          </w:tcPr>
          <w:p w14:paraId="12DAF4B7" w14:textId="54E8A717" w:rsidR="00060EB6" w:rsidRPr="006828EE" w:rsidRDefault="00060EB6" w:rsidP="00C52419">
            <w:pPr>
              <w:keepNext/>
              <w:keepLines/>
              <w:tabs>
                <w:tab w:val="clear" w:pos="567"/>
              </w:tabs>
              <w:spacing w:after="0" w:line="240" w:lineRule="auto"/>
              <w:jc w:val="right"/>
              <w:rPr>
                <w:rFonts w:ascii="Calibri" w:eastAsia="Times New Roman" w:hAnsi="Calibri" w:cs="Times New Roman"/>
                <w:sz w:val="20"/>
                <w:szCs w:val="20"/>
                <w:lang w:eastAsia="en-AU"/>
              </w:rPr>
            </w:pPr>
            <w:r w:rsidRPr="00060EB6">
              <w:rPr>
                <w:rFonts w:ascii="Calibri" w:eastAsia="Times New Roman" w:hAnsi="Calibri" w:cstheme="minorHAnsi"/>
                <w:sz w:val="20"/>
                <w:szCs w:val="20"/>
                <w:lang w:eastAsia="en-AU"/>
              </w:rPr>
              <w:t>-0</w:t>
            </w:r>
          </w:p>
        </w:tc>
        <w:tc>
          <w:tcPr>
            <w:tcW w:w="1060" w:type="dxa"/>
            <w:tcBorders>
              <w:top w:val="nil"/>
              <w:left w:val="nil"/>
              <w:bottom w:val="nil"/>
              <w:right w:val="nil"/>
            </w:tcBorders>
            <w:shd w:val="clear" w:color="auto" w:fill="auto"/>
            <w:vAlign w:val="bottom"/>
            <w:hideMark/>
          </w:tcPr>
          <w:p w14:paraId="74EAC15E" w14:textId="620A4D29" w:rsidR="00060EB6" w:rsidRPr="006828EE" w:rsidRDefault="00060EB6" w:rsidP="00C52419">
            <w:pPr>
              <w:keepNext/>
              <w:keepLines/>
              <w:tabs>
                <w:tab w:val="clear" w:pos="567"/>
              </w:tabs>
              <w:spacing w:after="0" w:line="240" w:lineRule="auto"/>
              <w:jc w:val="right"/>
              <w:rPr>
                <w:rFonts w:ascii="Calibri" w:eastAsia="Times New Roman" w:hAnsi="Calibri" w:cs="Times New Roman"/>
                <w:sz w:val="20"/>
                <w:szCs w:val="20"/>
                <w:lang w:eastAsia="en-AU"/>
              </w:rPr>
            </w:pPr>
            <w:r w:rsidRPr="00060EB6">
              <w:rPr>
                <w:rFonts w:ascii="Calibri" w:eastAsia="Times New Roman" w:hAnsi="Calibri" w:cstheme="minorHAnsi"/>
                <w:sz w:val="20"/>
                <w:szCs w:val="20"/>
                <w:lang w:eastAsia="en-AU"/>
              </w:rPr>
              <w:t>0</w:t>
            </w:r>
          </w:p>
        </w:tc>
      </w:tr>
      <w:tr w:rsidR="00060EB6" w:rsidRPr="006828EE" w14:paraId="34893C2B" w14:textId="77777777" w:rsidTr="00C52419">
        <w:trPr>
          <w:trHeight w:val="315"/>
        </w:trPr>
        <w:tc>
          <w:tcPr>
            <w:tcW w:w="1240" w:type="dxa"/>
            <w:tcBorders>
              <w:top w:val="nil"/>
              <w:left w:val="nil"/>
              <w:bottom w:val="nil"/>
              <w:right w:val="nil"/>
            </w:tcBorders>
            <w:shd w:val="clear" w:color="auto" w:fill="auto"/>
            <w:vAlign w:val="bottom"/>
            <w:hideMark/>
          </w:tcPr>
          <w:p w14:paraId="1522040D" w14:textId="77777777" w:rsidR="00060EB6" w:rsidRPr="006828EE" w:rsidRDefault="00060EB6" w:rsidP="00C52419">
            <w:pPr>
              <w:keepNext/>
              <w:keepLines/>
              <w:tabs>
                <w:tab w:val="clear" w:pos="567"/>
              </w:tabs>
              <w:spacing w:after="0" w:line="240" w:lineRule="auto"/>
              <w:rPr>
                <w:rFonts w:ascii="Calibri" w:eastAsia="Times New Roman" w:hAnsi="Calibri" w:cs="Times New Roman"/>
                <w:sz w:val="20"/>
                <w:szCs w:val="20"/>
                <w:lang w:eastAsia="en-AU"/>
              </w:rPr>
            </w:pPr>
            <w:r w:rsidRPr="006828EE">
              <w:rPr>
                <w:rFonts w:ascii="Calibri" w:eastAsia="Times New Roman" w:hAnsi="Calibri" w:cs="Times New Roman"/>
                <w:sz w:val="20"/>
                <w:szCs w:val="20"/>
                <w:lang w:eastAsia="en-AU"/>
              </w:rPr>
              <w:t>Roads</w:t>
            </w:r>
          </w:p>
        </w:tc>
        <w:tc>
          <w:tcPr>
            <w:tcW w:w="920" w:type="dxa"/>
            <w:tcBorders>
              <w:top w:val="nil"/>
              <w:left w:val="nil"/>
              <w:bottom w:val="nil"/>
              <w:right w:val="nil"/>
            </w:tcBorders>
            <w:shd w:val="clear" w:color="auto" w:fill="auto"/>
            <w:vAlign w:val="bottom"/>
            <w:hideMark/>
          </w:tcPr>
          <w:p w14:paraId="55021866" w14:textId="77777777" w:rsidR="00060EB6" w:rsidRPr="006828EE" w:rsidRDefault="00060EB6" w:rsidP="00C52419">
            <w:pPr>
              <w:keepNext/>
              <w:keepLines/>
              <w:tabs>
                <w:tab w:val="clear" w:pos="567"/>
              </w:tabs>
              <w:spacing w:after="0" w:line="240" w:lineRule="auto"/>
              <w:jc w:val="right"/>
              <w:rPr>
                <w:rFonts w:ascii="Calibri" w:eastAsia="Times New Roman" w:hAnsi="Calibri" w:cs="Times New Roman"/>
                <w:sz w:val="20"/>
                <w:szCs w:val="20"/>
                <w:lang w:eastAsia="en-AU"/>
              </w:rPr>
            </w:pPr>
            <w:r w:rsidRPr="006828EE">
              <w:rPr>
                <w:rFonts w:ascii="Calibri" w:eastAsia="Times New Roman" w:hAnsi="Calibri" w:cstheme="minorHAnsi"/>
                <w:sz w:val="20"/>
                <w:szCs w:val="20"/>
                <w:lang w:eastAsia="en-AU"/>
              </w:rPr>
              <w:t>-1</w:t>
            </w:r>
          </w:p>
        </w:tc>
        <w:tc>
          <w:tcPr>
            <w:tcW w:w="820" w:type="dxa"/>
            <w:tcBorders>
              <w:top w:val="nil"/>
              <w:left w:val="nil"/>
              <w:bottom w:val="nil"/>
              <w:right w:val="nil"/>
            </w:tcBorders>
            <w:shd w:val="clear" w:color="auto" w:fill="auto"/>
            <w:vAlign w:val="bottom"/>
            <w:hideMark/>
          </w:tcPr>
          <w:p w14:paraId="4C6EEB4D" w14:textId="77777777" w:rsidR="00060EB6" w:rsidRPr="006828EE" w:rsidRDefault="00060EB6" w:rsidP="00C52419">
            <w:pPr>
              <w:keepNext/>
              <w:keepLines/>
              <w:tabs>
                <w:tab w:val="clear" w:pos="567"/>
              </w:tabs>
              <w:spacing w:after="0" w:line="240" w:lineRule="auto"/>
              <w:jc w:val="right"/>
              <w:rPr>
                <w:rFonts w:ascii="Calibri" w:eastAsia="Times New Roman" w:hAnsi="Calibri" w:cs="Times New Roman"/>
                <w:sz w:val="20"/>
                <w:szCs w:val="20"/>
                <w:lang w:eastAsia="en-AU"/>
              </w:rPr>
            </w:pPr>
            <w:r w:rsidRPr="006828EE">
              <w:rPr>
                <w:rFonts w:ascii="Calibri" w:eastAsia="Times New Roman" w:hAnsi="Calibri" w:cstheme="minorHAnsi"/>
                <w:sz w:val="20"/>
                <w:szCs w:val="20"/>
                <w:lang w:eastAsia="en-AU"/>
              </w:rPr>
              <w:t>-1</w:t>
            </w:r>
          </w:p>
        </w:tc>
        <w:tc>
          <w:tcPr>
            <w:tcW w:w="820" w:type="dxa"/>
            <w:tcBorders>
              <w:top w:val="nil"/>
              <w:left w:val="nil"/>
              <w:bottom w:val="nil"/>
              <w:right w:val="nil"/>
            </w:tcBorders>
            <w:shd w:val="clear" w:color="auto" w:fill="auto"/>
            <w:vAlign w:val="bottom"/>
            <w:hideMark/>
          </w:tcPr>
          <w:p w14:paraId="5645D88A" w14:textId="77777777" w:rsidR="00060EB6" w:rsidRPr="006828EE" w:rsidRDefault="00060EB6" w:rsidP="00C52419">
            <w:pPr>
              <w:keepNext/>
              <w:keepLines/>
              <w:tabs>
                <w:tab w:val="clear" w:pos="567"/>
              </w:tabs>
              <w:spacing w:after="0" w:line="240" w:lineRule="auto"/>
              <w:jc w:val="right"/>
              <w:rPr>
                <w:rFonts w:ascii="Calibri" w:eastAsia="Times New Roman" w:hAnsi="Calibri" w:cs="Times New Roman"/>
                <w:sz w:val="20"/>
                <w:szCs w:val="20"/>
                <w:lang w:eastAsia="en-AU"/>
              </w:rPr>
            </w:pPr>
            <w:r w:rsidRPr="006828EE">
              <w:rPr>
                <w:rFonts w:ascii="Calibri" w:eastAsia="Times New Roman" w:hAnsi="Calibri" w:cstheme="minorHAnsi"/>
                <w:sz w:val="20"/>
                <w:szCs w:val="20"/>
                <w:lang w:eastAsia="en-AU"/>
              </w:rPr>
              <w:t>-1</w:t>
            </w:r>
          </w:p>
        </w:tc>
        <w:tc>
          <w:tcPr>
            <w:tcW w:w="820" w:type="dxa"/>
            <w:tcBorders>
              <w:top w:val="nil"/>
              <w:left w:val="nil"/>
              <w:bottom w:val="nil"/>
              <w:right w:val="nil"/>
            </w:tcBorders>
            <w:shd w:val="clear" w:color="auto" w:fill="auto"/>
            <w:vAlign w:val="bottom"/>
            <w:hideMark/>
          </w:tcPr>
          <w:p w14:paraId="509111BB" w14:textId="77777777" w:rsidR="00060EB6" w:rsidRPr="006828EE" w:rsidRDefault="00060EB6" w:rsidP="00C52419">
            <w:pPr>
              <w:keepNext/>
              <w:keepLines/>
              <w:tabs>
                <w:tab w:val="clear" w:pos="567"/>
              </w:tabs>
              <w:spacing w:after="0" w:line="240" w:lineRule="auto"/>
              <w:jc w:val="right"/>
              <w:rPr>
                <w:rFonts w:ascii="Calibri" w:eastAsia="Times New Roman" w:hAnsi="Calibri" w:cs="Times New Roman"/>
                <w:sz w:val="20"/>
                <w:szCs w:val="20"/>
                <w:lang w:eastAsia="en-AU"/>
              </w:rPr>
            </w:pPr>
            <w:r w:rsidRPr="006828EE">
              <w:rPr>
                <w:rFonts w:ascii="Calibri" w:eastAsia="Times New Roman" w:hAnsi="Calibri" w:cstheme="minorHAnsi"/>
                <w:sz w:val="20"/>
                <w:szCs w:val="20"/>
                <w:lang w:eastAsia="en-AU"/>
              </w:rPr>
              <w:t>0</w:t>
            </w:r>
          </w:p>
        </w:tc>
        <w:tc>
          <w:tcPr>
            <w:tcW w:w="820" w:type="dxa"/>
            <w:tcBorders>
              <w:top w:val="nil"/>
              <w:left w:val="nil"/>
              <w:bottom w:val="nil"/>
              <w:right w:val="nil"/>
            </w:tcBorders>
            <w:shd w:val="clear" w:color="auto" w:fill="auto"/>
            <w:vAlign w:val="bottom"/>
            <w:hideMark/>
          </w:tcPr>
          <w:p w14:paraId="6862067A" w14:textId="77777777" w:rsidR="00060EB6" w:rsidRPr="006828EE" w:rsidRDefault="00060EB6" w:rsidP="00C52419">
            <w:pPr>
              <w:keepNext/>
              <w:keepLines/>
              <w:tabs>
                <w:tab w:val="clear" w:pos="567"/>
              </w:tabs>
              <w:spacing w:after="0" w:line="240" w:lineRule="auto"/>
              <w:jc w:val="right"/>
              <w:rPr>
                <w:rFonts w:ascii="Calibri" w:eastAsia="Times New Roman" w:hAnsi="Calibri" w:cs="Times New Roman"/>
                <w:sz w:val="20"/>
                <w:szCs w:val="20"/>
                <w:lang w:eastAsia="en-AU"/>
              </w:rPr>
            </w:pPr>
            <w:r w:rsidRPr="006828EE">
              <w:rPr>
                <w:rFonts w:ascii="Calibri" w:eastAsia="Times New Roman" w:hAnsi="Calibri" w:cstheme="minorHAnsi"/>
                <w:sz w:val="20"/>
                <w:szCs w:val="20"/>
                <w:lang w:eastAsia="en-AU"/>
              </w:rPr>
              <w:t>0</w:t>
            </w:r>
          </w:p>
        </w:tc>
        <w:tc>
          <w:tcPr>
            <w:tcW w:w="820" w:type="dxa"/>
            <w:tcBorders>
              <w:top w:val="nil"/>
              <w:left w:val="nil"/>
              <w:bottom w:val="nil"/>
              <w:right w:val="nil"/>
            </w:tcBorders>
            <w:shd w:val="clear" w:color="auto" w:fill="auto"/>
            <w:vAlign w:val="bottom"/>
            <w:hideMark/>
          </w:tcPr>
          <w:p w14:paraId="139F6478" w14:textId="77777777" w:rsidR="00060EB6" w:rsidRPr="006828EE" w:rsidRDefault="00060EB6" w:rsidP="00C52419">
            <w:pPr>
              <w:keepNext/>
              <w:keepLines/>
              <w:tabs>
                <w:tab w:val="clear" w:pos="567"/>
              </w:tabs>
              <w:spacing w:after="0" w:line="240" w:lineRule="auto"/>
              <w:jc w:val="right"/>
              <w:rPr>
                <w:rFonts w:ascii="Calibri" w:eastAsia="Times New Roman" w:hAnsi="Calibri" w:cs="Times New Roman"/>
                <w:sz w:val="20"/>
                <w:szCs w:val="20"/>
                <w:lang w:eastAsia="en-AU"/>
              </w:rPr>
            </w:pPr>
            <w:r w:rsidRPr="006828EE">
              <w:rPr>
                <w:rFonts w:ascii="Calibri" w:eastAsia="Times New Roman" w:hAnsi="Calibri" w:cstheme="minorHAnsi"/>
                <w:sz w:val="20"/>
                <w:szCs w:val="20"/>
                <w:lang w:eastAsia="en-AU"/>
              </w:rPr>
              <w:t>0</w:t>
            </w:r>
          </w:p>
        </w:tc>
        <w:tc>
          <w:tcPr>
            <w:tcW w:w="820" w:type="dxa"/>
            <w:tcBorders>
              <w:top w:val="nil"/>
              <w:left w:val="nil"/>
              <w:bottom w:val="nil"/>
              <w:right w:val="nil"/>
            </w:tcBorders>
            <w:shd w:val="clear" w:color="auto" w:fill="auto"/>
            <w:vAlign w:val="bottom"/>
            <w:hideMark/>
          </w:tcPr>
          <w:p w14:paraId="64DE0384" w14:textId="77777777" w:rsidR="00060EB6" w:rsidRPr="006828EE" w:rsidRDefault="00060EB6" w:rsidP="00C52419">
            <w:pPr>
              <w:keepNext/>
              <w:keepLines/>
              <w:tabs>
                <w:tab w:val="clear" w:pos="567"/>
              </w:tabs>
              <w:spacing w:after="0" w:line="240" w:lineRule="auto"/>
              <w:jc w:val="right"/>
              <w:rPr>
                <w:rFonts w:ascii="Calibri" w:eastAsia="Times New Roman" w:hAnsi="Calibri" w:cs="Times New Roman"/>
                <w:sz w:val="20"/>
                <w:szCs w:val="20"/>
                <w:lang w:eastAsia="en-AU"/>
              </w:rPr>
            </w:pPr>
            <w:r w:rsidRPr="006828EE">
              <w:rPr>
                <w:rFonts w:ascii="Calibri" w:eastAsia="Times New Roman" w:hAnsi="Calibri" w:cstheme="minorHAnsi"/>
                <w:sz w:val="20"/>
                <w:szCs w:val="20"/>
                <w:lang w:eastAsia="en-AU"/>
              </w:rPr>
              <w:t>4</w:t>
            </w:r>
          </w:p>
        </w:tc>
        <w:tc>
          <w:tcPr>
            <w:tcW w:w="820" w:type="dxa"/>
            <w:tcBorders>
              <w:top w:val="nil"/>
              <w:left w:val="nil"/>
              <w:bottom w:val="nil"/>
              <w:right w:val="nil"/>
            </w:tcBorders>
            <w:shd w:val="clear" w:color="auto" w:fill="auto"/>
            <w:vAlign w:val="bottom"/>
            <w:hideMark/>
          </w:tcPr>
          <w:p w14:paraId="3439DA70" w14:textId="77777777" w:rsidR="00060EB6" w:rsidRPr="006828EE" w:rsidRDefault="00060EB6" w:rsidP="00C52419">
            <w:pPr>
              <w:keepNext/>
              <w:keepLines/>
              <w:tabs>
                <w:tab w:val="clear" w:pos="567"/>
              </w:tabs>
              <w:spacing w:after="0" w:line="240" w:lineRule="auto"/>
              <w:jc w:val="right"/>
              <w:rPr>
                <w:rFonts w:ascii="Calibri" w:eastAsia="Times New Roman" w:hAnsi="Calibri" w:cs="Times New Roman"/>
                <w:sz w:val="20"/>
                <w:szCs w:val="20"/>
                <w:lang w:eastAsia="en-AU"/>
              </w:rPr>
            </w:pPr>
            <w:r w:rsidRPr="006828EE">
              <w:rPr>
                <w:rFonts w:ascii="Calibri" w:eastAsia="Times New Roman" w:hAnsi="Calibri" w:cstheme="minorHAnsi"/>
                <w:sz w:val="20"/>
                <w:szCs w:val="20"/>
                <w:lang w:eastAsia="en-AU"/>
              </w:rPr>
              <w:t>0</w:t>
            </w:r>
          </w:p>
        </w:tc>
        <w:tc>
          <w:tcPr>
            <w:tcW w:w="1060" w:type="dxa"/>
            <w:tcBorders>
              <w:top w:val="nil"/>
              <w:left w:val="nil"/>
              <w:bottom w:val="nil"/>
              <w:right w:val="nil"/>
            </w:tcBorders>
            <w:shd w:val="clear" w:color="auto" w:fill="auto"/>
            <w:vAlign w:val="bottom"/>
            <w:hideMark/>
          </w:tcPr>
          <w:p w14:paraId="2A7DBB5A" w14:textId="77777777" w:rsidR="00060EB6" w:rsidRPr="006828EE" w:rsidRDefault="00060EB6" w:rsidP="00C52419">
            <w:pPr>
              <w:keepNext/>
              <w:keepLines/>
              <w:tabs>
                <w:tab w:val="clear" w:pos="567"/>
              </w:tabs>
              <w:spacing w:after="0" w:line="240" w:lineRule="auto"/>
              <w:jc w:val="right"/>
              <w:rPr>
                <w:rFonts w:ascii="Calibri" w:eastAsia="Times New Roman" w:hAnsi="Calibri" w:cs="Times New Roman"/>
                <w:sz w:val="20"/>
                <w:szCs w:val="20"/>
                <w:lang w:eastAsia="en-AU"/>
              </w:rPr>
            </w:pPr>
            <w:r w:rsidRPr="006828EE">
              <w:rPr>
                <w:rFonts w:ascii="Calibri" w:eastAsia="Times New Roman" w:hAnsi="Calibri" w:cstheme="minorHAnsi"/>
                <w:sz w:val="20"/>
                <w:szCs w:val="20"/>
                <w:lang w:eastAsia="en-AU"/>
              </w:rPr>
              <w:t>4</w:t>
            </w:r>
          </w:p>
        </w:tc>
      </w:tr>
      <w:tr w:rsidR="00060EB6" w:rsidRPr="006828EE" w14:paraId="7C17F7FD" w14:textId="77777777" w:rsidTr="00C52419">
        <w:trPr>
          <w:trHeight w:val="315"/>
        </w:trPr>
        <w:tc>
          <w:tcPr>
            <w:tcW w:w="1240" w:type="dxa"/>
            <w:tcBorders>
              <w:top w:val="nil"/>
              <w:left w:val="nil"/>
              <w:bottom w:val="single" w:sz="4" w:space="0" w:color="auto"/>
              <w:right w:val="nil"/>
            </w:tcBorders>
            <w:shd w:val="clear" w:color="auto" w:fill="auto"/>
            <w:vAlign w:val="bottom"/>
            <w:hideMark/>
          </w:tcPr>
          <w:p w14:paraId="0FD61A9C" w14:textId="77777777" w:rsidR="00060EB6" w:rsidRPr="006828EE" w:rsidRDefault="00060EB6" w:rsidP="00C52419">
            <w:pPr>
              <w:keepNext/>
              <w:keepLines/>
              <w:tabs>
                <w:tab w:val="clear" w:pos="567"/>
              </w:tabs>
              <w:spacing w:after="0" w:line="240" w:lineRule="auto"/>
              <w:rPr>
                <w:rFonts w:ascii="Calibri" w:eastAsia="Times New Roman" w:hAnsi="Calibri" w:cs="Times New Roman"/>
                <w:sz w:val="20"/>
                <w:szCs w:val="20"/>
                <w:lang w:eastAsia="en-AU"/>
              </w:rPr>
            </w:pPr>
            <w:r w:rsidRPr="006828EE">
              <w:rPr>
                <w:rFonts w:ascii="Calibri" w:eastAsia="Times New Roman" w:hAnsi="Calibri" w:cs="Times New Roman"/>
                <w:sz w:val="20"/>
                <w:szCs w:val="20"/>
                <w:lang w:eastAsia="en-AU"/>
              </w:rPr>
              <w:t>Total</w:t>
            </w:r>
          </w:p>
        </w:tc>
        <w:tc>
          <w:tcPr>
            <w:tcW w:w="920" w:type="dxa"/>
            <w:tcBorders>
              <w:top w:val="single" w:sz="4" w:space="0" w:color="auto"/>
              <w:left w:val="nil"/>
              <w:bottom w:val="single" w:sz="4" w:space="0" w:color="auto"/>
              <w:right w:val="nil"/>
            </w:tcBorders>
            <w:shd w:val="clear" w:color="auto" w:fill="auto"/>
            <w:vAlign w:val="bottom"/>
            <w:hideMark/>
          </w:tcPr>
          <w:p w14:paraId="23C7961C" w14:textId="77777777" w:rsidR="00060EB6" w:rsidRPr="006828EE" w:rsidRDefault="00060EB6" w:rsidP="00C52419">
            <w:pPr>
              <w:keepNext/>
              <w:keepLines/>
              <w:tabs>
                <w:tab w:val="clear" w:pos="567"/>
              </w:tabs>
              <w:spacing w:after="0" w:line="240" w:lineRule="auto"/>
              <w:jc w:val="right"/>
              <w:rPr>
                <w:rFonts w:ascii="Calibri" w:eastAsia="Times New Roman" w:hAnsi="Calibri" w:cs="Times New Roman"/>
                <w:sz w:val="20"/>
                <w:szCs w:val="20"/>
                <w:lang w:eastAsia="en-AU"/>
              </w:rPr>
            </w:pPr>
            <w:r w:rsidRPr="006828EE">
              <w:rPr>
                <w:rFonts w:ascii="Calibri" w:eastAsia="Times New Roman" w:hAnsi="Calibri" w:cstheme="minorHAnsi"/>
                <w:sz w:val="20"/>
                <w:szCs w:val="20"/>
                <w:lang w:eastAsia="en-AU"/>
              </w:rPr>
              <w:t>-8</w:t>
            </w:r>
          </w:p>
        </w:tc>
        <w:tc>
          <w:tcPr>
            <w:tcW w:w="820" w:type="dxa"/>
            <w:tcBorders>
              <w:top w:val="single" w:sz="4" w:space="0" w:color="auto"/>
              <w:left w:val="nil"/>
              <w:bottom w:val="single" w:sz="4" w:space="0" w:color="auto"/>
              <w:right w:val="nil"/>
            </w:tcBorders>
            <w:shd w:val="clear" w:color="auto" w:fill="auto"/>
            <w:vAlign w:val="bottom"/>
            <w:hideMark/>
          </w:tcPr>
          <w:p w14:paraId="3AD675EE" w14:textId="77777777" w:rsidR="00060EB6" w:rsidRPr="006828EE" w:rsidRDefault="00060EB6" w:rsidP="00C52419">
            <w:pPr>
              <w:keepNext/>
              <w:keepLines/>
              <w:tabs>
                <w:tab w:val="clear" w:pos="567"/>
              </w:tabs>
              <w:spacing w:after="0" w:line="240" w:lineRule="auto"/>
              <w:jc w:val="right"/>
              <w:rPr>
                <w:rFonts w:ascii="Calibri" w:eastAsia="Times New Roman" w:hAnsi="Calibri" w:cs="Times New Roman"/>
                <w:sz w:val="20"/>
                <w:szCs w:val="20"/>
                <w:lang w:eastAsia="en-AU"/>
              </w:rPr>
            </w:pPr>
            <w:r w:rsidRPr="006828EE">
              <w:rPr>
                <w:rFonts w:ascii="Calibri" w:eastAsia="Times New Roman" w:hAnsi="Calibri" w:cstheme="minorHAnsi"/>
                <w:sz w:val="20"/>
                <w:szCs w:val="20"/>
                <w:lang w:eastAsia="en-AU"/>
              </w:rPr>
              <w:t>-7</w:t>
            </w:r>
          </w:p>
        </w:tc>
        <w:tc>
          <w:tcPr>
            <w:tcW w:w="820" w:type="dxa"/>
            <w:tcBorders>
              <w:top w:val="single" w:sz="4" w:space="0" w:color="auto"/>
              <w:left w:val="nil"/>
              <w:bottom w:val="single" w:sz="4" w:space="0" w:color="auto"/>
              <w:right w:val="nil"/>
            </w:tcBorders>
            <w:shd w:val="clear" w:color="auto" w:fill="auto"/>
            <w:vAlign w:val="bottom"/>
            <w:hideMark/>
          </w:tcPr>
          <w:p w14:paraId="5077096C" w14:textId="77777777" w:rsidR="00060EB6" w:rsidRPr="006828EE" w:rsidRDefault="00060EB6" w:rsidP="00C52419">
            <w:pPr>
              <w:keepNext/>
              <w:keepLines/>
              <w:tabs>
                <w:tab w:val="clear" w:pos="567"/>
              </w:tabs>
              <w:spacing w:after="0" w:line="240" w:lineRule="auto"/>
              <w:jc w:val="right"/>
              <w:rPr>
                <w:rFonts w:ascii="Calibri" w:eastAsia="Times New Roman" w:hAnsi="Calibri" w:cs="Times New Roman"/>
                <w:sz w:val="20"/>
                <w:szCs w:val="20"/>
                <w:lang w:eastAsia="en-AU"/>
              </w:rPr>
            </w:pPr>
            <w:r w:rsidRPr="006828EE">
              <w:rPr>
                <w:rFonts w:ascii="Calibri" w:eastAsia="Times New Roman" w:hAnsi="Calibri" w:cstheme="minorHAnsi"/>
                <w:sz w:val="20"/>
                <w:szCs w:val="20"/>
                <w:lang w:eastAsia="en-AU"/>
              </w:rPr>
              <w:t>-5</w:t>
            </w:r>
          </w:p>
        </w:tc>
        <w:tc>
          <w:tcPr>
            <w:tcW w:w="820" w:type="dxa"/>
            <w:tcBorders>
              <w:top w:val="single" w:sz="4" w:space="0" w:color="auto"/>
              <w:left w:val="nil"/>
              <w:bottom w:val="single" w:sz="4" w:space="0" w:color="auto"/>
              <w:right w:val="nil"/>
            </w:tcBorders>
            <w:shd w:val="clear" w:color="auto" w:fill="auto"/>
            <w:vAlign w:val="bottom"/>
            <w:hideMark/>
          </w:tcPr>
          <w:p w14:paraId="01B14589" w14:textId="77777777" w:rsidR="00060EB6" w:rsidRPr="006828EE" w:rsidRDefault="00060EB6" w:rsidP="00C52419">
            <w:pPr>
              <w:keepNext/>
              <w:keepLines/>
              <w:tabs>
                <w:tab w:val="clear" w:pos="567"/>
              </w:tabs>
              <w:spacing w:after="0" w:line="240" w:lineRule="auto"/>
              <w:jc w:val="right"/>
              <w:rPr>
                <w:rFonts w:ascii="Calibri" w:eastAsia="Times New Roman" w:hAnsi="Calibri" w:cs="Times New Roman"/>
                <w:sz w:val="20"/>
                <w:szCs w:val="20"/>
                <w:lang w:eastAsia="en-AU"/>
              </w:rPr>
            </w:pPr>
            <w:r w:rsidRPr="006828EE">
              <w:rPr>
                <w:rFonts w:ascii="Calibri" w:eastAsia="Times New Roman" w:hAnsi="Calibri" w:cstheme="minorHAnsi"/>
                <w:sz w:val="20"/>
                <w:szCs w:val="20"/>
                <w:lang w:eastAsia="en-AU"/>
              </w:rPr>
              <w:t>-3</w:t>
            </w:r>
          </w:p>
        </w:tc>
        <w:tc>
          <w:tcPr>
            <w:tcW w:w="820" w:type="dxa"/>
            <w:tcBorders>
              <w:top w:val="single" w:sz="4" w:space="0" w:color="auto"/>
              <w:left w:val="nil"/>
              <w:bottom w:val="single" w:sz="4" w:space="0" w:color="auto"/>
              <w:right w:val="nil"/>
            </w:tcBorders>
            <w:shd w:val="clear" w:color="auto" w:fill="auto"/>
            <w:vAlign w:val="bottom"/>
            <w:hideMark/>
          </w:tcPr>
          <w:p w14:paraId="08C54F52" w14:textId="77777777" w:rsidR="00060EB6" w:rsidRPr="006828EE" w:rsidRDefault="00060EB6" w:rsidP="00C52419">
            <w:pPr>
              <w:keepNext/>
              <w:keepLines/>
              <w:tabs>
                <w:tab w:val="clear" w:pos="567"/>
              </w:tabs>
              <w:spacing w:after="0" w:line="240" w:lineRule="auto"/>
              <w:jc w:val="right"/>
              <w:rPr>
                <w:rFonts w:ascii="Calibri" w:eastAsia="Times New Roman" w:hAnsi="Calibri" w:cs="Times New Roman"/>
                <w:sz w:val="20"/>
                <w:szCs w:val="20"/>
                <w:lang w:eastAsia="en-AU"/>
              </w:rPr>
            </w:pPr>
            <w:r w:rsidRPr="006828EE">
              <w:rPr>
                <w:rFonts w:ascii="Calibri" w:eastAsia="Times New Roman" w:hAnsi="Calibri" w:cstheme="minorHAnsi"/>
                <w:sz w:val="20"/>
                <w:szCs w:val="20"/>
                <w:lang w:eastAsia="en-AU"/>
              </w:rPr>
              <w:t>-2</w:t>
            </w:r>
          </w:p>
        </w:tc>
        <w:tc>
          <w:tcPr>
            <w:tcW w:w="820" w:type="dxa"/>
            <w:tcBorders>
              <w:top w:val="single" w:sz="4" w:space="0" w:color="auto"/>
              <w:left w:val="nil"/>
              <w:bottom w:val="single" w:sz="4" w:space="0" w:color="auto"/>
              <w:right w:val="nil"/>
            </w:tcBorders>
            <w:shd w:val="clear" w:color="auto" w:fill="auto"/>
            <w:vAlign w:val="bottom"/>
            <w:hideMark/>
          </w:tcPr>
          <w:p w14:paraId="1480B943" w14:textId="77777777" w:rsidR="00060EB6" w:rsidRPr="006828EE" w:rsidRDefault="00060EB6" w:rsidP="00C52419">
            <w:pPr>
              <w:keepNext/>
              <w:keepLines/>
              <w:tabs>
                <w:tab w:val="clear" w:pos="567"/>
              </w:tabs>
              <w:spacing w:after="0" w:line="240" w:lineRule="auto"/>
              <w:jc w:val="right"/>
              <w:rPr>
                <w:rFonts w:ascii="Calibri" w:eastAsia="Times New Roman" w:hAnsi="Calibri" w:cs="Times New Roman"/>
                <w:sz w:val="20"/>
                <w:szCs w:val="20"/>
                <w:lang w:eastAsia="en-AU"/>
              </w:rPr>
            </w:pPr>
            <w:r w:rsidRPr="006828EE">
              <w:rPr>
                <w:rFonts w:ascii="Calibri" w:eastAsia="Times New Roman" w:hAnsi="Calibri" w:cstheme="minorHAnsi"/>
                <w:sz w:val="20"/>
                <w:szCs w:val="20"/>
                <w:lang w:eastAsia="en-AU"/>
              </w:rPr>
              <w:t>-1</w:t>
            </w:r>
          </w:p>
        </w:tc>
        <w:tc>
          <w:tcPr>
            <w:tcW w:w="820" w:type="dxa"/>
            <w:tcBorders>
              <w:top w:val="single" w:sz="4" w:space="0" w:color="auto"/>
              <w:left w:val="nil"/>
              <w:bottom w:val="single" w:sz="4" w:space="0" w:color="auto"/>
              <w:right w:val="nil"/>
            </w:tcBorders>
            <w:shd w:val="clear" w:color="auto" w:fill="auto"/>
            <w:vAlign w:val="bottom"/>
            <w:hideMark/>
          </w:tcPr>
          <w:p w14:paraId="294FF9DA" w14:textId="77777777" w:rsidR="00060EB6" w:rsidRPr="006828EE" w:rsidRDefault="00060EB6" w:rsidP="00C52419">
            <w:pPr>
              <w:keepNext/>
              <w:keepLines/>
              <w:tabs>
                <w:tab w:val="clear" w:pos="567"/>
              </w:tabs>
              <w:spacing w:after="0" w:line="240" w:lineRule="auto"/>
              <w:jc w:val="right"/>
              <w:rPr>
                <w:rFonts w:ascii="Calibri" w:eastAsia="Times New Roman" w:hAnsi="Calibri" w:cs="Times New Roman"/>
                <w:sz w:val="20"/>
                <w:szCs w:val="20"/>
                <w:lang w:eastAsia="en-AU"/>
              </w:rPr>
            </w:pPr>
            <w:r w:rsidRPr="006828EE">
              <w:rPr>
                <w:rFonts w:ascii="Calibri" w:eastAsia="Times New Roman" w:hAnsi="Calibri" w:cstheme="minorHAnsi"/>
                <w:sz w:val="20"/>
                <w:szCs w:val="20"/>
                <w:lang w:eastAsia="en-AU"/>
              </w:rPr>
              <w:t>25</w:t>
            </w:r>
          </w:p>
        </w:tc>
        <w:tc>
          <w:tcPr>
            <w:tcW w:w="820" w:type="dxa"/>
            <w:tcBorders>
              <w:top w:val="single" w:sz="4" w:space="0" w:color="auto"/>
              <w:left w:val="nil"/>
              <w:bottom w:val="single" w:sz="4" w:space="0" w:color="auto"/>
              <w:right w:val="nil"/>
            </w:tcBorders>
            <w:shd w:val="clear" w:color="auto" w:fill="auto"/>
            <w:vAlign w:val="bottom"/>
            <w:hideMark/>
          </w:tcPr>
          <w:p w14:paraId="7C30E577" w14:textId="77777777" w:rsidR="00060EB6" w:rsidRPr="006828EE" w:rsidRDefault="00060EB6" w:rsidP="00C52419">
            <w:pPr>
              <w:keepNext/>
              <w:keepLines/>
              <w:tabs>
                <w:tab w:val="clear" w:pos="567"/>
              </w:tabs>
              <w:spacing w:after="0" w:line="240" w:lineRule="auto"/>
              <w:jc w:val="right"/>
              <w:rPr>
                <w:rFonts w:ascii="Calibri" w:eastAsia="Times New Roman" w:hAnsi="Calibri" w:cs="Times New Roman"/>
                <w:sz w:val="20"/>
                <w:szCs w:val="20"/>
                <w:lang w:eastAsia="en-AU"/>
              </w:rPr>
            </w:pPr>
            <w:r w:rsidRPr="006828EE">
              <w:rPr>
                <w:rFonts w:ascii="Calibri" w:eastAsia="Times New Roman" w:hAnsi="Calibri" w:cstheme="minorHAnsi"/>
                <w:sz w:val="20"/>
                <w:szCs w:val="20"/>
                <w:lang w:eastAsia="en-AU"/>
              </w:rPr>
              <w:t>0</w:t>
            </w:r>
          </w:p>
        </w:tc>
        <w:tc>
          <w:tcPr>
            <w:tcW w:w="1060" w:type="dxa"/>
            <w:tcBorders>
              <w:top w:val="single" w:sz="4" w:space="0" w:color="auto"/>
              <w:left w:val="nil"/>
              <w:bottom w:val="single" w:sz="4" w:space="0" w:color="auto"/>
              <w:right w:val="nil"/>
            </w:tcBorders>
            <w:shd w:val="clear" w:color="auto" w:fill="auto"/>
            <w:vAlign w:val="bottom"/>
            <w:hideMark/>
          </w:tcPr>
          <w:p w14:paraId="7ADFF070" w14:textId="77777777" w:rsidR="00060EB6" w:rsidRPr="006828EE" w:rsidRDefault="00060EB6" w:rsidP="00C52419">
            <w:pPr>
              <w:keepNext/>
              <w:keepLines/>
              <w:tabs>
                <w:tab w:val="clear" w:pos="567"/>
              </w:tabs>
              <w:spacing w:after="0" w:line="240" w:lineRule="auto"/>
              <w:jc w:val="right"/>
              <w:rPr>
                <w:rFonts w:ascii="Calibri" w:eastAsia="Times New Roman" w:hAnsi="Calibri" w:cs="Times New Roman"/>
                <w:sz w:val="20"/>
                <w:szCs w:val="20"/>
                <w:lang w:eastAsia="en-AU"/>
              </w:rPr>
            </w:pPr>
            <w:r w:rsidRPr="006828EE">
              <w:rPr>
                <w:rFonts w:ascii="Calibri" w:eastAsia="Times New Roman" w:hAnsi="Calibri" w:cstheme="minorHAnsi"/>
                <w:sz w:val="20"/>
                <w:szCs w:val="20"/>
                <w:lang w:eastAsia="en-AU"/>
              </w:rPr>
              <w:t>25</w:t>
            </w:r>
          </w:p>
        </w:tc>
      </w:tr>
      <w:tr w:rsidR="00060EB6" w:rsidRPr="006828EE" w14:paraId="0E10CDFB" w14:textId="77777777" w:rsidTr="00C52419">
        <w:trPr>
          <w:trHeight w:val="259"/>
        </w:trPr>
        <w:tc>
          <w:tcPr>
            <w:tcW w:w="1240" w:type="dxa"/>
            <w:tcBorders>
              <w:top w:val="nil"/>
              <w:left w:val="nil"/>
              <w:bottom w:val="nil"/>
              <w:right w:val="nil"/>
            </w:tcBorders>
            <w:shd w:val="clear" w:color="auto" w:fill="auto"/>
            <w:noWrap/>
            <w:vAlign w:val="bottom"/>
            <w:hideMark/>
          </w:tcPr>
          <w:p w14:paraId="3E919621" w14:textId="77777777" w:rsidR="00060EB6" w:rsidRPr="006828EE" w:rsidRDefault="00060EB6" w:rsidP="00C52419">
            <w:pPr>
              <w:keepNext/>
              <w:keepLines/>
              <w:tabs>
                <w:tab w:val="clear" w:pos="567"/>
              </w:tabs>
              <w:spacing w:after="0" w:line="240" w:lineRule="auto"/>
              <w:jc w:val="right"/>
              <w:rPr>
                <w:rFonts w:ascii="Calibri" w:eastAsia="Times New Roman" w:hAnsi="Calibri" w:cs="Times New Roman"/>
                <w:sz w:val="20"/>
                <w:szCs w:val="20"/>
                <w:lang w:eastAsia="en-AU"/>
              </w:rPr>
            </w:pPr>
          </w:p>
        </w:tc>
        <w:tc>
          <w:tcPr>
            <w:tcW w:w="920" w:type="dxa"/>
            <w:tcBorders>
              <w:top w:val="nil"/>
              <w:left w:val="nil"/>
              <w:bottom w:val="nil"/>
              <w:right w:val="nil"/>
            </w:tcBorders>
            <w:shd w:val="clear" w:color="auto" w:fill="auto"/>
            <w:noWrap/>
            <w:vAlign w:val="bottom"/>
            <w:hideMark/>
          </w:tcPr>
          <w:p w14:paraId="72393525" w14:textId="77777777" w:rsidR="00060EB6" w:rsidRPr="006828EE" w:rsidRDefault="00060EB6" w:rsidP="00C52419">
            <w:pPr>
              <w:keepNext/>
              <w:keepLines/>
              <w:tabs>
                <w:tab w:val="clear" w:pos="567"/>
              </w:tabs>
              <w:spacing w:after="0" w:line="240" w:lineRule="auto"/>
              <w:jc w:val="right"/>
              <w:rPr>
                <w:rFonts w:ascii="Calibri" w:eastAsia="Times New Roman" w:hAnsi="Calibri" w:cs="Times New Roman"/>
                <w:sz w:val="20"/>
                <w:szCs w:val="20"/>
                <w:lang w:eastAsia="en-AU"/>
              </w:rPr>
            </w:pPr>
            <w:r w:rsidRPr="006828EE">
              <w:rPr>
                <w:rFonts w:ascii="Calibri" w:eastAsia="Times New Roman" w:hAnsi="Calibri" w:cstheme="minorHAnsi"/>
                <w:sz w:val="20"/>
                <w:szCs w:val="20"/>
                <w:lang w:eastAsia="en-AU"/>
              </w:rPr>
              <w:t>$pc</w:t>
            </w:r>
          </w:p>
        </w:tc>
        <w:tc>
          <w:tcPr>
            <w:tcW w:w="820" w:type="dxa"/>
            <w:tcBorders>
              <w:top w:val="nil"/>
              <w:left w:val="nil"/>
              <w:bottom w:val="nil"/>
              <w:right w:val="nil"/>
            </w:tcBorders>
            <w:shd w:val="clear" w:color="auto" w:fill="auto"/>
            <w:noWrap/>
            <w:vAlign w:val="bottom"/>
            <w:hideMark/>
          </w:tcPr>
          <w:p w14:paraId="17B8BF62" w14:textId="77777777" w:rsidR="00060EB6" w:rsidRPr="006828EE" w:rsidRDefault="00060EB6" w:rsidP="00C52419">
            <w:pPr>
              <w:keepNext/>
              <w:keepLines/>
              <w:tabs>
                <w:tab w:val="clear" w:pos="567"/>
              </w:tabs>
              <w:spacing w:after="0" w:line="240" w:lineRule="auto"/>
              <w:jc w:val="right"/>
              <w:rPr>
                <w:rFonts w:ascii="Calibri" w:eastAsia="Times New Roman" w:hAnsi="Calibri" w:cs="Times New Roman"/>
                <w:sz w:val="20"/>
                <w:szCs w:val="20"/>
                <w:lang w:eastAsia="en-AU"/>
              </w:rPr>
            </w:pPr>
            <w:r w:rsidRPr="006828EE">
              <w:rPr>
                <w:rFonts w:ascii="Calibri" w:eastAsia="Times New Roman" w:hAnsi="Calibri" w:cstheme="minorHAnsi"/>
                <w:sz w:val="20"/>
                <w:szCs w:val="20"/>
                <w:lang w:eastAsia="en-AU"/>
              </w:rPr>
              <w:t>$pc</w:t>
            </w:r>
          </w:p>
        </w:tc>
        <w:tc>
          <w:tcPr>
            <w:tcW w:w="820" w:type="dxa"/>
            <w:tcBorders>
              <w:top w:val="nil"/>
              <w:left w:val="nil"/>
              <w:bottom w:val="nil"/>
              <w:right w:val="nil"/>
            </w:tcBorders>
            <w:shd w:val="clear" w:color="auto" w:fill="auto"/>
            <w:noWrap/>
            <w:vAlign w:val="bottom"/>
            <w:hideMark/>
          </w:tcPr>
          <w:p w14:paraId="2592DE82" w14:textId="77777777" w:rsidR="00060EB6" w:rsidRPr="006828EE" w:rsidRDefault="00060EB6" w:rsidP="00C52419">
            <w:pPr>
              <w:keepNext/>
              <w:keepLines/>
              <w:tabs>
                <w:tab w:val="clear" w:pos="567"/>
              </w:tabs>
              <w:spacing w:after="0" w:line="240" w:lineRule="auto"/>
              <w:jc w:val="right"/>
              <w:rPr>
                <w:rFonts w:ascii="Calibri" w:eastAsia="Times New Roman" w:hAnsi="Calibri" w:cs="Times New Roman"/>
                <w:sz w:val="20"/>
                <w:szCs w:val="20"/>
                <w:lang w:eastAsia="en-AU"/>
              </w:rPr>
            </w:pPr>
            <w:r w:rsidRPr="006828EE">
              <w:rPr>
                <w:rFonts w:ascii="Calibri" w:eastAsia="Times New Roman" w:hAnsi="Calibri" w:cstheme="minorHAnsi"/>
                <w:sz w:val="20"/>
                <w:szCs w:val="20"/>
                <w:lang w:eastAsia="en-AU"/>
              </w:rPr>
              <w:t>$pc</w:t>
            </w:r>
          </w:p>
        </w:tc>
        <w:tc>
          <w:tcPr>
            <w:tcW w:w="820" w:type="dxa"/>
            <w:tcBorders>
              <w:top w:val="nil"/>
              <w:left w:val="nil"/>
              <w:bottom w:val="nil"/>
              <w:right w:val="nil"/>
            </w:tcBorders>
            <w:shd w:val="clear" w:color="auto" w:fill="auto"/>
            <w:noWrap/>
            <w:vAlign w:val="bottom"/>
            <w:hideMark/>
          </w:tcPr>
          <w:p w14:paraId="0E6ED4C8" w14:textId="77777777" w:rsidR="00060EB6" w:rsidRPr="006828EE" w:rsidRDefault="00060EB6" w:rsidP="00C52419">
            <w:pPr>
              <w:keepNext/>
              <w:keepLines/>
              <w:tabs>
                <w:tab w:val="clear" w:pos="567"/>
              </w:tabs>
              <w:spacing w:after="0" w:line="240" w:lineRule="auto"/>
              <w:jc w:val="right"/>
              <w:rPr>
                <w:rFonts w:ascii="Calibri" w:eastAsia="Times New Roman" w:hAnsi="Calibri" w:cs="Times New Roman"/>
                <w:sz w:val="20"/>
                <w:szCs w:val="20"/>
                <w:lang w:eastAsia="en-AU"/>
              </w:rPr>
            </w:pPr>
            <w:r w:rsidRPr="006828EE">
              <w:rPr>
                <w:rFonts w:ascii="Calibri" w:eastAsia="Times New Roman" w:hAnsi="Calibri" w:cstheme="minorHAnsi"/>
                <w:sz w:val="20"/>
                <w:szCs w:val="20"/>
                <w:lang w:eastAsia="en-AU"/>
              </w:rPr>
              <w:t>$pc</w:t>
            </w:r>
          </w:p>
        </w:tc>
        <w:tc>
          <w:tcPr>
            <w:tcW w:w="820" w:type="dxa"/>
            <w:tcBorders>
              <w:top w:val="nil"/>
              <w:left w:val="nil"/>
              <w:bottom w:val="nil"/>
              <w:right w:val="nil"/>
            </w:tcBorders>
            <w:shd w:val="clear" w:color="auto" w:fill="auto"/>
            <w:noWrap/>
            <w:vAlign w:val="bottom"/>
            <w:hideMark/>
          </w:tcPr>
          <w:p w14:paraId="4CE5AEEF" w14:textId="77777777" w:rsidR="00060EB6" w:rsidRPr="006828EE" w:rsidRDefault="00060EB6" w:rsidP="00C52419">
            <w:pPr>
              <w:keepNext/>
              <w:keepLines/>
              <w:tabs>
                <w:tab w:val="clear" w:pos="567"/>
              </w:tabs>
              <w:spacing w:after="0" w:line="240" w:lineRule="auto"/>
              <w:jc w:val="right"/>
              <w:rPr>
                <w:rFonts w:ascii="Calibri" w:eastAsia="Times New Roman" w:hAnsi="Calibri" w:cs="Times New Roman"/>
                <w:sz w:val="20"/>
                <w:szCs w:val="20"/>
                <w:lang w:eastAsia="en-AU"/>
              </w:rPr>
            </w:pPr>
            <w:r w:rsidRPr="006828EE">
              <w:rPr>
                <w:rFonts w:ascii="Calibri" w:eastAsia="Times New Roman" w:hAnsi="Calibri" w:cstheme="minorHAnsi"/>
                <w:sz w:val="20"/>
                <w:szCs w:val="20"/>
                <w:lang w:eastAsia="en-AU"/>
              </w:rPr>
              <w:t>$pc</w:t>
            </w:r>
          </w:p>
        </w:tc>
        <w:tc>
          <w:tcPr>
            <w:tcW w:w="820" w:type="dxa"/>
            <w:tcBorders>
              <w:top w:val="nil"/>
              <w:left w:val="nil"/>
              <w:bottom w:val="nil"/>
              <w:right w:val="nil"/>
            </w:tcBorders>
            <w:shd w:val="clear" w:color="auto" w:fill="auto"/>
            <w:noWrap/>
            <w:vAlign w:val="bottom"/>
            <w:hideMark/>
          </w:tcPr>
          <w:p w14:paraId="2274DC18" w14:textId="77777777" w:rsidR="00060EB6" w:rsidRPr="006828EE" w:rsidRDefault="00060EB6" w:rsidP="00C52419">
            <w:pPr>
              <w:keepNext/>
              <w:keepLines/>
              <w:tabs>
                <w:tab w:val="clear" w:pos="567"/>
              </w:tabs>
              <w:spacing w:after="0" w:line="240" w:lineRule="auto"/>
              <w:jc w:val="right"/>
              <w:rPr>
                <w:rFonts w:ascii="Calibri" w:eastAsia="Times New Roman" w:hAnsi="Calibri" w:cs="Times New Roman"/>
                <w:sz w:val="20"/>
                <w:szCs w:val="20"/>
                <w:lang w:eastAsia="en-AU"/>
              </w:rPr>
            </w:pPr>
            <w:r w:rsidRPr="006828EE">
              <w:rPr>
                <w:rFonts w:ascii="Calibri" w:eastAsia="Times New Roman" w:hAnsi="Calibri" w:cstheme="minorHAnsi"/>
                <w:sz w:val="20"/>
                <w:szCs w:val="20"/>
                <w:lang w:eastAsia="en-AU"/>
              </w:rPr>
              <w:t>$pc</w:t>
            </w:r>
          </w:p>
        </w:tc>
        <w:tc>
          <w:tcPr>
            <w:tcW w:w="820" w:type="dxa"/>
            <w:tcBorders>
              <w:top w:val="nil"/>
              <w:left w:val="nil"/>
              <w:bottom w:val="nil"/>
              <w:right w:val="nil"/>
            </w:tcBorders>
            <w:shd w:val="clear" w:color="auto" w:fill="auto"/>
            <w:noWrap/>
            <w:vAlign w:val="bottom"/>
            <w:hideMark/>
          </w:tcPr>
          <w:p w14:paraId="782C5351" w14:textId="77777777" w:rsidR="00060EB6" w:rsidRPr="006828EE" w:rsidRDefault="00060EB6" w:rsidP="00C52419">
            <w:pPr>
              <w:keepNext/>
              <w:keepLines/>
              <w:tabs>
                <w:tab w:val="clear" w:pos="567"/>
              </w:tabs>
              <w:spacing w:after="0" w:line="240" w:lineRule="auto"/>
              <w:jc w:val="right"/>
              <w:rPr>
                <w:rFonts w:ascii="Calibri" w:eastAsia="Times New Roman" w:hAnsi="Calibri" w:cs="Times New Roman"/>
                <w:sz w:val="20"/>
                <w:szCs w:val="20"/>
                <w:lang w:eastAsia="en-AU"/>
              </w:rPr>
            </w:pPr>
            <w:r w:rsidRPr="006828EE">
              <w:rPr>
                <w:rFonts w:ascii="Calibri" w:eastAsia="Times New Roman" w:hAnsi="Calibri" w:cstheme="minorHAnsi"/>
                <w:sz w:val="20"/>
                <w:szCs w:val="20"/>
                <w:lang w:eastAsia="en-AU"/>
              </w:rPr>
              <w:t>$pc</w:t>
            </w:r>
          </w:p>
        </w:tc>
        <w:tc>
          <w:tcPr>
            <w:tcW w:w="820" w:type="dxa"/>
            <w:tcBorders>
              <w:top w:val="nil"/>
              <w:left w:val="nil"/>
              <w:bottom w:val="nil"/>
              <w:right w:val="nil"/>
            </w:tcBorders>
            <w:shd w:val="clear" w:color="auto" w:fill="auto"/>
            <w:noWrap/>
            <w:vAlign w:val="bottom"/>
            <w:hideMark/>
          </w:tcPr>
          <w:p w14:paraId="57853905" w14:textId="77777777" w:rsidR="00060EB6" w:rsidRPr="006828EE" w:rsidRDefault="00060EB6" w:rsidP="00C52419">
            <w:pPr>
              <w:keepNext/>
              <w:keepLines/>
              <w:tabs>
                <w:tab w:val="clear" w:pos="567"/>
              </w:tabs>
              <w:spacing w:after="0" w:line="240" w:lineRule="auto"/>
              <w:jc w:val="right"/>
              <w:rPr>
                <w:rFonts w:ascii="Calibri" w:eastAsia="Times New Roman" w:hAnsi="Calibri" w:cs="Times New Roman"/>
                <w:sz w:val="20"/>
                <w:szCs w:val="20"/>
                <w:lang w:eastAsia="en-AU"/>
              </w:rPr>
            </w:pPr>
            <w:r w:rsidRPr="006828EE">
              <w:rPr>
                <w:rFonts w:ascii="Calibri" w:eastAsia="Times New Roman" w:hAnsi="Calibri" w:cstheme="minorHAnsi"/>
                <w:sz w:val="20"/>
                <w:szCs w:val="20"/>
                <w:lang w:eastAsia="en-AU"/>
              </w:rPr>
              <w:t>$pc</w:t>
            </w:r>
          </w:p>
        </w:tc>
        <w:tc>
          <w:tcPr>
            <w:tcW w:w="1060" w:type="dxa"/>
            <w:tcBorders>
              <w:top w:val="nil"/>
              <w:left w:val="nil"/>
              <w:bottom w:val="nil"/>
              <w:right w:val="nil"/>
            </w:tcBorders>
            <w:shd w:val="clear" w:color="auto" w:fill="auto"/>
            <w:noWrap/>
            <w:vAlign w:val="bottom"/>
            <w:hideMark/>
          </w:tcPr>
          <w:p w14:paraId="2CE9528E" w14:textId="77777777" w:rsidR="00060EB6" w:rsidRPr="006828EE" w:rsidRDefault="00060EB6" w:rsidP="00C52419">
            <w:pPr>
              <w:keepNext/>
              <w:keepLines/>
              <w:tabs>
                <w:tab w:val="clear" w:pos="567"/>
              </w:tabs>
              <w:spacing w:after="0" w:line="240" w:lineRule="auto"/>
              <w:jc w:val="right"/>
              <w:rPr>
                <w:rFonts w:ascii="Calibri" w:eastAsia="Times New Roman" w:hAnsi="Calibri" w:cs="Times New Roman"/>
                <w:sz w:val="20"/>
                <w:szCs w:val="20"/>
                <w:lang w:eastAsia="en-AU"/>
              </w:rPr>
            </w:pPr>
            <w:r w:rsidRPr="006828EE">
              <w:rPr>
                <w:rFonts w:ascii="Calibri" w:eastAsia="Times New Roman" w:hAnsi="Calibri" w:cstheme="minorHAnsi"/>
                <w:sz w:val="20"/>
                <w:szCs w:val="20"/>
                <w:lang w:eastAsia="en-AU"/>
              </w:rPr>
              <w:t>$pc</w:t>
            </w:r>
          </w:p>
        </w:tc>
      </w:tr>
      <w:tr w:rsidR="00060EB6" w:rsidRPr="006828EE" w14:paraId="4A550B6B" w14:textId="77777777" w:rsidTr="00C52419">
        <w:trPr>
          <w:trHeight w:val="315"/>
        </w:trPr>
        <w:tc>
          <w:tcPr>
            <w:tcW w:w="1240" w:type="dxa"/>
            <w:tcBorders>
              <w:top w:val="nil"/>
              <w:left w:val="nil"/>
              <w:bottom w:val="nil"/>
              <w:right w:val="nil"/>
            </w:tcBorders>
            <w:shd w:val="clear" w:color="auto" w:fill="auto"/>
            <w:vAlign w:val="bottom"/>
            <w:hideMark/>
          </w:tcPr>
          <w:p w14:paraId="35BAD918" w14:textId="77777777" w:rsidR="00060EB6" w:rsidRPr="006828EE" w:rsidRDefault="00060EB6" w:rsidP="00C52419">
            <w:pPr>
              <w:keepNext/>
              <w:keepLines/>
              <w:tabs>
                <w:tab w:val="clear" w:pos="567"/>
              </w:tabs>
              <w:spacing w:after="0" w:line="240" w:lineRule="auto"/>
              <w:rPr>
                <w:rFonts w:ascii="Calibri" w:eastAsia="Times New Roman" w:hAnsi="Calibri" w:cs="Times New Roman"/>
                <w:sz w:val="20"/>
                <w:szCs w:val="20"/>
                <w:lang w:eastAsia="en-AU"/>
              </w:rPr>
            </w:pPr>
            <w:r w:rsidRPr="006828EE">
              <w:rPr>
                <w:rFonts w:ascii="Calibri" w:eastAsia="Times New Roman" w:hAnsi="Calibri" w:cs="Times New Roman"/>
                <w:sz w:val="20"/>
                <w:szCs w:val="20"/>
                <w:lang w:eastAsia="en-AU"/>
              </w:rPr>
              <w:t>Planning</w:t>
            </w:r>
          </w:p>
        </w:tc>
        <w:tc>
          <w:tcPr>
            <w:tcW w:w="920" w:type="dxa"/>
            <w:tcBorders>
              <w:top w:val="nil"/>
              <w:left w:val="nil"/>
              <w:bottom w:val="nil"/>
              <w:right w:val="nil"/>
            </w:tcBorders>
            <w:shd w:val="clear" w:color="auto" w:fill="auto"/>
            <w:vAlign w:val="bottom"/>
            <w:hideMark/>
          </w:tcPr>
          <w:p w14:paraId="5C274F6D" w14:textId="77777777" w:rsidR="00060EB6" w:rsidRPr="006828EE" w:rsidRDefault="00060EB6" w:rsidP="00C52419">
            <w:pPr>
              <w:keepNext/>
              <w:keepLines/>
              <w:tabs>
                <w:tab w:val="clear" w:pos="567"/>
              </w:tabs>
              <w:spacing w:after="0" w:line="240" w:lineRule="auto"/>
              <w:jc w:val="right"/>
              <w:rPr>
                <w:rFonts w:ascii="Calibri" w:eastAsia="Times New Roman" w:hAnsi="Calibri" w:cs="Times New Roman"/>
                <w:sz w:val="20"/>
                <w:szCs w:val="20"/>
                <w:lang w:eastAsia="en-AU"/>
              </w:rPr>
            </w:pPr>
            <w:r w:rsidRPr="006828EE">
              <w:rPr>
                <w:rFonts w:ascii="Calibri" w:eastAsia="Times New Roman" w:hAnsi="Calibri" w:cstheme="minorHAnsi"/>
                <w:sz w:val="20"/>
                <w:szCs w:val="20"/>
                <w:lang w:eastAsia="en-AU"/>
              </w:rPr>
              <w:t>-1</w:t>
            </w:r>
          </w:p>
        </w:tc>
        <w:tc>
          <w:tcPr>
            <w:tcW w:w="820" w:type="dxa"/>
            <w:tcBorders>
              <w:top w:val="nil"/>
              <w:left w:val="nil"/>
              <w:bottom w:val="nil"/>
              <w:right w:val="nil"/>
            </w:tcBorders>
            <w:shd w:val="clear" w:color="auto" w:fill="auto"/>
            <w:vAlign w:val="bottom"/>
            <w:hideMark/>
          </w:tcPr>
          <w:p w14:paraId="6B1EDD0A" w14:textId="77777777" w:rsidR="00060EB6" w:rsidRPr="006828EE" w:rsidRDefault="00060EB6" w:rsidP="00C52419">
            <w:pPr>
              <w:keepNext/>
              <w:keepLines/>
              <w:tabs>
                <w:tab w:val="clear" w:pos="567"/>
              </w:tabs>
              <w:spacing w:after="0" w:line="240" w:lineRule="auto"/>
              <w:jc w:val="right"/>
              <w:rPr>
                <w:rFonts w:ascii="Calibri" w:eastAsia="Times New Roman" w:hAnsi="Calibri" w:cs="Times New Roman"/>
                <w:sz w:val="20"/>
                <w:szCs w:val="20"/>
                <w:lang w:eastAsia="en-AU"/>
              </w:rPr>
            </w:pPr>
            <w:r w:rsidRPr="006828EE">
              <w:rPr>
                <w:rFonts w:ascii="Calibri" w:eastAsia="Times New Roman" w:hAnsi="Calibri" w:cstheme="minorHAnsi"/>
                <w:sz w:val="20"/>
                <w:szCs w:val="20"/>
                <w:lang w:eastAsia="en-AU"/>
              </w:rPr>
              <w:t>-1</w:t>
            </w:r>
          </w:p>
        </w:tc>
        <w:tc>
          <w:tcPr>
            <w:tcW w:w="820" w:type="dxa"/>
            <w:tcBorders>
              <w:top w:val="nil"/>
              <w:left w:val="nil"/>
              <w:bottom w:val="nil"/>
              <w:right w:val="nil"/>
            </w:tcBorders>
            <w:shd w:val="clear" w:color="auto" w:fill="auto"/>
            <w:vAlign w:val="bottom"/>
            <w:hideMark/>
          </w:tcPr>
          <w:p w14:paraId="1A12BDAC" w14:textId="77777777" w:rsidR="00060EB6" w:rsidRPr="006828EE" w:rsidRDefault="00060EB6" w:rsidP="00C52419">
            <w:pPr>
              <w:keepNext/>
              <w:keepLines/>
              <w:tabs>
                <w:tab w:val="clear" w:pos="567"/>
              </w:tabs>
              <w:spacing w:after="0" w:line="240" w:lineRule="auto"/>
              <w:jc w:val="right"/>
              <w:rPr>
                <w:rFonts w:ascii="Calibri" w:eastAsia="Times New Roman" w:hAnsi="Calibri" w:cs="Times New Roman"/>
                <w:sz w:val="20"/>
                <w:szCs w:val="20"/>
                <w:lang w:eastAsia="en-AU"/>
              </w:rPr>
            </w:pPr>
            <w:r w:rsidRPr="006828EE">
              <w:rPr>
                <w:rFonts w:ascii="Calibri" w:eastAsia="Times New Roman" w:hAnsi="Calibri" w:cstheme="minorHAnsi"/>
                <w:sz w:val="20"/>
                <w:szCs w:val="20"/>
                <w:lang w:eastAsia="en-AU"/>
              </w:rPr>
              <w:t>-1</w:t>
            </w:r>
          </w:p>
        </w:tc>
        <w:tc>
          <w:tcPr>
            <w:tcW w:w="820" w:type="dxa"/>
            <w:tcBorders>
              <w:top w:val="nil"/>
              <w:left w:val="nil"/>
              <w:bottom w:val="nil"/>
              <w:right w:val="nil"/>
            </w:tcBorders>
            <w:shd w:val="clear" w:color="auto" w:fill="auto"/>
            <w:vAlign w:val="bottom"/>
            <w:hideMark/>
          </w:tcPr>
          <w:p w14:paraId="5C033EAF" w14:textId="77777777" w:rsidR="00060EB6" w:rsidRPr="006828EE" w:rsidRDefault="00060EB6" w:rsidP="00C52419">
            <w:pPr>
              <w:keepNext/>
              <w:keepLines/>
              <w:tabs>
                <w:tab w:val="clear" w:pos="567"/>
              </w:tabs>
              <w:spacing w:after="0" w:line="240" w:lineRule="auto"/>
              <w:jc w:val="right"/>
              <w:rPr>
                <w:rFonts w:ascii="Calibri" w:eastAsia="Times New Roman" w:hAnsi="Calibri" w:cs="Times New Roman"/>
                <w:sz w:val="20"/>
                <w:szCs w:val="20"/>
                <w:lang w:eastAsia="en-AU"/>
              </w:rPr>
            </w:pPr>
            <w:r w:rsidRPr="006828EE">
              <w:rPr>
                <w:rFonts w:ascii="Calibri" w:eastAsia="Times New Roman" w:hAnsi="Calibri" w:cstheme="minorHAnsi"/>
                <w:sz w:val="20"/>
                <w:szCs w:val="20"/>
                <w:lang w:eastAsia="en-AU"/>
              </w:rPr>
              <w:t>-1</w:t>
            </w:r>
          </w:p>
        </w:tc>
        <w:tc>
          <w:tcPr>
            <w:tcW w:w="820" w:type="dxa"/>
            <w:tcBorders>
              <w:top w:val="nil"/>
              <w:left w:val="nil"/>
              <w:bottom w:val="nil"/>
              <w:right w:val="nil"/>
            </w:tcBorders>
            <w:shd w:val="clear" w:color="auto" w:fill="auto"/>
            <w:vAlign w:val="bottom"/>
            <w:hideMark/>
          </w:tcPr>
          <w:p w14:paraId="03889931" w14:textId="77777777" w:rsidR="00060EB6" w:rsidRPr="006828EE" w:rsidRDefault="00060EB6" w:rsidP="00C52419">
            <w:pPr>
              <w:keepNext/>
              <w:keepLines/>
              <w:tabs>
                <w:tab w:val="clear" w:pos="567"/>
              </w:tabs>
              <w:spacing w:after="0" w:line="240" w:lineRule="auto"/>
              <w:jc w:val="right"/>
              <w:rPr>
                <w:rFonts w:ascii="Calibri" w:eastAsia="Times New Roman" w:hAnsi="Calibri" w:cs="Times New Roman"/>
                <w:sz w:val="20"/>
                <w:szCs w:val="20"/>
                <w:lang w:eastAsia="en-AU"/>
              </w:rPr>
            </w:pPr>
            <w:r w:rsidRPr="006828EE">
              <w:rPr>
                <w:rFonts w:ascii="Calibri" w:eastAsia="Times New Roman" w:hAnsi="Calibri" w:cstheme="minorHAnsi"/>
                <w:sz w:val="20"/>
                <w:szCs w:val="20"/>
                <w:lang w:eastAsia="en-AU"/>
              </w:rPr>
              <w:t>-1</w:t>
            </w:r>
          </w:p>
        </w:tc>
        <w:tc>
          <w:tcPr>
            <w:tcW w:w="820" w:type="dxa"/>
            <w:tcBorders>
              <w:top w:val="nil"/>
              <w:left w:val="nil"/>
              <w:bottom w:val="nil"/>
              <w:right w:val="nil"/>
            </w:tcBorders>
            <w:shd w:val="clear" w:color="auto" w:fill="auto"/>
            <w:vAlign w:val="bottom"/>
            <w:hideMark/>
          </w:tcPr>
          <w:p w14:paraId="2A69A992" w14:textId="77777777" w:rsidR="00060EB6" w:rsidRPr="006828EE" w:rsidRDefault="00060EB6" w:rsidP="00C52419">
            <w:pPr>
              <w:keepNext/>
              <w:keepLines/>
              <w:tabs>
                <w:tab w:val="clear" w:pos="567"/>
              </w:tabs>
              <w:spacing w:after="0" w:line="240" w:lineRule="auto"/>
              <w:jc w:val="right"/>
              <w:rPr>
                <w:rFonts w:ascii="Calibri" w:eastAsia="Times New Roman" w:hAnsi="Calibri" w:cs="Times New Roman"/>
                <w:sz w:val="20"/>
                <w:szCs w:val="20"/>
                <w:lang w:eastAsia="en-AU"/>
              </w:rPr>
            </w:pPr>
            <w:r w:rsidRPr="006828EE">
              <w:rPr>
                <w:rFonts w:ascii="Calibri" w:eastAsia="Times New Roman" w:hAnsi="Calibri" w:cstheme="minorHAnsi"/>
                <w:sz w:val="20"/>
                <w:szCs w:val="20"/>
                <w:lang w:eastAsia="en-AU"/>
              </w:rPr>
              <w:t>-1</w:t>
            </w:r>
          </w:p>
        </w:tc>
        <w:tc>
          <w:tcPr>
            <w:tcW w:w="820" w:type="dxa"/>
            <w:tcBorders>
              <w:top w:val="nil"/>
              <w:left w:val="nil"/>
              <w:bottom w:val="nil"/>
              <w:right w:val="nil"/>
            </w:tcBorders>
            <w:shd w:val="clear" w:color="auto" w:fill="auto"/>
            <w:vAlign w:val="bottom"/>
            <w:hideMark/>
          </w:tcPr>
          <w:p w14:paraId="329B056E" w14:textId="77777777" w:rsidR="00060EB6" w:rsidRPr="006828EE" w:rsidRDefault="00060EB6" w:rsidP="00C52419">
            <w:pPr>
              <w:keepNext/>
              <w:keepLines/>
              <w:tabs>
                <w:tab w:val="clear" w:pos="567"/>
              </w:tabs>
              <w:spacing w:after="0" w:line="240" w:lineRule="auto"/>
              <w:jc w:val="right"/>
              <w:rPr>
                <w:rFonts w:ascii="Calibri" w:eastAsia="Times New Roman" w:hAnsi="Calibri" w:cs="Times New Roman"/>
                <w:sz w:val="20"/>
                <w:szCs w:val="20"/>
                <w:lang w:eastAsia="en-AU"/>
              </w:rPr>
            </w:pPr>
            <w:r w:rsidRPr="006828EE">
              <w:rPr>
                <w:rFonts w:ascii="Calibri" w:eastAsia="Times New Roman" w:hAnsi="Calibri" w:cstheme="minorHAnsi"/>
                <w:sz w:val="20"/>
                <w:szCs w:val="20"/>
                <w:lang w:eastAsia="en-AU"/>
              </w:rPr>
              <w:t>41</w:t>
            </w:r>
          </w:p>
        </w:tc>
        <w:tc>
          <w:tcPr>
            <w:tcW w:w="820" w:type="dxa"/>
            <w:tcBorders>
              <w:top w:val="nil"/>
              <w:left w:val="nil"/>
              <w:bottom w:val="nil"/>
              <w:right w:val="nil"/>
            </w:tcBorders>
            <w:shd w:val="clear" w:color="auto" w:fill="auto"/>
            <w:vAlign w:val="bottom"/>
            <w:hideMark/>
          </w:tcPr>
          <w:p w14:paraId="002C1A11" w14:textId="77777777" w:rsidR="00060EB6" w:rsidRPr="006828EE" w:rsidRDefault="00060EB6" w:rsidP="00C52419">
            <w:pPr>
              <w:keepNext/>
              <w:keepLines/>
              <w:tabs>
                <w:tab w:val="clear" w:pos="567"/>
              </w:tabs>
              <w:spacing w:after="0" w:line="240" w:lineRule="auto"/>
              <w:jc w:val="right"/>
              <w:rPr>
                <w:rFonts w:ascii="Calibri" w:eastAsia="Times New Roman" w:hAnsi="Calibri" w:cs="Times New Roman"/>
                <w:sz w:val="20"/>
                <w:szCs w:val="20"/>
                <w:lang w:eastAsia="en-AU"/>
              </w:rPr>
            </w:pPr>
            <w:r w:rsidRPr="006828EE">
              <w:rPr>
                <w:rFonts w:ascii="Calibri" w:eastAsia="Times New Roman" w:hAnsi="Calibri" w:cstheme="minorHAnsi"/>
                <w:sz w:val="20"/>
                <w:szCs w:val="20"/>
                <w:lang w:eastAsia="en-AU"/>
              </w:rPr>
              <w:t>-1</w:t>
            </w:r>
          </w:p>
        </w:tc>
        <w:tc>
          <w:tcPr>
            <w:tcW w:w="1060" w:type="dxa"/>
            <w:tcBorders>
              <w:top w:val="nil"/>
              <w:left w:val="nil"/>
              <w:bottom w:val="nil"/>
              <w:right w:val="nil"/>
            </w:tcBorders>
            <w:shd w:val="clear" w:color="auto" w:fill="auto"/>
            <w:vAlign w:val="bottom"/>
            <w:hideMark/>
          </w:tcPr>
          <w:p w14:paraId="36F0AE21" w14:textId="77777777" w:rsidR="00060EB6" w:rsidRPr="006828EE" w:rsidRDefault="00060EB6" w:rsidP="00C52419">
            <w:pPr>
              <w:keepNext/>
              <w:keepLines/>
              <w:tabs>
                <w:tab w:val="clear" w:pos="567"/>
              </w:tabs>
              <w:spacing w:after="0" w:line="240" w:lineRule="auto"/>
              <w:jc w:val="right"/>
              <w:rPr>
                <w:rFonts w:ascii="Calibri" w:eastAsia="Times New Roman" w:hAnsi="Calibri" w:cs="Times New Roman"/>
                <w:sz w:val="20"/>
                <w:szCs w:val="20"/>
                <w:lang w:eastAsia="en-AU"/>
              </w:rPr>
            </w:pPr>
            <w:r w:rsidRPr="006828EE">
              <w:rPr>
                <w:rFonts w:ascii="Calibri" w:eastAsia="Times New Roman" w:hAnsi="Calibri" w:cstheme="minorHAnsi"/>
                <w:sz w:val="20"/>
                <w:szCs w:val="20"/>
                <w:lang w:eastAsia="en-AU"/>
              </w:rPr>
              <w:t>1</w:t>
            </w:r>
          </w:p>
        </w:tc>
      </w:tr>
      <w:tr w:rsidR="00060EB6" w:rsidRPr="006828EE" w14:paraId="4A91BCEF" w14:textId="77777777" w:rsidTr="00C52419">
        <w:trPr>
          <w:trHeight w:val="315"/>
        </w:trPr>
        <w:tc>
          <w:tcPr>
            <w:tcW w:w="1240" w:type="dxa"/>
            <w:tcBorders>
              <w:top w:val="nil"/>
              <w:left w:val="nil"/>
              <w:bottom w:val="nil"/>
              <w:right w:val="nil"/>
            </w:tcBorders>
            <w:shd w:val="clear" w:color="auto" w:fill="auto"/>
            <w:vAlign w:val="bottom"/>
            <w:hideMark/>
          </w:tcPr>
          <w:p w14:paraId="3BA3F185" w14:textId="77777777" w:rsidR="00060EB6" w:rsidRPr="006828EE" w:rsidRDefault="00060EB6" w:rsidP="00C52419">
            <w:pPr>
              <w:keepNext/>
              <w:keepLines/>
              <w:tabs>
                <w:tab w:val="clear" w:pos="567"/>
              </w:tabs>
              <w:spacing w:after="0" w:line="240" w:lineRule="auto"/>
              <w:rPr>
                <w:rFonts w:ascii="Calibri" w:eastAsia="Times New Roman" w:hAnsi="Calibri" w:cs="Times New Roman"/>
                <w:sz w:val="20"/>
                <w:szCs w:val="20"/>
                <w:lang w:eastAsia="en-AU"/>
              </w:rPr>
            </w:pPr>
            <w:r w:rsidRPr="006828EE">
              <w:rPr>
                <w:rFonts w:ascii="Calibri" w:eastAsia="Times New Roman" w:hAnsi="Calibri" w:cs="Times New Roman"/>
                <w:sz w:val="20"/>
                <w:szCs w:val="20"/>
                <w:lang w:eastAsia="en-AU"/>
              </w:rPr>
              <w:t>Police</w:t>
            </w:r>
          </w:p>
        </w:tc>
        <w:tc>
          <w:tcPr>
            <w:tcW w:w="920" w:type="dxa"/>
            <w:tcBorders>
              <w:top w:val="nil"/>
              <w:left w:val="nil"/>
              <w:bottom w:val="nil"/>
              <w:right w:val="nil"/>
            </w:tcBorders>
            <w:shd w:val="clear" w:color="auto" w:fill="auto"/>
            <w:vAlign w:val="bottom"/>
            <w:hideMark/>
          </w:tcPr>
          <w:p w14:paraId="1B755981" w14:textId="7F22F94B" w:rsidR="00060EB6" w:rsidRPr="006828EE" w:rsidRDefault="00060EB6" w:rsidP="00C52419">
            <w:pPr>
              <w:keepNext/>
              <w:keepLines/>
              <w:tabs>
                <w:tab w:val="clear" w:pos="567"/>
              </w:tabs>
              <w:spacing w:after="0" w:line="240" w:lineRule="auto"/>
              <w:jc w:val="right"/>
              <w:rPr>
                <w:rFonts w:ascii="Calibri" w:eastAsia="Times New Roman" w:hAnsi="Calibri" w:cs="Times New Roman"/>
                <w:sz w:val="20"/>
                <w:szCs w:val="20"/>
                <w:lang w:eastAsia="en-AU"/>
              </w:rPr>
            </w:pPr>
            <w:r w:rsidRPr="00060EB6">
              <w:rPr>
                <w:rFonts w:ascii="Calibri" w:eastAsia="Times New Roman" w:hAnsi="Calibri" w:cstheme="minorHAnsi"/>
                <w:sz w:val="20"/>
                <w:szCs w:val="20"/>
                <w:lang w:eastAsia="en-AU"/>
              </w:rPr>
              <w:t>0</w:t>
            </w:r>
          </w:p>
        </w:tc>
        <w:tc>
          <w:tcPr>
            <w:tcW w:w="820" w:type="dxa"/>
            <w:tcBorders>
              <w:top w:val="nil"/>
              <w:left w:val="nil"/>
              <w:bottom w:val="nil"/>
              <w:right w:val="nil"/>
            </w:tcBorders>
            <w:shd w:val="clear" w:color="auto" w:fill="auto"/>
            <w:vAlign w:val="bottom"/>
            <w:hideMark/>
          </w:tcPr>
          <w:p w14:paraId="7FF769B3" w14:textId="793EA0C2" w:rsidR="00060EB6" w:rsidRPr="006828EE" w:rsidRDefault="00060EB6" w:rsidP="00C52419">
            <w:pPr>
              <w:keepNext/>
              <w:keepLines/>
              <w:tabs>
                <w:tab w:val="clear" w:pos="567"/>
              </w:tabs>
              <w:spacing w:after="0" w:line="240" w:lineRule="auto"/>
              <w:jc w:val="right"/>
              <w:rPr>
                <w:rFonts w:ascii="Calibri" w:eastAsia="Times New Roman" w:hAnsi="Calibri" w:cs="Times New Roman"/>
                <w:sz w:val="20"/>
                <w:szCs w:val="20"/>
                <w:lang w:eastAsia="en-AU"/>
              </w:rPr>
            </w:pPr>
            <w:r w:rsidRPr="00060EB6">
              <w:rPr>
                <w:rFonts w:ascii="Calibri" w:eastAsia="Times New Roman" w:hAnsi="Calibri" w:cstheme="minorHAnsi"/>
                <w:sz w:val="20"/>
                <w:szCs w:val="20"/>
                <w:lang w:eastAsia="en-AU"/>
              </w:rPr>
              <w:t>0</w:t>
            </w:r>
          </w:p>
        </w:tc>
        <w:tc>
          <w:tcPr>
            <w:tcW w:w="820" w:type="dxa"/>
            <w:tcBorders>
              <w:top w:val="nil"/>
              <w:left w:val="nil"/>
              <w:bottom w:val="nil"/>
              <w:right w:val="nil"/>
            </w:tcBorders>
            <w:shd w:val="clear" w:color="auto" w:fill="auto"/>
            <w:vAlign w:val="bottom"/>
            <w:hideMark/>
          </w:tcPr>
          <w:p w14:paraId="519EEEF0" w14:textId="07EDFD60" w:rsidR="00060EB6" w:rsidRPr="006828EE" w:rsidRDefault="00060EB6" w:rsidP="00C52419">
            <w:pPr>
              <w:keepNext/>
              <w:keepLines/>
              <w:tabs>
                <w:tab w:val="clear" w:pos="567"/>
              </w:tabs>
              <w:spacing w:after="0" w:line="240" w:lineRule="auto"/>
              <w:jc w:val="right"/>
              <w:rPr>
                <w:rFonts w:ascii="Calibri" w:eastAsia="Times New Roman" w:hAnsi="Calibri" w:cs="Times New Roman"/>
                <w:sz w:val="20"/>
                <w:szCs w:val="20"/>
                <w:lang w:eastAsia="en-AU"/>
              </w:rPr>
            </w:pPr>
            <w:r w:rsidRPr="00060EB6">
              <w:rPr>
                <w:rFonts w:ascii="Calibri" w:eastAsia="Times New Roman" w:hAnsi="Calibri" w:cstheme="minorHAnsi"/>
                <w:sz w:val="20"/>
                <w:szCs w:val="20"/>
                <w:lang w:eastAsia="en-AU"/>
              </w:rPr>
              <w:t>0</w:t>
            </w:r>
          </w:p>
        </w:tc>
        <w:tc>
          <w:tcPr>
            <w:tcW w:w="820" w:type="dxa"/>
            <w:tcBorders>
              <w:top w:val="nil"/>
              <w:left w:val="nil"/>
              <w:bottom w:val="nil"/>
              <w:right w:val="nil"/>
            </w:tcBorders>
            <w:shd w:val="clear" w:color="auto" w:fill="auto"/>
            <w:vAlign w:val="bottom"/>
            <w:hideMark/>
          </w:tcPr>
          <w:p w14:paraId="59415137" w14:textId="27560E57" w:rsidR="00060EB6" w:rsidRPr="006828EE" w:rsidRDefault="00060EB6" w:rsidP="00C52419">
            <w:pPr>
              <w:keepNext/>
              <w:keepLines/>
              <w:tabs>
                <w:tab w:val="clear" w:pos="567"/>
              </w:tabs>
              <w:spacing w:after="0" w:line="240" w:lineRule="auto"/>
              <w:jc w:val="right"/>
              <w:rPr>
                <w:rFonts w:ascii="Calibri" w:eastAsia="Times New Roman" w:hAnsi="Calibri" w:cs="Times New Roman"/>
                <w:sz w:val="20"/>
                <w:szCs w:val="20"/>
                <w:lang w:eastAsia="en-AU"/>
              </w:rPr>
            </w:pPr>
            <w:r w:rsidRPr="00060EB6">
              <w:rPr>
                <w:rFonts w:ascii="Calibri" w:eastAsia="Times New Roman" w:hAnsi="Calibri" w:cstheme="minorHAnsi"/>
                <w:sz w:val="20"/>
                <w:szCs w:val="20"/>
                <w:lang w:eastAsia="en-AU"/>
              </w:rPr>
              <w:t>0</w:t>
            </w:r>
          </w:p>
        </w:tc>
        <w:tc>
          <w:tcPr>
            <w:tcW w:w="820" w:type="dxa"/>
            <w:tcBorders>
              <w:top w:val="nil"/>
              <w:left w:val="nil"/>
              <w:bottom w:val="nil"/>
              <w:right w:val="nil"/>
            </w:tcBorders>
            <w:shd w:val="clear" w:color="auto" w:fill="auto"/>
            <w:vAlign w:val="bottom"/>
            <w:hideMark/>
          </w:tcPr>
          <w:p w14:paraId="39D597A1" w14:textId="22A95AF1" w:rsidR="00060EB6" w:rsidRPr="006828EE" w:rsidRDefault="00060EB6" w:rsidP="00C52419">
            <w:pPr>
              <w:keepNext/>
              <w:keepLines/>
              <w:tabs>
                <w:tab w:val="clear" w:pos="567"/>
              </w:tabs>
              <w:spacing w:after="0" w:line="240" w:lineRule="auto"/>
              <w:jc w:val="right"/>
              <w:rPr>
                <w:rFonts w:ascii="Calibri" w:eastAsia="Times New Roman" w:hAnsi="Calibri" w:cs="Times New Roman"/>
                <w:sz w:val="20"/>
                <w:szCs w:val="20"/>
                <w:lang w:eastAsia="en-AU"/>
              </w:rPr>
            </w:pPr>
            <w:r w:rsidRPr="00060EB6">
              <w:rPr>
                <w:rFonts w:ascii="Calibri" w:eastAsia="Times New Roman" w:hAnsi="Calibri" w:cstheme="minorHAnsi"/>
                <w:sz w:val="20"/>
                <w:szCs w:val="20"/>
                <w:lang w:eastAsia="en-AU"/>
              </w:rPr>
              <w:t>0</w:t>
            </w:r>
          </w:p>
        </w:tc>
        <w:tc>
          <w:tcPr>
            <w:tcW w:w="820" w:type="dxa"/>
            <w:tcBorders>
              <w:top w:val="nil"/>
              <w:left w:val="nil"/>
              <w:bottom w:val="nil"/>
              <w:right w:val="nil"/>
            </w:tcBorders>
            <w:shd w:val="clear" w:color="auto" w:fill="auto"/>
            <w:vAlign w:val="bottom"/>
            <w:hideMark/>
          </w:tcPr>
          <w:p w14:paraId="5226BD80" w14:textId="2058E849" w:rsidR="00060EB6" w:rsidRPr="006828EE" w:rsidRDefault="00060EB6" w:rsidP="00C52419">
            <w:pPr>
              <w:keepNext/>
              <w:keepLines/>
              <w:tabs>
                <w:tab w:val="clear" w:pos="567"/>
              </w:tabs>
              <w:spacing w:after="0" w:line="240" w:lineRule="auto"/>
              <w:jc w:val="right"/>
              <w:rPr>
                <w:rFonts w:ascii="Calibri" w:eastAsia="Times New Roman" w:hAnsi="Calibri" w:cs="Times New Roman"/>
                <w:sz w:val="20"/>
                <w:szCs w:val="20"/>
                <w:lang w:eastAsia="en-AU"/>
              </w:rPr>
            </w:pPr>
            <w:r w:rsidRPr="00060EB6">
              <w:rPr>
                <w:rFonts w:ascii="Calibri" w:eastAsia="Times New Roman" w:hAnsi="Calibri" w:cstheme="minorHAnsi"/>
                <w:sz w:val="20"/>
                <w:szCs w:val="20"/>
                <w:lang w:eastAsia="en-AU"/>
              </w:rPr>
              <w:t>0</w:t>
            </w:r>
          </w:p>
        </w:tc>
        <w:tc>
          <w:tcPr>
            <w:tcW w:w="820" w:type="dxa"/>
            <w:tcBorders>
              <w:top w:val="nil"/>
              <w:left w:val="nil"/>
              <w:bottom w:val="nil"/>
              <w:right w:val="nil"/>
            </w:tcBorders>
            <w:shd w:val="clear" w:color="auto" w:fill="auto"/>
            <w:vAlign w:val="bottom"/>
            <w:hideMark/>
          </w:tcPr>
          <w:p w14:paraId="3340B250" w14:textId="177B9704" w:rsidR="00060EB6" w:rsidRPr="006828EE" w:rsidRDefault="00060EB6" w:rsidP="00C52419">
            <w:pPr>
              <w:keepNext/>
              <w:keepLines/>
              <w:tabs>
                <w:tab w:val="clear" w:pos="567"/>
              </w:tabs>
              <w:spacing w:after="0" w:line="240" w:lineRule="auto"/>
              <w:jc w:val="right"/>
              <w:rPr>
                <w:rFonts w:ascii="Calibri" w:eastAsia="Times New Roman" w:hAnsi="Calibri" w:cs="Times New Roman"/>
                <w:sz w:val="20"/>
                <w:szCs w:val="20"/>
                <w:lang w:eastAsia="en-AU"/>
              </w:rPr>
            </w:pPr>
            <w:r w:rsidRPr="00060EB6">
              <w:rPr>
                <w:rFonts w:ascii="Calibri" w:eastAsia="Times New Roman" w:hAnsi="Calibri" w:cstheme="minorHAnsi"/>
                <w:sz w:val="20"/>
                <w:szCs w:val="20"/>
                <w:lang w:eastAsia="en-AU"/>
              </w:rPr>
              <w:t>21</w:t>
            </w:r>
          </w:p>
        </w:tc>
        <w:tc>
          <w:tcPr>
            <w:tcW w:w="820" w:type="dxa"/>
            <w:tcBorders>
              <w:top w:val="nil"/>
              <w:left w:val="nil"/>
              <w:bottom w:val="nil"/>
              <w:right w:val="nil"/>
            </w:tcBorders>
            <w:shd w:val="clear" w:color="auto" w:fill="auto"/>
            <w:vAlign w:val="bottom"/>
            <w:hideMark/>
          </w:tcPr>
          <w:p w14:paraId="54058698" w14:textId="426C8921" w:rsidR="00060EB6" w:rsidRPr="006828EE" w:rsidRDefault="00060EB6" w:rsidP="00C52419">
            <w:pPr>
              <w:keepNext/>
              <w:keepLines/>
              <w:tabs>
                <w:tab w:val="clear" w:pos="567"/>
              </w:tabs>
              <w:spacing w:after="0" w:line="240" w:lineRule="auto"/>
              <w:jc w:val="right"/>
              <w:rPr>
                <w:rFonts w:ascii="Calibri" w:eastAsia="Times New Roman" w:hAnsi="Calibri" w:cs="Times New Roman"/>
                <w:sz w:val="20"/>
                <w:szCs w:val="20"/>
                <w:lang w:eastAsia="en-AU"/>
              </w:rPr>
            </w:pPr>
            <w:r w:rsidRPr="00060EB6">
              <w:rPr>
                <w:rFonts w:ascii="Calibri" w:eastAsia="Times New Roman" w:hAnsi="Calibri" w:cstheme="minorHAnsi"/>
                <w:sz w:val="20"/>
                <w:szCs w:val="20"/>
                <w:lang w:eastAsia="en-AU"/>
              </w:rPr>
              <w:t>0</w:t>
            </w:r>
          </w:p>
        </w:tc>
        <w:tc>
          <w:tcPr>
            <w:tcW w:w="1060" w:type="dxa"/>
            <w:tcBorders>
              <w:top w:val="nil"/>
              <w:left w:val="nil"/>
              <w:bottom w:val="nil"/>
              <w:right w:val="nil"/>
            </w:tcBorders>
            <w:shd w:val="clear" w:color="auto" w:fill="auto"/>
            <w:vAlign w:val="bottom"/>
            <w:hideMark/>
          </w:tcPr>
          <w:p w14:paraId="730965C2" w14:textId="1483A24B" w:rsidR="00060EB6" w:rsidRPr="006828EE" w:rsidRDefault="00060EB6" w:rsidP="00C52419">
            <w:pPr>
              <w:keepNext/>
              <w:keepLines/>
              <w:tabs>
                <w:tab w:val="clear" w:pos="567"/>
              </w:tabs>
              <w:spacing w:after="0" w:line="240" w:lineRule="auto"/>
              <w:jc w:val="right"/>
              <w:rPr>
                <w:rFonts w:ascii="Calibri" w:eastAsia="Times New Roman" w:hAnsi="Calibri" w:cs="Times New Roman"/>
                <w:sz w:val="20"/>
                <w:szCs w:val="20"/>
                <w:lang w:eastAsia="en-AU"/>
              </w:rPr>
            </w:pPr>
            <w:r w:rsidRPr="00060EB6">
              <w:rPr>
                <w:rFonts w:ascii="Calibri" w:eastAsia="Times New Roman" w:hAnsi="Calibri" w:cstheme="minorHAnsi"/>
                <w:sz w:val="20"/>
                <w:szCs w:val="20"/>
                <w:lang w:eastAsia="en-AU"/>
              </w:rPr>
              <w:t>0</w:t>
            </w:r>
          </w:p>
        </w:tc>
      </w:tr>
      <w:tr w:rsidR="00060EB6" w:rsidRPr="006828EE" w14:paraId="2887AADC" w14:textId="77777777" w:rsidTr="00C52419">
        <w:trPr>
          <w:trHeight w:val="315"/>
        </w:trPr>
        <w:tc>
          <w:tcPr>
            <w:tcW w:w="1240" w:type="dxa"/>
            <w:tcBorders>
              <w:top w:val="nil"/>
              <w:left w:val="nil"/>
              <w:bottom w:val="nil"/>
              <w:right w:val="nil"/>
            </w:tcBorders>
            <w:shd w:val="clear" w:color="auto" w:fill="auto"/>
            <w:vAlign w:val="bottom"/>
            <w:hideMark/>
          </w:tcPr>
          <w:p w14:paraId="540A0799" w14:textId="77777777" w:rsidR="00060EB6" w:rsidRPr="006828EE" w:rsidRDefault="00060EB6" w:rsidP="00C52419">
            <w:pPr>
              <w:keepNext/>
              <w:keepLines/>
              <w:tabs>
                <w:tab w:val="clear" w:pos="567"/>
              </w:tabs>
              <w:spacing w:after="0" w:line="240" w:lineRule="auto"/>
              <w:rPr>
                <w:rFonts w:ascii="Calibri" w:eastAsia="Times New Roman" w:hAnsi="Calibri" w:cs="Times New Roman"/>
                <w:sz w:val="20"/>
                <w:szCs w:val="20"/>
                <w:lang w:eastAsia="en-AU"/>
              </w:rPr>
            </w:pPr>
            <w:r w:rsidRPr="006828EE">
              <w:rPr>
                <w:rFonts w:ascii="Calibri" w:eastAsia="Times New Roman" w:hAnsi="Calibri" w:cs="Times New Roman"/>
                <w:sz w:val="20"/>
                <w:szCs w:val="20"/>
                <w:lang w:eastAsia="en-AU"/>
              </w:rPr>
              <w:t>Roads</w:t>
            </w:r>
          </w:p>
        </w:tc>
        <w:tc>
          <w:tcPr>
            <w:tcW w:w="920" w:type="dxa"/>
            <w:tcBorders>
              <w:top w:val="nil"/>
              <w:left w:val="nil"/>
              <w:bottom w:val="nil"/>
              <w:right w:val="nil"/>
            </w:tcBorders>
            <w:shd w:val="clear" w:color="auto" w:fill="auto"/>
            <w:vAlign w:val="bottom"/>
            <w:hideMark/>
          </w:tcPr>
          <w:p w14:paraId="1FD24C34" w14:textId="77777777" w:rsidR="00060EB6" w:rsidRPr="006828EE" w:rsidRDefault="00060EB6" w:rsidP="00C52419">
            <w:pPr>
              <w:keepNext/>
              <w:keepLines/>
              <w:tabs>
                <w:tab w:val="clear" w:pos="567"/>
              </w:tabs>
              <w:spacing w:after="0" w:line="240" w:lineRule="auto"/>
              <w:jc w:val="right"/>
              <w:rPr>
                <w:rFonts w:ascii="Calibri" w:eastAsia="Times New Roman" w:hAnsi="Calibri" w:cs="Times New Roman"/>
                <w:sz w:val="20"/>
                <w:szCs w:val="20"/>
                <w:lang w:eastAsia="en-AU"/>
              </w:rPr>
            </w:pPr>
            <w:r w:rsidRPr="006828EE">
              <w:rPr>
                <w:rFonts w:ascii="Calibri" w:eastAsia="Times New Roman" w:hAnsi="Calibri" w:cstheme="minorHAnsi"/>
                <w:sz w:val="20"/>
                <w:szCs w:val="20"/>
                <w:lang w:eastAsia="en-AU"/>
              </w:rPr>
              <w:t>0</w:t>
            </w:r>
          </w:p>
        </w:tc>
        <w:tc>
          <w:tcPr>
            <w:tcW w:w="820" w:type="dxa"/>
            <w:tcBorders>
              <w:top w:val="nil"/>
              <w:left w:val="nil"/>
              <w:bottom w:val="nil"/>
              <w:right w:val="nil"/>
            </w:tcBorders>
            <w:shd w:val="clear" w:color="auto" w:fill="auto"/>
            <w:vAlign w:val="bottom"/>
            <w:hideMark/>
          </w:tcPr>
          <w:p w14:paraId="61C235A3" w14:textId="77777777" w:rsidR="00060EB6" w:rsidRPr="006828EE" w:rsidRDefault="00060EB6" w:rsidP="00C52419">
            <w:pPr>
              <w:keepNext/>
              <w:keepLines/>
              <w:tabs>
                <w:tab w:val="clear" w:pos="567"/>
              </w:tabs>
              <w:spacing w:after="0" w:line="240" w:lineRule="auto"/>
              <w:jc w:val="right"/>
              <w:rPr>
                <w:rFonts w:ascii="Calibri" w:eastAsia="Times New Roman" w:hAnsi="Calibri" w:cs="Times New Roman"/>
                <w:sz w:val="20"/>
                <w:szCs w:val="20"/>
                <w:lang w:eastAsia="en-AU"/>
              </w:rPr>
            </w:pPr>
            <w:r w:rsidRPr="006828EE">
              <w:rPr>
                <w:rFonts w:ascii="Calibri" w:eastAsia="Times New Roman" w:hAnsi="Calibri" w:cstheme="minorHAnsi"/>
                <w:sz w:val="20"/>
                <w:szCs w:val="20"/>
                <w:lang w:eastAsia="en-AU"/>
              </w:rPr>
              <w:t>0</w:t>
            </w:r>
          </w:p>
        </w:tc>
        <w:tc>
          <w:tcPr>
            <w:tcW w:w="820" w:type="dxa"/>
            <w:tcBorders>
              <w:top w:val="nil"/>
              <w:left w:val="nil"/>
              <w:bottom w:val="nil"/>
              <w:right w:val="nil"/>
            </w:tcBorders>
            <w:shd w:val="clear" w:color="auto" w:fill="auto"/>
            <w:vAlign w:val="bottom"/>
            <w:hideMark/>
          </w:tcPr>
          <w:p w14:paraId="7290AABE" w14:textId="77777777" w:rsidR="00060EB6" w:rsidRPr="006828EE" w:rsidRDefault="00060EB6" w:rsidP="00C52419">
            <w:pPr>
              <w:keepNext/>
              <w:keepLines/>
              <w:tabs>
                <w:tab w:val="clear" w:pos="567"/>
              </w:tabs>
              <w:spacing w:after="0" w:line="240" w:lineRule="auto"/>
              <w:jc w:val="right"/>
              <w:rPr>
                <w:rFonts w:ascii="Calibri" w:eastAsia="Times New Roman" w:hAnsi="Calibri" w:cs="Times New Roman"/>
                <w:sz w:val="20"/>
                <w:szCs w:val="20"/>
                <w:lang w:eastAsia="en-AU"/>
              </w:rPr>
            </w:pPr>
            <w:r w:rsidRPr="006828EE">
              <w:rPr>
                <w:rFonts w:ascii="Calibri" w:eastAsia="Times New Roman" w:hAnsi="Calibri" w:cstheme="minorHAnsi"/>
                <w:sz w:val="20"/>
                <w:szCs w:val="20"/>
                <w:lang w:eastAsia="en-AU"/>
              </w:rPr>
              <w:t>0</w:t>
            </w:r>
          </w:p>
        </w:tc>
        <w:tc>
          <w:tcPr>
            <w:tcW w:w="820" w:type="dxa"/>
            <w:tcBorders>
              <w:top w:val="nil"/>
              <w:left w:val="nil"/>
              <w:bottom w:val="nil"/>
              <w:right w:val="nil"/>
            </w:tcBorders>
            <w:shd w:val="clear" w:color="auto" w:fill="auto"/>
            <w:vAlign w:val="bottom"/>
            <w:hideMark/>
          </w:tcPr>
          <w:p w14:paraId="32F336E2" w14:textId="77777777" w:rsidR="00060EB6" w:rsidRPr="006828EE" w:rsidRDefault="00060EB6" w:rsidP="00C52419">
            <w:pPr>
              <w:keepNext/>
              <w:keepLines/>
              <w:tabs>
                <w:tab w:val="clear" w:pos="567"/>
              </w:tabs>
              <w:spacing w:after="0" w:line="240" w:lineRule="auto"/>
              <w:jc w:val="right"/>
              <w:rPr>
                <w:rFonts w:ascii="Calibri" w:eastAsia="Times New Roman" w:hAnsi="Calibri" w:cs="Times New Roman"/>
                <w:sz w:val="20"/>
                <w:szCs w:val="20"/>
                <w:lang w:eastAsia="en-AU"/>
              </w:rPr>
            </w:pPr>
            <w:r w:rsidRPr="006828EE">
              <w:rPr>
                <w:rFonts w:ascii="Calibri" w:eastAsia="Times New Roman" w:hAnsi="Calibri" w:cstheme="minorHAnsi"/>
                <w:sz w:val="20"/>
                <w:szCs w:val="20"/>
                <w:lang w:eastAsia="en-AU"/>
              </w:rPr>
              <w:t>0</w:t>
            </w:r>
          </w:p>
        </w:tc>
        <w:tc>
          <w:tcPr>
            <w:tcW w:w="820" w:type="dxa"/>
            <w:tcBorders>
              <w:top w:val="nil"/>
              <w:left w:val="nil"/>
              <w:bottom w:val="nil"/>
              <w:right w:val="nil"/>
            </w:tcBorders>
            <w:shd w:val="clear" w:color="auto" w:fill="auto"/>
            <w:vAlign w:val="bottom"/>
            <w:hideMark/>
          </w:tcPr>
          <w:p w14:paraId="378D3952" w14:textId="77777777" w:rsidR="00060EB6" w:rsidRPr="006828EE" w:rsidRDefault="00060EB6" w:rsidP="00C52419">
            <w:pPr>
              <w:keepNext/>
              <w:keepLines/>
              <w:tabs>
                <w:tab w:val="clear" w:pos="567"/>
              </w:tabs>
              <w:spacing w:after="0" w:line="240" w:lineRule="auto"/>
              <w:jc w:val="right"/>
              <w:rPr>
                <w:rFonts w:ascii="Calibri" w:eastAsia="Times New Roman" w:hAnsi="Calibri" w:cs="Times New Roman"/>
                <w:sz w:val="20"/>
                <w:szCs w:val="20"/>
                <w:lang w:eastAsia="en-AU"/>
              </w:rPr>
            </w:pPr>
            <w:r w:rsidRPr="006828EE">
              <w:rPr>
                <w:rFonts w:ascii="Calibri" w:eastAsia="Times New Roman" w:hAnsi="Calibri" w:cstheme="minorHAnsi"/>
                <w:sz w:val="20"/>
                <w:szCs w:val="20"/>
                <w:lang w:eastAsia="en-AU"/>
              </w:rPr>
              <w:t>0</w:t>
            </w:r>
          </w:p>
        </w:tc>
        <w:tc>
          <w:tcPr>
            <w:tcW w:w="820" w:type="dxa"/>
            <w:tcBorders>
              <w:top w:val="nil"/>
              <w:left w:val="nil"/>
              <w:bottom w:val="nil"/>
              <w:right w:val="nil"/>
            </w:tcBorders>
            <w:shd w:val="clear" w:color="auto" w:fill="auto"/>
            <w:vAlign w:val="bottom"/>
            <w:hideMark/>
          </w:tcPr>
          <w:p w14:paraId="3FDCC1A0" w14:textId="77777777" w:rsidR="00060EB6" w:rsidRPr="006828EE" w:rsidRDefault="00060EB6" w:rsidP="00C52419">
            <w:pPr>
              <w:keepNext/>
              <w:keepLines/>
              <w:tabs>
                <w:tab w:val="clear" w:pos="567"/>
              </w:tabs>
              <w:spacing w:after="0" w:line="240" w:lineRule="auto"/>
              <w:jc w:val="right"/>
              <w:rPr>
                <w:rFonts w:ascii="Calibri" w:eastAsia="Times New Roman" w:hAnsi="Calibri" w:cs="Times New Roman"/>
                <w:sz w:val="20"/>
                <w:szCs w:val="20"/>
                <w:lang w:eastAsia="en-AU"/>
              </w:rPr>
            </w:pPr>
            <w:r w:rsidRPr="006828EE">
              <w:rPr>
                <w:rFonts w:ascii="Calibri" w:eastAsia="Times New Roman" w:hAnsi="Calibri" w:cstheme="minorHAnsi"/>
                <w:sz w:val="20"/>
                <w:szCs w:val="20"/>
                <w:lang w:eastAsia="en-AU"/>
              </w:rPr>
              <w:t>0</w:t>
            </w:r>
          </w:p>
        </w:tc>
        <w:tc>
          <w:tcPr>
            <w:tcW w:w="820" w:type="dxa"/>
            <w:tcBorders>
              <w:top w:val="nil"/>
              <w:left w:val="nil"/>
              <w:bottom w:val="nil"/>
              <w:right w:val="nil"/>
            </w:tcBorders>
            <w:shd w:val="clear" w:color="auto" w:fill="auto"/>
            <w:vAlign w:val="bottom"/>
            <w:hideMark/>
          </w:tcPr>
          <w:p w14:paraId="12FCF1DE" w14:textId="77777777" w:rsidR="00060EB6" w:rsidRPr="006828EE" w:rsidRDefault="00060EB6" w:rsidP="00C52419">
            <w:pPr>
              <w:keepNext/>
              <w:keepLines/>
              <w:tabs>
                <w:tab w:val="clear" w:pos="567"/>
              </w:tabs>
              <w:spacing w:after="0" w:line="240" w:lineRule="auto"/>
              <w:jc w:val="right"/>
              <w:rPr>
                <w:rFonts w:ascii="Calibri" w:eastAsia="Times New Roman" w:hAnsi="Calibri" w:cs="Times New Roman"/>
                <w:sz w:val="20"/>
                <w:szCs w:val="20"/>
                <w:lang w:eastAsia="en-AU"/>
              </w:rPr>
            </w:pPr>
            <w:r w:rsidRPr="006828EE">
              <w:rPr>
                <w:rFonts w:ascii="Calibri" w:eastAsia="Times New Roman" w:hAnsi="Calibri" w:cstheme="minorHAnsi"/>
                <w:sz w:val="20"/>
                <w:szCs w:val="20"/>
                <w:lang w:eastAsia="en-AU"/>
              </w:rPr>
              <w:t>9</w:t>
            </w:r>
          </w:p>
        </w:tc>
        <w:tc>
          <w:tcPr>
            <w:tcW w:w="820" w:type="dxa"/>
            <w:tcBorders>
              <w:top w:val="nil"/>
              <w:left w:val="nil"/>
              <w:bottom w:val="nil"/>
              <w:right w:val="nil"/>
            </w:tcBorders>
            <w:shd w:val="clear" w:color="auto" w:fill="auto"/>
            <w:vAlign w:val="bottom"/>
            <w:hideMark/>
          </w:tcPr>
          <w:p w14:paraId="0CD783DB" w14:textId="77777777" w:rsidR="00060EB6" w:rsidRPr="006828EE" w:rsidRDefault="00060EB6" w:rsidP="00C52419">
            <w:pPr>
              <w:keepNext/>
              <w:keepLines/>
              <w:tabs>
                <w:tab w:val="clear" w:pos="567"/>
              </w:tabs>
              <w:spacing w:after="0" w:line="240" w:lineRule="auto"/>
              <w:jc w:val="right"/>
              <w:rPr>
                <w:rFonts w:ascii="Calibri" w:eastAsia="Times New Roman" w:hAnsi="Calibri" w:cs="Times New Roman"/>
                <w:sz w:val="20"/>
                <w:szCs w:val="20"/>
                <w:lang w:eastAsia="en-AU"/>
              </w:rPr>
            </w:pPr>
            <w:r w:rsidRPr="006828EE">
              <w:rPr>
                <w:rFonts w:ascii="Calibri" w:eastAsia="Times New Roman" w:hAnsi="Calibri" w:cstheme="minorHAnsi"/>
                <w:sz w:val="20"/>
                <w:szCs w:val="20"/>
                <w:lang w:eastAsia="en-AU"/>
              </w:rPr>
              <w:t>0</w:t>
            </w:r>
          </w:p>
        </w:tc>
        <w:tc>
          <w:tcPr>
            <w:tcW w:w="1060" w:type="dxa"/>
            <w:tcBorders>
              <w:top w:val="nil"/>
              <w:left w:val="nil"/>
              <w:bottom w:val="nil"/>
              <w:right w:val="nil"/>
            </w:tcBorders>
            <w:shd w:val="clear" w:color="auto" w:fill="auto"/>
            <w:vAlign w:val="bottom"/>
            <w:hideMark/>
          </w:tcPr>
          <w:p w14:paraId="42EA107F" w14:textId="77777777" w:rsidR="00060EB6" w:rsidRPr="006828EE" w:rsidRDefault="00060EB6" w:rsidP="00C52419">
            <w:pPr>
              <w:keepNext/>
              <w:keepLines/>
              <w:tabs>
                <w:tab w:val="clear" w:pos="567"/>
              </w:tabs>
              <w:spacing w:after="0" w:line="240" w:lineRule="auto"/>
              <w:jc w:val="right"/>
              <w:rPr>
                <w:rFonts w:ascii="Calibri" w:eastAsia="Times New Roman" w:hAnsi="Calibri" w:cs="Times New Roman"/>
                <w:sz w:val="20"/>
                <w:szCs w:val="20"/>
                <w:lang w:eastAsia="en-AU"/>
              </w:rPr>
            </w:pPr>
            <w:r w:rsidRPr="006828EE">
              <w:rPr>
                <w:rFonts w:ascii="Calibri" w:eastAsia="Times New Roman" w:hAnsi="Calibri" w:cstheme="minorHAnsi"/>
                <w:sz w:val="20"/>
                <w:szCs w:val="20"/>
                <w:lang w:eastAsia="en-AU"/>
              </w:rPr>
              <w:t>0</w:t>
            </w:r>
          </w:p>
        </w:tc>
      </w:tr>
      <w:tr w:rsidR="00060EB6" w:rsidRPr="006828EE" w14:paraId="57C88D58" w14:textId="77777777" w:rsidTr="00C52419">
        <w:trPr>
          <w:trHeight w:val="315"/>
        </w:trPr>
        <w:tc>
          <w:tcPr>
            <w:tcW w:w="1240" w:type="dxa"/>
            <w:tcBorders>
              <w:top w:val="nil"/>
              <w:left w:val="nil"/>
              <w:bottom w:val="single" w:sz="4" w:space="0" w:color="auto"/>
              <w:right w:val="nil"/>
            </w:tcBorders>
            <w:shd w:val="clear" w:color="auto" w:fill="auto"/>
            <w:vAlign w:val="bottom"/>
            <w:hideMark/>
          </w:tcPr>
          <w:p w14:paraId="77B281C6" w14:textId="77777777" w:rsidR="00060EB6" w:rsidRPr="006828EE" w:rsidRDefault="00060EB6" w:rsidP="00C52419">
            <w:pPr>
              <w:keepNext/>
              <w:keepLines/>
              <w:tabs>
                <w:tab w:val="clear" w:pos="567"/>
              </w:tabs>
              <w:spacing w:after="0" w:line="240" w:lineRule="auto"/>
              <w:rPr>
                <w:rFonts w:ascii="Calibri" w:eastAsia="Times New Roman" w:hAnsi="Calibri" w:cs="Times New Roman"/>
                <w:sz w:val="20"/>
                <w:szCs w:val="20"/>
                <w:lang w:eastAsia="en-AU"/>
              </w:rPr>
            </w:pPr>
            <w:r w:rsidRPr="006828EE">
              <w:rPr>
                <w:rFonts w:ascii="Calibri" w:eastAsia="Times New Roman" w:hAnsi="Calibri" w:cs="Times New Roman"/>
                <w:sz w:val="20"/>
                <w:szCs w:val="20"/>
                <w:lang w:eastAsia="en-AU"/>
              </w:rPr>
              <w:t>Total</w:t>
            </w:r>
          </w:p>
        </w:tc>
        <w:tc>
          <w:tcPr>
            <w:tcW w:w="920" w:type="dxa"/>
            <w:tcBorders>
              <w:top w:val="single" w:sz="4" w:space="0" w:color="auto"/>
              <w:left w:val="nil"/>
              <w:bottom w:val="single" w:sz="4" w:space="0" w:color="auto"/>
              <w:right w:val="nil"/>
            </w:tcBorders>
            <w:shd w:val="clear" w:color="auto" w:fill="auto"/>
            <w:vAlign w:val="bottom"/>
            <w:hideMark/>
          </w:tcPr>
          <w:p w14:paraId="1629908E" w14:textId="77777777" w:rsidR="00060EB6" w:rsidRPr="006828EE" w:rsidRDefault="00060EB6" w:rsidP="00C52419">
            <w:pPr>
              <w:keepNext/>
              <w:keepLines/>
              <w:tabs>
                <w:tab w:val="clear" w:pos="567"/>
              </w:tabs>
              <w:spacing w:after="0" w:line="240" w:lineRule="auto"/>
              <w:jc w:val="right"/>
              <w:rPr>
                <w:rFonts w:ascii="Calibri" w:eastAsia="Times New Roman" w:hAnsi="Calibri" w:cs="Times New Roman"/>
                <w:sz w:val="20"/>
                <w:szCs w:val="20"/>
                <w:lang w:eastAsia="en-AU"/>
              </w:rPr>
            </w:pPr>
            <w:r w:rsidRPr="006828EE">
              <w:rPr>
                <w:rFonts w:ascii="Calibri" w:eastAsia="Times New Roman" w:hAnsi="Calibri" w:cstheme="minorHAnsi"/>
                <w:sz w:val="20"/>
                <w:szCs w:val="20"/>
                <w:lang w:eastAsia="en-AU"/>
              </w:rPr>
              <w:t>-1</w:t>
            </w:r>
          </w:p>
        </w:tc>
        <w:tc>
          <w:tcPr>
            <w:tcW w:w="820" w:type="dxa"/>
            <w:tcBorders>
              <w:top w:val="single" w:sz="4" w:space="0" w:color="auto"/>
              <w:left w:val="nil"/>
              <w:bottom w:val="single" w:sz="4" w:space="0" w:color="auto"/>
              <w:right w:val="nil"/>
            </w:tcBorders>
            <w:shd w:val="clear" w:color="auto" w:fill="auto"/>
            <w:vAlign w:val="bottom"/>
            <w:hideMark/>
          </w:tcPr>
          <w:p w14:paraId="539B4238" w14:textId="77777777" w:rsidR="00060EB6" w:rsidRPr="006828EE" w:rsidRDefault="00060EB6" w:rsidP="00C52419">
            <w:pPr>
              <w:keepNext/>
              <w:keepLines/>
              <w:tabs>
                <w:tab w:val="clear" w:pos="567"/>
              </w:tabs>
              <w:spacing w:after="0" w:line="240" w:lineRule="auto"/>
              <w:jc w:val="right"/>
              <w:rPr>
                <w:rFonts w:ascii="Calibri" w:eastAsia="Times New Roman" w:hAnsi="Calibri" w:cs="Times New Roman"/>
                <w:sz w:val="20"/>
                <w:szCs w:val="20"/>
                <w:lang w:eastAsia="en-AU"/>
              </w:rPr>
            </w:pPr>
            <w:r w:rsidRPr="006828EE">
              <w:rPr>
                <w:rFonts w:ascii="Calibri" w:eastAsia="Times New Roman" w:hAnsi="Calibri" w:cstheme="minorHAnsi"/>
                <w:sz w:val="20"/>
                <w:szCs w:val="20"/>
                <w:lang w:eastAsia="en-AU"/>
              </w:rPr>
              <w:t>-1</w:t>
            </w:r>
          </w:p>
        </w:tc>
        <w:tc>
          <w:tcPr>
            <w:tcW w:w="820" w:type="dxa"/>
            <w:tcBorders>
              <w:top w:val="single" w:sz="4" w:space="0" w:color="auto"/>
              <w:left w:val="nil"/>
              <w:bottom w:val="single" w:sz="4" w:space="0" w:color="auto"/>
              <w:right w:val="nil"/>
            </w:tcBorders>
            <w:shd w:val="clear" w:color="auto" w:fill="auto"/>
            <w:vAlign w:val="bottom"/>
            <w:hideMark/>
          </w:tcPr>
          <w:p w14:paraId="064845C0" w14:textId="77777777" w:rsidR="00060EB6" w:rsidRPr="006828EE" w:rsidRDefault="00060EB6" w:rsidP="00C52419">
            <w:pPr>
              <w:keepNext/>
              <w:keepLines/>
              <w:tabs>
                <w:tab w:val="clear" w:pos="567"/>
              </w:tabs>
              <w:spacing w:after="0" w:line="240" w:lineRule="auto"/>
              <w:jc w:val="right"/>
              <w:rPr>
                <w:rFonts w:ascii="Calibri" w:eastAsia="Times New Roman" w:hAnsi="Calibri" w:cs="Times New Roman"/>
                <w:sz w:val="20"/>
                <w:szCs w:val="20"/>
                <w:lang w:eastAsia="en-AU"/>
              </w:rPr>
            </w:pPr>
            <w:r w:rsidRPr="006828EE">
              <w:rPr>
                <w:rFonts w:ascii="Calibri" w:eastAsia="Times New Roman" w:hAnsi="Calibri" w:cstheme="minorHAnsi"/>
                <w:sz w:val="20"/>
                <w:szCs w:val="20"/>
                <w:lang w:eastAsia="en-AU"/>
              </w:rPr>
              <w:t>-1</w:t>
            </w:r>
          </w:p>
        </w:tc>
        <w:tc>
          <w:tcPr>
            <w:tcW w:w="820" w:type="dxa"/>
            <w:tcBorders>
              <w:top w:val="single" w:sz="4" w:space="0" w:color="auto"/>
              <w:left w:val="nil"/>
              <w:bottom w:val="single" w:sz="4" w:space="0" w:color="auto"/>
              <w:right w:val="nil"/>
            </w:tcBorders>
            <w:shd w:val="clear" w:color="auto" w:fill="auto"/>
            <w:vAlign w:val="bottom"/>
            <w:hideMark/>
          </w:tcPr>
          <w:p w14:paraId="1DA87D57" w14:textId="77777777" w:rsidR="00060EB6" w:rsidRPr="006828EE" w:rsidRDefault="00060EB6" w:rsidP="00C52419">
            <w:pPr>
              <w:keepNext/>
              <w:keepLines/>
              <w:tabs>
                <w:tab w:val="clear" w:pos="567"/>
              </w:tabs>
              <w:spacing w:after="0" w:line="240" w:lineRule="auto"/>
              <w:jc w:val="right"/>
              <w:rPr>
                <w:rFonts w:ascii="Calibri" w:eastAsia="Times New Roman" w:hAnsi="Calibri" w:cs="Times New Roman"/>
                <w:sz w:val="20"/>
                <w:szCs w:val="20"/>
                <w:lang w:eastAsia="en-AU"/>
              </w:rPr>
            </w:pPr>
            <w:r w:rsidRPr="006828EE">
              <w:rPr>
                <w:rFonts w:ascii="Calibri" w:eastAsia="Times New Roman" w:hAnsi="Calibri" w:cstheme="minorHAnsi"/>
                <w:sz w:val="20"/>
                <w:szCs w:val="20"/>
                <w:lang w:eastAsia="en-AU"/>
              </w:rPr>
              <w:t>-1</w:t>
            </w:r>
          </w:p>
        </w:tc>
        <w:tc>
          <w:tcPr>
            <w:tcW w:w="820" w:type="dxa"/>
            <w:tcBorders>
              <w:top w:val="single" w:sz="4" w:space="0" w:color="auto"/>
              <w:left w:val="nil"/>
              <w:bottom w:val="single" w:sz="4" w:space="0" w:color="auto"/>
              <w:right w:val="nil"/>
            </w:tcBorders>
            <w:shd w:val="clear" w:color="auto" w:fill="auto"/>
            <w:vAlign w:val="bottom"/>
            <w:hideMark/>
          </w:tcPr>
          <w:p w14:paraId="63DD3AFC" w14:textId="77777777" w:rsidR="00060EB6" w:rsidRPr="006828EE" w:rsidRDefault="00060EB6" w:rsidP="00C52419">
            <w:pPr>
              <w:keepNext/>
              <w:keepLines/>
              <w:tabs>
                <w:tab w:val="clear" w:pos="567"/>
              </w:tabs>
              <w:spacing w:after="0" w:line="240" w:lineRule="auto"/>
              <w:jc w:val="right"/>
              <w:rPr>
                <w:rFonts w:ascii="Calibri" w:eastAsia="Times New Roman" w:hAnsi="Calibri" w:cs="Times New Roman"/>
                <w:sz w:val="20"/>
                <w:szCs w:val="20"/>
                <w:lang w:eastAsia="en-AU"/>
              </w:rPr>
            </w:pPr>
            <w:r w:rsidRPr="006828EE">
              <w:rPr>
                <w:rFonts w:ascii="Calibri" w:eastAsia="Times New Roman" w:hAnsi="Calibri" w:cstheme="minorHAnsi"/>
                <w:sz w:val="20"/>
                <w:szCs w:val="20"/>
                <w:lang w:eastAsia="en-AU"/>
              </w:rPr>
              <w:t>-1</w:t>
            </w:r>
          </w:p>
        </w:tc>
        <w:tc>
          <w:tcPr>
            <w:tcW w:w="820" w:type="dxa"/>
            <w:tcBorders>
              <w:top w:val="single" w:sz="4" w:space="0" w:color="auto"/>
              <w:left w:val="nil"/>
              <w:bottom w:val="single" w:sz="4" w:space="0" w:color="auto"/>
              <w:right w:val="nil"/>
            </w:tcBorders>
            <w:shd w:val="clear" w:color="auto" w:fill="auto"/>
            <w:vAlign w:val="bottom"/>
            <w:hideMark/>
          </w:tcPr>
          <w:p w14:paraId="392CC138" w14:textId="77777777" w:rsidR="00060EB6" w:rsidRPr="006828EE" w:rsidRDefault="00060EB6" w:rsidP="00C52419">
            <w:pPr>
              <w:keepNext/>
              <w:keepLines/>
              <w:tabs>
                <w:tab w:val="clear" w:pos="567"/>
              </w:tabs>
              <w:spacing w:after="0" w:line="240" w:lineRule="auto"/>
              <w:jc w:val="right"/>
              <w:rPr>
                <w:rFonts w:ascii="Calibri" w:eastAsia="Times New Roman" w:hAnsi="Calibri" w:cs="Times New Roman"/>
                <w:sz w:val="20"/>
                <w:szCs w:val="20"/>
                <w:lang w:eastAsia="en-AU"/>
              </w:rPr>
            </w:pPr>
            <w:r w:rsidRPr="006828EE">
              <w:rPr>
                <w:rFonts w:ascii="Calibri" w:eastAsia="Times New Roman" w:hAnsi="Calibri" w:cstheme="minorHAnsi"/>
                <w:sz w:val="20"/>
                <w:szCs w:val="20"/>
                <w:lang w:eastAsia="en-AU"/>
              </w:rPr>
              <w:t>-1</w:t>
            </w:r>
          </w:p>
        </w:tc>
        <w:tc>
          <w:tcPr>
            <w:tcW w:w="820" w:type="dxa"/>
            <w:tcBorders>
              <w:top w:val="single" w:sz="4" w:space="0" w:color="auto"/>
              <w:left w:val="nil"/>
              <w:bottom w:val="single" w:sz="4" w:space="0" w:color="auto"/>
              <w:right w:val="nil"/>
            </w:tcBorders>
            <w:shd w:val="clear" w:color="auto" w:fill="auto"/>
            <w:vAlign w:val="bottom"/>
            <w:hideMark/>
          </w:tcPr>
          <w:p w14:paraId="04FD5BDC" w14:textId="531B9C17" w:rsidR="00060EB6" w:rsidRPr="006828EE" w:rsidRDefault="00060EB6" w:rsidP="00C52419">
            <w:pPr>
              <w:keepNext/>
              <w:keepLines/>
              <w:tabs>
                <w:tab w:val="clear" w:pos="567"/>
              </w:tabs>
              <w:spacing w:after="0" w:line="240" w:lineRule="auto"/>
              <w:jc w:val="right"/>
              <w:rPr>
                <w:rFonts w:ascii="Calibri" w:eastAsia="Times New Roman" w:hAnsi="Calibri" w:cs="Times New Roman"/>
                <w:sz w:val="20"/>
                <w:szCs w:val="20"/>
                <w:lang w:eastAsia="en-AU"/>
              </w:rPr>
            </w:pPr>
            <w:r>
              <w:rPr>
                <w:rFonts w:ascii="Calibri" w:eastAsia="Times New Roman" w:hAnsi="Calibri" w:cstheme="minorHAnsi"/>
                <w:sz w:val="20"/>
                <w:szCs w:val="20"/>
                <w:lang w:eastAsia="en-AU"/>
              </w:rPr>
              <w:t>7</w:t>
            </w:r>
            <w:r w:rsidRPr="006828EE">
              <w:rPr>
                <w:rFonts w:ascii="Calibri" w:eastAsia="Times New Roman" w:hAnsi="Calibri" w:cstheme="minorHAnsi"/>
                <w:sz w:val="20"/>
                <w:szCs w:val="20"/>
                <w:lang w:eastAsia="en-AU"/>
              </w:rPr>
              <w:t>0</w:t>
            </w:r>
          </w:p>
        </w:tc>
        <w:tc>
          <w:tcPr>
            <w:tcW w:w="820" w:type="dxa"/>
            <w:tcBorders>
              <w:top w:val="single" w:sz="4" w:space="0" w:color="auto"/>
              <w:left w:val="nil"/>
              <w:bottom w:val="single" w:sz="4" w:space="0" w:color="auto"/>
              <w:right w:val="nil"/>
            </w:tcBorders>
            <w:shd w:val="clear" w:color="auto" w:fill="auto"/>
            <w:vAlign w:val="bottom"/>
            <w:hideMark/>
          </w:tcPr>
          <w:p w14:paraId="06B9CA96" w14:textId="77777777" w:rsidR="00060EB6" w:rsidRPr="006828EE" w:rsidRDefault="00060EB6" w:rsidP="00C52419">
            <w:pPr>
              <w:keepNext/>
              <w:keepLines/>
              <w:tabs>
                <w:tab w:val="clear" w:pos="567"/>
              </w:tabs>
              <w:spacing w:after="0" w:line="240" w:lineRule="auto"/>
              <w:jc w:val="right"/>
              <w:rPr>
                <w:rFonts w:ascii="Calibri" w:eastAsia="Times New Roman" w:hAnsi="Calibri" w:cs="Times New Roman"/>
                <w:sz w:val="20"/>
                <w:szCs w:val="20"/>
                <w:lang w:eastAsia="en-AU"/>
              </w:rPr>
            </w:pPr>
            <w:r w:rsidRPr="006828EE">
              <w:rPr>
                <w:rFonts w:ascii="Calibri" w:eastAsia="Times New Roman" w:hAnsi="Calibri" w:cstheme="minorHAnsi"/>
                <w:sz w:val="20"/>
                <w:szCs w:val="20"/>
                <w:lang w:eastAsia="en-AU"/>
              </w:rPr>
              <w:t>-1</w:t>
            </w:r>
          </w:p>
        </w:tc>
        <w:tc>
          <w:tcPr>
            <w:tcW w:w="1060" w:type="dxa"/>
            <w:tcBorders>
              <w:top w:val="single" w:sz="4" w:space="0" w:color="auto"/>
              <w:left w:val="nil"/>
              <w:bottom w:val="single" w:sz="4" w:space="0" w:color="auto"/>
              <w:right w:val="nil"/>
            </w:tcBorders>
            <w:shd w:val="clear" w:color="auto" w:fill="auto"/>
            <w:vAlign w:val="bottom"/>
            <w:hideMark/>
          </w:tcPr>
          <w:p w14:paraId="209D90CB" w14:textId="77777777" w:rsidR="00060EB6" w:rsidRPr="006828EE" w:rsidRDefault="00060EB6" w:rsidP="00C52419">
            <w:pPr>
              <w:keepNext/>
              <w:keepLines/>
              <w:tabs>
                <w:tab w:val="clear" w:pos="567"/>
              </w:tabs>
              <w:spacing w:after="0" w:line="240" w:lineRule="auto"/>
              <w:jc w:val="right"/>
              <w:rPr>
                <w:rFonts w:ascii="Calibri" w:eastAsia="Times New Roman" w:hAnsi="Calibri" w:cs="Times New Roman"/>
                <w:sz w:val="20"/>
                <w:szCs w:val="20"/>
                <w:lang w:eastAsia="en-AU"/>
              </w:rPr>
            </w:pPr>
            <w:r w:rsidRPr="006828EE">
              <w:rPr>
                <w:rFonts w:ascii="Calibri" w:eastAsia="Times New Roman" w:hAnsi="Calibri" w:cstheme="minorHAnsi"/>
                <w:sz w:val="20"/>
                <w:szCs w:val="20"/>
                <w:lang w:eastAsia="en-AU"/>
              </w:rPr>
              <w:t>1</w:t>
            </w:r>
          </w:p>
        </w:tc>
      </w:tr>
    </w:tbl>
    <w:p w14:paraId="73CC77D8" w14:textId="5994BF0C" w:rsidR="00C54930" w:rsidRDefault="00233E13" w:rsidP="006828EE">
      <w:pPr>
        <w:pStyle w:val="CGCTableFootnote"/>
        <w:keepNext/>
        <w:keepLines/>
      </w:pPr>
      <w:r>
        <w:t>Source:</w:t>
      </w:r>
      <w:r>
        <w:tab/>
        <w:t>2018</w:t>
      </w:r>
      <w:r w:rsidR="00C54930">
        <w:t xml:space="preserve"> Update.</w:t>
      </w:r>
    </w:p>
    <w:p w14:paraId="061E8D16" w14:textId="6951B3DB" w:rsidR="00C54930" w:rsidRDefault="002813EC" w:rsidP="00C54930">
      <w:pPr>
        <w:pStyle w:val="Heading3"/>
      </w:pPr>
      <w:bookmarkStart w:id="145" w:name="_Toc511048320"/>
      <w:bookmarkStart w:id="146" w:name="_Toc511048422"/>
      <w:bookmarkStart w:id="147" w:name="_Toc511048460"/>
      <w:bookmarkStart w:id="148" w:name="_Toc511048495"/>
      <w:bookmarkStart w:id="149" w:name="_Toc511398671"/>
      <w:bookmarkStart w:id="150" w:name="_Toc511398715"/>
      <w:bookmarkStart w:id="151" w:name="_Toc511892538"/>
      <w:r>
        <w:t>I</w:t>
      </w:r>
      <w:r w:rsidR="00C54930" w:rsidRPr="00741FF2">
        <w:t xml:space="preserve">ssues and </w:t>
      </w:r>
      <w:r w:rsidR="00C54930">
        <w:t>analysis</w:t>
      </w:r>
      <w:bookmarkEnd w:id="145"/>
      <w:bookmarkEnd w:id="146"/>
      <w:bookmarkEnd w:id="147"/>
      <w:bookmarkEnd w:id="148"/>
      <w:bookmarkEnd w:id="149"/>
      <w:bookmarkEnd w:id="150"/>
      <w:bookmarkEnd w:id="151"/>
    </w:p>
    <w:p w14:paraId="5D1742F5" w14:textId="77777777" w:rsidR="00C54930" w:rsidRDefault="00C54930" w:rsidP="00C54930">
      <w:pPr>
        <w:pStyle w:val="Heading4"/>
      </w:pPr>
      <w:bookmarkStart w:id="152" w:name="_Toc511048321"/>
      <w:bookmarkStart w:id="153" w:name="_Toc511048423"/>
      <w:bookmarkStart w:id="154" w:name="_Toc511048461"/>
      <w:bookmarkStart w:id="155" w:name="_Toc511048496"/>
      <w:bookmarkStart w:id="156" w:name="_Toc511398672"/>
      <w:bookmarkStart w:id="157" w:name="_Toc511398716"/>
      <w:bookmarkStart w:id="158" w:name="_Toc511892539"/>
      <w:r>
        <w:t>Planning allowances</w:t>
      </w:r>
      <w:bookmarkEnd w:id="152"/>
      <w:bookmarkEnd w:id="153"/>
      <w:bookmarkEnd w:id="154"/>
      <w:bookmarkEnd w:id="155"/>
      <w:bookmarkEnd w:id="156"/>
      <w:bookmarkEnd w:id="157"/>
      <w:bookmarkEnd w:id="158"/>
    </w:p>
    <w:p w14:paraId="59CA63C9" w14:textId="77777777" w:rsidR="00C54930" w:rsidRDefault="00C54930" w:rsidP="00C54930">
      <w:pPr>
        <w:pStyle w:val="CGCNumberedPara"/>
        <w:numPr>
          <w:ilvl w:val="1"/>
          <w:numId w:val="3"/>
        </w:numPr>
      </w:pPr>
      <w:r>
        <w:t>These allowances fall into two groups:</w:t>
      </w:r>
    </w:p>
    <w:p w14:paraId="4462F255" w14:textId="5CAC6AC4" w:rsidR="00C54930" w:rsidRDefault="00C54930" w:rsidP="00C54930">
      <w:pPr>
        <w:pStyle w:val="CGCBulletlist"/>
        <w:numPr>
          <w:ilvl w:val="0"/>
          <w:numId w:val="1"/>
        </w:numPr>
        <w:tabs>
          <w:tab w:val="clear" w:pos="927"/>
          <w:tab w:val="num" w:pos="4472"/>
        </w:tabs>
        <w:ind w:left="1134" w:hanging="567"/>
      </w:pPr>
      <w:r>
        <w:t xml:space="preserve">allowances relating to the influence of the NCP and the </w:t>
      </w:r>
      <w:proofErr w:type="spellStart"/>
      <w:r>
        <w:t>NCA</w:t>
      </w:r>
      <w:proofErr w:type="spellEnd"/>
      <w:r w:rsidR="007C1A46">
        <w:t xml:space="preserve">, such as the impact of the NCP on the </w:t>
      </w:r>
      <w:proofErr w:type="spellStart"/>
      <w:r w:rsidR="007C1A46">
        <w:t>ACT’s</w:t>
      </w:r>
      <w:proofErr w:type="spellEnd"/>
      <w:r w:rsidR="007C1A46">
        <w:t xml:space="preserve"> capital works program, its planning and development activities, the </w:t>
      </w:r>
      <w:r w:rsidR="00B24926">
        <w:t xml:space="preserve">extra </w:t>
      </w:r>
      <w:r w:rsidR="007C1A46">
        <w:t>costs incurred because the ACT must operate a leasehold land management system</w:t>
      </w:r>
      <w:r w:rsidR="00B24926">
        <w:t xml:space="preserve"> and manage and maintain land classified as Designated Land Areas under the NCP</w:t>
      </w:r>
    </w:p>
    <w:p w14:paraId="0DD03398" w14:textId="0FDCCBE9" w:rsidR="00C54930" w:rsidRDefault="00B24926" w:rsidP="004A1D86">
      <w:pPr>
        <w:pStyle w:val="CGCBulletlist"/>
      </w:pPr>
      <w:r>
        <w:t xml:space="preserve">the impact of the </w:t>
      </w:r>
      <w:proofErr w:type="spellStart"/>
      <w:r>
        <w:t>ACT’s</w:t>
      </w:r>
      <w:proofErr w:type="spellEnd"/>
      <w:r>
        <w:t xml:space="preserve"> urban form which led to </w:t>
      </w:r>
      <w:r w:rsidRPr="00AF44D3">
        <w:t xml:space="preserve">above average areas of </w:t>
      </w:r>
      <w:r w:rsidR="00ED4D99">
        <w:t>open space</w:t>
      </w:r>
      <w:r>
        <w:t xml:space="preserve"> </w:t>
      </w:r>
      <w:r w:rsidR="004A1D86">
        <w:t>(</w:t>
      </w:r>
      <w:r w:rsidR="004A1D86" w:rsidRPr="004A1D86">
        <w:t>urban/bush interface</w:t>
      </w:r>
      <w:r w:rsidR="004A1D86">
        <w:t>)</w:t>
      </w:r>
      <w:r w:rsidR="004A1D86" w:rsidRPr="004A1D86">
        <w:t xml:space="preserve"> </w:t>
      </w:r>
      <w:r>
        <w:t>and higher pricing subsidies for ACTION</w:t>
      </w:r>
      <w:r w:rsidR="00BC67F4">
        <w:t xml:space="preserve"> transport services</w:t>
      </w:r>
      <w:r>
        <w:t>.</w:t>
      </w:r>
      <w:r w:rsidR="00FE5DAB">
        <w:t xml:space="preserve"> </w:t>
      </w:r>
    </w:p>
    <w:p w14:paraId="45C0E076" w14:textId="331FBBBF" w:rsidR="00AA5AAB" w:rsidRDefault="00C54930" w:rsidP="00AA5AAB">
      <w:pPr>
        <w:pStyle w:val="CGCNumberedPara"/>
        <w:numPr>
          <w:ilvl w:val="1"/>
          <w:numId w:val="3"/>
        </w:numPr>
      </w:pPr>
      <w:r w:rsidRPr="0052567F">
        <w:rPr>
          <w:rStyle w:val="Heading6Char"/>
        </w:rPr>
        <w:t>Impact of National Capital Plan.</w:t>
      </w:r>
      <w:r>
        <w:t xml:space="preserve"> </w:t>
      </w:r>
      <w:r w:rsidR="00AA5AAB">
        <w:t xml:space="preserve">The main argument used in the past to support the planning allowances was that the ACT faced expenses beyond its control in relation to planning, land management and capital works, while other States did not face similar constraints and, therefore, had lower costs. </w:t>
      </w:r>
    </w:p>
    <w:p w14:paraId="161ADD1D" w14:textId="0CB63F80" w:rsidR="00C54930" w:rsidRDefault="00AA5AAB" w:rsidP="00C54930">
      <w:pPr>
        <w:pStyle w:val="CGCNumberedPara"/>
        <w:numPr>
          <w:ilvl w:val="1"/>
          <w:numId w:val="3"/>
        </w:numPr>
      </w:pPr>
      <w:r>
        <w:t>T</w:t>
      </w:r>
      <w:r w:rsidR="00C54930">
        <w:t xml:space="preserve">he Commonwealth, through the </w:t>
      </w:r>
      <w:proofErr w:type="spellStart"/>
      <w:r w:rsidR="00C54930">
        <w:t>NCA</w:t>
      </w:r>
      <w:proofErr w:type="spellEnd"/>
      <w:r w:rsidR="00C54930">
        <w:t xml:space="preserve"> and the NCP, </w:t>
      </w:r>
      <w:r>
        <w:t xml:space="preserve">has </w:t>
      </w:r>
      <w:r w:rsidR="00C54930">
        <w:t>impose</w:t>
      </w:r>
      <w:r>
        <w:t>d</w:t>
      </w:r>
      <w:r w:rsidR="00C54930">
        <w:t xml:space="preserve"> a constraint on the ACT</w:t>
      </w:r>
      <w:r>
        <w:t xml:space="preserve"> in relation to its </w:t>
      </w:r>
      <w:r w:rsidR="00C54930">
        <w:t>planning, land management and capital works</w:t>
      </w:r>
      <w:r>
        <w:t xml:space="preserve"> - t</w:t>
      </w:r>
      <w:r w:rsidR="00C54930">
        <w:t xml:space="preserve">he NCP states it is </w:t>
      </w:r>
      <w:r>
        <w:t>a</w:t>
      </w:r>
      <w:r w:rsidR="00C54930">
        <w:t xml:space="preserve"> strategy and blueprint giving effect to the Commonwealth’s interests and intentions for planning, designing and developing Canberra and the Territory.</w:t>
      </w:r>
    </w:p>
    <w:p w14:paraId="3C42BFE9" w14:textId="11ADBCE3" w:rsidR="00AA5AAB" w:rsidRDefault="00AA5AAB" w:rsidP="00AA5AAB">
      <w:pPr>
        <w:pStyle w:val="CGCNumberedPara"/>
        <w:numPr>
          <w:ilvl w:val="1"/>
          <w:numId w:val="3"/>
        </w:numPr>
      </w:pPr>
      <w:r>
        <w:t xml:space="preserve">However, the </w:t>
      </w:r>
      <w:proofErr w:type="spellStart"/>
      <w:r>
        <w:t>ACT’s</w:t>
      </w:r>
      <w:proofErr w:type="spellEnd"/>
      <w:r>
        <w:t xml:space="preserve"> circumstances have changed since the planning allowances were first introduced in the 1999 Review. The ACT Government has had the time to adapt its practices to reduce the financial impact of the </w:t>
      </w:r>
      <w:proofErr w:type="spellStart"/>
      <w:r>
        <w:t>NCA</w:t>
      </w:r>
      <w:proofErr w:type="spellEnd"/>
      <w:r>
        <w:t xml:space="preserve"> and NCP on the </w:t>
      </w:r>
      <w:proofErr w:type="spellStart"/>
      <w:r>
        <w:t>ACT’s</w:t>
      </w:r>
      <w:proofErr w:type="spellEnd"/>
      <w:r>
        <w:t xml:space="preserve"> planning, land management and other </w:t>
      </w:r>
      <w:r w:rsidR="00583A1F">
        <w:t>matters</w:t>
      </w:r>
      <w:r>
        <w:t xml:space="preserve"> inherited from the Commonwealth.</w:t>
      </w:r>
    </w:p>
    <w:p w14:paraId="1FA16ECA" w14:textId="76BCEA42" w:rsidR="00C54930" w:rsidRDefault="00583A1F" w:rsidP="00C54930">
      <w:pPr>
        <w:pStyle w:val="CGCNumberedPara"/>
        <w:numPr>
          <w:ilvl w:val="1"/>
          <w:numId w:val="3"/>
        </w:numPr>
      </w:pPr>
      <w:r>
        <w:t>Furthermore, t</w:t>
      </w:r>
      <w:r w:rsidR="00C54930">
        <w:t xml:space="preserve">he NCP is </w:t>
      </w:r>
      <w:r>
        <w:t xml:space="preserve">being </w:t>
      </w:r>
      <w:r w:rsidR="00C54930">
        <w:t>review</w:t>
      </w:r>
      <w:r>
        <w:t>ed for the first time since it was introduced in 1990</w:t>
      </w:r>
      <w:r w:rsidR="00C54930">
        <w:t xml:space="preserve">. An </w:t>
      </w:r>
      <w:r w:rsidR="00C54930" w:rsidRPr="00FE7DC9">
        <w:t xml:space="preserve">exposure draft </w:t>
      </w:r>
      <w:r w:rsidR="00C54930">
        <w:t xml:space="preserve">was released in </w:t>
      </w:r>
      <w:r w:rsidR="00C54930" w:rsidRPr="00FE7DC9">
        <w:t>2015</w:t>
      </w:r>
      <w:r w:rsidR="00C54930">
        <w:t>. It s</w:t>
      </w:r>
      <w:r>
        <w:t>aid</w:t>
      </w:r>
      <w:r w:rsidR="00C54930">
        <w:t xml:space="preserve"> the </w:t>
      </w:r>
      <w:proofErr w:type="spellStart"/>
      <w:r w:rsidR="00C54930">
        <w:t>NCA</w:t>
      </w:r>
      <w:proofErr w:type="spellEnd"/>
      <w:r w:rsidR="00C54930">
        <w:t xml:space="preserve"> is undertaking a reform process to update the plan and amend the planning arrangements between the Commonwealth and ACT Governments. Th</w:t>
      </w:r>
      <w:r>
        <w:t>e</w:t>
      </w:r>
      <w:r w:rsidR="00C54930">
        <w:t xml:space="preserve"> reform </w:t>
      </w:r>
      <w:r>
        <w:t>sought</w:t>
      </w:r>
      <w:r w:rsidR="00C54930">
        <w:t xml:space="preserve"> four key outcomes.</w:t>
      </w:r>
    </w:p>
    <w:p w14:paraId="0F23F947" w14:textId="77777777" w:rsidR="00C54930" w:rsidRDefault="00C54930" w:rsidP="00C54930">
      <w:pPr>
        <w:pStyle w:val="CGCBulletlist"/>
        <w:numPr>
          <w:ilvl w:val="0"/>
          <w:numId w:val="1"/>
        </w:numPr>
        <w:tabs>
          <w:tab w:val="clear" w:pos="927"/>
          <w:tab w:val="num" w:pos="4472"/>
        </w:tabs>
        <w:ind w:left="1134" w:hanging="567"/>
      </w:pPr>
      <w:r>
        <w:t xml:space="preserve">A revised and modernised NCP. </w:t>
      </w:r>
    </w:p>
    <w:p w14:paraId="721ECD9D" w14:textId="77777777" w:rsidR="00C54930" w:rsidRDefault="00C54930" w:rsidP="00C54930">
      <w:pPr>
        <w:pStyle w:val="CGCBulletlist"/>
        <w:numPr>
          <w:ilvl w:val="0"/>
          <w:numId w:val="1"/>
        </w:numPr>
        <w:tabs>
          <w:tab w:val="clear" w:pos="927"/>
          <w:tab w:val="num" w:pos="4472"/>
        </w:tabs>
        <w:ind w:left="1134" w:hanging="567"/>
      </w:pPr>
      <w:r>
        <w:t xml:space="preserve">Changes to metropolitan planning arrangements to provide greater flexibility to the ACT Government to accommodate the growth of Canberra. </w:t>
      </w:r>
    </w:p>
    <w:p w14:paraId="22C3026A" w14:textId="706F1800" w:rsidR="00C54930" w:rsidRDefault="00C54930" w:rsidP="00C54930">
      <w:pPr>
        <w:pStyle w:val="CGCBulletlist"/>
        <w:numPr>
          <w:ilvl w:val="0"/>
          <w:numId w:val="1"/>
        </w:numPr>
        <w:tabs>
          <w:tab w:val="clear" w:pos="927"/>
          <w:tab w:val="num" w:pos="4472"/>
        </w:tabs>
        <w:ind w:left="1134" w:hanging="567"/>
      </w:pPr>
      <w:r>
        <w:t>Reduc</w:t>
      </w:r>
      <w:r w:rsidR="00583A1F">
        <w:t>e</w:t>
      </w:r>
      <w:r>
        <w:t xml:space="preserve"> duplication and complexity in planning for a substantial portion of Territory </w:t>
      </w:r>
      <w:r w:rsidR="00583A1F">
        <w:t>l</w:t>
      </w:r>
      <w:r>
        <w:t xml:space="preserve">and by removing Special Requirements. </w:t>
      </w:r>
    </w:p>
    <w:p w14:paraId="2E405215" w14:textId="77777777" w:rsidR="00C54930" w:rsidRDefault="00C54930" w:rsidP="00C54930">
      <w:pPr>
        <w:pStyle w:val="CGCBulletlist"/>
        <w:numPr>
          <w:ilvl w:val="0"/>
          <w:numId w:val="1"/>
        </w:numPr>
        <w:tabs>
          <w:tab w:val="clear" w:pos="927"/>
          <w:tab w:val="num" w:pos="4472"/>
        </w:tabs>
        <w:ind w:left="1134" w:hanging="567"/>
      </w:pPr>
      <w:r>
        <w:t xml:space="preserve">Minor adjustments to areas identified as having the special characteristics of the National Capital (Designated Areas). </w:t>
      </w:r>
    </w:p>
    <w:p w14:paraId="7499C498" w14:textId="4C9A3D86" w:rsidR="00C54930" w:rsidRDefault="00C54930" w:rsidP="00C54930">
      <w:pPr>
        <w:pStyle w:val="CGCNumberedPara"/>
        <w:numPr>
          <w:ilvl w:val="1"/>
          <w:numId w:val="3"/>
        </w:numPr>
      </w:pPr>
      <w:r>
        <w:t>If the</w:t>
      </w:r>
      <w:r w:rsidR="00583A1F">
        <w:t xml:space="preserve"> revised</w:t>
      </w:r>
      <w:r>
        <w:t xml:space="preserve"> plan is adopted </w:t>
      </w:r>
      <w:r w:rsidR="00583A1F">
        <w:t>it</w:t>
      </w:r>
      <w:r>
        <w:t xml:space="preserve"> should reduce the costs faced by the ACT.</w:t>
      </w:r>
    </w:p>
    <w:p w14:paraId="45B63FB2" w14:textId="466CAEF9" w:rsidR="00A16E2E" w:rsidRDefault="00631D0D" w:rsidP="00C54930">
      <w:pPr>
        <w:pStyle w:val="CGCNumberedPara"/>
        <w:numPr>
          <w:ilvl w:val="1"/>
          <w:numId w:val="3"/>
        </w:numPr>
      </w:pPr>
      <w:r>
        <w:t>It is also the case that the other</w:t>
      </w:r>
      <w:r w:rsidR="00C54930">
        <w:t xml:space="preserve"> States </w:t>
      </w:r>
      <w:r>
        <w:t xml:space="preserve">incur costs in their </w:t>
      </w:r>
      <w:r w:rsidR="00C54930">
        <w:t>planning, land management and capital works</w:t>
      </w:r>
      <w:r>
        <w:t xml:space="preserve"> activities through having to interact with other levels of government. While most of that interaction is with local governments and States have the power to change the relevant legislation to achieve their aims, it still results in costs being incurred.</w:t>
      </w:r>
      <w:r w:rsidR="00FE5DAB">
        <w:t xml:space="preserve"> </w:t>
      </w:r>
    </w:p>
    <w:p w14:paraId="1E5B4D20" w14:textId="7CBE6118" w:rsidR="00A16E2E" w:rsidRDefault="00A16E2E" w:rsidP="00A16E2E">
      <w:pPr>
        <w:pStyle w:val="CGCNumberedPara"/>
        <w:numPr>
          <w:ilvl w:val="1"/>
          <w:numId w:val="3"/>
        </w:numPr>
      </w:pPr>
      <w:r>
        <w:t>Many States also face some circumstances outside their control in relation to planning and management of land and water. For example, they must deal with the implications of world heritage sites, which are governed by Commonwealth legislation. The ACT is the only State and Territory without a world heritage site.</w:t>
      </w:r>
      <w:r>
        <w:rPr>
          <w:rStyle w:val="FootnoteReference"/>
        </w:rPr>
        <w:footnoteReference w:id="5"/>
      </w:r>
      <w:r>
        <w:t xml:space="preserve"> Some States must also adhere to the terms of the Murray-Darling Basin agreement.</w:t>
      </w:r>
    </w:p>
    <w:p w14:paraId="3C4A31B5" w14:textId="77777777" w:rsidR="005A5E50" w:rsidRDefault="005A5E50" w:rsidP="00176977">
      <w:pPr>
        <w:pStyle w:val="CGCNumberedPara"/>
        <w:numPr>
          <w:ilvl w:val="1"/>
          <w:numId w:val="3"/>
        </w:numPr>
      </w:pPr>
      <w:r>
        <w:t xml:space="preserve">It is also the case that some other States have found it necessary to establish their own legislation and authorities to regulate the use and management of some locations with a State. For example, the New South Wales has set up the </w:t>
      </w:r>
      <w:r w:rsidRPr="003A4D0E">
        <w:t>Sydney Harbour Foreshore Authority</w:t>
      </w:r>
      <w:r>
        <w:t>, which</w:t>
      </w:r>
      <w:r w:rsidRPr="00765330">
        <w:t xml:space="preserve"> is responsible for the care, protection, management and promotion of the land and buildings of Sydney’s most historically and culturally significant waterfront locations</w:t>
      </w:r>
      <w:r>
        <w:t>.</w:t>
      </w:r>
      <w:r>
        <w:rPr>
          <w:rStyle w:val="FootnoteReference"/>
        </w:rPr>
        <w:footnoteReference w:id="6"/>
      </w:r>
      <w:r>
        <w:t xml:space="preserve"> While such bodies are a policy choice of the State, they are created out of necessity and the State bears the cost of operating them. </w:t>
      </w:r>
    </w:p>
    <w:p w14:paraId="627A4280" w14:textId="469A8954" w:rsidR="00610724" w:rsidRDefault="00610724" w:rsidP="00176977">
      <w:pPr>
        <w:pStyle w:val="CGCNumberedPara"/>
        <w:numPr>
          <w:ilvl w:val="1"/>
          <w:numId w:val="3"/>
        </w:numPr>
      </w:pPr>
      <w:r>
        <w:t>Before any planning allowances are assessed in the 2020 Review, t</w:t>
      </w:r>
      <w:r w:rsidR="00C54930">
        <w:t xml:space="preserve">he Commission needs to re-establish </w:t>
      </w:r>
      <w:r>
        <w:t>the conceptual case for them.</w:t>
      </w:r>
      <w:r w:rsidR="00FE5DAB">
        <w:t xml:space="preserve"> </w:t>
      </w:r>
      <w:r>
        <w:t xml:space="preserve">This must consider </w:t>
      </w:r>
      <w:r w:rsidR="00C54930">
        <w:t>how</w:t>
      </w:r>
      <w:r>
        <w:t>, and to what extent,</w:t>
      </w:r>
      <w:r w:rsidR="00C54930">
        <w:t xml:space="preserve"> the financial impact of the </w:t>
      </w:r>
      <w:proofErr w:type="spellStart"/>
      <w:r w:rsidR="00C54930">
        <w:t>NCA</w:t>
      </w:r>
      <w:proofErr w:type="spellEnd"/>
      <w:r w:rsidR="00C54930">
        <w:t xml:space="preserve"> and NCP on the ACT differs from </w:t>
      </w:r>
      <w:r>
        <w:t xml:space="preserve">the costs </w:t>
      </w:r>
      <w:r w:rsidR="00C54930">
        <w:t xml:space="preserve">other States </w:t>
      </w:r>
      <w:r>
        <w:t>face in dealing with other governments and their own aut</w:t>
      </w:r>
      <w:r w:rsidR="00107503">
        <w:t>h</w:t>
      </w:r>
      <w:r>
        <w:t>orities on planning and land management matters.</w:t>
      </w:r>
      <w:r w:rsidR="00FE5DAB">
        <w:t xml:space="preserve"> </w:t>
      </w:r>
      <w:r>
        <w:t>It must also consider whether:</w:t>
      </w:r>
    </w:p>
    <w:p w14:paraId="593E91CA" w14:textId="77777777" w:rsidR="00107503" w:rsidRDefault="00610724" w:rsidP="00610724">
      <w:pPr>
        <w:pStyle w:val="CGCBulletlist"/>
      </w:pPr>
      <w:r>
        <w:t>the passage of time since self-government has enabled the ACT to adapt its processes to minimise the costs resulting from the NCP</w:t>
      </w:r>
    </w:p>
    <w:p w14:paraId="14F87147" w14:textId="3193277E" w:rsidR="00C54930" w:rsidRDefault="00107503" w:rsidP="00610724">
      <w:pPr>
        <w:pStyle w:val="CGCBulletlist"/>
      </w:pPr>
      <w:r>
        <w:t>being the seat of the federal parliament only increases costs for the ACT.</w:t>
      </w:r>
      <w:r w:rsidRPr="00D622E7">
        <w:t xml:space="preserve"> </w:t>
      </w:r>
      <w:r>
        <w:t>For example, while the presence of national institutions, such as the National</w:t>
      </w:r>
      <w:r w:rsidR="00035E6E">
        <w:t> </w:t>
      </w:r>
      <w:r>
        <w:t>Gallery and the National Library, in the ACT does not remove the need for it to provide some State-type library and museum services, it may mean they do not need to be as extensive as those in comparable States.</w:t>
      </w:r>
      <w:r w:rsidR="00610724">
        <w:t xml:space="preserve"> </w:t>
      </w:r>
      <w:r>
        <w:t>The ACT also benefits from the tourism created by the national institutions.</w:t>
      </w:r>
    </w:p>
    <w:p w14:paraId="62F62030" w14:textId="3D7B1880" w:rsidR="00C54930" w:rsidRDefault="00C54930" w:rsidP="00C54930">
      <w:pPr>
        <w:pStyle w:val="CGCNumberedPara"/>
        <w:numPr>
          <w:ilvl w:val="1"/>
          <w:numId w:val="3"/>
        </w:numPr>
      </w:pPr>
      <w:r w:rsidRPr="0052567F">
        <w:rPr>
          <w:rStyle w:val="Heading6Char"/>
        </w:rPr>
        <w:t>Other allowances.</w:t>
      </w:r>
      <w:r>
        <w:t xml:space="preserve"> </w:t>
      </w:r>
      <w:r w:rsidR="005C351C">
        <w:t>The changes in Canberra since the 1990s, including the</w:t>
      </w:r>
      <w:r w:rsidR="006969DD">
        <w:t xml:space="preserve"> large</w:t>
      </w:r>
      <w:r w:rsidR="005C351C">
        <w:t xml:space="preserve"> increase in its population and the resulting urban development, appear to remove the case for </w:t>
      </w:r>
      <w:r>
        <w:t>retaining the allowances for above average urban</w:t>
      </w:r>
      <w:r w:rsidR="006969DD">
        <w:t xml:space="preserve"> open space </w:t>
      </w:r>
      <w:r>
        <w:t xml:space="preserve">and public transport pricing subsidies. </w:t>
      </w:r>
    </w:p>
    <w:p w14:paraId="173DB64B" w14:textId="55D01A8D" w:rsidR="00C54930" w:rsidRDefault="006969DD" w:rsidP="00C54930">
      <w:pPr>
        <w:pStyle w:val="CGCNumberedPara"/>
        <w:numPr>
          <w:ilvl w:val="1"/>
          <w:numId w:val="3"/>
        </w:numPr>
      </w:pPr>
      <w:r>
        <w:t xml:space="preserve">After nearly three decades of self-government, </w:t>
      </w:r>
      <w:r w:rsidR="00F55CE0">
        <w:t>staff</w:t>
      </w:r>
      <w:r>
        <w:t xml:space="preserve"> consider any amount of urban open space above that in other cities is now the result of policy choice by the ACT Government. We note </w:t>
      </w:r>
      <w:r w:rsidR="00C54930">
        <w:t>the ACT Government has</w:t>
      </w:r>
      <w:r>
        <w:t>, for several years,</w:t>
      </w:r>
      <w:r w:rsidR="00C54930">
        <w:t xml:space="preserve"> had an urban planning policy of urban infill, which </w:t>
      </w:r>
      <w:r>
        <w:t>has</w:t>
      </w:r>
      <w:r w:rsidR="00C54930">
        <w:t xml:space="preserve"> reduced the amount of urban open space.</w:t>
      </w:r>
      <w:r w:rsidR="00C54930">
        <w:rPr>
          <w:rStyle w:val="FootnoteReference"/>
        </w:rPr>
        <w:footnoteReference w:id="7"/>
      </w:r>
      <w:r w:rsidR="00C54930" w:rsidRPr="00CA7394">
        <w:t xml:space="preserve"> </w:t>
      </w:r>
    </w:p>
    <w:p w14:paraId="35872174" w14:textId="08AABBDA" w:rsidR="00C54930" w:rsidRDefault="00C54930" w:rsidP="00C54930">
      <w:pPr>
        <w:pStyle w:val="CGCNumberedPara"/>
        <w:numPr>
          <w:ilvl w:val="1"/>
          <w:numId w:val="3"/>
        </w:numPr>
      </w:pPr>
      <w:r>
        <w:t xml:space="preserve">The ACT </w:t>
      </w:r>
      <w:r w:rsidR="006969DD">
        <w:t xml:space="preserve">has also undertaken several redesigns of its public transport network </w:t>
      </w:r>
      <w:r w:rsidR="00A10286">
        <w:t>and routes to address the needs of its larger population, encourage higher patronage and minimise its pricing subsidies</w:t>
      </w:r>
      <w:r>
        <w:t>.</w:t>
      </w:r>
    </w:p>
    <w:p w14:paraId="1C1B408D" w14:textId="0DA586F3" w:rsidR="00C54930" w:rsidRDefault="00C54930" w:rsidP="00F55CE0">
      <w:pPr>
        <w:pStyle w:val="CGCNumberedPara"/>
      </w:pPr>
      <w:r>
        <w:t xml:space="preserve">In addition, evidence from the Bureau of Infrastructure, Transport and Regional Economics </w:t>
      </w:r>
      <w:r w:rsidR="008F77FD">
        <w:t>(</w:t>
      </w:r>
      <w:proofErr w:type="spellStart"/>
      <w:r w:rsidR="008F77FD">
        <w:t>BITRE</w:t>
      </w:r>
      <w:proofErr w:type="spellEnd"/>
      <w:r w:rsidR="008F77FD">
        <w:t xml:space="preserve">) </w:t>
      </w:r>
      <w:r>
        <w:t>shows th</w:t>
      </w:r>
      <w:r w:rsidR="00A10286">
        <w:t>e</w:t>
      </w:r>
      <w:r>
        <w:t xml:space="preserve"> average commute distance in the ACT is short compared with </w:t>
      </w:r>
      <w:r w:rsidR="00A10286">
        <w:t xml:space="preserve">that </w:t>
      </w:r>
      <w:r>
        <w:t>other major cities</w:t>
      </w:r>
      <w:r w:rsidR="008F77FD">
        <w:t xml:space="preserve"> (</w:t>
      </w:r>
      <w:r w:rsidR="008F77FD">
        <w:fldChar w:fldCharType="begin"/>
      </w:r>
      <w:r w:rsidR="008F77FD">
        <w:instrText xml:space="preserve"> REF _Ref511403228 \h </w:instrText>
      </w:r>
      <w:r w:rsidR="008F77FD">
        <w:fldChar w:fldCharType="separate"/>
      </w:r>
      <w:r w:rsidR="00C40664">
        <w:t xml:space="preserve">Table </w:t>
      </w:r>
      <w:r w:rsidR="00C40664">
        <w:rPr>
          <w:noProof/>
        </w:rPr>
        <w:t>8</w:t>
      </w:r>
      <w:r w:rsidR="008F77FD">
        <w:fldChar w:fldCharType="end"/>
      </w:r>
      <w:r w:rsidR="008F77FD">
        <w:t>)</w:t>
      </w:r>
      <w:r>
        <w:t xml:space="preserve">. </w:t>
      </w:r>
      <w:r w:rsidR="00F55CE0" w:rsidRPr="00F55CE0">
        <w:t>While the data include all modes of transport and public transport is used for other purposes in addition to commuting</w:t>
      </w:r>
      <w:r>
        <w:t xml:space="preserve">, they imply that urban form </w:t>
      </w:r>
      <w:r w:rsidR="00A10286">
        <w:t xml:space="preserve">does </w:t>
      </w:r>
      <w:r>
        <w:t>not</w:t>
      </w:r>
      <w:r w:rsidR="00A10286">
        <w:t xml:space="preserve"> have</w:t>
      </w:r>
      <w:r>
        <w:t xml:space="preserve"> a noticeable </w:t>
      </w:r>
      <w:r w:rsidR="00A10286">
        <w:t xml:space="preserve">impact on </w:t>
      </w:r>
      <w:r>
        <w:t xml:space="preserve">commuting distance in the ACT. </w:t>
      </w:r>
    </w:p>
    <w:p w14:paraId="5C8819CB" w14:textId="2B9768DE" w:rsidR="00C54930" w:rsidRDefault="00C54930" w:rsidP="007913B8">
      <w:pPr>
        <w:pStyle w:val="CGCTableHeading"/>
      </w:pPr>
      <w:bookmarkStart w:id="159" w:name="_Ref511403228"/>
      <w:r>
        <w:t xml:space="preserve">Table </w:t>
      </w:r>
      <w:fldSimple w:instr=" SEQ Table \* ARABIC ">
        <w:r w:rsidR="00C40664">
          <w:rPr>
            <w:noProof/>
          </w:rPr>
          <w:t>8</w:t>
        </w:r>
      </w:fldSimple>
      <w:bookmarkEnd w:id="159"/>
      <w:r>
        <w:tab/>
        <w:t>Average commuting distance of major cities</w:t>
      </w:r>
    </w:p>
    <w:tbl>
      <w:tblPr>
        <w:tblW w:w="8940" w:type="dxa"/>
        <w:tblLayout w:type="fixed"/>
        <w:tblCellMar>
          <w:left w:w="0" w:type="dxa"/>
          <w:right w:w="0" w:type="dxa"/>
        </w:tblCellMar>
        <w:tblLook w:val="04A0" w:firstRow="1" w:lastRow="0" w:firstColumn="1" w:lastColumn="0" w:noHBand="0" w:noVBand="1"/>
      </w:tblPr>
      <w:tblGrid>
        <w:gridCol w:w="2560"/>
        <w:gridCol w:w="6380"/>
      </w:tblGrid>
      <w:tr w:rsidR="007913B8" w:rsidRPr="007913B8" w14:paraId="3C56359A" w14:textId="77777777" w:rsidTr="007913B8">
        <w:trPr>
          <w:trHeight w:val="375"/>
        </w:trPr>
        <w:tc>
          <w:tcPr>
            <w:tcW w:w="2560" w:type="dxa"/>
            <w:tcBorders>
              <w:top w:val="single" w:sz="4" w:space="0" w:color="auto"/>
              <w:left w:val="nil"/>
              <w:bottom w:val="single" w:sz="4" w:space="0" w:color="auto"/>
              <w:right w:val="nil"/>
            </w:tcBorders>
            <w:shd w:val="clear" w:color="auto" w:fill="auto"/>
            <w:vAlign w:val="center"/>
            <w:hideMark/>
          </w:tcPr>
          <w:p w14:paraId="412986E3" w14:textId="77777777" w:rsidR="007913B8" w:rsidRPr="007913B8" w:rsidRDefault="007913B8" w:rsidP="007913B8">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7913B8">
              <w:rPr>
                <w:rFonts w:ascii="Calibri" w:eastAsia="Times New Roman" w:hAnsi="Calibri" w:cstheme="minorHAnsi"/>
                <w:color w:val="000000"/>
                <w:sz w:val="20"/>
                <w:szCs w:val="20"/>
                <w:lang w:eastAsia="en-AU"/>
              </w:rPr>
              <w:t>Average commuting distance</w:t>
            </w:r>
          </w:p>
        </w:tc>
        <w:tc>
          <w:tcPr>
            <w:tcW w:w="6380" w:type="dxa"/>
            <w:tcBorders>
              <w:top w:val="single" w:sz="4" w:space="0" w:color="auto"/>
              <w:left w:val="nil"/>
              <w:bottom w:val="single" w:sz="4" w:space="0" w:color="auto"/>
              <w:right w:val="nil"/>
            </w:tcBorders>
            <w:shd w:val="clear" w:color="auto" w:fill="auto"/>
            <w:vAlign w:val="center"/>
            <w:hideMark/>
          </w:tcPr>
          <w:p w14:paraId="7128912C" w14:textId="77777777" w:rsidR="007913B8" w:rsidRPr="007913B8" w:rsidRDefault="007913B8" w:rsidP="007913B8">
            <w:pPr>
              <w:keepNext/>
              <w:keepLines/>
              <w:tabs>
                <w:tab w:val="clear" w:pos="567"/>
              </w:tabs>
              <w:spacing w:after="0" w:line="240" w:lineRule="auto"/>
              <w:rPr>
                <w:rFonts w:ascii="Calibri" w:eastAsia="Times New Roman" w:hAnsi="Calibri" w:cs="Times New Roman"/>
                <w:color w:val="000000"/>
                <w:sz w:val="20"/>
                <w:szCs w:val="20"/>
                <w:lang w:eastAsia="en-AU"/>
              </w:rPr>
            </w:pPr>
            <w:r w:rsidRPr="007913B8">
              <w:rPr>
                <w:rFonts w:ascii="Calibri" w:eastAsia="Times New Roman" w:hAnsi="Calibri" w:cstheme="minorHAnsi"/>
                <w:color w:val="000000"/>
                <w:sz w:val="20"/>
                <w:szCs w:val="20"/>
                <w:lang w:eastAsia="en-AU"/>
              </w:rPr>
              <w:t>Cities</w:t>
            </w:r>
          </w:p>
        </w:tc>
      </w:tr>
      <w:tr w:rsidR="007913B8" w:rsidRPr="007913B8" w14:paraId="70BF5540" w14:textId="77777777" w:rsidTr="007913B8">
        <w:trPr>
          <w:trHeight w:val="555"/>
        </w:trPr>
        <w:tc>
          <w:tcPr>
            <w:tcW w:w="2560" w:type="dxa"/>
            <w:tcBorders>
              <w:top w:val="nil"/>
              <w:left w:val="nil"/>
              <w:bottom w:val="nil"/>
              <w:right w:val="nil"/>
            </w:tcBorders>
            <w:shd w:val="clear" w:color="auto" w:fill="auto"/>
            <w:vAlign w:val="center"/>
            <w:hideMark/>
          </w:tcPr>
          <w:p w14:paraId="52532F15" w14:textId="77777777" w:rsidR="007913B8" w:rsidRPr="007913B8" w:rsidRDefault="007913B8" w:rsidP="007913B8">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7913B8">
              <w:rPr>
                <w:rFonts w:ascii="Calibri" w:eastAsia="Times New Roman" w:hAnsi="Calibri" w:cstheme="minorHAnsi"/>
                <w:color w:val="000000"/>
                <w:sz w:val="20"/>
                <w:szCs w:val="20"/>
                <w:lang w:eastAsia="en-AU"/>
              </w:rPr>
              <w:t xml:space="preserve">9 to 12 </w:t>
            </w:r>
            <w:proofErr w:type="spellStart"/>
            <w:r w:rsidRPr="007913B8">
              <w:rPr>
                <w:rFonts w:ascii="Calibri" w:eastAsia="Times New Roman" w:hAnsi="Calibri" w:cstheme="minorHAnsi"/>
                <w:color w:val="000000"/>
                <w:sz w:val="20"/>
                <w:szCs w:val="20"/>
                <w:lang w:eastAsia="en-AU"/>
              </w:rPr>
              <w:t>kms</w:t>
            </w:r>
            <w:proofErr w:type="spellEnd"/>
          </w:p>
        </w:tc>
        <w:tc>
          <w:tcPr>
            <w:tcW w:w="6380" w:type="dxa"/>
            <w:tcBorders>
              <w:top w:val="nil"/>
              <w:left w:val="nil"/>
              <w:bottom w:val="nil"/>
              <w:right w:val="nil"/>
            </w:tcBorders>
            <w:shd w:val="clear" w:color="auto" w:fill="auto"/>
            <w:vAlign w:val="bottom"/>
            <w:hideMark/>
          </w:tcPr>
          <w:p w14:paraId="5C42262C" w14:textId="77777777" w:rsidR="007913B8" w:rsidRPr="007913B8" w:rsidRDefault="007913B8" w:rsidP="007913B8">
            <w:pPr>
              <w:keepNext/>
              <w:keepLines/>
              <w:tabs>
                <w:tab w:val="clear" w:pos="567"/>
              </w:tabs>
              <w:spacing w:after="0" w:line="240" w:lineRule="auto"/>
              <w:ind w:left="113" w:hanging="113"/>
              <w:rPr>
                <w:rFonts w:ascii="Calibri" w:eastAsia="Times New Roman" w:hAnsi="Calibri" w:cs="Times New Roman"/>
                <w:color w:val="000000"/>
                <w:sz w:val="20"/>
                <w:szCs w:val="20"/>
                <w:lang w:eastAsia="en-AU"/>
              </w:rPr>
            </w:pPr>
            <w:r w:rsidRPr="007913B8">
              <w:rPr>
                <w:rFonts w:ascii="Calibri" w:eastAsia="Times New Roman" w:hAnsi="Calibri" w:cstheme="minorHAnsi"/>
                <w:color w:val="000000"/>
                <w:sz w:val="20"/>
                <w:szCs w:val="20"/>
                <w:lang w:eastAsia="en-AU"/>
              </w:rPr>
              <w:t>Townsville, Cairns, Launceston, Albury-Wodonga, Toowoomba and Canberra-Queanbeyan</w:t>
            </w:r>
          </w:p>
        </w:tc>
      </w:tr>
      <w:tr w:rsidR="007913B8" w:rsidRPr="007913B8" w14:paraId="21F0ECCA" w14:textId="77777777" w:rsidTr="007913B8">
        <w:trPr>
          <w:trHeight w:val="315"/>
        </w:trPr>
        <w:tc>
          <w:tcPr>
            <w:tcW w:w="2560" w:type="dxa"/>
            <w:tcBorders>
              <w:top w:val="nil"/>
              <w:left w:val="nil"/>
              <w:bottom w:val="nil"/>
              <w:right w:val="nil"/>
            </w:tcBorders>
            <w:shd w:val="clear" w:color="auto" w:fill="auto"/>
            <w:vAlign w:val="center"/>
            <w:hideMark/>
          </w:tcPr>
          <w:p w14:paraId="77366E55" w14:textId="77777777" w:rsidR="007913B8" w:rsidRPr="007913B8" w:rsidRDefault="007913B8" w:rsidP="007913B8">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7913B8">
              <w:rPr>
                <w:rFonts w:ascii="Calibri" w:eastAsia="Times New Roman" w:hAnsi="Calibri" w:cstheme="minorHAnsi"/>
                <w:color w:val="000000"/>
                <w:sz w:val="20"/>
                <w:szCs w:val="20"/>
                <w:lang w:eastAsia="en-AU"/>
              </w:rPr>
              <w:t xml:space="preserve">12 to 14 </w:t>
            </w:r>
            <w:proofErr w:type="spellStart"/>
            <w:r w:rsidRPr="007913B8">
              <w:rPr>
                <w:rFonts w:ascii="Calibri" w:eastAsia="Times New Roman" w:hAnsi="Calibri" w:cstheme="minorHAnsi"/>
                <w:color w:val="000000"/>
                <w:sz w:val="20"/>
                <w:szCs w:val="20"/>
                <w:lang w:eastAsia="en-AU"/>
              </w:rPr>
              <w:t>kms</w:t>
            </w:r>
            <w:proofErr w:type="spellEnd"/>
          </w:p>
        </w:tc>
        <w:tc>
          <w:tcPr>
            <w:tcW w:w="6380" w:type="dxa"/>
            <w:tcBorders>
              <w:top w:val="nil"/>
              <w:left w:val="nil"/>
              <w:bottom w:val="nil"/>
              <w:right w:val="nil"/>
            </w:tcBorders>
            <w:shd w:val="clear" w:color="auto" w:fill="auto"/>
            <w:vAlign w:val="bottom"/>
            <w:hideMark/>
          </w:tcPr>
          <w:p w14:paraId="7E33BD45" w14:textId="77777777" w:rsidR="007913B8" w:rsidRPr="007913B8" w:rsidRDefault="007913B8" w:rsidP="007913B8">
            <w:pPr>
              <w:keepNext/>
              <w:keepLines/>
              <w:tabs>
                <w:tab w:val="clear" w:pos="567"/>
              </w:tabs>
              <w:spacing w:after="0" w:line="240" w:lineRule="auto"/>
              <w:ind w:left="113" w:hanging="113"/>
              <w:rPr>
                <w:rFonts w:ascii="Calibri" w:eastAsia="Times New Roman" w:hAnsi="Calibri" w:cs="Times New Roman"/>
                <w:color w:val="000000"/>
                <w:sz w:val="20"/>
                <w:szCs w:val="20"/>
                <w:lang w:eastAsia="en-AU"/>
              </w:rPr>
            </w:pPr>
            <w:r w:rsidRPr="007913B8">
              <w:rPr>
                <w:rFonts w:ascii="Calibri" w:eastAsia="Times New Roman" w:hAnsi="Calibri" w:cstheme="minorHAnsi"/>
                <w:color w:val="000000"/>
                <w:sz w:val="20"/>
                <w:szCs w:val="20"/>
                <w:lang w:eastAsia="en-AU"/>
              </w:rPr>
              <w:t>Bendigo, Darwin, Adelaide, Ballarat, Hobart</w:t>
            </w:r>
          </w:p>
        </w:tc>
      </w:tr>
      <w:tr w:rsidR="007913B8" w:rsidRPr="007913B8" w14:paraId="51BC1A1E" w14:textId="77777777" w:rsidTr="007913B8">
        <w:trPr>
          <w:trHeight w:val="315"/>
        </w:trPr>
        <w:tc>
          <w:tcPr>
            <w:tcW w:w="2560" w:type="dxa"/>
            <w:tcBorders>
              <w:top w:val="nil"/>
              <w:left w:val="nil"/>
              <w:bottom w:val="nil"/>
              <w:right w:val="nil"/>
            </w:tcBorders>
            <w:shd w:val="clear" w:color="auto" w:fill="auto"/>
            <w:vAlign w:val="center"/>
            <w:hideMark/>
          </w:tcPr>
          <w:p w14:paraId="32B8CA70" w14:textId="77777777" w:rsidR="007913B8" w:rsidRPr="007913B8" w:rsidRDefault="007913B8" w:rsidP="007913B8">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7913B8">
              <w:rPr>
                <w:rFonts w:ascii="Calibri" w:eastAsia="Times New Roman" w:hAnsi="Calibri" w:cstheme="minorHAnsi"/>
                <w:color w:val="000000"/>
                <w:sz w:val="20"/>
                <w:szCs w:val="20"/>
                <w:lang w:eastAsia="en-AU"/>
              </w:rPr>
              <w:t xml:space="preserve">14 to 15 </w:t>
            </w:r>
            <w:proofErr w:type="spellStart"/>
            <w:r w:rsidRPr="007913B8">
              <w:rPr>
                <w:rFonts w:ascii="Calibri" w:eastAsia="Times New Roman" w:hAnsi="Calibri" w:cstheme="minorHAnsi"/>
                <w:color w:val="000000"/>
                <w:sz w:val="20"/>
                <w:szCs w:val="20"/>
                <w:lang w:eastAsia="en-AU"/>
              </w:rPr>
              <w:t>kms</w:t>
            </w:r>
            <w:proofErr w:type="spellEnd"/>
          </w:p>
        </w:tc>
        <w:tc>
          <w:tcPr>
            <w:tcW w:w="6380" w:type="dxa"/>
            <w:tcBorders>
              <w:top w:val="nil"/>
              <w:left w:val="nil"/>
              <w:bottom w:val="nil"/>
              <w:right w:val="nil"/>
            </w:tcBorders>
            <w:shd w:val="clear" w:color="auto" w:fill="auto"/>
            <w:vAlign w:val="bottom"/>
            <w:hideMark/>
          </w:tcPr>
          <w:p w14:paraId="763B0858" w14:textId="77777777" w:rsidR="007913B8" w:rsidRPr="007913B8" w:rsidRDefault="007913B8" w:rsidP="007913B8">
            <w:pPr>
              <w:keepNext/>
              <w:keepLines/>
              <w:tabs>
                <w:tab w:val="clear" w:pos="567"/>
              </w:tabs>
              <w:spacing w:after="0" w:line="240" w:lineRule="auto"/>
              <w:ind w:left="113" w:hanging="113"/>
              <w:rPr>
                <w:rFonts w:ascii="Calibri" w:eastAsia="Times New Roman" w:hAnsi="Calibri" w:cs="Times New Roman"/>
                <w:color w:val="000000"/>
                <w:sz w:val="20"/>
                <w:szCs w:val="20"/>
                <w:lang w:eastAsia="en-AU"/>
              </w:rPr>
            </w:pPr>
            <w:r w:rsidRPr="007913B8">
              <w:rPr>
                <w:rFonts w:ascii="Calibri" w:eastAsia="Times New Roman" w:hAnsi="Calibri" w:cstheme="minorHAnsi"/>
                <w:color w:val="000000"/>
                <w:sz w:val="20"/>
                <w:szCs w:val="20"/>
                <w:lang w:eastAsia="en-AU"/>
              </w:rPr>
              <w:t>Melbourne, Brisbane, Geelong, Perth, Sydney</w:t>
            </w:r>
          </w:p>
        </w:tc>
      </w:tr>
      <w:tr w:rsidR="007913B8" w:rsidRPr="007913B8" w14:paraId="2206A3A0" w14:textId="77777777" w:rsidTr="007913B8">
        <w:trPr>
          <w:trHeight w:val="555"/>
        </w:trPr>
        <w:tc>
          <w:tcPr>
            <w:tcW w:w="2560" w:type="dxa"/>
            <w:tcBorders>
              <w:top w:val="nil"/>
              <w:left w:val="nil"/>
              <w:bottom w:val="single" w:sz="4" w:space="0" w:color="auto"/>
              <w:right w:val="nil"/>
            </w:tcBorders>
            <w:shd w:val="clear" w:color="auto" w:fill="auto"/>
            <w:vAlign w:val="center"/>
            <w:hideMark/>
          </w:tcPr>
          <w:p w14:paraId="3842DE5F" w14:textId="77777777" w:rsidR="007913B8" w:rsidRPr="007913B8" w:rsidRDefault="007913B8" w:rsidP="007913B8">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7913B8">
              <w:rPr>
                <w:rFonts w:ascii="Calibri" w:eastAsia="Times New Roman" w:hAnsi="Calibri" w:cstheme="minorHAnsi"/>
                <w:color w:val="000000"/>
                <w:sz w:val="20"/>
                <w:szCs w:val="20"/>
                <w:lang w:eastAsia="en-AU"/>
              </w:rPr>
              <w:t xml:space="preserve">15 to 20 </w:t>
            </w:r>
            <w:proofErr w:type="spellStart"/>
            <w:r w:rsidRPr="007913B8">
              <w:rPr>
                <w:rFonts w:ascii="Calibri" w:eastAsia="Times New Roman" w:hAnsi="Calibri" w:cstheme="minorHAnsi"/>
                <w:color w:val="000000"/>
                <w:sz w:val="20"/>
                <w:szCs w:val="20"/>
                <w:lang w:eastAsia="en-AU"/>
              </w:rPr>
              <w:t>kms</w:t>
            </w:r>
            <w:proofErr w:type="spellEnd"/>
          </w:p>
        </w:tc>
        <w:tc>
          <w:tcPr>
            <w:tcW w:w="6380" w:type="dxa"/>
            <w:tcBorders>
              <w:top w:val="nil"/>
              <w:left w:val="nil"/>
              <w:bottom w:val="single" w:sz="4" w:space="0" w:color="auto"/>
              <w:right w:val="nil"/>
            </w:tcBorders>
            <w:shd w:val="clear" w:color="auto" w:fill="auto"/>
            <w:vAlign w:val="bottom"/>
            <w:hideMark/>
          </w:tcPr>
          <w:p w14:paraId="7859A472" w14:textId="77777777" w:rsidR="007913B8" w:rsidRPr="007913B8" w:rsidRDefault="007913B8" w:rsidP="007913B8">
            <w:pPr>
              <w:keepNext/>
              <w:keepLines/>
              <w:tabs>
                <w:tab w:val="clear" w:pos="567"/>
              </w:tabs>
              <w:spacing w:after="0" w:line="240" w:lineRule="auto"/>
              <w:ind w:left="113" w:hanging="113"/>
              <w:rPr>
                <w:rFonts w:ascii="Calibri" w:eastAsia="Times New Roman" w:hAnsi="Calibri" w:cs="Times New Roman"/>
                <w:color w:val="000000"/>
                <w:sz w:val="20"/>
                <w:szCs w:val="20"/>
                <w:lang w:eastAsia="en-AU"/>
              </w:rPr>
            </w:pPr>
            <w:r w:rsidRPr="007913B8">
              <w:rPr>
                <w:rFonts w:ascii="Calibri" w:eastAsia="Times New Roman" w:hAnsi="Calibri" w:cstheme="minorHAnsi"/>
                <w:color w:val="000000"/>
                <w:sz w:val="20"/>
                <w:szCs w:val="20"/>
                <w:lang w:eastAsia="en-AU"/>
              </w:rPr>
              <w:t>Newcastle-Maitland, Gold Coast-Tweed Heads, Sunshine Coast, Mackay and Wollongong</w:t>
            </w:r>
          </w:p>
        </w:tc>
      </w:tr>
    </w:tbl>
    <w:p w14:paraId="06BFE754" w14:textId="2236CBAE" w:rsidR="00C54930" w:rsidRDefault="00C54930" w:rsidP="007913B8">
      <w:pPr>
        <w:pStyle w:val="CGCTableFootnote"/>
        <w:keepNext/>
        <w:keepLines/>
      </w:pPr>
      <w:r>
        <w:t>Source:</w:t>
      </w:r>
      <w:r>
        <w:tab/>
      </w:r>
      <w:proofErr w:type="spellStart"/>
      <w:r w:rsidR="008F77FD">
        <w:t>BITRE</w:t>
      </w:r>
      <w:proofErr w:type="spellEnd"/>
      <w:r w:rsidR="008F77FD">
        <w:t xml:space="preserve">, </w:t>
      </w:r>
      <w:r w:rsidRPr="00F55CE0">
        <w:rPr>
          <w:i/>
        </w:rPr>
        <w:t>Australia's commuting distance: cities and regions</w:t>
      </w:r>
      <w:r>
        <w:t>, 2015, Canberra.</w:t>
      </w:r>
    </w:p>
    <w:p w14:paraId="0B1A2AE1" w14:textId="77777777" w:rsidR="00C54930" w:rsidRDefault="00C54930" w:rsidP="00C54930">
      <w:pPr>
        <w:pStyle w:val="Heading4"/>
      </w:pPr>
      <w:bookmarkStart w:id="160" w:name="_Toc511048322"/>
      <w:bookmarkStart w:id="161" w:name="_Toc511048424"/>
      <w:bookmarkStart w:id="162" w:name="_Toc511048462"/>
      <w:bookmarkStart w:id="163" w:name="_Toc511048497"/>
      <w:bookmarkStart w:id="164" w:name="_Toc511398673"/>
      <w:bookmarkStart w:id="165" w:name="_Toc511398717"/>
      <w:bookmarkStart w:id="166" w:name="_Toc511892540"/>
      <w:r>
        <w:t>Police allowance</w:t>
      </w:r>
      <w:bookmarkEnd w:id="160"/>
      <w:bookmarkEnd w:id="161"/>
      <w:bookmarkEnd w:id="162"/>
      <w:bookmarkEnd w:id="163"/>
      <w:bookmarkEnd w:id="164"/>
      <w:bookmarkEnd w:id="165"/>
      <w:bookmarkEnd w:id="166"/>
    </w:p>
    <w:p w14:paraId="05EBB768" w14:textId="060D8832" w:rsidR="00C54930" w:rsidRDefault="00C54930" w:rsidP="00C54930">
      <w:pPr>
        <w:pStyle w:val="CGCNumberedPara"/>
        <w:numPr>
          <w:ilvl w:val="1"/>
          <w:numId w:val="3"/>
        </w:numPr>
      </w:pPr>
      <w:r>
        <w:t xml:space="preserve">We propose to retain the police allowance and the 2015 Review method for calculating it. The legislation used to justify the allowance in past reviews remains unchanged and there is no evidence of any intention </w:t>
      </w:r>
      <w:r w:rsidR="00A10286">
        <w:t>t</w:t>
      </w:r>
      <w:r>
        <w:t>o chang</w:t>
      </w:r>
      <w:r w:rsidR="00A10286">
        <w:t>e</w:t>
      </w:r>
      <w:r>
        <w:t xml:space="preserve"> it. </w:t>
      </w:r>
    </w:p>
    <w:p w14:paraId="502E949E" w14:textId="72CC7ADF" w:rsidR="00187F3F" w:rsidRDefault="00060EB6" w:rsidP="00176977">
      <w:pPr>
        <w:pStyle w:val="CGCNumberedPara"/>
        <w:numPr>
          <w:ilvl w:val="1"/>
          <w:numId w:val="3"/>
        </w:numPr>
      </w:pPr>
      <w:r>
        <w:t xml:space="preserve">While </w:t>
      </w:r>
      <w:r w:rsidR="00F1030B">
        <w:fldChar w:fldCharType="begin"/>
      </w:r>
      <w:r w:rsidR="00F1030B">
        <w:instrText xml:space="preserve"> REF _Ref511403428 \h </w:instrText>
      </w:r>
      <w:r w:rsidR="00F1030B">
        <w:fldChar w:fldCharType="separate"/>
      </w:r>
      <w:r w:rsidR="00C40664">
        <w:t xml:space="preserve">Table </w:t>
      </w:r>
      <w:r w:rsidR="00C40664">
        <w:rPr>
          <w:noProof/>
        </w:rPr>
        <w:t>7</w:t>
      </w:r>
      <w:r w:rsidR="00F1030B">
        <w:fldChar w:fldCharType="end"/>
      </w:r>
      <w:r w:rsidR="00F1030B">
        <w:t xml:space="preserve"> </w:t>
      </w:r>
      <w:r w:rsidR="00187F3F">
        <w:t xml:space="preserve">shows that the police allowance </w:t>
      </w:r>
      <w:r>
        <w:t>was</w:t>
      </w:r>
      <w:r w:rsidR="00187F3F">
        <w:t xml:space="preserve"> </w:t>
      </w:r>
      <w:r>
        <w:t xml:space="preserve">not </w:t>
      </w:r>
      <w:r w:rsidR="00187F3F">
        <w:t>material at the $35 per capita threshold</w:t>
      </w:r>
      <w:r>
        <w:t xml:space="preserve"> in the 2018 Update, the size of the allowance can vary markedly between years</w:t>
      </w:r>
      <w:r w:rsidR="00187F3F">
        <w:t xml:space="preserve">. </w:t>
      </w:r>
      <w:r>
        <w:t>For example, i</w:t>
      </w:r>
      <w:r w:rsidR="00187F3F">
        <w:t>t redistributed $36 per capita in the 201</w:t>
      </w:r>
      <w:r>
        <w:t>7</w:t>
      </w:r>
      <w:r w:rsidR="00187F3F">
        <w:t xml:space="preserve"> Update</w:t>
      </w:r>
      <w:r>
        <w:t>, which is above the materiality threshold</w:t>
      </w:r>
      <w:r w:rsidR="00187F3F">
        <w:t xml:space="preserve">. </w:t>
      </w:r>
    </w:p>
    <w:p w14:paraId="3EE7D710" w14:textId="77777777" w:rsidR="00C54930" w:rsidRDefault="00C54930" w:rsidP="00C54930">
      <w:pPr>
        <w:pStyle w:val="Heading4"/>
      </w:pPr>
      <w:bookmarkStart w:id="167" w:name="_Toc511048323"/>
      <w:bookmarkStart w:id="168" w:name="_Toc511048425"/>
      <w:bookmarkStart w:id="169" w:name="_Toc511048463"/>
      <w:bookmarkStart w:id="170" w:name="_Toc511048498"/>
      <w:bookmarkStart w:id="171" w:name="_Toc511398674"/>
      <w:bookmarkStart w:id="172" w:name="_Toc511398718"/>
      <w:bookmarkStart w:id="173" w:name="_Toc511892541"/>
      <w:r>
        <w:t>Other issues considered and settled</w:t>
      </w:r>
      <w:bookmarkEnd w:id="167"/>
      <w:bookmarkEnd w:id="168"/>
      <w:bookmarkEnd w:id="169"/>
      <w:bookmarkEnd w:id="170"/>
      <w:bookmarkEnd w:id="171"/>
      <w:bookmarkEnd w:id="172"/>
      <w:bookmarkEnd w:id="173"/>
    </w:p>
    <w:p w14:paraId="5F326930" w14:textId="34FA9C1F" w:rsidR="00C54930" w:rsidRDefault="00C54930" w:rsidP="00C54930">
      <w:pPr>
        <w:pStyle w:val="CGCNumberedPara"/>
        <w:numPr>
          <w:ilvl w:val="1"/>
          <w:numId w:val="3"/>
        </w:numPr>
      </w:pPr>
      <w:r>
        <w:t xml:space="preserve">The roads allowance will cease in the 2019 Update. </w:t>
      </w:r>
      <w:r w:rsidR="00187F3F">
        <w:t>The circumstances which led the Commission to phase it out remain and s</w:t>
      </w:r>
      <w:r w:rsidR="00A10286">
        <w:t>taff</w:t>
      </w:r>
      <w:r>
        <w:t xml:space="preserve"> see no case to argue for its continuation. The roads allowance is not an issue for the 2020 Review.</w:t>
      </w:r>
    </w:p>
    <w:p w14:paraId="2BFA3141" w14:textId="77777777" w:rsidR="00C54930" w:rsidRDefault="00C54930" w:rsidP="00C54930">
      <w:pPr>
        <w:pStyle w:val="Single"/>
      </w:pPr>
    </w:p>
    <w:tbl>
      <w:tblPr>
        <w:tblStyle w:val="TableGrid"/>
        <w:tblW w:w="0" w:type="auto"/>
        <w:tblLook w:val="04A0" w:firstRow="1" w:lastRow="0" w:firstColumn="1" w:lastColumn="0" w:noHBand="0" w:noVBand="1"/>
      </w:tblPr>
      <w:tblGrid>
        <w:gridCol w:w="9167"/>
      </w:tblGrid>
      <w:tr w:rsidR="00C54930" w14:paraId="5BD303BC" w14:textId="77777777" w:rsidTr="00412BFF">
        <w:tc>
          <w:tcPr>
            <w:tcW w:w="9167" w:type="dxa"/>
            <w:tcBorders>
              <w:top w:val="nil"/>
              <w:left w:val="nil"/>
              <w:bottom w:val="nil"/>
              <w:right w:val="nil"/>
            </w:tcBorders>
            <w:shd w:val="clear" w:color="auto" w:fill="D9F3E6"/>
          </w:tcPr>
          <w:p w14:paraId="384043C9" w14:textId="77777777" w:rsidR="00C54930" w:rsidRDefault="00C54930" w:rsidP="00412BFF">
            <w:r w:rsidRPr="00205564">
              <w:t>Staff propose to recommend the Commission:</w:t>
            </w:r>
          </w:p>
          <w:p w14:paraId="14754034" w14:textId="77460303" w:rsidR="00C54930" w:rsidRPr="00451652" w:rsidRDefault="00C54930" w:rsidP="00C54930">
            <w:pPr>
              <w:pStyle w:val="CGCBulletlist"/>
              <w:numPr>
                <w:ilvl w:val="0"/>
                <w:numId w:val="1"/>
              </w:numPr>
              <w:tabs>
                <w:tab w:val="clear" w:pos="927"/>
                <w:tab w:val="num" w:pos="4472"/>
              </w:tabs>
              <w:ind w:left="1134" w:hanging="567"/>
            </w:pPr>
            <w:r w:rsidRPr="00451652">
              <w:t>discontinue all the planning allowances</w:t>
            </w:r>
            <w:r w:rsidR="00187F3F">
              <w:t xml:space="preserve"> unless </w:t>
            </w:r>
            <w:r w:rsidR="00187F3F" w:rsidRPr="00451652">
              <w:t>the ACT can make a case for their continuation</w:t>
            </w:r>
          </w:p>
          <w:p w14:paraId="4AD8020A" w14:textId="5B2096C9" w:rsidR="00C54930" w:rsidRPr="00563B06" w:rsidRDefault="00C54930" w:rsidP="00060EB6">
            <w:pPr>
              <w:pStyle w:val="CGCBulletlist"/>
              <w:numPr>
                <w:ilvl w:val="0"/>
                <w:numId w:val="1"/>
              </w:numPr>
              <w:tabs>
                <w:tab w:val="clear" w:pos="927"/>
                <w:tab w:val="num" w:pos="4472"/>
              </w:tabs>
              <w:ind w:left="1134" w:hanging="567"/>
            </w:pPr>
            <w:r>
              <w:t>retain the police allowance and the 2015 Review method for calculating it</w:t>
            </w:r>
            <w:r w:rsidR="00187F3F">
              <w:t xml:space="preserve"> and assess it </w:t>
            </w:r>
            <w:r w:rsidR="00187F3F" w:rsidRPr="00C84B46">
              <w:t>as a separate factor in the Justice categ</w:t>
            </w:r>
            <w:r w:rsidR="00187F3F">
              <w:t>ory.</w:t>
            </w:r>
          </w:p>
        </w:tc>
      </w:tr>
    </w:tbl>
    <w:p w14:paraId="494335C9" w14:textId="77777777" w:rsidR="00C54930" w:rsidRDefault="00C54930" w:rsidP="002813EC">
      <w:pPr>
        <w:pStyle w:val="Heading3"/>
      </w:pPr>
      <w:bookmarkStart w:id="174" w:name="_Toc511048324"/>
      <w:bookmarkStart w:id="175" w:name="_Toc511048426"/>
      <w:bookmarkStart w:id="176" w:name="_Toc511048464"/>
      <w:bookmarkStart w:id="177" w:name="_Toc511048499"/>
      <w:bookmarkStart w:id="178" w:name="_Toc511398675"/>
      <w:bookmarkStart w:id="179" w:name="_Toc511398719"/>
      <w:bookmarkStart w:id="180" w:name="_Toc511892542"/>
      <w:r w:rsidRPr="00FE3214">
        <w:t>Conclusion and way forward</w:t>
      </w:r>
      <w:bookmarkEnd w:id="174"/>
      <w:bookmarkEnd w:id="175"/>
      <w:bookmarkEnd w:id="176"/>
      <w:bookmarkEnd w:id="177"/>
      <w:bookmarkEnd w:id="178"/>
      <w:bookmarkEnd w:id="179"/>
      <w:bookmarkEnd w:id="180"/>
    </w:p>
    <w:p w14:paraId="32734ED7" w14:textId="0C457BA8" w:rsidR="00C54930" w:rsidRDefault="00C54930" w:rsidP="00C54930">
      <w:pPr>
        <w:pStyle w:val="CGCNumberedPara"/>
        <w:numPr>
          <w:ilvl w:val="1"/>
          <w:numId w:val="3"/>
        </w:numPr>
      </w:pPr>
      <w:r>
        <w:t>Nearly three decades have passed since the introduction of self-government in the ACT</w:t>
      </w:r>
      <w:r w:rsidR="00493583">
        <w:t>.</w:t>
      </w:r>
      <w:r>
        <w:t xml:space="preserve"> Commission staff consider the ACT </w:t>
      </w:r>
      <w:r w:rsidR="00BE0555">
        <w:t xml:space="preserve">has </w:t>
      </w:r>
      <w:r>
        <w:t xml:space="preserve">had time to adjust to the requirements of the </w:t>
      </w:r>
      <w:proofErr w:type="spellStart"/>
      <w:r>
        <w:t>NCA</w:t>
      </w:r>
      <w:proofErr w:type="spellEnd"/>
      <w:r>
        <w:t xml:space="preserve"> and the NCP, and other circumstances inherited at self-government. </w:t>
      </w:r>
    </w:p>
    <w:p w14:paraId="5385C144" w14:textId="77777777" w:rsidR="00557846" w:rsidRDefault="00557846" w:rsidP="00060EB6">
      <w:pPr>
        <w:pStyle w:val="Heading4"/>
        <w:keepLines/>
      </w:pPr>
      <w:bookmarkStart w:id="181" w:name="_Toc511823937"/>
      <w:bookmarkStart w:id="182" w:name="_Toc511892414"/>
      <w:bookmarkStart w:id="183" w:name="_Toc511892543"/>
      <w:r>
        <w:t>Proposed assessment</w:t>
      </w:r>
      <w:bookmarkEnd w:id="181"/>
      <w:bookmarkEnd w:id="182"/>
      <w:bookmarkEnd w:id="183"/>
      <w:r>
        <w:t xml:space="preserve"> </w:t>
      </w:r>
    </w:p>
    <w:p w14:paraId="0CA45A63" w14:textId="77777777" w:rsidR="00C54930" w:rsidRDefault="00C54930" w:rsidP="00060EB6">
      <w:pPr>
        <w:pStyle w:val="CGCNumberedPara"/>
        <w:keepNext/>
        <w:keepLines/>
        <w:numPr>
          <w:ilvl w:val="1"/>
          <w:numId w:val="3"/>
        </w:numPr>
      </w:pPr>
      <w:r>
        <w:t>For the 2020 Review, Commission staff propose to:</w:t>
      </w:r>
    </w:p>
    <w:p w14:paraId="182C37FF" w14:textId="77777777" w:rsidR="00C54930" w:rsidRDefault="00C54930" w:rsidP="00060EB6">
      <w:pPr>
        <w:pStyle w:val="CGCBulletlist"/>
        <w:keepNext/>
        <w:keepLines/>
        <w:numPr>
          <w:ilvl w:val="0"/>
          <w:numId w:val="1"/>
        </w:numPr>
        <w:tabs>
          <w:tab w:val="clear" w:pos="927"/>
          <w:tab w:val="num" w:pos="4472"/>
        </w:tabs>
        <w:ind w:left="1134" w:hanging="567"/>
      </w:pPr>
      <w:r>
        <w:t xml:space="preserve">retain the police allowance because the ACT has little practical alternative but to use the </w:t>
      </w:r>
      <w:proofErr w:type="spellStart"/>
      <w:r>
        <w:t>AFP</w:t>
      </w:r>
      <w:proofErr w:type="spellEnd"/>
      <w:r>
        <w:t xml:space="preserve"> as its police force</w:t>
      </w:r>
    </w:p>
    <w:p w14:paraId="736CF5AB" w14:textId="77777777" w:rsidR="00C54930" w:rsidRDefault="00C54930" w:rsidP="00060EB6">
      <w:pPr>
        <w:pStyle w:val="CGCBulletlist"/>
        <w:keepNext/>
        <w:keepLines/>
        <w:numPr>
          <w:ilvl w:val="0"/>
          <w:numId w:val="1"/>
        </w:numPr>
        <w:tabs>
          <w:tab w:val="clear" w:pos="927"/>
          <w:tab w:val="num" w:pos="4472"/>
        </w:tabs>
        <w:ind w:left="1134" w:hanging="567"/>
      </w:pPr>
      <w:r>
        <w:t>retain the 2015 Review method to calculate the police allowance</w:t>
      </w:r>
    </w:p>
    <w:p w14:paraId="36199EA0" w14:textId="77777777" w:rsidR="00C54930" w:rsidRDefault="00C54930" w:rsidP="00060EB6">
      <w:pPr>
        <w:pStyle w:val="CGCBulletlist"/>
        <w:keepNext/>
        <w:keepLines/>
        <w:numPr>
          <w:ilvl w:val="0"/>
          <w:numId w:val="1"/>
        </w:numPr>
        <w:tabs>
          <w:tab w:val="clear" w:pos="927"/>
          <w:tab w:val="num" w:pos="4472"/>
        </w:tabs>
        <w:ind w:left="1134" w:hanging="567"/>
      </w:pPr>
      <w:r>
        <w:t>assess the police allowance as a separate factor in the Justice category.</w:t>
      </w:r>
    </w:p>
    <w:p w14:paraId="068D4A8E" w14:textId="40D28658" w:rsidR="002813EC" w:rsidRDefault="00C54930" w:rsidP="002813EC">
      <w:pPr>
        <w:pStyle w:val="CGCNumberedPara"/>
        <w:numPr>
          <w:ilvl w:val="1"/>
          <w:numId w:val="3"/>
        </w:numPr>
      </w:pPr>
      <w:r>
        <w:t>We do not propose to continue</w:t>
      </w:r>
      <w:r w:rsidR="008029B1">
        <w:t xml:space="preserve"> the</w:t>
      </w:r>
      <w:r>
        <w:t xml:space="preserve"> other allowances</w:t>
      </w:r>
      <w:r w:rsidR="008029B1">
        <w:t xml:space="preserve"> unless</w:t>
      </w:r>
      <w:r>
        <w:t xml:space="preserve"> the ACT make</w:t>
      </w:r>
      <w:r w:rsidR="008029B1">
        <w:t>s</w:t>
      </w:r>
      <w:r>
        <w:t xml:space="preserve"> a case for the</w:t>
      </w:r>
      <w:r w:rsidR="008029B1">
        <w:t>ir</w:t>
      </w:r>
      <w:r>
        <w:t xml:space="preserve"> continuation</w:t>
      </w:r>
      <w:r w:rsidR="00FE2099">
        <w:t xml:space="preserve">. </w:t>
      </w:r>
    </w:p>
    <w:p w14:paraId="15EBD92B" w14:textId="77777777" w:rsidR="00C2657C" w:rsidRDefault="00C2657C" w:rsidP="00C2657C">
      <w:pPr>
        <w:pStyle w:val="Heading4"/>
      </w:pPr>
      <w:bookmarkStart w:id="184" w:name="_Toc511380201"/>
      <w:bookmarkStart w:id="185" w:name="_Toc511398676"/>
      <w:bookmarkStart w:id="186" w:name="_Toc511398720"/>
      <w:bookmarkStart w:id="187" w:name="_Toc511399121"/>
      <w:bookmarkStart w:id="188" w:name="_Toc511823938"/>
      <w:bookmarkStart w:id="189" w:name="_Toc511892415"/>
      <w:bookmarkStart w:id="190" w:name="_Toc511892544"/>
      <w:r>
        <w:t>Information sought from States</w:t>
      </w:r>
      <w:bookmarkEnd w:id="184"/>
      <w:bookmarkEnd w:id="185"/>
      <w:bookmarkEnd w:id="186"/>
      <w:bookmarkEnd w:id="187"/>
      <w:bookmarkEnd w:id="188"/>
      <w:bookmarkEnd w:id="189"/>
      <w:bookmarkEnd w:id="190"/>
    </w:p>
    <w:p w14:paraId="55FB68FE" w14:textId="13F6F2E8" w:rsidR="002813EC" w:rsidRDefault="00C2657C" w:rsidP="00C2657C">
      <w:pPr>
        <w:pStyle w:val="CGCNumberedPara"/>
        <w:numPr>
          <w:ilvl w:val="1"/>
          <w:numId w:val="3"/>
        </w:numPr>
      </w:pPr>
      <w:r>
        <w:t xml:space="preserve">The ACT may wish to provide information regarding planning allowances and other costs to demonstrate that a national capital allowance should continue. </w:t>
      </w:r>
      <w:r w:rsidR="002813EC">
        <w:t>The case for the planning allowances would need to demonstrate how the costs are currently affected and that they are both beyond its control but higher on a per capita basis than comparable expenses in other States. These comparable expenses would include the costs to State governments of dealing with local councils and federal agencies for planning, land management and capital works purposes.</w:t>
      </w:r>
    </w:p>
    <w:p w14:paraId="25D53DD8" w14:textId="3CCEDBB8" w:rsidR="002813EC" w:rsidRPr="002813EC" w:rsidRDefault="002813EC" w:rsidP="002813EC">
      <w:pPr>
        <w:pStyle w:val="CGCNumberedPara"/>
        <w:numPr>
          <w:ilvl w:val="1"/>
          <w:numId w:val="3"/>
        </w:numPr>
      </w:pPr>
      <w:r>
        <w:t xml:space="preserve">Submissions relating to other national capital costs are also welcome. </w:t>
      </w:r>
    </w:p>
    <w:p w14:paraId="4BB76F61" w14:textId="789CC712" w:rsidR="00C23AC3" w:rsidRDefault="00C23AC3" w:rsidP="002813EC">
      <w:pPr>
        <w:pStyle w:val="CGCNumberedPara"/>
        <w:numPr>
          <w:ilvl w:val="0"/>
          <w:numId w:val="0"/>
        </w:numPr>
      </w:pPr>
      <w:r>
        <w:br w:type="page"/>
      </w:r>
    </w:p>
    <w:p w14:paraId="5061A621" w14:textId="77777777" w:rsidR="00C23AC3" w:rsidRDefault="00C23AC3" w:rsidP="00C23AC3">
      <w:pPr>
        <w:pStyle w:val="Heading2"/>
      </w:pPr>
      <w:bookmarkStart w:id="191" w:name="_Toc511048325"/>
      <w:bookmarkStart w:id="192" w:name="_Toc511048427"/>
      <w:bookmarkStart w:id="193" w:name="_Toc511048465"/>
      <w:bookmarkStart w:id="194" w:name="_Toc511048500"/>
      <w:bookmarkStart w:id="195" w:name="_Toc511398677"/>
      <w:bookmarkStart w:id="196" w:name="_Toc511398721"/>
      <w:bookmarkStart w:id="197" w:name="_Toc511892545"/>
      <w:r>
        <w:t>Native title and land rights</w:t>
      </w:r>
      <w:bookmarkEnd w:id="191"/>
      <w:bookmarkEnd w:id="192"/>
      <w:bookmarkEnd w:id="193"/>
      <w:bookmarkEnd w:id="194"/>
      <w:bookmarkEnd w:id="195"/>
      <w:bookmarkEnd w:id="196"/>
      <w:bookmarkEnd w:id="197"/>
      <w:r>
        <w:t xml:space="preserve"> </w:t>
      </w:r>
    </w:p>
    <w:p w14:paraId="23AE03CD" w14:textId="77777777" w:rsidR="00C23AC3" w:rsidRPr="00741FF2" w:rsidRDefault="00C23AC3" w:rsidP="00C23AC3">
      <w:pPr>
        <w:pStyle w:val="Heading3"/>
      </w:pPr>
      <w:bookmarkStart w:id="198" w:name="_Ref496019160"/>
      <w:bookmarkStart w:id="199" w:name="_Toc511048326"/>
      <w:bookmarkStart w:id="200" w:name="_Toc511048428"/>
      <w:bookmarkStart w:id="201" w:name="_Toc511048466"/>
      <w:bookmarkStart w:id="202" w:name="_Toc511048501"/>
      <w:bookmarkStart w:id="203" w:name="_Toc511398678"/>
      <w:bookmarkStart w:id="204" w:name="_Toc511398722"/>
      <w:bookmarkStart w:id="205" w:name="_Toc511892546"/>
      <w:r w:rsidRPr="00741FF2">
        <w:t>201</w:t>
      </w:r>
      <w:r>
        <w:t>5</w:t>
      </w:r>
      <w:r w:rsidRPr="00741FF2">
        <w:t xml:space="preserve"> </w:t>
      </w:r>
      <w:r>
        <w:t>Review</w:t>
      </w:r>
      <w:r w:rsidRPr="00741FF2">
        <w:t xml:space="preserve"> approach</w:t>
      </w:r>
      <w:bookmarkEnd w:id="198"/>
      <w:bookmarkEnd w:id="199"/>
      <w:bookmarkEnd w:id="200"/>
      <w:bookmarkEnd w:id="201"/>
      <w:bookmarkEnd w:id="202"/>
      <w:bookmarkEnd w:id="203"/>
      <w:bookmarkEnd w:id="204"/>
      <w:bookmarkEnd w:id="205"/>
    </w:p>
    <w:p w14:paraId="65D493A8" w14:textId="434A908F" w:rsidR="00C23AC3" w:rsidRPr="00F46B46" w:rsidRDefault="00C23AC3" w:rsidP="00AD2782">
      <w:pPr>
        <w:pStyle w:val="CGCNumberedPara"/>
      </w:pPr>
      <w:r>
        <w:t>The assessment recognise</w:t>
      </w:r>
      <w:r w:rsidR="00493583">
        <w:t>s</w:t>
      </w:r>
      <w:r w:rsidRPr="00F46B46">
        <w:t xml:space="preserve"> the additional costs incurred </w:t>
      </w:r>
      <w:r>
        <w:t>by</w:t>
      </w:r>
      <w:r w:rsidRPr="00F46B46">
        <w:t xml:space="preserve"> the States due to the operation of:</w:t>
      </w:r>
    </w:p>
    <w:p w14:paraId="2731791D" w14:textId="77777777" w:rsidR="00C23AC3" w:rsidRPr="00F46B46" w:rsidRDefault="00C23AC3" w:rsidP="00C23AC3">
      <w:pPr>
        <w:pStyle w:val="CGCBulletlist"/>
        <w:numPr>
          <w:ilvl w:val="0"/>
          <w:numId w:val="1"/>
        </w:numPr>
        <w:tabs>
          <w:tab w:val="clear" w:pos="927"/>
        </w:tabs>
        <w:ind w:left="1134" w:hanging="567"/>
      </w:pPr>
      <w:r w:rsidRPr="00F46B46">
        <w:t xml:space="preserve">the Commonwealth’s </w:t>
      </w:r>
      <w:r w:rsidRPr="00930B10">
        <w:rPr>
          <w:i/>
        </w:rPr>
        <w:t>Native Title Act</w:t>
      </w:r>
      <w:r w:rsidRPr="00F46B46">
        <w:t xml:space="preserve"> </w:t>
      </w:r>
      <w:r w:rsidRPr="00656286">
        <w:rPr>
          <w:i/>
        </w:rPr>
        <w:t>1993</w:t>
      </w:r>
      <w:r>
        <w:t xml:space="preserve"> — in all States</w:t>
      </w:r>
    </w:p>
    <w:p w14:paraId="30000249" w14:textId="77777777" w:rsidR="00C23AC3" w:rsidRDefault="00C23AC3" w:rsidP="00C23AC3">
      <w:pPr>
        <w:pStyle w:val="CGCBulletlist"/>
        <w:numPr>
          <w:ilvl w:val="0"/>
          <w:numId w:val="1"/>
        </w:numPr>
        <w:tabs>
          <w:tab w:val="clear" w:pos="927"/>
        </w:tabs>
        <w:ind w:left="1134" w:hanging="567"/>
      </w:pPr>
      <w:r w:rsidRPr="00F46B46">
        <w:t xml:space="preserve">the Commonwealth’s </w:t>
      </w:r>
      <w:r w:rsidRPr="00930B10">
        <w:rPr>
          <w:i/>
        </w:rPr>
        <w:t>Aboriginal Land Rights (Northern Territory) Act</w:t>
      </w:r>
      <w:r w:rsidRPr="00F46B46">
        <w:t xml:space="preserve"> </w:t>
      </w:r>
      <w:r w:rsidRPr="00656286">
        <w:rPr>
          <w:i/>
        </w:rPr>
        <w:t>1976</w:t>
      </w:r>
      <w:r>
        <w:t xml:space="preserve"> — in the Northern Territory</w:t>
      </w:r>
      <w:r w:rsidRPr="00F46B46">
        <w:t>.</w:t>
      </w:r>
    </w:p>
    <w:p w14:paraId="189FC8BA" w14:textId="6006C6F7" w:rsidR="00EB61E0" w:rsidRDefault="00EB61E0" w:rsidP="00AD2782">
      <w:pPr>
        <w:pStyle w:val="Heading4"/>
      </w:pPr>
      <w:bookmarkStart w:id="206" w:name="_Toc511380191"/>
      <w:bookmarkStart w:id="207" w:name="_Toc511892547"/>
      <w:r>
        <w:t xml:space="preserve">Disability </w:t>
      </w:r>
      <w:r w:rsidRPr="00C3140C">
        <w:t>expenses</w:t>
      </w:r>
      <w:bookmarkEnd w:id="206"/>
      <w:bookmarkEnd w:id="207"/>
    </w:p>
    <w:p w14:paraId="297E975F" w14:textId="287A7EBB" w:rsidR="00C23AC3" w:rsidRDefault="00C23AC3" w:rsidP="00C23AC3">
      <w:pPr>
        <w:pStyle w:val="CGCNumberedPara"/>
        <w:numPr>
          <w:ilvl w:val="1"/>
          <w:numId w:val="3"/>
        </w:numPr>
      </w:pPr>
      <w:r>
        <w:t xml:space="preserve">Native title and land rights expenses are small. </w:t>
      </w:r>
      <w:r w:rsidRPr="00414037">
        <w:t xml:space="preserve">However, they are concentrated in </w:t>
      </w:r>
      <w:r>
        <w:t xml:space="preserve">Queensland, Western Australia and </w:t>
      </w:r>
      <w:r w:rsidRPr="00414037">
        <w:t xml:space="preserve">the Northern Territory. </w:t>
      </w:r>
      <w:r w:rsidRPr="00414037">
        <w:fldChar w:fldCharType="begin"/>
      </w:r>
      <w:r w:rsidRPr="00414037">
        <w:instrText xml:space="preserve"> REF _Ref496002327 \h </w:instrText>
      </w:r>
      <w:r>
        <w:instrText xml:space="preserve"> \* MERGEFORMAT </w:instrText>
      </w:r>
      <w:r w:rsidRPr="00414037">
        <w:fldChar w:fldCharType="separate"/>
      </w:r>
      <w:r w:rsidR="00C40664">
        <w:t>Table 9</w:t>
      </w:r>
      <w:r w:rsidRPr="00414037">
        <w:fldChar w:fldCharType="end"/>
      </w:r>
      <w:r w:rsidRPr="00414037">
        <w:t xml:space="preserve"> shows total native title and land rights</w:t>
      </w:r>
      <w:r>
        <w:t xml:space="preserve"> expenses for 201</w:t>
      </w:r>
      <w:r w:rsidR="00EF0282">
        <w:t>6</w:t>
      </w:r>
      <w:r>
        <w:noBreakHyphen/>
        <w:t>1</w:t>
      </w:r>
      <w:r w:rsidR="00EF0282">
        <w:t>7</w:t>
      </w:r>
      <w:r>
        <w:t>.</w:t>
      </w:r>
    </w:p>
    <w:p w14:paraId="7881EC1A" w14:textId="7E5C8BB2" w:rsidR="00C23AC3" w:rsidRDefault="00C23AC3" w:rsidP="00C23AC3">
      <w:pPr>
        <w:pStyle w:val="CGCTableHeading"/>
      </w:pPr>
      <w:bookmarkStart w:id="208" w:name="_Ref496002327"/>
      <w:r>
        <w:t>Table </w:t>
      </w:r>
      <w:fldSimple w:instr=" SEQ Table \* ARABIC ">
        <w:r w:rsidR="00C40664">
          <w:rPr>
            <w:noProof/>
          </w:rPr>
          <w:t>9</w:t>
        </w:r>
      </w:fldSimple>
      <w:bookmarkEnd w:id="208"/>
      <w:r>
        <w:tab/>
        <w:t>Native title and land rights</w:t>
      </w:r>
      <w:r w:rsidRPr="00F83306">
        <w:t xml:space="preserve"> expenses, 201</w:t>
      </w:r>
      <w:r w:rsidR="00EF0282">
        <w:t>6</w:t>
      </w:r>
      <w:r w:rsidRPr="00F83306">
        <w:t>-1</w:t>
      </w:r>
      <w:r w:rsidR="00EF0282">
        <w:t>7</w:t>
      </w:r>
    </w:p>
    <w:tbl>
      <w:tblPr>
        <w:tblW w:w="8960" w:type="dxa"/>
        <w:tblInd w:w="93" w:type="dxa"/>
        <w:tblLook w:val="04A0" w:firstRow="1" w:lastRow="0" w:firstColumn="1" w:lastColumn="0" w:noHBand="0" w:noVBand="1"/>
      </w:tblPr>
      <w:tblGrid>
        <w:gridCol w:w="1440"/>
        <w:gridCol w:w="920"/>
        <w:gridCol w:w="780"/>
        <w:gridCol w:w="820"/>
        <w:gridCol w:w="820"/>
        <w:gridCol w:w="780"/>
        <w:gridCol w:w="820"/>
        <w:gridCol w:w="820"/>
        <w:gridCol w:w="820"/>
        <w:gridCol w:w="940"/>
      </w:tblGrid>
      <w:tr w:rsidR="00AA1712" w:rsidRPr="00AA1712" w14:paraId="718F65E4" w14:textId="77777777" w:rsidTr="00AA1712">
        <w:trPr>
          <w:trHeight w:val="379"/>
        </w:trPr>
        <w:tc>
          <w:tcPr>
            <w:tcW w:w="1440" w:type="dxa"/>
            <w:tcBorders>
              <w:top w:val="single" w:sz="4" w:space="0" w:color="auto"/>
              <w:left w:val="nil"/>
              <w:bottom w:val="single" w:sz="4" w:space="0" w:color="auto"/>
              <w:right w:val="nil"/>
            </w:tcBorders>
            <w:shd w:val="clear" w:color="auto" w:fill="auto"/>
            <w:noWrap/>
            <w:vAlign w:val="center"/>
            <w:hideMark/>
          </w:tcPr>
          <w:p w14:paraId="7D264028" w14:textId="77777777" w:rsidR="00AA1712" w:rsidRPr="00AA1712" w:rsidRDefault="00AA1712" w:rsidP="00AA1712">
            <w:pPr>
              <w:tabs>
                <w:tab w:val="clear" w:pos="567"/>
              </w:tabs>
              <w:spacing w:after="0" w:line="240" w:lineRule="auto"/>
              <w:jc w:val="right"/>
              <w:rPr>
                <w:rFonts w:ascii="Calibri" w:eastAsia="Times New Roman" w:hAnsi="Calibri" w:cs="Times New Roman"/>
                <w:color w:val="000000"/>
                <w:sz w:val="20"/>
                <w:szCs w:val="20"/>
                <w:lang w:eastAsia="en-AU"/>
              </w:rPr>
            </w:pPr>
            <w:bookmarkStart w:id="209" w:name="RANGE!A49:J53"/>
            <w:r w:rsidRPr="00AA1712">
              <w:rPr>
                <w:rFonts w:ascii="Calibri" w:eastAsia="Times New Roman" w:hAnsi="Calibri" w:cs="Times New Roman"/>
                <w:color w:val="000000"/>
                <w:sz w:val="20"/>
                <w:szCs w:val="20"/>
                <w:lang w:eastAsia="en-AU"/>
              </w:rPr>
              <w:t> </w:t>
            </w:r>
            <w:bookmarkEnd w:id="209"/>
          </w:p>
        </w:tc>
        <w:tc>
          <w:tcPr>
            <w:tcW w:w="920" w:type="dxa"/>
            <w:tcBorders>
              <w:top w:val="single" w:sz="4" w:space="0" w:color="auto"/>
              <w:left w:val="nil"/>
              <w:bottom w:val="single" w:sz="4" w:space="0" w:color="auto"/>
              <w:right w:val="nil"/>
            </w:tcBorders>
            <w:shd w:val="clear" w:color="auto" w:fill="auto"/>
            <w:noWrap/>
            <w:vAlign w:val="center"/>
            <w:hideMark/>
          </w:tcPr>
          <w:p w14:paraId="3F783691" w14:textId="77777777" w:rsidR="00AA1712" w:rsidRPr="00AA1712" w:rsidRDefault="00AA1712" w:rsidP="00AA1712">
            <w:pPr>
              <w:tabs>
                <w:tab w:val="clear" w:pos="567"/>
              </w:tabs>
              <w:spacing w:after="0" w:line="240" w:lineRule="auto"/>
              <w:jc w:val="right"/>
              <w:rPr>
                <w:rFonts w:ascii="Calibri" w:eastAsia="Times New Roman" w:hAnsi="Calibri" w:cs="Times New Roman"/>
                <w:color w:val="000000"/>
                <w:sz w:val="20"/>
                <w:szCs w:val="20"/>
                <w:lang w:eastAsia="en-AU"/>
              </w:rPr>
            </w:pPr>
            <w:r w:rsidRPr="00AA1712">
              <w:rPr>
                <w:rFonts w:ascii="Calibri" w:eastAsia="Times New Roman" w:hAnsi="Calibri" w:cs="Times New Roman"/>
                <w:color w:val="000000"/>
                <w:sz w:val="20"/>
                <w:szCs w:val="20"/>
                <w:lang w:eastAsia="en-AU"/>
              </w:rPr>
              <w:t>NSW</w:t>
            </w:r>
          </w:p>
        </w:tc>
        <w:tc>
          <w:tcPr>
            <w:tcW w:w="780" w:type="dxa"/>
            <w:tcBorders>
              <w:top w:val="single" w:sz="4" w:space="0" w:color="auto"/>
              <w:left w:val="nil"/>
              <w:bottom w:val="single" w:sz="4" w:space="0" w:color="auto"/>
              <w:right w:val="nil"/>
            </w:tcBorders>
            <w:shd w:val="clear" w:color="auto" w:fill="auto"/>
            <w:noWrap/>
            <w:vAlign w:val="center"/>
            <w:hideMark/>
          </w:tcPr>
          <w:p w14:paraId="01D23238" w14:textId="77777777" w:rsidR="00AA1712" w:rsidRPr="00AA1712" w:rsidRDefault="00AA1712" w:rsidP="00AA1712">
            <w:pPr>
              <w:tabs>
                <w:tab w:val="clear" w:pos="567"/>
              </w:tabs>
              <w:spacing w:after="0" w:line="240" w:lineRule="auto"/>
              <w:jc w:val="right"/>
              <w:rPr>
                <w:rFonts w:ascii="Calibri" w:eastAsia="Times New Roman" w:hAnsi="Calibri" w:cs="Times New Roman"/>
                <w:color w:val="000000"/>
                <w:sz w:val="20"/>
                <w:szCs w:val="20"/>
                <w:lang w:eastAsia="en-AU"/>
              </w:rPr>
            </w:pPr>
            <w:r w:rsidRPr="00AA1712">
              <w:rPr>
                <w:rFonts w:ascii="Calibri" w:eastAsia="Times New Roman" w:hAnsi="Calibri" w:cs="Times New Roman"/>
                <w:color w:val="000000"/>
                <w:sz w:val="20"/>
                <w:szCs w:val="20"/>
                <w:lang w:eastAsia="en-AU"/>
              </w:rPr>
              <w:t>Vic</w:t>
            </w:r>
          </w:p>
        </w:tc>
        <w:tc>
          <w:tcPr>
            <w:tcW w:w="820" w:type="dxa"/>
            <w:tcBorders>
              <w:top w:val="single" w:sz="4" w:space="0" w:color="auto"/>
              <w:left w:val="nil"/>
              <w:bottom w:val="single" w:sz="4" w:space="0" w:color="auto"/>
              <w:right w:val="nil"/>
            </w:tcBorders>
            <w:shd w:val="clear" w:color="auto" w:fill="auto"/>
            <w:noWrap/>
            <w:vAlign w:val="center"/>
            <w:hideMark/>
          </w:tcPr>
          <w:p w14:paraId="77DD4424" w14:textId="77777777" w:rsidR="00AA1712" w:rsidRPr="00AA1712" w:rsidRDefault="00AA1712" w:rsidP="00AA1712">
            <w:pPr>
              <w:tabs>
                <w:tab w:val="clear" w:pos="567"/>
              </w:tabs>
              <w:spacing w:after="0" w:line="240" w:lineRule="auto"/>
              <w:jc w:val="right"/>
              <w:rPr>
                <w:rFonts w:ascii="Calibri" w:eastAsia="Times New Roman" w:hAnsi="Calibri" w:cs="Times New Roman"/>
                <w:color w:val="000000"/>
                <w:sz w:val="20"/>
                <w:szCs w:val="20"/>
                <w:lang w:eastAsia="en-AU"/>
              </w:rPr>
            </w:pPr>
            <w:r w:rsidRPr="00AA1712">
              <w:rPr>
                <w:rFonts w:ascii="Calibri" w:eastAsia="Times New Roman" w:hAnsi="Calibri" w:cs="Times New Roman"/>
                <w:color w:val="000000"/>
                <w:sz w:val="20"/>
                <w:szCs w:val="20"/>
                <w:lang w:eastAsia="en-AU"/>
              </w:rPr>
              <w:t>Qld</w:t>
            </w:r>
          </w:p>
        </w:tc>
        <w:tc>
          <w:tcPr>
            <w:tcW w:w="820" w:type="dxa"/>
            <w:tcBorders>
              <w:top w:val="single" w:sz="4" w:space="0" w:color="auto"/>
              <w:left w:val="nil"/>
              <w:bottom w:val="single" w:sz="4" w:space="0" w:color="auto"/>
              <w:right w:val="nil"/>
            </w:tcBorders>
            <w:shd w:val="clear" w:color="auto" w:fill="auto"/>
            <w:noWrap/>
            <w:vAlign w:val="center"/>
            <w:hideMark/>
          </w:tcPr>
          <w:p w14:paraId="7E8C02F3" w14:textId="77777777" w:rsidR="00AA1712" w:rsidRPr="00AA1712" w:rsidRDefault="00AA1712" w:rsidP="00AA1712">
            <w:pPr>
              <w:tabs>
                <w:tab w:val="clear" w:pos="567"/>
              </w:tabs>
              <w:spacing w:after="0" w:line="240" w:lineRule="auto"/>
              <w:jc w:val="right"/>
              <w:rPr>
                <w:rFonts w:ascii="Calibri" w:eastAsia="Times New Roman" w:hAnsi="Calibri" w:cs="Times New Roman"/>
                <w:color w:val="000000"/>
                <w:sz w:val="20"/>
                <w:szCs w:val="20"/>
                <w:lang w:eastAsia="en-AU"/>
              </w:rPr>
            </w:pPr>
            <w:r w:rsidRPr="00AA1712">
              <w:rPr>
                <w:rFonts w:ascii="Calibri" w:eastAsia="Times New Roman" w:hAnsi="Calibri" w:cs="Times New Roman"/>
                <w:color w:val="000000"/>
                <w:sz w:val="20"/>
                <w:szCs w:val="20"/>
                <w:lang w:eastAsia="en-AU"/>
              </w:rPr>
              <w:t>WA</w:t>
            </w:r>
          </w:p>
        </w:tc>
        <w:tc>
          <w:tcPr>
            <w:tcW w:w="780" w:type="dxa"/>
            <w:tcBorders>
              <w:top w:val="single" w:sz="4" w:space="0" w:color="auto"/>
              <w:left w:val="nil"/>
              <w:bottom w:val="single" w:sz="4" w:space="0" w:color="auto"/>
              <w:right w:val="nil"/>
            </w:tcBorders>
            <w:shd w:val="clear" w:color="auto" w:fill="auto"/>
            <w:noWrap/>
            <w:vAlign w:val="center"/>
            <w:hideMark/>
          </w:tcPr>
          <w:p w14:paraId="5C5A2E5E" w14:textId="77777777" w:rsidR="00AA1712" w:rsidRPr="00AA1712" w:rsidRDefault="00AA1712" w:rsidP="00AA1712">
            <w:pPr>
              <w:tabs>
                <w:tab w:val="clear" w:pos="567"/>
              </w:tabs>
              <w:spacing w:after="0" w:line="240" w:lineRule="auto"/>
              <w:jc w:val="right"/>
              <w:rPr>
                <w:rFonts w:ascii="Calibri" w:eastAsia="Times New Roman" w:hAnsi="Calibri" w:cs="Times New Roman"/>
                <w:color w:val="000000"/>
                <w:sz w:val="20"/>
                <w:szCs w:val="20"/>
                <w:lang w:eastAsia="en-AU"/>
              </w:rPr>
            </w:pPr>
            <w:r w:rsidRPr="00AA1712">
              <w:rPr>
                <w:rFonts w:ascii="Calibri" w:eastAsia="Times New Roman" w:hAnsi="Calibri" w:cs="Times New Roman"/>
                <w:color w:val="000000"/>
                <w:sz w:val="20"/>
                <w:szCs w:val="20"/>
                <w:lang w:eastAsia="en-AU"/>
              </w:rPr>
              <w:t>SA</w:t>
            </w:r>
          </w:p>
        </w:tc>
        <w:tc>
          <w:tcPr>
            <w:tcW w:w="820" w:type="dxa"/>
            <w:tcBorders>
              <w:top w:val="single" w:sz="4" w:space="0" w:color="auto"/>
              <w:left w:val="nil"/>
              <w:bottom w:val="single" w:sz="4" w:space="0" w:color="auto"/>
              <w:right w:val="nil"/>
            </w:tcBorders>
            <w:shd w:val="clear" w:color="auto" w:fill="auto"/>
            <w:noWrap/>
            <w:vAlign w:val="center"/>
            <w:hideMark/>
          </w:tcPr>
          <w:p w14:paraId="0AB1C35D" w14:textId="77777777" w:rsidR="00AA1712" w:rsidRPr="00AA1712" w:rsidRDefault="00AA1712" w:rsidP="00AA1712">
            <w:pPr>
              <w:tabs>
                <w:tab w:val="clear" w:pos="567"/>
              </w:tabs>
              <w:spacing w:after="0" w:line="240" w:lineRule="auto"/>
              <w:jc w:val="right"/>
              <w:rPr>
                <w:rFonts w:ascii="Calibri" w:eastAsia="Times New Roman" w:hAnsi="Calibri" w:cs="Times New Roman"/>
                <w:color w:val="000000"/>
                <w:sz w:val="20"/>
                <w:szCs w:val="20"/>
                <w:lang w:eastAsia="en-AU"/>
              </w:rPr>
            </w:pPr>
            <w:proofErr w:type="spellStart"/>
            <w:r w:rsidRPr="00AA1712">
              <w:rPr>
                <w:rFonts w:ascii="Calibri" w:eastAsia="Times New Roman" w:hAnsi="Calibri" w:cs="Times New Roman"/>
                <w:color w:val="000000"/>
                <w:sz w:val="20"/>
                <w:szCs w:val="20"/>
                <w:lang w:eastAsia="en-AU"/>
              </w:rPr>
              <w:t>Tas</w:t>
            </w:r>
            <w:proofErr w:type="spellEnd"/>
          </w:p>
        </w:tc>
        <w:tc>
          <w:tcPr>
            <w:tcW w:w="820" w:type="dxa"/>
            <w:tcBorders>
              <w:top w:val="single" w:sz="4" w:space="0" w:color="auto"/>
              <w:left w:val="nil"/>
              <w:bottom w:val="single" w:sz="4" w:space="0" w:color="auto"/>
              <w:right w:val="nil"/>
            </w:tcBorders>
            <w:shd w:val="clear" w:color="auto" w:fill="auto"/>
            <w:noWrap/>
            <w:vAlign w:val="center"/>
            <w:hideMark/>
          </w:tcPr>
          <w:p w14:paraId="60A079E2" w14:textId="77777777" w:rsidR="00AA1712" w:rsidRPr="00AA1712" w:rsidRDefault="00AA1712" w:rsidP="00AA1712">
            <w:pPr>
              <w:tabs>
                <w:tab w:val="clear" w:pos="567"/>
              </w:tabs>
              <w:spacing w:after="0" w:line="240" w:lineRule="auto"/>
              <w:jc w:val="right"/>
              <w:rPr>
                <w:rFonts w:ascii="Calibri" w:eastAsia="Times New Roman" w:hAnsi="Calibri" w:cs="Times New Roman"/>
                <w:color w:val="000000"/>
                <w:sz w:val="20"/>
                <w:szCs w:val="20"/>
                <w:lang w:eastAsia="en-AU"/>
              </w:rPr>
            </w:pPr>
            <w:r w:rsidRPr="00AA1712">
              <w:rPr>
                <w:rFonts w:ascii="Calibri" w:eastAsia="Times New Roman" w:hAnsi="Calibri" w:cs="Times New Roman"/>
                <w:color w:val="000000"/>
                <w:sz w:val="20"/>
                <w:szCs w:val="20"/>
                <w:lang w:eastAsia="en-AU"/>
              </w:rPr>
              <w:t>ACT</w:t>
            </w:r>
          </w:p>
        </w:tc>
        <w:tc>
          <w:tcPr>
            <w:tcW w:w="820" w:type="dxa"/>
            <w:tcBorders>
              <w:top w:val="single" w:sz="4" w:space="0" w:color="auto"/>
              <w:left w:val="nil"/>
              <w:bottom w:val="single" w:sz="4" w:space="0" w:color="auto"/>
              <w:right w:val="nil"/>
            </w:tcBorders>
            <w:shd w:val="clear" w:color="auto" w:fill="auto"/>
            <w:noWrap/>
            <w:vAlign w:val="center"/>
            <w:hideMark/>
          </w:tcPr>
          <w:p w14:paraId="0770CEA9" w14:textId="77777777" w:rsidR="00AA1712" w:rsidRPr="00AA1712" w:rsidRDefault="00AA1712" w:rsidP="00AA1712">
            <w:pPr>
              <w:tabs>
                <w:tab w:val="clear" w:pos="567"/>
              </w:tabs>
              <w:spacing w:after="0" w:line="240" w:lineRule="auto"/>
              <w:jc w:val="right"/>
              <w:rPr>
                <w:rFonts w:ascii="Calibri" w:eastAsia="Times New Roman" w:hAnsi="Calibri" w:cs="Times New Roman"/>
                <w:color w:val="000000"/>
                <w:sz w:val="20"/>
                <w:szCs w:val="20"/>
                <w:lang w:eastAsia="en-AU"/>
              </w:rPr>
            </w:pPr>
            <w:r w:rsidRPr="00AA1712">
              <w:rPr>
                <w:rFonts w:ascii="Calibri" w:eastAsia="Times New Roman" w:hAnsi="Calibri" w:cs="Times New Roman"/>
                <w:color w:val="000000"/>
                <w:sz w:val="20"/>
                <w:szCs w:val="20"/>
                <w:lang w:eastAsia="en-AU"/>
              </w:rPr>
              <w:t>NT</w:t>
            </w:r>
          </w:p>
        </w:tc>
        <w:tc>
          <w:tcPr>
            <w:tcW w:w="940" w:type="dxa"/>
            <w:tcBorders>
              <w:top w:val="single" w:sz="4" w:space="0" w:color="auto"/>
              <w:left w:val="nil"/>
              <w:bottom w:val="single" w:sz="4" w:space="0" w:color="auto"/>
              <w:right w:val="nil"/>
            </w:tcBorders>
            <w:shd w:val="clear" w:color="auto" w:fill="auto"/>
            <w:noWrap/>
            <w:vAlign w:val="center"/>
            <w:hideMark/>
          </w:tcPr>
          <w:p w14:paraId="0DB4F108" w14:textId="77777777" w:rsidR="00AA1712" w:rsidRPr="00AA1712" w:rsidRDefault="00AA1712" w:rsidP="00AA1712">
            <w:pPr>
              <w:tabs>
                <w:tab w:val="clear" w:pos="567"/>
              </w:tabs>
              <w:spacing w:after="0" w:line="240" w:lineRule="auto"/>
              <w:jc w:val="right"/>
              <w:rPr>
                <w:rFonts w:ascii="Calibri" w:eastAsia="Times New Roman" w:hAnsi="Calibri" w:cs="Times New Roman"/>
                <w:color w:val="000000"/>
                <w:sz w:val="20"/>
                <w:szCs w:val="20"/>
                <w:lang w:eastAsia="en-AU"/>
              </w:rPr>
            </w:pPr>
            <w:r w:rsidRPr="00AA1712">
              <w:rPr>
                <w:rFonts w:ascii="Calibri" w:eastAsia="Times New Roman" w:hAnsi="Calibri" w:cs="Times New Roman"/>
                <w:color w:val="000000"/>
                <w:sz w:val="20"/>
                <w:szCs w:val="20"/>
                <w:lang w:eastAsia="en-AU"/>
              </w:rPr>
              <w:t>Total</w:t>
            </w:r>
          </w:p>
        </w:tc>
      </w:tr>
      <w:tr w:rsidR="00AA1712" w:rsidRPr="00AA1712" w14:paraId="15E2E583" w14:textId="77777777" w:rsidTr="00AA1712">
        <w:trPr>
          <w:trHeight w:val="259"/>
        </w:trPr>
        <w:tc>
          <w:tcPr>
            <w:tcW w:w="1440" w:type="dxa"/>
            <w:tcBorders>
              <w:top w:val="nil"/>
              <w:left w:val="nil"/>
              <w:bottom w:val="nil"/>
              <w:right w:val="nil"/>
            </w:tcBorders>
            <w:shd w:val="clear" w:color="auto" w:fill="auto"/>
            <w:noWrap/>
            <w:vAlign w:val="bottom"/>
            <w:hideMark/>
          </w:tcPr>
          <w:p w14:paraId="2544DF8E" w14:textId="77777777" w:rsidR="00AA1712" w:rsidRPr="00AA1712" w:rsidRDefault="00AA1712" w:rsidP="00AA1712">
            <w:pPr>
              <w:tabs>
                <w:tab w:val="clear" w:pos="567"/>
              </w:tabs>
              <w:spacing w:after="0" w:line="240" w:lineRule="auto"/>
              <w:jc w:val="right"/>
              <w:rPr>
                <w:rFonts w:ascii="Calibri" w:eastAsia="Times New Roman" w:hAnsi="Calibri" w:cs="Times New Roman"/>
                <w:sz w:val="20"/>
                <w:szCs w:val="20"/>
                <w:lang w:eastAsia="en-AU"/>
              </w:rPr>
            </w:pPr>
          </w:p>
        </w:tc>
        <w:tc>
          <w:tcPr>
            <w:tcW w:w="920" w:type="dxa"/>
            <w:tcBorders>
              <w:top w:val="nil"/>
              <w:left w:val="nil"/>
              <w:bottom w:val="nil"/>
              <w:right w:val="nil"/>
            </w:tcBorders>
            <w:shd w:val="clear" w:color="auto" w:fill="auto"/>
            <w:noWrap/>
            <w:vAlign w:val="bottom"/>
            <w:hideMark/>
          </w:tcPr>
          <w:p w14:paraId="5E410AA6" w14:textId="77777777" w:rsidR="00AA1712" w:rsidRPr="00AA1712" w:rsidRDefault="00AA1712" w:rsidP="00AA1712">
            <w:pPr>
              <w:tabs>
                <w:tab w:val="clear" w:pos="567"/>
              </w:tabs>
              <w:spacing w:after="0" w:line="240" w:lineRule="auto"/>
              <w:jc w:val="right"/>
              <w:rPr>
                <w:rFonts w:ascii="Calibri" w:eastAsia="Times New Roman" w:hAnsi="Calibri" w:cs="Times New Roman"/>
                <w:color w:val="000000"/>
                <w:sz w:val="20"/>
                <w:szCs w:val="20"/>
                <w:lang w:eastAsia="en-AU"/>
              </w:rPr>
            </w:pPr>
            <w:r w:rsidRPr="00AA1712">
              <w:rPr>
                <w:rFonts w:ascii="Calibri" w:eastAsia="Times New Roman" w:hAnsi="Calibri" w:cs="Times New Roman"/>
                <w:color w:val="000000"/>
                <w:sz w:val="20"/>
                <w:szCs w:val="20"/>
                <w:lang w:eastAsia="en-AU"/>
              </w:rPr>
              <w:t>$m</w:t>
            </w:r>
          </w:p>
        </w:tc>
        <w:tc>
          <w:tcPr>
            <w:tcW w:w="780" w:type="dxa"/>
            <w:tcBorders>
              <w:top w:val="nil"/>
              <w:left w:val="nil"/>
              <w:bottom w:val="nil"/>
              <w:right w:val="nil"/>
            </w:tcBorders>
            <w:shd w:val="clear" w:color="auto" w:fill="auto"/>
            <w:noWrap/>
            <w:vAlign w:val="bottom"/>
            <w:hideMark/>
          </w:tcPr>
          <w:p w14:paraId="004267C3" w14:textId="77777777" w:rsidR="00AA1712" w:rsidRPr="00AA1712" w:rsidRDefault="00AA1712" w:rsidP="00AA1712">
            <w:pPr>
              <w:tabs>
                <w:tab w:val="clear" w:pos="567"/>
              </w:tabs>
              <w:spacing w:after="0" w:line="240" w:lineRule="auto"/>
              <w:jc w:val="right"/>
              <w:rPr>
                <w:rFonts w:ascii="Calibri" w:eastAsia="Times New Roman" w:hAnsi="Calibri" w:cs="Times New Roman"/>
                <w:color w:val="000000"/>
                <w:sz w:val="20"/>
                <w:szCs w:val="20"/>
                <w:lang w:eastAsia="en-AU"/>
              </w:rPr>
            </w:pPr>
            <w:r w:rsidRPr="00AA1712">
              <w:rPr>
                <w:rFonts w:ascii="Calibri" w:eastAsia="Times New Roman" w:hAnsi="Calibri" w:cs="Times New Roman"/>
                <w:color w:val="000000"/>
                <w:sz w:val="20"/>
                <w:szCs w:val="20"/>
                <w:lang w:eastAsia="en-AU"/>
              </w:rPr>
              <w:t>$m</w:t>
            </w:r>
          </w:p>
        </w:tc>
        <w:tc>
          <w:tcPr>
            <w:tcW w:w="820" w:type="dxa"/>
            <w:tcBorders>
              <w:top w:val="nil"/>
              <w:left w:val="nil"/>
              <w:bottom w:val="nil"/>
              <w:right w:val="nil"/>
            </w:tcBorders>
            <w:shd w:val="clear" w:color="auto" w:fill="auto"/>
            <w:noWrap/>
            <w:vAlign w:val="bottom"/>
            <w:hideMark/>
          </w:tcPr>
          <w:p w14:paraId="0E935512" w14:textId="77777777" w:rsidR="00AA1712" w:rsidRPr="00AA1712" w:rsidRDefault="00AA1712" w:rsidP="00AA1712">
            <w:pPr>
              <w:tabs>
                <w:tab w:val="clear" w:pos="567"/>
              </w:tabs>
              <w:spacing w:after="0" w:line="240" w:lineRule="auto"/>
              <w:jc w:val="right"/>
              <w:rPr>
                <w:rFonts w:ascii="Calibri" w:eastAsia="Times New Roman" w:hAnsi="Calibri" w:cs="Times New Roman"/>
                <w:color w:val="000000"/>
                <w:sz w:val="20"/>
                <w:szCs w:val="20"/>
                <w:lang w:eastAsia="en-AU"/>
              </w:rPr>
            </w:pPr>
            <w:r w:rsidRPr="00AA1712">
              <w:rPr>
                <w:rFonts w:ascii="Calibri" w:eastAsia="Times New Roman" w:hAnsi="Calibri" w:cs="Times New Roman"/>
                <w:color w:val="000000"/>
                <w:sz w:val="20"/>
                <w:szCs w:val="20"/>
                <w:lang w:eastAsia="en-AU"/>
              </w:rPr>
              <w:t>$m</w:t>
            </w:r>
          </w:p>
        </w:tc>
        <w:tc>
          <w:tcPr>
            <w:tcW w:w="820" w:type="dxa"/>
            <w:tcBorders>
              <w:top w:val="nil"/>
              <w:left w:val="nil"/>
              <w:bottom w:val="nil"/>
              <w:right w:val="nil"/>
            </w:tcBorders>
            <w:shd w:val="clear" w:color="auto" w:fill="auto"/>
            <w:noWrap/>
            <w:vAlign w:val="bottom"/>
            <w:hideMark/>
          </w:tcPr>
          <w:p w14:paraId="453353FB" w14:textId="77777777" w:rsidR="00AA1712" w:rsidRPr="00AA1712" w:rsidRDefault="00AA1712" w:rsidP="00AA1712">
            <w:pPr>
              <w:tabs>
                <w:tab w:val="clear" w:pos="567"/>
              </w:tabs>
              <w:spacing w:after="0" w:line="240" w:lineRule="auto"/>
              <w:jc w:val="right"/>
              <w:rPr>
                <w:rFonts w:ascii="Calibri" w:eastAsia="Times New Roman" w:hAnsi="Calibri" w:cs="Times New Roman"/>
                <w:color w:val="000000"/>
                <w:sz w:val="20"/>
                <w:szCs w:val="20"/>
                <w:lang w:eastAsia="en-AU"/>
              </w:rPr>
            </w:pPr>
            <w:r w:rsidRPr="00AA1712">
              <w:rPr>
                <w:rFonts w:ascii="Calibri" w:eastAsia="Times New Roman" w:hAnsi="Calibri" w:cs="Times New Roman"/>
                <w:color w:val="000000"/>
                <w:sz w:val="20"/>
                <w:szCs w:val="20"/>
                <w:lang w:eastAsia="en-AU"/>
              </w:rPr>
              <w:t>$m</w:t>
            </w:r>
          </w:p>
        </w:tc>
        <w:tc>
          <w:tcPr>
            <w:tcW w:w="780" w:type="dxa"/>
            <w:tcBorders>
              <w:top w:val="nil"/>
              <w:left w:val="nil"/>
              <w:bottom w:val="nil"/>
              <w:right w:val="nil"/>
            </w:tcBorders>
            <w:shd w:val="clear" w:color="auto" w:fill="auto"/>
            <w:noWrap/>
            <w:vAlign w:val="bottom"/>
            <w:hideMark/>
          </w:tcPr>
          <w:p w14:paraId="5D298E1E" w14:textId="77777777" w:rsidR="00AA1712" w:rsidRPr="00AA1712" w:rsidRDefault="00AA1712" w:rsidP="00AA1712">
            <w:pPr>
              <w:tabs>
                <w:tab w:val="clear" w:pos="567"/>
              </w:tabs>
              <w:spacing w:after="0" w:line="240" w:lineRule="auto"/>
              <w:jc w:val="right"/>
              <w:rPr>
                <w:rFonts w:ascii="Calibri" w:eastAsia="Times New Roman" w:hAnsi="Calibri" w:cs="Times New Roman"/>
                <w:color w:val="000000"/>
                <w:sz w:val="20"/>
                <w:szCs w:val="20"/>
                <w:lang w:eastAsia="en-AU"/>
              </w:rPr>
            </w:pPr>
            <w:r w:rsidRPr="00AA1712">
              <w:rPr>
                <w:rFonts w:ascii="Calibri" w:eastAsia="Times New Roman" w:hAnsi="Calibri" w:cs="Times New Roman"/>
                <w:color w:val="000000"/>
                <w:sz w:val="20"/>
                <w:szCs w:val="20"/>
                <w:lang w:eastAsia="en-AU"/>
              </w:rPr>
              <w:t>$m</w:t>
            </w:r>
          </w:p>
        </w:tc>
        <w:tc>
          <w:tcPr>
            <w:tcW w:w="820" w:type="dxa"/>
            <w:tcBorders>
              <w:top w:val="nil"/>
              <w:left w:val="nil"/>
              <w:bottom w:val="nil"/>
              <w:right w:val="nil"/>
            </w:tcBorders>
            <w:shd w:val="clear" w:color="auto" w:fill="auto"/>
            <w:noWrap/>
            <w:vAlign w:val="bottom"/>
            <w:hideMark/>
          </w:tcPr>
          <w:p w14:paraId="1E3E0152" w14:textId="77777777" w:rsidR="00AA1712" w:rsidRPr="00AA1712" w:rsidRDefault="00AA1712" w:rsidP="00AA1712">
            <w:pPr>
              <w:tabs>
                <w:tab w:val="clear" w:pos="567"/>
              </w:tabs>
              <w:spacing w:after="0" w:line="240" w:lineRule="auto"/>
              <w:jc w:val="right"/>
              <w:rPr>
                <w:rFonts w:ascii="Calibri" w:eastAsia="Times New Roman" w:hAnsi="Calibri" w:cs="Times New Roman"/>
                <w:color w:val="000000"/>
                <w:sz w:val="20"/>
                <w:szCs w:val="20"/>
                <w:lang w:eastAsia="en-AU"/>
              </w:rPr>
            </w:pPr>
            <w:r w:rsidRPr="00AA1712">
              <w:rPr>
                <w:rFonts w:ascii="Calibri" w:eastAsia="Times New Roman" w:hAnsi="Calibri" w:cs="Times New Roman"/>
                <w:color w:val="000000"/>
                <w:sz w:val="20"/>
                <w:szCs w:val="20"/>
                <w:lang w:eastAsia="en-AU"/>
              </w:rPr>
              <w:t>$m</w:t>
            </w:r>
          </w:p>
        </w:tc>
        <w:tc>
          <w:tcPr>
            <w:tcW w:w="820" w:type="dxa"/>
            <w:tcBorders>
              <w:top w:val="nil"/>
              <w:left w:val="nil"/>
              <w:bottom w:val="nil"/>
              <w:right w:val="nil"/>
            </w:tcBorders>
            <w:shd w:val="clear" w:color="auto" w:fill="auto"/>
            <w:noWrap/>
            <w:vAlign w:val="bottom"/>
            <w:hideMark/>
          </w:tcPr>
          <w:p w14:paraId="4BC57A42" w14:textId="77777777" w:rsidR="00AA1712" w:rsidRPr="00AA1712" w:rsidRDefault="00AA1712" w:rsidP="00AA1712">
            <w:pPr>
              <w:tabs>
                <w:tab w:val="clear" w:pos="567"/>
              </w:tabs>
              <w:spacing w:after="0" w:line="240" w:lineRule="auto"/>
              <w:jc w:val="right"/>
              <w:rPr>
                <w:rFonts w:ascii="Calibri" w:eastAsia="Times New Roman" w:hAnsi="Calibri" w:cs="Times New Roman"/>
                <w:color w:val="000000"/>
                <w:sz w:val="20"/>
                <w:szCs w:val="20"/>
                <w:lang w:eastAsia="en-AU"/>
              </w:rPr>
            </w:pPr>
            <w:r w:rsidRPr="00AA1712">
              <w:rPr>
                <w:rFonts w:ascii="Calibri" w:eastAsia="Times New Roman" w:hAnsi="Calibri" w:cs="Times New Roman"/>
                <w:color w:val="000000"/>
                <w:sz w:val="20"/>
                <w:szCs w:val="20"/>
                <w:lang w:eastAsia="en-AU"/>
              </w:rPr>
              <w:t>$m</w:t>
            </w:r>
          </w:p>
        </w:tc>
        <w:tc>
          <w:tcPr>
            <w:tcW w:w="820" w:type="dxa"/>
            <w:tcBorders>
              <w:top w:val="nil"/>
              <w:left w:val="nil"/>
              <w:bottom w:val="nil"/>
              <w:right w:val="nil"/>
            </w:tcBorders>
            <w:shd w:val="clear" w:color="auto" w:fill="auto"/>
            <w:noWrap/>
            <w:vAlign w:val="bottom"/>
            <w:hideMark/>
          </w:tcPr>
          <w:p w14:paraId="71F01D26" w14:textId="77777777" w:rsidR="00AA1712" w:rsidRPr="00AA1712" w:rsidRDefault="00AA1712" w:rsidP="00AA1712">
            <w:pPr>
              <w:tabs>
                <w:tab w:val="clear" w:pos="567"/>
              </w:tabs>
              <w:spacing w:after="0" w:line="240" w:lineRule="auto"/>
              <w:jc w:val="right"/>
              <w:rPr>
                <w:rFonts w:ascii="Calibri" w:eastAsia="Times New Roman" w:hAnsi="Calibri" w:cs="Times New Roman"/>
                <w:color w:val="000000"/>
                <w:sz w:val="20"/>
                <w:szCs w:val="20"/>
                <w:lang w:eastAsia="en-AU"/>
              </w:rPr>
            </w:pPr>
            <w:r w:rsidRPr="00AA1712">
              <w:rPr>
                <w:rFonts w:ascii="Calibri" w:eastAsia="Times New Roman" w:hAnsi="Calibri" w:cs="Times New Roman"/>
                <w:color w:val="000000"/>
                <w:sz w:val="20"/>
                <w:szCs w:val="20"/>
                <w:lang w:eastAsia="en-AU"/>
              </w:rPr>
              <w:t>$m</w:t>
            </w:r>
          </w:p>
        </w:tc>
        <w:tc>
          <w:tcPr>
            <w:tcW w:w="940" w:type="dxa"/>
            <w:tcBorders>
              <w:top w:val="nil"/>
              <w:left w:val="nil"/>
              <w:bottom w:val="nil"/>
              <w:right w:val="nil"/>
            </w:tcBorders>
            <w:shd w:val="clear" w:color="auto" w:fill="auto"/>
            <w:noWrap/>
            <w:vAlign w:val="bottom"/>
            <w:hideMark/>
          </w:tcPr>
          <w:p w14:paraId="239B3F94" w14:textId="77777777" w:rsidR="00AA1712" w:rsidRPr="00AA1712" w:rsidRDefault="00AA1712" w:rsidP="00AA1712">
            <w:pPr>
              <w:tabs>
                <w:tab w:val="clear" w:pos="567"/>
              </w:tabs>
              <w:spacing w:after="0" w:line="240" w:lineRule="auto"/>
              <w:jc w:val="right"/>
              <w:rPr>
                <w:rFonts w:ascii="Calibri" w:eastAsia="Times New Roman" w:hAnsi="Calibri" w:cs="Times New Roman"/>
                <w:color w:val="000000"/>
                <w:sz w:val="20"/>
                <w:szCs w:val="20"/>
                <w:lang w:eastAsia="en-AU"/>
              </w:rPr>
            </w:pPr>
            <w:r w:rsidRPr="00AA1712">
              <w:rPr>
                <w:rFonts w:ascii="Calibri" w:eastAsia="Times New Roman" w:hAnsi="Calibri" w:cs="Times New Roman"/>
                <w:color w:val="000000"/>
                <w:sz w:val="20"/>
                <w:szCs w:val="20"/>
                <w:lang w:eastAsia="en-AU"/>
              </w:rPr>
              <w:t>$m</w:t>
            </w:r>
          </w:p>
        </w:tc>
      </w:tr>
      <w:tr w:rsidR="00AA1712" w:rsidRPr="00AA1712" w14:paraId="08F1F32F" w14:textId="77777777" w:rsidTr="00AA1712">
        <w:trPr>
          <w:trHeight w:val="315"/>
        </w:trPr>
        <w:tc>
          <w:tcPr>
            <w:tcW w:w="1440" w:type="dxa"/>
            <w:tcBorders>
              <w:top w:val="nil"/>
              <w:left w:val="nil"/>
              <w:bottom w:val="nil"/>
              <w:right w:val="nil"/>
            </w:tcBorders>
            <w:shd w:val="clear" w:color="auto" w:fill="auto"/>
            <w:noWrap/>
            <w:vAlign w:val="bottom"/>
            <w:hideMark/>
          </w:tcPr>
          <w:p w14:paraId="3C8B96C6" w14:textId="77777777" w:rsidR="00AA1712" w:rsidRPr="00AA1712" w:rsidRDefault="00AA1712" w:rsidP="00AA1712">
            <w:pPr>
              <w:tabs>
                <w:tab w:val="clear" w:pos="567"/>
              </w:tabs>
              <w:spacing w:after="0" w:line="240" w:lineRule="auto"/>
              <w:rPr>
                <w:rFonts w:ascii="Calibri" w:eastAsia="Times New Roman" w:hAnsi="Calibri" w:cs="Times New Roman"/>
                <w:color w:val="000000"/>
                <w:sz w:val="20"/>
                <w:szCs w:val="20"/>
                <w:lang w:eastAsia="en-AU"/>
              </w:rPr>
            </w:pPr>
            <w:r w:rsidRPr="00AA1712">
              <w:rPr>
                <w:rFonts w:ascii="Calibri" w:eastAsia="Times New Roman" w:hAnsi="Calibri" w:cs="Times New Roman"/>
                <w:color w:val="000000"/>
                <w:sz w:val="20"/>
                <w:szCs w:val="20"/>
                <w:lang w:eastAsia="en-AU"/>
              </w:rPr>
              <w:t>Native title</w:t>
            </w:r>
          </w:p>
        </w:tc>
        <w:tc>
          <w:tcPr>
            <w:tcW w:w="920" w:type="dxa"/>
            <w:tcBorders>
              <w:top w:val="nil"/>
              <w:left w:val="nil"/>
              <w:bottom w:val="nil"/>
              <w:right w:val="nil"/>
            </w:tcBorders>
            <w:shd w:val="clear" w:color="auto" w:fill="auto"/>
            <w:noWrap/>
            <w:vAlign w:val="bottom"/>
            <w:hideMark/>
          </w:tcPr>
          <w:p w14:paraId="52240F02" w14:textId="77777777" w:rsidR="00AA1712" w:rsidRPr="00AA1712" w:rsidRDefault="00AA1712" w:rsidP="00AA1712">
            <w:pPr>
              <w:tabs>
                <w:tab w:val="clear" w:pos="567"/>
              </w:tabs>
              <w:spacing w:after="0" w:line="240" w:lineRule="auto"/>
              <w:jc w:val="right"/>
              <w:rPr>
                <w:rFonts w:ascii="Calibri" w:eastAsia="Times New Roman" w:hAnsi="Calibri" w:cs="Times New Roman"/>
                <w:color w:val="000000"/>
                <w:sz w:val="20"/>
                <w:szCs w:val="20"/>
                <w:lang w:eastAsia="en-AU"/>
              </w:rPr>
            </w:pPr>
            <w:r w:rsidRPr="00AA1712">
              <w:rPr>
                <w:rFonts w:ascii="Calibri" w:eastAsia="Times New Roman" w:hAnsi="Calibri" w:cs="Times New Roman"/>
                <w:color w:val="000000"/>
                <w:sz w:val="20"/>
                <w:szCs w:val="20"/>
                <w:lang w:eastAsia="en-AU"/>
              </w:rPr>
              <w:t>11</w:t>
            </w:r>
          </w:p>
        </w:tc>
        <w:tc>
          <w:tcPr>
            <w:tcW w:w="780" w:type="dxa"/>
            <w:tcBorders>
              <w:top w:val="nil"/>
              <w:left w:val="nil"/>
              <w:bottom w:val="nil"/>
              <w:right w:val="nil"/>
            </w:tcBorders>
            <w:shd w:val="clear" w:color="auto" w:fill="auto"/>
            <w:noWrap/>
            <w:vAlign w:val="bottom"/>
            <w:hideMark/>
          </w:tcPr>
          <w:p w14:paraId="4C609AD7" w14:textId="77777777" w:rsidR="00AA1712" w:rsidRPr="00AA1712" w:rsidRDefault="00AA1712" w:rsidP="00AA1712">
            <w:pPr>
              <w:tabs>
                <w:tab w:val="clear" w:pos="567"/>
              </w:tabs>
              <w:spacing w:after="0" w:line="240" w:lineRule="auto"/>
              <w:jc w:val="right"/>
              <w:rPr>
                <w:rFonts w:ascii="Calibri" w:eastAsia="Times New Roman" w:hAnsi="Calibri" w:cs="Times New Roman"/>
                <w:color w:val="000000"/>
                <w:sz w:val="20"/>
                <w:szCs w:val="20"/>
                <w:lang w:eastAsia="en-AU"/>
              </w:rPr>
            </w:pPr>
            <w:r w:rsidRPr="00AA1712">
              <w:rPr>
                <w:rFonts w:ascii="Calibri" w:eastAsia="Times New Roman" w:hAnsi="Calibri" w:cs="Times New Roman"/>
                <w:color w:val="000000"/>
                <w:sz w:val="20"/>
                <w:szCs w:val="20"/>
                <w:lang w:eastAsia="en-AU"/>
              </w:rPr>
              <w:t>9</w:t>
            </w:r>
          </w:p>
        </w:tc>
        <w:tc>
          <w:tcPr>
            <w:tcW w:w="820" w:type="dxa"/>
            <w:tcBorders>
              <w:top w:val="nil"/>
              <w:left w:val="nil"/>
              <w:bottom w:val="nil"/>
              <w:right w:val="nil"/>
            </w:tcBorders>
            <w:shd w:val="clear" w:color="auto" w:fill="auto"/>
            <w:noWrap/>
            <w:vAlign w:val="bottom"/>
            <w:hideMark/>
          </w:tcPr>
          <w:p w14:paraId="3120FF26" w14:textId="77777777" w:rsidR="00AA1712" w:rsidRPr="00AA1712" w:rsidRDefault="00AA1712" w:rsidP="00AA1712">
            <w:pPr>
              <w:tabs>
                <w:tab w:val="clear" w:pos="567"/>
              </w:tabs>
              <w:spacing w:after="0" w:line="240" w:lineRule="auto"/>
              <w:jc w:val="right"/>
              <w:rPr>
                <w:rFonts w:ascii="Calibri" w:eastAsia="Times New Roman" w:hAnsi="Calibri" w:cs="Times New Roman"/>
                <w:color w:val="000000"/>
                <w:sz w:val="20"/>
                <w:szCs w:val="20"/>
                <w:lang w:eastAsia="en-AU"/>
              </w:rPr>
            </w:pPr>
            <w:r w:rsidRPr="00AA1712">
              <w:rPr>
                <w:rFonts w:ascii="Calibri" w:eastAsia="Times New Roman" w:hAnsi="Calibri" w:cs="Times New Roman"/>
                <w:color w:val="000000"/>
                <w:sz w:val="20"/>
                <w:szCs w:val="20"/>
                <w:lang w:eastAsia="en-AU"/>
              </w:rPr>
              <w:t>49</w:t>
            </w:r>
          </w:p>
        </w:tc>
        <w:tc>
          <w:tcPr>
            <w:tcW w:w="820" w:type="dxa"/>
            <w:tcBorders>
              <w:top w:val="nil"/>
              <w:left w:val="nil"/>
              <w:bottom w:val="nil"/>
              <w:right w:val="nil"/>
            </w:tcBorders>
            <w:shd w:val="clear" w:color="auto" w:fill="auto"/>
            <w:noWrap/>
            <w:vAlign w:val="bottom"/>
            <w:hideMark/>
          </w:tcPr>
          <w:p w14:paraId="59E934DD" w14:textId="77777777" w:rsidR="00AA1712" w:rsidRPr="00AA1712" w:rsidRDefault="00AA1712" w:rsidP="00AA1712">
            <w:pPr>
              <w:tabs>
                <w:tab w:val="clear" w:pos="567"/>
              </w:tabs>
              <w:spacing w:after="0" w:line="240" w:lineRule="auto"/>
              <w:jc w:val="right"/>
              <w:rPr>
                <w:rFonts w:ascii="Calibri" w:eastAsia="Times New Roman" w:hAnsi="Calibri" w:cs="Times New Roman"/>
                <w:color w:val="000000"/>
                <w:sz w:val="20"/>
                <w:szCs w:val="20"/>
                <w:lang w:eastAsia="en-AU"/>
              </w:rPr>
            </w:pPr>
            <w:r w:rsidRPr="00AA1712">
              <w:rPr>
                <w:rFonts w:ascii="Calibri" w:eastAsia="Times New Roman" w:hAnsi="Calibri" w:cs="Times New Roman"/>
                <w:color w:val="000000"/>
                <w:sz w:val="20"/>
                <w:szCs w:val="20"/>
                <w:lang w:eastAsia="en-AU"/>
              </w:rPr>
              <w:t>69</w:t>
            </w:r>
          </w:p>
        </w:tc>
        <w:tc>
          <w:tcPr>
            <w:tcW w:w="780" w:type="dxa"/>
            <w:tcBorders>
              <w:top w:val="nil"/>
              <w:left w:val="nil"/>
              <w:bottom w:val="nil"/>
              <w:right w:val="nil"/>
            </w:tcBorders>
            <w:shd w:val="clear" w:color="auto" w:fill="auto"/>
            <w:noWrap/>
            <w:vAlign w:val="bottom"/>
            <w:hideMark/>
          </w:tcPr>
          <w:p w14:paraId="629DD6E1" w14:textId="77777777" w:rsidR="00AA1712" w:rsidRPr="00AA1712" w:rsidRDefault="00AA1712" w:rsidP="00AA1712">
            <w:pPr>
              <w:tabs>
                <w:tab w:val="clear" w:pos="567"/>
              </w:tabs>
              <w:spacing w:after="0" w:line="240" w:lineRule="auto"/>
              <w:jc w:val="right"/>
              <w:rPr>
                <w:rFonts w:ascii="Calibri" w:eastAsia="Times New Roman" w:hAnsi="Calibri" w:cs="Times New Roman"/>
                <w:color w:val="000000"/>
                <w:sz w:val="20"/>
                <w:szCs w:val="20"/>
                <w:lang w:eastAsia="en-AU"/>
              </w:rPr>
            </w:pPr>
            <w:r w:rsidRPr="00AA1712">
              <w:rPr>
                <w:rFonts w:ascii="Calibri" w:eastAsia="Times New Roman" w:hAnsi="Calibri" w:cs="Times New Roman"/>
                <w:color w:val="000000"/>
                <w:sz w:val="20"/>
                <w:szCs w:val="20"/>
                <w:lang w:eastAsia="en-AU"/>
              </w:rPr>
              <w:t>8</w:t>
            </w:r>
          </w:p>
        </w:tc>
        <w:tc>
          <w:tcPr>
            <w:tcW w:w="820" w:type="dxa"/>
            <w:tcBorders>
              <w:top w:val="nil"/>
              <w:left w:val="nil"/>
              <w:bottom w:val="nil"/>
              <w:right w:val="nil"/>
            </w:tcBorders>
            <w:shd w:val="clear" w:color="auto" w:fill="auto"/>
            <w:noWrap/>
            <w:vAlign w:val="bottom"/>
            <w:hideMark/>
          </w:tcPr>
          <w:p w14:paraId="5C495259" w14:textId="77777777" w:rsidR="00AA1712" w:rsidRPr="00AA1712" w:rsidRDefault="00AA1712" w:rsidP="00AA1712">
            <w:pPr>
              <w:tabs>
                <w:tab w:val="clear" w:pos="567"/>
              </w:tabs>
              <w:spacing w:after="0" w:line="240" w:lineRule="auto"/>
              <w:jc w:val="right"/>
              <w:rPr>
                <w:rFonts w:ascii="Calibri" w:eastAsia="Times New Roman" w:hAnsi="Calibri" w:cs="Times New Roman"/>
                <w:color w:val="000000"/>
                <w:sz w:val="20"/>
                <w:szCs w:val="20"/>
                <w:lang w:eastAsia="en-AU"/>
              </w:rPr>
            </w:pPr>
            <w:r w:rsidRPr="00AA1712">
              <w:rPr>
                <w:rFonts w:ascii="Calibri" w:eastAsia="Times New Roman" w:hAnsi="Calibri" w:cs="Times New Roman"/>
                <w:color w:val="000000"/>
                <w:sz w:val="20"/>
                <w:szCs w:val="20"/>
                <w:lang w:eastAsia="en-AU"/>
              </w:rPr>
              <w:t>0</w:t>
            </w:r>
          </w:p>
        </w:tc>
        <w:tc>
          <w:tcPr>
            <w:tcW w:w="820" w:type="dxa"/>
            <w:tcBorders>
              <w:top w:val="nil"/>
              <w:left w:val="nil"/>
              <w:bottom w:val="nil"/>
              <w:right w:val="nil"/>
            </w:tcBorders>
            <w:shd w:val="clear" w:color="auto" w:fill="auto"/>
            <w:noWrap/>
            <w:vAlign w:val="bottom"/>
            <w:hideMark/>
          </w:tcPr>
          <w:p w14:paraId="03E90DA8" w14:textId="77777777" w:rsidR="00AA1712" w:rsidRPr="00AA1712" w:rsidRDefault="00AA1712" w:rsidP="00AA1712">
            <w:pPr>
              <w:tabs>
                <w:tab w:val="clear" w:pos="567"/>
              </w:tabs>
              <w:spacing w:after="0" w:line="240" w:lineRule="auto"/>
              <w:jc w:val="right"/>
              <w:rPr>
                <w:rFonts w:ascii="Calibri" w:eastAsia="Times New Roman" w:hAnsi="Calibri" w:cs="Times New Roman"/>
                <w:color w:val="000000"/>
                <w:sz w:val="20"/>
                <w:szCs w:val="20"/>
                <w:lang w:eastAsia="en-AU"/>
              </w:rPr>
            </w:pPr>
            <w:r w:rsidRPr="00AA1712">
              <w:rPr>
                <w:rFonts w:ascii="Calibri" w:eastAsia="Times New Roman" w:hAnsi="Calibri" w:cs="Times New Roman"/>
                <w:color w:val="000000"/>
                <w:sz w:val="20"/>
                <w:szCs w:val="20"/>
                <w:lang w:eastAsia="en-AU"/>
              </w:rPr>
              <w:t>0</w:t>
            </w:r>
          </w:p>
        </w:tc>
        <w:tc>
          <w:tcPr>
            <w:tcW w:w="820" w:type="dxa"/>
            <w:tcBorders>
              <w:top w:val="nil"/>
              <w:left w:val="nil"/>
              <w:bottom w:val="nil"/>
              <w:right w:val="nil"/>
            </w:tcBorders>
            <w:shd w:val="clear" w:color="auto" w:fill="auto"/>
            <w:noWrap/>
            <w:vAlign w:val="bottom"/>
            <w:hideMark/>
          </w:tcPr>
          <w:p w14:paraId="1EBD9A09" w14:textId="77777777" w:rsidR="00AA1712" w:rsidRPr="00AA1712" w:rsidRDefault="00AA1712" w:rsidP="00AA1712">
            <w:pPr>
              <w:tabs>
                <w:tab w:val="clear" w:pos="567"/>
              </w:tabs>
              <w:spacing w:after="0" w:line="240" w:lineRule="auto"/>
              <w:jc w:val="right"/>
              <w:rPr>
                <w:rFonts w:ascii="Calibri" w:eastAsia="Times New Roman" w:hAnsi="Calibri" w:cs="Times New Roman"/>
                <w:color w:val="000000"/>
                <w:sz w:val="20"/>
                <w:szCs w:val="20"/>
                <w:lang w:eastAsia="en-AU"/>
              </w:rPr>
            </w:pPr>
            <w:r w:rsidRPr="00AA1712">
              <w:rPr>
                <w:rFonts w:ascii="Calibri" w:eastAsia="Times New Roman" w:hAnsi="Calibri" w:cs="Times New Roman"/>
                <w:color w:val="000000"/>
                <w:sz w:val="20"/>
                <w:szCs w:val="20"/>
                <w:lang w:eastAsia="en-AU"/>
              </w:rPr>
              <w:t>4</w:t>
            </w:r>
          </w:p>
        </w:tc>
        <w:tc>
          <w:tcPr>
            <w:tcW w:w="940" w:type="dxa"/>
            <w:tcBorders>
              <w:top w:val="nil"/>
              <w:left w:val="nil"/>
              <w:bottom w:val="nil"/>
              <w:right w:val="nil"/>
            </w:tcBorders>
            <w:shd w:val="clear" w:color="auto" w:fill="auto"/>
            <w:noWrap/>
            <w:vAlign w:val="bottom"/>
            <w:hideMark/>
          </w:tcPr>
          <w:p w14:paraId="6ACB00FE" w14:textId="77777777" w:rsidR="00AA1712" w:rsidRPr="00AA1712" w:rsidRDefault="00AA1712" w:rsidP="00AA1712">
            <w:pPr>
              <w:tabs>
                <w:tab w:val="clear" w:pos="567"/>
              </w:tabs>
              <w:spacing w:after="0" w:line="240" w:lineRule="auto"/>
              <w:jc w:val="right"/>
              <w:rPr>
                <w:rFonts w:ascii="Calibri" w:eastAsia="Times New Roman" w:hAnsi="Calibri" w:cs="Times New Roman"/>
                <w:color w:val="000000"/>
                <w:sz w:val="20"/>
                <w:szCs w:val="20"/>
                <w:lang w:eastAsia="en-AU"/>
              </w:rPr>
            </w:pPr>
            <w:r w:rsidRPr="00AA1712">
              <w:rPr>
                <w:rFonts w:ascii="Calibri" w:eastAsia="Times New Roman" w:hAnsi="Calibri" w:cs="Times New Roman"/>
                <w:color w:val="000000"/>
                <w:sz w:val="20"/>
                <w:szCs w:val="20"/>
                <w:lang w:eastAsia="en-AU"/>
              </w:rPr>
              <w:t>149</w:t>
            </w:r>
          </w:p>
        </w:tc>
      </w:tr>
      <w:tr w:rsidR="00AA1712" w:rsidRPr="00AA1712" w14:paraId="7AC70322" w14:textId="77777777" w:rsidTr="00AA1712">
        <w:trPr>
          <w:trHeight w:val="315"/>
        </w:trPr>
        <w:tc>
          <w:tcPr>
            <w:tcW w:w="1440" w:type="dxa"/>
            <w:tcBorders>
              <w:top w:val="nil"/>
              <w:left w:val="nil"/>
              <w:bottom w:val="nil"/>
              <w:right w:val="nil"/>
            </w:tcBorders>
            <w:shd w:val="clear" w:color="auto" w:fill="auto"/>
            <w:noWrap/>
            <w:vAlign w:val="bottom"/>
            <w:hideMark/>
          </w:tcPr>
          <w:p w14:paraId="450AFC8F" w14:textId="77777777" w:rsidR="00AA1712" w:rsidRPr="00AA1712" w:rsidRDefault="00AA1712" w:rsidP="00AA1712">
            <w:pPr>
              <w:tabs>
                <w:tab w:val="clear" w:pos="567"/>
              </w:tabs>
              <w:spacing w:after="0" w:line="240" w:lineRule="auto"/>
              <w:rPr>
                <w:rFonts w:ascii="Calibri" w:eastAsia="Times New Roman" w:hAnsi="Calibri" w:cs="Times New Roman"/>
                <w:color w:val="000000"/>
                <w:sz w:val="20"/>
                <w:szCs w:val="20"/>
                <w:lang w:eastAsia="en-AU"/>
              </w:rPr>
            </w:pPr>
            <w:r w:rsidRPr="00AA1712">
              <w:rPr>
                <w:rFonts w:ascii="Calibri" w:eastAsia="Times New Roman" w:hAnsi="Calibri" w:cs="Times New Roman"/>
                <w:color w:val="000000"/>
                <w:sz w:val="20"/>
                <w:szCs w:val="20"/>
                <w:lang w:eastAsia="en-AU"/>
              </w:rPr>
              <w:t>Land rights</w:t>
            </w:r>
          </w:p>
        </w:tc>
        <w:tc>
          <w:tcPr>
            <w:tcW w:w="920" w:type="dxa"/>
            <w:tcBorders>
              <w:top w:val="nil"/>
              <w:left w:val="nil"/>
              <w:bottom w:val="nil"/>
              <w:right w:val="nil"/>
            </w:tcBorders>
            <w:shd w:val="clear" w:color="auto" w:fill="auto"/>
            <w:noWrap/>
            <w:vAlign w:val="bottom"/>
            <w:hideMark/>
          </w:tcPr>
          <w:p w14:paraId="5187D36A" w14:textId="77777777" w:rsidR="00AA1712" w:rsidRPr="00AA1712" w:rsidRDefault="00AA1712" w:rsidP="00AA1712">
            <w:pPr>
              <w:tabs>
                <w:tab w:val="clear" w:pos="567"/>
              </w:tabs>
              <w:spacing w:after="0" w:line="240" w:lineRule="auto"/>
              <w:jc w:val="right"/>
              <w:rPr>
                <w:rFonts w:ascii="Calibri" w:eastAsia="Times New Roman" w:hAnsi="Calibri" w:cs="Times New Roman"/>
                <w:color w:val="000000"/>
                <w:sz w:val="20"/>
                <w:szCs w:val="20"/>
                <w:lang w:eastAsia="en-AU"/>
              </w:rPr>
            </w:pPr>
            <w:r w:rsidRPr="00AA1712">
              <w:rPr>
                <w:rFonts w:ascii="Calibri" w:eastAsia="Times New Roman" w:hAnsi="Calibri" w:cs="Times New Roman"/>
                <w:color w:val="000000"/>
                <w:sz w:val="20"/>
                <w:szCs w:val="20"/>
                <w:lang w:eastAsia="en-AU"/>
              </w:rPr>
              <w:t>0</w:t>
            </w:r>
          </w:p>
        </w:tc>
        <w:tc>
          <w:tcPr>
            <w:tcW w:w="780" w:type="dxa"/>
            <w:tcBorders>
              <w:top w:val="nil"/>
              <w:left w:val="nil"/>
              <w:bottom w:val="nil"/>
              <w:right w:val="nil"/>
            </w:tcBorders>
            <w:shd w:val="clear" w:color="auto" w:fill="auto"/>
            <w:noWrap/>
            <w:vAlign w:val="bottom"/>
            <w:hideMark/>
          </w:tcPr>
          <w:p w14:paraId="62C65EB3" w14:textId="77777777" w:rsidR="00AA1712" w:rsidRPr="00AA1712" w:rsidRDefault="00AA1712" w:rsidP="00AA1712">
            <w:pPr>
              <w:tabs>
                <w:tab w:val="clear" w:pos="567"/>
              </w:tabs>
              <w:spacing w:after="0" w:line="240" w:lineRule="auto"/>
              <w:jc w:val="right"/>
              <w:rPr>
                <w:rFonts w:ascii="Calibri" w:eastAsia="Times New Roman" w:hAnsi="Calibri" w:cs="Times New Roman"/>
                <w:color w:val="000000"/>
                <w:sz w:val="20"/>
                <w:szCs w:val="20"/>
                <w:lang w:eastAsia="en-AU"/>
              </w:rPr>
            </w:pPr>
            <w:r w:rsidRPr="00AA1712">
              <w:rPr>
                <w:rFonts w:ascii="Calibri" w:eastAsia="Times New Roman" w:hAnsi="Calibri" w:cs="Times New Roman"/>
                <w:color w:val="000000"/>
                <w:sz w:val="20"/>
                <w:szCs w:val="20"/>
                <w:lang w:eastAsia="en-AU"/>
              </w:rPr>
              <w:t>0</w:t>
            </w:r>
          </w:p>
        </w:tc>
        <w:tc>
          <w:tcPr>
            <w:tcW w:w="820" w:type="dxa"/>
            <w:tcBorders>
              <w:top w:val="nil"/>
              <w:left w:val="nil"/>
              <w:bottom w:val="nil"/>
              <w:right w:val="nil"/>
            </w:tcBorders>
            <w:shd w:val="clear" w:color="auto" w:fill="auto"/>
            <w:noWrap/>
            <w:vAlign w:val="bottom"/>
            <w:hideMark/>
          </w:tcPr>
          <w:p w14:paraId="6F2BE705" w14:textId="77777777" w:rsidR="00AA1712" w:rsidRPr="00AA1712" w:rsidRDefault="00AA1712" w:rsidP="00AA1712">
            <w:pPr>
              <w:tabs>
                <w:tab w:val="clear" w:pos="567"/>
              </w:tabs>
              <w:spacing w:after="0" w:line="240" w:lineRule="auto"/>
              <w:jc w:val="right"/>
              <w:rPr>
                <w:rFonts w:ascii="Calibri" w:eastAsia="Times New Roman" w:hAnsi="Calibri" w:cs="Times New Roman"/>
                <w:color w:val="000000"/>
                <w:sz w:val="20"/>
                <w:szCs w:val="20"/>
                <w:lang w:eastAsia="en-AU"/>
              </w:rPr>
            </w:pPr>
            <w:r w:rsidRPr="00AA1712">
              <w:rPr>
                <w:rFonts w:ascii="Calibri" w:eastAsia="Times New Roman" w:hAnsi="Calibri" w:cs="Times New Roman"/>
                <w:color w:val="000000"/>
                <w:sz w:val="20"/>
                <w:szCs w:val="20"/>
                <w:lang w:eastAsia="en-AU"/>
              </w:rPr>
              <w:t>0</w:t>
            </w:r>
          </w:p>
        </w:tc>
        <w:tc>
          <w:tcPr>
            <w:tcW w:w="820" w:type="dxa"/>
            <w:tcBorders>
              <w:top w:val="nil"/>
              <w:left w:val="nil"/>
              <w:bottom w:val="nil"/>
              <w:right w:val="nil"/>
            </w:tcBorders>
            <w:shd w:val="clear" w:color="auto" w:fill="auto"/>
            <w:noWrap/>
            <w:vAlign w:val="bottom"/>
            <w:hideMark/>
          </w:tcPr>
          <w:p w14:paraId="024A9D89" w14:textId="77777777" w:rsidR="00AA1712" w:rsidRPr="00AA1712" w:rsidRDefault="00AA1712" w:rsidP="00AA1712">
            <w:pPr>
              <w:tabs>
                <w:tab w:val="clear" w:pos="567"/>
              </w:tabs>
              <w:spacing w:after="0" w:line="240" w:lineRule="auto"/>
              <w:jc w:val="right"/>
              <w:rPr>
                <w:rFonts w:ascii="Calibri" w:eastAsia="Times New Roman" w:hAnsi="Calibri" w:cs="Times New Roman"/>
                <w:color w:val="000000"/>
                <w:sz w:val="20"/>
                <w:szCs w:val="20"/>
                <w:lang w:eastAsia="en-AU"/>
              </w:rPr>
            </w:pPr>
            <w:r w:rsidRPr="00AA1712">
              <w:rPr>
                <w:rFonts w:ascii="Calibri" w:eastAsia="Times New Roman" w:hAnsi="Calibri" w:cs="Times New Roman"/>
                <w:color w:val="000000"/>
                <w:sz w:val="20"/>
                <w:szCs w:val="20"/>
                <w:lang w:eastAsia="en-AU"/>
              </w:rPr>
              <w:t>0</w:t>
            </w:r>
          </w:p>
        </w:tc>
        <w:tc>
          <w:tcPr>
            <w:tcW w:w="780" w:type="dxa"/>
            <w:tcBorders>
              <w:top w:val="nil"/>
              <w:left w:val="nil"/>
              <w:bottom w:val="nil"/>
              <w:right w:val="nil"/>
            </w:tcBorders>
            <w:shd w:val="clear" w:color="auto" w:fill="auto"/>
            <w:noWrap/>
            <w:vAlign w:val="bottom"/>
            <w:hideMark/>
          </w:tcPr>
          <w:p w14:paraId="038A47D9" w14:textId="77777777" w:rsidR="00AA1712" w:rsidRPr="00AA1712" w:rsidRDefault="00AA1712" w:rsidP="00AA1712">
            <w:pPr>
              <w:tabs>
                <w:tab w:val="clear" w:pos="567"/>
              </w:tabs>
              <w:spacing w:after="0" w:line="240" w:lineRule="auto"/>
              <w:jc w:val="right"/>
              <w:rPr>
                <w:rFonts w:ascii="Calibri" w:eastAsia="Times New Roman" w:hAnsi="Calibri" w:cs="Times New Roman"/>
                <w:color w:val="000000"/>
                <w:sz w:val="20"/>
                <w:szCs w:val="20"/>
                <w:lang w:eastAsia="en-AU"/>
              </w:rPr>
            </w:pPr>
            <w:r w:rsidRPr="00AA1712">
              <w:rPr>
                <w:rFonts w:ascii="Calibri" w:eastAsia="Times New Roman" w:hAnsi="Calibri" w:cs="Times New Roman"/>
                <w:color w:val="000000"/>
                <w:sz w:val="20"/>
                <w:szCs w:val="20"/>
                <w:lang w:eastAsia="en-AU"/>
              </w:rPr>
              <w:t>0</w:t>
            </w:r>
          </w:p>
        </w:tc>
        <w:tc>
          <w:tcPr>
            <w:tcW w:w="820" w:type="dxa"/>
            <w:tcBorders>
              <w:top w:val="nil"/>
              <w:left w:val="nil"/>
              <w:bottom w:val="nil"/>
              <w:right w:val="nil"/>
            </w:tcBorders>
            <w:shd w:val="clear" w:color="auto" w:fill="auto"/>
            <w:noWrap/>
            <w:vAlign w:val="bottom"/>
            <w:hideMark/>
          </w:tcPr>
          <w:p w14:paraId="6AF2F05A" w14:textId="77777777" w:rsidR="00AA1712" w:rsidRPr="00AA1712" w:rsidRDefault="00AA1712" w:rsidP="00AA1712">
            <w:pPr>
              <w:tabs>
                <w:tab w:val="clear" w:pos="567"/>
              </w:tabs>
              <w:spacing w:after="0" w:line="240" w:lineRule="auto"/>
              <w:jc w:val="right"/>
              <w:rPr>
                <w:rFonts w:ascii="Calibri" w:eastAsia="Times New Roman" w:hAnsi="Calibri" w:cs="Times New Roman"/>
                <w:color w:val="000000"/>
                <w:sz w:val="20"/>
                <w:szCs w:val="20"/>
                <w:lang w:eastAsia="en-AU"/>
              </w:rPr>
            </w:pPr>
            <w:r w:rsidRPr="00AA1712">
              <w:rPr>
                <w:rFonts w:ascii="Calibri" w:eastAsia="Times New Roman" w:hAnsi="Calibri" w:cs="Times New Roman"/>
                <w:color w:val="000000"/>
                <w:sz w:val="20"/>
                <w:szCs w:val="20"/>
                <w:lang w:eastAsia="en-AU"/>
              </w:rPr>
              <w:t>0</w:t>
            </w:r>
          </w:p>
        </w:tc>
        <w:tc>
          <w:tcPr>
            <w:tcW w:w="820" w:type="dxa"/>
            <w:tcBorders>
              <w:top w:val="nil"/>
              <w:left w:val="nil"/>
              <w:bottom w:val="nil"/>
              <w:right w:val="nil"/>
            </w:tcBorders>
            <w:shd w:val="clear" w:color="auto" w:fill="auto"/>
            <w:noWrap/>
            <w:vAlign w:val="bottom"/>
            <w:hideMark/>
          </w:tcPr>
          <w:p w14:paraId="04FB9717" w14:textId="77777777" w:rsidR="00AA1712" w:rsidRPr="00AA1712" w:rsidRDefault="00AA1712" w:rsidP="00AA1712">
            <w:pPr>
              <w:tabs>
                <w:tab w:val="clear" w:pos="567"/>
              </w:tabs>
              <w:spacing w:after="0" w:line="240" w:lineRule="auto"/>
              <w:jc w:val="right"/>
              <w:rPr>
                <w:rFonts w:ascii="Calibri" w:eastAsia="Times New Roman" w:hAnsi="Calibri" w:cs="Times New Roman"/>
                <w:color w:val="000000"/>
                <w:sz w:val="20"/>
                <w:szCs w:val="20"/>
                <w:lang w:eastAsia="en-AU"/>
              </w:rPr>
            </w:pPr>
            <w:r w:rsidRPr="00AA1712">
              <w:rPr>
                <w:rFonts w:ascii="Calibri" w:eastAsia="Times New Roman" w:hAnsi="Calibri" w:cs="Times New Roman"/>
                <w:color w:val="000000"/>
                <w:sz w:val="20"/>
                <w:szCs w:val="20"/>
                <w:lang w:eastAsia="en-AU"/>
              </w:rPr>
              <w:t>0</w:t>
            </w:r>
          </w:p>
        </w:tc>
        <w:tc>
          <w:tcPr>
            <w:tcW w:w="820" w:type="dxa"/>
            <w:tcBorders>
              <w:top w:val="nil"/>
              <w:left w:val="nil"/>
              <w:bottom w:val="nil"/>
              <w:right w:val="nil"/>
            </w:tcBorders>
            <w:shd w:val="clear" w:color="auto" w:fill="auto"/>
            <w:noWrap/>
            <w:vAlign w:val="bottom"/>
            <w:hideMark/>
          </w:tcPr>
          <w:p w14:paraId="42DFEF00" w14:textId="77777777" w:rsidR="00AA1712" w:rsidRPr="00AA1712" w:rsidRDefault="00AA1712" w:rsidP="00AA1712">
            <w:pPr>
              <w:tabs>
                <w:tab w:val="clear" w:pos="567"/>
              </w:tabs>
              <w:spacing w:after="0" w:line="240" w:lineRule="auto"/>
              <w:jc w:val="right"/>
              <w:rPr>
                <w:rFonts w:ascii="Calibri" w:eastAsia="Times New Roman" w:hAnsi="Calibri" w:cs="Times New Roman"/>
                <w:color w:val="000000"/>
                <w:sz w:val="20"/>
                <w:szCs w:val="20"/>
                <w:lang w:eastAsia="en-AU"/>
              </w:rPr>
            </w:pPr>
            <w:r w:rsidRPr="00AA1712">
              <w:rPr>
                <w:rFonts w:ascii="Calibri" w:eastAsia="Times New Roman" w:hAnsi="Calibri" w:cs="Times New Roman"/>
                <w:color w:val="000000"/>
                <w:sz w:val="20"/>
                <w:szCs w:val="20"/>
                <w:lang w:eastAsia="en-AU"/>
              </w:rPr>
              <w:t>28</w:t>
            </w:r>
          </w:p>
        </w:tc>
        <w:tc>
          <w:tcPr>
            <w:tcW w:w="940" w:type="dxa"/>
            <w:tcBorders>
              <w:top w:val="nil"/>
              <w:left w:val="nil"/>
              <w:bottom w:val="nil"/>
              <w:right w:val="nil"/>
            </w:tcBorders>
            <w:shd w:val="clear" w:color="auto" w:fill="auto"/>
            <w:noWrap/>
            <w:vAlign w:val="bottom"/>
            <w:hideMark/>
          </w:tcPr>
          <w:p w14:paraId="23E09BD5" w14:textId="77777777" w:rsidR="00AA1712" w:rsidRPr="00AA1712" w:rsidRDefault="00AA1712" w:rsidP="00AA1712">
            <w:pPr>
              <w:tabs>
                <w:tab w:val="clear" w:pos="567"/>
              </w:tabs>
              <w:spacing w:after="0" w:line="240" w:lineRule="auto"/>
              <w:jc w:val="right"/>
              <w:rPr>
                <w:rFonts w:ascii="Calibri" w:eastAsia="Times New Roman" w:hAnsi="Calibri" w:cs="Times New Roman"/>
                <w:color w:val="000000"/>
                <w:sz w:val="20"/>
                <w:szCs w:val="20"/>
                <w:lang w:eastAsia="en-AU"/>
              </w:rPr>
            </w:pPr>
            <w:r w:rsidRPr="00AA1712">
              <w:rPr>
                <w:rFonts w:ascii="Calibri" w:eastAsia="Times New Roman" w:hAnsi="Calibri" w:cs="Times New Roman"/>
                <w:color w:val="000000"/>
                <w:sz w:val="20"/>
                <w:szCs w:val="20"/>
                <w:lang w:eastAsia="en-AU"/>
              </w:rPr>
              <w:t>28</w:t>
            </w:r>
          </w:p>
        </w:tc>
      </w:tr>
      <w:tr w:rsidR="00AA1712" w:rsidRPr="00AA1712" w14:paraId="0B68348B" w14:textId="77777777" w:rsidTr="00AA1712">
        <w:trPr>
          <w:trHeight w:val="315"/>
        </w:trPr>
        <w:tc>
          <w:tcPr>
            <w:tcW w:w="1440" w:type="dxa"/>
            <w:tcBorders>
              <w:top w:val="nil"/>
              <w:left w:val="nil"/>
              <w:bottom w:val="single" w:sz="4" w:space="0" w:color="auto"/>
              <w:right w:val="nil"/>
            </w:tcBorders>
            <w:shd w:val="clear" w:color="auto" w:fill="auto"/>
            <w:noWrap/>
            <w:vAlign w:val="bottom"/>
            <w:hideMark/>
          </w:tcPr>
          <w:p w14:paraId="3FD01781" w14:textId="77777777" w:rsidR="00AA1712" w:rsidRPr="00AA1712" w:rsidRDefault="00AA1712" w:rsidP="00AA1712">
            <w:pPr>
              <w:tabs>
                <w:tab w:val="clear" w:pos="567"/>
              </w:tabs>
              <w:spacing w:after="0" w:line="240" w:lineRule="auto"/>
              <w:rPr>
                <w:rFonts w:ascii="Calibri" w:eastAsia="Times New Roman" w:hAnsi="Calibri" w:cs="Times New Roman"/>
                <w:color w:val="000000"/>
                <w:sz w:val="20"/>
                <w:szCs w:val="20"/>
                <w:lang w:eastAsia="en-AU"/>
              </w:rPr>
            </w:pPr>
            <w:r w:rsidRPr="00AA1712">
              <w:rPr>
                <w:rFonts w:ascii="Calibri" w:eastAsia="Times New Roman" w:hAnsi="Calibri" w:cs="Times New Roman"/>
                <w:color w:val="000000"/>
                <w:sz w:val="20"/>
                <w:szCs w:val="20"/>
                <w:lang w:eastAsia="en-AU"/>
              </w:rPr>
              <w:t>Total</w:t>
            </w:r>
          </w:p>
        </w:tc>
        <w:tc>
          <w:tcPr>
            <w:tcW w:w="920" w:type="dxa"/>
            <w:tcBorders>
              <w:top w:val="single" w:sz="4" w:space="0" w:color="auto"/>
              <w:left w:val="nil"/>
              <w:bottom w:val="single" w:sz="4" w:space="0" w:color="auto"/>
              <w:right w:val="nil"/>
            </w:tcBorders>
            <w:shd w:val="clear" w:color="auto" w:fill="auto"/>
            <w:noWrap/>
            <w:vAlign w:val="bottom"/>
            <w:hideMark/>
          </w:tcPr>
          <w:p w14:paraId="2D2275EC" w14:textId="77777777" w:rsidR="00AA1712" w:rsidRPr="00AA1712" w:rsidRDefault="00AA1712" w:rsidP="00AA1712">
            <w:pPr>
              <w:tabs>
                <w:tab w:val="clear" w:pos="567"/>
              </w:tabs>
              <w:spacing w:after="0" w:line="240" w:lineRule="auto"/>
              <w:jc w:val="right"/>
              <w:rPr>
                <w:rFonts w:ascii="Calibri" w:eastAsia="Times New Roman" w:hAnsi="Calibri" w:cs="Times New Roman"/>
                <w:color w:val="000000"/>
                <w:sz w:val="20"/>
                <w:szCs w:val="20"/>
                <w:lang w:eastAsia="en-AU"/>
              </w:rPr>
            </w:pPr>
            <w:r w:rsidRPr="00AA1712">
              <w:rPr>
                <w:rFonts w:ascii="Calibri" w:eastAsia="Times New Roman" w:hAnsi="Calibri" w:cs="Times New Roman"/>
                <w:color w:val="000000"/>
                <w:sz w:val="20"/>
                <w:szCs w:val="20"/>
                <w:lang w:eastAsia="en-AU"/>
              </w:rPr>
              <w:t>11</w:t>
            </w:r>
          </w:p>
        </w:tc>
        <w:tc>
          <w:tcPr>
            <w:tcW w:w="780" w:type="dxa"/>
            <w:tcBorders>
              <w:top w:val="single" w:sz="4" w:space="0" w:color="auto"/>
              <w:left w:val="nil"/>
              <w:bottom w:val="single" w:sz="4" w:space="0" w:color="auto"/>
              <w:right w:val="nil"/>
            </w:tcBorders>
            <w:shd w:val="clear" w:color="auto" w:fill="auto"/>
            <w:noWrap/>
            <w:vAlign w:val="bottom"/>
            <w:hideMark/>
          </w:tcPr>
          <w:p w14:paraId="1E12B235" w14:textId="77777777" w:rsidR="00AA1712" w:rsidRPr="00AA1712" w:rsidRDefault="00AA1712" w:rsidP="00AA1712">
            <w:pPr>
              <w:tabs>
                <w:tab w:val="clear" w:pos="567"/>
              </w:tabs>
              <w:spacing w:after="0" w:line="240" w:lineRule="auto"/>
              <w:jc w:val="right"/>
              <w:rPr>
                <w:rFonts w:ascii="Calibri" w:eastAsia="Times New Roman" w:hAnsi="Calibri" w:cs="Times New Roman"/>
                <w:color w:val="000000"/>
                <w:sz w:val="20"/>
                <w:szCs w:val="20"/>
                <w:lang w:eastAsia="en-AU"/>
              </w:rPr>
            </w:pPr>
            <w:r w:rsidRPr="00AA1712">
              <w:rPr>
                <w:rFonts w:ascii="Calibri" w:eastAsia="Times New Roman" w:hAnsi="Calibri" w:cs="Times New Roman"/>
                <w:color w:val="000000"/>
                <w:sz w:val="20"/>
                <w:szCs w:val="20"/>
                <w:lang w:eastAsia="en-AU"/>
              </w:rPr>
              <w:t>9</w:t>
            </w:r>
          </w:p>
        </w:tc>
        <w:tc>
          <w:tcPr>
            <w:tcW w:w="820" w:type="dxa"/>
            <w:tcBorders>
              <w:top w:val="single" w:sz="4" w:space="0" w:color="auto"/>
              <w:left w:val="nil"/>
              <w:bottom w:val="single" w:sz="4" w:space="0" w:color="auto"/>
              <w:right w:val="nil"/>
            </w:tcBorders>
            <w:shd w:val="clear" w:color="auto" w:fill="auto"/>
            <w:noWrap/>
            <w:vAlign w:val="bottom"/>
            <w:hideMark/>
          </w:tcPr>
          <w:p w14:paraId="4E4B5C11" w14:textId="77777777" w:rsidR="00AA1712" w:rsidRPr="00AA1712" w:rsidRDefault="00AA1712" w:rsidP="00AA1712">
            <w:pPr>
              <w:tabs>
                <w:tab w:val="clear" w:pos="567"/>
              </w:tabs>
              <w:spacing w:after="0" w:line="240" w:lineRule="auto"/>
              <w:jc w:val="right"/>
              <w:rPr>
                <w:rFonts w:ascii="Calibri" w:eastAsia="Times New Roman" w:hAnsi="Calibri" w:cs="Times New Roman"/>
                <w:color w:val="000000"/>
                <w:sz w:val="20"/>
                <w:szCs w:val="20"/>
                <w:lang w:eastAsia="en-AU"/>
              </w:rPr>
            </w:pPr>
            <w:r w:rsidRPr="00AA1712">
              <w:rPr>
                <w:rFonts w:ascii="Calibri" w:eastAsia="Times New Roman" w:hAnsi="Calibri" w:cs="Times New Roman"/>
                <w:color w:val="000000"/>
                <w:sz w:val="20"/>
                <w:szCs w:val="20"/>
                <w:lang w:eastAsia="en-AU"/>
              </w:rPr>
              <w:t>49</w:t>
            </w:r>
          </w:p>
        </w:tc>
        <w:tc>
          <w:tcPr>
            <w:tcW w:w="820" w:type="dxa"/>
            <w:tcBorders>
              <w:top w:val="single" w:sz="4" w:space="0" w:color="auto"/>
              <w:left w:val="nil"/>
              <w:bottom w:val="single" w:sz="4" w:space="0" w:color="auto"/>
              <w:right w:val="nil"/>
            </w:tcBorders>
            <w:shd w:val="clear" w:color="auto" w:fill="auto"/>
            <w:noWrap/>
            <w:vAlign w:val="bottom"/>
            <w:hideMark/>
          </w:tcPr>
          <w:p w14:paraId="3C17D696" w14:textId="77777777" w:rsidR="00AA1712" w:rsidRPr="00AA1712" w:rsidRDefault="00AA1712" w:rsidP="00AA1712">
            <w:pPr>
              <w:tabs>
                <w:tab w:val="clear" w:pos="567"/>
              </w:tabs>
              <w:spacing w:after="0" w:line="240" w:lineRule="auto"/>
              <w:jc w:val="right"/>
              <w:rPr>
                <w:rFonts w:ascii="Calibri" w:eastAsia="Times New Roman" w:hAnsi="Calibri" w:cs="Times New Roman"/>
                <w:color w:val="000000"/>
                <w:sz w:val="20"/>
                <w:szCs w:val="20"/>
                <w:lang w:eastAsia="en-AU"/>
              </w:rPr>
            </w:pPr>
            <w:r w:rsidRPr="00AA1712">
              <w:rPr>
                <w:rFonts w:ascii="Calibri" w:eastAsia="Times New Roman" w:hAnsi="Calibri" w:cs="Times New Roman"/>
                <w:color w:val="000000"/>
                <w:sz w:val="20"/>
                <w:szCs w:val="20"/>
                <w:lang w:eastAsia="en-AU"/>
              </w:rPr>
              <w:t>69</w:t>
            </w:r>
          </w:p>
        </w:tc>
        <w:tc>
          <w:tcPr>
            <w:tcW w:w="780" w:type="dxa"/>
            <w:tcBorders>
              <w:top w:val="single" w:sz="4" w:space="0" w:color="auto"/>
              <w:left w:val="nil"/>
              <w:bottom w:val="single" w:sz="4" w:space="0" w:color="auto"/>
              <w:right w:val="nil"/>
            </w:tcBorders>
            <w:shd w:val="clear" w:color="auto" w:fill="auto"/>
            <w:noWrap/>
            <w:vAlign w:val="bottom"/>
            <w:hideMark/>
          </w:tcPr>
          <w:p w14:paraId="79900D3C" w14:textId="77777777" w:rsidR="00AA1712" w:rsidRPr="00AA1712" w:rsidRDefault="00AA1712" w:rsidP="00AA1712">
            <w:pPr>
              <w:tabs>
                <w:tab w:val="clear" w:pos="567"/>
              </w:tabs>
              <w:spacing w:after="0" w:line="240" w:lineRule="auto"/>
              <w:jc w:val="right"/>
              <w:rPr>
                <w:rFonts w:ascii="Calibri" w:eastAsia="Times New Roman" w:hAnsi="Calibri" w:cs="Times New Roman"/>
                <w:color w:val="000000"/>
                <w:sz w:val="20"/>
                <w:szCs w:val="20"/>
                <w:lang w:eastAsia="en-AU"/>
              </w:rPr>
            </w:pPr>
            <w:r w:rsidRPr="00AA1712">
              <w:rPr>
                <w:rFonts w:ascii="Calibri" w:eastAsia="Times New Roman" w:hAnsi="Calibri" w:cs="Times New Roman"/>
                <w:color w:val="000000"/>
                <w:sz w:val="20"/>
                <w:szCs w:val="20"/>
                <w:lang w:eastAsia="en-AU"/>
              </w:rPr>
              <w:t>8</w:t>
            </w:r>
          </w:p>
        </w:tc>
        <w:tc>
          <w:tcPr>
            <w:tcW w:w="820" w:type="dxa"/>
            <w:tcBorders>
              <w:top w:val="single" w:sz="4" w:space="0" w:color="auto"/>
              <w:left w:val="nil"/>
              <w:bottom w:val="single" w:sz="4" w:space="0" w:color="auto"/>
              <w:right w:val="nil"/>
            </w:tcBorders>
            <w:shd w:val="clear" w:color="auto" w:fill="auto"/>
            <w:noWrap/>
            <w:vAlign w:val="bottom"/>
            <w:hideMark/>
          </w:tcPr>
          <w:p w14:paraId="2658A159" w14:textId="77777777" w:rsidR="00AA1712" w:rsidRPr="00AA1712" w:rsidRDefault="00AA1712" w:rsidP="00AA1712">
            <w:pPr>
              <w:tabs>
                <w:tab w:val="clear" w:pos="567"/>
              </w:tabs>
              <w:spacing w:after="0" w:line="240" w:lineRule="auto"/>
              <w:jc w:val="right"/>
              <w:rPr>
                <w:rFonts w:ascii="Calibri" w:eastAsia="Times New Roman" w:hAnsi="Calibri" w:cs="Times New Roman"/>
                <w:color w:val="000000"/>
                <w:sz w:val="20"/>
                <w:szCs w:val="20"/>
                <w:lang w:eastAsia="en-AU"/>
              </w:rPr>
            </w:pPr>
            <w:r w:rsidRPr="00AA1712">
              <w:rPr>
                <w:rFonts w:ascii="Calibri" w:eastAsia="Times New Roman" w:hAnsi="Calibri" w:cs="Times New Roman"/>
                <w:color w:val="000000"/>
                <w:sz w:val="20"/>
                <w:szCs w:val="20"/>
                <w:lang w:eastAsia="en-AU"/>
              </w:rPr>
              <w:t>0</w:t>
            </w:r>
          </w:p>
        </w:tc>
        <w:tc>
          <w:tcPr>
            <w:tcW w:w="820" w:type="dxa"/>
            <w:tcBorders>
              <w:top w:val="single" w:sz="4" w:space="0" w:color="auto"/>
              <w:left w:val="nil"/>
              <w:bottom w:val="single" w:sz="4" w:space="0" w:color="auto"/>
              <w:right w:val="nil"/>
            </w:tcBorders>
            <w:shd w:val="clear" w:color="auto" w:fill="auto"/>
            <w:noWrap/>
            <w:vAlign w:val="bottom"/>
            <w:hideMark/>
          </w:tcPr>
          <w:p w14:paraId="31329233" w14:textId="77777777" w:rsidR="00AA1712" w:rsidRPr="00AA1712" w:rsidRDefault="00AA1712" w:rsidP="00AA1712">
            <w:pPr>
              <w:tabs>
                <w:tab w:val="clear" w:pos="567"/>
              </w:tabs>
              <w:spacing w:after="0" w:line="240" w:lineRule="auto"/>
              <w:jc w:val="right"/>
              <w:rPr>
                <w:rFonts w:ascii="Calibri" w:eastAsia="Times New Roman" w:hAnsi="Calibri" w:cs="Times New Roman"/>
                <w:color w:val="000000"/>
                <w:sz w:val="20"/>
                <w:szCs w:val="20"/>
                <w:lang w:eastAsia="en-AU"/>
              </w:rPr>
            </w:pPr>
            <w:r w:rsidRPr="00AA1712">
              <w:rPr>
                <w:rFonts w:ascii="Calibri" w:eastAsia="Times New Roman" w:hAnsi="Calibri" w:cs="Times New Roman"/>
                <w:color w:val="000000"/>
                <w:sz w:val="20"/>
                <w:szCs w:val="20"/>
                <w:lang w:eastAsia="en-AU"/>
              </w:rPr>
              <w:t>0</w:t>
            </w:r>
          </w:p>
        </w:tc>
        <w:tc>
          <w:tcPr>
            <w:tcW w:w="820" w:type="dxa"/>
            <w:tcBorders>
              <w:top w:val="single" w:sz="4" w:space="0" w:color="auto"/>
              <w:left w:val="nil"/>
              <w:bottom w:val="single" w:sz="4" w:space="0" w:color="auto"/>
              <w:right w:val="nil"/>
            </w:tcBorders>
            <w:shd w:val="clear" w:color="auto" w:fill="auto"/>
            <w:noWrap/>
            <w:vAlign w:val="bottom"/>
            <w:hideMark/>
          </w:tcPr>
          <w:p w14:paraId="7C1F7136" w14:textId="77777777" w:rsidR="00AA1712" w:rsidRPr="00AA1712" w:rsidRDefault="00AA1712" w:rsidP="00AA1712">
            <w:pPr>
              <w:tabs>
                <w:tab w:val="clear" w:pos="567"/>
              </w:tabs>
              <w:spacing w:after="0" w:line="240" w:lineRule="auto"/>
              <w:jc w:val="right"/>
              <w:rPr>
                <w:rFonts w:ascii="Calibri" w:eastAsia="Times New Roman" w:hAnsi="Calibri" w:cs="Times New Roman"/>
                <w:color w:val="000000"/>
                <w:sz w:val="20"/>
                <w:szCs w:val="20"/>
                <w:lang w:eastAsia="en-AU"/>
              </w:rPr>
            </w:pPr>
            <w:r w:rsidRPr="00AA1712">
              <w:rPr>
                <w:rFonts w:ascii="Calibri" w:eastAsia="Times New Roman" w:hAnsi="Calibri" w:cs="Times New Roman"/>
                <w:color w:val="000000"/>
                <w:sz w:val="20"/>
                <w:szCs w:val="20"/>
                <w:lang w:eastAsia="en-AU"/>
              </w:rPr>
              <w:t>31</w:t>
            </w:r>
          </w:p>
        </w:tc>
        <w:tc>
          <w:tcPr>
            <w:tcW w:w="940" w:type="dxa"/>
            <w:tcBorders>
              <w:top w:val="single" w:sz="4" w:space="0" w:color="auto"/>
              <w:left w:val="nil"/>
              <w:bottom w:val="single" w:sz="4" w:space="0" w:color="auto"/>
              <w:right w:val="nil"/>
            </w:tcBorders>
            <w:shd w:val="clear" w:color="auto" w:fill="auto"/>
            <w:noWrap/>
            <w:vAlign w:val="bottom"/>
            <w:hideMark/>
          </w:tcPr>
          <w:p w14:paraId="5D4717C8" w14:textId="77777777" w:rsidR="00AA1712" w:rsidRPr="00AA1712" w:rsidRDefault="00AA1712" w:rsidP="00AA1712">
            <w:pPr>
              <w:tabs>
                <w:tab w:val="clear" w:pos="567"/>
              </w:tabs>
              <w:spacing w:after="0" w:line="240" w:lineRule="auto"/>
              <w:jc w:val="right"/>
              <w:rPr>
                <w:rFonts w:ascii="Calibri" w:eastAsia="Times New Roman" w:hAnsi="Calibri" w:cs="Times New Roman"/>
                <w:color w:val="000000"/>
                <w:sz w:val="20"/>
                <w:szCs w:val="20"/>
                <w:lang w:eastAsia="en-AU"/>
              </w:rPr>
            </w:pPr>
            <w:r w:rsidRPr="00AA1712">
              <w:rPr>
                <w:rFonts w:ascii="Calibri" w:eastAsia="Times New Roman" w:hAnsi="Calibri" w:cs="Times New Roman"/>
                <w:color w:val="000000"/>
                <w:sz w:val="20"/>
                <w:szCs w:val="20"/>
                <w:lang w:eastAsia="en-AU"/>
              </w:rPr>
              <w:t>176</w:t>
            </w:r>
          </w:p>
        </w:tc>
      </w:tr>
    </w:tbl>
    <w:p w14:paraId="259869BD" w14:textId="25239867" w:rsidR="00C23AC3" w:rsidRDefault="00C23AC3" w:rsidP="00C23AC3">
      <w:pPr>
        <w:pStyle w:val="CGCTableFootnote"/>
      </w:pPr>
      <w:r>
        <w:t>Source:</w:t>
      </w:r>
      <w:r>
        <w:tab/>
        <w:t>201</w:t>
      </w:r>
      <w:r w:rsidR="00EF0282">
        <w:t>8</w:t>
      </w:r>
      <w:r>
        <w:t xml:space="preserve"> Update, State provided data.</w:t>
      </w:r>
    </w:p>
    <w:p w14:paraId="2EDF224D" w14:textId="3B12AA72" w:rsidR="00EB61E0" w:rsidRPr="00EB61E0" w:rsidRDefault="00EB61E0" w:rsidP="00EB61E0">
      <w:pPr>
        <w:keepNext/>
        <w:widowControl w:val="0"/>
        <w:spacing w:before="300" w:after="40" w:line="240" w:lineRule="auto"/>
        <w:outlineLvl w:val="3"/>
        <w:rPr>
          <w:rFonts w:eastAsiaTheme="majorEastAsia" w:cstheme="majorBidi"/>
          <w:b/>
          <w:bCs/>
          <w:iCs/>
          <w:color w:val="2C8558"/>
          <w:sz w:val="32"/>
        </w:rPr>
      </w:pPr>
      <w:bookmarkStart w:id="210" w:name="_Toc511380192"/>
      <w:bookmarkStart w:id="211" w:name="_Toc511380190"/>
      <w:bookmarkStart w:id="212" w:name="_Toc511048327"/>
      <w:bookmarkStart w:id="213" w:name="_Toc511048429"/>
      <w:bookmarkStart w:id="214" w:name="_Toc511048467"/>
      <w:bookmarkStart w:id="215" w:name="_Toc511048502"/>
      <w:bookmarkStart w:id="216" w:name="_Toc511398679"/>
      <w:bookmarkStart w:id="217" w:name="_Toc511398723"/>
      <w:r w:rsidRPr="00EB61E0">
        <w:rPr>
          <w:rFonts w:eastAsiaTheme="majorEastAsia" w:cstheme="majorBidi"/>
          <w:b/>
          <w:bCs/>
          <w:iCs/>
          <w:color w:val="2C8558"/>
          <w:sz w:val="32"/>
        </w:rPr>
        <w:t>Data sources and assessment methods</w:t>
      </w:r>
      <w:bookmarkEnd w:id="210"/>
    </w:p>
    <w:p w14:paraId="33042CD8" w14:textId="613CE598" w:rsidR="00554B03" w:rsidRDefault="00027840" w:rsidP="00AD2782">
      <w:pPr>
        <w:pStyle w:val="CGCNumberedPara"/>
        <w:numPr>
          <w:ilvl w:val="1"/>
          <w:numId w:val="3"/>
        </w:numPr>
      </w:pPr>
      <w:r>
        <w:t>Details of e</w:t>
      </w:r>
      <w:r w:rsidR="000877FD">
        <w:t xml:space="preserve">xpenses </w:t>
      </w:r>
      <w:r w:rsidR="00430F9D">
        <w:t xml:space="preserve">due to native title and land rights claims </w:t>
      </w:r>
      <w:r w:rsidR="000877FD">
        <w:t>are sourced from the States</w:t>
      </w:r>
      <w:r w:rsidR="00430F9D">
        <w:t xml:space="preserve">. </w:t>
      </w:r>
      <w:r w:rsidR="00554B03">
        <w:fldChar w:fldCharType="begin"/>
      </w:r>
      <w:r w:rsidR="00554B03">
        <w:instrText xml:space="preserve"> REF _Ref511823846 \h </w:instrText>
      </w:r>
      <w:r w:rsidR="00554B03">
        <w:fldChar w:fldCharType="separate"/>
      </w:r>
      <w:r w:rsidR="00C40664">
        <w:t>Figure A-</w:t>
      </w:r>
      <w:r w:rsidR="00C40664">
        <w:rPr>
          <w:noProof/>
        </w:rPr>
        <w:t>1</w:t>
      </w:r>
      <w:r w:rsidR="00554B03">
        <w:fldChar w:fldCharType="end"/>
      </w:r>
      <w:r w:rsidR="00554B03">
        <w:t xml:space="preserve"> and </w:t>
      </w:r>
      <w:r w:rsidR="00554B03">
        <w:fldChar w:fldCharType="begin"/>
      </w:r>
      <w:r w:rsidR="00554B03">
        <w:instrText xml:space="preserve"> REF _Ref511823858 \h </w:instrText>
      </w:r>
      <w:r w:rsidR="00554B03">
        <w:fldChar w:fldCharType="separate"/>
      </w:r>
      <w:r w:rsidR="00C40664">
        <w:t>Figure A-</w:t>
      </w:r>
      <w:r w:rsidR="00C40664">
        <w:rPr>
          <w:noProof/>
        </w:rPr>
        <w:t>2</w:t>
      </w:r>
      <w:r w:rsidR="00554B03">
        <w:fldChar w:fldCharType="end"/>
      </w:r>
      <w:r w:rsidR="00554B03">
        <w:t xml:space="preserve"> of Attachment A show </w:t>
      </w:r>
      <w:r w:rsidR="002A4135">
        <w:t xml:space="preserve">State </w:t>
      </w:r>
      <w:r w:rsidR="00554B03">
        <w:t>native title and land rights expenses over time.</w:t>
      </w:r>
    </w:p>
    <w:p w14:paraId="56B2E200" w14:textId="6B1A8BDC" w:rsidR="000877FD" w:rsidRDefault="00430F9D" w:rsidP="00AD2782">
      <w:pPr>
        <w:pStyle w:val="CGCNumberedPara"/>
        <w:numPr>
          <w:ilvl w:val="1"/>
          <w:numId w:val="3"/>
        </w:numPr>
      </w:pPr>
      <w:r>
        <w:t xml:space="preserve">The assessments for both components are made on an </w:t>
      </w:r>
      <w:r w:rsidR="000877FD">
        <w:t>actual per capita</w:t>
      </w:r>
      <w:r>
        <w:t xml:space="preserve"> (APC) basis</w:t>
      </w:r>
      <w:r w:rsidR="000877FD">
        <w:t>. The Commission consider</w:t>
      </w:r>
      <w:r w:rsidR="002A4135">
        <w:t>ed</w:t>
      </w:r>
      <w:r w:rsidR="000877FD">
        <w:t xml:space="preserve"> this to be </w:t>
      </w:r>
      <w:r w:rsidR="000877FD" w:rsidRPr="00AA0260">
        <w:t>the simplest and most reliable way of assessing what States need to spend. State spending is due to Commonwealth legislation and States have adopted uniform policies in response to their individual circumstances</w:t>
      </w:r>
      <w:r w:rsidR="000877FD">
        <w:t>.</w:t>
      </w:r>
    </w:p>
    <w:bookmarkEnd w:id="211"/>
    <w:p w14:paraId="631D3C84" w14:textId="77777777" w:rsidR="00C23AC3" w:rsidRPr="00F46B46" w:rsidRDefault="00C23AC3" w:rsidP="003624A7">
      <w:pPr>
        <w:pStyle w:val="Heading5"/>
      </w:pPr>
      <w:r w:rsidRPr="00F46B46">
        <w:t>Native title</w:t>
      </w:r>
      <w:bookmarkEnd w:id="212"/>
      <w:bookmarkEnd w:id="213"/>
      <w:bookmarkEnd w:id="214"/>
      <w:bookmarkEnd w:id="215"/>
      <w:bookmarkEnd w:id="216"/>
      <w:bookmarkEnd w:id="217"/>
    </w:p>
    <w:p w14:paraId="73A79161" w14:textId="77777777" w:rsidR="00C23AC3" w:rsidRPr="00F46B46" w:rsidRDefault="00C23AC3" w:rsidP="00C23AC3">
      <w:pPr>
        <w:pStyle w:val="CGCNumberedPara"/>
        <w:numPr>
          <w:ilvl w:val="1"/>
          <w:numId w:val="3"/>
        </w:numPr>
      </w:pPr>
      <w:r>
        <w:t>The</w:t>
      </w:r>
      <w:r w:rsidRPr="00F46B46">
        <w:t xml:space="preserve"> Native Title legislation (</w:t>
      </w:r>
      <w:r w:rsidRPr="00F46B46">
        <w:rPr>
          <w:i/>
        </w:rPr>
        <w:t>Native Title Act 1993</w:t>
      </w:r>
      <w:r w:rsidRPr="00F46B46">
        <w:t xml:space="preserve">) was </w:t>
      </w:r>
      <w:r>
        <w:t>enacted following</w:t>
      </w:r>
      <w:r w:rsidRPr="00F46B46">
        <w:t xml:space="preserve"> a High Court decision which recognised</w:t>
      </w:r>
      <w:r>
        <w:t xml:space="preserve"> as common law</w:t>
      </w:r>
      <w:r w:rsidRPr="00F46B46">
        <w:t xml:space="preserve"> Indigenous people’s traditional rights </w:t>
      </w:r>
      <w:r>
        <w:t>to</w:t>
      </w:r>
      <w:r w:rsidRPr="00F46B46">
        <w:t xml:space="preserve"> their land</w:t>
      </w:r>
      <w:r>
        <w:t>, that pre-date European colonisation and had not been effectively extinguished by the Crown</w:t>
      </w:r>
      <w:r w:rsidRPr="00F46B46">
        <w:t>.</w:t>
      </w:r>
    </w:p>
    <w:p w14:paraId="7E8138FC" w14:textId="77777777" w:rsidR="00C23AC3" w:rsidRPr="00F46B46" w:rsidRDefault="00C23AC3" w:rsidP="00C23AC3">
      <w:pPr>
        <w:pStyle w:val="CGCNumberedPara"/>
        <w:numPr>
          <w:ilvl w:val="1"/>
          <w:numId w:val="3"/>
        </w:numPr>
      </w:pPr>
      <w:r w:rsidRPr="00F46B46">
        <w:t>Native title expenses include the costs of administering the legislation, compensating holders of native title</w:t>
      </w:r>
      <w:r>
        <w:t>, the cost of processing future acts</w:t>
      </w:r>
      <w:r>
        <w:rPr>
          <w:rStyle w:val="FootnoteReference"/>
        </w:rPr>
        <w:footnoteReference w:id="8"/>
      </w:r>
      <w:r>
        <w:t xml:space="preserve"> and as</w:t>
      </w:r>
      <w:r w:rsidRPr="00F46B46">
        <w:t>s</w:t>
      </w:r>
      <w:r>
        <w:t>ociated compensation,</w:t>
      </w:r>
      <w:r w:rsidRPr="00F46B46">
        <w:t xml:space="preserve"> and any on-going costs associated with joint management of land.</w:t>
      </w:r>
    </w:p>
    <w:p w14:paraId="3E741A67" w14:textId="77777777" w:rsidR="00C23AC3" w:rsidRPr="00F46B46" w:rsidRDefault="00C23AC3" w:rsidP="00C23AC3">
      <w:pPr>
        <w:pStyle w:val="CGCNumberedPara"/>
        <w:numPr>
          <w:ilvl w:val="1"/>
          <w:numId w:val="3"/>
        </w:numPr>
      </w:pPr>
      <w:r w:rsidRPr="00F46B46">
        <w:t xml:space="preserve">The expenses incurred in each State due to native title matters vary, depending on the number and type of native title </w:t>
      </w:r>
      <w:r>
        <w:t xml:space="preserve">and compensation </w:t>
      </w:r>
      <w:r w:rsidRPr="00F46B46">
        <w:t xml:space="preserve">claims made in the State </w:t>
      </w:r>
      <w:r>
        <w:t>as well as the number and nature of future acts processed</w:t>
      </w:r>
      <w:r w:rsidRPr="00F46B46">
        <w:t>.</w:t>
      </w:r>
    </w:p>
    <w:p w14:paraId="0725A8D4" w14:textId="77777777" w:rsidR="00C23AC3" w:rsidRPr="00F46B46" w:rsidRDefault="00C23AC3" w:rsidP="003624A7">
      <w:pPr>
        <w:pStyle w:val="Heading5"/>
      </w:pPr>
      <w:bookmarkStart w:id="218" w:name="_Toc511048328"/>
      <w:bookmarkStart w:id="219" w:name="_Toc511048430"/>
      <w:bookmarkStart w:id="220" w:name="_Toc511048468"/>
      <w:bookmarkStart w:id="221" w:name="_Toc511048503"/>
      <w:bookmarkStart w:id="222" w:name="_Toc511398680"/>
      <w:bookmarkStart w:id="223" w:name="_Toc511398724"/>
      <w:r w:rsidRPr="00F46B46">
        <w:t>Land rights</w:t>
      </w:r>
      <w:bookmarkEnd w:id="218"/>
      <w:bookmarkEnd w:id="219"/>
      <w:bookmarkEnd w:id="220"/>
      <w:bookmarkEnd w:id="221"/>
      <w:bookmarkEnd w:id="222"/>
      <w:bookmarkEnd w:id="223"/>
    </w:p>
    <w:p w14:paraId="4ACA8476" w14:textId="77777777" w:rsidR="00C23AC3" w:rsidRPr="00F46B46" w:rsidRDefault="00C23AC3" w:rsidP="00C23AC3">
      <w:pPr>
        <w:pStyle w:val="CGCNumberedPara"/>
        <w:numPr>
          <w:ilvl w:val="1"/>
          <w:numId w:val="3"/>
        </w:numPr>
      </w:pPr>
      <w:r w:rsidRPr="00F46B46">
        <w:t xml:space="preserve">The </w:t>
      </w:r>
      <w:r w:rsidRPr="00F46B46">
        <w:rPr>
          <w:i/>
        </w:rPr>
        <w:t>Aboriginal Land Rights (Northern Territory) Act 1976</w:t>
      </w:r>
      <w:r w:rsidRPr="00231DE4">
        <w:rPr>
          <w:i/>
        </w:rPr>
        <w:t xml:space="preserve"> (</w:t>
      </w:r>
      <w:proofErr w:type="spellStart"/>
      <w:r w:rsidRPr="00231DE4">
        <w:rPr>
          <w:i/>
        </w:rPr>
        <w:t>Cth</w:t>
      </w:r>
      <w:proofErr w:type="spellEnd"/>
      <w:r w:rsidRPr="00231DE4">
        <w:rPr>
          <w:i/>
        </w:rPr>
        <w:t>)</w:t>
      </w:r>
      <w:r>
        <w:t xml:space="preserve"> (Land Rights Act) </w:t>
      </w:r>
      <w:r w:rsidRPr="00F46B46">
        <w:t xml:space="preserve">only applies in the Northern Territory and recognises </w:t>
      </w:r>
      <w:r>
        <w:t>a group of traditional Aboriginal land owners as having common spiritual affiliations with the land that gives them a primary spiritual responsibility for that area of land and which entitles them by Aboriginal tradition to forage as a right over that land</w:t>
      </w:r>
      <w:r w:rsidRPr="00F46B46">
        <w:t xml:space="preserve">. It allows for areas of Crown </w:t>
      </w:r>
      <w:r>
        <w:t>l</w:t>
      </w:r>
      <w:r w:rsidRPr="00F46B46">
        <w:t xml:space="preserve">and (excluding land in towns) to be transferred </w:t>
      </w:r>
      <w:r>
        <w:t xml:space="preserve">by a deed of grant to land trusts, administered by the mainland Northern Territory land councils, as a result of </w:t>
      </w:r>
      <w:r w:rsidRPr="00F46B46">
        <w:t xml:space="preserve">claims </w:t>
      </w:r>
      <w:r>
        <w:t>being recommended for grant</w:t>
      </w:r>
      <w:r w:rsidRPr="00F46B46">
        <w:t xml:space="preserve"> by the Aboriginal Land Commissioner.</w:t>
      </w:r>
    </w:p>
    <w:p w14:paraId="56488C97" w14:textId="3F9834ED" w:rsidR="00C23AC3" w:rsidRDefault="00C23AC3" w:rsidP="00C23AC3">
      <w:pPr>
        <w:pStyle w:val="CGCNumberedPara"/>
        <w:numPr>
          <w:ilvl w:val="1"/>
          <w:numId w:val="3"/>
        </w:numPr>
      </w:pPr>
      <w:r w:rsidRPr="00F46B46">
        <w:t>The Northern Territory incurs costs in negotiating claims and preparing submissions to the Commissioner and in challenging claims through the Federal and High Courts. Compensation or other arrangements relating to the settlement</w:t>
      </w:r>
      <w:r w:rsidR="008A1B31">
        <w:t xml:space="preserve"> of a claim can also lead to on</w:t>
      </w:r>
      <w:r w:rsidRPr="00F46B46">
        <w:t xml:space="preserve">going costs. </w:t>
      </w:r>
      <w:r w:rsidRPr="00842C2B">
        <w:t xml:space="preserve">Ongoing costs are associated with securing interests in land under the Land Rights Act but also in administering Northern Territory legislation mandated by the Land Rights Act such as the </w:t>
      </w:r>
      <w:r w:rsidRPr="00842C2B">
        <w:rPr>
          <w:i/>
        </w:rPr>
        <w:t xml:space="preserve">Northern Territory Aboriginal Sacred Sites </w:t>
      </w:r>
      <w:r w:rsidRPr="007C545A">
        <w:rPr>
          <w:i/>
        </w:rPr>
        <w:t>Act</w:t>
      </w:r>
      <w:r w:rsidRPr="00842C2B">
        <w:t xml:space="preserve"> and the </w:t>
      </w:r>
      <w:r w:rsidRPr="00842C2B">
        <w:rPr>
          <w:i/>
        </w:rPr>
        <w:t>Aboriginal Land Act</w:t>
      </w:r>
      <w:r w:rsidRPr="00842C2B">
        <w:t xml:space="preserve">. </w:t>
      </w:r>
      <w:r w:rsidRPr="00F46B46">
        <w:t xml:space="preserve">Although there is a sunset clause in the legislation, with no new claims made since 1997, it is expected that costs associated with ongoing claims will </w:t>
      </w:r>
      <w:r>
        <w:t>be incurred</w:t>
      </w:r>
      <w:r w:rsidRPr="00F46B46">
        <w:t xml:space="preserve"> for many years.</w:t>
      </w:r>
      <w:r>
        <w:t xml:space="preserve"> </w:t>
      </w:r>
      <w:r w:rsidRPr="00281B68">
        <w:t>There are also on-going costs associated with joint (Indigenous and Northern Territory government) management</w:t>
      </w:r>
      <w:r>
        <w:t xml:space="preserve"> of land.</w:t>
      </w:r>
    </w:p>
    <w:p w14:paraId="38466202" w14:textId="32C5784C" w:rsidR="00C23AC3" w:rsidRDefault="00C23AC3" w:rsidP="00AD2782">
      <w:pPr>
        <w:pStyle w:val="Heading5"/>
        <w:keepLines/>
      </w:pPr>
      <w:bookmarkStart w:id="224" w:name="_Toc511048329"/>
      <w:bookmarkStart w:id="225" w:name="_Toc511048431"/>
      <w:bookmarkStart w:id="226" w:name="_Toc511048469"/>
      <w:bookmarkStart w:id="227" w:name="_Toc511048504"/>
      <w:bookmarkStart w:id="228" w:name="_Toc511398681"/>
      <w:bookmarkStart w:id="229" w:name="_Toc511398725"/>
      <w:r>
        <w:t xml:space="preserve">GST </w:t>
      </w:r>
      <w:r w:rsidR="00BC67F4">
        <w:t>re</w:t>
      </w:r>
      <w:r>
        <w:t>distribution</w:t>
      </w:r>
      <w:bookmarkEnd w:id="224"/>
      <w:bookmarkEnd w:id="225"/>
      <w:bookmarkEnd w:id="226"/>
      <w:bookmarkEnd w:id="227"/>
      <w:bookmarkEnd w:id="228"/>
      <w:bookmarkEnd w:id="229"/>
    </w:p>
    <w:p w14:paraId="7F2AC8CE" w14:textId="77777777" w:rsidR="00C23AC3" w:rsidRDefault="00C23AC3" w:rsidP="00085B09">
      <w:pPr>
        <w:pStyle w:val="CGCNumberedPara"/>
        <w:keepNext/>
        <w:keepLines/>
        <w:numPr>
          <w:ilvl w:val="1"/>
          <w:numId w:val="3"/>
        </w:numPr>
      </w:pPr>
      <w:r>
        <w:fldChar w:fldCharType="begin"/>
      </w:r>
      <w:r>
        <w:instrText xml:space="preserve"> REF _Ref496100394 \h </w:instrText>
      </w:r>
      <w:r>
        <w:fldChar w:fldCharType="separate"/>
      </w:r>
      <w:r w:rsidR="00C40664">
        <w:t xml:space="preserve">Table </w:t>
      </w:r>
      <w:r w:rsidR="00C40664">
        <w:rPr>
          <w:noProof/>
        </w:rPr>
        <w:t>3</w:t>
      </w:r>
      <w:r>
        <w:fldChar w:fldCharType="end"/>
      </w:r>
      <w:r>
        <w:t xml:space="preserve"> shows the GST redistributed by the </w:t>
      </w:r>
      <w:r w:rsidRPr="00214AB6">
        <w:t xml:space="preserve">native title and land rights </w:t>
      </w:r>
      <w:r>
        <w:t xml:space="preserve">assessment. The assessment is material for the Northern Territory. </w:t>
      </w:r>
    </w:p>
    <w:p w14:paraId="27667E20" w14:textId="1E989697" w:rsidR="00C23AC3" w:rsidRDefault="00C23AC3" w:rsidP="000877FD">
      <w:pPr>
        <w:pStyle w:val="CGCTableHeading"/>
      </w:pPr>
      <w:r>
        <w:t xml:space="preserve">Table </w:t>
      </w:r>
      <w:fldSimple w:instr=" SEQ Table \* ARABIC ">
        <w:r w:rsidR="00C40664">
          <w:rPr>
            <w:noProof/>
          </w:rPr>
          <w:t>10</w:t>
        </w:r>
      </w:fldSimple>
      <w:r>
        <w:tab/>
        <w:t xml:space="preserve">GST </w:t>
      </w:r>
      <w:r w:rsidR="00ED4348">
        <w:t>re</w:t>
      </w:r>
      <w:r>
        <w:t>distribution, native title and land rights assessment, 201</w:t>
      </w:r>
      <w:r w:rsidR="00EF0282">
        <w:t>8</w:t>
      </w:r>
      <w:r>
        <w:t xml:space="preserve"> Update</w:t>
      </w:r>
    </w:p>
    <w:tbl>
      <w:tblPr>
        <w:tblW w:w="9000" w:type="dxa"/>
        <w:tblInd w:w="93" w:type="dxa"/>
        <w:tblLook w:val="04A0" w:firstRow="1" w:lastRow="0" w:firstColumn="1" w:lastColumn="0" w:noHBand="0" w:noVBand="1"/>
      </w:tblPr>
      <w:tblGrid>
        <w:gridCol w:w="2640"/>
        <w:gridCol w:w="740"/>
        <w:gridCol w:w="640"/>
        <w:gridCol w:w="740"/>
        <w:gridCol w:w="740"/>
        <w:gridCol w:w="640"/>
        <w:gridCol w:w="640"/>
        <w:gridCol w:w="640"/>
        <w:gridCol w:w="740"/>
        <w:gridCol w:w="840"/>
      </w:tblGrid>
      <w:tr w:rsidR="00EB61E0" w:rsidRPr="00EB61E0" w14:paraId="661E12A2" w14:textId="77777777" w:rsidTr="00EB61E0">
        <w:trPr>
          <w:trHeight w:val="379"/>
        </w:trPr>
        <w:tc>
          <w:tcPr>
            <w:tcW w:w="2640" w:type="dxa"/>
            <w:tcBorders>
              <w:top w:val="single" w:sz="4" w:space="0" w:color="auto"/>
              <w:left w:val="nil"/>
              <w:bottom w:val="single" w:sz="4" w:space="0" w:color="auto"/>
              <w:right w:val="nil"/>
            </w:tcBorders>
            <w:shd w:val="clear" w:color="auto" w:fill="auto"/>
            <w:noWrap/>
            <w:vAlign w:val="center"/>
            <w:hideMark/>
          </w:tcPr>
          <w:p w14:paraId="4D30E729" w14:textId="77777777" w:rsidR="00EB61E0" w:rsidRPr="00EB61E0" w:rsidRDefault="00EB61E0" w:rsidP="00AD2782">
            <w:pPr>
              <w:keepNext/>
              <w:keepLines/>
              <w:tabs>
                <w:tab w:val="clear" w:pos="567"/>
              </w:tabs>
              <w:spacing w:after="0" w:line="240" w:lineRule="auto"/>
              <w:jc w:val="right"/>
              <w:rPr>
                <w:rFonts w:ascii="Calibri" w:eastAsia="Times New Roman" w:hAnsi="Calibri" w:cs="Times New Roman"/>
                <w:sz w:val="20"/>
                <w:szCs w:val="20"/>
                <w:lang w:eastAsia="en-AU"/>
              </w:rPr>
            </w:pPr>
            <w:bookmarkStart w:id="230" w:name="RANGE!A26:J29"/>
            <w:r w:rsidRPr="00EB61E0">
              <w:rPr>
                <w:rFonts w:ascii="Calibri" w:eastAsia="Times New Roman" w:hAnsi="Calibri" w:cs="Times New Roman"/>
                <w:sz w:val="20"/>
                <w:szCs w:val="20"/>
                <w:lang w:eastAsia="en-AU"/>
              </w:rPr>
              <w:t> </w:t>
            </w:r>
            <w:bookmarkEnd w:id="230"/>
          </w:p>
        </w:tc>
        <w:tc>
          <w:tcPr>
            <w:tcW w:w="740" w:type="dxa"/>
            <w:tcBorders>
              <w:top w:val="single" w:sz="4" w:space="0" w:color="auto"/>
              <w:left w:val="nil"/>
              <w:bottom w:val="single" w:sz="4" w:space="0" w:color="auto"/>
              <w:right w:val="nil"/>
            </w:tcBorders>
            <w:shd w:val="clear" w:color="auto" w:fill="auto"/>
            <w:noWrap/>
            <w:vAlign w:val="center"/>
            <w:hideMark/>
          </w:tcPr>
          <w:p w14:paraId="6820DE91" w14:textId="77777777" w:rsidR="00EB61E0" w:rsidRPr="00EB61E0" w:rsidRDefault="00EB61E0" w:rsidP="00AD2782">
            <w:pPr>
              <w:keepNext/>
              <w:keepLines/>
              <w:tabs>
                <w:tab w:val="clear" w:pos="567"/>
              </w:tabs>
              <w:spacing w:after="0" w:line="240" w:lineRule="auto"/>
              <w:jc w:val="right"/>
              <w:rPr>
                <w:rFonts w:ascii="Calibri" w:eastAsia="Times New Roman" w:hAnsi="Calibri" w:cs="Times New Roman"/>
                <w:sz w:val="20"/>
                <w:szCs w:val="20"/>
                <w:lang w:eastAsia="en-AU"/>
              </w:rPr>
            </w:pPr>
            <w:r w:rsidRPr="00EB61E0">
              <w:rPr>
                <w:rFonts w:ascii="Calibri" w:eastAsia="Times New Roman" w:hAnsi="Calibri" w:cs="Times New Roman"/>
                <w:sz w:val="20"/>
                <w:szCs w:val="20"/>
                <w:lang w:eastAsia="en-AU"/>
              </w:rPr>
              <w:t>NSW</w:t>
            </w:r>
          </w:p>
        </w:tc>
        <w:tc>
          <w:tcPr>
            <w:tcW w:w="640" w:type="dxa"/>
            <w:tcBorders>
              <w:top w:val="single" w:sz="4" w:space="0" w:color="auto"/>
              <w:left w:val="nil"/>
              <w:bottom w:val="single" w:sz="4" w:space="0" w:color="auto"/>
              <w:right w:val="nil"/>
            </w:tcBorders>
            <w:shd w:val="clear" w:color="auto" w:fill="auto"/>
            <w:noWrap/>
            <w:vAlign w:val="center"/>
            <w:hideMark/>
          </w:tcPr>
          <w:p w14:paraId="5007563D" w14:textId="77777777" w:rsidR="00EB61E0" w:rsidRPr="00EB61E0" w:rsidRDefault="00EB61E0" w:rsidP="00AD2782">
            <w:pPr>
              <w:keepNext/>
              <w:keepLines/>
              <w:tabs>
                <w:tab w:val="clear" w:pos="567"/>
              </w:tabs>
              <w:spacing w:after="0" w:line="240" w:lineRule="auto"/>
              <w:jc w:val="right"/>
              <w:rPr>
                <w:rFonts w:ascii="Calibri" w:eastAsia="Times New Roman" w:hAnsi="Calibri" w:cs="Times New Roman"/>
                <w:sz w:val="20"/>
                <w:szCs w:val="20"/>
                <w:lang w:eastAsia="en-AU"/>
              </w:rPr>
            </w:pPr>
            <w:r w:rsidRPr="00EB61E0">
              <w:rPr>
                <w:rFonts w:ascii="Calibri" w:eastAsia="Times New Roman" w:hAnsi="Calibri" w:cs="Times New Roman"/>
                <w:sz w:val="20"/>
                <w:szCs w:val="20"/>
                <w:lang w:eastAsia="en-AU"/>
              </w:rPr>
              <w:t>Vic</w:t>
            </w:r>
          </w:p>
        </w:tc>
        <w:tc>
          <w:tcPr>
            <w:tcW w:w="740" w:type="dxa"/>
            <w:tcBorders>
              <w:top w:val="single" w:sz="4" w:space="0" w:color="auto"/>
              <w:left w:val="nil"/>
              <w:bottom w:val="single" w:sz="4" w:space="0" w:color="auto"/>
              <w:right w:val="nil"/>
            </w:tcBorders>
            <w:shd w:val="clear" w:color="auto" w:fill="auto"/>
            <w:noWrap/>
            <w:vAlign w:val="center"/>
            <w:hideMark/>
          </w:tcPr>
          <w:p w14:paraId="44843BC6" w14:textId="77777777" w:rsidR="00EB61E0" w:rsidRPr="00EB61E0" w:rsidRDefault="00EB61E0" w:rsidP="00AD2782">
            <w:pPr>
              <w:keepNext/>
              <w:keepLines/>
              <w:tabs>
                <w:tab w:val="clear" w:pos="567"/>
              </w:tabs>
              <w:spacing w:after="0" w:line="240" w:lineRule="auto"/>
              <w:jc w:val="right"/>
              <w:rPr>
                <w:rFonts w:ascii="Calibri" w:eastAsia="Times New Roman" w:hAnsi="Calibri" w:cs="Times New Roman"/>
                <w:sz w:val="20"/>
                <w:szCs w:val="20"/>
                <w:lang w:eastAsia="en-AU"/>
              </w:rPr>
            </w:pPr>
            <w:r w:rsidRPr="00EB61E0">
              <w:rPr>
                <w:rFonts w:ascii="Calibri" w:eastAsia="Times New Roman" w:hAnsi="Calibri" w:cs="Times New Roman"/>
                <w:sz w:val="20"/>
                <w:szCs w:val="20"/>
                <w:lang w:eastAsia="en-AU"/>
              </w:rPr>
              <w:t>Qld</w:t>
            </w:r>
          </w:p>
        </w:tc>
        <w:tc>
          <w:tcPr>
            <w:tcW w:w="740" w:type="dxa"/>
            <w:tcBorders>
              <w:top w:val="single" w:sz="4" w:space="0" w:color="auto"/>
              <w:left w:val="nil"/>
              <w:bottom w:val="single" w:sz="4" w:space="0" w:color="auto"/>
              <w:right w:val="nil"/>
            </w:tcBorders>
            <w:shd w:val="clear" w:color="auto" w:fill="auto"/>
            <w:noWrap/>
            <w:vAlign w:val="center"/>
            <w:hideMark/>
          </w:tcPr>
          <w:p w14:paraId="1FF5FE10" w14:textId="77777777" w:rsidR="00EB61E0" w:rsidRPr="00EB61E0" w:rsidRDefault="00EB61E0" w:rsidP="00AD2782">
            <w:pPr>
              <w:keepNext/>
              <w:keepLines/>
              <w:tabs>
                <w:tab w:val="clear" w:pos="567"/>
              </w:tabs>
              <w:spacing w:after="0" w:line="240" w:lineRule="auto"/>
              <w:jc w:val="right"/>
              <w:rPr>
                <w:rFonts w:ascii="Calibri" w:eastAsia="Times New Roman" w:hAnsi="Calibri" w:cs="Times New Roman"/>
                <w:sz w:val="20"/>
                <w:szCs w:val="20"/>
                <w:lang w:eastAsia="en-AU"/>
              </w:rPr>
            </w:pPr>
            <w:r w:rsidRPr="00EB61E0">
              <w:rPr>
                <w:rFonts w:ascii="Calibri" w:eastAsia="Times New Roman" w:hAnsi="Calibri" w:cs="Times New Roman"/>
                <w:sz w:val="20"/>
                <w:szCs w:val="20"/>
                <w:lang w:eastAsia="en-AU"/>
              </w:rPr>
              <w:t>WA</w:t>
            </w:r>
          </w:p>
        </w:tc>
        <w:tc>
          <w:tcPr>
            <w:tcW w:w="640" w:type="dxa"/>
            <w:tcBorders>
              <w:top w:val="single" w:sz="4" w:space="0" w:color="auto"/>
              <w:left w:val="nil"/>
              <w:bottom w:val="single" w:sz="4" w:space="0" w:color="auto"/>
              <w:right w:val="nil"/>
            </w:tcBorders>
            <w:shd w:val="clear" w:color="auto" w:fill="auto"/>
            <w:noWrap/>
            <w:vAlign w:val="center"/>
            <w:hideMark/>
          </w:tcPr>
          <w:p w14:paraId="3B206B34" w14:textId="77777777" w:rsidR="00EB61E0" w:rsidRPr="00EB61E0" w:rsidRDefault="00EB61E0" w:rsidP="00AD2782">
            <w:pPr>
              <w:keepNext/>
              <w:keepLines/>
              <w:tabs>
                <w:tab w:val="clear" w:pos="567"/>
              </w:tabs>
              <w:spacing w:after="0" w:line="240" w:lineRule="auto"/>
              <w:jc w:val="right"/>
              <w:rPr>
                <w:rFonts w:ascii="Calibri" w:eastAsia="Times New Roman" w:hAnsi="Calibri" w:cs="Times New Roman"/>
                <w:sz w:val="20"/>
                <w:szCs w:val="20"/>
                <w:lang w:eastAsia="en-AU"/>
              </w:rPr>
            </w:pPr>
            <w:r w:rsidRPr="00EB61E0">
              <w:rPr>
                <w:rFonts w:ascii="Calibri" w:eastAsia="Times New Roman" w:hAnsi="Calibri" w:cs="Times New Roman"/>
                <w:sz w:val="20"/>
                <w:szCs w:val="20"/>
                <w:lang w:eastAsia="en-AU"/>
              </w:rPr>
              <w:t>SA</w:t>
            </w:r>
          </w:p>
        </w:tc>
        <w:tc>
          <w:tcPr>
            <w:tcW w:w="640" w:type="dxa"/>
            <w:tcBorders>
              <w:top w:val="single" w:sz="4" w:space="0" w:color="auto"/>
              <w:left w:val="nil"/>
              <w:bottom w:val="single" w:sz="4" w:space="0" w:color="auto"/>
              <w:right w:val="nil"/>
            </w:tcBorders>
            <w:shd w:val="clear" w:color="auto" w:fill="auto"/>
            <w:noWrap/>
            <w:vAlign w:val="center"/>
            <w:hideMark/>
          </w:tcPr>
          <w:p w14:paraId="65BD76FD" w14:textId="77777777" w:rsidR="00EB61E0" w:rsidRPr="00EB61E0" w:rsidRDefault="00EB61E0" w:rsidP="00AD2782">
            <w:pPr>
              <w:keepNext/>
              <w:keepLines/>
              <w:tabs>
                <w:tab w:val="clear" w:pos="567"/>
              </w:tabs>
              <w:spacing w:after="0" w:line="240" w:lineRule="auto"/>
              <w:jc w:val="right"/>
              <w:rPr>
                <w:rFonts w:ascii="Calibri" w:eastAsia="Times New Roman" w:hAnsi="Calibri" w:cs="Times New Roman"/>
                <w:sz w:val="20"/>
                <w:szCs w:val="20"/>
                <w:lang w:eastAsia="en-AU"/>
              </w:rPr>
            </w:pPr>
            <w:proofErr w:type="spellStart"/>
            <w:r w:rsidRPr="00EB61E0">
              <w:rPr>
                <w:rFonts w:ascii="Calibri" w:eastAsia="Times New Roman" w:hAnsi="Calibri" w:cs="Times New Roman"/>
                <w:sz w:val="20"/>
                <w:szCs w:val="20"/>
                <w:lang w:eastAsia="en-AU"/>
              </w:rPr>
              <w:t>Tas</w:t>
            </w:r>
            <w:proofErr w:type="spellEnd"/>
          </w:p>
        </w:tc>
        <w:tc>
          <w:tcPr>
            <w:tcW w:w="640" w:type="dxa"/>
            <w:tcBorders>
              <w:top w:val="single" w:sz="4" w:space="0" w:color="auto"/>
              <w:left w:val="nil"/>
              <w:bottom w:val="single" w:sz="4" w:space="0" w:color="auto"/>
              <w:right w:val="nil"/>
            </w:tcBorders>
            <w:shd w:val="clear" w:color="auto" w:fill="auto"/>
            <w:noWrap/>
            <w:vAlign w:val="center"/>
            <w:hideMark/>
          </w:tcPr>
          <w:p w14:paraId="308AC498" w14:textId="77777777" w:rsidR="00EB61E0" w:rsidRPr="00EB61E0" w:rsidRDefault="00EB61E0" w:rsidP="00AD2782">
            <w:pPr>
              <w:keepNext/>
              <w:keepLines/>
              <w:tabs>
                <w:tab w:val="clear" w:pos="567"/>
              </w:tabs>
              <w:spacing w:after="0" w:line="240" w:lineRule="auto"/>
              <w:jc w:val="right"/>
              <w:rPr>
                <w:rFonts w:ascii="Calibri" w:eastAsia="Times New Roman" w:hAnsi="Calibri" w:cs="Times New Roman"/>
                <w:sz w:val="20"/>
                <w:szCs w:val="20"/>
                <w:lang w:eastAsia="en-AU"/>
              </w:rPr>
            </w:pPr>
            <w:r w:rsidRPr="00EB61E0">
              <w:rPr>
                <w:rFonts w:ascii="Calibri" w:eastAsia="Times New Roman" w:hAnsi="Calibri" w:cs="Times New Roman"/>
                <w:sz w:val="20"/>
                <w:szCs w:val="20"/>
                <w:lang w:eastAsia="en-AU"/>
              </w:rPr>
              <w:t>ACT</w:t>
            </w:r>
          </w:p>
        </w:tc>
        <w:tc>
          <w:tcPr>
            <w:tcW w:w="740" w:type="dxa"/>
            <w:tcBorders>
              <w:top w:val="single" w:sz="4" w:space="0" w:color="auto"/>
              <w:left w:val="nil"/>
              <w:bottom w:val="single" w:sz="4" w:space="0" w:color="auto"/>
              <w:right w:val="nil"/>
            </w:tcBorders>
            <w:shd w:val="clear" w:color="auto" w:fill="auto"/>
            <w:noWrap/>
            <w:vAlign w:val="center"/>
            <w:hideMark/>
          </w:tcPr>
          <w:p w14:paraId="56A4B849" w14:textId="77777777" w:rsidR="00EB61E0" w:rsidRPr="00EB61E0" w:rsidRDefault="00EB61E0" w:rsidP="00AD2782">
            <w:pPr>
              <w:keepNext/>
              <w:keepLines/>
              <w:tabs>
                <w:tab w:val="clear" w:pos="567"/>
              </w:tabs>
              <w:spacing w:after="0" w:line="240" w:lineRule="auto"/>
              <w:jc w:val="right"/>
              <w:rPr>
                <w:rFonts w:ascii="Calibri" w:eastAsia="Times New Roman" w:hAnsi="Calibri" w:cs="Times New Roman"/>
                <w:sz w:val="20"/>
                <w:szCs w:val="20"/>
                <w:lang w:eastAsia="en-AU"/>
              </w:rPr>
            </w:pPr>
            <w:r w:rsidRPr="00EB61E0">
              <w:rPr>
                <w:rFonts w:ascii="Calibri" w:eastAsia="Times New Roman" w:hAnsi="Calibri" w:cs="Times New Roman"/>
                <w:sz w:val="20"/>
                <w:szCs w:val="20"/>
                <w:lang w:eastAsia="en-AU"/>
              </w:rPr>
              <w:t>NT</w:t>
            </w:r>
          </w:p>
        </w:tc>
        <w:tc>
          <w:tcPr>
            <w:tcW w:w="840" w:type="dxa"/>
            <w:tcBorders>
              <w:top w:val="single" w:sz="4" w:space="0" w:color="auto"/>
              <w:left w:val="nil"/>
              <w:bottom w:val="single" w:sz="4" w:space="0" w:color="auto"/>
              <w:right w:val="nil"/>
            </w:tcBorders>
            <w:shd w:val="clear" w:color="auto" w:fill="auto"/>
            <w:noWrap/>
            <w:vAlign w:val="center"/>
            <w:hideMark/>
          </w:tcPr>
          <w:p w14:paraId="083EA3C9" w14:textId="77777777" w:rsidR="00EB61E0" w:rsidRPr="00EB61E0" w:rsidRDefault="00EB61E0" w:rsidP="00AD2782">
            <w:pPr>
              <w:keepNext/>
              <w:keepLines/>
              <w:tabs>
                <w:tab w:val="clear" w:pos="567"/>
              </w:tabs>
              <w:spacing w:after="0" w:line="240" w:lineRule="auto"/>
              <w:jc w:val="right"/>
              <w:rPr>
                <w:rFonts w:ascii="Calibri" w:eastAsia="Times New Roman" w:hAnsi="Calibri" w:cs="Times New Roman"/>
                <w:sz w:val="20"/>
                <w:szCs w:val="20"/>
                <w:lang w:eastAsia="en-AU"/>
              </w:rPr>
            </w:pPr>
            <w:proofErr w:type="spellStart"/>
            <w:r w:rsidRPr="00EB61E0">
              <w:rPr>
                <w:rFonts w:ascii="Calibri" w:eastAsia="Times New Roman" w:hAnsi="Calibri" w:cs="Times New Roman"/>
                <w:sz w:val="20"/>
                <w:szCs w:val="20"/>
                <w:lang w:eastAsia="en-AU"/>
              </w:rPr>
              <w:t>Redist</w:t>
            </w:r>
            <w:proofErr w:type="spellEnd"/>
          </w:p>
        </w:tc>
      </w:tr>
      <w:tr w:rsidR="00EB61E0" w:rsidRPr="00EB61E0" w14:paraId="11D3F06B" w14:textId="77777777" w:rsidTr="00EB61E0">
        <w:trPr>
          <w:trHeight w:val="259"/>
        </w:trPr>
        <w:tc>
          <w:tcPr>
            <w:tcW w:w="2640" w:type="dxa"/>
            <w:tcBorders>
              <w:top w:val="nil"/>
              <w:left w:val="nil"/>
              <w:bottom w:val="nil"/>
              <w:right w:val="nil"/>
            </w:tcBorders>
            <w:shd w:val="clear" w:color="auto" w:fill="auto"/>
            <w:noWrap/>
            <w:vAlign w:val="bottom"/>
            <w:hideMark/>
          </w:tcPr>
          <w:p w14:paraId="2ABDCF08" w14:textId="77777777" w:rsidR="00EB61E0" w:rsidRPr="00EB61E0" w:rsidRDefault="00EB61E0" w:rsidP="00AD2782">
            <w:pPr>
              <w:keepNext/>
              <w:keepLines/>
              <w:tabs>
                <w:tab w:val="clear" w:pos="567"/>
              </w:tabs>
              <w:spacing w:after="0" w:line="240" w:lineRule="auto"/>
              <w:jc w:val="right"/>
              <w:rPr>
                <w:rFonts w:ascii="Calibri" w:eastAsia="Times New Roman" w:hAnsi="Calibri" w:cs="Times New Roman"/>
                <w:sz w:val="20"/>
                <w:szCs w:val="20"/>
                <w:lang w:eastAsia="en-AU"/>
              </w:rPr>
            </w:pPr>
          </w:p>
        </w:tc>
        <w:tc>
          <w:tcPr>
            <w:tcW w:w="740" w:type="dxa"/>
            <w:tcBorders>
              <w:top w:val="nil"/>
              <w:left w:val="nil"/>
              <w:bottom w:val="nil"/>
              <w:right w:val="nil"/>
            </w:tcBorders>
            <w:shd w:val="clear" w:color="auto" w:fill="auto"/>
            <w:noWrap/>
            <w:vAlign w:val="bottom"/>
            <w:hideMark/>
          </w:tcPr>
          <w:p w14:paraId="4EBC3B40" w14:textId="77777777" w:rsidR="00EB61E0" w:rsidRPr="00EB61E0" w:rsidRDefault="00EB61E0" w:rsidP="00AD2782">
            <w:pPr>
              <w:keepNext/>
              <w:keepLines/>
              <w:tabs>
                <w:tab w:val="clear" w:pos="567"/>
              </w:tabs>
              <w:spacing w:after="0" w:line="240" w:lineRule="auto"/>
              <w:jc w:val="right"/>
              <w:rPr>
                <w:rFonts w:ascii="Calibri" w:eastAsia="Times New Roman" w:hAnsi="Calibri" w:cs="Times New Roman"/>
                <w:sz w:val="20"/>
                <w:szCs w:val="20"/>
                <w:lang w:eastAsia="en-AU"/>
              </w:rPr>
            </w:pPr>
            <w:r w:rsidRPr="00EB61E0">
              <w:rPr>
                <w:rFonts w:ascii="Calibri" w:eastAsia="Times New Roman" w:hAnsi="Calibri" w:cs="Times New Roman"/>
                <w:sz w:val="20"/>
                <w:szCs w:val="20"/>
                <w:lang w:eastAsia="en-AU"/>
              </w:rPr>
              <w:t>$m</w:t>
            </w:r>
          </w:p>
        </w:tc>
        <w:tc>
          <w:tcPr>
            <w:tcW w:w="640" w:type="dxa"/>
            <w:tcBorders>
              <w:top w:val="nil"/>
              <w:left w:val="nil"/>
              <w:bottom w:val="nil"/>
              <w:right w:val="nil"/>
            </w:tcBorders>
            <w:shd w:val="clear" w:color="auto" w:fill="auto"/>
            <w:noWrap/>
            <w:vAlign w:val="bottom"/>
            <w:hideMark/>
          </w:tcPr>
          <w:p w14:paraId="2639DBD2" w14:textId="77777777" w:rsidR="00EB61E0" w:rsidRPr="00EB61E0" w:rsidRDefault="00EB61E0" w:rsidP="00AD2782">
            <w:pPr>
              <w:keepNext/>
              <w:keepLines/>
              <w:tabs>
                <w:tab w:val="clear" w:pos="567"/>
              </w:tabs>
              <w:spacing w:after="0" w:line="240" w:lineRule="auto"/>
              <w:jc w:val="right"/>
              <w:rPr>
                <w:rFonts w:ascii="Calibri" w:eastAsia="Times New Roman" w:hAnsi="Calibri" w:cs="Times New Roman"/>
                <w:sz w:val="20"/>
                <w:szCs w:val="20"/>
                <w:lang w:eastAsia="en-AU"/>
              </w:rPr>
            </w:pPr>
            <w:r w:rsidRPr="00EB61E0">
              <w:rPr>
                <w:rFonts w:ascii="Calibri" w:eastAsia="Times New Roman" w:hAnsi="Calibri" w:cs="Times New Roman"/>
                <w:sz w:val="20"/>
                <w:szCs w:val="20"/>
                <w:lang w:eastAsia="en-AU"/>
              </w:rPr>
              <w:t>$m</w:t>
            </w:r>
          </w:p>
        </w:tc>
        <w:tc>
          <w:tcPr>
            <w:tcW w:w="740" w:type="dxa"/>
            <w:tcBorders>
              <w:top w:val="nil"/>
              <w:left w:val="nil"/>
              <w:bottom w:val="nil"/>
              <w:right w:val="nil"/>
            </w:tcBorders>
            <w:shd w:val="clear" w:color="auto" w:fill="auto"/>
            <w:noWrap/>
            <w:vAlign w:val="bottom"/>
            <w:hideMark/>
          </w:tcPr>
          <w:p w14:paraId="14B2CB67" w14:textId="77777777" w:rsidR="00EB61E0" w:rsidRPr="00EB61E0" w:rsidRDefault="00EB61E0" w:rsidP="00AD2782">
            <w:pPr>
              <w:keepNext/>
              <w:keepLines/>
              <w:tabs>
                <w:tab w:val="clear" w:pos="567"/>
              </w:tabs>
              <w:spacing w:after="0" w:line="240" w:lineRule="auto"/>
              <w:jc w:val="right"/>
              <w:rPr>
                <w:rFonts w:ascii="Calibri" w:eastAsia="Times New Roman" w:hAnsi="Calibri" w:cs="Times New Roman"/>
                <w:sz w:val="20"/>
                <w:szCs w:val="20"/>
                <w:lang w:eastAsia="en-AU"/>
              </w:rPr>
            </w:pPr>
            <w:r w:rsidRPr="00EB61E0">
              <w:rPr>
                <w:rFonts w:ascii="Calibri" w:eastAsia="Times New Roman" w:hAnsi="Calibri" w:cs="Times New Roman"/>
                <w:sz w:val="20"/>
                <w:szCs w:val="20"/>
                <w:lang w:eastAsia="en-AU"/>
              </w:rPr>
              <w:t>$m</w:t>
            </w:r>
          </w:p>
        </w:tc>
        <w:tc>
          <w:tcPr>
            <w:tcW w:w="740" w:type="dxa"/>
            <w:tcBorders>
              <w:top w:val="nil"/>
              <w:left w:val="nil"/>
              <w:bottom w:val="nil"/>
              <w:right w:val="nil"/>
            </w:tcBorders>
            <w:shd w:val="clear" w:color="auto" w:fill="auto"/>
            <w:noWrap/>
            <w:vAlign w:val="bottom"/>
            <w:hideMark/>
          </w:tcPr>
          <w:p w14:paraId="2A31E62B" w14:textId="77777777" w:rsidR="00EB61E0" w:rsidRPr="00EB61E0" w:rsidRDefault="00EB61E0" w:rsidP="00AD2782">
            <w:pPr>
              <w:keepNext/>
              <w:keepLines/>
              <w:tabs>
                <w:tab w:val="clear" w:pos="567"/>
              </w:tabs>
              <w:spacing w:after="0" w:line="240" w:lineRule="auto"/>
              <w:jc w:val="right"/>
              <w:rPr>
                <w:rFonts w:ascii="Calibri" w:eastAsia="Times New Roman" w:hAnsi="Calibri" w:cs="Times New Roman"/>
                <w:sz w:val="20"/>
                <w:szCs w:val="20"/>
                <w:lang w:eastAsia="en-AU"/>
              </w:rPr>
            </w:pPr>
            <w:r w:rsidRPr="00EB61E0">
              <w:rPr>
                <w:rFonts w:ascii="Calibri" w:eastAsia="Times New Roman" w:hAnsi="Calibri" w:cs="Times New Roman"/>
                <w:sz w:val="20"/>
                <w:szCs w:val="20"/>
                <w:lang w:eastAsia="en-AU"/>
              </w:rPr>
              <w:t>$m</w:t>
            </w:r>
          </w:p>
        </w:tc>
        <w:tc>
          <w:tcPr>
            <w:tcW w:w="640" w:type="dxa"/>
            <w:tcBorders>
              <w:top w:val="nil"/>
              <w:left w:val="nil"/>
              <w:bottom w:val="nil"/>
              <w:right w:val="nil"/>
            </w:tcBorders>
            <w:shd w:val="clear" w:color="auto" w:fill="auto"/>
            <w:noWrap/>
            <w:vAlign w:val="bottom"/>
            <w:hideMark/>
          </w:tcPr>
          <w:p w14:paraId="5757B87E" w14:textId="77777777" w:rsidR="00EB61E0" w:rsidRPr="00EB61E0" w:rsidRDefault="00EB61E0" w:rsidP="00AD2782">
            <w:pPr>
              <w:keepNext/>
              <w:keepLines/>
              <w:tabs>
                <w:tab w:val="clear" w:pos="567"/>
              </w:tabs>
              <w:spacing w:after="0" w:line="240" w:lineRule="auto"/>
              <w:jc w:val="right"/>
              <w:rPr>
                <w:rFonts w:ascii="Calibri" w:eastAsia="Times New Roman" w:hAnsi="Calibri" w:cs="Times New Roman"/>
                <w:sz w:val="20"/>
                <w:szCs w:val="20"/>
                <w:lang w:eastAsia="en-AU"/>
              </w:rPr>
            </w:pPr>
            <w:r w:rsidRPr="00EB61E0">
              <w:rPr>
                <w:rFonts w:ascii="Calibri" w:eastAsia="Times New Roman" w:hAnsi="Calibri" w:cs="Times New Roman"/>
                <w:sz w:val="20"/>
                <w:szCs w:val="20"/>
                <w:lang w:eastAsia="en-AU"/>
              </w:rPr>
              <w:t>$m</w:t>
            </w:r>
          </w:p>
        </w:tc>
        <w:tc>
          <w:tcPr>
            <w:tcW w:w="640" w:type="dxa"/>
            <w:tcBorders>
              <w:top w:val="nil"/>
              <w:left w:val="nil"/>
              <w:bottom w:val="nil"/>
              <w:right w:val="nil"/>
            </w:tcBorders>
            <w:shd w:val="clear" w:color="auto" w:fill="auto"/>
            <w:noWrap/>
            <w:vAlign w:val="bottom"/>
            <w:hideMark/>
          </w:tcPr>
          <w:p w14:paraId="5B4D8E71" w14:textId="77777777" w:rsidR="00EB61E0" w:rsidRPr="00EB61E0" w:rsidRDefault="00EB61E0" w:rsidP="00AD2782">
            <w:pPr>
              <w:keepNext/>
              <w:keepLines/>
              <w:tabs>
                <w:tab w:val="clear" w:pos="567"/>
              </w:tabs>
              <w:spacing w:after="0" w:line="240" w:lineRule="auto"/>
              <w:jc w:val="right"/>
              <w:rPr>
                <w:rFonts w:ascii="Calibri" w:eastAsia="Times New Roman" w:hAnsi="Calibri" w:cs="Times New Roman"/>
                <w:sz w:val="20"/>
                <w:szCs w:val="20"/>
                <w:lang w:eastAsia="en-AU"/>
              </w:rPr>
            </w:pPr>
            <w:r w:rsidRPr="00EB61E0">
              <w:rPr>
                <w:rFonts w:ascii="Calibri" w:eastAsia="Times New Roman" w:hAnsi="Calibri" w:cs="Times New Roman"/>
                <w:sz w:val="20"/>
                <w:szCs w:val="20"/>
                <w:lang w:eastAsia="en-AU"/>
              </w:rPr>
              <w:t>$m</w:t>
            </w:r>
          </w:p>
        </w:tc>
        <w:tc>
          <w:tcPr>
            <w:tcW w:w="640" w:type="dxa"/>
            <w:tcBorders>
              <w:top w:val="nil"/>
              <w:left w:val="nil"/>
              <w:bottom w:val="nil"/>
              <w:right w:val="nil"/>
            </w:tcBorders>
            <w:shd w:val="clear" w:color="auto" w:fill="auto"/>
            <w:noWrap/>
            <w:vAlign w:val="bottom"/>
            <w:hideMark/>
          </w:tcPr>
          <w:p w14:paraId="495E68A1" w14:textId="77777777" w:rsidR="00EB61E0" w:rsidRPr="00EB61E0" w:rsidRDefault="00EB61E0" w:rsidP="00AD2782">
            <w:pPr>
              <w:keepNext/>
              <w:keepLines/>
              <w:tabs>
                <w:tab w:val="clear" w:pos="567"/>
              </w:tabs>
              <w:spacing w:after="0" w:line="240" w:lineRule="auto"/>
              <w:jc w:val="right"/>
              <w:rPr>
                <w:rFonts w:ascii="Calibri" w:eastAsia="Times New Roman" w:hAnsi="Calibri" w:cs="Times New Roman"/>
                <w:sz w:val="20"/>
                <w:szCs w:val="20"/>
                <w:lang w:eastAsia="en-AU"/>
              </w:rPr>
            </w:pPr>
            <w:r w:rsidRPr="00EB61E0">
              <w:rPr>
                <w:rFonts w:ascii="Calibri" w:eastAsia="Times New Roman" w:hAnsi="Calibri" w:cs="Times New Roman"/>
                <w:sz w:val="20"/>
                <w:szCs w:val="20"/>
                <w:lang w:eastAsia="en-AU"/>
              </w:rPr>
              <w:t>$m</w:t>
            </w:r>
          </w:p>
        </w:tc>
        <w:tc>
          <w:tcPr>
            <w:tcW w:w="740" w:type="dxa"/>
            <w:tcBorders>
              <w:top w:val="nil"/>
              <w:left w:val="nil"/>
              <w:bottom w:val="nil"/>
              <w:right w:val="nil"/>
            </w:tcBorders>
            <w:shd w:val="clear" w:color="auto" w:fill="auto"/>
            <w:noWrap/>
            <w:vAlign w:val="bottom"/>
            <w:hideMark/>
          </w:tcPr>
          <w:p w14:paraId="45E0D1B0" w14:textId="77777777" w:rsidR="00EB61E0" w:rsidRPr="00EB61E0" w:rsidRDefault="00EB61E0" w:rsidP="00AD2782">
            <w:pPr>
              <w:keepNext/>
              <w:keepLines/>
              <w:tabs>
                <w:tab w:val="clear" w:pos="567"/>
              </w:tabs>
              <w:spacing w:after="0" w:line="240" w:lineRule="auto"/>
              <w:jc w:val="right"/>
              <w:rPr>
                <w:rFonts w:ascii="Calibri" w:eastAsia="Times New Roman" w:hAnsi="Calibri" w:cs="Times New Roman"/>
                <w:sz w:val="20"/>
                <w:szCs w:val="20"/>
                <w:lang w:eastAsia="en-AU"/>
              </w:rPr>
            </w:pPr>
            <w:r w:rsidRPr="00EB61E0">
              <w:rPr>
                <w:rFonts w:ascii="Calibri" w:eastAsia="Times New Roman" w:hAnsi="Calibri" w:cs="Times New Roman"/>
                <w:sz w:val="20"/>
                <w:szCs w:val="20"/>
                <w:lang w:eastAsia="en-AU"/>
              </w:rPr>
              <w:t>$m</w:t>
            </w:r>
          </w:p>
        </w:tc>
        <w:tc>
          <w:tcPr>
            <w:tcW w:w="840" w:type="dxa"/>
            <w:tcBorders>
              <w:top w:val="nil"/>
              <w:left w:val="nil"/>
              <w:bottom w:val="nil"/>
              <w:right w:val="nil"/>
            </w:tcBorders>
            <w:shd w:val="clear" w:color="auto" w:fill="auto"/>
            <w:noWrap/>
            <w:vAlign w:val="bottom"/>
            <w:hideMark/>
          </w:tcPr>
          <w:p w14:paraId="5CD927AD" w14:textId="77777777" w:rsidR="00EB61E0" w:rsidRPr="00EB61E0" w:rsidRDefault="00EB61E0" w:rsidP="00AD2782">
            <w:pPr>
              <w:keepNext/>
              <w:keepLines/>
              <w:tabs>
                <w:tab w:val="clear" w:pos="567"/>
              </w:tabs>
              <w:spacing w:after="0" w:line="240" w:lineRule="auto"/>
              <w:jc w:val="right"/>
              <w:rPr>
                <w:rFonts w:ascii="Calibri" w:eastAsia="Times New Roman" w:hAnsi="Calibri" w:cs="Times New Roman"/>
                <w:sz w:val="20"/>
                <w:szCs w:val="20"/>
                <w:lang w:eastAsia="en-AU"/>
              </w:rPr>
            </w:pPr>
            <w:r w:rsidRPr="00EB61E0">
              <w:rPr>
                <w:rFonts w:ascii="Calibri" w:eastAsia="Times New Roman" w:hAnsi="Calibri" w:cs="Times New Roman"/>
                <w:sz w:val="20"/>
                <w:szCs w:val="20"/>
                <w:lang w:eastAsia="en-AU"/>
              </w:rPr>
              <w:t>$m</w:t>
            </w:r>
          </w:p>
        </w:tc>
      </w:tr>
      <w:tr w:rsidR="00EB61E0" w:rsidRPr="00EB61E0" w14:paraId="4CDBFE8C" w14:textId="77777777" w:rsidTr="00AD2782">
        <w:trPr>
          <w:trHeight w:val="315"/>
        </w:trPr>
        <w:tc>
          <w:tcPr>
            <w:tcW w:w="2640" w:type="dxa"/>
            <w:tcBorders>
              <w:top w:val="nil"/>
              <w:left w:val="nil"/>
              <w:bottom w:val="nil"/>
              <w:right w:val="nil"/>
            </w:tcBorders>
            <w:shd w:val="clear" w:color="auto" w:fill="auto"/>
            <w:noWrap/>
            <w:vAlign w:val="bottom"/>
            <w:hideMark/>
          </w:tcPr>
          <w:p w14:paraId="0ABAE0D0" w14:textId="77777777" w:rsidR="00EB61E0" w:rsidRPr="00EB61E0" w:rsidRDefault="00EB61E0" w:rsidP="00AD2782">
            <w:pPr>
              <w:keepNext/>
              <w:keepLines/>
              <w:tabs>
                <w:tab w:val="clear" w:pos="567"/>
              </w:tabs>
              <w:spacing w:after="0" w:line="240" w:lineRule="auto"/>
              <w:rPr>
                <w:rFonts w:ascii="Calibri" w:eastAsia="Times New Roman" w:hAnsi="Calibri" w:cs="Times New Roman"/>
                <w:sz w:val="20"/>
                <w:szCs w:val="20"/>
                <w:lang w:eastAsia="en-AU"/>
              </w:rPr>
            </w:pPr>
            <w:r w:rsidRPr="00EB61E0">
              <w:rPr>
                <w:rFonts w:ascii="Calibri" w:eastAsia="Times New Roman" w:hAnsi="Calibri" w:cs="Times New Roman"/>
                <w:sz w:val="20"/>
                <w:szCs w:val="20"/>
                <w:lang w:eastAsia="en-AU"/>
              </w:rPr>
              <w:t>Dollars million</w:t>
            </w:r>
          </w:p>
        </w:tc>
        <w:tc>
          <w:tcPr>
            <w:tcW w:w="740" w:type="dxa"/>
            <w:tcBorders>
              <w:top w:val="nil"/>
              <w:left w:val="nil"/>
              <w:right w:val="nil"/>
            </w:tcBorders>
            <w:shd w:val="clear" w:color="auto" w:fill="auto"/>
            <w:noWrap/>
            <w:vAlign w:val="bottom"/>
            <w:hideMark/>
          </w:tcPr>
          <w:p w14:paraId="3E4F37EC" w14:textId="77777777" w:rsidR="00EB61E0" w:rsidRPr="00EB61E0" w:rsidRDefault="00EB61E0" w:rsidP="00AD2782">
            <w:pPr>
              <w:keepNext/>
              <w:keepLines/>
              <w:tabs>
                <w:tab w:val="clear" w:pos="567"/>
              </w:tabs>
              <w:spacing w:after="0" w:line="240" w:lineRule="auto"/>
              <w:jc w:val="right"/>
              <w:rPr>
                <w:rFonts w:ascii="Calibri" w:eastAsia="Times New Roman" w:hAnsi="Calibri" w:cs="Times New Roman"/>
                <w:sz w:val="20"/>
                <w:szCs w:val="20"/>
                <w:lang w:eastAsia="en-AU"/>
              </w:rPr>
            </w:pPr>
            <w:r w:rsidRPr="00EB61E0">
              <w:rPr>
                <w:rFonts w:ascii="Calibri" w:eastAsia="Times New Roman" w:hAnsi="Calibri" w:cs="Times New Roman"/>
                <w:sz w:val="20"/>
                <w:szCs w:val="20"/>
                <w:lang w:eastAsia="en-AU"/>
              </w:rPr>
              <w:t>-55</w:t>
            </w:r>
          </w:p>
        </w:tc>
        <w:tc>
          <w:tcPr>
            <w:tcW w:w="640" w:type="dxa"/>
            <w:tcBorders>
              <w:top w:val="nil"/>
              <w:left w:val="nil"/>
              <w:right w:val="nil"/>
            </w:tcBorders>
            <w:shd w:val="clear" w:color="auto" w:fill="auto"/>
            <w:noWrap/>
            <w:vAlign w:val="bottom"/>
            <w:hideMark/>
          </w:tcPr>
          <w:p w14:paraId="00212098" w14:textId="77777777" w:rsidR="00EB61E0" w:rsidRPr="00EB61E0" w:rsidRDefault="00EB61E0" w:rsidP="00AD2782">
            <w:pPr>
              <w:keepNext/>
              <w:keepLines/>
              <w:tabs>
                <w:tab w:val="clear" w:pos="567"/>
              </w:tabs>
              <w:spacing w:after="0" w:line="240" w:lineRule="auto"/>
              <w:jc w:val="right"/>
              <w:rPr>
                <w:rFonts w:ascii="Calibri" w:eastAsia="Times New Roman" w:hAnsi="Calibri" w:cs="Times New Roman"/>
                <w:sz w:val="20"/>
                <w:szCs w:val="20"/>
                <w:lang w:eastAsia="en-AU"/>
              </w:rPr>
            </w:pPr>
            <w:r w:rsidRPr="00EB61E0">
              <w:rPr>
                <w:rFonts w:ascii="Calibri" w:eastAsia="Times New Roman" w:hAnsi="Calibri" w:cs="Times New Roman"/>
                <w:sz w:val="20"/>
                <w:szCs w:val="20"/>
                <w:lang w:eastAsia="en-AU"/>
              </w:rPr>
              <w:t>-43</w:t>
            </w:r>
          </w:p>
        </w:tc>
        <w:tc>
          <w:tcPr>
            <w:tcW w:w="740" w:type="dxa"/>
            <w:tcBorders>
              <w:top w:val="nil"/>
              <w:left w:val="nil"/>
              <w:right w:val="nil"/>
            </w:tcBorders>
            <w:shd w:val="clear" w:color="auto" w:fill="auto"/>
            <w:noWrap/>
            <w:vAlign w:val="bottom"/>
            <w:hideMark/>
          </w:tcPr>
          <w:p w14:paraId="11EC221E" w14:textId="77777777" w:rsidR="00EB61E0" w:rsidRPr="00EB61E0" w:rsidRDefault="00EB61E0" w:rsidP="00AD2782">
            <w:pPr>
              <w:keepNext/>
              <w:keepLines/>
              <w:tabs>
                <w:tab w:val="clear" w:pos="567"/>
              </w:tabs>
              <w:spacing w:after="0" w:line="240" w:lineRule="auto"/>
              <w:jc w:val="right"/>
              <w:rPr>
                <w:rFonts w:ascii="Calibri" w:eastAsia="Times New Roman" w:hAnsi="Calibri" w:cs="Times New Roman"/>
                <w:sz w:val="20"/>
                <w:szCs w:val="20"/>
                <w:lang w:eastAsia="en-AU"/>
              </w:rPr>
            </w:pPr>
            <w:r w:rsidRPr="00EB61E0">
              <w:rPr>
                <w:rFonts w:ascii="Calibri" w:eastAsia="Times New Roman" w:hAnsi="Calibri" w:cs="Times New Roman"/>
                <w:sz w:val="20"/>
                <w:szCs w:val="20"/>
                <w:lang w:eastAsia="en-AU"/>
              </w:rPr>
              <w:t>9</w:t>
            </w:r>
          </w:p>
        </w:tc>
        <w:tc>
          <w:tcPr>
            <w:tcW w:w="740" w:type="dxa"/>
            <w:tcBorders>
              <w:top w:val="nil"/>
              <w:left w:val="nil"/>
              <w:right w:val="nil"/>
            </w:tcBorders>
            <w:shd w:val="clear" w:color="auto" w:fill="auto"/>
            <w:noWrap/>
            <w:vAlign w:val="bottom"/>
            <w:hideMark/>
          </w:tcPr>
          <w:p w14:paraId="2AE58389" w14:textId="77777777" w:rsidR="00EB61E0" w:rsidRPr="00EB61E0" w:rsidRDefault="00EB61E0" w:rsidP="00AD2782">
            <w:pPr>
              <w:keepNext/>
              <w:keepLines/>
              <w:tabs>
                <w:tab w:val="clear" w:pos="567"/>
              </w:tabs>
              <w:spacing w:after="0" w:line="240" w:lineRule="auto"/>
              <w:jc w:val="right"/>
              <w:rPr>
                <w:rFonts w:ascii="Calibri" w:eastAsia="Times New Roman" w:hAnsi="Calibri" w:cs="Times New Roman"/>
                <w:sz w:val="20"/>
                <w:szCs w:val="20"/>
                <w:lang w:eastAsia="en-AU"/>
              </w:rPr>
            </w:pPr>
            <w:r w:rsidRPr="00EB61E0">
              <w:rPr>
                <w:rFonts w:ascii="Calibri" w:eastAsia="Times New Roman" w:hAnsi="Calibri" w:cs="Times New Roman"/>
                <w:sz w:val="20"/>
                <w:szCs w:val="20"/>
                <w:lang w:eastAsia="en-AU"/>
              </w:rPr>
              <w:t>60</w:t>
            </w:r>
          </w:p>
        </w:tc>
        <w:tc>
          <w:tcPr>
            <w:tcW w:w="640" w:type="dxa"/>
            <w:tcBorders>
              <w:top w:val="nil"/>
              <w:left w:val="nil"/>
              <w:right w:val="nil"/>
            </w:tcBorders>
            <w:shd w:val="clear" w:color="auto" w:fill="auto"/>
            <w:noWrap/>
            <w:vAlign w:val="bottom"/>
            <w:hideMark/>
          </w:tcPr>
          <w:p w14:paraId="41F3EE2D" w14:textId="77777777" w:rsidR="00EB61E0" w:rsidRPr="00EB61E0" w:rsidRDefault="00EB61E0" w:rsidP="00AD2782">
            <w:pPr>
              <w:keepNext/>
              <w:keepLines/>
              <w:tabs>
                <w:tab w:val="clear" w:pos="567"/>
              </w:tabs>
              <w:spacing w:after="0" w:line="240" w:lineRule="auto"/>
              <w:jc w:val="right"/>
              <w:rPr>
                <w:rFonts w:ascii="Calibri" w:eastAsia="Times New Roman" w:hAnsi="Calibri" w:cs="Times New Roman"/>
                <w:sz w:val="20"/>
                <w:szCs w:val="20"/>
                <w:lang w:eastAsia="en-AU"/>
              </w:rPr>
            </w:pPr>
            <w:r w:rsidRPr="00EB61E0">
              <w:rPr>
                <w:rFonts w:ascii="Calibri" w:eastAsia="Times New Roman" w:hAnsi="Calibri" w:cs="Times New Roman"/>
                <w:sz w:val="20"/>
                <w:szCs w:val="20"/>
                <w:lang w:eastAsia="en-AU"/>
              </w:rPr>
              <w:t>3</w:t>
            </w:r>
          </w:p>
        </w:tc>
        <w:tc>
          <w:tcPr>
            <w:tcW w:w="640" w:type="dxa"/>
            <w:tcBorders>
              <w:top w:val="nil"/>
              <w:left w:val="nil"/>
              <w:right w:val="nil"/>
            </w:tcBorders>
            <w:shd w:val="clear" w:color="auto" w:fill="auto"/>
            <w:noWrap/>
            <w:vAlign w:val="bottom"/>
            <w:hideMark/>
          </w:tcPr>
          <w:p w14:paraId="4605045F" w14:textId="77777777" w:rsidR="00EB61E0" w:rsidRPr="00EB61E0" w:rsidRDefault="00EB61E0" w:rsidP="00AD2782">
            <w:pPr>
              <w:keepNext/>
              <w:keepLines/>
              <w:tabs>
                <w:tab w:val="clear" w:pos="567"/>
              </w:tabs>
              <w:spacing w:after="0" w:line="240" w:lineRule="auto"/>
              <w:jc w:val="right"/>
              <w:rPr>
                <w:rFonts w:ascii="Calibri" w:eastAsia="Times New Roman" w:hAnsi="Calibri" w:cs="Times New Roman"/>
                <w:sz w:val="20"/>
                <w:szCs w:val="20"/>
                <w:lang w:eastAsia="en-AU"/>
              </w:rPr>
            </w:pPr>
            <w:r w:rsidRPr="00EB61E0">
              <w:rPr>
                <w:rFonts w:ascii="Calibri" w:eastAsia="Times New Roman" w:hAnsi="Calibri" w:cs="Times New Roman"/>
                <w:sz w:val="20"/>
                <w:szCs w:val="20"/>
                <w:lang w:eastAsia="en-AU"/>
              </w:rPr>
              <w:t>-4</w:t>
            </w:r>
          </w:p>
        </w:tc>
        <w:tc>
          <w:tcPr>
            <w:tcW w:w="640" w:type="dxa"/>
            <w:tcBorders>
              <w:top w:val="nil"/>
              <w:left w:val="nil"/>
              <w:right w:val="nil"/>
            </w:tcBorders>
            <w:shd w:val="clear" w:color="auto" w:fill="auto"/>
            <w:noWrap/>
            <w:vAlign w:val="bottom"/>
            <w:hideMark/>
          </w:tcPr>
          <w:p w14:paraId="49858A0D" w14:textId="77777777" w:rsidR="00EB61E0" w:rsidRPr="00EB61E0" w:rsidRDefault="00EB61E0" w:rsidP="00AD2782">
            <w:pPr>
              <w:keepNext/>
              <w:keepLines/>
              <w:tabs>
                <w:tab w:val="clear" w:pos="567"/>
              </w:tabs>
              <w:spacing w:after="0" w:line="240" w:lineRule="auto"/>
              <w:jc w:val="right"/>
              <w:rPr>
                <w:rFonts w:ascii="Calibri" w:eastAsia="Times New Roman" w:hAnsi="Calibri" w:cs="Times New Roman"/>
                <w:sz w:val="20"/>
                <w:szCs w:val="20"/>
                <w:lang w:eastAsia="en-AU"/>
              </w:rPr>
            </w:pPr>
            <w:r w:rsidRPr="00EB61E0">
              <w:rPr>
                <w:rFonts w:ascii="Calibri" w:eastAsia="Times New Roman" w:hAnsi="Calibri" w:cs="Times New Roman"/>
                <w:sz w:val="20"/>
                <w:szCs w:val="20"/>
                <w:lang w:eastAsia="en-AU"/>
              </w:rPr>
              <w:t>-3</w:t>
            </w:r>
          </w:p>
        </w:tc>
        <w:tc>
          <w:tcPr>
            <w:tcW w:w="740" w:type="dxa"/>
            <w:tcBorders>
              <w:top w:val="nil"/>
              <w:left w:val="nil"/>
              <w:right w:val="nil"/>
            </w:tcBorders>
            <w:shd w:val="clear" w:color="auto" w:fill="auto"/>
            <w:noWrap/>
            <w:vAlign w:val="bottom"/>
            <w:hideMark/>
          </w:tcPr>
          <w:p w14:paraId="230DF0E3" w14:textId="77777777" w:rsidR="00EB61E0" w:rsidRPr="00EB61E0" w:rsidRDefault="00EB61E0" w:rsidP="00AD2782">
            <w:pPr>
              <w:keepNext/>
              <w:keepLines/>
              <w:tabs>
                <w:tab w:val="clear" w:pos="567"/>
              </w:tabs>
              <w:spacing w:after="0" w:line="240" w:lineRule="auto"/>
              <w:jc w:val="right"/>
              <w:rPr>
                <w:rFonts w:ascii="Calibri" w:eastAsia="Times New Roman" w:hAnsi="Calibri" w:cs="Times New Roman"/>
                <w:sz w:val="20"/>
                <w:szCs w:val="20"/>
                <w:lang w:eastAsia="en-AU"/>
              </w:rPr>
            </w:pPr>
            <w:r w:rsidRPr="00EB61E0">
              <w:rPr>
                <w:rFonts w:ascii="Calibri" w:eastAsia="Times New Roman" w:hAnsi="Calibri" w:cs="Times New Roman"/>
                <w:sz w:val="20"/>
                <w:szCs w:val="20"/>
                <w:lang w:eastAsia="en-AU"/>
              </w:rPr>
              <w:t>34</w:t>
            </w:r>
          </w:p>
        </w:tc>
        <w:tc>
          <w:tcPr>
            <w:tcW w:w="840" w:type="dxa"/>
            <w:tcBorders>
              <w:top w:val="nil"/>
              <w:left w:val="nil"/>
              <w:right w:val="nil"/>
            </w:tcBorders>
            <w:shd w:val="clear" w:color="auto" w:fill="auto"/>
            <w:noWrap/>
            <w:vAlign w:val="bottom"/>
            <w:hideMark/>
          </w:tcPr>
          <w:p w14:paraId="68DEF7F9" w14:textId="77777777" w:rsidR="00EB61E0" w:rsidRPr="00EB61E0" w:rsidRDefault="00EB61E0" w:rsidP="00AD2782">
            <w:pPr>
              <w:keepNext/>
              <w:keepLines/>
              <w:tabs>
                <w:tab w:val="clear" w:pos="567"/>
              </w:tabs>
              <w:spacing w:after="0" w:line="240" w:lineRule="auto"/>
              <w:jc w:val="right"/>
              <w:rPr>
                <w:rFonts w:ascii="Calibri" w:eastAsia="Times New Roman" w:hAnsi="Calibri" w:cs="Times New Roman"/>
                <w:sz w:val="20"/>
                <w:szCs w:val="20"/>
                <w:lang w:eastAsia="en-AU"/>
              </w:rPr>
            </w:pPr>
            <w:r w:rsidRPr="00EB61E0">
              <w:rPr>
                <w:rFonts w:ascii="Calibri" w:eastAsia="Times New Roman" w:hAnsi="Calibri" w:cs="Times New Roman"/>
                <w:sz w:val="20"/>
                <w:szCs w:val="20"/>
                <w:lang w:eastAsia="en-AU"/>
              </w:rPr>
              <w:t>106</w:t>
            </w:r>
          </w:p>
        </w:tc>
      </w:tr>
      <w:tr w:rsidR="00EB61E0" w:rsidRPr="00EB61E0" w14:paraId="11B8962C" w14:textId="77777777" w:rsidTr="00AD2782">
        <w:trPr>
          <w:trHeight w:val="315"/>
        </w:trPr>
        <w:tc>
          <w:tcPr>
            <w:tcW w:w="2640" w:type="dxa"/>
            <w:tcBorders>
              <w:top w:val="nil"/>
              <w:left w:val="nil"/>
              <w:bottom w:val="single" w:sz="4" w:space="0" w:color="auto"/>
              <w:right w:val="nil"/>
            </w:tcBorders>
            <w:shd w:val="clear" w:color="auto" w:fill="auto"/>
            <w:noWrap/>
            <w:vAlign w:val="bottom"/>
            <w:hideMark/>
          </w:tcPr>
          <w:p w14:paraId="2EC11AB3" w14:textId="77777777" w:rsidR="00EB61E0" w:rsidRPr="00EB61E0" w:rsidRDefault="00EB61E0" w:rsidP="00AD2782">
            <w:pPr>
              <w:keepNext/>
              <w:keepLines/>
              <w:tabs>
                <w:tab w:val="clear" w:pos="567"/>
              </w:tabs>
              <w:spacing w:after="0" w:line="240" w:lineRule="auto"/>
              <w:rPr>
                <w:rFonts w:ascii="Calibri" w:eastAsia="Times New Roman" w:hAnsi="Calibri" w:cs="Times New Roman"/>
                <w:sz w:val="20"/>
                <w:szCs w:val="20"/>
                <w:lang w:eastAsia="en-AU"/>
              </w:rPr>
            </w:pPr>
            <w:r w:rsidRPr="00EB61E0">
              <w:rPr>
                <w:rFonts w:ascii="Calibri" w:eastAsia="Times New Roman" w:hAnsi="Calibri" w:cs="Times New Roman"/>
                <w:sz w:val="20"/>
                <w:szCs w:val="20"/>
                <w:lang w:eastAsia="en-AU"/>
              </w:rPr>
              <w:t>Dollars per capita</w:t>
            </w:r>
          </w:p>
        </w:tc>
        <w:tc>
          <w:tcPr>
            <w:tcW w:w="740" w:type="dxa"/>
            <w:tcBorders>
              <w:top w:val="nil"/>
              <w:left w:val="nil"/>
              <w:bottom w:val="single" w:sz="4" w:space="0" w:color="auto"/>
              <w:right w:val="nil"/>
            </w:tcBorders>
            <w:shd w:val="clear" w:color="auto" w:fill="auto"/>
            <w:noWrap/>
            <w:vAlign w:val="bottom"/>
            <w:hideMark/>
          </w:tcPr>
          <w:p w14:paraId="412A16B3" w14:textId="77777777" w:rsidR="00EB61E0" w:rsidRPr="00EB61E0" w:rsidRDefault="00EB61E0" w:rsidP="00AD2782">
            <w:pPr>
              <w:keepNext/>
              <w:keepLines/>
              <w:tabs>
                <w:tab w:val="clear" w:pos="567"/>
              </w:tabs>
              <w:spacing w:after="0" w:line="240" w:lineRule="auto"/>
              <w:jc w:val="right"/>
              <w:rPr>
                <w:rFonts w:ascii="Calibri" w:eastAsia="Times New Roman" w:hAnsi="Calibri" w:cs="Times New Roman"/>
                <w:sz w:val="20"/>
                <w:szCs w:val="20"/>
                <w:lang w:eastAsia="en-AU"/>
              </w:rPr>
            </w:pPr>
            <w:r w:rsidRPr="00EB61E0">
              <w:rPr>
                <w:rFonts w:ascii="Calibri" w:eastAsia="Times New Roman" w:hAnsi="Calibri" w:cs="Times New Roman"/>
                <w:sz w:val="20"/>
                <w:szCs w:val="20"/>
                <w:lang w:eastAsia="en-AU"/>
              </w:rPr>
              <w:t>-7</w:t>
            </w:r>
          </w:p>
        </w:tc>
        <w:tc>
          <w:tcPr>
            <w:tcW w:w="640" w:type="dxa"/>
            <w:tcBorders>
              <w:top w:val="nil"/>
              <w:left w:val="nil"/>
              <w:bottom w:val="single" w:sz="4" w:space="0" w:color="auto"/>
              <w:right w:val="nil"/>
            </w:tcBorders>
            <w:shd w:val="clear" w:color="auto" w:fill="auto"/>
            <w:noWrap/>
            <w:vAlign w:val="bottom"/>
            <w:hideMark/>
          </w:tcPr>
          <w:p w14:paraId="06B5AA6C" w14:textId="77777777" w:rsidR="00EB61E0" w:rsidRPr="00EB61E0" w:rsidRDefault="00EB61E0" w:rsidP="00AD2782">
            <w:pPr>
              <w:keepNext/>
              <w:keepLines/>
              <w:tabs>
                <w:tab w:val="clear" w:pos="567"/>
              </w:tabs>
              <w:spacing w:after="0" w:line="240" w:lineRule="auto"/>
              <w:jc w:val="right"/>
              <w:rPr>
                <w:rFonts w:ascii="Calibri" w:eastAsia="Times New Roman" w:hAnsi="Calibri" w:cs="Times New Roman"/>
                <w:sz w:val="20"/>
                <w:szCs w:val="20"/>
                <w:lang w:eastAsia="en-AU"/>
              </w:rPr>
            </w:pPr>
            <w:r w:rsidRPr="00EB61E0">
              <w:rPr>
                <w:rFonts w:ascii="Calibri" w:eastAsia="Times New Roman" w:hAnsi="Calibri" w:cs="Times New Roman"/>
                <w:sz w:val="20"/>
                <w:szCs w:val="20"/>
                <w:lang w:eastAsia="en-AU"/>
              </w:rPr>
              <w:t>-7</w:t>
            </w:r>
          </w:p>
        </w:tc>
        <w:tc>
          <w:tcPr>
            <w:tcW w:w="740" w:type="dxa"/>
            <w:tcBorders>
              <w:top w:val="nil"/>
              <w:left w:val="nil"/>
              <w:bottom w:val="single" w:sz="4" w:space="0" w:color="auto"/>
              <w:right w:val="nil"/>
            </w:tcBorders>
            <w:shd w:val="clear" w:color="auto" w:fill="auto"/>
            <w:noWrap/>
            <w:vAlign w:val="bottom"/>
            <w:hideMark/>
          </w:tcPr>
          <w:p w14:paraId="0257991A" w14:textId="77777777" w:rsidR="00EB61E0" w:rsidRPr="00EB61E0" w:rsidRDefault="00EB61E0" w:rsidP="00AD2782">
            <w:pPr>
              <w:keepNext/>
              <w:keepLines/>
              <w:tabs>
                <w:tab w:val="clear" w:pos="567"/>
              </w:tabs>
              <w:spacing w:after="0" w:line="240" w:lineRule="auto"/>
              <w:jc w:val="right"/>
              <w:rPr>
                <w:rFonts w:ascii="Calibri" w:eastAsia="Times New Roman" w:hAnsi="Calibri" w:cs="Times New Roman"/>
                <w:sz w:val="20"/>
                <w:szCs w:val="20"/>
                <w:lang w:eastAsia="en-AU"/>
              </w:rPr>
            </w:pPr>
            <w:r w:rsidRPr="00EB61E0">
              <w:rPr>
                <w:rFonts w:ascii="Calibri" w:eastAsia="Times New Roman" w:hAnsi="Calibri" w:cs="Times New Roman"/>
                <w:sz w:val="20"/>
                <w:szCs w:val="20"/>
                <w:lang w:eastAsia="en-AU"/>
              </w:rPr>
              <w:t>2</w:t>
            </w:r>
          </w:p>
        </w:tc>
        <w:tc>
          <w:tcPr>
            <w:tcW w:w="740" w:type="dxa"/>
            <w:tcBorders>
              <w:top w:val="nil"/>
              <w:left w:val="nil"/>
              <w:bottom w:val="single" w:sz="4" w:space="0" w:color="auto"/>
              <w:right w:val="nil"/>
            </w:tcBorders>
            <w:shd w:val="clear" w:color="auto" w:fill="auto"/>
            <w:noWrap/>
            <w:vAlign w:val="bottom"/>
            <w:hideMark/>
          </w:tcPr>
          <w:p w14:paraId="75991FD5" w14:textId="77777777" w:rsidR="00EB61E0" w:rsidRPr="00EB61E0" w:rsidRDefault="00EB61E0" w:rsidP="00AD2782">
            <w:pPr>
              <w:keepNext/>
              <w:keepLines/>
              <w:tabs>
                <w:tab w:val="clear" w:pos="567"/>
              </w:tabs>
              <w:spacing w:after="0" w:line="240" w:lineRule="auto"/>
              <w:jc w:val="right"/>
              <w:rPr>
                <w:rFonts w:ascii="Calibri" w:eastAsia="Times New Roman" w:hAnsi="Calibri" w:cs="Times New Roman"/>
                <w:sz w:val="20"/>
                <w:szCs w:val="20"/>
                <w:lang w:eastAsia="en-AU"/>
              </w:rPr>
            </w:pPr>
            <w:r w:rsidRPr="00EB61E0">
              <w:rPr>
                <w:rFonts w:ascii="Calibri" w:eastAsia="Times New Roman" w:hAnsi="Calibri" w:cs="Times New Roman"/>
                <w:sz w:val="20"/>
                <w:szCs w:val="20"/>
                <w:lang w:eastAsia="en-AU"/>
              </w:rPr>
              <w:t>23</w:t>
            </w:r>
          </w:p>
        </w:tc>
        <w:tc>
          <w:tcPr>
            <w:tcW w:w="640" w:type="dxa"/>
            <w:tcBorders>
              <w:top w:val="nil"/>
              <w:left w:val="nil"/>
              <w:bottom w:val="single" w:sz="4" w:space="0" w:color="auto"/>
              <w:right w:val="nil"/>
            </w:tcBorders>
            <w:shd w:val="clear" w:color="auto" w:fill="auto"/>
            <w:noWrap/>
            <w:vAlign w:val="bottom"/>
            <w:hideMark/>
          </w:tcPr>
          <w:p w14:paraId="0E6720BA" w14:textId="77777777" w:rsidR="00EB61E0" w:rsidRPr="00EB61E0" w:rsidRDefault="00EB61E0" w:rsidP="00AD2782">
            <w:pPr>
              <w:keepNext/>
              <w:keepLines/>
              <w:tabs>
                <w:tab w:val="clear" w:pos="567"/>
              </w:tabs>
              <w:spacing w:after="0" w:line="240" w:lineRule="auto"/>
              <w:jc w:val="right"/>
              <w:rPr>
                <w:rFonts w:ascii="Calibri" w:eastAsia="Times New Roman" w:hAnsi="Calibri" w:cs="Times New Roman"/>
                <w:sz w:val="20"/>
                <w:szCs w:val="20"/>
                <w:lang w:eastAsia="en-AU"/>
              </w:rPr>
            </w:pPr>
            <w:r w:rsidRPr="00EB61E0">
              <w:rPr>
                <w:rFonts w:ascii="Calibri" w:eastAsia="Times New Roman" w:hAnsi="Calibri" w:cs="Times New Roman"/>
                <w:sz w:val="20"/>
                <w:szCs w:val="20"/>
                <w:lang w:eastAsia="en-AU"/>
              </w:rPr>
              <w:t>1</w:t>
            </w:r>
          </w:p>
        </w:tc>
        <w:tc>
          <w:tcPr>
            <w:tcW w:w="640" w:type="dxa"/>
            <w:tcBorders>
              <w:top w:val="nil"/>
              <w:left w:val="nil"/>
              <w:bottom w:val="single" w:sz="4" w:space="0" w:color="auto"/>
              <w:right w:val="nil"/>
            </w:tcBorders>
            <w:shd w:val="clear" w:color="auto" w:fill="auto"/>
            <w:noWrap/>
            <w:vAlign w:val="bottom"/>
            <w:hideMark/>
          </w:tcPr>
          <w:p w14:paraId="255F2AA8" w14:textId="77777777" w:rsidR="00EB61E0" w:rsidRPr="00EB61E0" w:rsidRDefault="00EB61E0" w:rsidP="00AD2782">
            <w:pPr>
              <w:keepNext/>
              <w:keepLines/>
              <w:tabs>
                <w:tab w:val="clear" w:pos="567"/>
              </w:tabs>
              <w:spacing w:after="0" w:line="240" w:lineRule="auto"/>
              <w:jc w:val="right"/>
              <w:rPr>
                <w:rFonts w:ascii="Calibri" w:eastAsia="Times New Roman" w:hAnsi="Calibri" w:cs="Times New Roman"/>
                <w:sz w:val="20"/>
                <w:szCs w:val="20"/>
                <w:lang w:eastAsia="en-AU"/>
              </w:rPr>
            </w:pPr>
            <w:r w:rsidRPr="00EB61E0">
              <w:rPr>
                <w:rFonts w:ascii="Calibri" w:eastAsia="Times New Roman" w:hAnsi="Calibri" w:cs="Times New Roman"/>
                <w:sz w:val="20"/>
                <w:szCs w:val="20"/>
                <w:lang w:eastAsia="en-AU"/>
              </w:rPr>
              <w:t>-8</w:t>
            </w:r>
          </w:p>
        </w:tc>
        <w:tc>
          <w:tcPr>
            <w:tcW w:w="640" w:type="dxa"/>
            <w:tcBorders>
              <w:top w:val="nil"/>
              <w:left w:val="nil"/>
              <w:bottom w:val="single" w:sz="4" w:space="0" w:color="auto"/>
              <w:right w:val="nil"/>
            </w:tcBorders>
            <w:shd w:val="clear" w:color="auto" w:fill="auto"/>
            <w:noWrap/>
            <w:vAlign w:val="bottom"/>
            <w:hideMark/>
          </w:tcPr>
          <w:p w14:paraId="4EF43384" w14:textId="77777777" w:rsidR="00EB61E0" w:rsidRPr="00EB61E0" w:rsidRDefault="00EB61E0" w:rsidP="00AD2782">
            <w:pPr>
              <w:keepNext/>
              <w:keepLines/>
              <w:tabs>
                <w:tab w:val="clear" w:pos="567"/>
              </w:tabs>
              <w:spacing w:after="0" w:line="240" w:lineRule="auto"/>
              <w:jc w:val="right"/>
              <w:rPr>
                <w:rFonts w:ascii="Calibri" w:eastAsia="Times New Roman" w:hAnsi="Calibri" w:cs="Times New Roman"/>
                <w:sz w:val="20"/>
                <w:szCs w:val="20"/>
                <w:lang w:eastAsia="en-AU"/>
              </w:rPr>
            </w:pPr>
            <w:r w:rsidRPr="00EB61E0">
              <w:rPr>
                <w:rFonts w:ascii="Calibri" w:eastAsia="Times New Roman" w:hAnsi="Calibri" w:cs="Times New Roman"/>
                <w:sz w:val="20"/>
                <w:szCs w:val="20"/>
                <w:lang w:eastAsia="en-AU"/>
              </w:rPr>
              <w:t>-8</w:t>
            </w:r>
          </w:p>
        </w:tc>
        <w:tc>
          <w:tcPr>
            <w:tcW w:w="740" w:type="dxa"/>
            <w:tcBorders>
              <w:top w:val="nil"/>
              <w:left w:val="nil"/>
              <w:bottom w:val="single" w:sz="4" w:space="0" w:color="auto"/>
              <w:right w:val="nil"/>
            </w:tcBorders>
            <w:shd w:val="clear" w:color="auto" w:fill="auto"/>
            <w:noWrap/>
            <w:vAlign w:val="bottom"/>
            <w:hideMark/>
          </w:tcPr>
          <w:p w14:paraId="0969298C" w14:textId="77777777" w:rsidR="00EB61E0" w:rsidRPr="00EB61E0" w:rsidRDefault="00EB61E0" w:rsidP="00AD2782">
            <w:pPr>
              <w:keepNext/>
              <w:keepLines/>
              <w:tabs>
                <w:tab w:val="clear" w:pos="567"/>
              </w:tabs>
              <w:spacing w:after="0" w:line="240" w:lineRule="auto"/>
              <w:jc w:val="right"/>
              <w:rPr>
                <w:rFonts w:ascii="Calibri" w:eastAsia="Times New Roman" w:hAnsi="Calibri" w:cs="Times New Roman"/>
                <w:sz w:val="20"/>
                <w:szCs w:val="20"/>
                <w:lang w:eastAsia="en-AU"/>
              </w:rPr>
            </w:pPr>
            <w:r w:rsidRPr="00EB61E0">
              <w:rPr>
                <w:rFonts w:ascii="Calibri" w:eastAsia="Times New Roman" w:hAnsi="Calibri" w:cs="Times New Roman"/>
                <w:sz w:val="20"/>
                <w:szCs w:val="20"/>
                <w:lang w:eastAsia="en-AU"/>
              </w:rPr>
              <w:t>140</w:t>
            </w:r>
          </w:p>
        </w:tc>
        <w:tc>
          <w:tcPr>
            <w:tcW w:w="840" w:type="dxa"/>
            <w:tcBorders>
              <w:top w:val="nil"/>
              <w:left w:val="nil"/>
              <w:bottom w:val="single" w:sz="4" w:space="0" w:color="auto"/>
              <w:right w:val="nil"/>
            </w:tcBorders>
            <w:shd w:val="clear" w:color="auto" w:fill="auto"/>
            <w:noWrap/>
            <w:vAlign w:val="bottom"/>
            <w:hideMark/>
          </w:tcPr>
          <w:p w14:paraId="226B8420" w14:textId="77777777" w:rsidR="00EB61E0" w:rsidRPr="00EB61E0" w:rsidRDefault="00EB61E0" w:rsidP="00AD2782">
            <w:pPr>
              <w:keepNext/>
              <w:keepLines/>
              <w:tabs>
                <w:tab w:val="clear" w:pos="567"/>
              </w:tabs>
              <w:spacing w:after="0" w:line="240" w:lineRule="auto"/>
              <w:jc w:val="right"/>
              <w:rPr>
                <w:rFonts w:ascii="Calibri" w:eastAsia="Times New Roman" w:hAnsi="Calibri" w:cs="Times New Roman"/>
                <w:sz w:val="20"/>
                <w:szCs w:val="20"/>
                <w:lang w:eastAsia="en-AU"/>
              </w:rPr>
            </w:pPr>
            <w:r w:rsidRPr="00EB61E0">
              <w:rPr>
                <w:rFonts w:ascii="Calibri" w:eastAsia="Times New Roman" w:hAnsi="Calibri" w:cs="Times New Roman"/>
                <w:sz w:val="20"/>
                <w:szCs w:val="20"/>
                <w:lang w:eastAsia="en-AU"/>
              </w:rPr>
              <w:t>4</w:t>
            </w:r>
          </w:p>
        </w:tc>
      </w:tr>
    </w:tbl>
    <w:p w14:paraId="6AE9EB17" w14:textId="5ED5F41F" w:rsidR="00C23AC3" w:rsidRDefault="00C23AC3" w:rsidP="00AD2782">
      <w:pPr>
        <w:pStyle w:val="CGCTableFootnote"/>
        <w:keepNext/>
        <w:keepLines/>
      </w:pPr>
      <w:r>
        <w:t>Source:</w:t>
      </w:r>
      <w:r>
        <w:tab/>
        <w:t>201</w:t>
      </w:r>
      <w:r w:rsidR="00ED4348">
        <w:t>8</w:t>
      </w:r>
      <w:r>
        <w:t xml:space="preserve"> Update.</w:t>
      </w:r>
    </w:p>
    <w:p w14:paraId="2AECCDD0" w14:textId="77777777" w:rsidR="00C23AC3" w:rsidRDefault="00C23AC3" w:rsidP="00C23AC3">
      <w:pPr>
        <w:pStyle w:val="Heading3"/>
      </w:pPr>
      <w:bookmarkStart w:id="231" w:name="_Toc511048330"/>
      <w:bookmarkStart w:id="232" w:name="_Toc511048432"/>
      <w:bookmarkStart w:id="233" w:name="_Toc511048470"/>
      <w:bookmarkStart w:id="234" w:name="_Toc511048505"/>
      <w:bookmarkStart w:id="235" w:name="_Toc511398682"/>
      <w:bookmarkStart w:id="236" w:name="_Toc511398726"/>
      <w:bookmarkStart w:id="237" w:name="_Toc511892548"/>
      <w:r>
        <w:t>I</w:t>
      </w:r>
      <w:r w:rsidRPr="00741FF2">
        <w:t xml:space="preserve">ssues and </w:t>
      </w:r>
      <w:r>
        <w:t>analysis</w:t>
      </w:r>
      <w:bookmarkEnd w:id="231"/>
      <w:bookmarkEnd w:id="232"/>
      <w:bookmarkEnd w:id="233"/>
      <w:bookmarkEnd w:id="234"/>
      <w:bookmarkEnd w:id="235"/>
      <w:bookmarkEnd w:id="236"/>
      <w:bookmarkEnd w:id="237"/>
    </w:p>
    <w:p w14:paraId="59A07329" w14:textId="77777777" w:rsidR="00C23AC3" w:rsidRDefault="00C23AC3" w:rsidP="00C23AC3">
      <w:pPr>
        <w:pStyle w:val="Heading4"/>
      </w:pPr>
      <w:bookmarkStart w:id="238" w:name="_Toc511048331"/>
      <w:bookmarkStart w:id="239" w:name="_Toc511048433"/>
      <w:bookmarkStart w:id="240" w:name="_Toc511048471"/>
      <w:bookmarkStart w:id="241" w:name="_Toc511048506"/>
      <w:bookmarkStart w:id="242" w:name="_Toc511398683"/>
      <w:bookmarkStart w:id="243" w:name="_Toc511398727"/>
      <w:bookmarkStart w:id="244" w:name="_Toc511892549"/>
      <w:r>
        <w:t>Native title</w:t>
      </w:r>
      <w:bookmarkEnd w:id="238"/>
      <w:bookmarkEnd w:id="239"/>
      <w:bookmarkEnd w:id="240"/>
      <w:bookmarkEnd w:id="241"/>
      <w:bookmarkEnd w:id="242"/>
      <w:bookmarkEnd w:id="243"/>
      <w:bookmarkEnd w:id="244"/>
    </w:p>
    <w:p w14:paraId="7B6EDA7C" w14:textId="77777777" w:rsidR="00C23AC3" w:rsidRPr="00E55F05" w:rsidRDefault="00C23AC3" w:rsidP="00C23AC3">
      <w:pPr>
        <w:pStyle w:val="CGCNumberedPara"/>
        <w:numPr>
          <w:ilvl w:val="1"/>
          <w:numId w:val="3"/>
        </w:numPr>
      </w:pPr>
      <w:r w:rsidRPr="00E55F05">
        <w:t xml:space="preserve">Native title expenses are driven by the size of the Indigenous population, the extent of areas of undeveloped land, and mining and agricultural activities. In some cases, </w:t>
      </w:r>
      <w:proofErr w:type="spellStart"/>
      <w:r w:rsidRPr="00E55F05">
        <w:t>past</w:t>
      </w:r>
      <w:proofErr w:type="spellEnd"/>
      <w:r w:rsidRPr="00E55F05">
        <w:t xml:space="preserve"> legislation can also have an influence. </w:t>
      </w:r>
    </w:p>
    <w:p w14:paraId="67E38599" w14:textId="77777777" w:rsidR="00486CEB" w:rsidRPr="00E55F05" w:rsidRDefault="00C23AC3" w:rsidP="00486CEB">
      <w:pPr>
        <w:pStyle w:val="CGCNumberedPara"/>
        <w:numPr>
          <w:ilvl w:val="1"/>
          <w:numId w:val="3"/>
        </w:numPr>
        <w:rPr>
          <w:rStyle w:val="Heading6Char"/>
          <w:rFonts w:eastAsiaTheme="minorHAnsi" w:cstheme="minorBidi"/>
          <w:b w:val="0"/>
          <w:i w:val="0"/>
          <w:iCs w:val="0"/>
          <w:color w:val="auto"/>
          <w:sz w:val="24"/>
        </w:rPr>
      </w:pPr>
      <w:r w:rsidRPr="00E55F05">
        <w:rPr>
          <w:rStyle w:val="Heading6Char"/>
          <w:rFonts w:eastAsiaTheme="minorHAnsi" w:cstheme="minorBidi"/>
          <w:b w:val="0"/>
          <w:i w:val="0"/>
          <w:iCs w:val="0"/>
          <w:color w:val="auto"/>
          <w:sz w:val="24"/>
        </w:rPr>
        <w:t>The validity of an APC assessment is predicated on States having little influence on their expenses. While general frameworks for the implementation of native title and land rights legislation are imposed by the Commonwealth, States have adapted them to fit their own circumstances. However, the focus of States has been similar. It has been to develop cost-effective processes through, for example, the use of templates.</w:t>
      </w:r>
      <w:r w:rsidRPr="00E55F05">
        <w:rPr>
          <w:rStyle w:val="FootnoteReference"/>
        </w:rPr>
        <w:footnoteReference w:id="9"/>
      </w:r>
      <w:r w:rsidRPr="00E55F05">
        <w:rPr>
          <w:rStyle w:val="Heading6Char"/>
          <w:rFonts w:eastAsiaTheme="minorHAnsi" w:cstheme="minorBidi"/>
          <w:b w:val="0"/>
          <w:i w:val="0"/>
          <w:iCs w:val="0"/>
          <w:color w:val="auto"/>
          <w:sz w:val="24"/>
        </w:rPr>
        <w:t xml:space="preserve"> </w:t>
      </w:r>
    </w:p>
    <w:p w14:paraId="450EE7E8" w14:textId="1E892204" w:rsidR="00486CEB" w:rsidRPr="00E55F05" w:rsidRDefault="00486CEB" w:rsidP="00486CEB">
      <w:pPr>
        <w:pStyle w:val="CGCNumberedPara"/>
        <w:numPr>
          <w:ilvl w:val="1"/>
          <w:numId w:val="3"/>
        </w:numPr>
      </w:pPr>
      <w:r w:rsidRPr="00E55F05">
        <w:t xml:space="preserve">That said, the APC assessment method involves a substantial annual data collection and staff cannot fully verify their accuracy. </w:t>
      </w:r>
    </w:p>
    <w:p w14:paraId="0D3E2D46" w14:textId="3B1C6F5F" w:rsidR="00C23AC3" w:rsidRPr="00E55F05" w:rsidRDefault="00C23AC3" w:rsidP="00C23AC3">
      <w:pPr>
        <w:pStyle w:val="CGCNumberedPara"/>
        <w:numPr>
          <w:ilvl w:val="1"/>
          <w:numId w:val="3"/>
        </w:numPr>
      </w:pPr>
      <w:r w:rsidRPr="00E55F05">
        <w:t xml:space="preserve">In response to the </w:t>
      </w:r>
      <w:r w:rsidR="000846BF">
        <w:t xml:space="preserve">Staff Research Paper, </w:t>
      </w:r>
      <w:r w:rsidR="000846BF" w:rsidRPr="00AD2782">
        <w:rPr>
          <w:i/>
        </w:rPr>
        <w:t>CGC 2016-19-S</w:t>
      </w:r>
      <w:r w:rsidR="000846BF">
        <w:t xml:space="preserve">, </w:t>
      </w:r>
      <w:r w:rsidR="000846BF" w:rsidRPr="000846BF">
        <w:rPr>
          <w:i/>
        </w:rPr>
        <w:t>What States Do</w:t>
      </w:r>
      <w:r w:rsidR="000846BF">
        <w:t xml:space="preserve"> – </w:t>
      </w:r>
      <w:r w:rsidR="000846BF" w:rsidRPr="00C550A7">
        <w:rPr>
          <w:i/>
        </w:rPr>
        <w:t>Native title and land rights</w:t>
      </w:r>
      <w:r w:rsidRPr="00E55F05">
        <w:t xml:space="preserve">, the ACT argued that the case to retain an APC assessment has been weakened. It said that the shift to negotiation rather than litigation in relation to native title could be considered as potentially opening up this area of expenses to State policy influence. </w:t>
      </w:r>
    </w:p>
    <w:p w14:paraId="255BA050" w14:textId="77777777" w:rsidR="00C23AC3" w:rsidRPr="00E55F05" w:rsidRDefault="00C23AC3" w:rsidP="00C23AC3">
      <w:pPr>
        <w:pStyle w:val="CGCNumberedPara"/>
        <w:numPr>
          <w:ilvl w:val="1"/>
          <w:numId w:val="3"/>
        </w:numPr>
      </w:pPr>
      <w:r w:rsidRPr="00E55F05">
        <w:t>The ACT proposed two alternatives to the APC assessment:</w:t>
      </w:r>
    </w:p>
    <w:p w14:paraId="4721D449" w14:textId="77777777" w:rsidR="00C23AC3" w:rsidRDefault="00C23AC3" w:rsidP="00C23AC3">
      <w:pPr>
        <w:pStyle w:val="CGCBulletlist"/>
        <w:numPr>
          <w:ilvl w:val="0"/>
          <w:numId w:val="1"/>
        </w:numPr>
        <w:tabs>
          <w:tab w:val="clear" w:pos="927"/>
        </w:tabs>
        <w:ind w:left="1134" w:hanging="567"/>
      </w:pPr>
      <w:r>
        <w:t>Indigenous population shares</w:t>
      </w:r>
    </w:p>
    <w:p w14:paraId="77D9C956" w14:textId="77777777" w:rsidR="00C23AC3" w:rsidRDefault="00C23AC3" w:rsidP="00C23AC3">
      <w:pPr>
        <w:pStyle w:val="CGCBulletlist"/>
        <w:numPr>
          <w:ilvl w:val="0"/>
          <w:numId w:val="1"/>
        </w:numPr>
        <w:tabs>
          <w:tab w:val="clear" w:pos="927"/>
        </w:tabs>
        <w:ind w:left="1134" w:hanging="567"/>
      </w:pPr>
      <w:r w:rsidRPr="00081CA4">
        <w:t>presence of large mineral resources</w:t>
      </w:r>
      <w:r>
        <w:t>.</w:t>
      </w:r>
    </w:p>
    <w:p w14:paraId="790DD9C1" w14:textId="0AC4D230" w:rsidR="00C23AC3" w:rsidRDefault="00C23AC3" w:rsidP="00C23AC3">
      <w:pPr>
        <w:pStyle w:val="CGCNumberedPara"/>
        <w:numPr>
          <w:ilvl w:val="1"/>
          <w:numId w:val="3"/>
        </w:numPr>
      </w:pPr>
      <w:r>
        <w:t xml:space="preserve">The ACT </w:t>
      </w:r>
      <w:r w:rsidRPr="00AF7D1D">
        <w:t xml:space="preserve">noted a </w:t>
      </w:r>
      <w:r>
        <w:t xml:space="preserve">strong </w:t>
      </w:r>
      <w:r w:rsidRPr="00AF7D1D">
        <w:t xml:space="preserve">correlation between Indigenous population shares and the number of native title claims. </w:t>
      </w:r>
      <w:r>
        <w:t xml:space="preserve">The ACT also said that most future acts applications and determinations were made in States with significant mining activities and that the </w:t>
      </w:r>
      <w:r w:rsidRPr="00081CA4">
        <w:t xml:space="preserve">presence of large mineral resources </w:t>
      </w:r>
      <w:r>
        <w:t>may be</w:t>
      </w:r>
      <w:r w:rsidRPr="00081CA4">
        <w:t xml:space="preserve"> </w:t>
      </w:r>
      <w:r>
        <w:t xml:space="preserve">an </w:t>
      </w:r>
      <w:r w:rsidRPr="00081CA4">
        <w:t>alternative driver of the assessment</w:t>
      </w:r>
      <w:r>
        <w:t xml:space="preserve">. </w:t>
      </w:r>
      <w:r w:rsidRPr="00AF7D1D">
        <w:t xml:space="preserve">These distributions are shown in </w:t>
      </w:r>
      <w:r w:rsidRPr="00AF7D1D">
        <w:fldChar w:fldCharType="begin"/>
      </w:r>
      <w:r w:rsidRPr="00AF7D1D">
        <w:instrText xml:space="preserve"> REF _Ref464734595 \h  \* MERGEFORMAT </w:instrText>
      </w:r>
      <w:r w:rsidRPr="00AF7D1D">
        <w:fldChar w:fldCharType="separate"/>
      </w:r>
      <w:r w:rsidR="00C40664">
        <w:t xml:space="preserve">Table </w:t>
      </w:r>
      <w:r w:rsidR="00C40664">
        <w:rPr>
          <w:noProof/>
        </w:rPr>
        <w:t>11</w:t>
      </w:r>
      <w:r w:rsidRPr="00AF7D1D">
        <w:fldChar w:fldCharType="end"/>
      </w:r>
      <w:r w:rsidRPr="00AF7D1D">
        <w:t xml:space="preserve">. </w:t>
      </w:r>
    </w:p>
    <w:p w14:paraId="11B7E351" w14:textId="77777777" w:rsidR="004E5553" w:rsidRDefault="004E5553" w:rsidP="004E5553">
      <w:pPr>
        <w:pStyle w:val="CGCTableHeading"/>
      </w:pPr>
      <w:bookmarkStart w:id="245" w:name="_Ref464734595"/>
      <w:r>
        <w:t xml:space="preserve">Table </w:t>
      </w:r>
      <w:fldSimple w:instr=" SEQ Table \* ARABIC ">
        <w:r w:rsidR="00C40664">
          <w:rPr>
            <w:noProof/>
          </w:rPr>
          <w:t>11</w:t>
        </w:r>
      </w:fldSimple>
      <w:bookmarkEnd w:id="245"/>
      <w:r>
        <w:tab/>
        <w:t>Native title claims, Indigenous population and native title expenses 2016</w:t>
      </w:r>
      <w:r>
        <w:noBreakHyphen/>
        <w:t>17</w:t>
      </w:r>
    </w:p>
    <w:tbl>
      <w:tblPr>
        <w:tblW w:w="9000" w:type="dxa"/>
        <w:tblInd w:w="93" w:type="dxa"/>
        <w:tblLook w:val="04A0" w:firstRow="1" w:lastRow="0" w:firstColumn="1" w:lastColumn="0" w:noHBand="0" w:noVBand="1"/>
      </w:tblPr>
      <w:tblGrid>
        <w:gridCol w:w="2640"/>
        <w:gridCol w:w="740"/>
        <w:gridCol w:w="640"/>
        <w:gridCol w:w="740"/>
        <w:gridCol w:w="740"/>
        <w:gridCol w:w="640"/>
        <w:gridCol w:w="640"/>
        <w:gridCol w:w="640"/>
        <w:gridCol w:w="740"/>
        <w:gridCol w:w="840"/>
      </w:tblGrid>
      <w:tr w:rsidR="004E5553" w:rsidRPr="003245E4" w14:paraId="2BB550A4" w14:textId="77777777" w:rsidTr="00027840">
        <w:trPr>
          <w:trHeight w:val="379"/>
        </w:trPr>
        <w:tc>
          <w:tcPr>
            <w:tcW w:w="2640" w:type="dxa"/>
            <w:tcBorders>
              <w:top w:val="single" w:sz="4" w:space="0" w:color="auto"/>
              <w:left w:val="nil"/>
              <w:bottom w:val="single" w:sz="4" w:space="0" w:color="auto"/>
              <w:right w:val="nil"/>
            </w:tcBorders>
            <w:shd w:val="clear" w:color="auto" w:fill="auto"/>
            <w:noWrap/>
            <w:vAlign w:val="center"/>
            <w:hideMark/>
          </w:tcPr>
          <w:p w14:paraId="56985ACA" w14:textId="77777777" w:rsidR="004E5553" w:rsidRPr="003245E4" w:rsidRDefault="004E5553" w:rsidP="00027840">
            <w:pPr>
              <w:tabs>
                <w:tab w:val="clear" w:pos="567"/>
              </w:tabs>
              <w:spacing w:after="0" w:line="240" w:lineRule="auto"/>
              <w:jc w:val="right"/>
              <w:rPr>
                <w:rFonts w:ascii="Calibri" w:eastAsia="Times New Roman" w:hAnsi="Calibri" w:cs="Times New Roman"/>
                <w:color w:val="000000"/>
                <w:sz w:val="20"/>
                <w:szCs w:val="20"/>
                <w:lang w:eastAsia="en-AU"/>
              </w:rPr>
            </w:pPr>
            <w:bookmarkStart w:id="246" w:name="RANGE!A57:J62"/>
            <w:r w:rsidRPr="003245E4">
              <w:rPr>
                <w:rFonts w:ascii="Calibri" w:eastAsia="Times New Roman" w:hAnsi="Calibri" w:cs="Times New Roman"/>
                <w:color w:val="000000"/>
                <w:sz w:val="20"/>
                <w:szCs w:val="20"/>
                <w:lang w:eastAsia="en-AU"/>
              </w:rPr>
              <w:t> </w:t>
            </w:r>
            <w:bookmarkEnd w:id="246"/>
          </w:p>
        </w:tc>
        <w:tc>
          <w:tcPr>
            <w:tcW w:w="740" w:type="dxa"/>
            <w:tcBorders>
              <w:top w:val="single" w:sz="4" w:space="0" w:color="auto"/>
              <w:left w:val="nil"/>
              <w:bottom w:val="single" w:sz="4" w:space="0" w:color="auto"/>
              <w:right w:val="nil"/>
            </w:tcBorders>
            <w:shd w:val="clear" w:color="auto" w:fill="auto"/>
            <w:noWrap/>
            <w:vAlign w:val="center"/>
            <w:hideMark/>
          </w:tcPr>
          <w:p w14:paraId="2DDFD259" w14:textId="77777777" w:rsidR="004E5553" w:rsidRPr="003245E4" w:rsidRDefault="004E5553" w:rsidP="00027840">
            <w:pPr>
              <w:tabs>
                <w:tab w:val="clear" w:pos="567"/>
              </w:tabs>
              <w:spacing w:after="0" w:line="240" w:lineRule="auto"/>
              <w:jc w:val="right"/>
              <w:rPr>
                <w:rFonts w:ascii="Calibri" w:eastAsia="Times New Roman" w:hAnsi="Calibri" w:cs="Times New Roman"/>
                <w:color w:val="000000"/>
                <w:sz w:val="20"/>
                <w:szCs w:val="20"/>
                <w:lang w:eastAsia="en-AU"/>
              </w:rPr>
            </w:pPr>
            <w:r w:rsidRPr="003245E4">
              <w:rPr>
                <w:rFonts w:ascii="Calibri" w:eastAsia="Times New Roman" w:hAnsi="Calibri" w:cs="Times New Roman"/>
                <w:color w:val="000000"/>
                <w:sz w:val="20"/>
                <w:szCs w:val="20"/>
                <w:lang w:eastAsia="en-AU"/>
              </w:rPr>
              <w:t>NSW</w:t>
            </w:r>
          </w:p>
        </w:tc>
        <w:tc>
          <w:tcPr>
            <w:tcW w:w="640" w:type="dxa"/>
            <w:tcBorders>
              <w:top w:val="single" w:sz="4" w:space="0" w:color="auto"/>
              <w:left w:val="nil"/>
              <w:bottom w:val="single" w:sz="4" w:space="0" w:color="auto"/>
              <w:right w:val="nil"/>
            </w:tcBorders>
            <w:shd w:val="clear" w:color="auto" w:fill="auto"/>
            <w:noWrap/>
            <w:vAlign w:val="center"/>
            <w:hideMark/>
          </w:tcPr>
          <w:p w14:paraId="7E95676F" w14:textId="77777777" w:rsidR="004E5553" w:rsidRPr="003245E4" w:rsidRDefault="004E5553" w:rsidP="00027840">
            <w:pPr>
              <w:tabs>
                <w:tab w:val="clear" w:pos="567"/>
              </w:tabs>
              <w:spacing w:after="0" w:line="240" w:lineRule="auto"/>
              <w:jc w:val="right"/>
              <w:rPr>
                <w:rFonts w:ascii="Calibri" w:eastAsia="Times New Roman" w:hAnsi="Calibri" w:cs="Times New Roman"/>
                <w:color w:val="000000"/>
                <w:sz w:val="20"/>
                <w:szCs w:val="20"/>
                <w:lang w:eastAsia="en-AU"/>
              </w:rPr>
            </w:pPr>
            <w:r w:rsidRPr="003245E4">
              <w:rPr>
                <w:rFonts w:ascii="Calibri" w:eastAsia="Times New Roman" w:hAnsi="Calibri" w:cs="Times New Roman"/>
                <w:color w:val="000000"/>
                <w:sz w:val="20"/>
                <w:szCs w:val="20"/>
                <w:lang w:eastAsia="en-AU"/>
              </w:rPr>
              <w:t>Vic</w:t>
            </w:r>
          </w:p>
        </w:tc>
        <w:tc>
          <w:tcPr>
            <w:tcW w:w="740" w:type="dxa"/>
            <w:tcBorders>
              <w:top w:val="single" w:sz="4" w:space="0" w:color="auto"/>
              <w:left w:val="nil"/>
              <w:bottom w:val="single" w:sz="4" w:space="0" w:color="auto"/>
              <w:right w:val="nil"/>
            </w:tcBorders>
            <w:shd w:val="clear" w:color="auto" w:fill="auto"/>
            <w:noWrap/>
            <w:vAlign w:val="center"/>
            <w:hideMark/>
          </w:tcPr>
          <w:p w14:paraId="44AE1BFD" w14:textId="77777777" w:rsidR="004E5553" w:rsidRPr="003245E4" w:rsidRDefault="004E5553" w:rsidP="00027840">
            <w:pPr>
              <w:tabs>
                <w:tab w:val="clear" w:pos="567"/>
              </w:tabs>
              <w:spacing w:after="0" w:line="240" w:lineRule="auto"/>
              <w:jc w:val="right"/>
              <w:rPr>
                <w:rFonts w:ascii="Calibri" w:eastAsia="Times New Roman" w:hAnsi="Calibri" w:cs="Times New Roman"/>
                <w:color w:val="000000"/>
                <w:sz w:val="20"/>
                <w:szCs w:val="20"/>
                <w:lang w:eastAsia="en-AU"/>
              </w:rPr>
            </w:pPr>
            <w:r w:rsidRPr="003245E4">
              <w:rPr>
                <w:rFonts w:ascii="Calibri" w:eastAsia="Times New Roman" w:hAnsi="Calibri" w:cs="Times New Roman"/>
                <w:color w:val="000000"/>
                <w:sz w:val="20"/>
                <w:szCs w:val="20"/>
                <w:lang w:eastAsia="en-AU"/>
              </w:rPr>
              <w:t>Qld</w:t>
            </w:r>
          </w:p>
        </w:tc>
        <w:tc>
          <w:tcPr>
            <w:tcW w:w="740" w:type="dxa"/>
            <w:tcBorders>
              <w:top w:val="single" w:sz="4" w:space="0" w:color="auto"/>
              <w:left w:val="nil"/>
              <w:bottom w:val="single" w:sz="4" w:space="0" w:color="auto"/>
              <w:right w:val="nil"/>
            </w:tcBorders>
            <w:shd w:val="clear" w:color="auto" w:fill="auto"/>
            <w:noWrap/>
            <w:vAlign w:val="center"/>
            <w:hideMark/>
          </w:tcPr>
          <w:p w14:paraId="66748CC1" w14:textId="77777777" w:rsidR="004E5553" w:rsidRPr="003245E4" w:rsidRDefault="004E5553" w:rsidP="00027840">
            <w:pPr>
              <w:tabs>
                <w:tab w:val="clear" w:pos="567"/>
              </w:tabs>
              <w:spacing w:after="0" w:line="240" w:lineRule="auto"/>
              <w:jc w:val="right"/>
              <w:rPr>
                <w:rFonts w:ascii="Calibri" w:eastAsia="Times New Roman" w:hAnsi="Calibri" w:cs="Times New Roman"/>
                <w:color w:val="000000"/>
                <w:sz w:val="20"/>
                <w:szCs w:val="20"/>
                <w:lang w:eastAsia="en-AU"/>
              </w:rPr>
            </w:pPr>
            <w:r w:rsidRPr="003245E4">
              <w:rPr>
                <w:rFonts w:ascii="Calibri" w:eastAsia="Times New Roman" w:hAnsi="Calibri" w:cs="Times New Roman"/>
                <w:color w:val="000000"/>
                <w:sz w:val="20"/>
                <w:szCs w:val="20"/>
                <w:lang w:eastAsia="en-AU"/>
              </w:rPr>
              <w:t>WA</w:t>
            </w:r>
          </w:p>
        </w:tc>
        <w:tc>
          <w:tcPr>
            <w:tcW w:w="640" w:type="dxa"/>
            <w:tcBorders>
              <w:top w:val="single" w:sz="4" w:space="0" w:color="auto"/>
              <w:left w:val="nil"/>
              <w:bottom w:val="single" w:sz="4" w:space="0" w:color="auto"/>
              <w:right w:val="nil"/>
            </w:tcBorders>
            <w:shd w:val="clear" w:color="auto" w:fill="auto"/>
            <w:noWrap/>
            <w:vAlign w:val="center"/>
            <w:hideMark/>
          </w:tcPr>
          <w:p w14:paraId="2048ABC5" w14:textId="77777777" w:rsidR="004E5553" w:rsidRPr="003245E4" w:rsidRDefault="004E5553" w:rsidP="00027840">
            <w:pPr>
              <w:tabs>
                <w:tab w:val="clear" w:pos="567"/>
              </w:tabs>
              <w:spacing w:after="0" w:line="240" w:lineRule="auto"/>
              <w:jc w:val="right"/>
              <w:rPr>
                <w:rFonts w:ascii="Calibri" w:eastAsia="Times New Roman" w:hAnsi="Calibri" w:cs="Times New Roman"/>
                <w:color w:val="000000"/>
                <w:sz w:val="20"/>
                <w:szCs w:val="20"/>
                <w:lang w:eastAsia="en-AU"/>
              </w:rPr>
            </w:pPr>
            <w:r w:rsidRPr="003245E4">
              <w:rPr>
                <w:rFonts w:ascii="Calibri" w:eastAsia="Times New Roman" w:hAnsi="Calibri" w:cs="Times New Roman"/>
                <w:color w:val="000000"/>
                <w:sz w:val="20"/>
                <w:szCs w:val="20"/>
                <w:lang w:eastAsia="en-AU"/>
              </w:rPr>
              <w:t>SA</w:t>
            </w:r>
          </w:p>
        </w:tc>
        <w:tc>
          <w:tcPr>
            <w:tcW w:w="640" w:type="dxa"/>
            <w:tcBorders>
              <w:top w:val="single" w:sz="4" w:space="0" w:color="auto"/>
              <w:left w:val="nil"/>
              <w:bottom w:val="single" w:sz="4" w:space="0" w:color="auto"/>
              <w:right w:val="nil"/>
            </w:tcBorders>
            <w:shd w:val="clear" w:color="auto" w:fill="auto"/>
            <w:noWrap/>
            <w:vAlign w:val="center"/>
            <w:hideMark/>
          </w:tcPr>
          <w:p w14:paraId="1EF26E60" w14:textId="77777777" w:rsidR="004E5553" w:rsidRPr="003245E4" w:rsidRDefault="004E5553" w:rsidP="00027840">
            <w:pPr>
              <w:tabs>
                <w:tab w:val="clear" w:pos="567"/>
              </w:tabs>
              <w:spacing w:after="0" w:line="240" w:lineRule="auto"/>
              <w:jc w:val="right"/>
              <w:rPr>
                <w:rFonts w:ascii="Calibri" w:eastAsia="Times New Roman" w:hAnsi="Calibri" w:cs="Times New Roman"/>
                <w:color w:val="000000"/>
                <w:sz w:val="20"/>
                <w:szCs w:val="20"/>
                <w:lang w:eastAsia="en-AU"/>
              </w:rPr>
            </w:pPr>
            <w:proofErr w:type="spellStart"/>
            <w:r w:rsidRPr="003245E4">
              <w:rPr>
                <w:rFonts w:ascii="Calibri" w:eastAsia="Times New Roman" w:hAnsi="Calibri" w:cs="Times New Roman"/>
                <w:color w:val="000000"/>
                <w:sz w:val="20"/>
                <w:szCs w:val="20"/>
                <w:lang w:eastAsia="en-AU"/>
              </w:rPr>
              <w:t>Tas</w:t>
            </w:r>
            <w:proofErr w:type="spellEnd"/>
          </w:p>
        </w:tc>
        <w:tc>
          <w:tcPr>
            <w:tcW w:w="640" w:type="dxa"/>
            <w:tcBorders>
              <w:top w:val="single" w:sz="4" w:space="0" w:color="auto"/>
              <w:left w:val="nil"/>
              <w:bottom w:val="single" w:sz="4" w:space="0" w:color="auto"/>
              <w:right w:val="nil"/>
            </w:tcBorders>
            <w:shd w:val="clear" w:color="auto" w:fill="auto"/>
            <w:noWrap/>
            <w:vAlign w:val="center"/>
            <w:hideMark/>
          </w:tcPr>
          <w:p w14:paraId="55810921" w14:textId="77777777" w:rsidR="004E5553" w:rsidRPr="003245E4" w:rsidRDefault="004E5553" w:rsidP="00027840">
            <w:pPr>
              <w:tabs>
                <w:tab w:val="clear" w:pos="567"/>
              </w:tabs>
              <w:spacing w:after="0" w:line="240" w:lineRule="auto"/>
              <w:jc w:val="right"/>
              <w:rPr>
                <w:rFonts w:ascii="Calibri" w:eastAsia="Times New Roman" w:hAnsi="Calibri" w:cs="Times New Roman"/>
                <w:color w:val="000000"/>
                <w:sz w:val="20"/>
                <w:szCs w:val="20"/>
                <w:lang w:eastAsia="en-AU"/>
              </w:rPr>
            </w:pPr>
            <w:r w:rsidRPr="003245E4">
              <w:rPr>
                <w:rFonts w:ascii="Calibri" w:eastAsia="Times New Roman" w:hAnsi="Calibri" w:cs="Times New Roman"/>
                <w:color w:val="000000"/>
                <w:sz w:val="20"/>
                <w:szCs w:val="20"/>
                <w:lang w:eastAsia="en-AU"/>
              </w:rPr>
              <w:t>ACT</w:t>
            </w:r>
          </w:p>
        </w:tc>
        <w:tc>
          <w:tcPr>
            <w:tcW w:w="740" w:type="dxa"/>
            <w:tcBorders>
              <w:top w:val="single" w:sz="4" w:space="0" w:color="auto"/>
              <w:left w:val="nil"/>
              <w:bottom w:val="single" w:sz="4" w:space="0" w:color="auto"/>
              <w:right w:val="nil"/>
            </w:tcBorders>
            <w:shd w:val="clear" w:color="auto" w:fill="auto"/>
            <w:noWrap/>
            <w:vAlign w:val="center"/>
            <w:hideMark/>
          </w:tcPr>
          <w:p w14:paraId="52480FED" w14:textId="77777777" w:rsidR="004E5553" w:rsidRPr="003245E4" w:rsidRDefault="004E5553" w:rsidP="00027840">
            <w:pPr>
              <w:tabs>
                <w:tab w:val="clear" w:pos="567"/>
              </w:tabs>
              <w:spacing w:after="0" w:line="240" w:lineRule="auto"/>
              <w:jc w:val="right"/>
              <w:rPr>
                <w:rFonts w:ascii="Calibri" w:eastAsia="Times New Roman" w:hAnsi="Calibri" w:cs="Times New Roman"/>
                <w:color w:val="000000"/>
                <w:sz w:val="20"/>
                <w:szCs w:val="20"/>
                <w:lang w:eastAsia="en-AU"/>
              </w:rPr>
            </w:pPr>
            <w:r w:rsidRPr="003245E4">
              <w:rPr>
                <w:rFonts w:ascii="Calibri" w:eastAsia="Times New Roman" w:hAnsi="Calibri" w:cs="Times New Roman"/>
                <w:color w:val="000000"/>
                <w:sz w:val="20"/>
                <w:szCs w:val="20"/>
                <w:lang w:eastAsia="en-AU"/>
              </w:rPr>
              <w:t>NT</w:t>
            </w:r>
          </w:p>
        </w:tc>
        <w:tc>
          <w:tcPr>
            <w:tcW w:w="840" w:type="dxa"/>
            <w:tcBorders>
              <w:top w:val="single" w:sz="4" w:space="0" w:color="auto"/>
              <w:left w:val="nil"/>
              <w:bottom w:val="single" w:sz="4" w:space="0" w:color="auto"/>
              <w:right w:val="nil"/>
            </w:tcBorders>
            <w:shd w:val="clear" w:color="auto" w:fill="auto"/>
            <w:noWrap/>
            <w:vAlign w:val="center"/>
            <w:hideMark/>
          </w:tcPr>
          <w:p w14:paraId="3197E83E" w14:textId="77777777" w:rsidR="004E5553" w:rsidRPr="003245E4" w:rsidRDefault="004E5553" w:rsidP="00027840">
            <w:pPr>
              <w:tabs>
                <w:tab w:val="clear" w:pos="567"/>
              </w:tabs>
              <w:spacing w:after="0" w:line="240" w:lineRule="auto"/>
              <w:jc w:val="right"/>
              <w:rPr>
                <w:rFonts w:ascii="Calibri" w:eastAsia="Times New Roman" w:hAnsi="Calibri" w:cs="Times New Roman"/>
                <w:color w:val="000000"/>
                <w:sz w:val="20"/>
                <w:szCs w:val="20"/>
                <w:lang w:eastAsia="en-AU"/>
              </w:rPr>
            </w:pPr>
            <w:r w:rsidRPr="003245E4">
              <w:rPr>
                <w:rFonts w:ascii="Calibri" w:eastAsia="Times New Roman" w:hAnsi="Calibri" w:cs="Times New Roman"/>
                <w:color w:val="000000"/>
                <w:sz w:val="20"/>
                <w:szCs w:val="20"/>
                <w:lang w:eastAsia="en-AU"/>
              </w:rPr>
              <w:t>Total</w:t>
            </w:r>
          </w:p>
        </w:tc>
      </w:tr>
      <w:tr w:rsidR="004E5553" w:rsidRPr="003245E4" w14:paraId="22D904B4" w14:textId="77777777" w:rsidTr="00027840">
        <w:trPr>
          <w:trHeight w:val="259"/>
        </w:trPr>
        <w:tc>
          <w:tcPr>
            <w:tcW w:w="2640" w:type="dxa"/>
            <w:tcBorders>
              <w:top w:val="nil"/>
              <w:left w:val="nil"/>
              <w:bottom w:val="nil"/>
              <w:right w:val="nil"/>
            </w:tcBorders>
            <w:shd w:val="clear" w:color="auto" w:fill="auto"/>
            <w:noWrap/>
            <w:vAlign w:val="bottom"/>
            <w:hideMark/>
          </w:tcPr>
          <w:p w14:paraId="65E36D4E" w14:textId="77777777" w:rsidR="004E5553" w:rsidRPr="003245E4" w:rsidRDefault="004E5553" w:rsidP="00027840">
            <w:pPr>
              <w:tabs>
                <w:tab w:val="clear" w:pos="567"/>
              </w:tabs>
              <w:spacing w:after="0" w:line="240" w:lineRule="auto"/>
              <w:jc w:val="right"/>
              <w:rPr>
                <w:rFonts w:ascii="Calibri" w:eastAsia="Times New Roman" w:hAnsi="Calibri" w:cs="Times New Roman"/>
                <w:sz w:val="20"/>
                <w:szCs w:val="20"/>
                <w:lang w:eastAsia="en-AU"/>
              </w:rPr>
            </w:pPr>
          </w:p>
        </w:tc>
        <w:tc>
          <w:tcPr>
            <w:tcW w:w="740" w:type="dxa"/>
            <w:tcBorders>
              <w:top w:val="nil"/>
              <w:left w:val="nil"/>
              <w:bottom w:val="nil"/>
              <w:right w:val="nil"/>
            </w:tcBorders>
            <w:shd w:val="clear" w:color="auto" w:fill="auto"/>
            <w:noWrap/>
            <w:vAlign w:val="bottom"/>
            <w:hideMark/>
          </w:tcPr>
          <w:p w14:paraId="60E53F59" w14:textId="77777777" w:rsidR="004E5553" w:rsidRPr="003245E4" w:rsidRDefault="004E5553" w:rsidP="00027840">
            <w:pPr>
              <w:tabs>
                <w:tab w:val="clear" w:pos="567"/>
              </w:tabs>
              <w:spacing w:after="0" w:line="240" w:lineRule="auto"/>
              <w:jc w:val="right"/>
              <w:rPr>
                <w:rFonts w:ascii="Calibri" w:eastAsia="Times New Roman" w:hAnsi="Calibri" w:cs="Times New Roman"/>
                <w:color w:val="000000"/>
                <w:sz w:val="20"/>
                <w:szCs w:val="20"/>
                <w:lang w:eastAsia="en-AU"/>
              </w:rPr>
            </w:pPr>
            <w:r w:rsidRPr="003245E4">
              <w:rPr>
                <w:rFonts w:ascii="Calibri" w:eastAsia="Times New Roman" w:hAnsi="Calibri" w:cs="Times New Roman"/>
                <w:color w:val="000000"/>
                <w:sz w:val="20"/>
                <w:szCs w:val="20"/>
                <w:lang w:eastAsia="en-AU"/>
              </w:rPr>
              <w:t>%</w:t>
            </w:r>
          </w:p>
        </w:tc>
        <w:tc>
          <w:tcPr>
            <w:tcW w:w="640" w:type="dxa"/>
            <w:tcBorders>
              <w:top w:val="nil"/>
              <w:left w:val="nil"/>
              <w:bottom w:val="nil"/>
              <w:right w:val="nil"/>
            </w:tcBorders>
            <w:shd w:val="clear" w:color="auto" w:fill="auto"/>
            <w:noWrap/>
            <w:vAlign w:val="bottom"/>
            <w:hideMark/>
          </w:tcPr>
          <w:p w14:paraId="55BC1664" w14:textId="77777777" w:rsidR="004E5553" w:rsidRPr="003245E4" w:rsidRDefault="004E5553" w:rsidP="00027840">
            <w:pPr>
              <w:tabs>
                <w:tab w:val="clear" w:pos="567"/>
              </w:tabs>
              <w:spacing w:after="0" w:line="240" w:lineRule="auto"/>
              <w:jc w:val="right"/>
              <w:rPr>
                <w:rFonts w:ascii="Calibri" w:eastAsia="Times New Roman" w:hAnsi="Calibri" w:cs="Times New Roman"/>
                <w:color w:val="000000"/>
                <w:sz w:val="20"/>
                <w:szCs w:val="20"/>
                <w:lang w:eastAsia="en-AU"/>
              </w:rPr>
            </w:pPr>
            <w:r w:rsidRPr="003245E4">
              <w:rPr>
                <w:rFonts w:ascii="Calibri" w:eastAsia="Times New Roman" w:hAnsi="Calibri" w:cs="Times New Roman"/>
                <w:color w:val="000000"/>
                <w:sz w:val="20"/>
                <w:szCs w:val="20"/>
                <w:lang w:eastAsia="en-AU"/>
              </w:rPr>
              <w:t>%</w:t>
            </w:r>
          </w:p>
        </w:tc>
        <w:tc>
          <w:tcPr>
            <w:tcW w:w="740" w:type="dxa"/>
            <w:tcBorders>
              <w:top w:val="nil"/>
              <w:left w:val="nil"/>
              <w:bottom w:val="nil"/>
              <w:right w:val="nil"/>
            </w:tcBorders>
            <w:shd w:val="clear" w:color="auto" w:fill="auto"/>
            <w:noWrap/>
            <w:vAlign w:val="bottom"/>
            <w:hideMark/>
          </w:tcPr>
          <w:p w14:paraId="2BB3EB19" w14:textId="77777777" w:rsidR="004E5553" w:rsidRPr="003245E4" w:rsidRDefault="004E5553" w:rsidP="00027840">
            <w:pPr>
              <w:tabs>
                <w:tab w:val="clear" w:pos="567"/>
              </w:tabs>
              <w:spacing w:after="0" w:line="240" w:lineRule="auto"/>
              <w:jc w:val="right"/>
              <w:rPr>
                <w:rFonts w:ascii="Calibri" w:eastAsia="Times New Roman" w:hAnsi="Calibri" w:cs="Times New Roman"/>
                <w:color w:val="000000"/>
                <w:sz w:val="20"/>
                <w:szCs w:val="20"/>
                <w:lang w:eastAsia="en-AU"/>
              </w:rPr>
            </w:pPr>
            <w:r w:rsidRPr="003245E4">
              <w:rPr>
                <w:rFonts w:ascii="Calibri" w:eastAsia="Times New Roman" w:hAnsi="Calibri" w:cs="Times New Roman"/>
                <w:color w:val="000000"/>
                <w:sz w:val="20"/>
                <w:szCs w:val="20"/>
                <w:lang w:eastAsia="en-AU"/>
              </w:rPr>
              <w:t>%</w:t>
            </w:r>
          </w:p>
        </w:tc>
        <w:tc>
          <w:tcPr>
            <w:tcW w:w="740" w:type="dxa"/>
            <w:tcBorders>
              <w:top w:val="nil"/>
              <w:left w:val="nil"/>
              <w:bottom w:val="nil"/>
              <w:right w:val="nil"/>
            </w:tcBorders>
            <w:shd w:val="clear" w:color="auto" w:fill="auto"/>
            <w:noWrap/>
            <w:vAlign w:val="bottom"/>
            <w:hideMark/>
          </w:tcPr>
          <w:p w14:paraId="304EDFB8" w14:textId="77777777" w:rsidR="004E5553" w:rsidRPr="003245E4" w:rsidRDefault="004E5553" w:rsidP="00027840">
            <w:pPr>
              <w:tabs>
                <w:tab w:val="clear" w:pos="567"/>
              </w:tabs>
              <w:spacing w:after="0" w:line="240" w:lineRule="auto"/>
              <w:jc w:val="right"/>
              <w:rPr>
                <w:rFonts w:ascii="Calibri" w:eastAsia="Times New Roman" w:hAnsi="Calibri" w:cs="Times New Roman"/>
                <w:color w:val="000000"/>
                <w:sz w:val="20"/>
                <w:szCs w:val="20"/>
                <w:lang w:eastAsia="en-AU"/>
              </w:rPr>
            </w:pPr>
            <w:r w:rsidRPr="003245E4">
              <w:rPr>
                <w:rFonts w:ascii="Calibri" w:eastAsia="Times New Roman" w:hAnsi="Calibri" w:cs="Times New Roman"/>
                <w:color w:val="000000"/>
                <w:sz w:val="20"/>
                <w:szCs w:val="20"/>
                <w:lang w:eastAsia="en-AU"/>
              </w:rPr>
              <w:t>%</w:t>
            </w:r>
          </w:p>
        </w:tc>
        <w:tc>
          <w:tcPr>
            <w:tcW w:w="640" w:type="dxa"/>
            <w:tcBorders>
              <w:top w:val="nil"/>
              <w:left w:val="nil"/>
              <w:bottom w:val="nil"/>
              <w:right w:val="nil"/>
            </w:tcBorders>
            <w:shd w:val="clear" w:color="auto" w:fill="auto"/>
            <w:noWrap/>
            <w:vAlign w:val="bottom"/>
            <w:hideMark/>
          </w:tcPr>
          <w:p w14:paraId="5CE9742D" w14:textId="77777777" w:rsidR="004E5553" w:rsidRPr="003245E4" w:rsidRDefault="004E5553" w:rsidP="00027840">
            <w:pPr>
              <w:tabs>
                <w:tab w:val="clear" w:pos="567"/>
              </w:tabs>
              <w:spacing w:after="0" w:line="240" w:lineRule="auto"/>
              <w:jc w:val="right"/>
              <w:rPr>
                <w:rFonts w:ascii="Calibri" w:eastAsia="Times New Roman" w:hAnsi="Calibri" w:cs="Times New Roman"/>
                <w:color w:val="000000"/>
                <w:sz w:val="20"/>
                <w:szCs w:val="20"/>
                <w:lang w:eastAsia="en-AU"/>
              </w:rPr>
            </w:pPr>
            <w:r w:rsidRPr="003245E4">
              <w:rPr>
                <w:rFonts w:ascii="Calibri" w:eastAsia="Times New Roman" w:hAnsi="Calibri" w:cs="Times New Roman"/>
                <w:color w:val="000000"/>
                <w:sz w:val="20"/>
                <w:szCs w:val="20"/>
                <w:lang w:eastAsia="en-AU"/>
              </w:rPr>
              <w:t>%</w:t>
            </w:r>
          </w:p>
        </w:tc>
        <w:tc>
          <w:tcPr>
            <w:tcW w:w="640" w:type="dxa"/>
            <w:tcBorders>
              <w:top w:val="nil"/>
              <w:left w:val="nil"/>
              <w:bottom w:val="nil"/>
              <w:right w:val="nil"/>
            </w:tcBorders>
            <w:shd w:val="clear" w:color="auto" w:fill="auto"/>
            <w:noWrap/>
            <w:vAlign w:val="bottom"/>
            <w:hideMark/>
          </w:tcPr>
          <w:p w14:paraId="031AD67E" w14:textId="77777777" w:rsidR="004E5553" w:rsidRPr="003245E4" w:rsidRDefault="004E5553" w:rsidP="00027840">
            <w:pPr>
              <w:tabs>
                <w:tab w:val="clear" w:pos="567"/>
              </w:tabs>
              <w:spacing w:after="0" w:line="240" w:lineRule="auto"/>
              <w:jc w:val="right"/>
              <w:rPr>
                <w:rFonts w:ascii="Calibri" w:eastAsia="Times New Roman" w:hAnsi="Calibri" w:cs="Times New Roman"/>
                <w:color w:val="000000"/>
                <w:sz w:val="20"/>
                <w:szCs w:val="20"/>
                <w:lang w:eastAsia="en-AU"/>
              </w:rPr>
            </w:pPr>
            <w:r w:rsidRPr="003245E4">
              <w:rPr>
                <w:rFonts w:ascii="Calibri" w:eastAsia="Times New Roman" w:hAnsi="Calibri" w:cs="Times New Roman"/>
                <w:color w:val="000000"/>
                <w:sz w:val="20"/>
                <w:szCs w:val="20"/>
                <w:lang w:eastAsia="en-AU"/>
              </w:rPr>
              <w:t>%</w:t>
            </w:r>
          </w:p>
        </w:tc>
        <w:tc>
          <w:tcPr>
            <w:tcW w:w="640" w:type="dxa"/>
            <w:tcBorders>
              <w:top w:val="nil"/>
              <w:left w:val="nil"/>
              <w:bottom w:val="nil"/>
              <w:right w:val="nil"/>
            </w:tcBorders>
            <w:shd w:val="clear" w:color="auto" w:fill="auto"/>
            <w:noWrap/>
            <w:vAlign w:val="bottom"/>
            <w:hideMark/>
          </w:tcPr>
          <w:p w14:paraId="37A341B7" w14:textId="77777777" w:rsidR="004E5553" w:rsidRPr="003245E4" w:rsidRDefault="004E5553" w:rsidP="00027840">
            <w:pPr>
              <w:tabs>
                <w:tab w:val="clear" w:pos="567"/>
              </w:tabs>
              <w:spacing w:after="0" w:line="240" w:lineRule="auto"/>
              <w:jc w:val="right"/>
              <w:rPr>
                <w:rFonts w:ascii="Calibri" w:eastAsia="Times New Roman" w:hAnsi="Calibri" w:cs="Times New Roman"/>
                <w:color w:val="000000"/>
                <w:sz w:val="20"/>
                <w:szCs w:val="20"/>
                <w:lang w:eastAsia="en-AU"/>
              </w:rPr>
            </w:pPr>
            <w:r w:rsidRPr="003245E4">
              <w:rPr>
                <w:rFonts w:ascii="Calibri" w:eastAsia="Times New Roman" w:hAnsi="Calibri" w:cs="Times New Roman"/>
                <w:color w:val="000000"/>
                <w:sz w:val="20"/>
                <w:szCs w:val="20"/>
                <w:lang w:eastAsia="en-AU"/>
              </w:rPr>
              <w:t>%</w:t>
            </w:r>
          </w:p>
        </w:tc>
        <w:tc>
          <w:tcPr>
            <w:tcW w:w="740" w:type="dxa"/>
            <w:tcBorders>
              <w:top w:val="nil"/>
              <w:left w:val="nil"/>
              <w:bottom w:val="nil"/>
              <w:right w:val="nil"/>
            </w:tcBorders>
            <w:shd w:val="clear" w:color="auto" w:fill="auto"/>
            <w:noWrap/>
            <w:vAlign w:val="bottom"/>
            <w:hideMark/>
          </w:tcPr>
          <w:p w14:paraId="0D1CEE31" w14:textId="77777777" w:rsidR="004E5553" w:rsidRPr="003245E4" w:rsidRDefault="004E5553" w:rsidP="00027840">
            <w:pPr>
              <w:tabs>
                <w:tab w:val="clear" w:pos="567"/>
              </w:tabs>
              <w:spacing w:after="0" w:line="240" w:lineRule="auto"/>
              <w:jc w:val="right"/>
              <w:rPr>
                <w:rFonts w:ascii="Calibri" w:eastAsia="Times New Roman" w:hAnsi="Calibri" w:cs="Times New Roman"/>
                <w:color w:val="000000"/>
                <w:sz w:val="20"/>
                <w:szCs w:val="20"/>
                <w:lang w:eastAsia="en-AU"/>
              </w:rPr>
            </w:pPr>
            <w:r w:rsidRPr="003245E4">
              <w:rPr>
                <w:rFonts w:ascii="Calibri" w:eastAsia="Times New Roman" w:hAnsi="Calibri" w:cs="Times New Roman"/>
                <w:color w:val="000000"/>
                <w:sz w:val="20"/>
                <w:szCs w:val="20"/>
                <w:lang w:eastAsia="en-AU"/>
              </w:rPr>
              <w:t>%</w:t>
            </w:r>
          </w:p>
        </w:tc>
        <w:tc>
          <w:tcPr>
            <w:tcW w:w="840" w:type="dxa"/>
            <w:tcBorders>
              <w:top w:val="nil"/>
              <w:left w:val="nil"/>
              <w:bottom w:val="nil"/>
              <w:right w:val="nil"/>
            </w:tcBorders>
            <w:shd w:val="clear" w:color="auto" w:fill="auto"/>
            <w:noWrap/>
            <w:vAlign w:val="bottom"/>
            <w:hideMark/>
          </w:tcPr>
          <w:p w14:paraId="29EA76B7" w14:textId="77777777" w:rsidR="004E5553" w:rsidRPr="003245E4" w:rsidRDefault="004E5553" w:rsidP="00027840">
            <w:pPr>
              <w:tabs>
                <w:tab w:val="clear" w:pos="567"/>
              </w:tabs>
              <w:spacing w:after="0" w:line="240" w:lineRule="auto"/>
              <w:jc w:val="right"/>
              <w:rPr>
                <w:rFonts w:ascii="Calibri" w:eastAsia="Times New Roman" w:hAnsi="Calibri" w:cs="Times New Roman"/>
                <w:color w:val="000000"/>
                <w:sz w:val="20"/>
                <w:szCs w:val="20"/>
                <w:lang w:eastAsia="en-AU"/>
              </w:rPr>
            </w:pPr>
            <w:r w:rsidRPr="003245E4">
              <w:rPr>
                <w:rFonts w:ascii="Calibri" w:eastAsia="Times New Roman" w:hAnsi="Calibri" w:cs="Times New Roman"/>
                <w:color w:val="000000"/>
                <w:sz w:val="20"/>
                <w:szCs w:val="20"/>
                <w:lang w:eastAsia="en-AU"/>
              </w:rPr>
              <w:t>%</w:t>
            </w:r>
          </w:p>
        </w:tc>
      </w:tr>
      <w:tr w:rsidR="004E5553" w:rsidRPr="003245E4" w14:paraId="149B0CB9" w14:textId="77777777" w:rsidTr="00027840">
        <w:trPr>
          <w:trHeight w:val="315"/>
        </w:trPr>
        <w:tc>
          <w:tcPr>
            <w:tcW w:w="2640" w:type="dxa"/>
            <w:tcBorders>
              <w:top w:val="nil"/>
              <w:left w:val="nil"/>
              <w:bottom w:val="nil"/>
              <w:right w:val="nil"/>
            </w:tcBorders>
            <w:shd w:val="clear" w:color="auto" w:fill="auto"/>
            <w:vAlign w:val="bottom"/>
            <w:hideMark/>
          </w:tcPr>
          <w:p w14:paraId="7A962608" w14:textId="77777777" w:rsidR="004E5553" w:rsidRPr="003245E4" w:rsidRDefault="004E5553" w:rsidP="00027840">
            <w:pPr>
              <w:tabs>
                <w:tab w:val="clear" w:pos="567"/>
              </w:tabs>
              <w:spacing w:after="0" w:line="240" w:lineRule="auto"/>
              <w:rPr>
                <w:rFonts w:ascii="Calibri" w:eastAsia="Times New Roman" w:hAnsi="Calibri" w:cs="Times New Roman"/>
                <w:color w:val="000000"/>
                <w:sz w:val="20"/>
                <w:szCs w:val="20"/>
                <w:lang w:eastAsia="en-AU"/>
              </w:rPr>
            </w:pPr>
            <w:r w:rsidRPr="003245E4">
              <w:rPr>
                <w:rFonts w:ascii="Calibri" w:eastAsia="Times New Roman" w:hAnsi="Calibri" w:cs="Times New Roman"/>
                <w:color w:val="000000"/>
                <w:sz w:val="20"/>
                <w:szCs w:val="20"/>
                <w:lang w:eastAsia="en-AU"/>
              </w:rPr>
              <w:t>Future act applications (a)</w:t>
            </w:r>
          </w:p>
        </w:tc>
        <w:tc>
          <w:tcPr>
            <w:tcW w:w="740" w:type="dxa"/>
            <w:tcBorders>
              <w:top w:val="nil"/>
              <w:left w:val="nil"/>
              <w:bottom w:val="nil"/>
              <w:right w:val="nil"/>
            </w:tcBorders>
            <w:shd w:val="clear" w:color="auto" w:fill="auto"/>
            <w:vAlign w:val="bottom"/>
            <w:hideMark/>
          </w:tcPr>
          <w:p w14:paraId="6D3E0D65" w14:textId="77777777" w:rsidR="004E5553" w:rsidRPr="003245E4" w:rsidRDefault="004E5553" w:rsidP="00027840">
            <w:pPr>
              <w:tabs>
                <w:tab w:val="clear" w:pos="567"/>
              </w:tabs>
              <w:spacing w:after="0" w:line="240" w:lineRule="auto"/>
              <w:jc w:val="right"/>
              <w:rPr>
                <w:rFonts w:ascii="Calibri" w:eastAsia="Times New Roman" w:hAnsi="Calibri" w:cs="Times New Roman"/>
                <w:color w:val="000000"/>
                <w:sz w:val="20"/>
                <w:szCs w:val="20"/>
                <w:lang w:eastAsia="en-AU"/>
              </w:rPr>
            </w:pPr>
            <w:r w:rsidRPr="003245E4">
              <w:rPr>
                <w:rFonts w:ascii="Calibri" w:eastAsia="Times New Roman" w:hAnsi="Calibri" w:cs="Times New Roman"/>
                <w:color w:val="000000"/>
                <w:sz w:val="20"/>
                <w:szCs w:val="20"/>
                <w:lang w:eastAsia="en-AU"/>
              </w:rPr>
              <w:t xml:space="preserve">  0.1</w:t>
            </w:r>
          </w:p>
        </w:tc>
        <w:tc>
          <w:tcPr>
            <w:tcW w:w="640" w:type="dxa"/>
            <w:tcBorders>
              <w:top w:val="nil"/>
              <w:left w:val="nil"/>
              <w:bottom w:val="nil"/>
              <w:right w:val="nil"/>
            </w:tcBorders>
            <w:shd w:val="clear" w:color="auto" w:fill="auto"/>
            <w:vAlign w:val="bottom"/>
            <w:hideMark/>
          </w:tcPr>
          <w:p w14:paraId="0094CBB7" w14:textId="77777777" w:rsidR="004E5553" w:rsidRPr="003245E4" w:rsidRDefault="004E5553" w:rsidP="00027840">
            <w:pPr>
              <w:tabs>
                <w:tab w:val="clear" w:pos="567"/>
              </w:tabs>
              <w:spacing w:after="0" w:line="240" w:lineRule="auto"/>
              <w:jc w:val="right"/>
              <w:rPr>
                <w:rFonts w:ascii="Calibri" w:eastAsia="Times New Roman" w:hAnsi="Calibri" w:cs="Times New Roman"/>
                <w:color w:val="000000"/>
                <w:sz w:val="20"/>
                <w:szCs w:val="20"/>
                <w:lang w:eastAsia="en-AU"/>
              </w:rPr>
            </w:pPr>
            <w:r w:rsidRPr="003245E4">
              <w:rPr>
                <w:rFonts w:ascii="Calibri" w:eastAsia="Times New Roman" w:hAnsi="Calibri" w:cs="Times New Roman"/>
                <w:color w:val="000000"/>
                <w:sz w:val="20"/>
                <w:szCs w:val="20"/>
                <w:lang w:eastAsia="en-AU"/>
              </w:rPr>
              <w:t xml:space="preserve">  0.0</w:t>
            </w:r>
          </w:p>
        </w:tc>
        <w:tc>
          <w:tcPr>
            <w:tcW w:w="740" w:type="dxa"/>
            <w:tcBorders>
              <w:top w:val="nil"/>
              <w:left w:val="nil"/>
              <w:bottom w:val="nil"/>
              <w:right w:val="nil"/>
            </w:tcBorders>
            <w:shd w:val="clear" w:color="auto" w:fill="auto"/>
            <w:vAlign w:val="bottom"/>
            <w:hideMark/>
          </w:tcPr>
          <w:p w14:paraId="6757CDDF" w14:textId="77777777" w:rsidR="004E5553" w:rsidRPr="003245E4" w:rsidRDefault="004E5553" w:rsidP="00027840">
            <w:pPr>
              <w:tabs>
                <w:tab w:val="clear" w:pos="567"/>
              </w:tabs>
              <w:spacing w:after="0" w:line="240" w:lineRule="auto"/>
              <w:jc w:val="right"/>
              <w:rPr>
                <w:rFonts w:ascii="Calibri" w:eastAsia="Times New Roman" w:hAnsi="Calibri" w:cs="Times New Roman"/>
                <w:color w:val="000000"/>
                <w:sz w:val="20"/>
                <w:szCs w:val="20"/>
                <w:lang w:eastAsia="en-AU"/>
              </w:rPr>
            </w:pPr>
            <w:r w:rsidRPr="003245E4">
              <w:rPr>
                <w:rFonts w:ascii="Calibri" w:eastAsia="Times New Roman" w:hAnsi="Calibri" w:cs="Times New Roman"/>
                <w:color w:val="000000"/>
                <w:sz w:val="20"/>
                <w:szCs w:val="20"/>
                <w:lang w:eastAsia="en-AU"/>
              </w:rPr>
              <w:t xml:space="preserve">  7.9</w:t>
            </w:r>
          </w:p>
        </w:tc>
        <w:tc>
          <w:tcPr>
            <w:tcW w:w="740" w:type="dxa"/>
            <w:tcBorders>
              <w:top w:val="nil"/>
              <w:left w:val="nil"/>
              <w:bottom w:val="nil"/>
              <w:right w:val="nil"/>
            </w:tcBorders>
            <w:shd w:val="clear" w:color="auto" w:fill="auto"/>
            <w:vAlign w:val="bottom"/>
            <w:hideMark/>
          </w:tcPr>
          <w:p w14:paraId="2E81CC2A" w14:textId="77777777" w:rsidR="004E5553" w:rsidRPr="003245E4" w:rsidRDefault="004E5553" w:rsidP="00027840">
            <w:pPr>
              <w:tabs>
                <w:tab w:val="clear" w:pos="567"/>
              </w:tabs>
              <w:spacing w:after="0" w:line="240" w:lineRule="auto"/>
              <w:jc w:val="right"/>
              <w:rPr>
                <w:rFonts w:ascii="Calibri" w:eastAsia="Times New Roman" w:hAnsi="Calibri" w:cs="Times New Roman"/>
                <w:color w:val="000000"/>
                <w:sz w:val="20"/>
                <w:szCs w:val="20"/>
                <w:lang w:eastAsia="en-AU"/>
              </w:rPr>
            </w:pPr>
            <w:r w:rsidRPr="003245E4">
              <w:rPr>
                <w:rFonts w:ascii="Calibri" w:eastAsia="Times New Roman" w:hAnsi="Calibri" w:cs="Times New Roman"/>
                <w:color w:val="000000"/>
                <w:sz w:val="20"/>
                <w:szCs w:val="20"/>
                <w:lang w:eastAsia="en-AU"/>
              </w:rPr>
              <w:t xml:space="preserve">  90.7</w:t>
            </w:r>
          </w:p>
        </w:tc>
        <w:tc>
          <w:tcPr>
            <w:tcW w:w="640" w:type="dxa"/>
            <w:tcBorders>
              <w:top w:val="nil"/>
              <w:left w:val="nil"/>
              <w:bottom w:val="nil"/>
              <w:right w:val="nil"/>
            </w:tcBorders>
            <w:shd w:val="clear" w:color="auto" w:fill="auto"/>
            <w:vAlign w:val="bottom"/>
            <w:hideMark/>
          </w:tcPr>
          <w:p w14:paraId="448238A1" w14:textId="77777777" w:rsidR="004E5553" w:rsidRPr="003245E4" w:rsidRDefault="004E5553" w:rsidP="00027840">
            <w:pPr>
              <w:tabs>
                <w:tab w:val="clear" w:pos="567"/>
              </w:tabs>
              <w:spacing w:after="0" w:line="240" w:lineRule="auto"/>
              <w:jc w:val="right"/>
              <w:rPr>
                <w:rFonts w:ascii="Calibri" w:eastAsia="Times New Roman" w:hAnsi="Calibri" w:cs="Times New Roman"/>
                <w:color w:val="000000"/>
                <w:sz w:val="20"/>
                <w:szCs w:val="20"/>
                <w:lang w:eastAsia="en-AU"/>
              </w:rPr>
            </w:pPr>
            <w:r w:rsidRPr="003245E4">
              <w:rPr>
                <w:rFonts w:ascii="Calibri" w:eastAsia="Times New Roman" w:hAnsi="Calibri" w:cs="Times New Roman"/>
                <w:color w:val="000000"/>
                <w:sz w:val="20"/>
                <w:szCs w:val="20"/>
                <w:lang w:eastAsia="en-AU"/>
              </w:rPr>
              <w:t xml:space="preserve">  0.0</w:t>
            </w:r>
          </w:p>
        </w:tc>
        <w:tc>
          <w:tcPr>
            <w:tcW w:w="640" w:type="dxa"/>
            <w:tcBorders>
              <w:top w:val="nil"/>
              <w:left w:val="nil"/>
              <w:bottom w:val="nil"/>
              <w:right w:val="nil"/>
            </w:tcBorders>
            <w:shd w:val="clear" w:color="auto" w:fill="auto"/>
            <w:vAlign w:val="bottom"/>
            <w:hideMark/>
          </w:tcPr>
          <w:p w14:paraId="52C35C5E" w14:textId="77777777" w:rsidR="004E5553" w:rsidRPr="003245E4" w:rsidRDefault="004E5553" w:rsidP="00027840">
            <w:pPr>
              <w:tabs>
                <w:tab w:val="clear" w:pos="567"/>
              </w:tabs>
              <w:spacing w:after="0" w:line="240" w:lineRule="auto"/>
              <w:jc w:val="right"/>
              <w:rPr>
                <w:rFonts w:ascii="Calibri" w:eastAsia="Times New Roman" w:hAnsi="Calibri" w:cs="Times New Roman"/>
                <w:color w:val="000000"/>
                <w:sz w:val="20"/>
                <w:szCs w:val="20"/>
                <w:lang w:eastAsia="en-AU"/>
              </w:rPr>
            </w:pPr>
            <w:r w:rsidRPr="003245E4">
              <w:rPr>
                <w:rFonts w:ascii="Calibri" w:eastAsia="Times New Roman" w:hAnsi="Calibri" w:cs="Times New Roman"/>
                <w:color w:val="000000"/>
                <w:sz w:val="20"/>
                <w:szCs w:val="20"/>
                <w:lang w:eastAsia="en-AU"/>
              </w:rPr>
              <w:t xml:space="preserve">  0.0</w:t>
            </w:r>
          </w:p>
        </w:tc>
        <w:tc>
          <w:tcPr>
            <w:tcW w:w="640" w:type="dxa"/>
            <w:tcBorders>
              <w:top w:val="nil"/>
              <w:left w:val="nil"/>
              <w:bottom w:val="nil"/>
              <w:right w:val="nil"/>
            </w:tcBorders>
            <w:shd w:val="clear" w:color="auto" w:fill="auto"/>
            <w:vAlign w:val="bottom"/>
            <w:hideMark/>
          </w:tcPr>
          <w:p w14:paraId="2BBB60DC" w14:textId="77777777" w:rsidR="004E5553" w:rsidRPr="003245E4" w:rsidRDefault="004E5553" w:rsidP="00027840">
            <w:pPr>
              <w:tabs>
                <w:tab w:val="clear" w:pos="567"/>
              </w:tabs>
              <w:spacing w:after="0" w:line="240" w:lineRule="auto"/>
              <w:jc w:val="right"/>
              <w:rPr>
                <w:rFonts w:ascii="Calibri" w:eastAsia="Times New Roman" w:hAnsi="Calibri" w:cs="Times New Roman"/>
                <w:color w:val="000000"/>
                <w:sz w:val="20"/>
                <w:szCs w:val="20"/>
                <w:lang w:eastAsia="en-AU"/>
              </w:rPr>
            </w:pPr>
            <w:r w:rsidRPr="003245E4">
              <w:rPr>
                <w:rFonts w:ascii="Calibri" w:eastAsia="Times New Roman" w:hAnsi="Calibri" w:cs="Times New Roman"/>
                <w:color w:val="000000"/>
                <w:sz w:val="20"/>
                <w:szCs w:val="20"/>
                <w:lang w:eastAsia="en-AU"/>
              </w:rPr>
              <w:t xml:space="preserve">  0.0</w:t>
            </w:r>
          </w:p>
        </w:tc>
        <w:tc>
          <w:tcPr>
            <w:tcW w:w="740" w:type="dxa"/>
            <w:tcBorders>
              <w:top w:val="nil"/>
              <w:left w:val="nil"/>
              <w:bottom w:val="nil"/>
              <w:right w:val="nil"/>
            </w:tcBorders>
            <w:shd w:val="clear" w:color="auto" w:fill="auto"/>
            <w:vAlign w:val="bottom"/>
            <w:hideMark/>
          </w:tcPr>
          <w:p w14:paraId="4E7FA22D" w14:textId="77777777" w:rsidR="004E5553" w:rsidRPr="003245E4" w:rsidRDefault="004E5553" w:rsidP="00027840">
            <w:pPr>
              <w:tabs>
                <w:tab w:val="clear" w:pos="567"/>
              </w:tabs>
              <w:spacing w:after="0" w:line="240" w:lineRule="auto"/>
              <w:jc w:val="right"/>
              <w:rPr>
                <w:rFonts w:ascii="Calibri" w:eastAsia="Times New Roman" w:hAnsi="Calibri" w:cs="Times New Roman"/>
                <w:color w:val="000000"/>
                <w:sz w:val="20"/>
                <w:szCs w:val="20"/>
                <w:lang w:eastAsia="en-AU"/>
              </w:rPr>
            </w:pPr>
            <w:r w:rsidRPr="003245E4">
              <w:rPr>
                <w:rFonts w:ascii="Calibri" w:eastAsia="Times New Roman" w:hAnsi="Calibri" w:cs="Times New Roman"/>
                <w:color w:val="000000"/>
                <w:sz w:val="20"/>
                <w:szCs w:val="20"/>
                <w:lang w:eastAsia="en-AU"/>
              </w:rPr>
              <w:t xml:space="preserve">  1.3</w:t>
            </w:r>
          </w:p>
        </w:tc>
        <w:tc>
          <w:tcPr>
            <w:tcW w:w="840" w:type="dxa"/>
            <w:tcBorders>
              <w:top w:val="nil"/>
              <w:left w:val="nil"/>
              <w:bottom w:val="nil"/>
              <w:right w:val="nil"/>
            </w:tcBorders>
            <w:shd w:val="clear" w:color="auto" w:fill="auto"/>
            <w:vAlign w:val="bottom"/>
            <w:hideMark/>
          </w:tcPr>
          <w:p w14:paraId="117D726A" w14:textId="77777777" w:rsidR="004E5553" w:rsidRPr="003245E4" w:rsidRDefault="004E5553" w:rsidP="00027840">
            <w:pPr>
              <w:tabs>
                <w:tab w:val="clear" w:pos="567"/>
              </w:tabs>
              <w:spacing w:after="0" w:line="240" w:lineRule="auto"/>
              <w:jc w:val="right"/>
              <w:rPr>
                <w:rFonts w:ascii="Calibri" w:eastAsia="Times New Roman" w:hAnsi="Calibri" w:cs="Times New Roman"/>
                <w:color w:val="000000"/>
                <w:sz w:val="20"/>
                <w:szCs w:val="20"/>
                <w:lang w:eastAsia="en-AU"/>
              </w:rPr>
            </w:pPr>
            <w:r w:rsidRPr="003245E4">
              <w:rPr>
                <w:rFonts w:ascii="Calibri" w:eastAsia="Times New Roman" w:hAnsi="Calibri" w:cs="Times New Roman"/>
                <w:color w:val="000000"/>
                <w:sz w:val="20"/>
                <w:szCs w:val="20"/>
                <w:lang w:eastAsia="en-AU"/>
              </w:rPr>
              <w:t xml:space="preserve">  100.0</w:t>
            </w:r>
          </w:p>
        </w:tc>
      </w:tr>
      <w:tr w:rsidR="004E5553" w:rsidRPr="003245E4" w14:paraId="5B3C46B5" w14:textId="77777777" w:rsidTr="00027840">
        <w:trPr>
          <w:trHeight w:val="315"/>
        </w:trPr>
        <w:tc>
          <w:tcPr>
            <w:tcW w:w="2640" w:type="dxa"/>
            <w:tcBorders>
              <w:top w:val="nil"/>
              <w:left w:val="nil"/>
              <w:bottom w:val="nil"/>
              <w:right w:val="nil"/>
            </w:tcBorders>
            <w:shd w:val="clear" w:color="auto" w:fill="auto"/>
            <w:vAlign w:val="bottom"/>
            <w:hideMark/>
          </w:tcPr>
          <w:p w14:paraId="1B43E23C" w14:textId="77777777" w:rsidR="004E5553" w:rsidRPr="003245E4" w:rsidRDefault="004E5553" w:rsidP="00027840">
            <w:pPr>
              <w:tabs>
                <w:tab w:val="clear" w:pos="567"/>
              </w:tabs>
              <w:spacing w:after="0" w:line="240" w:lineRule="auto"/>
              <w:rPr>
                <w:rFonts w:ascii="Calibri" w:eastAsia="Times New Roman" w:hAnsi="Calibri" w:cs="Times New Roman"/>
                <w:color w:val="000000"/>
                <w:sz w:val="20"/>
                <w:szCs w:val="20"/>
                <w:lang w:eastAsia="en-AU"/>
              </w:rPr>
            </w:pPr>
            <w:r w:rsidRPr="003245E4">
              <w:rPr>
                <w:rFonts w:ascii="Calibri" w:eastAsia="Times New Roman" w:hAnsi="Calibri" w:cs="Times New Roman"/>
                <w:color w:val="000000"/>
                <w:sz w:val="20"/>
                <w:szCs w:val="20"/>
                <w:lang w:eastAsia="en-AU"/>
              </w:rPr>
              <w:t>Native title claims (b)</w:t>
            </w:r>
          </w:p>
        </w:tc>
        <w:tc>
          <w:tcPr>
            <w:tcW w:w="740" w:type="dxa"/>
            <w:tcBorders>
              <w:top w:val="nil"/>
              <w:left w:val="nil"/>
              <w:bottom w:val="nil"/>
              <w:right w:val="nil"/>
            </w:tcBorders>
            <w:shd w:val="clear" w:color="auto" w:fill="auto"/>
            <w:vAlign w:val="bottom"/>
            <w:hideMark/>
          </w:tcPr>
          <w:p w14:paraId="164AE726" w14:textId="77777777" w:rsidR="004E5553" w:rsidRPr="003245E4" w:rsidRDefault="004E5553" w:rsidP="00027840">
            <w:pPr>
              <w:tabs>
                <w:tab w:val="clear" w:pos="567"/>
              </w:tabs>
              <w:spacing w:after="0" w:line="240" w:lineRule="auto"/>
              <w:jc w:val="right"/>
              <w:rPr>
                <w:rFonts w:ascii="Calibri" w:eastAsia="Times New Roman" w:hAnsi="Calibri" w:cs="Times New Roman"/>
                <w:color w:val="000000"/>
                <w:sz w:val="20"/>
                <w:szCs w:val="20"/>
                <w:lang w:eastAsia="en-AU"/>
              </w:rPr>
            </w:pPr>
            <w:r w:rsidRPr="003245E4">
              <w:rPr>
                <w:rFonts w:ascii="Calibri" w:eastAsia="Times New Roman" w:hAnsi="Calibri" w:cs="Times New Roman"/>
                <w:color w:val="000000"/>
                <w:sz w:val="20"/>
                <w:szCs w:val="20"/>
                <w:lang w:eastAsia="en-AU"/>
              </w:rPr>
              <w:t xml:space="preserve">  24.5</w:t>
            </w:r>
          </w:p>
        </w:tc>
        <w:tc>
          <w:tcPr>
            <w:tcW w:w="640" w:type="dxa"/>
            <w:tcBorders>
              <w:top w:val="nil"/>
              <w:left w:val="nil"/>
              <w:bottom w:val="nil"/>
              <w:right w:val="nil"/>
            </w:tcBorders>
            <w:shd w:val="clear" w:color="auto" w:fill="auto"/>
            <w:vAlign w:val="bottom"/>
            <w:hideMark/>
          </w:tcPr>
          <w:p w14:paraId="52925DFE" w14:textId="77777777" w:rsidR="004E5553" w:rsidRPr="003245E4" w:rsidRDefault="004E5553" w:rsidP="00027840">
            <w:pPr>
              <w:tabs>
                <w:tab w:val="clear" w:pos="567"/>
              </w:tabs>
              <w:spacing w:after="0" w:line="240" w:lineRule="auto"/>
              <w:jc w:val="right"/>
              <w:rPr>
                <w:rFonts w:ascii="Calibri" w:eastAsia="Times New Roman" w:hAnsi="Calibri" w:cs="Times New Roman"/>
                <w:color w:val="000000"/>
                <w:sz w:val="20"/>
                <w:szCs w:val="20"/>
                <w:lang w:eastAsia="en-AU"/>
              </w:rPr>
            </w:pPr>
            <w:r w:rsidRPr="003245E4">
              <w:rPr>
                <w:rFonts w:ascii="Calibri" w:eastAsia="Times New Roman" w:hAnsi="Calibri" w:cs="Times New Roman"/>
                <w:color w:val="000000"/>
                <w:sz w:val="20"/>
                <w:szCs w:val="20"/>
                <w:lang w:eastAsia="en-AU"/>
              </w:rPr>
              <w:t xml:space="preserve">  3.5</w:t>
            </w:r>
          </w:p>
        </w:tc>
        <w:tc>
          <w:tcPr>
            <w:tcW w:w="740" w:type="dxa"/>
            <w:tcBorders>
              <w:top w:val="nil"/>
              <w:left w:val="nil"/>
              <w:bottom w:val="nil"/>
              <w:right w:val="nil"/>
            </w:tcBorders>
            <w:shd w:val="clear" w:color="auto" w:fill="auto"/>
            <w:vAlign w:val="bottom"/>
            <w:hideMark/>
          </w:tcPr>
          <w:p w14:paraId="542CB429" w14:textId="77777777" w:rsidR="004E5553" w:rsidRPr="003245E4" w:rsidRDefault="004E5553" w:rsidP="00027840">
            <w:pPr>
              <w:tabs>
                <w:tab w:val="clear" w:pos="567"/>
              </w:tabs>
              <w:spacing w:after="0" w:line="240" w:lineRule="auto"/>
              <w:jc w:val="right"/>
              <w:rPr>
                <w:rFonts w:ascii="Calibri" w:eastAsia="Times New Roman" w:hAnsi="Calibri" w:cs="Times New Roman"/>
                <w:color w:val="000000"/>
                <w:sz w:val="20"/>
                <w:szCs w:val="20"/>
                <w:lang w:eastAsia="en-AU"/>
              </w:rPr>
            </w:pPr>
            <w:r w:rsidRPr="003245E4">
              <w:rPr>
                <w:rFonts w:ascii="Calibri" w:eastAsia="Times New Roman" w:hAnsi="Calibri" w:cs="Times New Roman"/>
                <w:color w:val="000000"/>
                <w:sz w:val="20"/>
                <w:szCs w:val="20"/>
                <w:lang w:eastAsia="en-AU"/>
              </w:rPr>
              <w:t xml:space="preserve">  27.0</w:t>
            </w:r>
          </w:p>
        </w:tc>
        <w:tc>
          <w:tcPr>
            <w:tcW w:w="740" w:type="dxa"/>
            <w:tcBorders>
              <w:top w:val="nil"/>
              <w:left w:val="nil"/>
              <w:bottom w:val="nil"/>
              <w:right w:val="nil"/>
            </w:tcBorders>
            <w:shd w:val="clear" w:color="auto" w:fill="auto"/>
            <w:vAlign w:val="bottom"/>
            <w:hideMark/>
          </w:tcPr>
          <w:p w14:paraId="52086F65" w14:textId="77777777" w:rsidR="004E5553" w:rsidRPr="003245E4" w:rsidRDefault="004E5553" w:rsidP="00027840">
            <w:pPr>
              <w:tabs>
                <w:tab w:val="clear" w:pos="567"/>
              </w:tabs>
              <w:spacing w:after="0" w:line="240" w:lineRule="auto"/>
              <w:jc w:val="right"/>
              <w:rPr>
                <w:rFonts w:ascii="Calibri" w:eastAsia="Times New Roman" w:hAnsi="Calibri" w:cs="Times New Roman"/>
                <w:color w:val="000000"/>
                <w:sz w:val="20"/>
                <w:szCs w:val="20"/>
                <w:lang w:eastAsia="en-AU"/>
              </w:rPr>
            </w:pPr>
            <w:r w:rsidRPr="003245E4">
              <w:rPr>
                <w:rFonts w:ascii="Calibri" w:eastAsia="Times New Roman" w:hAnsi="Calibri" w:cs="Times New Roman"/>
                <w:color w:val="000000"/>
                <w:sz w:val="20"/>
                <w:szCs w:val="20"/>
                <w:lang w:eastAsia="en-AU"/>
              </w:rPr>
              <w:t xml:space="preserve">  26.4</w:t>
            </w:r>
          </w:p>
        </w:tc>
        <w:tc>
          <w:tcPr>
            <w:tcW w:w="640" w:type="dxa"/>
            <w:tcBorders>
              <w:top w:val="nil"/>
              <w:left w:val="nil"/>
              <w:bottom w:val="nil"/>
              <w:right w:val="nil"/>
            </w:tcBorders>
            <w:shd w:val="clear" w:color="auto" w:fill="auto"/>
            <w:vAlign w:val="bottom"/>
            <w:hideMark/>
          </w:tcPr>
          <w:p w14:paraId="28A6621D" w14:textId="77777777" w:rsidR="004E5553" w:rsidRPr="003245E4" w:rsidRDefault="004E5553" w:rsidP="00027840">
            <w:pPr>
              <w:tabs>
                <w:tab w:val="clear" w:pos="567"/>
              </w:tabs>
              <w:spacing w:after="0" w:line="240" w:lineRule="auto"/>
              <w:jc w:val="right"/>
              <w:rPr>
                <w:rFonts w:ascii="Calibri" w:eastAsia="Times New Roman" w:hAnsi="Calibri" w:cs="Times New Roman"/>
                <w:color w:val="000000"/>
                <w:sz w:val="20"/>
                <w:szCs w:val="20"/>
                <w:lang w:eastAsia="en-AU"/>
              </w:rPr>
            </w:pPr>
            <w:r w:rsidRPr="003245E4">
              <w:rPr>
                <w:rFonts w:ascii="Calibri" w:eastAsia="Times New Roman" w:hAnsi="Calibri" w:cs="Times New Roman"/>
                <w:color w:val="000000"/>
                <w:sz w:val="20"/>
                <w:szCs w:val="20"/>
                <w:lang w:eastAsia="en-AU"/>
              </w:rPr>
              <w:t xml:space="preserve">  3.7</w:t>
            </w:r>
          </w:p>
        </w:tc>
        <w:tc>
          <w:tcPr>
            <w:tcW w:w="640" w:type="dxa"/>
            <w:tcBorders>
              <w:top w:val="nil"/>
              <w:left w:val="nil"/>
              <w:bottom w:val="nil"/>
              <w:right w:val="nil"/>
            </w:tcBorders>
            <w:shd w:val="clear" w:color="auto" w:fill="auto"/>
            <w:vAlign w:val="bottom"/>
            <w:hideMark/>
          </w:tcPr>
          <w:p w14:paraId="120EC602" w14:textId="77777777" w:rsidR="004E5553" w:rsidRPr="003245E4" w:rsidRDefault="004E5553" w:rsidP="00027840">
            <w:pPr>
              <w:tabs>
                <w:tab w:val="clear" w:pos="567"/>
              </w:tabs>
              <w:spacing w:after="0" w:line="240" w:lineRule="auto"/>
              <w:jc w:val="right"/>
              <w:rPr>
                <w:rFonts w:ascii="Calibri" w:eastAsia="Times New Roman" w:hAnsi="Calibri" w:cs="Times New Roman"/>
                <w:color w:val="000000"/>
                <w:sz w:val="20"/>
                <w:szCs w:val="20"/>
                <w:lang w:eastAsia="en-AU"/>
              </w:rPr>
            </w:pPr>
            <w:r w:rsidRPr="003245E4">
              <w:rPr>
                <w:rFonts w:ascii="Calibri" w:eastAsia="Times New Roman" w:hAnsi="Calibri" w:cs="Times New Roman"/>
                <w:color w:val="000000"/>
                <w:sz w:val="20"/>
                <w:szCs w:val="20"/>
                <w:lang w:eastAsia="en-AU"/>
              </w:rPr>
              <w:t xml:space="preserve">  0.2</w:t>
            </w:r>
          </w:p>
        </w:tc>
        <w:tc>
          <w:tcPr>
            <w:tcW w:w="640" w:type="dxa"/>
            <w:tcBorders>
              <w:top w:val="nil"/>
              <w:left w:val="nil"/>
              <w:bottom w:val="nil"/>
              <w:right w:val="nil"/>
            </w:tcBorders>
            <w:shd w:val="clear" w:color="auto" w:fill="auto"/>
            <w:vAlign w:val="bottom"/>
            <w:hideMark/>
          </w:tcPr>
          <w:p w14:paraId="5BCEFB8A" w14:textId="77777777" w:rsidR="004E5553" w:rsidRPr="003245E4" w:rsidRDefault="004E5553" w:rsidP="00027840">
            <w:pPr>
              <w:tabs>
                <w:tab w:val="clear" w:pos="567"/>
              </w:tabs>
              <w:spacing w:after="0" w:line="240" w:lineRule="auto"/>
              <w:jc w:val="right"/>
              <w:rPr>
                <w:rFonts w:ascii="Calibri" w:eastAsia="Times New Roman" w:hAnsi="Calibri" w:cs="Times New Roman"/>
                <w:color w:val="000000"/>
                <w:sz w:val="20"/>
                <w:szCs w:val="20"/>
                <w:lang w:eastAsia="en-AU"/>
              </w:rPr>
            </w:pPr>
            <w:r w:rsidRPr="003245E4">
              <w:rPr>
                <w:rFonts w:ascii="Calibri" w:eastAsia="Times New Roman" w:hAnsi="Calibri" w:cs="Times New Roman"/>
                <w:color w:val="000000"/>
                <w:sz w:val="20"/>
                <w:szCs w:val="20"/>
                <w:lang w:eastAsia="en-AU"/>
              </w:rPr>
              <w:t xml:space="preserve">  0.2</w:t>
            </w:r>
          </w:p>
        </w:tc>
        <w:tc>
          <w:tcPr>
            <w:tcW w:w="740" w:type="dxa"/>
            <w:tcBorders>
              <w:top w:val="nil"/>
              <w:left w:val="nil"/>
              <w:bottom w:val="nil"/>
              <w:right w:val="nil"/>
            </w:tcBorders>
            <w:shd w:val="clear" w:color="auto" w:fill="auto"/>
            <w:vAlign w:val="bottom"/>
            <w:hideMark/>
          </w:tcPr>
          <w:p w14:paraId="2E94BB8B" w14:textId="77777777" w:rsidR="004E5553" w:rsidRPr="003245E4" w:rsidRDefault="004E5553" w:rsidP="00027840">
            <w:pPr>
              <w:tabs>
                <w:tab w:val="clear" w:pos="567"/>
              </w:tabs>
              <w:spacing w:after="0" w:line="240" w:lineRule="auto"/>
              <w:jc w:val="right"/>
              <w:rPr>
                <w:rFonts w:ascii="Calibri" w:eastAsia="Times New Roman" w:hAnsi="Calibri" w:cs="Times New Roman"/>
                <w:color w:val="000000"/>
                <w:sz w:val="20"/>
                <w:szCs w:val="20"/>
                <w:lang w:eastAsia="en-AU"/>
              </w:rPr>
            </w:pPr>
            <w:r w:rsidRPr="003245E4">
              <w:rPr>
                <w:rFonts w:ascii="Calibri" w:eastAsia="Times New Roman" w:hAnsi="Calibri" w:cs="Times New Roman"/>
                <w:color w:val="000000"/>
                <w:sz w:val="20"/>
                <w:szCs w:val="20"/>
                <w:lang w:eastAsia="en-AU"/>
              </w:rPr>
              <w:t xml:space="preserve">  15.6</w:t>
            </w:r>
          </w:p>
        </w:tc>
        <w:tc>
          <w:tcPr>
            <w:tcW w:w="840" w:type="dxa"/>
            <w:tcBorders>
              <w:top w:val="nil"/>
              <w:left w:val="nil"/>
              <w:bottom w:val="nil"/>
              <w:right w:val="nil"/>
            </w:tcBorders>
            <w:shd w:val="clear" w:color="auto" w:fill="auto"/>
            <w:vAlign w:val="bottom"/>
            <w:hideMark/>
          </w:tcPr>
          <w:p w14:paraId="1AEB983E" w14:textId="77777777" w:rsidR="004E5553" w:rsidRPr="003245E4" w:rsidRDefault="004E5553" w:rsidP="00027840">
            <w:pPr>
              <w:tabs>
                <w:tab w:val="clear" w:pos="567"/>
              </w:tabs>
              <w:spacing w:after="0" w:line="240" w:lineRule="auto"/>
              <w:jc w:val="right"/>
              <w:rPr>
                <w:rFonts w:ascii="Calibri" w:eastAsia="Times New Roman" w:hAnsi="Calibri" w:cs="Times New Roman"/>
                <w:color w:val="000000"/>
                <w:sz w:val="20"/>
                <w:szCs w:val="20"/>
                <w:lang w:eastAsia="en-AU"/>
              </w:rPr>
            </w:pPr>
            <w:r w:rsidRPr="003245E4">
              <w:rPr>
                <w:rFonts w:ascii="Calibri" w:eastAsia="Times New Roman" w:hAnsi="Calibri" w:cs="Times New Roman"/>
                <w:color w:val="000000"/>
                <w:sz w:val="20"/>
                <w:szCs w:val="20"/>
                <w:lang w:eastAsia="en-AU"/>
              </w:rPr>
              <w:t xml:space="preserve">  100.0</w:t>
            </w:r>
          </w:p>
        </w:tc>
      </w:tr>
      <w:tr w:rsidR="004E5553" w:rsidRPr="003245E4" w14:paraId="54D2371A" w14:textId="77777777" w:rsidTr="00027840">
        <w:trPr>
          <w:trHeight w:val="315"/>
        </w:trPr>
        <w:tc>
          <w:tcPr>
            <w:tcW w:w="2640" w:type="dxa"/>
            <w:tcBorders>
              <w:top w:val="nil"/>
              <w:left w:val="nil"/>
              <w:bottom w:val="nil"/>
              <w:right w:val="nil"/>
            </w:tcBorders>
            <w:shd w:val="clear" w:color="auto" w:fill="auto"/>
            <w:vAlign w:val="bottom"/>
            <w:hideMark/>
          </w:tcPr>
          <w:p w14:paraId="327172D5" w14:textId="77777777" w:rsidR="004E5553" w:rsidRPr="003245E4" w:rsidRDefault="004E5553" w:rsidP="00027840">
            <w:pPr>
              <w:tabs>
                <w:tab w:val="clear" w:pos="567"/>
              </w:tabs>
              <w:spacing w:after="0" w:line="240" w:lineRule="auto"/>
              <w:rPr>
                <w:rFonts w:ascii="Calibri" w:eastAsia="Times New Roman" w:hAnsi="Calibri" w:cs="Times New Roman"/>
                <w:color w:val="000000"/>
                <w:sz w:val="20"/>
                <w:szCs w:val="20"/>
                <w:lang w:eastAsia="en-AU"/>
              </w:rPr>
            </w:pPr>
            <w:r w:rsidRPr="003245E4">
              <w:rPr>
                <w:rFonts w:ascii="Calibri" w:eastAsia="Times New Roman" w:hAnsi="Calibri" w:cs="Times New Roman"/>
                <w:color w:val="000000"/>
                <w:sz w:val="20"/>
                <w:szCs w:val="20"/>
                <w:lang w:eastAsia="en-AU"/>
              </w:rPr>
              <w:t>Indigenous population share</w:t>
            </w:r>
          </w:p>
        </w:tc>
        <w:tc>
          <w:tcPr>
            <w:tcW w:w="740" w:type="dxa"/>
            <w:tcBorders>
              <w:top w:val="nil"/>
              <w:left w:val="nil"/>
              <w:bottom w:val="nil"/>
              <w:right w:val="nil"/>
            </w:tcBorders>
            <w:shd w:val="clear" w:color="auto" w:fill="auto"/>
            <w:vAlign w:val="bottom"/>
            <w:hideMark/>
          </w:tcPr>
          <w:p w14:paraId="454F307E" w14:textId="77777777" w:rsidR="004E5553" w:rsidRPr="003245E4" w:rsidRDefault="004E5553" w:rsidP="00027840">
            <w:pPr>
              <w:tabs>
                <w:tab w:val="clear" w:pos="567"/>
              </w:tabs>
              <w:spacing w:after="0" w:line="240" w:lineRule="auto"/>
              <w:jc w:val="right"/>
              <w:rPr>
                <w:rFonts w:ascii="Calibri" w:eastAsia="Times New Roman" w:hAnsi="Calibri" w:cs="Times New Roman"/>
                <w:color w:val="000000"/>
                <w:sz w:val="20"/>
                <w:szCs w:val="20"/>
                <w:lang w:eastAsia="en-AU"/>
              </w:rPr>
            </w:pPr>
            <w:r w:rsidRPr="003245E4">
              <w:rPr>
                <w:rFonts w:ascii="Calibri" w:eastAsia="Times New Roman" w:hAnsi="Calibri" w:cs="Times New Roman"/>
                <w:color w:val="000000"/>
                <w:sz w:val="20"/>
                <w:szCs w:val="20"/>
                <w:lang w:eastAsia="en-AU"/>
              </w:rPr>
              <w:t xml:space="preserve">  33.4</w:t>
            </w:r>
          </w:p>
        </w:tc>
        <w:tc>
          <w:tcPr>
            <w:tcW w:w="640" w:type="dxa"/>
            <w:tcBorders>
              <w:top w:val="nil"/>
              <w:left w:val="nil"/>
              <w:bottom w:val="nil"/>
              <w:right w:val="nil"/>
            </w:tcBorders>
            <w:shd w:val="clear" w:color="auto" w:fill="auto"/>
            <w:vAlign w:val="bottom"/>
            <w:hideMark/>
          </w:tcPr>
          <w:p w14:paraId="0A0426D2" w14:textId="77777777" w:rsidR="004E5553" w:rsidRPr="003245E4" w:rsidRDefault="004E5553" w:rsidP="00027840">
            <w:pPr>
              <w:tabs>
                <w:tab w:val="clear" w:pos="567"/>
              </w:tabs>
              <w:spacing w:after="0" w:line="240" w:lineRule="auto"/>
              <w:jc w:val="right"/>
              <w:rPr>
                <w:rFonts w:ascii="Calibri" w:eastAsia="Times New Roman" w:hAnsi="Calibri" w:cs="Times New Roman"/>
                <w:color w:val="000000"/>
                <w:sz w:val="20"/>
                <w:szCs w:val="20"/>
                <w:lang w:eastAsia="en-AU"/>
              </w:rPr>
            </w:pPr>
            <w:r w:rsidRPr="003245E4">
              <w:rPr>
                <w:rFonts w:ascii="Calibri" w:eastAsia="Times New Roman" w:hAnsi="Calibri" w:cs="Times New Roman"/>
                <w:color w:val="000000"/>
                <w:sz w:val="20"/>
                <w:szCs w:val="20"/>
                <w:lang w:eastAsia="en-AU"/>
              </w:rPr>
              <w:t xml:space="preserve">  7.3</w:t>
            </w:r>
          </w:p>
        </w:tc>
        <w:tc>
          <w:tcPr>
            <w:tcW w:w="740" w:type="dxa"/>
            <w:tcBorders>
              <w:top w:val="nil"/>
              <w:left w:val="nil"/>
              <w:bottom w:val="nil"/>
              <w:right w:val="nil"/>
            </w:tcBorders>
            <w:shd w:val="clear" w:color="auto" w:fill="auto"/>
            <w:vAlign w:val="bottom"/>
            <w:hideMark/>
          </w:tcPr>
          <w:p w14:paraId="5C51FFFC" w14:textId="77777777" w:rsidR="004E5553" w:rsidRPr="003245E4" w:rsidRDefault="004E5553" w:rsidP="00027840">
            <w:pPr>
              <w:tabs>
                <w:tab w:val="clear" w:pos="567"/>
              </w:tabs>
              <w:spacing w:after="0" w:line="240" w:lineRule="auto"/>
              <w:jc w:val="right"/>
              <w:rPr>
                <w:rFonts w:ascii="Calibri" w:eastAsia="Times New Roman" w:hAnsi="Calibri" w:cs="Times New Roman"/>
                <w:color w:val="000000"/>
                <w:sz w:val="20"/>
                <w:szCs w:val="20"/>
                <w:lang w:eastAsia="en-AU"/>
              </w:rPr>
            </w:pPr>
            <w:r w:rsidRPr="003245E4">
              <w:rPr>
                <w:rFonts w:ascii="Calibri" w:eastAsia="Times New Roman" w:hAnsi="Calibri" w:cs="Times New Roman"/>
                <w:color w:val="000000"/>
                <w:sz w:val="20"/>
                <w:szCs w:val="20"/>
                <w:lang w:eastAsia="en-AU"/>
              </w:rPr>
              <w:t xml:space="preserve">  27.8</w:t>
            </w:r>
          </w:p>
        </w:tc>
        <w:tc>
          <w:tcPr>
            <w:tcW w:w="740" w:type="dxa"/>
            <w:tcBorders>
              <w:top w:val="nil"/>
              <w:left w:val="nil"/>
              <w:bottom w:val="nil"/>
              <w:right w:val="nil"/>
            </w:tcBorders>
            <w:shd w:val="clear" w:color="auto" w:fill="auto"/>
            <w:vAlign w:val="bottom"/>
            <w:hideMark/>
          </w:tcPr>
          <w:p w14:paraId="50D63B24" w14:textId="77777777" w:rsidR="004E5553" w:rsidRPr="003245E4" w:rsidRDefault="004E5553" w:rsidP="00027840">
            <w:pPr>
              <w:tabs>
                <w:tab w:val="clear" w:pos="567"/>
              </w:tabs>
              <w:spacing w:after="0" w:line="240" w:lineRule="auto"/>
              <w:jc w:val="right"/>
              <w:rPr>
                <w:rFonts w:ascii="Calibri" w:eastAsia="Times New Roman" w:hAnsi="Calibri" w:cs="Times New Roman"/>
                <w:color w:val="000000"/>
                <w:sz w:val="20"/>
                <w:szCs w:val="20"/>
                <w:lang w:eastAsia="en-AU"/>
              </w:rPr>
            </w:pPr>
            <w:r w:rsidRPr="003245E4">
              <w:rPr>
                <w:rFonts w:ascii="Calibri" w:eastAsia="Times New Roman" w:hAnsi="Calibri" w:cs="Times New Roman"/>
                <w:color w:val="000000"/>
                <w:sz w:val="20"/>
                <w:szCs w:val="20"/>
                <w:lang w:eastAsia="en-AU"/>
              </w:rPr>
              <w:t xml:space="preserve">  12.6</w:t>
            </w:r>
          </w:p>
        </w:tc>
        <w:tc>
          <w:tcPr>
            <w:tcW w:w="640" w:type="dxa"/>
            <w:tcBorders>
              <w:top w:val="nil"/>
              <w:left w:val="nil"/>
              <w:bottom w:val="nil"/>
              <w:right w:val="nil"/>
            </w:tcBorders>
            <w:shd w:val="clear" w:color="auto" w:fill="auto"/>
            <w:vAlign w:val="bottom"/>
            <w:hideMark/>
          </w:tcPr>
          <w:p w14:paraId="45A7B0B1" w14:textId="77777777" w:rsidR="004E5553" w:rsidRPr="003245E4" w:rsidRDefault="004E5553" w:rsidP="00027840">
            <w:pPr>
              <w:tabs>
                <w:tab w:val="clear" w:pos="567"/>
              </w:tabs>
              <w:spacing w:after="0" w:line="240" w:lineRule="auto"/>
              <w:jc w:val="right"/>
              <w:rPr>
                <w:rFonts w:ascii="Calibri" w:eastAsia="Times New Roman" w:hAnsi="Calibri" w:cs="Times New Roman"/>
                <w:color w:val="000000"/>
                <w:sz w:val="20"/>
                <w:szCs w:val="20"/>
                <w:lang w:eastAsia="en-AU"/>
              </w:rPr>
            </w:pPr>
            <w:r w:rsidRPr="003245E4">
              <w:rPr>
                <w:rFonts w:ascii="Calibri" w:eastAsia="Times New Roman" w:hAnsi="Calibri" w:cs="Times New Roman"/>
                <w:color w:val="000000"/>
                <w:sz w:val="20"/>
                <w:szCs w:val="20"/>
                <w:lang w:eastAsia="en-AU"/>
              </w:rPr>
              <w:t xml:space="preserve">  5.3</w:t>
            </w:r>
          </w:p>
        </w:tc>
        <w:tc>
          <w:tcPr>
            <w:tcW w:w="640" w:type="dxa"/>
            <w:tcBorders>
              <w:top w:val="nil"/>
              <w:left w:val="nil"/>
              <w:bottom w:val="nil"/>
              <w:right w:val="nil"/>
            </w:tcBorders>
            <w:shd w:val="clear" w:color="auto" w:fill="auto"/>
            <w:vAlign w:val="bottom"/>
            <w:hideMark/>
          </w:tcPr>
          <w:p w14:paraId="4D323D42" w14:textId="77777777" w:rsidR="004E5553" w:rsidRPr="003245E4" w:rsidRDefault="004E5553" w:rsidP="00027840">
            <w:pPr>
              <w:tabs>
                <w:tab w:val="clear" w:pos="567"/>
              </w:tabs>
              <w:spacing w:after="0" w:line="240" w:lineRule="auto"/>
              <w:jc w:val="right"/>
              <w:rPr>
                <w:rFonts w:ascii="Calibri" w:eastAsia="Times New Roman" w:hAnsi="Calibri" w:cs="Times New Roman"/>
                <w:color w:val="000000"/>
                <w:sz w:val="20"/>
                <w:szCs w:val="20"/>
                <w:lang w:eastAsia="en-AU"/>
              </w:rPr>
            </w:pPr>
            <w:r w:rsidRPr="003245E4">
              <w:rPr>
                <w:rFonts w:ascii="Calibri" w:eastAsia="Times New Roman" w:hAnsi="Calibri" w:cs="Times New Roman"/>
                <w:color w:val="000000"/>
                <w:sz w:val="20"/>
                <w:szCs w:val="20"/>
                <w:lang w:eastAsia="en-AU"/>
              </w:rPr>
              <w:t xml:space="preserve">  3.5</w:t>
            </w:r>
          </w:p>
        </w:tc>
        <w:tc>
          <w:tcPr>
            <w:tcW w:w="640" w:type="dxa"/>
            <w:tcBorders>
              <w:top w:val="nil"/>
              <w:left w:val="nil"/>
              <w:bottom w:val="nil"/>
              <w:right w:val="nil"/>
            </w:tcBorders>
            <w:shd w:val="clear" w:color="auto" w:fill="auto"/>
            <w:vAlign w:val="bottom"/>
            <w:hideMark/>
          </w:tcPr>
          <w:p w14:paraId="1B64E758" w14:textId="77777777" w:rsidR="004E5553" w:rsidRPr="003245E4" w:rsidRDefault="004E5553" w:rsidP="00027840">
            <w:pPr>
              <w:tabs>
                <w:tab w:val="clear" w:pos="567"/>
              </w:tabs>
              <w:spacing w:after="0" w:line="240" w:lineRule="auto"/>
              <w:jc w:val="right"/>
              <w:rPr>
                <w:rFonts w:ascii="Calibri" w:eastAsia="Times New Roman" w:hAnsi="Calibri" w:cs="Times New Roman"/>
                <w:color w:val="000000"/>
                <w:sz w:val="20"/>
                <w:szCs w:val="20"/>
                <w:lang w:eastAsia="en-AU"/>
              </w:rPr>
            </w:pPr>
            <w:r w:rsidRPr="003245E4">
              <w:rPr>
                <w:rFonts w:ascii="Calibri" w:eastAsia="Times New Roman" w:hAnsi="Calibri" w:cs="Times New Roman"/>
                <w:color w:val="000000"/>
                <w:sz w:val="20"/>
                <w:szCs w:val="20"/>
                <w:lang w:eastAsia="en-AU"/>
              </w:rPr>
              <w:t xml:space="preserve">  0.9</w:t>
            </w:r>
          </w:p>
        </w:tc>
        <w:tc>
          <w:tcPr>
            <w:tcW w:w="740" w:type="dxa"/>
            <w:tcBorders>
              <w:top w:val="nil"/>
              <w:left w:val="nil"/>
              <w:bottom w:val="nil"/>
              <w:right w:val="nil"/>
            </w:tcBorders>
            <w:shd w:val="clear" w:color="auto" w:fill="auto"/>
            <w:vAlign w:val="bottom"/>
            <w:hideMark/>
          </w:tcPr>
          <w:p w14:paraId="090BD0B2" w14:textId="77777777" w:rsidR="004E5553" w:rsidRPr="003245E4" w:rsidRDefault="004E5553" w:rsidP="00027840">
            <w:pPr>
              <w:tabs>
                <w:tab w:val="clear" w:pos="567"/>
              </w:tabs>
              <w:spacing w:after="0" w:line="240" w:lineRule="auto"/>
              <w:jc w:val="right"/>
              <w:rPr>
                <w:rFonts w:ascii="Calibri" w:eastAsia="Times New Roman" w:hAnsi="Calibri" w:cs="Times New Roman"/>
                <w:color w:val="000000"/>
                <w:sz w:val="20"/>
                <w:szCs w:val="20"/>
                <w:lang w:eastAsia="en-AU"/>
              </w:rPr>
            </w:pPr>
            <w:r w:rsidRPr="003245E4">
              <w:rPr>
                <w:rFonts w:ascii="Calibri" w:eastAsia="Times New Roman" w:hAnsi="Calibri" w:cs="Times New Roman"/>
                <w:color w:val="000000"/>
                <w:sz w:val="20"/>
                <w:szCs w:val="20"/>
                <w:lang w:eastAsia="en-AU"/>
              </w:rPr>
              <w:t xml:space="preserve">  9.3</w:t>
            </w:r>
          </w:p>
        </w:tc>
        <w:tc>
          <w:tcPr>
            <w:tcW w:w="840" w:type="dxa"/>
            <w:tcBorders>
              <w:top w:val="nil"/>
              <w:left w:val="nil"/>
              <w:bottom w:val="nil"/>
              <w:right w:val="nil"/>
            </w:tcBorders>
            <w:shd w:val="clear" w:color="auto" w:fill="auto"/>
            <w:vAlign w:val="bottom"/>
            <w:hideMark/>
          </w:tcPr>
          <w:p w14:paraId="2551F935" w14:textId="77777777" w:rsidR="004E5553" w:rsidRPr="003245E4" w:rsidRDefault="004E5553" w:rsidP="00027840">
            <w:pPr>
              <w:tabs>
                <w:tab w:val="clear" w:pos="567"/>
              </w:tabs>
              <w:spacing w:after="0" w:line="240" w:lineRule="auto"/>
              <w:jc w:val="right"/>
              <w:rPr>
                <w:rFonts w:ascii="Calibri" w:eastAsia="Times New Roman" w:hAnsi="Calibri" w:cs="Times New Roman"/>
                <w:color w:val="000000"/>
                <w:sz w:val="20"/>
                <w:szCs w:val="20"/>
                <w:lang w:eastAsia="en-AU"/>
              </w:rPr>
            </w:pPr>
            <w:r w:rsidRPr="003245E4">
              <w:rPr>
                <w:rFonts w:ascii="Calibri" w:eastAsia="Times New Roman" w:hAnsi="Calibri" w:cs="Times New Roman"/>
                <w:color w:val="000000"/>
                <w:sz w:val="20"/>
                <w:szCs w:val="20"/>
                <w:lang w:eastAsia="en-AU"/>
              </w:rPr>
              <w:t xml:space="preserve">  100.0</w:t>
            </w:r>
          </w:p>
        </w:tc>
      </w:tr>
      <w:tr w:rsidR="004E5553" w:rsidRPr="003245E4" w14:paraId="0FE61D0E" w14:textId="77777777" w:rsidTr="00027840">
        <w:trPr>
          <w:trHeight w:val="315"/>
        </w:trPr>
        <w:tc>
          <w:tcPr>
            <w:tcW w:w="2640" w:type="dxa"/>
            <w:tcBorders>
              <w:top w:val="nil"/>
              <w:left w:val="nil"/>
              <w:bottom w:val="single" w:sz="4" w:space="0" w:color="auto"/>
              <w:right w:val="nil"/>
            </w:tcBorders>
            <w:shd w:val="clear" w:color="auto" w:fill="auto"/>
            <w:vAlign w:val="bottom"/>
            <w:hideMark/>
          </w:tcPr>
          <w:p w14:paraId="1F98B9E9" w14:textId="77777777" w:rsidR="004E5553" w:rsidRPr="003245E4" w:rsidRDefault="004E5553" w:rsidP="00027840">
            <w:pPr>
              <w:tabs>
                <w:tab w:val="clear" w:pos="567"/>
              </w:tabs>
              <w:spacing w:after="0" w:line="240" w:lineRule="auto"/>
              <w:rPr>
                <w:rFonts w:ascii="Calibri" w:eastAsia="Times New Roman" w:hAnsi="Calibri" w:cs="Times New Roman"/>
                <w:color w:val="000000"/>
                <w:sz w:val="20"/>
                <w:szCs w:val="20"/>
                <w:lang w:eastAsia="en-AU"/>
              </w:rPr>
            </w:pPr>
            <w:r w:rsidRPr="003245E4">
              <w:rPr>
                <w:rFonts w:ascii="Calibri" w:eastAsia="Times New Roman" w:hAnsi="Calibri" w:cs="Times New Roman"/>
                <w:color w:val="000000"/>
                <w:sz w:val="20"/>
                <w:szCs w:val="20"/>
                <w:lang w:eastAsia="en-AU"/>
              </w:rPr>
              <w:t>Share of Native title expenses</w:t>
            </w:r>
          </w:p>
        </w:tc>
        <w:tc>
          <w:tcPr>
            <w:tcW w:w="740" w:type="dxa"/>
            <w:tcBorders>
              <w:top w:val="nil"/>
              <w:left w:val="nil"/>
              <w:bottom w:val="single" w:sz="4" w:space="0" w:color="auto"/>
              <w:right w:val="nil"/>
            </w:tcBorders>
            <w:shd w:val="clear" w:color="auto" w:fill="auto"/>
            <w:vAlign w:val="bottom"/>
            <w:hideMark/>
          </w:tcPr>
          <w:p w14:paraId="4120F4D7" w14:textId="77777777" w:rsidR="004E5553" w:rsidRPr="003245E4" w:rsidRDefault="004E5553" w:rsidP="00027840">
            <w:pPr>
              <w:tabs>
                <w:tab w:val="clear" w:pos="567"/>
              </w:tabs>
              <w:spacing w:after="0" w:line="240" w:lineRule="auto"/>
              <w:jc w:val="right"/>
              <w:rPr>
                <w:rFonts w:ascii="Calibri" w:eastAsia="Times New Roman" w:hAnsi="Calibri" w:cs="Times New Roman"/>
                <w:color w:val="000000"/>
                <w:sz w:val="20"/>
                <w:szCs w:val="20"/>
                <w:lang w:eastAsia="en-AU"/>
              </w:rPr>
            </w:pPr>
            <w:r w:rsidRPr="003245E4">
              <w:rPr>
                <w:rFonts w:ascii="Calibri" w:eastAsia="Times New Roman" w:hAnsi="Calibri" w:cs="Times New Roman"/>
                <w:color w:val="000000"/>
                <w:sz w:val="20"/>
                <w:szCs w:val="20"/>
                <w:lang w:eastAsia="en-AU"/>
              </w:rPr>
              <w:t xml:space="preserve">  7.1</w:t>
            </w:r>
          </w:p>
        </w:tc>
        <w:tc>
          <w:tcPr>
            <w:tcW w:w="640" w:type="dxa"/>
            <w:tcBorders>
              <w:top w:val="nil"/>
              <w:left w:val="nil"/>
              <w:bottom w:val="single" w:sz="4" w:space="0" w:color="auto"/>
              <w:right w:val="nil"/>
            </w:tcBorders>
            <w:shd w:val="clear" w:color="auto" w:fill="auto"/>
            <w:vAlign w:val="bottom"/>
            <w:hideMark/>
          </w:tcPr>
          <w:p w14:paraId="285DA3BD" w14:textId="77777777" w:rsidR="004E5553" w:rsidRPr="003245E4" w:rsidRDefault="004E5553" w:rsidP="00027840">
            <w:pPr>
              <w:tabs>
                <w:tab w:val="clear" w:pos="567"/>
              </w:tabs>
              <w:spacing w:after="0" w:line="240" w:lineRule="auto"/>
              <w:jc w:val="right"/>
              <w:rPr>
                <w:rFonts w:ascii="Calibri" w:eastAsia="Times New Roman" w:hAnsi="Calibri" w:cs="Times New Roman"/>
                <w:color w:val="000000"/>
                <w:sz w:val="20"/>
                <w:szCs w:val="20"/>
                <w:lang w:eastAsia="en-AU"/>
              </w:rPr>
            </w:pPr>
            <w:r w:rsidRPr="003245E4">
              <w:rPr>
                <w:rFonts w:ascii="Calibri" w:eastAsia="Times New Roman" w:hAnsi="Calibri" w:cs="Times New Roman"/>
                <w:color w:val="000000"/>
                <w:sz w:val="20"/>
                <w:szCs w:val="20"/>
                <w:lang w:eastAsia="en-AU"/>
              </w:rPr>
              <w:t xml:space="preserve">  6.0</w:t>
            </w:r>
          </w:p>
        </w:tc>
        <w:tc>
          <w:tcPr>
            <w:tcW w:w="740" w:type="dxa"/>
            <w:tcBorders>
              <w:top w:val="nil"/>
              <w:left w:val="nil"/>
              <w:bottom w:val="single" w:sz="4" w:space="0" w:color="auto"/>
              <w:right w:val="nil"/>
            </w:tcBorders>
            <w:shd w:val="clear" w:color="auto" w:fill="auto"/>
            <w:vAlign w:val="bottom"/>
            <w:hideMark/>
          </w:tcPr>
          <w:p w14:paraId="2B5F5604" w14:textId="77777777" w:rsidR="004E5553" w:rsidRPr="003245E4" w:rsidRDefault="004E5553" w:rsidP="00027840">
            <w:pPr>
              <w:tabs>
                <w:tab w:val="clear" w:pos="567"/>
              </w:tabs>
              <w:spacing w:after="0" w:line="240" w:lineRule="auto"/>
              <w:jc w:val="right"/>
              <w:rPr>
                <w:rFonts w:ascii="Calibri" w:eastAsia="Times New Roman" w:hAnsi="Calibri" w:cs="Times New Roman"/>
                <w:color w:val="000000"/>
                <w:sz w:val="20"/>
                <w:szCs w:val="20"/>
                <w:lang w:eastAsia="en-AU"/>
              </w:rPr>
            </w:pPr>
            <w:r w:rsidRPr="003245E4">
              <w:rPr>
                <w:rFonts w:ascii="Calibri" w:eastAsia="Times New Roman" w:hAnsi="Calibri" w:cs="Times New Roman"/>
                <w:color w:val="000000"/>
                <w:sz w:val="20"/>
                <w:szCs w:val="20"/>
                <w:lang w:eastAsia="en-AU"/>
              </w:rPr>
              <w:t xml:space="preserve">  33.2</w:t>
            </w:r>
          </w:p>
        </w:tc>
        <w:tc>
          <w:tcPr>
            <w:tcW w:w="740" w:type="dxa"/>
            <w:tcBorders>
              <w:top w:val="nil"/>
              <w:left w:val="nil"/>
              <w:bottom w:val="single" w:sz="4" w:space="0" w:color="auto"/>
              <w:right w:val="nil"/>
            </w:tcBorders>
            <w:shd w:val="clear" w:color="auto" w:fill="auto"/>
            <w:vAlign w:val="bottom"/>
            <w:hideMark/>
          </w:tcPr>
          <w:p w14:paraId="03738E74" w14:textId="77777777" w:rsidR="004E5553" w:rsidRPr="003245E4" w:rsidRDefault="004E5553" w:rsidP="00027840">
            <w:pPr>
              <w:tabs>
                <w:tab w:val="clear" w:pos="567"/>
              </w:tabs>
              <w:spacing w:after="0" w:line="240" w:lineRule="auto"/>
              <w:jc w:val="right"/>
              <w:rPr>
                <w:rFonts w:ascii="Calibri" w:eastAsia="Times New Roman" w:hAnsi="Calibri" w:cs="Times New Roman"/>
                <w:color w:val="000000"/>
                <w:sz w:val="20"/>
                <w:szCs w:val="20"/>
                <w:lang w:eastAsia="en-AU"/>
              </w:rPr>
            </w:pPr>
            <w:r w:rsidRPr="003245E4">
              <w:rPr>
                <w:rFonts w:ascii="Calibri" w:eastAsia="Times New Roman" w:hAnsi="Calibri" w:cs="Times New Roman"/>
                <w:color w:val="000000"/>
                <w:sz w:val="20"/>
                <w:szCs w:val="20"/>
                <w:lang w:eastAsia="en-AU"/>
              </w:rPr>
              <w:t xml:space="preserve">  46.1</w:t>
            </w:r>
          </w:p>
        </w:tc>
        <w:tc>
          <w:tcPr>
            <w:tcW w:w="640" w:type="dxa"/>
            <w:tcBorders>
              <w:top w:val="nil"/>
              <w:left w:val="nil"/>
              <w:bottom w:val="single" w:sz="4" w:space="0" w:color="auto"/>
              <w:right w:val="nil"/>
            </w:tcBorders>
            <w:shd w:val="clear" w:color="auto" w:fill="auto"/>
            <w:vAlign w:val="bottom"/>
            <w:hideMark/>
          </w:tcPr>
          <w:p w14:paraId="032CB80F" w14:textId="77777777" w:rsidR="004E5553" w:rsidRPr="003245E4" w:rsidRDefault="004E5553" w:rsidP="00027840">
            <w:pPr>
              <w:tabs>
                <w:tab w:val="clear" w:pos="567"/>
              </w:tabs>
              <w:spacing w:after="0" w:line="240" w:lineRule="auto"/>
              <w:jc w:val="right"/>
              <w:rPr>
                <w:rFonts w:ascii="Calibri" w:eastAsia="Times New Roman" w:hAnsi="Calibri" w:cs="Times New Roman"/>
                <w:color w:val="000000"/>
                <w:sz w:val="20"/>
                <w:szCs w:val="20"/>
                <w:lang w:eastAsia="en-AU"/>
              </w:rPr>
            </w:pPr>
            <w:r w:rsidRPr="003245E4">
              <w:rPr>
                <w:rFonts w:ascii="Calibri" w:eastAsia="Times New Roman" w:hAnsi="Calibri" w:cs="Times New Roman"/>
                <w:color w:val="000000"/>
                <w:sz w:val="20"/>
                <w:szCs w:val="20"/>
                <w:lang w:eastAsia="en-AU"/>
              </w:rPr>
              <w:t xml:space="preserve">  5.2</w:t>
            </w:r>
          </w:p>
        </w:tc>
        <w:tc>
          <w:tcPr>
            <w:tcW w:w="640" w:type="dxa"/>
            <w:tcBorders>
              <w:top w:val="nil"/>
              <w:left w:val="nil"/>
              <w:bottom w:val="single" w:sz="4" w:space="0" w:color="auto"/>
              <w:right w:val="nil"/>
            </w:tcBorders>
            <w:shd w:val="clear" w:color="auto" w:fill="auto"/>
            <w:vAlign w:val="bottom"/>
            <w:hideMark/>
          </w:tcPr>
          <w:p w14:paraId="659DC89A" w14:textId="77777777" w:rsidR="004E5553" w:rsidRPr="003245E4" w:rsidRDefault="004E5553" w:rsidP="00027840">
            <w:pPr>
              <w:tabs>
                <w:tab w:val="clear" w:pos="567"/>
              </w:tabs>
              <w:spacing w:after="0" w:line="240" w:lineRule="auto"/>
              <w:jc w:val="right"/>
              <w:rPr>
                <w:rFonts w:ascii="Calibri" w:eastAsia="Times New Roman" w:hAnsi="Calibri" w:cs="Times New Roman"/>
                <w:color w:val="000000"/>
                <w:sz w:val="20"/>
                <w:szCs w:val="20"/>
                <w:lang w:eastAsia="en-AU"/>
              </w:rPr>
            </w:pPr>
            <w:r w:rsidRPr="003245E4">
              <w:rPr>
                <w:rFonts w:ascii="Calibri" w:eastAsia="Times New Roman" w:hAnsi="Calibri" w:cs="Times New Roman"/>
                <w:color w:val="000000"/>
                <w:sz w:val="20"/>
                <w:szCs w:val="20"/>
                <w:lang w:eastAsia="en-AU"/>
              </w:rPr>
              <w:t xml:space="preserve">  0.0</w:t>
            </w:r>
          </w:p>
        </w:tc>
        <w:tc>
          <w:tcPr>
            <w:tcW w:w="640" w:type="dxa"/>
            <w:tcBorders>
              <w:top w:val="nil"/>
              <w:left w:val="nil"/>
              <w:bottom w:val="single" w:sz="4" w:space="0" w:color="auto"/>
              <w:right w:val="nil"/>
            </w:tcBorders>
            <w:shd w:val="clear" w:color="auto" w:fill="auto"/>
            <w:vAlign w:val="bottom"/>
            <w:hideMark/>
          </w:tcPr>
          <w:p w14:paraId="71259BC7" w14:textId="77777777" w:rsidR="004E5553" w:rsidRPr="003245E4" w:rsidRDefault="004E5553" w:rsidP="00027840">
            <w:pPr>
              <w:tabs>
                <w:tab w:val="clear" w:pos="567"/>
              </w:tabs>
              <w:spacing w:after="0" w:line="240" w:lineRule="auto"/>
              <w:jc w:val="right"/>
              <w:rPr>
                <w:rFonts w:ascii="Calibri" w:eastAsia="Times New Roman" w:hAnsi="Calibri" w:cs="Times New Roman"/>
                <w:color w:val="000000"/>
                <w:sz w:val="20"/>
                <w:szCs w:val="20"/>
                <w:lang w:eastAsia="en-AU"/>
              </w:rPr>
            </w:pPr>
            <w:r w:rsidRPr="003245E4">
              <w:rPr>
                <w:rFonts w:ascii="Calibri" w:eastAsia="Times New Roman" w:hAnsi="Calibri" w:cs="Times New Roman"/>
                <w:color w:val="000000"/>
                <w:sz w:val="20"/>
                <w:szCs w:val="20"/>
                <w:lang w:eastAsia="en-AU"/>
              </w:rPr>
              <w:t xml:space="preserve">  0.0</w:t>
            </w:r>
          </w:p>
        </w:tc>
        <w:tc>
          <w:tcPr>
            <w:tcW w:w="740" w:type="dxa"/>
            <w:tcBorders>
              <w:top w:val="nil"/>
              <w:left w:val="nil"/>
              <w:bottom w:val="single" w:sz="4" w:space="0" w:color="auto"/>
              <w:right w:val="nil"/>
            </w:tcBorders>
            <w:shd w:val="clear" w:color="auto" w:fill="auto"/>
            <w:vAlign w:val="bottom"/>
            <w:hideMark/>
          </w:tcPr>
          <w:p w14:paraId="4AD61E59" w14:textId="77777777" w:rsidR="004E5553" w:rsidRPr="003245E4" w:rsidRDefault="004E5553" w:rsidP="00027840">
            <w:pPr>
              <w:tabs>
                <w:tab w:val="clear" w:pos="567"/>
              </w:tabs>
              <w:spacing w:after="0" w:line="240" w:lineRule="auto"/>
              <w:jc w:val="right"/>
              <w:rPr>
                <w:rFonts w:ascii="Calibri" w:eastAsia="Times New Roman" w:hAnsi="Calibri" w:cs="Times New Roman"/>
                <w:color w:val="000000"/>
                <w:sz w:val="20"/>
                <w:szCs w:val="20"/>
                <w:lang w:eastAsia="en-AU"/>
              </w:rPr>
            </w:pPr>
            <w:r w:rsidRPr="003245E4">
              <w:rPr>
                <w:rFonts w:ascii="Calibri" w:eastAsia="Times New Roman" w:hAnsi="Calibri" w:cs="Times New Roman"/>
                <w:color w:val="000000"/>
                <w:sz w:val="20"/>
                <w:szCs w:val="20"/>
                <w:lang w:eastAsia="en-AU"/>
              </w:rPr>
              <w:t xml:space="preserve">  2.5</w:t>
            </w:r>
          </w:p>
        </w:tc>
        <w:tc>
          <w:tcPr>
            <w:tcW w:w="840" w:type="dxa"/>
            <w:tcBorders>
              <w:top w:val="nil"/>
              <w:left w:val="nil"/>
              <w:bottom w:val="single" w:sz="4" w:space="0" w:color="auto"/>
              <w:right w:val="nil"/>
            </w:tcBorders>
            <w:shd w:val="clear" w:color="auto" w:fill="auto"/>
            <w:vAlign w:val="bottom"/>
            <w:hideMark/>
          </w:tcPr>
          <w:p w14:paraId="13571C51" w14:textId="77777777" w:rsidR="004E5553" w:rsidRPr="003245E4" w:rsidRDefault="004E5553" w:rsidP="00027840">
            <w:pPr>
              <w:tabs>
                <w:tab w:val="clear" w:pos="567"/>
              </w:tabs>
              <w:spacing w:after="0" w:line="240" w:lineRule="auto"/>
              <w:jc w:val="right"/>
              <w:rPr>
                <w:rFonts w:ascii="Calibri" w:eastAsia="Times New Roman" w:hAnsi="Calibri" w:cs="Times New Roman"/>
                <w:color w:val="000000"/>
                <w:sz w:val="20"/>
                <w:szCs w:val="20"/>
                <w:lang w:eastAsia="en-AU"/>
              </w:rPr>
            </w:pPr>
            <w:r w:rsidRPr="003245E4">
              <w:rPr>
                <w:rFonts w:ascii="Calibri" w:eastAsia="Times New Roman" w:hAnsi="Calibri" w:cs="Times New Roman"/>
                <w:color w:val="000000"/>
                <w:sz w:val="20"/>
                <w:szCs w:val="20"/>
                <w:lang w:eastAsia="en-AU"/>
              </w:rPr>
              <w:t xml:space="preserve">  100.0</w:t>
            </w:r>
          </w:p>
        </w:tc>
      </w:tr>
    </w:tbl>
    <w:p w14:paraId="09F55C75" w14:textId="77777777" w:rsidR="004E5553" w:rsidRPr="004E5553" w:rsidRDefault="004E5553" w:rsidP="004E5553">
      <w:pPr>
        <w:pStyle w:val="CGCTableFootnote"/>
      </w:pPr>
      <w:r>
        <w:t>(a)</w:t>
      </w:r>
      <w:r>
        <w:tab/>
      </w:r>
      <w:r w:rsidRPr="004E5553">
        <w:t>These applications relate to both objections to an expedited procedure and standard future act applications.</w:t>
      </w:r>
    </w:p>
    <w:p w14:paraId="24E8BB17" w14:textId="77777777" w:rsidR="004E5553" w:rsidRPr="004E5553" w:rsidRDefault="004E5553" w:rsidP="004E5553">
      <w:pPr>
        <w:pStyle w:val="CGCTableFootnote"/>
      </w:pPr>
      <w:r w:rsidRPr="004E5553">
        <w:t>(b)</w:t>
      </w:r>
      <w:r w:rsidRPr="004E5553">
        <w:tab/>
        <w:t>Total of determinations made, applications otherwise resolved and active claims.</w:t>
      </w:r>
    </w:p>
    <w:p w14:paraId="0F5E18E1" w14:textId="7EAAB4BC" w:rsidR="004E5553" w:rsidRDefault="004E5553" w:rsidP="004E5553">
      <w:pPr>
        <w:pStyle w:val="CGCTableFootnote"/>
      </w:pPr>
      <w:r w:rsidRPr="004E5553">
        <w:t>Source:</w:t>
      </w:r>
      <w:r w:rsidRPr="004E5553">
        <w:tab/>
      </w:r>
      <w:hyperlink r:id="rId20" w:history="1">
        <w:r w:rsidRPr="000846BF">
          <w:rPr>
            <w:rStyle w:val="Hyperlink"/>
          </w:rPr>
          <w:t>National Native Title Tribunal website</w:t>
        </w:r>
      </w:hyperlink>
      <w:r w:rsidR="000846BF">
        <w:t>, (</w:t>
      </w:r>
      <w:r w:rsidR="000846BF" w:rsidRPr="000846BF">
        <w:t>http://www.nntt.gov.au/searchRegApps/NativeTitleClaims/Pages/default.aspx</w:t>
      </w:r>
      <w:r w:rsidR="000846BF">
        <w:t>) [accessed Apr 2018</w:t>
      </w:r>
      <w:r w:rsidRPr="004E5553">
        <w:t>], and estimated resident population, December 2016</w:t>
      </w:r>
      <w:r w:rsidRPr="00050893">
        <w:t xml:space="preserve"> (201</w:t>
      </w:r>
      <w:r>
        <w:t>8</w:t>
      </w:r>
      <w:r w:rsidRPr="00050893">
        <w:t xml:space="preserve"> Update).</w:t>
      </w:r>
    </w:p>
    <w:p w14:paraId="2367C883" w14:textId="423342D2" w:rsidR="00C23AC3" w:rsidRDefault="00C23AC3" w:rsidP="00C23AC3">
      <w:pPr>
        <w:pStyle w:val="CGCNumberedPara"/>
        <w:numPr>
          <w:ilvl w:val="1"/>
          <w:numId w:val="3"/>
        </w:numPr>
      </w:pPr>
      <w:r>
        <w:t xml:space="preserve">Staff do not consider the APC assessment to be problematic. The evidence presented in the </w:t>
      </w:r>
      <w:r w:rsidR="000846BF">
        <w:t xml:space="preserve">Staff Research </w:t>
      </w:r>
      <w:r w:rsidR="00D24447">
        <w:t>P</w:t>
      </w:r>
      <w:r>
        <w:t>aper suggests that States are moving towards more cost</w:t>
      </w:r>
      <w:r>
        <w:noBreakHyphen/>
        <w:t xml:space="preserve">effective and faster processes, thereby reducing costs. Moving from litigation to negotiation is an example of this. </w:t>
      </w:r>
    </w:p>
    <w:p w14:paraId="5F8405C1" w14:textId="03D81F44" w:rsidR="00C23AC3" w:rsidRDefault="00C23AC3" w:rsidP="00C23AC3">
      <w:pPr>
        <w:pStyle w:val="CGCNumberedPara"/>
        <w:numPr>
          <w:ilvl w:val="1"/>
          <w:numId w:val="3"/>
        </w:numPr>
      </w:pPr>
      <w:r>
        <w:t xml:space="preserve">The alternative measures suggested by the ACT would capture needs only approximately. This is because there are other drivers that influence expenses, such as </w:t>
      </w:r>
      <w:r w:rsidRPr="00AF7D1D">
        <w:t xml:space="preserve">the ongoing connection to the land of </w:t>
      </w:r>
      <w:r>
        <w:t>the Indigenous</w:t>
      </w:r>
      <w:r w:rsidRPr="00AF7D1D">
        <w:t xml:space="preserve"> population, the extent of areas of undeveloped land, agriculture activities and the extent to which native title claims have been resolved across the State.</w:t>
      </w:r>
      <w:r>
        <w:t xml:space="preserve"> For example, </w:t>
      </w:r>
      <w:r>
        <w:fldChar w:fldCharType="begin"/>
      </w:r>
      <w:r>
        <w:instrText xml:space="preserve"> REF _Ref464734595 \h </w:instrText>
      </w:r>
      <w:r>
        <w:fldChar w:fldCharType="separate"/>
      </w:r>
      <w:r w:rsidR="00C40664">
        <w:t xml:space="preserve">Table </w:t>
      </w:r>
      <w:r w:rsidR="00C40664">
        <w:rPr>
          <w:noProof/>
        </w:rPr>
        <w:t>11</w:t>
      </w:r>
      <w:r>
        <w:fldChar w:fldCharType="end"/>
      </w:r>
      <w:r>
        <w:t xml:space="preserve"> shows that the Northern Territory has </w:t>
      </w:r>
      <w:r w:rsidR="00085B09">
        <w:t>2</w:t>
      </w:r>
      <w:r>
        <w:t xml:space="preserve">% of the native title expenses but </w:t>
      </w:r>
      <w:r w:rsidR="00085B09">
        <w:t>9</w:t>
      </w:r>
      <w:r>
        <w:t>% of the Indigenous population. Another example is that 91% of future act applications relate to acts in Western Australia.</w:t>
      </w:r>
      <w:r>
        <w:rPr>
          <w:rStyle w:val="FootnoteReference"/>
        </w:rPr>
        <w:footnoteReference w:id="10"/>
      </w:r>
      <w:r>
        <w:t xml:space="preserve"> However, Western Australia accounted for only 4</w:t>
      </w:r>
      <w:r w:rsidR="00D7623E">
        <w:t>6</w:t>
      </w:r>
      <w:r>
        <w:t>% of total native title expenses in 201</w:t>
      </w:r>
      <w:r w:rsidR="00D7623E">
        <w:t>6</w:t>
      </w:r>
      <w:r>
        <w:t>-1</w:t>
      </w:r>
      <w:r w:rsidR="00D7623E">
        <w:t>7</w:t>
      </w:r>
      <w:r>
        <w:t xml:space="preserve">. </w:t>
      </w:r>
    </w:p>
    <w:p w14:paraId="369C824C" w14:textId="105C540C" w:rsidR="008823ED" w:rsidRPr="00FC3745" w:rsidRDefault="00BE2976" w:rsidP="00FB0B70">
      <w:pPr>
        <w:pStyle w:val="CGCNumberedPara"/>
        <w:numPr>
          <w:ilvl w:val="1"/>
          <w:numId w:val="3"/>
        </w:numPr>
        <w:rPr>
          <w:rStyle w:val="Heading6Char"/>
          <w:rFonts w:eastAsiaTheme="minorHAnsi" w:cstheme="minorBidi"/>
          <w:b w:val="0"/>
          <w:i w:val="0"/>
          <w:iCs w:val="0"/>
          <w:color w:val="auto"/>
          <w:sz w:val="24"/>
        </w:rPr>
      </w:pPr>
      <w:r w:rsidRPr="00FC3745">
        <w:rPr>
          <w:rStyle w:val="Heading6Char"/>
          <w:rFonts w:eastAsiaTheme="minorHAnsi" w:cstheme="minorBidi"/>
          <w:b w:val="0"/>
          <w:i w:val="0"/>
          <w:iCs w:val="0"/>
          <w:color w:val="auto"/>
          <w:sz w:val="24"/>
        </w:rPr>
        <w:t xml:space="preserve">Staff </w:t>
      </w:r>
      <w:r w:rsidR="00C23AC3" w:rsidRPr="00FC3745">
        <w:rPr>
          <w:rStyle w:val="Heading6Char"/>
          <w:rFonts w:eastAsiaTheme="minorHAnsi" w:cstheme="minorBidi"/>
          <w:b w:val="0"/>
          <w:i w:val="0"/>
          <w:iCs w:val="0"/>
          <w:color w:val="auto"/>
          <w:sz w:val="24"/>
        </w:rPr>
        <w:t xml:space="preserve">consider that </w:t>
      </w:r>
      <w:r w:rsidR="001011C4" w:rsidRPr="00FC3745">
        <w:rPr>
          <w:rStyle w:val="Heading6Char"/>
          <w:rFonts w:eastAsiaTheme="minorHAnsi" w:cstheme="minorBidi"/>
          <w:b w:val="0"/>
          <w:i w:val="0"/>
          <w:iCs w:val="0"/>
          <w:color w:val="auto"/>
          <w:sz w:val="24"/>
        </w:rPr>
        <w:t xml:space="preserve">the </w:t>
      </w:r>
      <w:r w:rsidR="00C23AC3" w:rsidRPr="00FC3745">
        <w:rPr>
          <w:rStyle w:val="Heading6Char"/>
          <w:rFonts w:eastAsiaTheme="minorHAnsi" w:cstheme="minorBidi"/>
          <w:b w:val="0"/>
          <w:i w:val="0"/>
          <w:iCs w:val="0"/>
          <w:color w:val="auto"/>
          <w:sz w:val="24"/>
        </w:rPr>
        <w:t>2015 Review native title assessment remains appropriate</w:t>
      </w:r>
      <w:r w:rsidR="00A80FCF" w:rsidRPr="00FC3745">
        <w:rPr>
          <w:rStyle w:val="Heading6Char"/>
          <w:rFonts w:eastAsiaTheme="minorHAnsi" w:cstheme="minorBidi"/>
          <w:b w:val="0"/>
          <w:i w:val="0"/>
          <w:iCs w:val="0"/>
          <w:color w:val="auto"/>
          <w:sz w:val="24"/>
        </w:rPr>
        <w:t xml:space="preserve">. However, </w:t>
      </w:r>
      <w:r w:rsidR="008823ED" w:rsidRPr="00FC3745">
        <w:rPr>
          <w:rStyle w:val="Heading6Char"/>
          <w:rFonts w:eastAsiaTheme="minorHAnsi" w:cstheme="minorBidi"/>
          <w:b w:val="0"/>
          <w:i w:val="0"/>
          <w:iCs w:val="0"/>
          <w:color w:val="auto"/>
          <w:sz w:val="24"/>
        </w:rPr>
        <w:t xml:space="preserve">there may be </w:t>
      </w:r>
      <w:r w:rsidR="00A80FCF" w:rsidRPr="00FC3745">
        <w:rPr>
          <w:rStyle w:val="Heading6Char"/>
          <w:rFonts w:eastAsiaTheme="minorHAnsi" w:cstheme="minorBidi"/>
          <w:b w:val="0"/>
          <w:i w:val="0"/>
          <w:iCs w:val="0"/>
          <w:color w:val="auto"/>
          <w:sz w:val="24"/>
        </w:rPr>
        <w:t>benefit</w:t>
      </w:r>
      <w:r w:rsidR="008823ED" w:rsidRPr="00FC3745">
        <w:rPr>
          <w:rStyle w:val="Heading6Char"/>
          <w:rFonts w:eastAsiaTheme="minorHAnsi" w:cstheme="minorBidi"/>
          <w:b w:val="0"/>
          <w:i w:val="0"/>
          <w:iCs w:val="0"/>
          <w:color w:val="auto"/>
          <w:sz w:val="24"/>
        </w:rPr>
        <w:t>s</w:t>
      </w:r>
      <w:r w:rsidR="00A80FCF" w:rsidRPr="00FC3745">
        <w:rPr>
          <w:rStyle w:val="Heading6Char"/>
          <w:rFonts w:eastAsiaTheme="minorHAnsi" w:cstheme="minorBidi"/>
          <w:b w:val="0"/>
          <w:i w:val="0"/>
          <w:iCs w:val="0"/>
          <w:color w:val="auto"/>
          <w:sz w:val="24"/>
        </w:rPr>
        <w:t xml:space="preserve"> </w:t>
      </w:r>
      <w:r w:rsidR="008823ED" w:rsidRPr="00FC3745">
        <w:rPr>
          <w:rStyle w:val="Heading6Char"/>
          <w:rFonts w:eastAsiaTheme="minorHAnsi" w:cstheme="minorBidi"/>
          <w:b w:val="0"/>
          <w:i w:val="0"/>
          <w:iCs w:val="0"/>
          <w:color w:val="auto"/>
          <w:sz w:val="24"/>
        </w:rPr>
        <w:t xml:space="preserve">in considering assessment options that did not involve the annual collection of native title </w:t>
      </w:r>
      <w:r w:rsidR="00AC7A16" w:rsidRPr="00FC3745">
        <w:rPr>
          <w:rStyle w:val="Heading6Char"/>
          <w:rFonts w:eastAsiaTheme="minorHAnsi" w:cstheme="minorBidi"/>
          <w:b w:val="0"/>
          <w:i w:val="0"/>
          <w:iCs w:val="0"/>
          <w:color w:val="auto"/>
          <w:sz w:val="24"/>
        </w:rPr>
        <w:t>(</w:t>
      </w:r>
      <w:r w:rsidR="008823ED" w:rsidRPr="00FC3745">
        <w:rPr>
          <w:rStyle w:val="Heading6Char"/>
          <w:rFonts w:eastAsiaTheme="minorHAnsi" w:cstheme="minorBidi"/>
          <w:b w:val="0"/>
          <w:i w:val="0"/>
          <w:iCs w:val="0"/>
          <w:color w:val="auto"/>
          <w:sz w:val="24"/>
        </w:rPr>
        <w:t>and land rights</w:t>
      </w:r>
      <w:r w:rsidR="00AC7A16" w:rsidRPr="00FC3745">
        <w:rPr>
          <w:rStyle w:val="Heading6Char"/>
          <w:rFonts w:eastAsiaTheme="minorHAnsi" w:cstheme="minorBidi"/>
          <w:b w:val="0"/>
          <w:i w:val="0"/>
          <w:iCs w:val="0"/>
          <w:color w:val="auto"/>
          <w:sz w:val="24"/>
        </w:rPr>
        <w:t>)</w:t>
      </w:r>
      <w:r w:rsidR="008823ED" w:rsidRPr="00FC3745">
        <w:rPr>
          <w:rStyle w:val="Heading6Char"/>
          <w:rFonts w:eastAsiaTheme="minorHAnsi" w:cstheme="minorBidi"/>
          <w:b w:val="0"/>
          <w:i w:val="0"/>
          <w:iCs w:val="0"/>
          <w:color w:val="auto"/>
          <w:sz w:val="24"/>
        </w:rPr>
        <w:t xml:space="preserve"> expenses. Options include:</w:t>
      </w:r>
    </w:p>
    <w:p w14:paraId="23A4C120" w14:textId="338EF86C" w:rsidR="008823ED" w:rsidRPr="00FC3745" w:rsidRDefault="008823ED" w:rsidP="008823ED">
      <w:pPr>
        <w:pStyle w:val="CGCBulletlist"/>
        <w:rPr>
          <w:rStyle w:val="Heading6Char"/>
          <w:rFonts w:eastAsiaTheme="minorHAnsi" w:cstheme="minorBidi"/>
          <w:b w:val="0"/>
          <w:i w:val="0"/>
          <w:iCs w:val="0"/>
          <w:color w:val="auto"/>
          <w:sz w:val="24"/>
        </w:rPr>
      </w:pPr>
      <w:r w:rsidRPr="00FC3745">
        <w:rPr>
          <w:rStyle w:val="Heading6Char"/>
          <w:rFonts w:eastAsiaTheme="minorHAnsi" w:cstheme="minorBidi"/>
          <w:b w:val="0"/>
          <w:i w:val="0"/>
          <w:iCs w:val="0"/>
          <w:color w:val="auto"/>
          <w:sz w:val="24"/>
        </w:rPr>
        <w:t xml:space="preserve">collecting native title expenses data for the 2020 Review and </w:t>
      </w:r>
      <w:r w:rsidR="00486CEB" w:rsidRPr="00FC3745">
        <w:rPr>
          <w:rStyle w:val="Heading6Char"/>
          <w:rFonts w:eastAsiaTheme="minorHAnsi" w:cstheme="minorBidi"/>
          <w:b w:val="0"/>
          <w:i w:val="0"/>
          <w:iCs w:val="0"/>
          <w:color w:val="auto"/>
          <w:sz w:val="24"/>
        </w:rPr>
        <w:t xml:space="preserve">retaining the APC assessment but </w:t>
      </w:r>
      <w:r w:rsidRPr="00FC3745">
        <w:rPr>
          <w:rStyle w:val="Heading6Char"/>
          <w:rFonts w:eastAsiaTheme="minorHAnsi" w:cstheme="minorBidi"/>
          <w:b w:val="0"/>
          <w:i w:val="0"/>
          <w:iCs w:val="0"/>
          <w:color w:val="auto"/>
          <w:sz w:val="24"/>
        </w:rPr>
        <w:t xml:space="preserve">updating </w:t>
      </w:r>
      <w:r w:rsidR="00486CEB" w:rsidRPr="00FC3745">
        <w:rPr>
          <w:rStyle w:val="Heading6Char"/>
          <w:rFonts w:eastAsiaTheme="minorHAnsi" w:cstheme="minorBidi"/>
          <w:b w:val="0"/>
          <w:i w:val="0"/>
          <w:iCs w:val="0"/>
          <w:color w:val="auto"/>
          <w:sz w:val="24"/>
        </w:rPr>
        <w:t xml:space="preserve">State expenses </w:t>
      </w:r>
      <w:r w:rsidRPr="00FC3745">
        <w:rPr>
          <w:rStyle w:val="Heading6Char"/>
          <w:rFonts w:eastAsiaTheme="minorHAnsi" w:cstheme="minorBidi"/>
          <w:b w:val="0"/>
          <w:i w:val="0"/>
          <w:iCs w:val="0"/>
          <w:color w:val="auto"/>
          <w:sz w:val="24"/>
        </w:rPr>
        <w:t>annually using an appropriate deflator</w:t>
      </w:r>
    </w:p>
    <w:p w14:paraId="30F280FA" w14:textId="0078FC4C" w:rsidR="008823ED" w:rsidRPr="00FC3745" w:rsidRDefault="008823ED" w:rsidP="008823ED">
      <w:pPr>
        <w:pStyle w:val="CGCBulletlist"/>
        <w:rPr>
          <w:rStyle w:val="Heading6Char"/>
          <w:rFonts w:eastAsiaTheme="minorHAnsi" w:cstheme="minorBidi"/>
          <w:b w:val="0"/>
          <w:i w:val="0"/>
          <w:iCs w:val="0"/>
          <w:color w:val="auto"/>
          <w:sz w:val="24"/>
        </w:rPr>
      </w:pPr>
      <w:r w:rsidRPr="00FC3745">
        <w:rPr>
          <w:rStyle w:val="Heading6Char"/>
          <w:rFonts w:eastAsiaTheme="minorHAnsi" w:cstheme="minorBidi"/>
          <w:b w:val="0"/>
          <w:i w:val="0"/>
          <w:iCs w:val="0"/>
          <w:color w:val="auto"/>
          <w:sz w:val="24"/>
        </w:rPr>
        <w:t xml:space="preserve">collecting native title expenses data for the 2020 Review and </w:t>
      </w:r>
      <w:r w:rsidR="00D87674" w:rsidRPr="00FC3745">
        <w:rPr>
          <w:rStyle w:val="Heading6Char"/>
          <w:rFonts w:eastAsiaTheme="minorHAnsi" w:cstheme="minorBidi"/>
          <w:b w:val="0"/>
          <w:i w:val="0"/>
          <w:iCs w:val="0"/>
          <w:color w:val="auto"/>
          <w:sz w:val="24"/>
        </w:rPr>
        <w:t xml:space="preserve">assess them </w:t>
      </w:r>
      <w:r w:rsidRPr="00FC3745">
        <w:rPr>
          <w:rStyle w:val="Heading6Char"/>
          <w:rFonts w:eastAsiaTheme="minorHAnsi" w:cstheme="minorBidi"/>
          <w:b w:val="0"/>
          <w:i w:val="0"/>
          <w:iCs w:val="0"/>
          <w:color w:val="auto"/>
          <w:sz w:val="24"/>
        </w:rPr>
        <w:t>us</w:t>
      </w:r>
      <w:r w:rsidR="005C2FB0" w:rsidRPr="00FC3745">
        <w:rPr>
          <w:rStyle w:val="Heading6Char"/>
          <w:rFonts w:eastAsiaTheme="minorHAnsi" w:cstheme="minorBidi"/>
          <w:b w:val="0"/>
          <w:i w:val="0"/>
          <w:iCs w:val="0"/>
          <w:color w:val="auto"/>
          <w:sz w:val="24"/>
        </w:rPr>
        <w:t>ing</w:t>
      </w:r>
      <w:r w:rsidRPr="00FC3745">
        <w:rPr>
          <w:rStyle w:val="Heading6Char"/>
          <w:rFonts w:eastAsiaTheme="minorHAnsi" w:cstheme="minorBidi"/>
          <w:b w:val="0"/>
          <w:i w:val="0"/>
          <w:iCs w:val="0"/>
          <w:color w:val="auto"/>
          <w:sz w:val="24"/>
        </w:rPr>
        <w:t xml:space="preserve"> a broad indicator of needs, such as Indigenous population shares. </w:t>
      </w:r>
      <w:r w:rsidR="003939BB" w:rsidRPr="00FC3745">
        <w:rPr>
          <w:rStyle w:val="Heading6Char"/>
          <w:rFonts w:eastAsiaTheme="minorHAnsi" w:cstheme="minorBidi"/>
          <w:b w:val="0"/>
          <w:i w:val="0"/>
          <w:iCs w:val="0"/>
          <w:color w:val="auto"/>
          <w:sz w:val="24"/>
        </w:rPr>
        <w:t>The</w:t>
      </w:r>
      <w:r w:rsidRPr="00FC3745">
        <w:rPr>
          <w:rStyle w:val="Heading6Char"/>
          <w:rFonts w:eastAsiaTheme="minorHAnsi" w:cstheme="minorBidi"/>
          <w:b w:val="0"/>
          <w:i w:val="0"/>
          <w:iCs w:val="0"/>
          <w:color w:val="auto"/>
          <w:sz w:val="24"/>
        </w:rPr>
        <w:t xml:space="preserve"> expenses could be updated annually using an appropriate deflator</w:t>
      </w:r>
    </w:p>
    <w:p w14:paraId="753A70CB" w14:textId="40D860AE" w:rsidR="008823ED" w:rsidRPr="00FC3745" w:rsidRDefault="008823ED" w:rsidP="008823ED">
      <w:pPr>
        <w:pStyle w:val="CGCBulletlist"/>
        <w:rPr>
          <w:rStyle w:val="Heading6Char"/>
          <w:rFonts w:eastAsiaTheme="minorHAnsi" w:cstheme="minorBidi"/>
          <w:b w:val="0"/>
          <w:i w:val="0"/>
          <w:iCs w:val="0"/>
          <w:color w:val="auto"/>
          <w:sz w:val="24"/>
        </w:rPr>
      </w:pPr>
      <w:r w:rsidRPr="00FC3745">
        <w:rPr>
          <w:rStyle w:val="Heading6Char"/>
          <w:rFonts w:eastAsiaTheme="minorHAnsi" w:cstheme="minorBidi"/>
          <w:b w:val="0"/>
          <w:i w:val="0"/>
          <w:iCs w:val="0"/>
          <w:color w:val="auto"/>
          <w:sz w:val="24"/>
        </w:rPr>
        <w:t>collecting native title expenses data for the 2020 Review and allocat</w:t>
      </w:r>
      <w:r w:rsidR="00D87674" w:rsidRPr="00FC3745">
        <w:rPr>
          <w:rStyle w:val="Heading6Char"/>
          <w:rFonts w:eastAsiaTheme="minorHAnsi" w:cstheme="minorBidi"/>
          <w:b w:val="0"/>
          <w:i w:val="0"/>
          <w:iCs w:val="0"/>
          <w:color w:val="auto"/>
          <w:sz w:val="24"/>
        </w:rPr>
        <w:t>ing</w:t>
      </w:r>
      <w:r w:rsidRPr="00FC3745">
        <w:rPr>
          <w:rStyle w:val="Heading6Char"/>
          <w:rFonts w:eastAsiaTheme="minorHAnsi" w:cstheme="minorBidi"/>
          <w:b w:val="0"/>
          <w:i w:val="0"/>
          <w:iCs w:val="0"/>
          <w:color w:val="auto"/>
          <w:sz w:val="24"/>
        </w:rPr>
        <w:t xml:space="preserve"> the expenses to </w:t>
      </w:r>
      <w:r w:rsidRPr="00FC3745">
        <w:t>the Indigenous community development component of the Services to communities category</w:t>
      </w:r>
      <w:r w:rsidRPr="00FC3745">
        <w:rPr>
          <w:rStyle w:val="Heading6Char"/>
          <w:rFonts w:eastAsiaTheme="minorHAnsi" w:cstheme="minorBidi"/>
          <w:b w:val="0"/>
          <w:i w:val="0"/>
          <w:iCs w:val="0"/>
          <w:color w:val="auto"/>
          <w:sz w:val="24"/>
        </w:rPr>
        <w:t xml:space="preserve">. </w:t>
      </w:r>
      <w:r w:rsidR="00D87674" w:rsidRPr="00FC3745">
        <w:rPr>
          <w:rStyle w:val="Heading6Char"/>
          <w:rFonts w:eastAsiaTheme="minorHAnsi" w:cstheme="minorBidi"/>
          <w:b w:val="0"/>
          <w:i w:val="0"/>
          <w:iCs w:val="0"/>
          <w:color w:val="auto"/>
          <w:sz w:val="24"/>
        </w:rPr>
        <w:t>The expenses would be assessed the same way as the component’s other expenses</w:t>
      </w:r>
      <w:r w:rsidR="00694171">
        <w:rPr>
          <w:rStyle w:val="Heading6Char"/>
          <w:rFonts w:eastAsiaTheme="minorHAnsi" w:cstheme="minorBidi"/>
          <w:b w:val="0"/>
          <w:i w:val="0"/>
          <w:iCs w:val="0"/>
          <w:color w:val="auto"/>
          <w:sz w:val="24"/>
        </w:rPr>
        <w:t>.</w:t>
      </w:r>
      <w:r w:rsidR="001546C5" w:rsidRPr="00FC3745">
        <w:rPr>
          <w:rStyle w:val="FootnoteReference"/>
        </w:rPr>
        <w:footnoteReference w:id="11"/>
      </w:r>
      <w:r w:rsidR="00D87674" w:rsidRPr="00FC3745">
        <w:rPr>
          <w:rStyle w:val="Heading6Char"/>
          <w:rFonts w:eastAsiaTheme="minorHAnsi" w:cstheme="minorBidi"/>
          <w:b w:val="0"/>
          <w:i w:val="0"/>
          <w:iCs w:val="0"/>
          <w:color w:val="auto"/>
          <w:sz w:val="24"/>
        </w:rPr>
        <w:t xml:space="preserve"> </w:t>
      </w:r>
      <w:r w:rsidR="003939BB" w:rsidRPr="00FC3745">
        <w:rPr>
          <w:rStyle w:val="Heading6Char"/>
          <w:rFonts w:eastAsiaTheme="minorHAnsi" w:cstheme="minorBidi"/>
          <w:b w:val="0"/>
          <w:i w:val="0"/>
          <w:iCs w:val="0"/>
          <w:color w:val="auto"/>
          <w:sz w:val="24"/>
        </w:rPr>
        <w:t>The expenses could be updated annually using an appropriate deflator.</w:t>
      </w:r>
    </w:p>
    <w:p w14:paraId="1EB4D0AC" w14:textId="676F7318" w:rsidR="0096109B" w:rsidRPr="00FC3745" w:rsidRDefault="0096109B" w:rsidP="00C23AC3">
      <w:pPr>
        <w:pStyle w:val="CGCBulletlist"/>
        <w:numPr>
          <w:ilvl w:val="1"/>
          <w:numId w:val="3"/>
        </w:numPr>
        <w:rPr>
          <w:rStyle w:val="Heading6Char"/>
          <w:rFonts w:eastAsiaTheme="minorHAnsi" w:cstheme="minorBidi"/>
          <w:b w:val="0"/>
          <w:i w:val="0"/>
          <w:iCs w:val="0"/>
          <w:color w:val="auto"/>
          <w:sz w:val="24"/>
        </w:rPr>
      </w:pPr>
      <w:r w:rsidRPr="00FC3745">
        <w:rPr>
          <w:rStyle w:val="Heading6Char"/>
          <w:rFonts w:eastAsiaTheme="minorHAnsi" w:cstheme="minorBidi"/>
          <w:b w:val="0"/>
          <w:i w:val="0"/>
          <w:iCs w:val="0"/>
          <w:color w:val="auto"/>
          <w:sz w:val="24"/>
        </w:rPr>
        <w:t xml:space="preserve">Staff seek State views on </w:t>
      </w:r>
      <w:r w:rsidR="003939BB" w:rsidRPr="00FC3745">
        <w:rPr>
          <w:rStyle w:val="Heading6Char"/>
          <w:rFonts w:eastAsiaTheme="minorHAnsi" w:cstheme="minorBidi"/>
          <w:b w:val="0"/>
          <w:i w:val="0"/>
          <w:iCs w:val="0"/>
          <w:color w:val="auto"/>
          <w:sz w:val="24"/>
        </w:rPr>
        <w:t xml:space="preserve">the assessment of native title </w:t>
      </w:r>
      <w:r w:rsidR="00D87674" w:rsidRPr="00FC3745">
        <w:rPr>
          <w:rStyle w:val="Heading6Char"/>
          <w:rFonts w:eastAsiaTheme="minorHAnsi" w:cstheme="minorBidi"/>
          <w:b w:val="0"/>
          <w:i w:val="0"/>
          <w:iCs w:val="0"/>
          <w:color w:val="auto"/>
          <w:sz w:val="24"/>
        </w:rPr>
        <w:t xml:space="preserve">expenses </w:t>
      </w:r>
      <w:r w:rsidR="003939BB" w:rsidRPr="00FC3745">
        <w:rPr>
          <w:rStyle w:val="Heading6Char"/>
          <w:rFonts w:eastAsiaTheme="minorHAnsi" w:cstheme="minorBidi"/>
          <w:b w:val="0"/>
          <w:i w:val="0"/>
          <w:iCs w:val="0"/>
          <w:color w:val="auto"/>
          <w:sz w:val="24"/>
        </w:rPr>
        <w:t>for the 2020 Review.</w:t>
      </w:r>
    </w:p>
    <w:p w14:paraId="78509F0C" w14:textId="77777777" w:rsidR="00C23AC3" w:rsidRDefault="00C23AC3" w:rsidP="00C23AC3">
      <w:pPr>
        <w:pStyle w:val="Heading5"/>
      </w:pPr>
      <w:r>
        <w:t>Compensation cases</w:t>
      </w:r>
    </w:p>
    <w:p w14:paraId="47F276FC" w14:textId="1FC60EDA" w:rsidR="00C23AC3" w:rsidRPr="007D7813" w:rsidRDefault="00C23AC3" w:rsidP="00C23AC3">
      <w:pPr>
        <w:pStyle w:val="CGCNumberedPara"/>
        <w:numPr>
          <w:ilvl w:val="1"/>
          <w:numId w:val="3"/>
        </w:numPr>
      </w:pPr>
      <w:r>
        <w:t>A potential future issue could be the increase in compensation cases and accompanying compensation payments.</w:t>
      </w:r>
      <w:r w:rsidRPr="00D1721F">
        <w:t xml:space="preserve"> Very few compensation claims have been made to date and only two of these claims have been successful.</w:t>
      </w:r>
      <w:r>
        <w:t xml:space="preserve"> However, a recent court case (</w:t>
      </w:r>
      <w:r w:rsidRPr="00D1721F">
        <w:rPr>
          <w:i/>
        </w:rPr>
        <w:t>Griffiths v Northern Territory</w:t>
      </w:r>
      <w:r w:rsidRPr="00E5168D">
        <w:t>)</w:t>
      </w:r>
      <w:r>
        <w:rPr>
          <w:rStyle w:val="FootnoteReference"/>
        </w:rPr>
        <w:footnoteReference w:id="12"/>
      </w:r>
      <w:r>
        <w:t xml:space="preserve"> could lead to an increase in native title compensation claims in the coming years. The Northern Territory supported this view in its comments to the </w:t>
      </w:r>
      <w:r w:rsidR="000846BF">
        <w:t xml:space="preserve">Staff Research Paper, </w:t>
      </w:r>
      <w:r w:rsidR="000846BF" w:rsidRPr="00AD2782">
        <w:rPr>
          <w:i/>
        </w:rPr>
        <w:t>CGC 2016-19-S</w:t>
      </w:r>
      <w:r w:rsidR="000846BF">
        <w:t xml:space="preserve">, </w:t>
      </w:r>
      <w:r w:rsidR="000846BF" w:rsidRPr="000846BF">
        <w:rPr>
          <w:i/>
        </w:rPr>
        <w:t>What States Do</w:t>
      </w:r>
      <w:r w:rsidR="000846BF">
        <w:t xml:space="preserve"> – </w:t>
      </w:r>
      <w:r w:rsidR="000846BF" w:rsidRPr="00C550A7">
        <w:rPr>
          <w:i/>
        </w:rPr>
        <w:t>Native title and land rights</w:t>
      </w:r>
      <w:r w:rsidRPr="007D7813">
        <w:t>.</w:t>
      </w:r>
      <w:r w:rsidRPr="00E15E58">
        <w:t xml:space="preserve"> </w:t>
      </w:r>
      <w:r>
        <w:t>Some commentators have suggested that compensation could</w:t>
      </w:r>
      <w:r w:rsidRPr="007D7813">
        <w:t xml:space="preserve"> reach billions of dollars.</w:t>
      </w:r>
    </w:p>
    <w:p w14:paraId="3BCB837B" w14:textId="77777777" w:rsidR="00C23AC3" w:rsidRDefault="00C23AC3" w:rsidP="00C23AC3">
      <w:pPr>
        <w:pStyle w:val="CGCNumberedPara"/>
        <w:numPr>
          <w:ilvl w:val="1"/>
          <w:numId w:val="3"/>
        </w:numPr>
      </w:pPr>
      <w:r w:rsidRPr="007D7813">
        <w:t>Some States have policies in place that mitigate the potential for future compensation claims</w:t>
      </w:r>
      <w:r>
        <w:t>.</w:t>
      </w:r>
      <w:r>
        <w:rPr>
          <w:rStyle w:val="FootnoteReference"/>
        </w:rPr>
        <w:footnoteReference w:id="13"/>
      </w:r>
      <w:r>
        <w:t xml:space="preserve"> </w:t>
      </w:r>
      <w:r w:rsidRPr="007D7813">
        <w:t xml:space="preserve">If compensation claims do increase, these policies could spread to other States. </w:t>
      </w:r>
      <w:r>
        <w:t xml:space="preserve">Commission staff will monitor developments in this area. </w:t>
      </w:r>
    </w:p>
    <w:tbl>
      <w:tblPr>
        <w:tblStyle w:val="TableGrid"/>
        <w:tblW w:w="0" w:type="auto"/>
        <w:tblLook w:val="04A0" w:firstRow="1" w:lastRow="0" w:firstColumn="1" w:lastColumn="0" w:noHBand="0" w:noVBand="1"/>
      </w:tblPr>
      <w:tblGrid>
        <w:gridCol w:w="9167"/>
      </w:tblGrid>
      <w:tr w:rsidR="00C23AC3" w14:paraId="3456D26F" w14:textId="77777777" w:rsidTr="008D7815">
        <w:tc>
          <w:tcPr>
            <w:tcW w:w="9167" w:type="dxa"/>
            <w:tcBorders>
              <w:top w:val="nil"/>
              <w:left w:val="nil"/>
              <w:bottom w:val="nil"/>
              <w:right w:val="nil"/>
            </w:tcBorders>
            <w:shd w:val="clear" w:color="auto" w:fill="D9F3E6"/>
          </w:tcPr>
          <w:p w14:paraId="097FC8AC" w14:textId="77777777" w:rsidR="00C23AC3" w:rsidRDefault="00C23AC3" w:rsidP="008D7815">
            <w:pPr>
              <w:keepNext/>
            </w:pPr>
            <w:r w:rsidRPr="00741FF2">
              <w:t xml:space="preserve">Staff propose to recommend the </w:t>
            </w:r>
            <w:r>
              <w:t>C</w:t>
            </w:r>
            <w:r w:rsidRPr="00741FF2">
              <w:t>ommission</w:t>
            </w:r>
            <w:r>
              <w:t>:</w:t>
            </w:r>
          </w:p>
          <w:p w14:paraId="064230CD" w14:textId="541FCB63" w:rsidR="00C23AC3" w:rsidRDefault="00C23AC3" w:rsidP="000846BF">
            <w:pPr>
              <w:pStyle w:val="CGCBulletlist"/>
            </w:pPr>
            <w:r>
              <w:t xml:space="preserve">continue to assess the native title component of the Native title </w:t>
            </w:r>
            <w:r w:rsidR="008A1B31">
              <w:t xml:space="preserve">and land rights assessment </w:t>
            </w:r>
            <w:r w:rsidR="000846BF">
              <w:t>on an APC basis</w:t>
            </w:r>
            <w:r w:rsidR="00272DD3">
              <w:t>, subject to State views on alternative assessments</w:t>
            </w:r>
            <w:r w:rsidR="00B91074" w:rsidRPr="003939BB">
              <w:rPr>
                <w:rStyle w:val="Heading6Char"/>
                <w:rFonts w:eastAsiaTheme="minorHAnsi" w:cstheme="minorBidi"/>
                <w:b w:val="0"/>
                <w:i w:val="0"/>
                <w:iCs w:val="0"/>
                <w:color w:val="auto"/>
                <w:sz w:val="24"/>
              </w:rPr>
              <w:t>.</w:t>
            </w:r>
          </w:p>
        </w:tc>
      </w:tr>
    </w:tbl>
    <w:p w14:paraId="01D3BB61" w14:textId="77777777" w:rsidR="00C23AC3" w:rsidRDefault="00C23AC3" w:rsidP="00C23AC3">
      <w:pPr>
        <w:pStyle w:val="Heading4"/>
      </w:pPr>
      <w:bookmarkStart w:id="247" w:name="_Toc511048332"/>
      <w:bookmarkStart w:id="248" w:name="_Toc511048434"/>
      <w:bookmarkStart w:id="249" w:name="_Toc511048472"/>
      <w:bookmarkStart w:id="250" w:name="_Toc511048507"/>
      <w:bookmarkStart w:id="251" w:name="_Toc511398684"/>
      <w:bookmarkStart w:id="252" w:name="_Toc511398728"/>
      <w:bookmarkStart w:id="253" w:name="_Toc511892550"/>
      <w:r>
        <w:t>Land rights</w:t>
      </w:r>
      <w:bookmarkEnd w:id="247"/>
      <w:bookmarkEnd w:id="248"/>
      <w:bookmarkEnd w:id="249"/>
      <w:bookmarkEnd w:id="250"/>
      <w:bookmarkEnd w:id="251"/>
      <w:bookmarkEnd w:id="252"/>
      <w:bookmarkEnd w:id="253"/>
    </w:p>
    <w:p w14:paraId="32C81D8E" w14:textId="77777777" w:rsidR="00C23AC3" w:rsidRDefault="00C23AC3" w:rsidP="00C23AC3">
      <w:pPr>
        <w:pStyle w:val="Heading5"/>
      </w:pPr>
      <w:r>
        <w:t>Land rights across the States</w:t>
      </w:r>
    </w:p>
    <w:p w14:paraId="42229599" w14:textId="3BD151F6" w:rsidR="00C23AC3" w:rsidRDefault="00C23AC3" w:rsidP="00C23AC3">
      <w:pPr>
        <w:pStyle w:val="CGCNumberedPara"/>
        <w:numPr>
          <w:ilvl w:val="1"/>
          <w:numId w:val="3"/>
        </w:numPr>
      </w:pPr>
      <w:r w:rsidRPr="006B14DD">
        <w:rPr>
          <w:rStyle w:val="Heading6Char"/>
          <w:rFonts w:eastAsiaTheme="minorHAnsi" w:cstheme="minorBidi"/>
          <w:b w:val="0"/>
          <w:i w:val="0"/>
          <w:iCs w:val="0"/>
          <w:color w:val="auto"/>
          <w:sz w:val="24"/>
        </w:rPr>
        <w:t>All States have processes to recognise Indigenous land rights but</w:t>
      </w:r>
      <w:r w:rsidR="00FC3745">
        <w:rPr>
          <w:rStyle w:val="Heading6Char"/>
          <w:rFonts w:eastAsiaTheme="minorHAnsi" w:cstheme="minorBidi"/>
          <w:b w:val="0"/>
          <w:i w:val="0"/>
          <w:iCs w:val="0"/>
          <w:color w:val="auto"/>
          <w:sz w:val="24"/>
        </w:rPr>
        <w:t xml:space="preserve"> those rights are determined under Commonwealth legislation in the </w:t>
      </w:r>
      <w:r w:rsidR="00FC3745" w:rsidRPr="00FC3745">
        <w:rPr>
          <w:rStyle w:val="Heading6Char"/>
          <w:rFonts w:eastAsiaTheme="minorHAnsi" w:cstheme="minorBidi"/>
          <w:b w:val="0"/>
          <w:i w:val="0"/>
          <w:iCs w:val="0"/>
          <w:color w:val="auto"/>
          <w:sz w:val="24"/>
        </w:rPr>
        <w:t>Northern Territory</w:t>
      </w:r>
      <w:r w:rsidR="00FC3745">
        <w:rPr>
          <w:rStyle w:val="Heading6Char"/>
          <w:rFonts w:eastAsiaTheme="minorHAnsi" w:cstheme="minorBidi"/>
          <w:b w:val="0"/>
          <w:i w:val="0"/>
          <w:iCs w:val="0"/>
          <w:color w:val="auto"/>
          <w:sz w:val="24"/>
        </w:rPr>
        <w:t xml:space="preserve"> whereas State legislation applies in all other Staters. </w:t>
      </w:r>
      <w:r>
        <w:t xml:space="preserve">Some States had policies and legislation in place regarding Indigenous land rights prior to </w:t>
      </w:r>
      <w:r w:rsidRPr="00F46B46">
        <w:t xml:space="preserve">the Commonwealth’s </w:t>
      </w:r>
      <w:r w:rsidRPr="006B14DD">
        <w:rPr>
          <w:i/>
        </w:rPr>
        <w:t>Aboriginal Land Rights (Northern Territory) Act</w:t>
      </w:r>
      <w:r w:rsidRPr="00F46B46">
        <w:t xml:space="preserve"> </w:t>
      </w:r>
      <w:r>
        <w:t xml:space="preserve">coming into effect in </w:t>
      </w:r>
      <w:r w:rsidRPr="00F46B46">
        <w:t>1976</w:t>
      </w:r>
      <w:r>
        <w:t xml:space="preserve">. Since this Act came into effect, all other States have also implemented State legislation and/or policies to acknowledge Indigenous land rights. A summary of the Indigenous land rights mechanisms across Australia is provided in Attachment </w:t>
      </w:r>
      <w:r w:rsidR="00554B03">
        <w:t>B</w:t>
      </w:r>
      <w:r>
        <w:t>.</w:t>
      </w:r>
    </w:p>
    <w:p w14:paraId="43D1E43A" w14:textId="77777777" w:rsidR="00C23AC3" w:rsidRDefault="00C23AC3" w:rsidP="00C23AC3">
      <w:pPr>
        <w:pStyle w:val="CGCNumberedPara"/>
        <w:numPr>
          <w:ilvl w:val="1"/>
          <w:numId w:val="3"/>
        </w:numPr>
      </w:pPr>
      <w:r>
        <w:t>A significant part of the Northern Territory land rights expenses are for on</w:t>
      </w:r>
      <w:r>
        <w:noBreakHyphen/>
        <w:t xml:space="preserve">going </w:t>
      </w:r>
      <w:r w:rsidRPr="00220385">
        <w:t xml:space="preserve">management of land </w:t>
      </w:r>
      <w:r>
        <w:t xml:space="preserve">under </w:t>
      </w:r>
      <w:r w:rsidRPr="00220385">
        <w:t>land rights</w:t>
      </w:r>
      <w:r>
        <w:t xml:space="preserve">. It would be expected </w:t>
      </w:r>
      <w:r w:rsidRPr="005E3A86">
        <w:t>that other States face</w:t>
      </w:r>
      <w:r>
        <w:t xml:space="preserve"> similar circumstances of on-going management.</w:t>
      </w:r>
    </w:p>
    <w:p w14:paraId="73689BCA" w14:textId="38BAF64D" w:rsidR="00C23AC3" w:rsidRDefault="00C23AC3" w:rsidP="00C23AC3">
      <w:pPr>
        <w:pStyle w:val="CGCNumberedPara"/>
        <w:numPr>
          <w:ilvl w:val="1"/>
          <w:numId w:val="3"/>
        </w:numPr>
      </w:pPr>
      <w:r w:rsidRPr="00E77F0C">
        <w:t xml:space="preserve">It </w:t>
      </w:r>
      <w:r>
        <w:t>is clear</w:t>
      </w:r>
      <w:r w:rsidRPr="00E77F0C">
        <w:t xml:space="preserve"> that average policy is to recognise land rights regardless of the presence</w:t>
      </w:r>
      <w:r>
        <w:t xml:space="preserve"> of Commonwealth legislation. </w:t>
      </w:r>
      <w:r w:rsidR="00DD4CF3">
        <w:t>However, w</w:t>
      </w:r>
      <w:r>
        <w:t xml:space="preserve">e do not currently know how much States, other than the Northern Territory, spend </w:t>
      </w:r>
      <w:r w:rsidR="004069F3">
        <w:t>because of</w:t>
      </w:r>
      <w:r>
        <w:t xml:space="preserve"> land rights. If spending for all States is comparable to the Northern Territory ratio of land rights spending to native title spending ($2</w:t>
      </w:r>
      <w:r w:rsidR="001011C4">
        <w:t>8</w:t>
      </w:r>
      <w:r>
        <w:t xml:space="preserve"> million on land rights and $</w:t>
      </w:r>
      <w:r w:rsidR="001011C4">
        <w:t>4</w:t>
      </w:r>
      <w:r>
        <w:t> million on native title in 201</w:t>
      </w:r>
      <w:r w:rsidR="001011C4">
        <w:t>6</w:t>
      </w:r>
      <w:r>
        <w:t>-1</w:t>
      </w:r>
      <w:r w:rsidR="001011C4">
        <w:t>7</w:t>
      </w:r>
      <w:r>
        <w:t>), the inclusion could lead to a material increase in expenses.</w:t>
      </w:r>
      <w:r w:rsidR="00DD4CF3">
        <w:t xml:space="preserve"> Staff propose to collect State expenses on land rights prior to forming a view about whether needs should be assessed and, if so, how.</w:t>
      </w:r>
    </w:p>
    <w:p w14:paraId="0F2D9A5C" w14:textId="77777777" w:rsidR="00C23AC3" w:rsidRDefault="00C23AC3" w:rsidP="00C23AC3">
      <w:pPr>
        <w:pStyle w:val="Heading5"/>
      </w:pPr>
      <w:r>
        <w:t>Measuring land rights needs</w:t>
      </w:r>
    </w:p>
    <w:p w14:paraId="63876634" w14:textId="77777777" w:rsidR="00C23AC3" w:rsidRDefault="00C23AC3" w:rsidP="00C23AC3">
      <w:pPr>
        <w:pStyle w:val="CGCNumberedPara"/>
        <w:numPr>
          <w:ilvl w:val="1"/>
          <w:numId w:val="3"/>
        </w:numPr>
      </w:pPr>
      <w:r>
        <w:t xml:space="preserve">As States do not deliver Indigenous land rights </w:t>
      </w:r>
      <w:r w:rsidRPr="005E3A86">
        <w:t>under sole legislation</w:t>
      </w:r>
      <w:r>
        <w:t xml:space="preserve"> as with Native title, and in fact use substantially different mechanisms in delivering these services, an APC assessment would not be appropriate. Therefore, we would need a policy neutral measure of land rights expenses.</w:t>
      </w:r>
    </w:p>
    <w:p w14:paraId="5C68CE3A" w14:textId="5E7FE628" w:rsidR="00C23AC3" w:rsidRDefault="00C23AC3" w:rsidP="00C23AC3">
      <w:pPr>
        <w:pStyle w:val="CGCNumberedPara"/>
        <w:numPr>
          <w:ilvl w:val="1"/>
          <w:numId w:val="3"/>
        </w:numPr>
      </w:pPr>
      <w:r>
        <w:t xml:space="preserve">While we cannot be sure of the distribution of land rights spending until expense data are collected, we expect that it is likely to be correlated with native title expenses as both reflect connections to land of a State’s Indigenous people. As such, staff consider a possible measure of the State needs relating to land rights could be to use factors derived from the APC assessment of native title and apply them to total land rights expenses. Such a measure </w:t>
      </w:r>
      <w:r w:rsidR="004069F3">
        <w:t xml:space="preserve">would </w:t>
      </w:r>
      <w:r>
        <w:t>remov</w:t>
      </w:r>
      <w:r w:rsidR="004069F3">
        <w:t>e</w:t>
      </w:r>
      <w:r>
        <w:t xml:space="preserve"> the impact of </w:t>
      </w:r>
      <w:r w:rsidR="004069F3">
        <w:t xml:space="preserve">differences in </w:t>
      </w:r>
      <w:r>
        <w:t>State land rights policy</w:t>
      </w:r>
      <w:r w:rsidR="004069F3">
        <w:t xml:space="preserve"> but it implies land rights and native title expenses are driven by similar influences</w:t>
      </w:r>
      <w:r>
        <w:t xml:space="preserve">. </w:t>
      </w:r>
      <w:r>
        <w:fldChar w:fldCharType="begin"/>
      </w:r>
      <w:r>
        <w:instrText xml:space="preserve"> REF _Ref498503228 \h </w:instrText>
      </w:r>
      <w:r>
        <w:fldChar w:fldCharType="separate"/>
      </w:r>
      <w:r w:rsidR="00C40664">
        <w:t xml:space="preserve">Table </w:t>
      </w:r>
      <w:r w:rsidR="00C40664">
        <w:rPr>
          <w:noProof/>
        </w:rPr>
        <w:t>12</w:t>
      </w:r>
      <w:r>
        <w:fldChar w:fldCharType="end"/>
      </w:r>
      <w:r>
        <w:t xml:space="preserve"> shows the native title factors</w:t>
      </w:r>
      <w:r w:rsidR="0073211E">
        <w:t xml:space="preserve"> used in the 2018</w:t>
      </w:r>
      <w:r>
        <w:t xml:space="preserve"> Update.</w:t>
      </w:r>
    </w:p>
    <w:p w14:paraId="3BBC7225" w14:textId="59CF5AF2" w:rsidR="00C23AC3" w:rsidRDefault="00C23AC3" w:rsidP="00C23AC3">
      <w:pPr>
        <w:pStyle w:val="CGCTableHeading"/>
      </w:pPr>
      <w:bookmarkStart w:id="254" w:name="_Ref498503228"/>
      <w:r>
        <w:t xml:space="preserve">Table </w:t>
      </w:r>
      <w:fldSimple w:instr=" SEQ Table \* ARABIC ">
        <w:r w:rsidR="00C40664">
          <w:rPr>
            <w:noProof/>
          </w:rPr>
          <w:t>12</w:t>
        </w:r>
      </w:fldSimple>
      <w:bookmarkEnd w:id="254"/>
      <w:r>
        <w:tab/>
        <w:t>Native title factors</w:t>
      </w:r>
    </w:p>
    <w:tbl>
      <w:tblPr>
        <w:tblW w:w="9000" w:type="dxa"/>
        <w:tblInd w:w="108" w:type="dxa"/>
        <w:tblLook w:val="04A0" w:firstRow="1" w:lastRow="0" w:firstColumn="1" w:lastColumn="0" w:noHBand="0" w:noVBand="1"/>
      </w:tblPr>
      <w:tblGrid>
        <w:gridCol w:w="1240"/>
        <w:gridCol w:w="960"/>
        <w:gridCol w:w="820"/>
        <w:gridCol w:w="860"/>
        <w:gridCol w:w="860"/>
        <w:gridCol w:w="760"/>
        <w:gridCol w:w="860"/>
        <w:gridCol w:w="860"/>
        <w:gridCol w:w="780"/>
        <w:gridCol w:w="1000"/>
      </w:tblGrid>
      <w:tr w:rsidR="0073211E" w:rsidRPr="0073211E" w14:paraId="1BF27C46" w14:textId="77777777" w:rsidTr="0073211E">
        <w:trPr>
          <w:trHeight w:val="375"/>
        </w:trPr>
        <w:tc>
          <w:tcPr>
            <w:tcW w:w="1240" w:type="dxa"/>
            <w:tcBorders>
              <w:top w:val="single" w:sz="4" w:space="0" w:color="auto"/>
              <w:left w:val="nil"/>
              <w:bottom w:val="single" w:sz="4" w:space="0" w:color="auto"/>
              <w:right w:val="nil"/>
            </w:tcBorders>
            <w:shd w:val="clear" w:color="auto" w:fill="auto"/>
            <w:vAlign w:val="center"/>
            <w:hideMark/>
          </w:tcPr>
          <w:p w14:paraId="23E22C89" w14:textId="77777777" w:rsidR="0073211E" w:rsidRPr="0073211E" w:rsidRDefault="0073211E" w:rsidP="0073211E">
            <w:pPr>
              <w:tabs>
                <w:tab w:val="clear" w:pos="567"/>
              </w:tabs>
              <w:spacing w:after="0" w:line="240" w:lineRule="auto"/>
              <w:jc w:val="right"/>
              <w:rPr>
                <w:rFonts w:ascii="Calibri" w:eastAsia="Times New Roman" w:hAnsi="Calibri" w:cs="Times New Roman"/>
                <w:sz w:val="20"/>
                <w:szCs w:val="20"/>
                <w:lang w:eastAsia="en-AU"/>
              </w:rPr>
            </w:pPr>
            <w:bookmarkStart w:id="255" w:name="RANGE!A188:J192"/>
            <w:r w:rsidRPr="0073211E">
              <w:rPr>
                <w:rFonts w:ascii="Calibri" w:eastAsia="Times New Roman" w:hAnsi="Calibri" w:cs="Times New Roman"/>
                <w:sz w:val="20"/>
                <w:szCs w:val="20"/>
                <w:lang w:eastAsia="en-AU"/>
              </w:rPr>
              <w:t> </w:t>
            </w:r>
            <w:bookmarkEnd w:id="255"/>
          </w:p>
        </w:tc>
        <w:tc>
          <w:tcPr>
            <w:tcW w:w="960" w:type="dxa"/>
            <w:tcBorders>
              <w:top w:val="single" w:sz="4" w:space="0" w:color="auto"/>
              <w:left w:val="nil"/>
              <w:bottom w:val="single" w:sz="4" w:space="0" w:color="auto"/>
              <w:right w:val="nil"/>
            </w:tcBorders>
            <w:shd w:val="clear" w:color="auto" w:fill="auto"/>
            <w:vAlign w:val="center"/>
            <w:hideMark/>
          </w:tcPr>
          <w:p w14:paraId="36D35AB0" w14:textId="77777777" w:rsidR="0073211E" w:rsidRPr="0073211E" w:rsidRDefault="0073211E" w:rsidP="0073211E">
            <w:pPr>
              <w:tabs>
                <w:tab w:val="clear" w:pos="567"/>
              </w:tabs>
              <w:spacing w:after="0" w:line="240" w:lineRule="auto"/>
              <w:jc w:val="right"/>
              <w:rPr>
                <w:rFonts w:ascii="Calibri" w:eastAsia="Times New Roman" w:hAnsi="Calibri" w:cs="Times New Roman"/>
                <w:sz w:val="20"/>
                <w:szCs w:val="20"/>
                <w:lang w:eastAsia="en-AU"/>
              </w:rPr>
            </w:pPr>
            <w:r w:rsidRPr="0073211E">
              <w:rPr>
                <w:rFonts w:ascii="Calibri" w:eastAsia="Times New Roman" w:hAnsi="Calibri" w:cs="Times New Roman"/>
                <w:sz w:val="20"/>
                <w:szCs w:val="20"/>
                <w:lang w:eastAsia="en-AU"/>
              </w:rPr>
              <w:t>NSW</w:t>
            </w:r>
          </w:p>
        </w:tc>
        <w:tc>
          <w:tcPr>
            <w:tcW w:w="820" w:type="dxa"/>
            <w:tcBorders>
              <w:top w:val="single" w:sz="4" w:space="0" w:color="auto"/>
              <w:left w:val="nil"/>
              <w:bottom w:val="single" w:sz="4" w:space="0" w:color="auto"/>
              <w:right w:val="nil"/>
            </w:tcBorders>
            <w:shd w:val="clear" w:color="auto" w:fill="auto"/>
            <w:vAlign w:val="center"/>
            <w:hideMark/>
          </w:tcPr>
          <w:p w14:paraId="654AE063" w14:textId="77777777" w:rsidR="0073211E" w:rsidRPr="0073211E" w:rsidRDefault="0073211E" w:rsidP="0073211E">
            <w:pPr>
              <w:tabs>
                <w:tab w:val="clear" w:pos="567"/>
              </w:tabs>
              <w:spacing w:after="0" w:line="240" w:lineRule="auto"/>
              <w:jc w:val="right"/>
              <w:rPr>
                <w:rFonts w:ascii="Calibri" w:eastAsia="Times New Roman" w:hAnsi="Calibri" w:cs="Times New Roman"/>
                <w:sz w:val="20"/>
                <w:szCs w:val="20"/>
                <w:lang w:eastAsia="en-AU"/>
              </w:rPr>
            </w:pPr>
            <w:r w:rsidRPr="0073211E">
              <w:rPr>
                <w:rFonts w:ascii="Calibri" w:eastAsia="Times New Roman" w:hAnsi="Calibri" w:cs="Times New Roman"/>
                <w:sz w:val="20"/>
                <w:szCs w:val="20"/>
                <w:lang w:eastAsia="en-AU"/>
              </w:rPr>
              <w:t>Vic</w:t>
            </w:r>
          </w:p>
        </w:tc>
        <w:tc>
          <w:tcPr>
            <w:tcW w:w="860" w:type="dxa"/>
            <w:tcBorders>
              <w:top w:val="single" w:sz="4" w:space="0" w:color="auto"/>
              <w:left w:val="nil"/>
              <w:bottom w:val="single" w:sz="4" w:space="0" w:color="auto"/>
              <w:right w:val="nil"/>
            </w:tcBorders>
            <w:shd w:val="clear" w:color="auto" w:fill="auto"/>
            <w:vAlign w:val="center"/>
            <w:hideMark/>
          </w:tcPr>
          <w:p w14:paraId="048F16A0" w14:textId="77777777" w:rsidR="0073211E" w:rsidRPr="0073211E" w:rsidRDefault="0073211E" w:rsidP="0073211E">
            <w:pPr>
              <w:tabs>
                <w:tab w:val="clear" w:pos="567"/>
              </w:tabs>
              <w:spacing w:after="0" w:line="240" w:lineRule="auto"/>
              <w:jc w:val="right"/>
              <w:rPr>
                <w:rFonts w:ascii="Calibri" w:eastAsia="Times New Roman" w:hAnsi="Calibri" w:cs="Times New Roman"/>
                <w:sz w:val="20"/>
                <w:szCs w:val="20"/>
                <w:lang w:eastAsia="en-AU"/>
              </w:rPr>
            </w:pPr>
            <w:r w:rsidRPr="0073211E">
              <w:rPr>
                <w:rFonts w:ascii="Calibri" w:eastAsia="Times New Roman" w:hAnsi="Calibri" w:cs="Times New Roman"/>
                <w:sz w:val="20"/>
                <w:szCs w:val="20"/>
                <w:lang w:eastAsia="en-AU"/>
              </w:rPr>
              <w:t>Qld</w:t>
            </w:r>
          </w:p>
        </w:tc>
        <w:tc>
          <w:tcPr>
            <w:tcW w:w="860" w:type="dxa"/>
            <w:tcBorders>
              <w:top w:val="single" w:sz="4" w:space="0" w:color="auto"/>
              <w:left w:val="nil"/>
              <w:bottom w:val="single" w:sz="4" w:space="0" w:color="auto"/>
              <w:right w:val="nil"/>
            </w:tcBorders>
            <w:shd w:val="clear" w:color="auto" w:fill="auto"/>
            <w:vAlign w:val="center"/>
            <w:hideMark/>
          </w:tcPr>
          <w:p w14:paraId="0063B7BE" w14:textId="77777777" w:rsidR="0073211E" w:rsidRPr="0073211E" w:rsidRDefault="0073211E" w:rsidP="0073211E">
            <w:pPr>
              <w:tabs>
                <w:tab w:val="clear" w:pos="567"/>
              </w:tabs>
              <w:spacing w:after="0" w:line="240" w:lineRule="auto"/>
              <w:jc w:val="right"/>
              <w:rPr>
                <w:rFonts w:ascii="Calibri" w:eastAsia="Times New Roman" w:hAnsi="Calibri" w:cs="Times New Roman"/>
                <w:sz w:val="20"/>
                <w:szCs w:val="20"/>
                <w:lang w:eastAsia="en-AU"/>
              </w:rPr>
            </w:pPr>
            <w:r w:rsidRPr="0073211E">
              <w:rPr>
                <w:rFonts w:ascii="Calibri" w:eastAsia="Times New Roman" w:hAnsi="Calibri" w:cs="Times New Roman"/>
                <w:sz w:val="20"/>
                <w:szCs w:val="20"/>
                <w:lang w:eastAsia="en-AU"/>
              </w:rPr>
              <w:t>WA</w:t>
            </w:r>
          </w:p>
        </w:tc>
        <w:tc>
          <w:tcPr>
            <w:tcW w:w="760" w:type="dxa"/>
            <w:tcBorders>
              <w:top w:val="single" w:sz="4" w:space="0" w:color="auto"/>
              <w:left w:val="nil"/>
              <w:bottom w:val="single" w:sz="4" w:space="0" w:color="auto"/>
              <w:right w:val="nil"/>
            </w:tcBorders>
            <w:shd w:val="clear" w:color="auto" w:fill="auto"/>
            <w:vAlign w:val="center"/>
            <w:hideMark/>
          </w:tcPr>
          <w:p w14:paraId="0C8CAFAB" w14:textId="77777777" w:rsidR="0073211E" w:rsidRPr="0073211E" w:rsidRDefault="0073211E" w:rsidP="0073211E">
            <w:pPr>
              <w:tabs>
                <w:tab w:val="clear" w:pos="567"/>
              </w:tabs>
              <w:spacing w:after="0" w:line="240" w:lineRule="auto"/>
              <w:jc w:val="right"/>
              <w:rPr>
                <w:rFonts w:ascii="Calibri" w:eastAsia="Times New Roman" w:hAnsi="Calibri" w:cs="Times New Roman"/>
                <w:sz w:val="20"/>
                <w:szCs w:val="20"/>
                <w:lang w:eastAsia="en-AU"/>
              </w:rPr>
            </w:pPr>
            <w:r w:rsidRPr="0073211E">
              <w:rPr>
                <w:rFonts w:ascii="Calibri" w:eastAsia="Times New Roman" w:hAnsi="Calibri" w:cs="Times New Roman"/>
                <w:sz w:val="20"/>
                <w:szCs w:val="20"/>
                <w:lang w:eastAsia="en-AU"/>
              </w:rPr>
              <w:t>SA</w:t>
            </w:r>
          </w:p>
        </w:tc>
        <w:tc>
          <w:tcPr>
            <w:tcW w:w="860" w:type="dxa"/>
            <w:tcBorders>
              <w:top w:val="single" w:sz="4" w:space="0" w:color="auto"/>
              <w:left w:val="nil"/>
              <w:bottom w:val="single" w:sz="4" w:space="0" w:color="auto"/>
              <w:right w:val="nil"/>
            </w:tcBorders>
            <w:shd w:val="clear" w:color="auto" w:fill="auto"/>
            <w:vAlign w:val="center"/>
            <w:hideMark/>
          </w:tcPr>
          <w:p w14:paraId="0C3BFD15" w14:textId="77777777" w:rsidR="0073211E" w:rsidRPr="0073211E" w:rsidRDefault="0073211E" w:rsidP="0073211E">
            <w:pPr>
              <w:tabs>
                <w:tab w:val="clear" w:pos="567"/>
              </w:tabs>
              <w:spacing w:after="0" w:line="240" w:lineRule="auto"/>
              <w:jc w:val="right"/>
              <w:rPr>
                <w:rFonts w:ascii="Calibri" w:eastAsia="Times New Roman" w:hAnsi="Calibri" w:cs="Times New Roman"/>
                <w:sz w:val="20"/>
                <w:szCs w:val="20"/>
                <w:lang w:eastAsia="en-AU"/>
              </w:rPr>
            </w:pPr>
            <w:proofErr w:type="spellStart"/>
            <w:r w:rsidRPr="0073211E">
              <w:rPr>
                <w:rFonts w:ascii="Calibri" w:eastAsia="Times New Roman" w:hAnsi="Calibri" w:cs="Times New Roman"/>
                <w:sz w:val="20"/>
                <w:szCs w:val="20"/>
                <w:lang w:eastAsia="en-AU"/>
              </w:rPr>
              <w:t>Tas</w:t>
            </w:r>
            <w:proofErr w:type="spellEnd"/>
          </w:p>
        </w:tc>
        <w:tc>
          <w:tcPr>
            <w:tcW w:w="860" w:type="dxa"/>
            <w:tcBorders>
              <w:top w:val="single" w:sz="4" w:space="0" w:color="auto"/>
              <w:left w:val="nil"/>
              <w:bottom w:val="single" w:sz="4" w:space="0" w:color="auto"/>
              <w:right w:val="nil"/>
            </w:tcBorders>
            <w:shd w:val="clear" w:color="auto" w:fill="auto"/>
            <w:vAlign w:val="center"/>
            <w:hideMark/>
          </w:tcPr>
          <w:p w14:paraId="7468B4D5" w14:textId="77777777" w:rsidR="0073211E" w:rsidRPr="0073211E" w:rsidRDefault="0073211E" w:rsidP="0073211E">
            <w:pPr>
              <w:tabs>
                <w:tab w:val="clear" w:pos="567"/>
              </w:tabs>
              <w:spacing w:after="0" w:line="240" w:lineRule="auto"/>
              <w:jc w:val="right"/>
              <w:rPr>
                <w:rFonts w:ascii="Calibri" w:eastAsia="Times New Roman" w:hAnsi="Calibri" w:cs="Times New Roman"/>
                <w:sz w:val="20"/>
                <w:szCs w:val="20"/>
                <w:lang w:eastAsia="en-AU"/>
              </w:rPr>
            </w:pPr>
            <w:r w:rsidRPr="0073211E">
              <w:rPr>
                <w:rFonts w:ascii="Calibri" w:eastAsia="Times New Roman" w:hAnsi="Calibri" w:cs="Times New Roman"/>
                <w:sz w:val="20"/>
                <w:szCs w:val="20"/>
                <w:lang w:eastAsia="en-AU"/>
              </w:rPr>
              <w:t>ACT</w:t>
            </w:r>
          </w:p>
        </w:tc>
        <w:tc>
          <w:tcPr>
            <w:tcW w:w="780" w:type="dxa"/>
            <w:tcBorders>
              <w:top w:val="single" w:sz="4" w:space="0" w:color="auto"/>
              <w:left w:val="nil"/>
              <w:bottom w:val="single" w:sz="4" w:space="0" w:color="auto"/>
              <w:right w:val="nil"/>
            </w:tcBorders>
            <w:shd w:val="clear" w:color="auto" w:fill="auto"/>
            <w:vAlign w:val="center"/>
            <w:hideMark/>
          </w:tcPr>
          <w:p w14:paraId="6FEE3262" w14:textId="77777777" w:rsidR="0073211E" w:rsidRPr="0073211E" w:rsidRDefault="0073211E" w:rsidP="0073211E">
            <w:pPr>
              <w:tabs>
                <w:tab w:val="clear" w:pos="567"/>
              </w:tabs>
              <w:spacing w:after="0" w:line="240" w:lineRule="auto"/>
              <w:jc w:val="right"/>
              <w:rPr>
                <w:rFonts w:ascii="Calibri" w:eastAsia="Times New Roman" w:hAnsi="Calibri" w:cs="Times New Roman"/>
                <w:sz w:val="20"/>
                <w:szCs w:val="20"/>
                <w:lang w:eastAsia="en-AU"/>
              </w:rPr>
            </w:pPr>
            <w:r w:rsidRPr="0073211E">
              <w:rPr>
                <w:rFonts w:ascii="Calibri" w:eastAsia="Times New Roman" w:hAnsi="Calibri" w:cs="Times New Roman"/>
                <w:sz w:val="20"/>
                <w:szCs w:val="20"/>
                <w:lang w:eastAsia="en-AU"/>
              </w:rPr>
              <w:t>NT</w:t>
            </w:r>
          </w:p>
        </w:tc>
        <w:tc>
          <w:tcPr>
            <w:tcW w:w="1000" w:type="dxa"/>
            <w:tcBorders>
              <w:top w:val="single" w:sz="4" w:space="0" w:color="auto"/>
              <w:left w:val="nil"/>
              <w:bottom w:val="single" w:sz="4" w:space="0" w:color="auto"/>
              <w:right w:val="nil"/>
            </w:tcBorders>
            <w:shd w:val="clear" w:color="auto" w:fill="auto"/>
            <w:vAlign w:val="center"/>
            <w:hideMark/>
          </w:tcPr>
          <w:p w14:paraId="200FDF33" w14:textId="77777777" w:rsidR="0073211E" w:rsidRPr="0073211E" w:rsidRDefault="0073211E" w:rsidP="0073211E">
            <w:pPr>
              <w:tabs>
                <w:tab w:val="clear" w:pos="567"/>
              </w:tabs>
              <w:spacing w:after="0" w:line="240" w:lineRule="auto"/>
              <w:jc w:val="right"/>
              <w:rPr>
                <w:rFonts w:ascii="Calibri" w:eastAsia="Times New Roman" w:hAnsi="Calibri" w:cs="Times New Roman"/>
                <w:sz w:val="20"/>
                <w:szCs w:val="20"/>
                <w:lang w:eastAsia="en-AU"/>
              </w:rPr>
            </w:pPr>
            <w:r w:rsidRPr="0073211E">
              <w:rPr>
                <w:rFonts w:ascii="Calibri" w:eastAsia="Times New Roman" w:hAnsi="Calibri" w:cs="Times New Roman"/>
                <w:sz w:val="20"/>
                <w:szCs w:val="20"/>
                <w:lang w:eastAsia="en-AU"/>
              </w:rPr>
              <w:t>Total</w:t>
            </w:r>
          </w:p>
        </w:tc>
      </w:tr>
      <w:tr w:rsidR="0073211E" w:rsidRPr="0073211E" w14:paraId="6108096C" w14:textId="77777777" w:rsidTr="0073211E">
        <w:trPr>
          <w:trHeight w:val="315"/>
        </w:trPr>
        <w:tc>
          <w:tcPr>
            <w:tcW w:w="1240" w:type="dxa"/>
            <w:tcBorders>
              <w:top w:val="nil"/>
              <w:left w:val="nil"/>
              <w:bottom w:val="nil"/>
              <w:right w:val="nil"/>
            </w:tcBorders>
            <w:shd w:val="clear" w:color="auto" w:fill="auto"/>
            <w:noWrap/>
            <w:vAlign w:val="bottom"/>
            <w:hideMark/>
          </w:tcPr>
          <w:p w14:paraId="40964D9D" w14:textId="77777777" w:rsidR="0073211E" w:rsidRPr="0073211E" w:rsidRDefault="0073211E" w:rsidP="0073211E">
            <w:pPr>
              <w:tabs>
                <w:tab w:val="clear" w:pos="567"/>
              </w:tabs>
              <w:spacing w:after="0" w:line="240" w:lineRule="auto"/>
              <w:rPr>
                <w:rFonts w:ascii="Calibri" w:eastAsia="Times New Roman" w:hAnsi="Calibri" w:cs="Times New Roman"/>
                <w:sz w:val="20"/>
                <w:szCs w:val="20"/>
                <w:lang w:eastAsia="en-AU"/>
              </w:rPr>
            </w:pPr>
            <w:r w:rsidRPr="0073211E">
              <w:rPr>
                <w:rFonts w:ascii="Calibri" w:eastAsia="Times New Roman" w:hAnsi="Calibri" w:cs="Times New Roman"/>
                <w:sz w:val="20"/>
                <w:szCs w:val="20"/>
                <w:lang w:eastAsia="en-AU"/>
              </w:rPr>
              <w:t>2013-14</w:t>
            </w:r>
          </w:p>
        </w:tc>
        <w:tc>
          <w:tcPr>
            <w:tcW w:w="960" w:type="dxa"/>
            <w:tcBorders>
              <w:top w:val="nil"/>
              <w:left w:val="nil"/>
              <w:bottom w:val="nil"/>
              <w:right w:val="nil"/>
            </w:tcBorders>
            <w:shd w:val="clear" w:color="auto" w:fill="auto"/>
            <w:noWrap/>
            <w:vAlign w:val="bottom"/>
            <w:hideMark/>
          </w:tcPr>
          <w:p w14:paraId="612C651D" w14:textId="77777777" w:rsidR="0073211E" w:rsidRPr="0073211E" w:rsidRDefault="0073211E" w:rsidP="0073211E">
            <w:pPr>
              <w:tabs>
                <w:tab w:val="clear" w:pos="567"/>
              </w:tabs>
              <w:spacing w:after="0" w:line="240" w:lineRule="auto"/>
              <w:jc w:val="right"/>
              <w:rPr>
                <w:rFonts w:ascii="Calibri" w:eastAsia="Times New Roman" w:hAnsi="Calibri" w:cs="Times New Roman"/>
                <w:sz w:val="20"/>
                <w:szCs w:val="20"/>
                <w:lang w:eastAsia="en-AU"/>
              </w:rPr>
            </w:pPr>
            <w:r w:rsidRPr="0073211E">
              <w:rPr>
                <w:rFonts w:ascii="Calibri" w:eastAsia="Times New Roman" w:hAnsi="Calibri" w:cs="Times New Roman"/>
                <w:sz w:val="20"/>
                <w:szCs w:val="20"/>
                <w:lang w:eastAsia="en-AU"/>
              </w:rPr>
              <w:t>0.173</w:t>
            </w:r>
          </w:p>
        </w:tc>
        <w:tc>
          <w:tcPr>
            <w:tcW w:w="820" w:type="dxa"/>
            <w:tcBorders>
              <w:top w:val="nil"/>
              <w:left w:val="nil"/>
              <w:bottom w:val="nil"/>
              <w:right w:val="nil"/>
            </w:tcBorders>
            <w:shd w:val="clear" w:color="auto" w:fill="auto"/>
            <w:noWrap/>
            <w:vAlign w:val="bottom"/>
            <w:hideMark/>
          </w:tcPr>
          <w:p w14:paraId="7F2FE4A5" w14:textId="77777777" w:rsidR="0073211E" w:rsidRPr="0073211E" w:rsidRDefault="0073211E" w:rsidP="0073211E">
            <w:pPr>
              <w:tabs>
                <w:tab w:val="clear" w:pos="567"/>
              </w:tabs>
              <w:spacing w:after="0" w:line="240" w:lineRule="auto"/>
              <w:jc w:val="right"/>
              <w:rPr>
                <w:rFonts w:ascii="Calibri" w:eastAsia="Times New Roman" w:hAnsi="Calibri" w:cs="Times New Roman"/>
                <w:sz w:val="20"/>
                <w:szCs w:val="20"/>
                <w:lang w:eastAsia="en-AU"/>
              </w:rPr>
            </w:pPr>
            <w:r w:rsidRPr="0073211E">
              <w:rPr>
                <w:rFonts w:ascii="Calibri" w:eastAsia="Times New Roman" w:hAnsi="Calibri" w:cs="Times New Roman"/>
                <w:sz w:val="20"/>
                <w:szCs w:val="20"/>
                <w:lang w:eastAsia="en-AU"/>
              </w:rPr>
              <w:t>0.348</w:t>
            </w:r>
          </w:p>
        </w:tc>
        <w:tc>
          <w:tcPr>
            <w:tcW w:w="860" w:type="dxa"/>
            <w:tcBorders>
              <w:top w:val="nil"/>
              <w:left w:val="nil"/>
              <w:bottom w:val="nil"/>
              <w:right w:val="nil"/>
            </w:tcBorders>
            <w:shd w:val="clear" w:color="auto" w:fill="auto"/>
            <w:noWrap/>
            <w:vAlign w:val="bottom"/>
            <w:hideMark/>
          </w:tcPr>
          <w:p w14:paraId="6B638959" w14:textId="77777777" w:rsidR="0073211E" w:rsidRPr="0073211E" w:rsidRDefault="0073211E" w:rsidP="0073211E">
            <w:pPr>
              <w:tabs>
                <w:tab w:val="clear" w:pos="567"/>
              </w:tabs>
              <w:spacing w:after="0" w:line="240" w:lineRule="auto"/>
              <w:jc w:val="right"/>
              <w:rPr>
                <w:rFonts w:ascii="Calibri" w:eastAsia="Times New Roman" w:hAnsi="Calibri" w:cs="Times New Roman"/>
                <w:sz w:val="20"/>
                <w:szCs w:val="20"/>
                <w:lang w:eastAsia="en-AU"/>
              </w:rPr>
            </w:pPr>
            <w:r w:rsidRPr="0073211E">
              <w:rPr>
                <w:rFonts w:ascii="Calibri" w:eastAsia="Times New Roman" w:hAnsi="Calibri" w:cs="Times New Roman"/>
                <w:sz w:val="20"/>
                <w:szCs w:val="20"/>
                <w:lang w:eastAsia="en-AU"/>
              </w:rPr>
              <w:t>1.205</w:t>
            </w:r>
          </w:p>
        </w:tc>
        <w:tc>
          <w:tcPr>
            <w:tcW w:w="860" w:type="dxa"/>
            <w:tcBorders>
              <w:top w:val="nil"/>
              <w:left w:val="nil"/>
              <w:bottom w:val="nil"/>
              <w:right w:val="nil"/>
            </w:tcBorders>
            <w:shd w:val="clear" w:color="auto" w:fill="auto"/>
            <w:noWrap/>
            <w:vAlign w:val="bottom"/>
            <w:hideMark/>
          </w:tcPr>
          <w:p w14:paraId="6498FB77" w14:textId="77777777" w:rsidR="0073211E" w:rsidRPr="0073211E" w:rsidRDefault="0073211E" w:rsidP="0073211E">
            <w:pPr>
              <w:tabs>
                <w:tab w:val="clear" w:pos="567"/>
              </w:tabs>
              <w:spacing w:after="0" w:line="240" w:lineRule="auto"/>
              <w:jc w:val="right"/>
              <w:rPr>
                <w:rFonts w:ascii="Calibri" w:eastAsia="Times New Roman" w:hAnsi="Calibri" w:cs="Times New Roman"/>
                <w:sz w:val="20"/>
                <w:szCs w:val="20"/>
                <w:lang w:eastAsia="en-AU"/>
              </w:rPr>
            </w:pPr>
            <w:r w:rsidRPr="0073211E">
              <w:rPr>
                <w:rFonts w:ascii="Calibri" w:eastAsia="Times New Roman" w:hAnsi="Calibri" w:cs="Times New Roman"/>
                <w:sz w:val="20"/>
                <w:szCs w:val="20"/>
                <w:lang w:eastAsia="en-AU"/>
              </w:rPr>
              <w:t>4.800</w:t>
            </w:r>
          </w:p>
        </w:tc>
        <w:tc>
          <w:tcPr>
            <w:tcW w:w="760" w:type="dxa"/>
            <w:tcBorders>
              <w:top w:val="nil"/>
              <w:left w:val="nil"/>
              <w:bottom w:val="nil"/>
              <w:right w:val="nil"/>
            </w:tcBorders>
            <w:shd w:val="clear" w:color="auto" w:fill="auto"/>
            <w:noWrap/>
            <w:vAlign w:val="bottom"/>
            <w:hideMark/>
          </w:tcPr>
          <w:p w14:paraId="5BF3DFDE" w14:textId="77777777" w:rsidR="0073211E" w:rsidRPr="0073211E" w:rsidRDefault="0073211E" w:rsidP="0073211E">
            <w:pPr>
              <w:tabs>
                <w:tab w:val="clear" w:pos="567"/>
              </w:tabs>
              <w:spacing w:after="0" w:line="240" w:lineRule="auto"/>
              <w:jc w:val="right"/>
              <w:rPr>
                <w:rFonts w:ascii="Calibri" w:eastAsia="Times New Roman" w:hAnsi="Calibri" w:cs="Times New Roman"/>
                <w:sz w:val="20"/>
                <w:szCs w:val="20"/>
                <w:lang w:eastAsia="en-AU"/>
              </w:rPr>
            </w:pPr>
            <w:r w:rsidRPr="0073211E">
              <w:rPr>
                <w:rFonts w:ascii="Calibri" w:eastAsia="Times New Roman" w:hAnsi="Calibri" w:cs="Times New Roman"/>
                <w:sz w:val="20"/>
                <w:szCs w:val="20"/>
                <w:lang w:eastAsia="en-AU"/>
              </w:rPr>
              <w:t>0.935</w:t>
            </w:r>
          </w:p>
        </w:tc>
        <w:tc>
          <w:tcPr>
            <w:tcW w:w="860" w:type="dxa"/>
            <w:tcBorders>
              <w:top w:val="nil"/>
              <w:left w:val="nil"/>
              <w:bottom w:val="nil"/>
              <w:right w:val="nil"/>
            </w:tcBorders>
            <w:shd w:val="clear" w:color="auto" w:fill="auto"/>
            <w:noWrap/>
            <w:vAlign w:val="bottom"/>
            <w:hideMark/>
          </w:tcPr>
          <w:p w14:paraId="35E0271C" w14:textId="77777777" w:rsidR="0073211E" w:rsidRPr="0073211E" w:rsidRDefault="0073211E" w:rsidP="0073211E">
            <w:pPr>
              <w:tabs>
                <w:tab w:val="clear" w:pos="567"/>
              </w:tabs>
              <w:spacing w:after="0" w:line="240" w:lineRule="auto"/>
              <w:jc w:val="right"/>
              <w:rPr>
                <w:rFonts w:ascii="Calibri" w:eastAsia="Times New Roman" w:hAnsi="Calibri" w:cs="Times New Roman"/>
                <w:sz w:val="20"/>
                <w:szCs w:val="20"/>
                <w:lang w:eastAsia="en-AU"/>
              </w:rPr>
            </w:pPr>
            <w:r w:rsidRPr="0073211E">
              <w:rPr>
                <w:rFonts w:ascii="Calibri" w:eastAsia="Times New Roman" w:hAnsi="Calibri" w:cs="Times New Roman"/>
                <w:sz w:val="20"/>
                <w:szCs w:val="20"/>
                <w:lang w:eastAsia="en-AU"/>
              </w:rPr>
              <w:t>0.000</w:t>
            </w:r>
          </w:p>
        </w:tc>
        <w:tc>
          <w:tcPr>
            <w:tcW w:w="860" w:type="dxa"/>
            <w:tcBorders>
              <w:top w:val="nil"/>
              <w:left w:val="nil"/>
              <w:bottom w:val="nil"/>
              <w:right w:val="nil"/>
            </w:tcBorders>
            <w:shd w:val="clear" w:color="auto" w:fill="auto"/>
            <w:noWrap/>
            <w:vAlign w:val="bottom"/>
            <w:hideMark/>
          </w:tcPr>
          <w:p w14:paraId="73492061" w14:textId="77777777" w:rsidR="0073211E" w:rsidRPr="0073211E" w:rsidRDefault="0073211E" w:rsidP="0073211E">
            <w:pPr>
              <w:tabs>
                <w:tab w:val="clear" w:pos="567"/>
              </w:tabs>
              <w:spacing w:after="0" w:line="240" w:lineRule="auto"/>
              <w:jc w:val="right"/>
              <w:rPr>
                <w:rFonts w:ascii="Calibri" w:eastAsia="Times New Roman" w:hAnsi="Calibri" w:cs="Times New Roman"/>
                <w:sz w:val="20"/>
                <w:szCs w:val="20"/>
                <w:lang w:eastAsia="en-AU"/>
              </w:rPr>
            </w:pPr>
            <w:r w:rsidRPr="0073211E">
              <w:rPr>
                <w:rFonts w:ascii="Calibri" w:eastAsia="Times New Roman" w:hAnsi="Calibri" w:cs="Times New Roman"/>
                <w:sz w:val="20"/>
                <w:szCs w:val="20"/>
                <w:lang w:eastAsia="en-AU"/>
              </w:rPr>
              <w:t>0.000</w:t>
            </w:r>
          </w:p>
        </w:tc>
        <w:tc>
          <w:tcPr>
            <w:tcW w:w="780" w:type="dxa"/>
            <w:tcBorders>
              <w:top w:val="nil"/>
              <w:left w:val="nil"/>
              <w:bottom w:val="nil"/>
              <w:right w:val="nil"/>
            </w:tcBorders>
            <w:shd w:val="clear" w:color="auto" w:fill="auto"/>
            <w:noWrap/>
            <w:vAlign w:val="bottom"/>
            <w:hideMark/>
          </w:tcPr>
          <w:p w14:paraId="576C26D1" w14:textId="77777777" w:rsidR="0073211E" w:rsidRPr="0073211E" w:rsidRDefault="0073211E" w:rsidP="0073211E">
            <w:pPr>
              <w:tabs>
                <w:tab w:val="clear" w:pos="567"/>
              </w:tabs>
              <w:spacing w:after="0" w:line="240" w:lineRule="auto"/>
              <w:jc w:val="right"/>
              <w:rPr>
                <w:rFonts w:ascii="Calibri" w:eastAsia="Times New Roman" w:hAnsi="Calibri" w:cs="Times New Roman"/>
                <w:sz w:val="20"/>
                <w:szCs w:val="20"/>
                <w:lang w:eastAsia="en-AU"/>
              </w:rPr>
            </w:pPr>
            <w:r w:rsidRPr="0073211E">
              <w:rPr>
                <w:rFonts w:ascii="Calibri" w:eastAsia="Times New Roman" w:hAnsi="Calibri" w:cs="Times New Roman"/>
                <w:sz w:val="20"/>
                <w:szCs w:val="20"/>
                <w:lang w:eastAsia="en-AU"/>
              </w:rPr>
              <w:t>3.035</w:t>
            </w:r>
          </w:p>
        </w:tc>
        <w:tc>
          <w:tcPr>
            <w:tcW w:w="1000" w:type="dxa"/>
            <w:tcBorders>
              <w:top w:val="nil"/>
              <w:left w:val="nil"/>
              <w:bottom w:val="nil"/>
              <w:right w:val="nil"/>
            </w:tcBorders>
            <w:shd w:val="clear" w:color="auto" w:fill="auto"/>
            <w:noWrap/>
            <w:vAlign w:val="bottom"/>
            <w:hideMark/>
          </w:tcPr>
          <w:p w14:paraId="6B1A0A3F" w14:textId="77777777" w:rsidR="0073211E" w:rsidRPr="0073211E" w:rsidRDefault="0073211E" w:rsidP="0073211E">
            <w:pPr>
              <w:tabs>
                <w:tab w:val="clear" w:pos="567"/>
              </w:tabs>
              <w:spacing w:after="0" w:line="240" w:lineRule="auto"/>
              <w:jc w:val="right"/>
              <w:rPr>
                <w:rFonts w:ascii="Calibri" w:eastAsia="Times New Roman" w:hAnsi="Calibri" w:cs="Times New Roman"/>
                <w:sz w:val="20"/>
                <w:szCs w:val="20"/>
                <w:lang w:eastAsia="en-AU"/>
              </w:rPr>
            </w:pPr>
            <w:r w:rsidRPr="0073211E">
              <w:rPr>
                <w:rFonts w:ascii="Calibri" w:eastAsia="Times New Roman" w:hAnsi="Calibri" w:cs="Times New Roman"/>
                <w:sz w:val="20"/>
                <w:szCs w:val="20"/>
                <w:lang w:eastAsia="en-AU"/>
              </w:rPr>
              <w:t>1.000</w:t>
            </w:r>
          </w:p>
        </w:tc>
      </w:tr>
      <w:tr w:rsidR="0073211E" w:rsidRPr="0073211E" w14:paraId="052740C1" w14:textId="77777777" w:rsidTr="0073211E">
        <w:trPr>
          <w:trHeight w:val="315"/>
        </w:trPr>
        <w:tc>
          <w:tcPr>
            <w:tcW w:w="1240" w:type="dxa"/>
            <w:tcBorders>
              <w:top w:val="nil"/>
              <w:left w:val="nil"/>
              <w:bottom w:val="nil"/>
              <w:right w:val="nil"/>
            </w:tcBorders>
            <w:shd w:val="clear" w:color="auto" w:fill="auto"/>
            <w:noWrap/>
            <w:vAlign w:val="bottom"/>
            <w:hideMark/>
          </w:tcPr>
          <w:p w14:paraId="0C5E5BDD" w14:textId="77777777" w:rsidR="0073211E" w:rsidRPr="0073211E" w:rsidRDefault="0073211E" w:rsidP="0073211E">
            <w:pPr>
              <w:tabs>
                <w:tab w:val="clear" w:pos="567"/>
              </w:tabs>
              <w:spacing w:after="0" w:line="240" w:lineRule="auto"/>
              <w:rPr>
                <w:rFonts w:ascii="Calibri" w:eastAsia="Times New Roman" w:hAnsi="Calibri" w:cs="Times New Roman"/>
                <w:sz w:val="20"/>
                <w:szCs w:val="20"/>
                <w:lang w:eastAsia="en-AU"/>
              </w:rPr>
            </w:pPr>
            <w:r w:rsidRPr="0073211E">
              <w:rPr>
                <w:rFonts w:ascii="Calibri" w:eastAsia="Times New Roman" w:hAnsi="Calibri" w:cs="Times New Roman"/>
                <w:sz w:val="20"/>
                <w:szCs w:val="20"/>
                <w:lang w:eastAsia="en-AU"/>
              </w:rPr>
              <w:t>2014-15</w:t>
            </w:r>
          </w:p>
        </w:tc>
        <w:tc>
          <w:tcPr>
            <w:tcW w:w="960" w:type="dxa"/>
            <w:tcBorders>
              <w:top w:val="nil"/>
              <w:left w:val="nil"/>
              <w:bottom w:val="nil"/>
              <w:right w:val="nil"/>
            </w:tcBorders>
            <w:shd w:val="clear" w:color="auto" w:fill="auto"/>
            <w:noWrap/>
            <w:vAlign w:val="bottom"/>
            <w:hideMark/>
          </w:tcPr>
          <w:p w14:paraId="1AF6E8C8" w14:textId="77777777" w:rsidR="0073211E" w:rsidRPr="0073211E" w:rsidRDefault="0073211E" w:rsidP="0073211E">
            <w:pPr>
              <w:tabs>
                <w:tab w:val="clear" w:pos="567"/>
              </w:tabs>
              <w:spacing w:after="0" w:line="240" w:lineRule="auto"/>
              <w:jc w:val="right"/>
              <w:rPr>
                <w:rFonts w:ascii="Calibri" w:eastAsia="Times New Roman" w:hAnsi="Calibri" w:cs="Times New Roman"/>
                <w:sz w:val="20"/>
                <w:szCs w:val="20"/>
                <w:lang w:eastAsia="en-AU"/>
              </w:rPr>
            </w:pPr>
            <w:r w:rsidRPr="0073211E">
              <w:rPr>
                <w:rFonts w:ascii="Calibri" w:eastAsia="Times New Roman" w:hAnsi="Calibri" w:cs="Times New Roman"/>
                <w:sz w:val="20"/>
                <w:szCs w:val="20"/>
                <w:lang w:eastAsia="en-AU"/>
              </w:rPr>
              <w:t>0.155</w:t>
            </w:r>
          </w:p>
        </w:tc>
        <w:tc>
          <w:tcPr>
            <w:tcW w:w="820" w:type="dxa"/>
            <w:tcBorders>
              <w:top w:val="nil"/>
              <w:left w:val="nil"/>
              <w:bottom w:val="nil"/>
              <w:right w:val="nil"/>
            </w:tcBorders>
            <w:shd w:val="clear" w:color="auto" w:fill="auto"/>
            <w:noWrap/>
            <w:vAlign w:val="bottom"/>
            <w:hideMark/>
          </w:tcPr>
          <w:p w14:paraId="0D4CFCAD" w14:textId="77777777" w:rsidR="0073211E" w:rsidRPr="0073211E" w:rsidRDefault="0073211E" w:rsidP="0073211E">
            <w:pPr>
              <w:tabs>
                <w:tab w:val="clear" w:pos="567"/>
              </w:tabs>
              <w:spacing w:after="0" w:line="240" w:lineRule="auto"/>
              <w:jc w:val="right"/>
              <w:rPr>
                <w:rFonts w:ascii="Calibri" w:eastAsia="Times New Roman" w:hAnsi="Calibri" w:cs="Times New Roman"/>
                <w:sz w:val="20"/>
                <w:szCs w:val="20"/>
                <w:lang w:eastAsia="en-AU"/>
              </w:rPr>
            </w:pPr>
            <w:r w:rsidRPr="0073211E">
              <w:rPr>
                <w:rFonts w:ascii="Calibri" w:eastAsia="Times New Roman" w:hAnsi="Calibri" w:cs="Times New Roman"/>
                <w:sz w:val="20"/>
                <w:szCs w:val="20"/>
                <w:lang w:eastAsia="en-AU"/>
              </w:rPr>
              <w:t>0.192</w:t>
            </w:r>
          </w:p>
        </w:tc>
        <w:tc>
          <w:tcPr>
            <w:tcW w:w="860" w:type="dxa"/>
            <w:tcBorders>
              <w:top w:val="nil"/>
              <w:left w:val="nil"/>
              <w:bottom w:val="nil"/>
              <w:right w:val="nil"/>
            </w:tcBorders>
            <w:shd w:val="clear" w:color="auto" w:fill="auto"/>
            <w:noWrap/>
            <w:vAlign w:val="bottom"/>
            <w:hideMark/>
          </w:tcPr>
          <w:p w14:paraId="5D863F47" w14:textId="77777777" w:rsidR="0073211E" w:rsidRPr="0073211E" w:rsidRDefault="0073211E" w:rsidP="0073211E">
            <w:pPr>
              <w:tabs>
                <w:tab w:val="clear" w:pos="567"/>
              </w:tabs>
              <w:spacing w:after="0" w:line="240" w:lineRule="auto"/>
              <w:jc w:val="right"/>
              <w:rPr>
                <w:rFonts w:ascii="Calibri" w:eastAsia="Times New Roman" w:hAnsi="Calibri" w:cs="Times New Roman"/>
                <w:sz w:val="20"/>
                <w:szCs w:val="20"/>
                <w:lang w:eastAsia="en-AU"/>
              </w:rPr>
            </w:pPr>
            <w:r w:rsidRPr="0073211E">
              <w:rPr>
                <w:rFonts w:ascii="Calibri" w:eastAsia="Times New Roman" w:hAnsi="Calibri" w:cs="Times New Roman"/>
                <w:sz w:val="20"/>
                <w:szCs w:val="20"/>
                <w:lang w:eastAsia="en-AU"/>
              </w:rPr>
              <w:t>1.249</w:t>
            </w:r>
          </w:p>
        </w:tc>
        <w:tc>
          <w:tcPr>
            <w:tcW w:w="860" w:type="dxa"/>
            <w:tcBorders>
              <w:top w:val="nil"/>
              <w:left w:val="nil"/>
              <w:bottom w:val="nil"/>
              <w:right w:val="nil"/>
            </w:tcBorders>
            <w:shd w:val="clear" w:color="auto" w:fill="auto"/>
            <w:noWrap/>
            <w:vAlign w:val="bottom"/>
            <w:hideMark/>
          </w:tcPr>
          <w:p w14:paraId="02367D1C" w14:textId="77777777" w:rsidR="0073211E" w:rsidRPr="0073211E" w:rsidRDefault="0073211E" w:rsidP="0073211E">
            <w:pPr>
              <w:tabs>
                <w:tab w:val="clear" w:pos="567"/>
              </w:tabs>
              <w:spacing w:after="0" w:line="240" w:lineRule="auto"/>
              <w:jc w:val="right"/>
              <w:rPr>
                <w:rFonts w:ascii="Calibri" w:eastAsia="Times New Roman" w:hAnsi="Calibri" w:cs="Times New Roman"/>
                <w:sz w:val="20"/>
                <w:szCs w:val="20"/>
                <w:lang w:eastAsia="en-AU"/>
              </w:rPr>
            </w:pPr>
            <w:r w:rsidRPr="0073211E">
              <w:rPr>
                <w:rFonts w:ascii="Calibri" w:eastAsia="Times New Roman" w:hAnsi="Calibri" w:cs="Times New Roman"/>
                <w:sz w:val="20"/>
                <w:szCs w:val="20"/>
                <w:lang w:eastAsia="en-AU"/>
              </w:rPr>
              <w:t>4.643</w:t>
            </w:r>
          </w:p>
        </w:tc>
        <w:tc>
          <w:tcPr>
            <w:tcW w:w="760" w:type="dxa"/>
            <w:tcBorders>
              <w:top w:val="nil"/>
              <w:left w:val="nil"/>
              <w:bottom w:val="nil"/>
              <w:right w:val="nil"/>
            </w:tcBorders>
            <w:shd w:val="clear" w:color="auto" w:fill="auto"/>
            <w:noWrap/>
            <w:vAlign w:val="bottom"/>
            <w:hideMark/>
          </w:tcPr>
          <w:p w14:paraId="7F6A4760" w14:textId="77777777" w:rsidR="0073211E" w:rsidRPr="0073211E" w:rsidRDefault="0073211E" w:rsidP="0073211E">
            <w:pPr>
              <w:tabs>
                <w:tab w:val="clear" w:pos="567"/>
              </w:tabs>
              <w:spacing w:after="0" w:line="240" w:lineRule="auto"/>
              <w:jc w:val="right"/>
              <w:rPr>
                <w:rFonts w:ascii="Calibri" w:eastAsia="Times New Roman" w:hAnsi="Calibri" w:cs="Times New Roman"/>
                <w:sz w:val="20"/>
                <w:szCs w:val="20"/>
                <w:lang w:eastAsia="en-AU"/>
              </w:rPr>
            </w:pPr>
            <w:r w:rsidRPr="0073211E">
              <w:rPr>
                <w:rFonts w:ascii="Calibri" w:eastAsia="Times New Roman" w:hAnsi="Calibri" w:cs="Times New Roman"/>
                <w:sz w:val="20"/>
                <w:szCs w:val="20"/>
                <w:lang w:eastAsia="en-AU"/>
              </w:rPr>
              <w:t>1.653</w:t>
            </w:r>
          </w:p>
        </w:tc>
        <w:tc>
          <w:tcPr>
            <w:tcW w:w="860" w:type="dxa"/>
            <w:tcBorders>
              <w:top w:val="nil"/>
              <w:left w:val="nil"/>
              <w:bottom w:val="nil"/>
              <w:right w:val="nil"/>
            </w:tcBorders>
            <w:shd w:val="clear" w:color="auto" w:fill="auto"/>
            <w:noWrap/>
            <w:vAlign w:val="bottom"/>
            <w:hideMark/>
          </w:tcPr>
          <w:p w14:paraId="2B413486" w14:textId="77777777" w:rsidR="0073211E" w:rsidRPr="0073211E" w:rsidRDefault="0073211E" w:rsidP="0073211E">
            <w:pPr>
              <w:tabs>
                <w:tab w:val="clear" w:pos="567"/>
              </w:tabs>
              <w:spacing w:after="0" w:line="240" w:lineRule="auto"/>
              <w:jc w:val="right"/>
              <w:rPr>
                <w:rFonts w:ascii="Calibri" w:eastAsia="Times New Roman" w:hAnsi="Calibri" w:cs="Times New Roman"/>
                <w:sz w:val="20"/>
                <w:szCs w:val="20"/>
                <w:lang w:eastAsia="en-AU"/>
              </w:rPr>
            </w:pPr>
            <w:r w:rsidRPr="0073211E">
              <w:rPr>
                <w:rFonts w:ascii="Calibri" w:eastAsia="Times New Roman" w:hAnsi="Calibri" w:cs="Times New Roman"/>
                <w:sz w:val="20"/>
                <w:szCs w:val="20"/>
                <w:lang w:eastAsia="en-AU"/>
              </w:rPr>
              <w:t>0.000</w:t>
            </w:r>
          </w:p>
        </w:tc>
        <w:tc>
          <w:tcPr>
            <w:tcW w:w="860" w:type="dxa"/>
            <w:tcBorders>
              <w:top w:val="nil"/>
              <w:left w:val="nil"/>
              <w:bottom w:val="nil"/>
              <w:right w:val="nil"/>
            </w:tcBorders>
            <w:shd w:val="clear" w:color="auto" w:fill="auto"/>
            <w:noWrap/>
            <w:vAlign w:val="bottom"/>
            <w:hideMark/>
          </w:tcPr>
          <w:p w14:paraId="7F88D2D1" w14:textId="77777777" w:rsidR="0073211E" w:rsidRPr="0073211E" w:rsidRDefault="0073211E" w:rsidP="0073211E">
            <w:pPr>
              <w:tabs>
                <w:tab w:val="clear" w:pos="567"/>
              </w:tabs>
              <w:spacing w:after="0" w:line="240" w:lineRule="auto"/>
              <w:jc w:val="right"/>
              <w:rPr>
                <w:rFonts w:ascii="Calibri" w:eastAsia="Times New Roman" w:hAnsi="Calibri" w:cs="Times New Roman"/>
                <w:sz w:val="20"/>
                <w:szCs w:val="20"/>
                <w:lang w:eastAsia="en-AU"/>
              </w:rPr>
            </w:pPr>
            <w:r w:rsidRPr="0073211E">
              <w:rPr>
                <w:rFonts w:ascii="Calibri" w:eastAsia="Times New Roman" w:hAnsi="Calibri" w:cs="Times New Roman"/>
                <w:sz w:val="20"/>
                <w:szCs w:val="20"/>
                <w:lang w:eastAsia="en-AU"/>
              </w:rPr>
              <w:t>0.000</w:t>
            </w:r>
          </w:p>
        </w:tc>
        <w:tc>
          <w:tcPr>
            <w:tcW w:w="780" w:type="dxa"/>
            <w:tcBorders>
              <w:top w:val="nil"/>
              <w:left w:val="nil"/>
              <w:bottom w:val="nil"/>
              <w:right w:val="nil"/>
            </w:tcBorders>
            <w:shd w:val="clear" w:color="auto" w:fill="auto"/>
            <w:noWrap/>
            <w:vAlign w:val="bottom"/>
            <w:hideMark/>
          </w:tcPr>
          <w:p w14:paraId="3F0C8979" w14:textId="77777777" w:rsidR="0073211E" w:rsidRPr="0073211E" w:rsidRDefault="0073211E" w:rsidP="0073211E">
            <w:pPr>
              <w:tabs>
                <w:tab w:val="clear" w:pos="567"/>
              </w:tabs>
              <w:spacing w:after="0" w:line="240" w:lineRule="auto"/>
              <w:jc w:val="right"/>
              <w:rPr>
                <w:rFonts w:ascii="Calibri" w:eastAsia="Times New Roman" w:hAnsi="Calibri" w:cs="Times New Roman"/>
                <w:sz w:val="20"/>
                <w:szCs w:val="20"/>
                <w:lang w:eastAsia="en-AU"/>
              </w:rPr>
            </w:pPr>
            <w:r w:rsidRPr="0073211E">
              <w:rPr>
                <w:rFonts w:ascii="Calibri" w:eastAsia="Times New Roman" w:hAnsi="Calibri" w:cs="Times New Roman"/>
                <w:sz w:val="20"/>
                <w:szCs w:val="20"/>
                <w:lang w:eastAsia="en-AU"/>
              </w:rPr>
              <w:t>3.502</w:t>
            </w:r>
          </w:p>
        </w:tc>
        <w:tc>
          <w:tcPr>
            <w:tcW w:w="1000" w:type="dxa"/>
            <w:tcBorders>
              <w:top w:val="nil"/>
              <w:left w:val="nil"/>
              <w:bottom w:val="nil"/>
              <w:right w:val="nil"/>
            </w:tcBorders>
            <w:shd w:val="clear" w:color="auto" w:fill="auto"/>
            <w:noWrap/>
            <w:vAlign w:val="bottom"/>
            <w:hideMark/>
          </w:tcPr>
          <w:p w14:paraId="5F02B003" w14:textId="77777777" w:rsidR="0073211E" w:rsidRPr="0073211E" w:rsidRDefault="0073211E" w:rsidP="0073211E">
            <w:pPr>
              <w:tabs>
                <w:tab w:val="clear" w:pos="567"/>
              </w:tabs>
              <w:spacing w:after="0" w:line="240" w:lineRule="auto"/>
              <w:jc w:val="right"/>
              <w:rPr>
                <w:rFonts w:ascii="Calibri" w:eastAsia="Times New Roman" w:hAnsi="Calibri" w:cs="Times New Roman"/>
                <w:sz w:val="20"/>
                <w:szCs w:val="20"/>
                <w:lang w:eastAsia="en-AU"/>
              </w:rPr>
            </w:pPr>
            <w:r w:rsidRPr="0073211E">
              <w:rPr>
                <w:rFonts w:ascii="Calibri" w:eastAsia="Times New Roman" w:hAnsi="Calibri" w:cs="Times New Roman"/>
                <w:sz w:val="20"/>
                <w:szCs w:val="20"/>
                <w:lang w:eastAsia="en-AU"/>
              </w:rPr>
              <w:t>1.000</w:t>
            </w:r>
          </w:p>
        </w:tc>
      </w:tr>
      <w:tr w:rsidR="0073211E" w:rsidRPr="0073211E" w14:paraId="1ED375BF" w14:textId="77777777" w:rsidTr="0073211E">
        <w:trPr>
          <w:trHeight w:val="315"/>
        </w:trPr>
        <w:tc>
          <w:tcPr>
            <w:tcW w:w="1240" w:type="dxa"/>
            <w:tcBorders>
              <w:top w:val="nil"/>
              <w:left w:val="nil"/>
              <w:bottom w:val="nil"/>
              <w:right w:val="nil"/>
            </w:tcBorders>
            <w:shd w:val="clear" w:color="auto" w:fill="auto"/>
            <w:noWrap/>
            <w:vAlign w:val="bottom"/>
            <w:hideMark/>
          </w:tcPr>
          <w:p w14:paraId="4DEBE189" w14:textId="77777777" w:rsidR="0073211E" w:rsidRPr="0073211E" w:rsidRDefault="0073211E" w:rsidP="0073211E">
            <w:pPr>
              <w:tabs>
                <w:tab w:val="clear" w:pos="567"/>
              </w:tabs>
              <w:spacing w:after="0" w:line="240" w:lineRule="auto"/>
              <w:rPr>
                <w:rFonts w:ascii="Calibri" w:eastAsia="Times New Roman" w:hAnsi="Calibri" w:cs="Times New Roman"/>
                <w:sz w:val="20"/>
                <w:szCs w:val="20"/>
                <w:lang w:eastAsia="en-AU"/>
              </w:rPr>
            </w:pPr>
            <w:r w:rsidRPr="0073211E">
              <w:rPr>
                <w:rFonts w:ascii="Calibri" w:eastAsia="Times New Roman" w:hAnsi="Calibri" w:cs="Times New Roman"/>
                <w:sz w:val="20"/>
                <w:szCs w:val="20"/>
                <w:lang w:eastAsia="en-AU"/>
              </w:rPr>
              <w:t>2015-16</w:t>
            </w:r>
          </w:p>
        </w:tc>
        <w:tc>
          <w:tcPr>
            <w:tcW w:w="960" w:type="dxa"/>
            <w:tcBorders>
              <w:top w:val="nil"/>
              <w:left w:val="nil"/>
              <w:bottom w:val="nil"/>
              <w:right w:val="nil"/>
            </w:tcBorders>
            <w:shd w:val="clear" w:color="auto" w:fill="auto"/>
            <w:noWrap/>
            <w:vAlign w:val="bottom"/>
            <w:hideMark/>
          </w:tcPr>
          <w:p w14:paraId="6D38322A" w14:textId="77777777" w:rsidR="0073211E" w:rsidRPr="0073211E" w:rsidRDefault="0073211E" w:rsidP="0073211E">
            <w:pPr>
              <w:tabs>
                <w:tab w:val="clear" w:pos="567"/>
              </w:tabs>
              <w:spacing w:after="0" w:line="240" w:lineRule="auto"/>
              <w:jc w:val="right"/>
              <w:rPr>
                <w:rFonts w:ascii="Calibri" w:eastAsia="Times New Roman" w:hAnsi="Calibri" w:cs="Times New Roman"/>
                <w:sz w:val="20"/>
                <w:szCs w:val="20"/>
                <w:lang w:eastAsia="en-AU"/>
              </w:rPr>
            </w:pPr>
            <w:r w:rsidRPr="0073211E">
              <w:rPr>
                <w:rFonts w:ascii="Calibri" w:eastAsia="Times New Roman" w:hAnsi="Calibri" w:cs="Times New Roman"/>
                <w:sz w:val="20"/>
                <w:szCs w:val="20"/>
                <w:lang w:eastAsia="en-AU"/>
              </w:rPr>
              <w:t>0.172</w:t>
            </w:r>
          </w:p>
        </w:tc>
        <w:tc>
          <w:tcPr>
            <w:tcW w:w="820" w:type="dxa"/>
            <w:tcBorders>
              <w:top w:val="nil"/>
              <w:left w:val="nil"/>
              <w:bottom w:val="nil"/>
              <w:right w:val="nil"/>
            </w:tcBorders>
            <w:shd w:val="clear" w:color="auto" w:fill="auto"/>
            <w:noWrap/>
            <w:vAlign w:val="bottom"/>
            <w:hideMark/>
          </w:tcPr>
          <w:p w14:paraId="1FE95698" w14:textId="77777777" w:rsidR="0073211E" w:rsidRPr="0073211E" w:rsidRDefault="0073211E" w:rsidP="0073211E">
            <w:pPr>
              <w:tabs>
                <w:tab w:val="clear" w:pos="567"/>
              </w:tabs>
              <w:spacing w:after="0" w:line="240" w:lineRule="auto"/>
              <w:jc w:val="right"/>
              <w:rPr>
                <w:rFonts w:ascii="Calibri" w:eastAsia="Times New Roman" w:hAnsi="Calibri" w:cs="Times New Roman"/>
                <w:sz w:val="20"/>
                <w:szCs w:val="20"/>
                <w:lang w:eastAsia="en-AU"/>
              </w:rPr>
            </w:pPr>
            <w:r w:rsidRPr="0073211E">
              <w:rPr>
                <w:rFonts w:ascii="Calibri" w:eastAsia="Times New Roman" w:hAnsi="Calibri" w:cs="Times New Roman"/>
                <w:sz w:val="20"/>
                <w:szCs w:val="20"/>
                <w:lang w:eastAsia="en-AU"/>
              </w:rPr>
              <w:t>0.207</w:t>
            </w:r>
          </w:p>
        </w:tc>
        <w:tc>
          <w:tcPr>
            <w:tcW w:w="860" w:type="dxa"/>
            <w:tcBorders>
              <w:top w:val="nil"/>
              <w:left w:val="nil"/>
              <w:bottom w:val="nil"/>
              <w:right w:val="nil"/>
            </w:tcBorders>
            <w:shd w:val="clear" w:color="auto" w:fill="auto"/>
            <w:noWrap/>
            <w:vAlign w:val="bottom"/>
            <w:hideMark/>
          </w:tcPr>
          <w:p w14:paraId="55ABB6E5" w14:textId="77777777" w:rsidR="0073211E" w:rsidRPr="0073211E" w:rsidRDefault="0073211E" w:rsidP="0073211E">
            <w:pPr>
              <w:tabs>
                <w:tab w:val="clear" w:pos="567"/>
              </w:tabs>
              <w:spacing w:after="0" w:line="240" w:lineRule="auto"/>
              <w:jc w:val="right"/>
              <w:rPr>
                <w:rFonts w:ascii="Calibri" w:eastAsia="Times New Roman" w:hAnsi="Calibri" w:cs="Times New Roman"/>
                <w:sz w:val="20"/>
                <w:szCs w:val="20"/>
                <w:lang w:eastAsia="en-AU"/>
              </w:rPr>
            </w:pPr>
            <w:r w:rsidRPr="0073211E">
              <w:rPr>
                <w:rFonts w:ascii="Calibri" w:eastAsia="Times New Roman" w:hAnsi="Calibri" w:cs="Times New Roman"/>
                <w:sz w:val="20"/>
                <w:szCs w:val="20"/>
                <w:lang w:eastAsia="en-AU"/>
              </w:rPr>
              <w:t>1.383</w:t>
            </w:r>
          </w:p>
        </w:tc>
        <w:tc>
          <w:tcPr>
            <w:tcW w:w="860" w:type="dxa"/>
            <w:tcBorders>
              <w:top w:val="nil"/>
              <w:left w:val="nil"/>
              <w:bottom w:val="nil"/>
              <w:right w:val="nil"/>
            </w:tcBorders>
            <w:shd w:val="clear" w:color="auto" w:fill="auto"/>
            <w:noWrap/>
            <w:vAlign w:val="bottom"/>
            <w:hideMark/>
          </w:tcPr>
          <w:p w14:paraId="37945971" w14:textId="77777777" w:rsidR="0073211E" w:rsidRPr="0073211E" w:rsidRDefault="0073211E" w:rsidP="0073211E">
            <w:pPr>
              <w:tabs>
                <w:tab w:val="clear" w:pos="567"/>
              </w:tabs>
              <w:spacing w:after="0" w:line="240" w:lineRule="auto"/>
              <w:jc w:val="right"/>
              <w:rPr>
                <w:rFonts w:ascii="Calibri" w:eastAsia="Times New Roman" w:hAnsi="Calibri" w:cs="Times New Roman"/>
                <w:sz w:val="20"/>
                <w:szCs w:val="20"/>
                <w:lang w:eastAsia="en-AU"/>
              </w:rPr>
            </w:pPr>
            <w:r w:rsidRPr="0073211E">
              <w:rPr>
                <w:rFonts w:ascii="Calibri" w:eastAsia="Times New Roman" w:hAnsi="Calibri" w:cs="Times New Roman"/>
                <w:sz w:val="20"/>
                <w:szCs w:val="20"/>
                <w:lang w:eastAsia="en-AU"/>
              </w:rPr>
              <w:t>4.309</w:t>
            </w:r>
          </w:p>
        </w:tc>
        <w:tc>
          <w:tcPr>
            <w:tcW w:w="760" w:type="dxa"/>
            <w:tcBorders>
              <w:top w:val="nil"/>
              <w:left w:val="nil"/>
              <w:bottom w:val="nil"/>
              <w:right w:val="nil"/>
            </w:tcBorders>
            <w:shd w:val="clear" w:color="auto" w:fill="auto"/>
            <w:noWrap/>
            <w:vAlign w:val="bottom"/>
            <w:hideMark/>
          </w:tcPr>
          <w:p w14:paraId="51380D41" w14:textId="77777777" w:rsidR="0073211E" w:rsidRPr="0073211E" w:rsidRDefault="0073211E" w:rsidP="0073211E">
            <w:pPr>
              <w:tabs>
                <w:tab w:val="clear" w:pos="567"/>
              </w:tabs>
              <w:spacing w:after="0" w:line="240" w:lineRule="auto"/>
              <w:jc w:val="right"/>
              <w:rPr>
                <w:rFonts w:ascii="Calibri" w:eastAsia="Times New Roman" w:hAnsi="Calibri" w:cs="Times New Roman"/>
                <w:sz w:val="20"/>
                <w:szCs w:val="20"/>
                <w:lang w:eastAsia="en-AU"/>
              </w:rPr>
            </w:pPr>
            <w:r w:rsidRPr="0073211E">
              <w:rPr>
                <w:rFonts w:ascii="Calibri" w:eastAsia="Times New Roman" w:hAnsi="Calibri" w:cs="Times New Roman"/>
                <w:sz w:val="20"/>
                <w:szCs w:val="20"/>
                <w:lang w:eastAsia="en-AU"/>
              </w:rPr>
              <w:t>1.687</w:t>
            </w:r>
          </w:p>
        </w:tc>
        <w:tc>
          <w:tcPr>
            <w:tcW w:w="860" w:type="dxa"/>
            <w:tcBorders>
              <w:top w:val="nil"/>
              <w:left w:val="nil"/>
              <w:bottom w:val="nil"/>
              <w:right w:val="nil"/>
            </w:tcBorders>
            <w:shd w:val="clear" w:color="auto" w:fill="auto"/>
            <w:noWrap/>
            <w:vAlign w:val="bottom"/>
            <w:hideMark/>
          </w:tcPr>
          <w:p w14:paraId="6E616235" w14:textId="77777777" w:rsidR="0073211E" w:rsidRPr="0073211E" w:rsidRDefault="0073211E" w:rsidP="0073211E">
            <w:pPr>
              <w:tabs>
                <w:tab w:val="clear" w:pos="567"/>
              </w:tabs>
              <w:spacing w:after="0" w:line="240" w:lineRule="auto"/>
              <w:jc w:val="right"/>
              <w:rPr>
                <w:rFonts w:ascii="Calibri" w:eastAsia="Times New Roman" w:hAnsi="Calibri" w:cs="Times New Roman"/>
                <w:sz w:val="20"/>
                <w:szCs w:val="20"/>
                <w:lang w:eastAsia="en-AU"/>
              </w:rPr>
            </w:pPr>
            <w:r w:rsidRPr="0073211E">
              <w:rPr>
                <w:rFonts w:ascii="Calibri" w:eastAsia="Times New Roman" w:hAnsi="Calibri" w:cs="Times New Roman"/>
                <w:sz w:val="20"/>
                <w:szCs w:val="20"/>
                <w:lang w:eastAsia="en-AU"/>
              </w:rPr>
              <w:t>0.000</w:t>
            </w:r>
          </w:p>
        </w:tc>
        <w:tc>
          <w:tcPr>
            <w:tcW w:w="860" w:type="dxa"/>
            <w:tcBorders>
              <w:top w:val="nil"/>
              <w:left w:val="nil"/>
              <w:bottom w:val="nil"/>
              <w:right w:val="nil"/>
            </w:tcBorders>
            <w:shd w:val="clear" w:color="auto" w:fill="auto"/>
            <w:noWrap/>
            <w:vAlign w:val="bottom"/>
            <w:hideMark/>
          </w:tcPr>
          <w:p w14:paraId="2901852A" w14:textId="77777777" w:rsidR="0073211E" w:rsidRPr="0073211E" w:rsidRDefault="0073211E" w:rsidP="0073211E">
            <w:pPr>
              <w:tabs>
                <w:tab w:val="clear" w:pos="567"/>
              </w:tabs>
              <w:spacing w:after="0" w:line="240" w:lineRule="auto"/>
              <w:jc w:val="right"/>
              <w:rPr>
                <w:rFonts w:ascii="Calibri" w:eastAsia="Times New Roman" w:hAnsi="Calibri" w:cs="Times New Roman"/>
                <w:sz w:val="20"/>
                <w:szCs w:val="20"/>
                <w:lang w:eastAsia="en-AU"/>
              </w:rPr>
            </w:pPr>
            <w:r w:rsidRPr="0073211E">
              <w:rPr>
                <w:rFonts w:ascii="Calibri" w:eastAsia="Times New Roman" w:hAnsi="Calibri" w:cs="Times New Roman"/>
                <w:sz w:val="20"/>
                <w:szCs w:val="20"/>
                <w:lang w:eastAsia="en-AU"/>
              </w:rPr>
              <w:t>0.000</w:t>
            </w:r>
          </w:p>
        </w:tc>
        <w:tc>
          <w:tcPr>
            <w:tcW w:w="780" w:type="dxa"/>
            <w:tcBorders>
              <w:top w:val="nil"/>
              <w:left w:val="nil"/>
              <w:bottom w:val="nil"/>
              <w:right w:val="nil"/>
            </w:tcBorders>
            <w:shd w:val="clear" w:color="auto" w:fill="auto"/>
            <w:noWrap/>
            <w:vAlign w:val="bottom"/>
            <w:hideMark/>
          </w:tcPr>
          <w:p w14:paraId="3A5E641D" w14:textId="77777777" w:rsidR="0073211E" w:rsidRPr="0073211E" w:rsidRDefault="0073211E" w:rsidP="0073211E">
            <w:pPr>
              <w:tabs>
                <w:tab w:val="clear" w:pos="567"/>
              </w:tabs>
              <w:spacing w:after="0" w:line="240" w:lineRule="auto"/>
              <w:jc w:val="right"/>
              <w:rPr>
                <w:rFonts w:ascii="Calibri" w:eastAsia="Times New Roman" w:hAnsi="Calibri" w:cs="Times New Roman"/>
                <w:sz w:val="20"/>
                <w:szCs w:val="20"/>
                <w:lang w:eastAsia="en-AU"/>
              </w:rPr>
            </w:pPr>
            <w:r w:rsidRPr="0073211E">
              <w:rPr>
                <w:rFonts w:ascii="Calibri" w:eastAsia="Times New Roman" w:hAnsi="Calibri" w:cs="Times New Roman"/>
                <w:sz w:val="20"/>
                <w:szCs w:val="20"/>
                <w:lang w:eastAsia="en-AU"/>
              </w:rPr>
              <w:t>3.679</w:t>
            </w:r>
          </w:p>
        </w:tc>
        <w:tc>
          <w:tcPr>
            <w:tcW w:w="1000" w:type="dxa"/>
            <w:tcBorders>
              <w:top w:val="nil"/>
              <w:left w:val="nil"/>
              <w:bottom w:val="nil"/>
              <w:right w:val="nil"/>
            </w:tcBorders>
            <w:shd w:val="clear" w:color="auto" w:fill="auto"/>
            <w:noWrap/>
            <w:vAlign w:val="bottom"/>
            <w:hideMark/>
          </w:tcPr>
          <w:p w14:paraId="52338DCB" w14:textId="77777777" w:rsidR="0073211E" w:rsidRPr="0073211E" w:rsidRDefault="0073211E" w:rsidP="0073211E">
            <w:pPr>
              <w:tabs>
                <w:tab w:val="clear" w:pos="567"/>
              </w:tabs>
              <w:spacing w:after="0" w:line="240" w:lineRule="auto"/>
              <w:jc w:val="right"/>
              <w:rPr>
                <w:rFonts w:ascii="Calibri" w:eastAsia="Times New Roman" w:hAnsi="Calibri" w:cs="Times New Roman"/>
                <w:sz w:val="20"/>
                <w:szCs w:val="20"/>
                <w:lang w:eastAsia="en-AU"/>
              </w:rPr>
            </w:pPr>
            <w:r w:rsidRPr="0073211E">
              <w:rPr>
                <w:rFonts w:ascii="Calibri" w:eastAsia="Times New Roman" w:hAnsi="Calibri" w:cs="Times New Roman"/>
                <w:sz w:val="20"/>
                <w:szCs w:val="20"/>
                <w:lang w:eastAsia="en-AU"/>
              </w:rPr>
              <w:t>1.000</w:t>
            </w:r>
          </w:p>
        </w:tc>
      </w:tr>
      <w:tr w:rsidR="0073211E" w:rsidRPr="0073211E" w14:paraId="5B952BDF" w14:textId="77777777" w:rsidTr="0073211E">
        <w:trPr>
          <w:trHeight w:val="315"/>
        </w:trPr>
        <w:tc>
          <w:tcPr>
            <w:tcW w:w="1240" w:type="dxa"/>
            <w:tcBorders>
              <w:top w:val="nil"/>
              <w:left w:val="nil"/>
              <w:bottom w:val="single" w:sz="4" w:space="0" w:color="auto"/>
              <w:right w:val="nil"/>
            </w:tcBorders>
            <w:shd w:val="clear" w:color="auto" w:fill="auto"/>
            <w:noWrap/>
            <w:vAlign w:val="bottom"/>
            <w:hideMark/>
          </w:tcPr>
          <w:p w14:paraId="3158E16D" w14:textId="77777777" w:rsidR="0073211E" w:rsidRPr="0073211E" w:rsidRDefault="0073211E" w:rsidP="0073211E">
            <w:pPr>
              <w:tabs>
                <w:tab w:val="clear" w:pos="567"/>
              </w:tabs>
              <w:spacing w:after="0" w:line="240" w:lineRule="auto"/>
              <w:rPr>
                <w:rFonts w:ascii="Calibri" w:eastAsia="Times New Roman" w:hAnsi="Calibri" w:cs="Times New Roman"/>
                <w:sz w:val="20"/>
                <w:szCs w:val="20"/>
                <w:lang w:eastAsia="en-AU"/>
              </w:rPr>
            </w:pPr>
            <w:r w:rsidRPr="0073211E">
              <w:rPr>
                <w:rFonts w:ascii="Calibri" w:eastAsia="Times New Roman" w:hAnsi="Calibri" w:cs="Times New Roman"/>
                <w:sz w:val="20"/>
                <w:szCs w:val="20"/>
                <w:lang w:eastAsia="en-AU"/>
              </w:rPr>
              <w:t>2016-17</w:t>
            </w:r>
          </w:p>
        </w:tc>
        <w:tc>
          <w:tcPr>
            <w:tcW w:w="960" w:type="dxa"/>
            <w:tcBorders>
              <w:top w:val="nil"/>
              <w:left w:val="nil"/>
              <w:bottom w:val="single" w:sz="4" w:space="0" w:color="auto"/>
              <w:right w:val="nil"/>
            </w:tcBorders>
            <w:shd w:val="clear" w:color="auto" w:fill="auto"/>
            <w:noWrap/>
            <w:vAlign w:val="bottom"/>
            <w:hideMark/>
          </w:tcPr>
          <w:p w14:paraId="39CCDF8D" w14:textId="77777777" w:rsidR="0073211E" w:rsidRPr="0073211E" w:rsidRDefault="0073211E" w:rsidP="0073211E">
            <w:pPr>
              <w:tabs>
                <w:tab w:val="clear" w:pos="567"/>
              </w:tabs>
              <w:spacing w:after="0" w:line="240" w:lineRule="auto"/>
              <w:jc w:val="right"/>
              <w:rPr>
                <w:rFonts w:ascii="Calibri" w:eastAsia="Times New Roman" w:hAnsi="Calibri" w:cs="Times New Roman"/>
                <w:sz w:val="20"/>
                <w:szCs w:val="20"/>
                <w:lang w:eastAsia="en-AU"/>
              </w:rPr>
            </w:pPr>
            <w:r w:rsidRPr="0073211E">
              <w:rPr>
                <w:rFonts w:ascii="Calibri" w:eastAsia="Times New Roman" w:hAnsi="Calibri" w:cs="Times New Roman"/>
                <w:sz w:val="20"/>
                <w:szCs w:val="20"/>
                <w:lang w:eastAsia="en-AU"/>
              </w:rPr>
              <w:t>0.222</w:t>
            </w:r>
          </w:p>
        </w:tc>
        <w:tc>
          <w:tcPr>
            <w:tcW w:w="820" w:type="dxa"/>
            <w:tcBorders>
              <w:top w:val="nil"/>
              <w:left w:val="nil"/>
              <w:bottom w:val="single" w:sz="4" w:space="0" w:color="auto"/>
              <w:right w:val="nil"/>
            </w:tcBorders>
            <w:shd w:val="clear" w:color="auto" w:fill="auto"/>
            <w:noWrap/>
            <w:vAlign w:val="bottom"/>
            <w:hideMark/>
          </w:tcPr>
          <w:p w14:paraId="03A8EC9B" w14:textId="77777777" w:rsidR="0073211E" w:rsidRPr="0073211E" w:rsidRDefault="0073211E" w:rsidP="0073211E">
            <w:pPr>
              <w:tabs>
                <w:tab w:val="clear" w:pos="567"/>
              </w:tabs>
              <w:spacing w:after="0" w:line="240" w:lineRule="auto"/>
              <w:jc w:val="right"/>
              <w:rPr>
                <w:rFonts w:ascii="Calibri" w:eastAsia="Times New Roman" w:hAnsi="Calibri" w:cs="Times New Roman"/>
                <w:sz w:val="20"/>
                <w:szCs w:val="20"/>
                <w:lang w:eastAsia="en-AU"/>
              </w:rPr>
            </w:pPr>
            <w:r w:rsidRPr="0073211E">
              <w:rPr>
                <w:rFonts w:ascii="Calibri" w:eastAsia="Times New Roman" w:hAnsi="Calibri" w:cs="Times New Roman"/>
                <w:sz w:val="20"/>
                <w:szCs w:val="20"/>
                <w:lang w:eastAsia="en-AU"/>
              </w:rPr>
              <w:t>0.235</w:t>
            </w:r>
          </w:p>
        </w:tc>
        <w:tc>
          <w:tcPr>
            <w:tcW w:w="860" w:type="dxa"/>
            <w:tcBorders>
              <w:top w:val="nil"/>
              <w:left w:val="nil"/>
              <w:bottom w:val="single" w:sz="4" w:space="0" w:color="auto"/>
              <w:right w:val="nil"/>
            </w:tcBorders>
            <w:shd w:val="clear" w:color="auto" w:fill="auto"/>
            <w:noWrap/>
            <w:vAlign w:val="bottom"/>
            <w:hideMark/>
          </w:tcPr>
          <w:p w14:paraId="0289BB9F" w14:textId="77777777" w:rsidR="0073211E" w:rsidRPr="0073211E" w:rsidRDefault="0073211E" w:rsidP="0073211E">
            <w:pPr>
              <w:tabs>
                <w:tab w:val="clear" w:pos="567"/>
              </w:tabs>
              <w:spacing w:after="0" w:line="240" w:lineRule="auto"/>
              <w:jc w:val="right"/>
              <w:rPr>
                <w:rFonts w:ascii="Calibri" w:eastAsia="Times New Roman" w:hAnsi="Calibri" w:cs="Times New Roman"/>
                <w:sz w:val="20"/>
                <w:szCs w:val="20"/>
                <w:lang w:eastAsia="en-AU"/>
              </w:rPr>
            </w:pPr>
            <w:r w:rsidRPr="0073211E">
              <w:rPr>
                <w:rFonts w:ascii="Calibri" w:eastAsia="Times New Roman" w:hAnsi="Calibri" w:cs="Times New Roman"/>
                <w:sz w:val="20"/>
                <w:szCs w:val="20"/>
                <w:lang w:eastAsia="en-AU"/>
              </w:rPr>
              <w:t>1.657</w:t>
            </w:r>
          </w:p>
        </w:tc>
        <w:tc>
          <w:tcPr>
            <w:tcW w:w="860" w:type="dxa"/>
            <w:tcBorders>
              <w:top w:val="nil"/>
              <w:left w:val="nil"/>
              <w:bottom w:val="single" w:sz="4" w:space="0" w:color="auto"/>
              <w:right w:val="nil"/>
            </w:tcBorders>
            <w:shd w:val="clear" w:color="auto" w:fill="auto"/>
            <w:noWrap/>
            <w:vAlign w:val="bottom"/>
            <w:hideMark/>
          </w:tcPr>
          <w:p w14:paraId="78EF76E9" w14:textId="77777777" w:rsidR="0073211E" w:rsidRPr="0073211E" w:rsidRDefault="0073211E" w:rsidP="0073211E">
            <w:pPr>
              <w:tabs>
                <w:tab w:val="clear" w:pos="567"/>
              </w:tabs>
              <w:spacing w:after="0" w:line="240" w:lineRule="auto"/>
              <w:jc w:val="right"/>
              <w:rPr>
                <w:rFonts w:ascii="Calibri" w:eastAsia="Times New Roman" w:hAnsi="Calibri" w:cs="Times New Roman"/>
                <w:sz w:val="20"/>
                <w:szCs w:val="20"/>
                <w:lang w:eastAsia="en-AU"/>
              </w:rPr>
            </w:pPr>
            <w:r w:rsidRPr="0073211E">
              <w:rPr>
                <w:rFonts w:ascii="Calibri" w:eastAsia="Times New Roman" w:hAnsi="Calibri" w:cs="Times New Roman"/>
                <w:sz w:val="20"/>
                <w:szCs w:val="20"/>
                <w:lang w:eastAsia="en-AU"/>
              </w:rPr>
              <w:t>4.376</w:t>
            </w:r>
          </w:p>
        </w:tc>
        <w:tc>
          <w:tcPr>
            <w:tcW w:w="760" w:type="dxa"/>
            <w:tcBorders>
              <w:top w:val="nil"/>
              <w:left w:val="nil"/>
              <w:bottom w:val="single" w:sz="4" w:space="0" w:color="auto"/>
              <w:right w:val="nil"/>
            </w:tcBorders>
            <w:shd w:val="clear" w:color="auto" w:fill="auto"/>
            <w:noWrap/>
            <w:vAlign w:val="bottom"/>
            <w:hideMark/>
          </w:tcPr>
          <w:p w14:paraId="15B1B2AC" w14:textId="77777777" w:rsidR="0073211E" w:rsidRPr="0073211E" w:rsidRDefault="0073211E" w:rsidP="0073211E">
            <w:pPr>
              <w:tabs>
                <w:tab w:val="clear" w:pos="567"/>
              </w:tabs>
              <w:spacing w:after="0" w:line="240" w:lineRule="auto"/>
              <w:jc w:val="right"/>
              <w:rPr>
                <w:rFonts w:ascii="Calibri" w:eastAsia="Times New Roman" w:hAnsi="Calibri" w:cs="Times New Roman"/>
                <w:sz w:val="20"/>
                <w:szCs w:val="20"/>
                <w:lang w:eastAsia="en-AU"/>
              </w:rPr>
            </w:pPr>
            <w:r w:rsidRPr="0073211E">
              <w:rPr>
                <w:rFonts w:ascii="Calibri" w:eastAsia="Times New Roman" w:hAnsi="Calibri" w:cs="Times New Roman"/>
                <w:sz w:val="20"/>
                <w:szCs w:val="20"/>
                <w:lang w:eastAsia="en-AU"/>
              </w:rPr>
              <w:t>0.732</w:t>
            </w:r>
          </w:p>
        </w:tc>
        <w:tc>
          <w:tcPr>
            <w:tcW w:w="860" w:type="dxa"/>
            <w:tcBorders>
              <w:top w:val="nil"/>
              <w:left w:val="nil"/>
              <w:bottom w:val="single" w:sz="4" w:space="0" w:color="auto"/>
              <w:right w:val="nil"/>
            </w:tcBorders>
            <w:shd w:val="clear" w:color="auto" w:fill="auto"/>
            <w:noWrap/>
            <w:vAlign w:val="bottom"/>
            <w:hideMark/>
          </w:tcPr>
          <w:p w14:paraId="5D203BC9" w14:textId="77777777" w:rsidR="0073211E" w:rsidRPr="0073211E" w:rsidRDefault="0073211E" w:rsidP="0073211E">
            <w:pPr>
              <w:tabs>
                <w:tab w:val="clear" w:pos="567"/>
              </w:tabs>
              <w:spacing w:after="0" w:line="240" w:lineRule="auto"/>
              <w:jc w:val="right"/>
              <w:rPr>
                <w:rFonts w:ascii="Calibri" w:eastAsia="Times New Roman" w:hAnsi="Calibri" w:cs="Times New Roman"/>
                <w:sz w:val="20"/>
                <w:szCs w:val="20"/>
                <w:lang w:eastAsia="en-AU"/>
              </w:rPr>
            </w:pPr>
            <w:r w:rsidRPr="0073211E">
              <w:rPr>
                <w:rFonts w:ascii="Calibri" w:eastAsia="Times New Roman" w:hAnsi="Calibri" w:cs="Times New Roman"/>
                <w:sz w:val="20"/>
                <w:szCs w:val="20"/>
                <w:lang w:eastAsia="en-AU"/>
              </w:rPr>
              <w:t>0.000</w:t>
            </w:r>
          </w:p>
        </w:tc>
        <w:tc>
          <w:tcPr>
            <w:tcW w:w="860" w:type="dxa"/>
            <w:tcBorders>
              <w:top w:val="nil"/>
              <w:left w:val="nil"/>
              <w:bottom w:val="single" w:sz="4" w:space="0" w:color="auto"/>
              <w:right w:val="nil"/>
            </w:tcBorders>
            <w:shd w:val="clear" w:color="auto" w:fill="auto"/>
            <w:noWrap/>
            <w:vAlign w:val="bottom"/>
            <w:hideMark/>
          </w:tcPr>
          <w:p w14:paraId="38A27CEA" w14:textId="77777777" w:rsidR="0073211E" w:rsidRPr="0073211E" w:rsidRDefault="0073211E" w:rsidP="0073211E">
            <w:pPr>
              <w:tabs>
                <w:tab w:val="clear" w:pos="567"/>
              </w:tabs>
              <w:spacing w:after="0" w:line="240" w:lineRule="auto"/>
              <w:jc w:val="right"/>
              <w:rPr>
                <w:rFonts w:ascii="Calibri" w:eastAsia="Times New Roman" w:hAnsi="Calibri" w:cs="Times New Roman"/>
                <w:sz w:val="20"/>
                <w:szCs w:val="20"/>
                <w:lang w:eastAsia="en-AU"/>
              </w:rPr>
            </w:pPr>
            <w:r w:rsidRPr="0073211E">
              <w:rPr>
                <w:rFonts w:ascii="Calibri" w:eastAsia="Times New Roman" w:hAnsi="Calibri" w:cs="Times New Roman"/>
                <w:sz w:val="20"/>
                <w:szCs w:val="20"/>
                <w:lang w:eastAsia="en-AU"/>
              </w:rPr>
              <w:t>0.000</w:t>
            </w:r>
          </w:p>
        </w:tc>
        <w:tc>
          <w:tcPr>
            <w:tcW w:w="780" w:type="dxa"/>
            <w:tcBorders>
              <w:top w:val="nil"/>
              <w:left w:val="nil"/>
              <w:bottom w:val="single" w:sz="4" w:space="0" w:color="auto"/>
              <w:right w:val="nil"/>
            </w:tcBorders>
            <w:shd w:val="clear" w:color="auto" w:fill="auto"/>
            <w:noWrap/>
            <w:vAlign w:val="bottom"/>
            <w:hideMark/>
          </w:tcPr>
          <w:p w14:paraId="4C9EF041" w14:textId="77777777" w:rsidR="0073211E" w:rsidRPr="0073211E" w:rsidRDefault="0073211E" w:rsidP="0073211E">
            <w:pPr>
              <w:tabs>
                <w:tab w:val="clear" w:pos="567"/>
              </w:tabs>
              <w:spacing w:after="0" w:line="240" w:lineRule="auto"/>
              <w:jc w:val="right"/>
              <w:rPr>
                <w:rFonts w:ascii="Calibri" w:eastAsia="Times New Roman" w:hAnsi="Calibri" w:cs="Times New Roman"/>
                <w:sz w:val="20"/>
                <w:szCs w:val="20"/>
                <w:lang w:eastAsia="en-AU"/>
              </w:rPr>
            </w:pPr>
            <w:r w:rsidRPr="0073211E">
              <w:rPr>
                <w:rFonts w:ascii="Calibri" w:eastAsia="Times New Roman" w:hAnsi="Calibri" w:cs="Times New Roman"/>
                <w:sz w:val="20"/>
                <w:szCs w:val="20"/>
                <w:lang w:eastAsia="en-AU"/>
              </w:rPr>
              <w:t>2.440</w:t>
            </w:r>
          </w:p>
        </w:tc>
        <w:tc>
          <w:tcPr>
            <w:tcW w:w="1000" w:type="dxa"/>
            <w:tcBorders>
              <w:top w:val="nil"/>
              <w:left w:val="nil"/>
              <w:bottom w:val="single" w:sz="4" w:space="0" w:color="auto"/>
              <w:right w:val="nil"/>
            </w:tcBorders>
            <w:shd w:val="clear" w:color="auto" w:fill="auto"/>
            <w:noWrap/>
            <w:vAlign w:val="bottom"/>
            <w:hideMark/>
          </w:tcPr>
          <w:p w14:paraId="0873BFE3" w14:textId="77777777" w:rsidR="0073211E" w:rsidRPr="0073211E" w:rsidRDefault="0073211E" w:rsidP="0073211E">
            <w:pPr>
              <w:tabs>
                <w:tab w:val="clear" w:pos="567"/>
              </w:tabs>
              <w:spacing w:after="0" w:line="240" w:lineRule="auto"/>
              <w:jc w:val="right"/>
              <w:rPr>
                <w:rFonts w:ascii="Calibri" w:eastAsia="Times New Roman" w:hAnsi="Calibri" w:cs="Times New Roman"/>
                <w:sz w:val="20"/>
                <w:szCs w:val="20"/>
                <w:lang w:eastAsia="en-AU"/>
              </w:rPr>
            </w:pPr>
            <w:r w:rsidRPr="0073211E">
              <w:rPr>
                <w:rFonts w:ascii="Calibri" w:eastAsia="Times New Roman" w:hAnsi="Calibri" w:cs="Times New Roman"/>
                <w:sz w:val="20"/>
                <w:szCs w:val="20"/>
                <w:lang w:eastAsia="en-AU"/>
              </w:rPr>
              <w:t>1.000</w:t>
            </w:r>
          </w:p>
        </w:tc>
      </w:tr>
    </w:tbl>
    <w:p w14:paraId="53CBAD25" w14:textId="7690382A" w:rsidR="00C23AC3" w:rsidRDefault="00C23AC3" w:rsidP="00C23AC3">
      <w:pPr>
        <w:pStyle w:val="CGCTableFootnote"/>
      </w:pPr>
      <w:r>
        <w:t>Source:</w:t>
      </w:r>
      <w:r>
        <w:tab/>
        <w:t>201</w:t>
      </w:r>
      <w:r w:rsidR="0073211E">
        <w:t>8</w:t>
      </w:r>
      <w:r>
        <w:t xml:space="preserve"> Update.</w:t>
      </w:r>
    </w:p>
    <w:p w14:paraId="47BE33CA" w14:textId="05FC89BF" w:rsidR="00C23AC3" w:rsidRPr="004069F3" w:rsidRDefault="00935C37" w:rsidP="00C23AC3">
      <w:pPr>
        <w:pStyle w:val="CGCNumberedPara"/>
        <w:numPr>
          <w:ilvl w:val="1"/>
          <w:numId w:val="3"/>
        </w:numPr>
      </w:pPr>
      <w:r w:rsidRPr="004069F3">
        <w:t xml:space="preserve">Alternatively, land rights expenses could be assessed using one of the options discussed in the native title section. </w:t>
      </w:r>
    </w:p>
    <w:p w14:paraId="443D2A4B" w14:textId="3E7D139D" w:rsidR="00935C37" w:rsidRPr="004069F3" w:rsidRDefault="00935C37" w:rsidP="00C23AC3">
      <w:pPr>
        <w:pStyle w:val="CGCBulletlist"/>
        <w:numPr>
          <w:ilvl w:val="1"/>
          <w:numId w:val="3"/>
        </w:numPr>
        <w:rPr>
          <w:rStyle w:val="Heading6Char"/>
          <w:rFonts w:eastAsiaTheme="minorHAnsi" w:cstheme="minorBidi"/>
          <w:b w:val="0"/>
          <w:i w:val="0"/>
          <w:iCs w:val="0"/>
          <w:color w:val="auto"/>
          <w:sz w:val="24"/>
        </w:rPr>
      </w:pPr>
      <w:r w:rsidRPr="004069F3">
        <w:rPr>
          <w:rStyle w:val="Heading6Char"/>
          <w:rFonts w:eastAsiaTheme="minorHAnsi" w:cstheme="minorBidi"/>
          <w:b w:val="0"/>
          <w:i w:val="0"/>
          <w:iCs w:val="0"/>
          <w:color w:val="auto"/>
          <w:sz w:val="24"/>
        </w:rPr>
        <w:t xml:space="preserve">Staff seek State views on the assessment of </w:t>
      </w:r>
      <w:r w:rsidR="00E95A6A" w:rsidRPr="004069F3">
        <w:rPr>
          <w:rStyle w:val="Heading6Char"/>
          <w:rFonts w:eastAsiaTheme="minorHAnsi" w:cstheme="minorBidi"/>
          <w:b w:val="0"/>
          <w:i w:val="0"/>
          <w:iCs w:val="0"/>
          <w:color w:val="auto"/>
          <w:sz w:val="24"/>
        </w:rPr>
        <w:t>land rights expenses</w:t>
      </w:r>
      <w:r w:rsidRPr="004069F3">
        <w:rPr>
          <w:rStyle w:val="Heading6Char"/>
          <w:rFonts w:eastAsiaTheme="minorHAnsi" w:cstheme="minorBidi"/>
          <w:b w:val="0"/>
          <w:i w:val="0"/>
          <w:iCs w:val="0"/>
          <w:color w:val="auto"/>
          <w:sz w:val="24"/>
        </w:rPr>
        <w:t xml:space="preserve"> for the 2020 Review.</w:t>
      </w:r>
    </w:p>
    <w:tbl>
      <w:tblPr>
        <w:tblW w:w="0" w:type="auto"/>
        <w:shd w:val="clear" w:color="auto" w:fill="D9F3E6"/>
        <w:tblLayout w:type="fixed"/>
        <w:tblLook w:val="0000" w:firstRow="0" w:lastRow="0" w:firstColumn="0" w:lastColumn="0" w:noHBand="0" w:noVBand="0"/>
      </w:tblPr>
      <w:tblGrid>
        <w:gridCol w:w="9167"/>
      </w:tblGrid>
      <w:tr w:rsidR="00C23AC3" w:rsidRPr="004069F3" w14:paraId="4ABE57D2" w14:textId="77777777" w:rsidTr="008D7815">
        <w:tc>
          <w:tcPr>
            <w:tcW w:w="9167" w:type="dxa"/>
            <w:shd w:val="clear" w:color="auto" w:fill="D9F3E6"/>
          </w:tcPr>
          <w:p w14:paraId="66D5B3EF" w14:textId="77777777" w:rsidR="00C23AC3" w:rsidRPr="004069F3" w:rsidRDefault="00C23AC3" w:rsidP="008D7815">
            <w:r w:rsidRPr="004069F3">
              <w:t>Staff propose to recommend the Commission:</w:t>
            </w:r>
          </w:p>
          <w:p w14:paraId="4528D69E" w14:textId="41EA834F" w:rsidR="00C23AC3" w:rsidRPr="004069F3" w:rsidRDefault="002A4135" w:rsidP="00F90BFF">
            <w:pPr>
              <w:pStyle w:val="CGCBulletlist"/>
            </w:pPr>
            <w:r>
              <w:t>decide on whether land rights expenses should be assessed for all States and</w:t>
            </w:r>
            <w:r w:rsidR="00F90BFF">
              <w:t>, if so,</w:t>
            </w:r>
            <w:r>
              <w:t xml:space="preserve"> how</w:t>
            </w:r>
            <w:r w:rsidR="00F90BFF">
              <w:t>,</w:t>
            </w:r>
            <w:r>
              <w:t xml:space="preserve"> after </w:t>
            </w:r>
            <w:r w:rsidR="00F90BFF">
              <w:t>col</w:t>
            </w:r>
            <w:r w:rsidR="00DD4CF3" w:rsidRPr="004069F3">
              <w:t>lect</w:t>
            </w:r>
            <w:r w:rsidR="00F90BFF">
              <w:t>ing</w:t>
            </w:r>
            <w:r w:rsidR="00DD4CF3" w:rsidRPr="004069F3">
              <w:t xml:space="preserve"> State expenses on land rights</w:t>
            </w:r>
            <w:r w:rsidR="00F90BFF">
              <w:t>.</w:t>
            </w:r>
          </w:p>
        </w:tc>
      </w:tr>
    </w:tbl>
    <w:p w14:paraId="033BE6C3" w14:textId="77777777" w:rsidR="00C23AC3" w:rsidRPr="004069F3" w:rsidRDefault="00C23AC3" w:rsidP="003624A7">
      <w:pPr>
        <w:pStyle w:val="Heading3"/>
      </w:pPr>
      <w:bookmarkStart w:id="256" w:name="_Toc511048333"/>
      <w:bookmarkStart w:id="257" w:name="_Toc511048435"/>
      <w:bookmarkStart w:id="258" w:name="_Toc511048473"/>
      <w:bookmarkStart w:id="259" w:name="_Toc511048508"/>
      <w:bookmarkStart w:id="260" w:name="_Toc511398685"/>
      <w:bookmarkStart w:id="261" w:name="_Toc511398729"/>
      <w:bookmarkStart w:id="262" w:name="_Toc511892551"/>
      <w:r w:rsidRPr="004069F3">
        <w:t>Conclusion and way forward</w:t>
      </w:r>
      <w:bookmarkEnd w:id="256"/>
      <w:bookmarkEnd w:id="257"/>
      <w:bookmarkEnd w:id="258"/>
      <w:bookmarkEnd w:id="259"/>
      <w:bookmarkEnd w:id="260"/>
      <w:bookmarkEnd w:id="261"/>
      <w:bookmarkEnd w:id="262"/>
    </w:p>
    <w:p w14:paraId="3AED02BC" w14:textId="7BF64FA6" w:rsidR="00ED0D94" w:rsidRPr="004069F3" w:rsidRDefault="00C23AC3" w:rsidP="00C23AC3">
      <w:pPr>
        <w:pStyle w:val="CGCNumberedPara"/>
        <w:numPr>
          <w:ilvl w:val="1"/>
          <w:numId w:val="3"/>
        </w:numPr>
      </w:pPr>
      <w:r w:rsidRPr="004069F3">
        <w:t xml:space="preserve">Staff propose to retain the APC assessment of native title expenses for the 2020 Review. </w:t>
      </w:r>
      <w:r w:rsidR="00ED0D94" w:rsidRPr="004069F3">
        <w:t xml:space="preserve">We intend to collect State expenses on land rights to </w:t>
      </w:r>
      <w:r w:rsidR="00E95A6A" w:rsidRPr="004069F3">
        <w:t>investigate</w:t>
      </w:r>
      <w:r w:rsidR="00ED0D94" w:rsidRPr="004069F3">
        <w:t xml:space="preserve"> whether an </w:t>
      </w:r>
      <w:r w:rsidR="006412BE" w:rsidRPr="004069F3">
        <w:t>all-State</w:t>
      </w:r>
      <w:r w:rsidR="00ED0D94" w:rsidRPr="004069F3">
        <w:t xml:space="preserve"> assessment of land rights is warranted. </w:t>
      </w:r>
    </w:p>
    <w:p w14:paraId="1130F015" w14:textId="042D9DF0" w:rsidR="00C23AC3" w:rsidRPr="004069F3" w:rsidRDefault="006412BE" w:rsidP="00DD4CF3">
      <w:pPr>
        <w:pStyle w:val="CGCNumberedPara"/>
        <w:numPr>
          <w:ilvl w:val="1"/>
          <w:numId w:val="3"/>
        </w:numPr>
      </w:pPr>
      <w:r w:rsidRPr="004069F3">
        <w:t>Staff</w:t>
      </w:r>
      <w:r w:rsidR="000846BF">
        <w:t xml:space="preserve"> seek State</w:t>
      </w:r>
      <w:r w:rsidR="00ED0D94" w:rsidRPr="004069F3">
        <w:t xml:space="preserve"> views on alternative assessment methods that would </w:t>
      </w:r>
      <w:r w:rsidR="004069F3" w:rsidRPr="004069F3">
        <w:t xml:space="preserve">reduce or </w:t>
      </w:r>
      <w:r w:rsidR="00ED0D94" w:rsidRPr="004069F3">
        <w:t>re</w:t>
      </w:r>
      <w:r w:rsidR="00E95A6A" w:rsidRPr="004069F3">
        <w:t>move</w:t>
      </w:r>
      <w:r w:rsidR="00ED0D94" w:rsidRPr="004069F3">
        <w:t xml:space="preserve"> the need </w:t>
      </w:r>
      <w:r w:rsidR="004069F3" w:rsidRPr="004069F3">
        <w:t>to</w:t>
      </w:r>
      <w:r w:rsidR="00ED0D94" w:rsidRPr="004069F3">
        <w:t xml:space="preserve"> collect expenses on native title and light </w:t>
      </w:r>
      <w:r w:rsidRPr="004069F3">
        <w:t xml:space="preserve">rights </w:t>
      </w:r>
      <w:r w:rsidR="00ED0D94" w:rsidRPr="004069F3">
        <w:t>annually.</w:t>
      </w:r>
      <w:r w:rsidR="00E95A6A" w:rsidRPr="004069F3">
        <w:t xml:space="preserve"> </w:t>
      </w:r>
      <w:r w:rsidR="00C23AC3" w:rsidRPr="004069F3">
        <w:t xml:space="preserve">We </w:t>
      </w:r>
      <w:r w:rsidR="00E95A6A" w:rsidRPr="004069F3">
        <w:t xml:space="preserve">also </w:t>
      </w:r>
      <w:r w:rsidR="00C23AC3" w:rsidRPr="004069F3">
        <w:t xml:space="preserve">seek State views on an appropriate measure for assessing land </w:t>
      </w:r>
      <w:proofErr w:type="spellStart"/>
      <w:r w:rsidR="00C23AC3" w:rsidRPr="004069F3">
        <w:t>rights</w:t>
      </w:r>
      <w:proofErr w:type="spellEnd"/>
      <w:r w:rsidR="00C23AC3" w:rsidRPr="004069F3">
        <w:t xml:space="preserve"> needs.</w:t>
      </w:r>
    </w:p>
    <w:p w14:paraId="7D542391" w14:textId="57DC98AF" w:rsidR="00C23AC3" w:rsidRPr="004069F3" w:rsidRDefault="00C23AC3" w:rsidP="003624A7">
      <w:pPr>
        <w:pStyle w:val="Heading4"/>
      </w:pPr>
      <w:bookmarkStart w:id="263" w:name="_Toc511399129"/>
      <w:bookmarkStart w:id="264" w:name="_Toc511823946"/>
      <w:bookmarkStart w:id="265" w:name="_Toc511892423"/>
      <w:bookmarkStart w:id="266" w:name="_Toc511892552"/>
      <w:r w:rsidRPr="004069F3">
        <w:t xml:space="preserve">Proposed assessment </w:t>
      </w:r>
      <w:r w:rsidR="003624A7" w:rsidRPr="004069F3">
        <w:t>structure</w:t>
      </w:r>
      <w:bookmarkEnd w:id="263"/>
      <w:bookmarkEnd w:id="264"/>
      <w:bookmarkEnd w:id="265"/>
      <w:bookmarkEnd w:id="266"/>
    </w:p>
    <w:p w14:paraId="1FE57DF2" w14:textId="77777777" w:rsidR="00C23AC3" w:rsidRPr="004069F3" w:rsidRDefault="00C23AC3" w:rsidP="00C23AC3">
      <w:pPr>
        <w:pStyle w:val="CGCNumberedPara"/>
        <w:numPr>
          <w:ilvl w:val="1"/>
          <w:numId w:val="3"/>
        </w:numPr>
      </w:pPr>
      <w:r w:rsidRPr="004069F3">
        <w:t>Staff propose the following assessment of native title and land rights for the 2020 Review. Staff intend to continue to assess these expenses as a separate component in the Other expenses category.</w:t>
      </w:r>
    </w:p>
    <w:p w14:paraId="421D6197" w14:textId="724DE932" w:rsidR="00C23AC3" w:rsidRPr="004069F3" w:rsidRDefault="00C23AC3" w:rsidP="00C23AC3">
      <w:pPr>
        <w:pStyle w:val="CGCTableHeading"/>
      </w:pPr>
      <w:r w:rsidRPr="004069F3">
        <w:t xml:space="preserve">Table </w:t>
      </w:r>
      <w:fldSimple w:instr=" SEQ Table \* ARABIC ">
        <w:r w:rsidR="00C40664">
          <w:rPr>
            <w:noProof/>
          </w:rPr>
          <w:t>13</w:t>
        </w:r>
      </w:fldSimple>
      <w:r w:rsidRPr="004069F3">
        <w:tab/>
        <w:t>Proposed Native title and land rights assessment</w:t>
      </w:r>
    </w:p>
    <w:tbl>
      <w:tblPr>
        <w:tblW w:w="8940" w:type="dxa"/>
        <w:tblInd w:w="93" w:type="dxa"/>
        <w:tblLook w:val="04A0" w:firstRow="1" w:lastRow="0" w:firstColumn="1" w:lastColumn="0" w:noHBand="0" w:noVBand="1"/>
      </w:tblPr>
      <w:tblGrid>
        <w:gridCol w:w="2000"/>
        <w:gridCol w:w="6940"/>
      </w:tblGrid>
      <w:tr w:rsidR="003624A7" w:rsidRPr="004069F3" w14:paraId="55B089BA" w14:textId="77777777" w:rsidTr="003624A7">
        <w:trPr>
          <w:trHeight w:val="375"/>
        </w:trPr>
        <w:tc>
          <w:tcPr>
            <w:tcW w:w="2000" w:type="dxa"/>
            <w:tcBorders>
              <w:top w:val="single" w:sz="4" w:space="0" w:color="auto"/>
              <w:left w:val="nil"/>
              <w:bottom w:val="single" w:sz="4" w:space="0" w:color="auto"/>
              <w:right w:val="nil"/>
            </w:tcBorders>
            <w:shd w:val="clear" w:color="auto" w:fill="auto"/>
            <w:vAlign w:val="center"/>
            <w:hideMark/>
          </w:tcPr>
          <w:p w14:paraId="431A867A" w14:textId="77777777" w:rsidR="003624A7" w:rsidRPr="004069F3" w:rsidRDefault="003624A7" w:rsidP="003624A7">
            <w:pPr>
              <w:tabs>
                <w:tab w:val="clear" w:pos="567"/>
              </w:tabs>
              <w:spacing w:after="0" w:line="240" w:lineRule="auto"/>
              <w:rPr>
                <w:rFonts w:ascii="Calibri" w:eastAsia="Times New Roman" w:hAnsi="Calibri" w:cs="Times New Roman"/>
                <w:color w:val="000000"/>
                <w:sz w:val="20"/>
                <w:szCs w:val="20"/>
                <w:lang w:eastAsia="en-AU"/>
              </w:rPr>
            </w:pPr>
            <w:bookmarkStart w:id="267" w:name="RANGE!A1:B3"/>
            <w:r w:rsidRPr="004069F3">
              <w:rPr>
                <w:rFonts w:ascii="Calibri" w:eastAsia="Times New Roman" w:hAnsi="Calibri" w:cstheme="minorHAnsi"/>
                <w:color w:val="000000"/>
                <w:sz w:val="20"/>
                <w:szCs w:val="20"/>
                <w:lang w:eastAsia="en-AU"/>
              </w:rPr>
              <w:t>Component</w:t>
            </w:r>
            <w:bookmarkEnd w:id="267"/>
          </w:p>
        </w:tc>
        <w:tc>
          <w:tcPr>
            <w:tcW w:w="6940" w:type="dxa"/>
            <w:tcBorders>
              <w:top w:val="single" w:sz="4" w:space="0" w:color="auto"/>
              <w:left w:val="nil"/>
              <w:bottom w:val="single" w:sz="4" w:space="0" w:color="auto"/>
              <w:right w:val="nil"/>
            </w:tcBorders>
            <w:shd w:val="clear" w:color="auto" w:fill="auto"/>
            <w:vAlign w:val="center"/>
            <w:hideMark/>
          </w:tcPr>
          <w:p w14:paraId="6BA5E0DE" w14:textId="77777777" w:rsidR="003624A7" w:rsidRPr="004069F3" w:rsidRDefault="003624A7" w:rsidP="003624A7">
            <w:pPr>
              <w:tabs>
                <w:tab w:val="clear" w:pos="567"/>
              </w:tabs>
              <w:spacing w:after="0" w:line="240" w:lineRule="auto"/>
              <w:rPr>
                <w:rFonts w:ascii="Calibri" w:eastAsia="Times New Roman" w:hAnsi="Calibri" w:cs="Times New Roman"/>
                <w:color w:val="000000"/>
                <w:sz w:val="20"/>
                <w:szCs w:val="20"/>
                <w:lang w:eastAsia="en-AU"/>
              </w:rPr>
            </w:pPr>
            <w:r w:rsidRPr="004069F3">
              <w:rPr>
                <w:rFonts w:ascii="Calibri" w:eastAsia="Times New Roman" w:hAnsi="Calibri" w:cstheme="minorHAnsi"/>
                <w:color w:val="000000"/>
                <w:sz w:val="20"/>
                <w:szCs w:val="20"/>
                <w:lang w:eastAsia="en-AU"/>
              </w:rPr>
              <w:t>Influence measured by disability</w:t>
            </w:r>
          </w:p>
        </w:tc>
      </w:tr>
      <w:tr w:rsidR="003624A7" w:rsidRPr="004069F3" w14:paraId="5F75C458" w14:textId="77777777" w:rsidTr="003624A7">
        <w:trPr>
          <w:trHeight w:val="315"/>
        </w:trPr>
        <w:tc>
          <w:tcPr>
            <w:tcW w:w="2000" w:type="dxa"/>
            <w:tcBorders>
              <w:top w:val="nil"/>
              <w:left w:val="nil"/>
              <w:bottom w:val="nil"/>
              <w:right w:val="nil"/>
            </w:tcBorders>
            <w:shd w:val="clear" w:color="auto" w:fill="auto"/>
            <w:vAlign w:val="bottom"/>
            <w:hideMark/>
          </w:tcPr>
          <w:p w14:paraId="70A07FC1" w14:textId="77777777" w:rsidR="003624A7" w:rsidRPr="004069F3" w:rsidRDefault="003624A7" w:rsidP="003624A7">
            <w:pPr>
              <w:tabs>
                <w:tab w:val="clear" w:pos="567"/>
              </w:tabs>
              <w:spacing w:after="0" w:line="240" w:lineRule="auto"/>
              <w:rPr>
                <w:rFonts w:ascii="Calibri" w:eastAsia="Times New Roman" w:hAnsi="Calibri" w:cs="Times New Roman"/>
                <w:color w:val="000000"/>
                <w:sz w:val="20"/>
                <w:szCs w:val="20"/>
                <w:lang w:eastAsia="en-AU"/>
              </w:rPr>
            </w:pPr>
            <w:r w:rsidRPr="004069F3">
              <w:rPr>
                <w:rFonts w:ascii="Calibri" w:eastAsia="Times New Roman" w:hAnsi="Calibri" w:cstheme="minorHAnsi"/>
                <w:color w:val="000000"/>
                <w:sz w:val="20"/>
                <w:szCs w:val="20"/>
                <w:lang w:eastAsia="en-AU"/>
              </w:rPr>
              <w:t>Native title</w:t>
            </w:r>
          </w:p>
        </w:tc>
        <w:tc>
          <w:tcPr>
            <w:tcW w:w="6940" w:type="dxa"/>
            <w:tcBorders>
              <w:top w:val="nil"/>
              <w:left w:val="nil"/>
              <w:bottom w:val="nil"/>
              <w:right w:val="nil"/>
            </w:tcBorders>
            <w:shd w:val="clear" w:color="auto" w:fill="auto"/>
            <w:vAlign w:val="bottom"/>
            <w:hideMark/>
          </w:tcPr>
          <w:p w14:paraId="5852117D" w14:textId="4BCF3DAE" w:rsidR="003624A7" w:rsidRPr="004069F3" w:rsidRDefault="003624A7" w:rsidP="000846BF">
            <w:pPr>
              <w:tabs>
                <w:tab w:val="clear" w:pos="567"/>
              </w:tabs>
              <w:spacing w:after="0" w:line="240" w:lineRule="auto"/>
              <w:rPr>
                <w:rFonts w:ascii="Calibri" w:eastAsia="Times New Roman" w:hAnsi="Calibri" w:cs="Times New Roman"/>
                <w:color w:val="000000"/>
                <w:sz w:val="20"/>
                <w:szCs w:val="20"/>
                <w:lang w:eastAsia="en-AU"/>
              </w:rPr>
            </w:pPr>
            <w:r w:rsidRPr="004069F3">
              <w:rPr>
                <w:rFonts w:ascii="Calibri" w:eastAsia="Times New Roman" w:hAnsi="Calibri" w:cstheme="minorHAnsi"/>
                <w:color w:val="000000"/>
                <w:sz w:val="20"/>
                <w:szCs w:val="20"/>
                <w:lang w:eastAsia="en-AU"/>
              </w:rPr>
              <w:t xml:space="preserve">State </w:t>
            </w:r>
            <w:r w:rsidR="00E95A6A" w:rsidRPr="004069F3">
              <w:rPr>
                <w:rFonts w:ascii="Calibri" w:eastAsia="Times New Roman" w:hAnsi="Calibri" w:cstheme="minorHAnsi"/>
                <w:color w:val="000000"/>
                <w:sz w:val="20"/>
                <w:szCs w:val="20"/>
                <w:lang w:eastAsia="en-AU"/>
              </w:rPr>
              <w:t>expenses</w:t>
            </w:r>
            <w:r w:rsidRPr="004069F3">
              <w:rPr>
                <w:rFonts w:ascii="Calibri" w:eastAsia="Times New Roman" w:hAnsi="Calibri" w:cstheme="minorHAnsi"/>
                <w:color w:val="000000"/>
                <w:sz w:val="20"/>
                <w:szCs w:val="20"/>
                <w:lang w:eastAsia="en-AU"/>
              </w:rPr>
              <w:t xml:space="preserve"> on native title measured on an </w:t>
            </w:r>
            <w:r w:rsidR="000846BF">
              <w:rPr>
                <w:rFonts w:ascii="Calibri" w:eastAsia="Times New Roman" w:hAnsi="Calibri" w:cstheme="minorHAnsi"/>
                <w:color w:val="000000"/>
                <w:sz w:val="20"/>
                <w:szCs w:val="20"/>
                <w:lang w:eastAsia="en-AU"/>
              </w:rPr>
              <w:t xml:space="preserve">APC </w:t>
            </w:r>
            <w:r w:rsidRPr="004069F3">
              <w:rPr>
                <w:rFonts w:ascii="Calibri" w:eastAsia="Times New Roman" w:hAnsi="Calibri" w:cstheme="minorHAnsi"/>
                <w:color w:val="000000"/>
                <w:sz w:val="20"/>
                <w:szCs w:val="20"/>
                <w:lang w:eastAsia="en-AU"/>
              </w:rPr>
              <w:t>basis.</w:t>
            </w:r>
          </w:p>
        </w:tc>
      </w:tr>
      <w:tr w:rsidR="003624A7" w:rsidRPr="003624A7" w14:paraId="2A54CC87" w14:textId="77777777" w:rsidTr="003624A7">
        <w:trPr>
          <w:trHeight w:val="315"/>
        </w:trPr>
        <w:tc>
          <w:tcPr>
            <w:tcW w:w="2000" w:type="dxa"/>
            <w:tcBorders>
              <w:top w:val="nil"/>
              <w:left w:val="nil"/>
              <w:bottom w:val="single" w:sz="4" w:space="0" w:color="auto"/>
              <w:right w:val="nil"/>
            </w:tcBorders>
            <w:shd w:val="clear" w:color="auto" w:fill="auto"/>
            <w:vAlign w:val="bottom"/>
            <w:hideMark/>
          </w:tcPr>
          <w:p w14:paraId="43FA5F4D" w14:textId="77777777" w:rsidR="003624A7" w:rsidRPr="004069F3" w:rsidRDefault="003624A7" w:rsidP="003624A7">
            <w:pPr>
              <w:tabs>
                <w:tab w:val="clear" w:pos="567"/>
              </w:tabs>
              <w:spacing w:after="0" w:line="240" w:lineRule="auto"/>
              <w:rPr>
                <w:rFonts w:ascii="Calibri" w:eastAsia="Times New Roman" w:hAnsi="Calibri" w:cs="Times New Roman"/>
                <w:color w:val="000000"/>
                <w:sz w:val="20"/>
                <w:szCs w:val="20"/>
                <w:lang w:eastAsia="en-AU"/>
              </w:rPr>
            </w:pPr>
            <w:r w:rsidRPr="004069F3">
              <w:rPr>
                <w:rFonts w:ascii="Calibri" w:eastAsia="Times New Roman" w:hAnsi="Calibri" w:cstheme="minorHAnsi"/>
                <w:color w:val="000000"/>
                <w:sz w:val="20"/>
                <w:szCs w:val="20"/>
                <w:lang w:eastAsia="en-AU"/>
              </w:rPr>
              <w:t>Land rights</w:t>
            </w:r>
          </w:p>
        </w:tc>
        <w:tc>
          <w:tcPr>
            <w:tcW w:w="6940" w:type="dxa"/>
            <w:tcBorders>
              <w:top w:val="nil"/>
              <w:left w:val="nil"/>
              <w:bottom w:val="single" w:sz="4" w:space="0" w:color="auto"/>
              <w:right w:val="nil"/>
            </w:tcBorders>
            <w:shd w:val="clear" w:color="auto" w:fill="auto"/>
            <w:vAlign w:val="bottom"/>
            <w:hideMark/>
          </w:tcPr>
          <w:p w14:paraId="7726E60F" w14:textId="77777777" w:rsidR="003624A7" w:rsidRPr="003624A7" w:rsidRDefault="003624A7" w:rsidP="003624A7">
            <w:pPr>
              <w:tabs>
                <w:tab w:val="clear" w:pos="567"/>
              </w:tabs>
              <w:spacing w:after="0" w:line="240" w:lineRule="auto"/>
              <w:rPr>
                <w:rFonts w:ascii="Calibri" w:eastAsia="Times New Roman" w:hAnsi="Calibri" w:cs="Times New Roman"/>
                <w:color w:val="000000"/>
                <w:sz w:val="20"/>
                <w:szCs w:val="20"/>
                <w:lang w:eastAsia="en-AU"/>
              </w:rPr>
            </w:pPr>
            <w:r w:rsidRPr="004069F3">
              <w:rPr>
                <w:rFonts w:ascii="Calibri" w:eastAsia="Times New Roman" w:hAnsi="Calibri" w:cs="Times New Roman"/>
                <w:color w:val="000000"/>
                <w:sz w:val="20"/>
                <w:szCs w:val="20"/>
                <w:lang w:eastAsia="en-AU"/>
              </w:rPr>
              <w:t>To be determined.</w:t>
            </w:r>
          </w:p>
        </w:tc>
      </w:tr>
    </w:tbl>
    <w:p w14:paraId="6E38873D" w14:textId="623228E0" w:rsidR="005567DF" w:rsidRDefault="005567DF" w:rsidP="008A3E3F">
      <w:pPr>
        <w:pStyle w:val="Heading4"/>
      </w:pPr>
      <w:bookmarkStart w:id="268" w:name="_Toc511399130"/>
      <w:bookmarkStart w:id="269" w:name="_Toc511823947"/>
      <w:bookmarkStart w:id="270" w:name="_Toc511892424"/>
      <w:bookmarkStart w:id="271" w:name="_Toc511892553"/>
      <w:r>
        <w:t>Data / information sought from States</w:t>
      </w:r>
      <w:bookmarkEnd w:id="268"/>
      <w:bookmarkEnd w:id="269"/>
      <w:bookmarkEnd w:id="270"/>
      <w:bookmarkEnd w:id="271"/>
    </w:p>
    <w:p w14:paraId="69CFAA09" w14:textId="388EF43D" w:rsidR="00C23AC3" w:rsidRDefault="005567DF" w:rsidP="005567DF">
      <w:pPr>
        <w:pStyle w:val="CGCNumberedPara"/>
      </w:pPr>
      <w:r w:rsidRPr="00554B03">
        <w:t xml:space="preserve">Staff intend to provide States with a data request relating to land rights expenses in </w:t>
      </w:r>
      <w:r w:rsidR="00F90BFF">
        <w:t xml:space="preserve">the second half of </w:t>
      </w:r>
      <w:r w:rsidRPr="00554B03">
        <w:t>2018.</w:t>
      </w:r>
      <w:r w:rsidR="00C23AC3">
        <w:br w:type="page"/>
      </w:r>
    </w:p>
    <w:p w14:paraId="7ADADE63" w14:textId="77777777" w:rsidR="00554B03" w:rsidRDefault="00554B03" w:rsidP="00C67D15">
      <w:pPr>
        <w:pStyle w:val="Heading2"/>
        <w:sectPr w:rsidR="00554B03" w:rsidSect="00E93F0C">
          <w:footerReference w:type="default" r:id="rId21"/>
          <w:footerReference w:type="first" r:id="rId22"/>
          <w:pgSz w:w="11899" w:h="16838" w:code="9"/>
          <w:pgMar w:top="1701" w:right="1474" w:bottom="1701" w:left="1474" w:header="709" w:footer="709" w:gutter="0"/>
          <w:pgNumType w:start="1"/>
          <w:cols w:space="708"/>
          <w:titlePg/>
          <w:docGrid w:linePitch="299"/>
        </w:sectPr>
      </w:pPr>
      <w:bookmarkStart w:id="272" w:name="_Toc511048334"/>
      <w:bookmarkStart w:id="273" w:name="_Toc511048436"/>
      <w:bookmarkStart w:id="274" w:name="_Toc511048474"/>
      <w:bookmarkStart w:id="275" w:name="_Toc511048509"/>
      <w:bookmarkStart w:id="276" w:name="_Toc511398686"/>
      <w:bookmarkStart w:id="277" w:name="_Toc511398730"/>
    </w:p>
    <w:p w14:paraId="459AF962" w14:textId="498C456E" w:rsidR="00554B03" w:rsidRDefault="00554B03" w:rsidP="00C67D15">
      <w:pPr>
        <w:pStyle w:val="Heading2"/>
      </w:pPr>
      <w:bookmarkStart w:id="278" w:name="_Toc511892554"/>
      <w:r>
        <w:t>Attachment A: Native title and land rights expenses over time</w:t>
      </w:r>
      <w:bookmarkEnd w:id="278"/>
    </w:p>
    <w:p w14:paraId="09CEA47E" w14:textId="687E22DC" w:rsidR="00554B03" w:rsidRDefault="00554B03" w:rsidP="00554B03">
      <w:pPr>
        <w:pStyle w:val="Caption"/>
      </w:pPr>
      <w:bookmarkStart w:id="279" w:name="_Ref511823846"/>
      <w:r>
        <w:t xml:space="preserve">Figure </w:t>
      </w:r>
      <w:r w:rsidR="000846BF">
        <w:t>A-</w:t>
      </w:r>
      <w:fldSimple w:instr=" SEQ Figure \* ARABIC ">
        <w:r w:rsidR="00C40664">
          <w:rPr>
            <w:noProof/>
          </w:rPr>
          <w:t>1</w:t>
        </w:r>
      </w:fldSimple>
      <w:bookmarkEnd w:id="279"/>
      <w:r>
        <w:tab/>
        <w:t>Native title expenses</w:t>
      </w:r>
      <w:r w:rsidR="00F90BFF">
        <w:t xml:space="preserve"> per capita</w:t>
      </w:r>
      <w:r>
        <w:t>, 1995-96 to 2016-17</w:t>
      </w:r>
    </w:p>
    <w:p w14:paraId="25507005" w14:textId="5A346487" w:rsidR="00554B03" w:rsidRPr="00F90BFF" w:rsidRDefault="00554B03" w:rsidP="00554B03">
      <w:pPr>
        <w:rPr>
          <w:rStyle w:val="CGCTableFootnoteChar"/>
        </w:rPr>
      </w:pPr>
      <w:r w:rsidRPr="00554B03">
        <w:rPr>
          <w:noProof/>
          <w:lang w:eastAsia="en-AU"/>
        </w:rPr>
        <w:drawing>
          <wp:inline distT="0" distB="0" distL="0" distR="0" wp14:anchorId="133BD805" wp14:editId="1F67EA78">
            <wp:extent cx="5657850" cy="3562350"/>
            <wp:effectExtent l="0" t="0" r="0" b="0"/>
            <wp:docPr id="2" name="Picture 2" descr="This figure shows native title expenses by State from 1995-96 to 20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657850" cy="3562350"/>
                    </a:xfrm>
                    <a:prstGeom prst="rect">
                      <a:avLst/>
                    </a:prstGeom>
                    <a:noFill/>
                    <a:ln>
                      <a:noFill/>
                    </a:ln>
                  </pic:spPr>
                </pic:pic>
              </a:graphicData>
            </a:graphic>
          </wp:inline>
        </w:drawing>
      </w:r>
    </w:p>
    <w:p w14:paraId="27018488" w14:textId="54C45AC0" w:rsidR="00554B03" w:rsidRDefault="00554B03" w:rsidP="00554B03">
      <w:pPr>
        <w:pStyle w:val="CGCTableFootnote"/>
      </w:pPr>
      <w:r>
        <w:t>Source:</w:t>
      </w:r>
      <w:r>
        <w:tab/>
        <w:t>State data retu</w:t>
      </w:r>
      <w:bookmarkStart w:id="280" w:name="_GoBack"/>
      <w:bookmarkEnd w:id="280"/>
      <w:r>
        <w:t>rns.</w:t>
      </w:r>
    </w:p>
    <w:p w14:paraId="23D8FB4C" w14:textId="4A0C4C48" w:rsidR="00554B03" w:rsidRDefault="00554B03" w:rsidP="00554B03">
      <w:pPr>
        <w:pStyle w:val="Caption"/>
      </w:pPr>
      <w:bookmarkStart w:id="281" w:name="_Ref511823858"/>
      <w:r>
        <w:t xml:space="preserve">Figure </w:t>
      </w:r>
      <w:r w:rsidR="000846BF">
        <w:t>A-</w:t>
      </w:r>
      <w:fldSimple w:instr=" SEQ Figure \* ARABIC ">
        <w:r w:rsidR="00C40664">
          <w:rPr>
            <w:noProof/>
          </w:rPr>
          <w:t>2</w:t>
        </w:r>
      </w:fldSimple>
      <w:bookmarkEnd w:id="281"/>
      <w:r>
        <w:tab/>
        <w:t>Northern Territory’s land rights expenses</w:t>
      </w:r>
      <w:r w:rsidR="00F90BFF">
        <w:t xml:space="preserve"> per capita</w:t>
      </w:r>
      <w:r>
        <w:t>, 2002-03 to 2016-17</w:t>
      </w:r>
    </w:p>
    <w:p w14:paraId="0046280E" w14:textId="47A9C211" w:rsidR="00554B03" w:rsidRDefault="00554B03" w:rsidP="00F90BFF">
      <w:pPr>
        <w:pStyle w:val="CGCTableFootnote"/>
      </w:pPr>
      <w:r w:rsidRPr="00554B03">
        <w:rPr>
          <w:noProof/>
          <w:lang w:eastAsia="en-AU"/>
        </w:rPr>
        <w:drawing>
          <wp:inline distT="0" distB="0" distL="0" distR="0" wp14:anchorId="7DA77BF2" wp14:editId="03F6558B">
            <wp:extent cx="5657850" cy="3562350"/>
            <wp:effectExtent l="0" t="0" r="0" b="0"/>
            <wp:docPr id="4" name="Picture 4" descr="This figure shows land rights expenses from 2002-03 to 20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657850" cy="3562350"/>
                    </a:xfrm>
                    <a:prstGeom prst="rect">
                      <a:avLst/>
                    </a:prstGeom>
                    <a:noFill/>
                    <a:ln>
                      <a:noFill/>
                    </a:ln>
                  </pic:spPr>
                </pic:pic>
              </a:graphicData>
            </a:graphic>
          </wp:inline>
        </w:drawing>
      </w:r>
    </w:p>
    <w:p w14:paraId="725FE430" w14:textId="63C20065" w:rsidR="00554B03" w:rsidRDefault="00554B03" w:rsidP="00554B03">
      <w:pPr>
        <w:pStyle w:val="CGCTableFootnote"/>
      </w:pPr>
      <w:r>
        <w:t>Note:</w:t>
      </w:r>
      <w:r>
        <w:tab/>
        <w:t>The Commission started collecting data on land rights in 2002-03.</w:t>
      </w:r>
    </w:p>
    <w:p w14:paraId="19E6283D" w14:textId="7BBEC545" w:rsidR="00554B03" w:rsidRDefault="00554B03" w:rsidP="00554B03">
      <w:pPr>
        <w:pStyle w:val="CGCTableFootnote"/>
      </w:pPr>
      <w:r>
        <w:t>Source:</w:t>
      </w:r>
      <w:r>
        <w:tab/>
        <w:t>State data returns.</w:t>
      </w:r>
    </w:p>
    <w:p w14:paraId="17BC3173" w14:textId="77777777" w:rsidR="00554B03" w:rsidRDefault="00554B03" w:rsidP="00554B03"/>
    <w:p w14:paraId="5AB8B9DA" w14:textId="77777777" w:rsidR="00554B03" w:rsidRPr="00554B03" w:rsidRDefault="00554B03" w:rsidP="00554B03">
      <w:pPr>
        <w:sectPr w:rsidR="00554B03" w:rsidRPr="00554B03" w:rsidSect="0004123E">
          <w:pgSz w:w="11899" w:h="16838" w:code="9"/>
          <w:pgMar w:top="1701" w:right="1474" w:bottom="1701" w:left="1474" w:header="709" w:footer="709" w:gutter="0"/>
          <w:cols w:space="708"/>
          <w:titlePg/>
          <w:docGrid w:linePitch="299"/>
        </w:sectPr>
      </w:pPr>
    </w:p>
    <w:p w14:paraId="5EBB018C" w14:textId="2972FA2A" w:rsidR="00C23AC3" w:rsidRDefault="00C23AC3" w:rsidP="00C67D15">
      <w:pPr>
        <w:pStyle w:val="Heading2"/>
      </w:pPr>
      <w:bookmarkStart w:id="282" w:name="_Toc511892555"/>
      <w:r>
        <w:t xml:space="preserve">Attachment </w:t>
      </w:r>
      <w:bookmarkEnd w:id="272"/>
      <w:bookmarkEnd w:id="273"/>
      <w:bookmarkEnd w:id="274"/>
      <w:bookmarkEnd w:id="275"/>
      <w:r w:rsidR="00554B03">
        <w:t>B</w:t>
      </w:r>
      <w:r w:rsidR="00C2657C">
        <w:t>: Indigenous land rights</w:t>
      </w:r>
      <w:bookmarkEnd w:id="276"/>
      <w:bookmarkEnd w:id="277"/>
      <w:bookmarkEnd w:id="282"/>
    </w:p>
    <w:p w14:paraId="47372F60" w14:textId="77777777" w:rsidR="00C23AC3" w:rsidRDefault="00C23AC3" w:rsidP="00C67D15">
      <w:pPr>
        <w:pStyle w:val="CGCNumberedPara"/>
        <w:numPr>
          <w:ilvl w:val="1"/>
          <w:numId w:val="43"/>
        </w:numPr>
      </w:pPr>
      <w:r>
        <w:t>The current state of Indigenous land rights mechanisms across Australia is summarised below.</w:t>
      </w:r>
    </w:p>
    <w:p w14:paraId="2B2155B6" w14:textId="37214A35" w:rsidR="00C23AC3" w:rsidRPr="00144A6E" w:rsidRDefault="00C23AC3" w:rsidP="00C23AC3">
      <w:pPr>
        <w:pStyle w:val="CGCBulletlist"/>
        <w:numPr>
          <w:ilvl w:val="0"/>
          <w:numId w:val="1"/>
        </w:numPr>
        <w:tabs>
          <w:tab w:val="clear" w:pos="927"/>
        </w:tabs>
        <w:ind w:left="1134" w:hanging="567"/>
      </w:pPr>
      <w:r>
        <w:t>In New South Wales the</w:t>
      </w:r>
      <w:r w:rsidRPr="000F12C5">
        <w:t xml:space="preserve"> </w:t>
      </w:r>
      <w:r w:rsidRPr="007C545A">
        <w:rPr>
          <w:i/>
        </w:rPr>
        <w:t>Aboriginal Land Rights Act 1983</w:t>
      </w:r>
      <w:r w:rsidRPr="000F12C5">
        <w:t xml:space="preserve"> (NSW) (</w:t>
      </w:r>
      <w:proofErr w:type="spellStart"/>
      <w:r w:rsidRPr="000F12C5">
        <w:t>ALRA</w:t>
      </w:r>
      <w:proofErr w:type="spellEnd"/>
      <w:r w:rsidRPr="000F12C5">
        <w:t>) established a land rights regime</w:t>
      </w:r>
      <w:r>
        <w:t xml:space="preserve"> to provide recognition to the prior ownership and occupation of land by Aboriginal people and recognises the spiritual, social, cultural and economic importance of the land to Aboriginal people. It provides a mechanism for compensating Aboriginal people of </w:t>
      </w:r>
      <w:r w:rsidR="00694171">
        <w:t>New South Wales</w:t>
      </w:r>
      <w:r>
        <w:t xml:space="preserve"> for the loss of their land by providing for Aboriginal Land Councils to lodge claims for certain Crown lands.</w:t>
      </w:r>
      <w:r w:rsidRPr="00003852">
        <w:t xml:space="preserve"> </w:t>
      </w:r>
      <w:r>
        <w:t>The New South Wales Aboriginal Land Council (</w:t>
      </w:r>
      <w:proofErr w:type="spellStart"/>
      <w:r>
        <w:t>NSWALC</w:t>
      </w:r>
      <w:proofErr w:type="spellEnd"/>
      <w:r>
        <w:t xml:space="preserve">) was formally constituted as a statutory corporation under the </w:t>
      </w:r>
      <w:proofErr w:type="spellStart"/>
      <w:r w:rsidRPr="00F550FC">
        <w:rPr>
          <w:i/>
        </w:rPr>
        <w:t>ALRA</w:t>
      </w:r>
      <w:proofErr w:type="spellEnd"/>
      <w:r w:rsidRPr="00003852">
        <w:rPr>
          <w:i/>
        </w:rPr>
        <w:t>.</w:t>
      </w:r>
      <w:r>
        <w:rPr>
          <w:rStyle w:val="FootnoteReference"/>
        </w:rPr>
        <w:footnoteReference w:id="14"/>
      </w:r>
    </w:p>
    <w:p w14:paraId="38E1E6CF" w14:textId="77777777" w:rsidR="00C23AC3" w:rsidRDefault="00C23AC3" w:rsidP="00C23AC3">
      <w:pPr>
        <w:pStyle w:val="CGCBulletlist"/>
        <w:numPr>
          <w:ilvl w:val="0"/>
          <w:numId w:val="1"/>
        </w:numPr>
        <w:tabs>
          <w:tab w:val="clear" w:pos="927"/>
        </w:tabs>
        <w:ind w:left="1134" w:hanging="567"/>
      </w:pPr>
      <w:r>
        <w:t xml:space="preserve">Victoria does not have a land claims regime, but several parcels of land have been granted to certain Aboriginal trusts and organisations. These land grants have been made under both Victorian and Commonwealth legislation. In Victoria the </w:t>
      </w:r>
      <w:r w:rsidRPr="00F550FC">
        <w:rPr>
          <w:i/>
        </w:rPr>
        <w:t>Traditional Owner Settlement Act 2010 (Vic)</w:t>
      </w:r>
      <w:r>
        <w:t xml:space="preserve"> includes provision for the grant of land in freehold title to a traditional owner group entity.</w:t>
      </w:r>
      <w:r>
        <w:rPr>
          <w:rStyle w:val="FootnoteReference"/>
        </w:rPr>
        <w:footnoteReference w:id="15"/>
      </w:r>
    </w:p>
    <w:p w14:paraId="4D6055CF" w14:textId="77777777" w:rsidR="00C23AC3" w:rsidRDefault="00C23AC3" w:rsidP="00C23AC3">
      <w:pPr>
        <w:pStyle w:val="CGCBulletlist"/>
        <w:numPr>
          <w:ilvl w:val="0"/>
          <w:numId w:val="1"/>
        </w:numPr>
        <w:tabs>
          <w:tab w:val="clear" w:pos="927"/>
        </w:tabs>
        <w:ind w:left="1134" w:hanging="567"/>
      </w:pPr>
      <w:r w:rsidRPr="00886166">
        <w:t xml:space="preserve">In Queensland the </w:t>
      </w:r>
      <w:r w:rsidRPr="00886166">
        <w:rPr>
          <w:i/>
        </w:rPr>
        <w:t>Aboriginal Land Act 1991 (Qld)</w:t>
      </w:r>
      <w:r w:rsidRPr="00886166">
        <w:t xml:space="preserve"> and the </w:t>
      </w:r>
      <w:r w:rsidRPr="00886166">
        <w:rPr>
          <w:i/>
        </w:rPr>
        <w:t>Torres Strait Islander Land Act 1991 (Qld)</w:t>
      </w:r>
      <w:r w:rsidRPr="00886166">
        <w:t xml:space="preserve"> enabled the transfer of all </w:t>
      </w:r>
      <w:proofErr w:type="spellStart"/>
      <w:r w:rsidRPr="00886166">
        <w:t>exisiting</w:t>
      </w:r>
      <w:proofErr w:type="spellEnd"/>
      <w:r w:rsidRPr="00886166">
        <w:t xml:space="preserve"> deed of grant in trust, reserve lands, and the </w:t>
      </w:r>
      <w:proofErr w:type="spellStart"/>
      <w:r w:rsidRPr="00886166">
        <w:t>Arukun</w:t>
      </w:r>
      <w:proofErr w:type="spellEnd"/>
      <w:r w:rsidRPr="00886166">
        <w:t xml:space="preserve"> and Mornington Island shire leases to trustees for the benefit of Indigenous people. The </w:t>
      </w:r>
      <w:r w:rsidRPr="00886166">
        <w:rPr>
          <w:i/>
        </w:rPr>
        <w:t xml:space="preserve">Aboriginal Land Act 1991 </w:t>
      </w:r>
      <w:r w:rsidRPr="00886166">
        <w:t>also</w:t>
      </w:r>
      <w:r w:rsidRPr="00886166">
        <w:rPr>
          <w:i/>
        </w:rPr>
        <w:t xml:space="preserve"> </w:t>
      </w:r>
      <w:r w:rsidRPr="00886166">
        <w:t>made provisions for claims to vacant Crown land</w:t>
      </w:r>
      <w:r>
        <w:t xml:space="preserve">. However, similar to the sunset clause in the Commonwealth’s </w:t>
      </w:r>
      <w:r w:rsidRPr="00CF6563">
        <w:rPr>
          <w:i/>
        </w:rPr>
        <w:t xml:space="preserve">Aboriginal Land </w:t>
      </w:r>
      <w:r>
        <w:rPr>
          <w:i/>
        </w:rPr>
        <w:t>R</w:t>
      </w:r>
      <w:r w:rsidRPr="00CF6563">
        <w:rPr>
          <w:i/>
        </w:rPr>
        <w:t>ights Act</w:t>
      </w:r>
      <w:r w:rsidRPr="00886166">
        <w:t xml:space="preserve"> these claims were required to be made within 15 years of commencement</w:t>
      </w:r>
      <w:r>
        <w:t xml:space="preserve"> of the Act, no new claims have been made since 2006</w:t>
      </w:r>
      <w:r w:rsidRPr="00081E3A">
        <w:t>.</w:t>
      </w:r>
      <w:r w:rsidRPr="00144A6E">
        <w:rPr>
          <w:rStyle w:val="FootnoteReference"/>
        </w:rPr>
        <w:t xml:space="preserve"> </w:t>
      </w:r>
      <w:r>
        <w:rPr>
          <w:rStyle w:val="FootnoteReference"/>
        </w:rPr>
        <w:footnoteReference w:id="16"/>
      </w:r>
    </w:p>
    <w:p w14:paraId="03C8D266" w14:textId="5F8BC3E2" w:rsidR="00C23AC3" w:rsidRDefault="00C23AC3" w:rsidP="00C23AC3">
      <w:pPr>
        <w:pStyle w:val="CGCBulletlist"/>
        <w:numPr>
          <w:ilvl w:val="0"/>
          <w:numId w:val="1"/>
        </w:numPr>
        <w:tabs>
          <w:tab w:val="clear" w:pos="927"/>
        </w:tabs>
        <w:ind w:left="1134" w:hanging="567"/>
      </w:pPr>
      <w:r>
        <w:t xml:space="preserve">Former Western Australian Aboriginal reserves held by the Native Welfare Department and other State government agencies have been vested in the Aboriginal Lands Trust under the </w:t>
      </w:r>
      <w:r w:rsidRPr="00F550FC">
        <w:rPr>
          <w:i/>
        </w:rPr>
        <w:t>Aboriginal Affairs Planning Authority Act 1972 (WA)</w:t>
      </w:r>
      <w:r>
        <w:t>.</w:t>
      </w:r>
      <w:r w:rsidRPr="00144A6E">
        <w:t xml:space="preserve"> </w:t>
      </w:r>
      <w:r>
        <w:t xml:space="preserve">In 1999, the Western Australian Government announced a land transfer program, under which the estate of the Aboriginal Lands Trust was to be transferred to Aboriginal corporations by 2002; however this goal has still not been achieved. The </w:t>
      </w:r>
      <w:r w:rsidRPr="00694171">
        <w:rPr>
          <w:i/>
        </w:rPr>
        <w:t>Land Administration (South West Native Title Settlement) Bill 2015</w:t>
      </w:r>
      <w:r>
        <w:t xml:space="preserve"> was introduced in November 2015 and facilitates the transfer of a large parcel of land for the creation of the Noongar Land Estate.</w:t>
      </w:r>
      <w:r>
        <w:rPr>
          <w:rStyle w:val="FootnoteReference"/>
        </w:rPr>
        <w:footnoteReference w:id="17"/>
      </w:r>
      <w:r>
        <w:t xml:space="preserve"> This bill has implications for both native title and land rights expenses.</w:t>
      </w:r>
    </w:p>
    <w:p w14:paraId="4A3C519F" w14:textId="77777777" w:rsidR="00C23AC3" w:rsidRDefault="00C23AC3" w:rsidP="00C23AC3">
      <w:pPr>
        <w:pStyle w:val="CGCBulletlist"/>
        <w:numPr>
          <w:ilvl w:val="0"/>
          <w:numId w:val="1"/>
        </w:numPr>
        <w:tabs>
          <w:tab w:val="clear" w:pos="927"/>
        </w:tabs>
        <w:ind w:left="1134" w:hanging="567"/>
      </w:pPr>
      <w:r>
        <w:t xml:space="preserve">In South Australia </w:t>
      </w:r>
      <w:r w:rsidRPr="0029668D">
        <w:t xml:space="preserve">the </w:t>
      </w:r>
      <w:r w:rsidRPr="00F550FC">
        <w:rPr>
          <w:i/>
        </w:rPr>
        <w:t>Aboriginal Lands Trust Act 2013 (SA)</w:t>
      </w:r>
      <w:r w:rsidRPr="0029668D">
        <w:t xml:space="preserve"> replaced the </w:t>
      </w:r>
      <w:r w:rsidRPr="00F550FC">
        <w:rPr>
          <w:i/>
        </w:rPr>
        <w:t>Aboriginal Lands Trust Act 1966 (SA)</w:t>
      </w:r>
      <w:r w:rsidRPr="0029668D">
        <w:t xml:space="preserve"> which established the Aboriginal Lands</w:t>
      </w:r>
      <w:r>
        <w:t> </w:t>
      </w:r>
      <w:r w:rsidRPr="0029668D">
        <w:t>Trust for the purpose of holding land in trust for the benefit of the Aboriginal people of South Australia.</w:t>
      </w:r>
      <w:r>
        <w:t xml:space="preserve"> </w:t>
      </w:r>
      <w:r w:rsidRPr="0029668D">
        <w:t xml:space="preserve">In addition the South Australian Government has also implemented the </w:t>
      </w:r>
      <w:proofErr w:type="spellStart"/>
      <w:r w:rsidRPr="00F550FC">
        <w:rPr>
          <w:i/>
        </w:rPr>
        <w:t>Anangu</w:t>
      </w:r>
      <w:proofErr w:type="spellEnd"/>
      <w:r w:rsidRPr="00F550FC">
        <w:rPr>
          <w:i/>
        </w:rPr>
        <w:t xml:space="preserve"> Pitjantjatjara Yankunytjatjara Land Rights Act 1981 (SA)</w:t>
      </w:r>
      <w:r w:rsidRPr="0029668D">
        <w:t xml:space="preserve"> and the </w:t>
      </w:r>
      <w:r w:rsidRPr="00F550FC">
        <w:rPr>
          <w:i/>
        </w:rPr>
        <w:t xml:space="preserve">Maralinga </w:t>
      </w:r>
      <w:proofErr w:type="spellStart"/>
      <w:r w:rsidRPr="00F550FC">
        <w:rPr>
          <w:i/>
        </w:rPr>
        <w:t>Tjarutja</w:t>
      </w:r>
      <w:proofErr w:type="spellEnd"/>
      <w:r w:rsidRPr="00F550FC">
        <w:rPr>
          <w:i/>
        </w:rPr>
        <w:t xml:space="preserve"> Land Rights Act 1984 (SA)</w:t>
      </w:r>
      <w:r w:rsidRPr="0029668D">
        <w:t xml:space="preserve">. The South Australian Government also introduced the Aboriginal Lands Parliamentary Standing Committee Act 2003 (SA) which establishes the Aboriginal Lands Parliamentary Standing Committee to review the operations of the </w:t>
      </w:r>
      <w:r>
        <w:t>South Australian land rights acts</w:t>
      </w:r>
      <w:r w:rsidRPr="0029668D">
        <w:t>.</w:t>
      </w:r>
      <w:r>
        <w:rPr>
          <w:rStyle w:val="FootnoteReference"/>
        </w:rPr>
        <w:footnoteReference w:id="18"/>
      </w:r>
    </w:p>
    <w:p w14:paraId="07140DF1" w14:textId="77777777" w:rsidR="00C23AC3" w:rsidRDefault="00C23AC3" w:rsidP="00C23AC3">
      <w:pPr>
        <w:pStyle w:val="CGCBulletlist"/>
        <w:numPr>
          <w:ilvl w:val="0"/>
          <w:numId w:val="1"/>
        </w:numPr>
        <w:tabs>
          <w:tab w:val="clear" w:pos="927"/>
        </w:tabs>
        <w:ind w:left="1134" w:hanging="567"/>
      </w:pPr>
      <w:r>
        <w:t xml:space="preserve">Tasmania does not have an Aboriginal land claims regime but introduced the </w:t>
      </w:r>
      <w:r w:rsidRPr="008624B2">
        <w:rPr>
          <w:i/>
        </w:rPr>
        <w:t>Aboriginal Lands Act 1995 (</w:t>
      </w:r>
      <w:proofErr w:type="spellStart"/>
      <w:r w:rsidRPr="008624B2">
        <w:rPr>
          <w:i/>
        </w:rPr>
        <w:t>Tas</w:t>
      </w:r>
      <w:proofErr w:type="spellEnd"/>
      <w:r w:rsidRPr="008624B2">
        <w:rPr>
          <w:i/>
        </w:rPr>
        <w:t>)</w:t>
      </w:r>
      <w:r>
        <w:t xml:space="preserve"> to grant certain parcels of land of historical or cultural significance ‘for the benefit of all Aboriginal persons and in the interests of reconciliation with the broader Tasmanian community’.</w:t>
      </w:r>
      <w:r>
        <w:rPr>
          <w:rStyle w:val="FootnoteReference"/>
        </w:rPr>
        <w:footnoteReference w:id="19"/>
      </w:r>
    </w:p>
    <w:p w14:paraId="27678D7A" w14:textId="77777777" w:rsidR="00C23AC3" w:rsidRDefault="00C23AC3" w:rsidP="00C23AC3">
      <w:pPr>
        <w:pStyle w:val="CGCBulletlist"/>
        <w:numPr>
          <w:ilvl w:val="0"/>
          <w:numId w:val="1"/>
        </w:numPr>
        <w:tabs>
          <w:tab w:val="clear" w:pos="927"/>
        </w:tabs>
        <w:ind w:left="1134" w:hanging="567"/>
      </w:pPr>
      <w:r>
        <w:t>The ACT established the Indigenous Land Corporation in 1995. Its purpose is to assist Indigenous people to acquire and manage land to achieve economic, environmental, social and cultural benefits. It acquires and grants properties to Indigenous organisations and assists Indigenous landholders to sustainably manage land and develop viable and sustainable land uses including: developing property management plans, purchasing equipment, or developing infrastructure.</w:t>
      </w:r>
      <w:r>
        <w:rPr>
          <w:rStyle w:val="FootnoteReference"/>
        </w:rPr>
        <w:footnoteReference w:id="20"/>
      </w:r>
    </w:p>
    <w:p w14:paraId="4AAB3A44" w14:textId="649B6D5A" w:rsidR="00C23AC3" w:rsidRPr="007F6217" w:rsidRDefault="00C23AC3" w:rsidP="00C23AC3">
      <w:pPr>
        <w:pStyle w:val="CGCBulletlist"/>
        <w:numPr>
          <w:ilvl w:val="0"/>
          <w:numId w:val="1"/>
        </w:numPr>
        <w:tabs>
          <w:tab w:val="clear" w:pos="927"/>
        </w:tabs>
        <w:ind w:left="1134" w:hanging="567"/>
      </w:pPr>
      <w:r>
        <w:t xml:space="preserve">As outlined in the </w:t>
      </w:r>
      <w:r>
        <w:fldChar w:fldCharType="begin"/>
      </w:r>
      <w:r>
        <w:instrText xml:space="preserve"> REF _Ref496019160 \h </w:instrText>
      </w:r>
      <w:r>
        <w:fldChar w:fldCharType="separate"/>
      </w:r>
      <w:r w:rsidR="00C40664" w:rsidRPr="00741FF2">
        <w:t>201</w:t>
      </w:r>
      <w:r w:rsidR="00C40664">
        <w:t>5</w:t>
      </w:r>
      <w:r w:rsidR="00C40664" w:rsidRPr="00741FF2">
        <w:t xml:space="preserve"> </w:t>
      </w:r>
      <w:r w:rsidR="00C40664">
        <w:t>Review</w:t>
      </w:r>
      <w:r w:rsidR="00C40664" w:rsidRPr="00741FF2">
        <w:t xml:space="preserve"> approach</w:t>
      </w:r>
      <w:r>
        <w:fldChar w:fldCharType="end"/>
      </w:r>
      <w:r>
        <w:t xml:space="preserve"> section, the Northern Territory is the only State subject to Commonwealth land rights legislation through the </w:t>
      </w:r>
      <w:r w:rsidRPr="00930B10">
        <w:rPr>
          <w:i/>
        </w:rPr>
        <w:t>Aboriginal Land Rights (Northern Territory) Act</w:t>
      </w:r>
      <w:r w:rsidRPr="00F46B46">
        <w:t xml:space="preserve"> </w:t>
      </w:r>
      <w:r w:rsidRPr="007C545A">
        <w:rPr>
          <w:i/>
        </w:rPr>
        <w:t>1976</w:t>
      </w:r>
      <w:r>
        <w:t>.</w:t>
      </w:r>
      <w:r w:rsidRPr="007F6217">
        <w:t xml:space="preserve"> </w:t>
      </w:r>
      <w:r>
        <w:t xml:space="preserve">This act </w:t>
      </w:r>
      <w:r w:rsidRPr="007F6217">
        <w:t>recognises the traditional connection and the ongoing cultural and social connection Indigenous Australians have to the land. It allows for areas of Crown Land (excluding land in towns) to be transferred to Indigenous Australians as a result of claims accepted by the Aboriginal Land Commissioner.</w:t>
      </w:r>
    </w:p>
    <w:sectPr w:rsidR="00C23AC3" w:rsidRPr="007F6217" w:rsidSect="0004123E">
      <w:footnotePr>
        <w:numRestart w:val="eachSect"/>
      </w:footnotePr>
      <w:pgSz w:w="11899" w:h="16838" w:code="9"/>
      <w:pgMar w:top="1701" w:right="1474" w:bottom="1701" w:left="1474" w:header="709" w:footer="709" w:gutter="0"/>
      <w:cols w:space="708"/>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81AC1A9" w15:done="0"/>
  <w15:commentEx w15:paraId="25844B22" w15:done="0"/>
  <w15:commentEx w15:paraId="5F432FEA" w15:done="0"/>
  <w15:commentEx w15:paraId="3ADA0D54" w15:done="0"/>
  <w15:commentEx w15:paraId="5432A6A9" w15:done="0"/>
  <w15:commentEx w15:paraId="3CDD806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1AC1A9" w16cid:durableId="1E6951A6"/>
  <w16cid:commentId w16cid:paraId="25844B22" w16cid:durableId="1E69503F"/>
  <w16cid:commentId w16cid:paraId="5F432FEA" w16cid:durableId="1E695171"/>
  <w16cid:commentId w16cid:paraId="3ADA0D54" w16cid:durableId="1E6AA7E5"/>
  <w16cid:commentId w16cid:paraId="5432A6A9" w16cid:durableId="1E6BB08E"/>
  <w16cid:commentId w16cid:paraId="3CDD8063" w16cid:durableId="1E6BF49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FCD305" w14:textId="77777777" w:rsidR="007913B8" w:rsidRDefault="007913B8">
      <w:r>
        <w:separator/>
      </w:r>
    </w:p>
  </w:endnote>
  <w:endnote w:type="continuationSeparator" w:id="0">
    <w:p w14:paraId="7D511974" w14:textId="77777777" w:rsidR="007913B8" w:rsidRDefault="00791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D97BDF" w14:textId="77777777" w:rsidR="007913B8" w:rsidRPr="00875C0F" w:rsidRDefault="007913B8" w:rsidP="00412BFF">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7628522"/>
      <w:docPartObj>
        <w:docPartGallery w:val="Page Numbers (Bottom of Page)"/>
        <w:docPartUnique/>
      </w:docPartObj>
    </w:sdtPr>
    <w:sdtEndPr/>
    <w:sdtContent>
      <w:p w14:paraId="59D42851" w14:textId="77777777" w:rsidR="007913B8" w:rsidRPr="00875C0F" w:rsidRDefault="00C40664" w:rsidP="00412BFF">
        <w:pPr>
          <w:pStyle w:val="Footer"/>
          <w:jc w:val="right"/>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7996348"/>
      <w:docPartObj>
        <w:docPartGallery w:val="Page Numbers (Bottom of Page)"/>
        <w:docPartUnique/>
      </w:docPartObj>
    </w:sdtPr>
    <w:sdtEndPr/>
    <w:sdtContent>
      <w:p w14:paraId="6138BB9B" w14:textId="77777777" w:rsidR="007913B8" w:rsidRPr="00875C0F" w:rsidRDefault="00C40664" w:rsidP="00412BFF">
        <w:pPr>
          <w:pStyle w:val="Footer"/>
          <w:jc w:val="right"/>
        </w:pP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B9657" w14:textId="77777777" w:rsidR="007913B8" w:rsidRPr="0011178C" w:rsidRDefault="007913B8" w:rsidP="003929D2">
    <w:pPr>
      <w:pStyle w:val="Footer"/>
      <w:jc w:val="right"/>
    </w:pPr>
    <w:r>
      <w:fldChar w:fldCharType="begin"/>
    </w:r>
    <w:r>
      <w:instrText xml:space="preserve"> PAGE  \* Arabic  \* MERGEFORMAT </w:instrText>
    </w:r>
    <w:r>
      <w:fldChar w:fldCharType="separate"/>
    </w:r>
    <w:r w:rsidR="00C40664">
      <w:rPr>
        <w:noProof/>
      </w:rPr>
      <w:t>29</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901D4" w14:textId="719D6232" w:rsidR="007913B8" w:rsidRPr="007E487F" w:rsidRDefault="007913B8" w:rsidP="00DC0F02">
    <w:pPr>
      <w:pStyle w:val="Footer"/>
      <w:tabs>
        <w:tab w:val="right" w:pos="8931"/>
      </w:tabs>
      <w:rPr>
        <w:sz w:val="20"/>
        <w:szCs w:val="20"/>
      </w:rPr>
    </w:pPr>
    <w:r>
      <w:rPr>
        <w:sz w:val="20"/>
        <w:szCs w:val="20"/>
      </w:rPr>
      <w:tab/>
    </w:r>
    <w:r>
      <w:rPr>
        <w:sz w:val="20"/>
        <w:szCs w:val="20"/>
      </w:rPr>
      <w:tab/>
    </w:r>
    <w:r>
      <w:fldChar w:fldCharType="begin"/>
    </w:r>
    <w:r>
      <w:instrText xml:space="preserve"> PAGE   \* MERGEFORMAT </w:instrText>
    </w:r>
    <w:r>
      <w:fldChar w:fldCharType="separate"/>
    </w:r>
    <w:r w:rsidR="00C40664">
      <w:rPr>
        <w:noProof/>
      </w:rPr>
      <w:t>30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04548C" w14:textId="77777777" w:rsidR="007913B8" w:rsidRDefault="007913B8">
      <w:r>
        <w:separator/>
      </w:r>
    </w:p>
  </w:footnote>
  <w:footnote w:type="continuationSeparator" w:id="0">
    <w:p w14:paraId="405781A1" w14:textId="77777777" w:rsidR="007913B8" w:rsidRDefault="007913B8">
      <w:r>
        <w:continuationSeparator/>
      </w:r>
    </w:p>
  </w:footnote>
  <w:footnote w:id="1">
    <w:p w14:paraId="406D1BC5" w14:textId="77777777" w:rsidR="007913B8" w:rsidRDefault="007913B8" w:rsidP="00477C92">
      <w:pPr>
        <w:pStyle w:val="FootnoteText"/>
      </w:pPr>
      <w:r>
        <w:rPr>
          <w:rStyle w:val="FootnoteReference"/>
        </w:rPr>
        <w:footnoteRef/>
      </w:r>
      <w:r>
        <w:t xml:space="preserve"> </w:t>
      </w:r>
      <w:r>
        <w:tab/>
      </w:r>
      <w:r w:rsidRPr="00F612A9">
        <w:t>Costs include the opportunity cost of capital</w:t>
      </w:r>
      <w:r>
        <w:t>.</w:t>
      </w:r>
    </w:p>
  </w:footnote>
  <w:footnote w:id="2">
    <w:p w14:paraId="34CF30F4" w14:textId="2D791A7B" w:rsidR="007913B8" w:rsidRDefault="007913B8" w:rsidP="00F46EFD">
      <w:pPr>
        <w:pStyle w:val="FootnoteText"/>
      </w:pPr>
      <w:r>
        <w:rPr>
          <w:rStyle w:val="FootnoteReference"/>
        </w:rPr>
        <w:footnoteRef/>
      </w:r>
      <w:r>
        <w:t xml:space="preserve"> </w:t>
      </w:r>
      <w:r>
        <w:tab/>
        <w:t>‘</w:t>
      </w:r>
      <w:r w:rsidRPr="008C2AAF">
        <w:t xml:space="preserve">To be eligible for </w:t>
      </w:r>
      <w:proofErr w:type="spellStart"/>
      <w:r w:rsidRPr="008C2AAF">
        <w:t>CASP</w:t>
      </w:r>
      <w:proofErr w:type="spellEnd"/>
      <w:r w:rsidRPr="008C2AAF">
        <w:t xml:space="preserve"> you must live in the ACT, be under 65 years and require home and community support for daily living activities due to a health issue</w:t>
      </w:r>
      <w:r>
        <w:t xml:space="preserve">’, ACT Health, </w:t>
      </w:r>
      <w:hyperlink r:id="rId1" w:history="1">
        <w:r w:rsidRPr="00525649">
          <w:rPr>
            <w:rStyle w:val="Hyperlink"/>
          </w:rPr>
          <w:t>ACT Community Assistance &amp;</w:t>
        </w:r>
      </w:hyperlink>
      <w:r w:rsidRPr="00AA6866">
        <w:t xml:space="preserve"> </w:t>
      </w:r>
      <w:hyperlink r:id="rId2" w:history="1">
        <w:r w:rsidRPr="00525649">
          <w:rPr>
            <w:rStyle w:val="Hyperlink"/>
          </w:rPr>
          <w:t>Support Program (CASP),</w:t>
        </w:r>
      </w:hyperlink>
      <w:r>
        <w:t xml:space="preserve"> (</w:t>
      </w:r>
      <w:r w:rsidRPr="00AB4177">
        <w:t>http://www.health.act.gov.au/our-services/community-based-services/act-community-assistance-support-program</w:t>
      </w:r>
      <w:r>
        <w:t>), [accessed Apr 2018].</w:t>
      </w:r>
    </w:p>
  </w:footnote>
  <w:footnote w:id="3">
    <w:p w14:paraId="0B95D90F" w14:textId="1D28D485" w:rsidR="007913B8" w:rsidRDefault="007913B8" w:rsidP="00F46EFD">
      <w:pPr>
        <w:pStyle w:val="FootnoteText"/>
      </w:pPr>
      <w:r>
        <w:rPr>
          <w:rStyle w:val="FootnoteReference"/>
        </w:rPr>
        <w:footnoteRef/>
      </w:r>
      <w:r>
        <w:t xml:space="preserve"> </w:t>
      </w:r>
      <w:r>
        <w:tab/>
        <w:t>‘</w:t>
      </w:r>
      <w:r w:rsidRPr="00005A9B">
        <w:t>All applicants must have lived in the ACT for at least the previous 6 months to be eligible for social housing</w:t>
      </w:r>
      <w:r>
        <w:t>’, ACT Government Community Services, ‘</w:t>
      </w:r>
      <w:hyperlink r:id="rId3" w:history="1">
        <w:r w:rsidRPr="00525649">
          <w:rPr>
            <w:rStyle w:val="Hyperlink"/>
          </w:rPr>
          <w:t>Eligibility for Social Housing Assistance</w:t>
        </w:r>
      </w:hyperlink>
      <w:r>
        <w:t>’, (</w:t>
      </w:r>
      <w:r w:rsidRPr="00412D61">
        <w:t>http://www.communityservices.act.gov.au/hcs/policies/eligibility_for_public_housing_</w:t>
      </w:r>
      <w:r w:rsidRPr="00412D61">
        <w:br/>
      </w:r>
      <w:proofErr w:type="spellStart"/>
      <w:r w:rsidRPr="00412D61">
        <w:t>assistance#ACT</w:t>
      </w:r>
      <w:proofErr w:type="spellEnd"/>
      <w:r>
        <w:t>), [accessed Jan 2018</w:t>
      </w:r>
      <w:r>
        <w:rPr>
          <w:rStyle w:val="Hyperlink"/>
        </w:rPr>
        <w:t>]</w:t>
      </w:r>
      <w:r>
        <w:t>.</w:t>
      </w:r>
    </w:p>
  </w:footnote>
  <w:footnote w:id="4">
    <w:p w14:paraId="0EB4D4D1" w14:textId="08AEB9C7" w:rsidR="007913B8" w:rsidRDefault="007913B8" w:rsidP="00F46EFD">
      <w:pPr>
        <w:pStyle w:val="FootnoteText"/>
      </w:pPr>
      <w:r>
        <w:rPr>
          <w:rStyle w:val="FootnoteReference"/>
        </w:rPr>
        <w:footnoteRef/>
      </w:r>
      <w:r>
        <w:t xml:space="preserve"> </w:t>
      </w:r>
      <w:r>
        <w:tab/>
        <w:t>ACT Government Libraries, ‘</w:t>
      </w:r>
      <w:hyperlink r:id="rId4" w:history="1">
        <w:r w:rsidRPr="00525649">
          <w:rPr>
            <w:rStyle w:val="Hyperlink"/>
          </w:rPr>
          <w:t>Join the library</w:t>
        </w:r>
      </w:hyperlink>
      <w:r w:rsidR="000846BF">
        <w:t xml:space="preserve">’ </w:t>
      </w:r>
      <w:r>
        <w:t xml:space="preserve"> </w:t>
      </w:r>
      <w:r w:rsidR="000846BF">
        <w:t>(</w:t>
      </w:r>
      <w:r w:rsidR="000846BF" w:rsidRPr="000846BF">
        <w:t>https://www.library.act.gov.au/how_to_use_the_library/join_the_library)</w:t>
      </w:r>
      <w:r w:rsidR="000846BF">
        <w:t>, [accessed Apr 2018]</w:t>
      </w:r>
      <w:r>
        <w:t>.</w:t>
      </w:r>
    </w:p>
  </w:footnote>
  <w:footnote w:id="5">
    <w:p w14:paraId="40791D2D" w14:textId="376D510A" w:rsidR="007913B8" w:rsidRDefault="007913B8" w:rsidP="00D830B8">
      <w:pPr>
        <w:pStyle w:val="FootnoteText"/>
      </w:pPr>
      <w:r>
        <w:rPr>
          <w:rStyle w:val="FootnoteReference"/>
        </w:rPr>
        <w:footnoteRef/>
      </w:r>
      <w:r>
        <w:t xml:space="preserve"> </w:t>
      </w:r>
      <w:r>
        <w:tab/>
        <w:t>Department of the Environment and Energy, ‘</w:t>
      </w:r>
      <w:hyperlink r:id="rId5" w:history="1">
        <w:r w:rsidRPr="00BC67F4">
          <w:rPr>
            <w:rStyle w:val="Hyperlink"/>
          </w:rPr>
          <w:t>Australia's World Heritage List</w:t>
        </w:r>
      </w:hyperlink>
      <w:r>
        <w:t>‘, (</w:t>
      </w:r>
      <w:r w:rsidRPr="00756072">
        <w:t>http://www.environment.gov.au/heritage/places/world-heritage-list</w:t>
      </w:r>
      <w:r>
        <w:t>), [accessed Apr 2018].</w:t>
      </w:r>
    </w:p>
  </w:footnote>
  <w:footnote w:id="6">
    <w:p w14:paraId="48726FCB" w14:textId="35DE0E9C" w:rsidR="007913B8" w:rsidRDefault="007913B8" w:rsidP="00D830B8">
      <w:pPr>
        <w:pStyle w:val="FootnoteText"/>
      </w:pPr>
      <w:r>
        <w:rPr>
          <w:rStyle w:val="FootnoteReference"/>
        </w:rPr>
        <w:footnoteRef/>
      </w:r>
      <w:r>
        <w:t xml:space="preserve"> </w:t>
      </w:r>
      <w:r>
        <w:tab/>
        <w:t xml:space="preserve">Property NSW, </w:t>
      </w:r>
      <w:hyperlink r:id="rId6" w:history="1">
        <w:r w:rsidRPr="003534AF">
          <w:rPr>
            <w:rStyle w:val="Hyperlink"/>
          </w:rPr>
          <w:t>Annual Review 2015-16</w:t>
        </w:r>
      </w:hyperlink>
      <w:r>
        <w:t>, (</w:t>
      </w:r>
      <w:r w:rsidRPr="00756072">
        <w:t>https://www.property.nsw.gov.au/sites/default/files/Property%20NSW%20Annual%20Review%202015-16_web_sml.pdf</w:t>
      </w:r>
      <w:r>
        <w:t>), [accessed Apr 2018].</w:t>
      </w:r>
    </w:p>
  </w:footnote>
  <w:footnote w:id="7">
    <w:p w14:paraId="72560B65" w14:textId="5EEF3B35" w:rsidR="007913B8" w:rsidRDefault="007913B8" w:rsidP="00035E6E">
      <w:pPr>
        <w:pStyle w:val="FootnoteText"/>
      </w:pPr>
      <w:r>
        <w:rPr>
          <w:rStyle w:val="FootnoteReference"/>
        </w:rPr>
        <w:footnoteRef/>
      </w:r>
      <w:r>
        <w:t xml:space="preserve"> </w:t>
      </w:r>
      <w:r>
        <w:tab/>
      </w:r>
      <w:r w:rsidRPr="00035E6E">
        <w:t>ACT</w:t>
      </w:r>
      <w:r>
        <w:t xml:space="preserve"> Environment and Sustainable Development, ‘</w:t>
      </w:r>
      <w:hyperlink r:id="rId7" w:history="1">
        <w:r w:rsidRPr="00035E6E">
          <w:rPr>
            <w:rStyle w:val="Hyperlink"/>
          </w:rPr>
          <w:t>Background Paper 3: City structure, form and land use’</w:t>
        </w:r>
      </w:hyperlink>
      <w:r>
        <w:t>, October 2011, (</w:t>
      </w:r>
      <w:r w:rsidRPr="00412D61">
        <w:t>http://www.planning.act.gov.au/__data/assets/pdf_file/</w:t>
      </w:r>
      <w:r w:rsidRPr="00412D61">
        <w:br/>
        <w:t>0005/893426</w:t>
      </w:r>
      <w:r>
        <w:t>/Planning_Background03_City.pdf), [accessed Apr 2018]</w:t>
      </w:r>
      <w:r w:rsidRPr="00412D61">
        <w:t>.</w:t>
      </w:r>
    </w:p>
  </w:footnote>
  <w:footnote w:id="8">
    <w:p w14:paraId="2E83CF11" w14:textId="77777777" w:rsidR="007913B8" w:rsidRDefault="007913B8" w:rsidP="00C23AC3">
      <w:pPr>
        <w:pStyle w:val="FootnoteText"/>
      </w:pPr>
      <w:r>
        <w:rPr>
          <w:rStyle w:val="FootnoteReference"/>
        </w:rPr>
        <w:footnoteRef/>
      </w:r>
      <w:r>
        <w:t xml:space="preserve"> </w:t>
      </w:r>
      <w:r>
        <w:tab/>
      </w:r>
      <w:r w:rsidRPr="00A33472">
        <w:t>A future act is a proposal to deal with land in a way that affects native title rights and interests. Examples of future acts include the grant of a mining tenement or the compulsory acquisition of land.</w:t>
      </w:r>
    </w:p>
  </w:footnote>
  <w:footnote w:id="9">
    <w:p w14:paraId="11AB8264" w14:textId="24A84061" w:rsidR="007913B8" w:rsidRPr="00C550A7" w:rsidRDefault="007913B8" w:rsidP="00C23AC3">
      <w:pPr>
        <w:pStyle w:val="FootnoteText"/>
      </w:pPr>
      <w:r>
        <w:rPr>
          <w:rStyle w:val="FootnoteReference"/>
        </w:rPr>
        <w:footnoteRef/>
      </w:r>
      <w:r>
        <w:t xml:space="preserve"> </w:t>
      </w:r>
      <w:r>
        <w:tab/>
      </w:r>
      <w:r w:rsidR="000846BF">
        <w:t>Staff Research Paper</w:t>
      </w:r>
      <w:r>
        <w:t xml:space="preserve">, </w:t>
      </w:r>
      <w:r w:rsidRPr="00AD2782">
        <w:rPr>
          <w:i/>
        </w:rPr>
        <w:t>CGC 2016-19-S</w:t>
      </w:r>
      <w:r>
        <w:t xml:space="preserve">, </w:t>
      </w:r>
      <w:r w:rsidR="000846BF" w:rsidRPr="000846BF">
        <w:rPr>
          <w:i/>
        </w:rPr>
        <w:t>What States Do</w:t>
      </w:r>
      <w:r w:rsidR="000846BF">
        <w:t xml:space="preserve"> – </w:t>
      </w:r>
      <w:r w:rsidRPr="00C550A7">
        <w:rPr>
          <w:i/>
        </w:rPr>
        <w:t>Native title and land rights</w:t>
      </w:r>
      <w:r>
        <w:t>.</w:t>
      </w:r>
    </w:p>
  </w:footnote>
  <w:footnote w:id="10">
    <w:p w14:paraId="7BB5E72E" w14:textId="6700A5FC" w:rsidR="007913B8" w:rsidRDefault="007913B8" w:rsidP="00C23AC3">
      <w:pPr>
        <w:pStyle w:val="FootnoteText"/>
      </w:pPr>
      <w:r>
        <w:rPr>
          <w:rStyle w:val="FootnoteReference"/>
        </w:rPr>
        <w:footnoteRef/>
      </w:r>
      <w:r>
        <w:t xml:space="preserve"> </w:t>
      </w:r>
      <w:r>
        <w:tab/>
      </w:r>
      <w:hyperlink r:id="rId8" w:history="1">
        <w:r w:rsidRPr="005D4475">
          <w:rPr>
            <w:rStyle w:val="Hyperlink"/>
          </w:rPr>
          <w:t>National Native Title Tribunal</w:t>
        </w:r>
        <w:r w:rsidRPr="005D4475" w:rsidDel="005D4475">
          <w:rPr>
            <w:rStyle w:val="Hyperlink"/>
          </w:rPr>
          <w:t xml:space="preserve"> </w:t>
        </w:r>
        <w:r w:rsidRPr="00035E6E">
          <w:rPr>
            <w:rStyle w:val="Hyperlink"/>
          </w:rPr>
          <w:t>website</w:t>
        </w:r>
      </w:hyperlink>
      <w:r>
        <w:t xml:space="preserve">, </w:t>
      </w:r>
      <w:r w:rsidR="000846BF">
        <w:t>(</w:t>
      </w:r>
      <w:r w:rsidR="000846BF" w:rsidRPr="000846BF">
        <w:t>http://www.nntt.gov.au/searchRegApps/FutureActs/Pages/default.aspx</w:t>
      </w:r>
      <w:r w:rsidR="000846BF">
        <w:t>), [accessed Oct 2017</w:t>
      </w:r>
      <w:r>
        <w:t>].</w:t>
      </w:r>
    </w:p>
  </w:footnote>
  <w:footnote w:id="11">
    <w:p w14:paraId="0A905E66" w14:textId="313192CB" w:rsidR="007913B8" w:rsidRDefault="007913B8">
      <w:pPr>
        <w:pStyle w:val="FootnoteText"/>
      </w:pPr>
      <w:r>
        <w:rPr>
          <w:rStyle w:val="FootnoteReference"/>
        </w:rPr>
        <w:footnoteRef/>
      </w:r>
      <w:r>
        <w:t xml:space="preserve"> </w:t>
      </w:r>
      <w:r>
        <w:tab/>
        <w:t xml:space="preserve">Staff are proposing to assess </w:t>
      </w:r>
      <w:r w:rsidRPr="001546C5">
        <w:t>Indigenous community development us</w:t>
      </w:r>
      <w:r>
        <w:t>ing</w:t>
      </w:r>
      <w:r w:rsidRPr="001546C5">
        <w:t xml:space="preserve"> the Indigenous population living in these communities</w:t>
      </w:r>
      <w:r>
        <w:t>.</w:t>
      </w:r>
    </w:p>
  </w:footnote>
  <w:footnote w:id="12">
    <w:p w14:paraId="0C72BA0A" w14:textId="2A19F1A4" w:rsidR="007913B8" w:rsidRDefault="007913B8" w:rsidP="00C23AC3">
      <w:pPr>
        <w:pStyle w:val="FootnoteText"/>
      </w:pPr>
      <w:r>
        <w:rPr>
          <w:rStyle w:val="FootnoteReference"/>
        </w:rPr>
        <w:footnoteRef/>
      </w:r>
      <w:r>
        <w:t xml:space="preserve"> </w:t>
      </w:r>
      <w:r>
        <w:tab/>
        <w:t>Appeals by both the Northern Territory Government and the traditional owners are ongoing.</w:t>
      </w:r>
      <w:r w:rsidRPr="00E118EB">
        <w:t xml:space="preserve"> In relation to its current appeal, the Northern Territory Government said it was not opposed to compensation but wants to test the case thoroughly. </w:t>
      </w:r>
      <w:r>
        <w:t xml:space="preserve">Dias, A., 20 Feb 2017. </w:t>
      </w:r>
      <w:r w:rsidRPr="003A6BA2">
        <w:rPr>
          <w:i/>
        </w:rPr>
        <w:t>Landmark Timber Creek native title compensation case ‘being watched as test case’, NT Attorney General says</w:t>
      </w:r>
      <w:r>
        <w:t xml:space="preserve">. </w:t>
      </w:r>
      <w:hyperlink r:id="rId9" w:history="1">
        <w:r w:rsidRPr="00FA1981">
          <w:rPr>
            <w:rStyle w:val="Hyperlink"/>
          </w:rPr>
          <w:t>ABC News website</w:t>
        </w:r>
      </w:hyperlink>
      <w:r>
        <w:t xml:space="preserve">, </w:t>
      </w:r>
      <w:r w:rsidR="000846BF">
        <w:t>(</w:t>
      </w:r>
      <w:r w:rsidR="000846BF" w:rsidRPr="000846BF">
        <w:t>http://www.abc.net.au/news/2017-02-20/timber-creek-native-title-case-watched-closely-by-governments/8287210</w:t>
      </w:r>
      <w:r w:rsidR="000846BF">
        <w:t>), [accessed Jul 2017]</w:t>
      </w:r>
      <w:r>
        <w:t>.</w:t>
      </w:r>
    </w:p>
  </w:footnote>
  <w:footnote w:id="13">
    <w:p w14:paraId="2857BB85" w14:textId="699E6F57" w:rsidR="007913B8" w:rsidRDefault="007913B8" w:rsidP="00C23AC3">
      <w:pPr>
        <w:pStyle w:val="FootnoteText"/>
      </w:pPr>
      <w:r>
        <w:rPr>
          <w:rStyle w:val="FootnoteReference"/>
        </w:rPr>
        <w:footnoteRef/>
      </w:r>
      <w:r>
        <w:t xml:space="preserve"> </w:t>
      </w:r>
      <w:r>
        <w:tab/>
        <w:t>F</w:t>
      </w:r>
      <w:r w:rsidRPr="007D7813">
        <w:t>or example, in Victoria when a settlement is entered under the TOS Act, traditional owners must agree to withdraw any native title and compensation applications under the Native Title Act and not file any such application in the future</w:t>
      </w:r>
      <w:r>
        <w:t xml:space="preserve">. Similarly, in Western Australia the South West Native Title Settlement provides a final resolution to all Native title claims of the area, releasing the State from compensation liabilities. </w:t>
      </w:r>
      <w:r w:rsidR="00336502" w:rsidRPr="00336502">
        <w:t xml:space="preserve">Australian Institute of Aboriginal and Torres Strait Islander Studies </w:t>
      </w:r>
      <w:r w:rsidR="00336502">
        <w:t>(</w:t>
      </w:r>
      <w:proofErr w:type="spellStart"/>
      <w:r>
        <w:t>AIATSIS</w:t>
      </w:r>
      <w:proofErr w:type="spellEnd"/>
      <w:r w:rsidR="00336502">
        <w:t>)</w:t>
      </w:r>
      <w:r>
        <w:t xml:space="preserve">, </w:t>
      </w:r>
      <w:hyperlink r:id="rId10" w:history="1">
        <w:r w:rsidRPr="00085B09">
          <w:rPr>
            <w:rStyle w:val="Hyperlink"/>
            <w:i/>
          </w:rPr>
          <w:t>Native Title Information Handbook: Victoria</w:t>
        </w:r>
      </w:hyperlink>
      <w:r>
        <w:rPr>
          <w:i/>
        </w:rPr>
        <w:t>,</w:t>
      </w:r>
      <w:r>
        <w:t xml:space="preserve"> 2016, p. 6; Government of Western Australia, Sou</w:t>
      </w:r>
      <w:r w:rsidR="000846BF">
        <w:t>th West native Title Settlement,</w:t>
      </w:r>
      <w:r>
        <w:t xml:space="preserve"> </w:t>
      </w:r>
      <w:r w:rsidR="000846BF">
        <w:t>(</w:t>
      </w:r>
      <w:r w:rsidR="000846BF" w:rsidRPr="000846BF">
        <w:t>https://www.dpc.wa.gov.au/lantu/south-west-native-title-settlement/Pages/default.aspx</w:t>
      </w:r>
      <w:r w:rsidR="000846BF">
        <w:t>), [accessed Oct 2016]</w:t>
      </w:r>
      <w:r>
        <w:t>.</w:t>
      </w:r>
    </w:p>
  </w:footnote>
  <w:footnote w:id="14">
    <w:p w14:paraId="48C1A566" w14:textId="2A0E28BC" w:rsidR="007913B8" w:rsidRDefault="007913B8" w:rsidP="00C23AC3">
      <w:pPr>
        <w:pStyle w:val="FootnoteText"/>
      </w:pPr>
      <w:r>
        <w:rPr>
          <w:rStyle w:val="FootnoteReference"/>
        </w:rPr>
        <w:footnoteRef/>
      </w:r>
      <w:r>
        <w:t xml:space="preserve"> </w:t>
      </w:r>
      <w:r>
        <w:tab/>
      </w:r>
      <w:r w:rsidR="00336502" w:rsidRPr="00336502">
        <w:t xml:space="preserve">Australian Institute of Aboriginal and Torres Strait Islander Studies </w:t>
      </w:r>
      <w:r w:rsidR="00336502">
        <w:t>(</w:t>
      </w:r>
      <w:proofErr w:type="spellStart"/>
      <w:r w:rsidRPr="0029668D">
        <w:t>AIATSIS</w:t>
      </w:r>
      <w:proofErr w:type="spellEnd"/>
      <w:r w:rsidR="00336502">
        <w:t>)</w:t>
      </w:r>
      <w:r w:rsidRPr="0029668D">
        <w:t xml:space="preserve">, </w:t>
      </w:r>
      <w:r w:rsidRPr="00336502">
        <w:rPr>
          <w:i/>
        </w:rPr>
        <w:t>Native Title Information Handbook: New South Wales, 2016</w:t>
      </w:r>
      <w:r>
        <w:t>, p. 17</w:t>
      </w:r>
      <w:r w:rsidRPr="0029668D">
        <w:t>.</w:t>
      </w:r>
    </w:p>
  </w:footnote>
  <w:footnote w:id="15">
    <w:p w14:paraId="47F309DA" w14:textId="77777777" w:rsidR="007913B8" w:rsidRDefault="007913B8" w:rsidP="00C23AC3">
      <w:pPr>
        <w:pStyle w:val="FootnoteText"/>
      </w:pPr>
      <w:r>
        <w:rPr>
          <w:rStyle w:val="FootnoteReference"/>
        </w:rPr>
        <w:footnoteRef/>
      </w:r>
      <w:r>
        <w:t xml:space="preserve"> </w:t>
      </w:r>
      <w:r>
        <w:tab/>
      </w:r>
      <w:proofErr w:type="spellStart"/>
      <w:r w:rsidRPr="0029668D">
        <w:t>AIATSIS</w:t>
      </w:r>
      <w:proofErr w:type="spellEnd"/>
      <w:r w:rsidRPr="0029668D">
        <w:t xml:space="preserve">, </w:t>
      </w:r>
      <w:r w:rsidRPr="00336502">
        <w:rPr>
          <w:i/>
        </w:rPr>
        <w:t>Native Title Information Handbook: Victoria</w:t>
      </w:r>
      <w:r>
        <w:t xml:space="preserve">, </w:t>
      </w:r>
      <w:r w:rsidRPr="00336502">
        <w:rPr>
          <w:i/>
        </w:rPr>
        <w:t>2016</w:t>
      </w:r>
      <w:r>
        <w:t>, p. 23</w:t>
      </w:r>
      <w:r w:rsidRPr="0029668D">
        <w:t>.</w:t>
      </w:r>
    </w:p>
  </w:footnote>
  <w:footnote w:id="16">
    <w:p w14:paraId="51CDDB31" w14:textId="77777777" w:rsidR="007913B8" w:rsidRDefault="007913B8" w:rsidP="00C23AC3">
      <w:pPr>
        <w:pStyle w:val="FootnoteText"/>
      </w:pPr>
      <w:r>
        <w:rPr>
          <w:rStyle w:val="FootnoteReference"/>
        </w:rPr>
        <w:footnoteRef/>
      </w:r>
      <w:r>
        <w:t xml:space="preserve"> </w:t>
      </w:r>
      <w:r>
        <w:tab/>
      </w:r>
      <w:proofErr w:type="spellStart"/>
      <w:r w:rsidRPr="0029668D">
        <w:t>AIATSIS</w:t>
      </w:r>
      <w:proofErr w:type="spellEnd"/>
      <w:r w:rsidRPr="0029668D">
        <w:t xml:space="preserve">, </w:t>
      </w:r>
      <w:r w:rsidRPr="00336502">
        <w:rPr>
          <w:i/>
        </w:rPr>
        <w:t>Native Title Information Handbook: Queensland</w:t>
      </w:r>
      <w:r>
        <w:t xml:space="preserve">, </w:t>
      </w:r>
      <w:r w:rsidRPr="00336502">
        <w:rPr>
          <w:i/>
        </w:rPr>
        <w:t>2016</w:t>
      </w:r>
      <w:r>
        <w:t>, pp. 30-31</w:t>
      </w:r>
      <w:r w:rsidRPr="0029668D">
        <w:t>.</w:t>
      </w:r>
    </w:p>
  </w:footnote>
  <w:footnote w:id="17">
    <w:p w14:paraId="615ECF53" w14:textId="77777777" w:rsidR="007913B8" w:rsidRDefault="007913B8" w:rsidP="00C23AC3">
      <w:pPr>
        <w:pStyle w:val="FootnoteText"/>
      </w:pPr>
      <w:r>
        <w:rPr>
          <w:rStyle w:val="FootnoteReference"/>
        </w:rPr>
        <w:footnoteRef/>
      </w:r>
      <w:r>
        <w:t xml:space="preserve"> </w:t>
      </w:r>
      <w:r>
        <w:tab/>
      </w:r>
      <w:proofErr w:type="spellStart"/>
      <w:r w:rsidRPr="0029668D">
        <w:t>AIATSIS</w:t>
      </w:r>
      <w:proofErr w:type="spellEnd"/>
      <w:r w:rsidRPr="0029668D">
        <w:t xml:space="preserve">, </w:t>
      </w:r>
      <w:r w:rsidRPr="00336502">
        <w:rPr>
          <w:i/>
        </w:rPr>
        <w:t>Native Title Information Handbook: Western Australia, 2016</w:t>
      </w:r>
      <w:r>
        <w:t>, pp. 30-31</w:t>
      </w:r>
      <w:r w:rsidRPr="0029668D">
        <w:t>.</w:t>
      </w:r>
    </w:p>
  </w:footnote>
  <w:footnote w:id="18">
    <w:p w14:paraId="0D448BE8" w14:textId="77777777" w:rsidR="007913B8" w:rsidRDefault="007913B8" w:rsidP="00C23AC3">
      <w:pPr>
        <w:pStyle w:val="FootnoteText"/>
      </w:pPr>
      <w:r>
        <w:rPr>
          <w:rStyle w:val="FootnoteReference"/>
        </w:rPr>
        <w:footnoteRef/>
      </w:r>
      <w:r>
        <w:t xml:space="preserve"> </w:t>
      </w:r>
      <w:r>
        <w:tab/>
      </w:r>
      <w:proofErr w:type="spellStart"/>
      <w:r w:rsidRPr="0029668D">
        <w:t>AIATSIS</w:t>
      </w:r>
      <w:proofErr w:type="spellEnd"/>
      <w:r w:rsidRPr="0029668D">
        <w:t xml:space="preserve">, </w:t>
      </w:r>
      <w:r w:rsidRPr="00336502">
        <w:rPr>
          <w:i/>
        </w:rPr>
        <w:t>Native Title Information Handbook: South Australia, 2016</w:t>
      </w:r>
      <w:r>
        <w:t>, p. 21</w:t>
      </w:r>
      <w:r w:rsidRPr="0029668D">
        <w:t>.</w:t>
      </w:r>
    </w:p>
  </w:footnote>
  <w:footnote w:id="19">
    <w:p w14:paraId="19B7F436" w14:textId="77777777" w:rsidR="007913B8" w:rsidRDefault="007913B8" w:rsidP="00C23AC3">
      <w:pPr>
        <w:pStyle w:val="FootnoteText"/>
      </w:pPr>
      <w:r>
        <w:rPr>
          <w:rStyle w:val="FootnoteReference"/>
        </w:rPr>
        <w:footnoteRef/>
      </w:r>
      <w:r>
        <w:t xml:space="preserve"> </w:t>
      </w:r>
      <w:r>
        <w:tab/>
      </w:r>
      <w:proofErr w:type="spellStart"/>
      <w:r w:rsidRPr="0029668D">
        <w:t>AIATSIS</w:t>
      </w:r>
      <w:proofErr w:type="spellEnd"/>
      <w:r w:rsidRPr="0029668D">
        <w:t xml:space="preserve">, </w:t>
      </w:r>
      <w:r w:rsidRPr="00336502">
        <w:rPr>
          <w:i/>
        </w:rPr>
        <w:t>Native Title Information Handbook: Tasmania, 2016,</w:t>
      </w:r>
      <w:r>
        <w:t xml:space="preserve"> pp. 10-11</w:t>
      </w:r>
      <w:r w:rsidRPr="0029668D">
        <w:t>.</w:t>
      </w:r>
    </w:p>
  </w:footnote>
  <w:footnote w:id="20">
    <w:p w14:paraId="4120868C" w14:textId="77777777" w:rsidR="007913B8" w:rsidRDefault="007913B8" w:rsidP="00C23AC3">
      <w:pPr>
        <w:pStyle w:val="FootnoteText"/>
      </w:pPr>
      <w:r>
        <w:rPr>
          <w:rStyle w:val="FootnoteReference"/>
        </w:rPr>
        <w:footnoteRef/>
      </w:r>
      <w:r>
        <w:t xml:space="preserve"> </w:t>
      </w:r>
      <w:r>
        <w:tab/>
      </w:r>
      <w:proofErr w:type="spellStart"/>
      <w:r w:rsidRPr="0029668D">
        <w:t>AIATSIS</w:t>
      </w:r>
      <w:proofErr w:type="spellEnd"/>
      <w:r w:rsidRPr="0029668D">
        <w:t xml:space="preserve">, </w:t>
      </w:r>
      <w:r w:rsidRPr="00336502">
        <w:rPr>
          <w:i/>
        </w:rPr>
        <w:t>Native Title Information Handbook: Australian Capital Territory, 2016</w:t>
      </w:r>
      <w:r>
        <w:t>, pp. 14</w:t>
      </w:r>
      <w:r w:rsidRPr="0029668D">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0C3EF" w14:textId="77777777" w:rsidR="007913B8" w:rsidRDefault="007913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4CFC1" w14:textId="77777777" w:rsidR="007913B8" w:rsidRDefault="007913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679"/>
    <w:multiLevelType w:val="multilevel"/>
    <w:tmpl w:val="87ECD5DE"/>
    <w:lvl w:ilvl="0">
      <w:start w:val="1"/>
      <w:numFmt w:val="lowerRoman"/>
      <w:lvlText w:val="(%1)"/>
      <w:lvlJc w:val="right"/>
      <w:pPr>
        <w:tabs>
          <w:tab w:val="num" w:pos="1701"/>
        </w:tabs>
        <w:ind w:left="1701"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53D7BB4"/>
    <w:multiLevelType w:val="multilevel"/>
    <w:tmpl w:val="410E2C24"/>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nsid w:val="16C95DEC"/>
    <w:multiLevelType w:val="multilevel"/>
    <w:tmpl w:val="09E854DC"/>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1C66C66"/>
    <w:multiLevelType w:val="multilevel"/>
    <w:tmpl w:val="5B74CF8C"/>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5">
    <w:nsid w:val="317A6023"/>
    <w:multiLevelType w:val="hybridMultilevel"/>
    <w:tmpl w:val="1262912E"/>
    <w:lvl w:ilvl="0" w:tplc="9B9083DC">
      <w:start w:val="1"/>
      <w:numFmt w:val="lowerRoman"/>
      <w:pStyle w:val="CGCNumeralList"/>
      <w:lvlText w:val="%1"/>
      <w:lvlJc w:val="left"/>
      <w:pPr>
        <w:ind w:left="206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CB5609"/>
    <w:multiLevelType w:val="hybridMultilevel"/>
    <w:tmpl w:val="24484DBE"/>
    <w:lvl w:ilvl="0" w:tplc="A1CEF810">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D0A6680"/>
    <w:multiLevelType w:val="multilevel"/>
    <w:tmpl w:val="646E338E"/>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FE32354"/>
    <w:multiLevelType w:val="hybridMultilevel"/>
    <w:tmpl w:val="7D6053A6"/>
    <w:lvl w:ilvl="0" w:tplc="5FE44A6C">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CDF4199"/>
    <w:multiLevelType w:val="hybridMultilevel"/>
    <w:tmpl w:val="99062688"/>
    <w:lvl w:ilvl="0" w:tplc="F3F48994">
      <w:start w:val="1"/>
      <w:numFmt w:val="bullet"/>
      <w:pStyle w:val="CGCQuotation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5D124923"/>
    <w:multiLevelType w:val="multilevel"/>
    <w:tmpl w:val="DA6AC07E"/>
    <w:lvl w:ilvl="0">
      <w:start w:val="1"/>
      <w:numFmt w:val="bullet"/>
      <w:lvlText w:val=""/>
      <w:lvlJc w:val="left"/>
      <w:pPr>
        <w:tabs>
          <w:tab w:val="num" w:pos="1627"/>
        </w:tabs>
        <w:ind w:left="1627"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5F120A6F"/>
    <w:multiLevelType w:val="multilevel"/>
    <w:tmpl w:val="EC6A24FE"/>
    <w:lvl w:ilvl="0">
      <w:start w:val="1"/>
      <w:numFmt w:val="bullet"/>
      <w:lvlText w:val=""/>
      <w:lvlJc w:val="left"/>
      <w:pPr>
        <w:tabs>
          <w:tab w:val="num" w:pos="927"/>
        </w:tabs>
        <w:ind w:left="1134"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60FE42A7"/>
    <w:multiLevelType w:val="hybridMultilevel"/>
    <w:tmpl w:val="E4B8FB9A"/>
    <w:lvl w:ilvl="0" w:tplc="18EA3C62">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9552687"/>
    <w:multiLevelType w:val="multilevel"/>
    <w:tmpl w:val="76E0CFF8"/>
    <w:lvl w:ilvl="0">
      <w:start w:val="1"/>
      <w:numFmt w:val="bullet"/>
      <w:lvlText w:val=""/>
      <w:lvlJc w:val="left"/>
      <w:pPr>
        <w:tabs>
          <w:tab w:val="num" w:pos="1503"/>
        </w:tabs>
        <w:ind w:left="171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15">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5"/>
  </w:num>
  <w:num w:numId="3">
    <w:abstractNumId w:val="1"/>
  </w:num>
  <w:num w:numId="4">
    <w:abstractNumId w:val="15"/>
  </w:num>
  <w:num w:numId="5">
    <w:abstractNumId w:val="15"/>
  </w:num>
  <w:num w:numId="6">
    <w:abstractNumId w:val="4"/>
  </w:num>
  <w:num w:numId="7">
    <w:abstractNumId w:val="4"/>
  </w:num>
  <w:num w:numId="8">
    <w:abstractNumId w:val="4"/>
  </w:num>
  <w:num w:numId="9">
    <w:abstractNumId w:val="4"/>
  </w:num>
  <w:num w:numId="10">
    <w:abstractNumId w:val="14"/>
  </w:num>
  <w:num w:numId="11">
    <w:abstractNumId w:val="5"/>
  </w:num>
  <w:num w:numId="12">
    <w:abstractNumId w:val="1"/>
  </w:num>
  <w:num w:numId="13">
    <w:abstractNumId w:val="15"/>
  </w:num>
  <w:num w:numId="14">
    <w:abstractNumId w:val="4"/>
  </w:num>
  <w:num w:numId="15">
    <w:abstractNumId w:val="4"/>
  </w:num>
  <w:num w:numId="16">
    <w:abstractNumId w:val="4"/>
  </w:num>
  <w:num w:numId="17">
    <w:abstractNumId w:val="4"/>
  </w:num>
  <w:num w:numId="18">
    <w:abstractNumId w:val="0"/>
  </w:num>
  <w:num w:numId="19">
    <w:abstractNumId w:val="9"/>
  </w:num>
  <w:num w:numId="20">
    <w:abstractNumId w:val="10"/>
  </w:num>
  <w:num w:numId="21">
    <w:abstractNumId w:val="2"/>
  </w:num>
  <w:num w:numId="22">
    <w:abstractNumId w:val="7"/>
  </w:num>
  <w:num w:numId="23">
    <w:abstractNumId w:val="13"/>
  </w:num>
  <w:num w:numId="24">
    <w:abstractNumId w:val="3"/>
  </w:num>
  <w:num w:numId="25">
    <w:abstractNumId w:val="11"/>
  </w:num>
  <w:num w:numId="26">
    <w:abstractNumId w:val="1"/>
  </w:num>
  <w:num w:numId="27">
    <w:abstractNumId w:val="8"/>
  </w:num>
  <w:num w:numId="28">
    <w:abstractNumId w:val="12"/>
  </w:num>
  <w:num w:numId="29">
    <w:abstractNumId w:val="6"/>
  </w:num>
  <w:num w:numId="30">
    <w:abstractNumId w:val="5"/>
    <w:lvlOverride w:ilvl="0">
      <w:startOverride w:val="1"/>
    </w:lvlOverride>
  </w:num>
  <w:num w:numId="31">
    <w:abstractNumId w:val="14"/>
  </w:num>
  <w:num w:numId="32">
    <w:abstractNumId w:val="1"/>
  </w:num>
  <w:num w:numId="33">
    <w:abstractNumId w:val="5"/>
  </w:num>
  <w:num w:numId="34">
    <w:abstractNumId w:val="15"/>
  </w:num>
  <w:num w:numId="35">
    <w:abstractNumId w:val="9"/>
  </w:num>
  <w:num w:numId="36">
    <w:abstractNumId w:val="14"/>
  </w:num>
  <w:num w:numId="37">
    <w:abstractNumId w:val="1"/>
  </w:num>
  <w:num w:numId="38">
    <w:abstractNumId w:val="5"/>
  </w:num>
  <w:num w:numId="39">
    <w:abstractNumId w:val="15"/>
  </w:num>
  <w:num w:numId="40">
    <w:abstractNumId w:val="9"/>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dy Nicholas">
    <w15:presenceInfo w15:providerId="Windows Live" w15:userId="a6adc1428c8084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EFD"/>
    <w:rsid w:val="00016FE0"/>
    <w:rsid w:val="00022EA9"/>
    <w:rsid w:val="00023DD2"/>
    <w:rsid w:val="00024745"/>
    <w:rsid w:val="00027840"/>
    <w:rsid w:val="00032F41"/>
    <w:rsid w:val="00035E6E"/>
    <w:rsid w:val="0004123E"/>
    <w:rsid w:val="00041748"/>
    <w:rsid w:val="00041E84"/>
    <w:rsid w:val="000424EA"/>
    <w:rsid w:val="00042EE4"/>
    <w:rsid w:val="000431F5"/>
    <w:rsid w:val="0004587E"/>
    <w:rsid w:val="00056373"/>
    <w:rsid w:val="000565BA"/>
    <w:rsid w:val="00060EB6"/>
    <w:rsid w:val="00061111"/>
    <w:rsid w:val="000624BB"/>
    <w:rsid w:val="000648E8"/>
    <w:rsid w:val="000846BF"/>
    <w:rsid w:val="00084FC5"/>
    <w:rsid w:val="00085B09"/>
    <w:rsid w:val="000877FD"/>
    <w:rsid w:val="00093796"/>
    <w:rsid w:val="000A3898"/>
    <w:rsid w:val="000A52A1"/>
    <w:rsid w:val="000B2942"/>
    <w:rsid w:val="000B3557"/>
    <w:rsid w:val="000B64E3"/>
    <w:rsid w:val="000C6D20"/>
    <w:rsid w:val="000D1354"/>
    <w:rsid w:val="000D7773"/>
    <w:rsid w:val="000D7C54"/>
    <w:rsid w:val="000E0210"/>
    <w:rsid w:val="000E6AA5"/>
    <w:rsid w:val="000E7F56"/>
    <w:rsid w:val="000F1CDA"/>
    <w:rsid w:val="000F3F81"/>
    <w:rsid w:val="001011C4"/>
    <w:rsid w:val="001039C2"/>
    <w:rsid w:val="001040AD"/>
    <w:rsid w:val="00107503"/>
    <w:rsid w:val="0011178C"/>
    <w:rsid w:val="00112CF0"/>
    <w:rsid w:val="001211AB"/>
    <w:rsid w:val="001218B8"/>
    <w:rsid w:val="00124ED1"/>
    <w:rsid w:val="00136497"/>
    <w:rsid w:val="00141BD1"/>
    <w:rsid w:val="00142588"/>
    <w:rsid w:val="00147115"/>
    <w:rsid w:val="001477CE"/>
    <w:rsid w:val="001546C5"/>
    <w:rsid w:val="0016723A"/>
    <w:rsid w:val="00171A05"/>
    <w:rsid w:val="00172F3A"/>
    <w:rsid w:val="001730FD"/>
    <w:rsid w:val="00173798"/>
    <w:rsid w:val="00173BE6"/>
    <w:rsid w:val="00173E72"/>
    <w:rsid w:val="00176977"/>
    <w:rsid w:val="001807C0"/>
    <w:rsid w:val="001811DE"/>
    <w:rsid w:val="00187145"/>
    <w:rsid w:val="00187F3F"/>
    <w:rsid w:val="001A1E05"/>
    <w:rsid w:val="001B0110"/>
    <w:rsid w:val="001B3048"/>
    <w:rsid w:val="001B696E"/>
    <w:rsid w:val="001B6A56"/>
    <w:rsid w:val="001C469B"/>
    <w:rsid w:val="001C6A71"/>
    <w:rsid w:val="001D638B"/>
    <w:rsid w:val="001D6DFA"/>
    <w:rsid w:val="001E6180"/>
    <w:rsid w:val="001E674B"/>
    <w:rsid w:val="001E68FC"/>
    <w:rsid w:val="001F2C21"/>
    <w:rsid w:val="00204026"/>
    <w:rsid w:val="00212822"/>
    <w:rsid w:val="00212948"/>
    <w:rsid w:val="00215FB1"/>
    <w:rsid w:val="00216403"/>
    <w:rsid w:val="002166E3"/>
    <w:rsid w:val="00217839"/>
    <w:rsid w:val="00225A3B"/>
    <w:rsid w:val="0023081D"/>
    <w:rsid w:val="0023329C"/>
    <w:rsid w:val="00233E13"/>
    <w:rsid w:val="00236DC0"/>
    <w:rsid w:val="002373A2"/>
    <w:rsid w:val="00242517"/>
    <w:rsid w:val="0024260B"/>
    <w:rsid w:val="0024401F"/>
    <w:rsid w:val="0024569B"/>
    <w:rsid w:val="00246E76"/>
    <w:rsid w:val="00255B5A"/>
    <w:rsid w:val="00256FC1"/>
    <w:rsid w:val="00265996"/>
    <w:rsid w:val="002670B9"/>
    <w:rsid w:val="002671A2"/>
    <w:rsid w:val="00267496"/>
    <w:rsid w:val="00272977"/>
    <w:rsid w:val="00272DD3"/>
    <w:rsid w:val="00275B68"/>
    <w:rsid w:val="002813EC"/>
    <w:rsid w:val="002845EA"/>
    <w:rsid w:val="00286EBE"/>
    <w:rsid w:val="00287495"/>
    <w:rsid w:val="00295B70"/>
    <w:rsid w:val="00297ADC"/>
    <w:rsid w:val="002A0BDE"/>
    <w:rsid w:val="002A2A08"/>
    <w:rsid w:val="002A2D93"/>
    <w:rsid w:val="002A4135"/>
    <w:rsid w:val="002A4E42"/>
    <w:rsid w:val="002A77C3"/>
    <w:rsid w:val="002B10B0"/>
    <w:rsid w:val="002B169C"/>
    <w:rsid w:val="002B6EFD"/>
    <w:rsid w:val="002B6F33"/>
    <w:rsid w:val="002B76D9"/>
    <w:rsid w:val="002B79F0"/>
    <w:rsid w:val="002B7F3E"/>
    <w:rsid w:val="002C1D9C"/>
    <w:rsid w:val="002C366F"/>
    <w:rsid w:val="002C4CA9"/>
    <w:rsid w:val="002D2270"/>
    <w:rsid w:val="002D3D8B"/>
    <w:rsid w:val="002E25A8"/>
    <w:rsid w:val="002F04DE"/>
    <w:rsid w:val="002F1CD3"/>
    <w:rsid w:val="002F6E28"/>
    <w:rsid w:val="002F7E68"/>
    <w:rsid w:val="00302E5E"/>
    <w:rsid w:val="00307DEF"/>
    <w:rsid w:val="00311D33"/>
    <w:rsid w:val="00313664"/>
    <w:rsid w:val="00314F90"/>
    <w:rsid w:val="003245E4"/>
    <w:rsid w:val="0033102E"/>
    <w:rsid w:val="00331401"/>
    <w:rsid w:val="00333234"/>
    <w:rsid w:val="00335ED1"/>
    <w:rsid w:val="00336502"/>
    <w:rsid w:val="00337EF8"/>
    <w:rsid w:val="00342A60"/>
    <w:rsid w:val="0034379D"/>
    <w:rsid w:val="0034646D"/>
    <w:rsid w:val="003478FF"/>
    <w:rsid w:val="00347BE5"/>
    <w:rsid w:val="003522E0"/>
    <w:rsid w:val="0035267F"/>
    <w:rsid w:val="003534AF"/>
    <w:rsid w:val="0035580D"/>
    <w:rsid w:val="003624A7"/>
    <w:rsid w:val="003639FB"/>
    <w:rsid w:val="00363BF7"/>
    <w:rsid w:val="00382AE5"/>
    <w:rsid w:val="003929D2"/>
    <w:rsid w:val="003939BB"/>
    <w:rsid w:val="00393FA5"/>
    <w:rsid w:val="003A27BB"/>
    <w:rsid w:val="003B673D"/>
    <w:rsid w:val="003C2577"/>
    <w:rsid w:val="003C4448"/>
    <w:rsid w:val="003D3D91"/>
    <w:rsid w:val="003D4708"/>
    <w:rsid w:val="003D477A"/>
    <w:rsid w:val="003D5439"/>
    <w:rsid w:val="003E55D6"/>
    <w:rsid w:val="003E6615"/>
    <w:rsid w:val="003E79F9"/>
    <w:rsid w:val="003F12E9"/>
    <w:rsid w:val="003F59F4"/>
    <w:rsid w:val="00404DCD"/>
    <w:rsid w:val="004069F3"/>
    <w:rsid w:val="004077D6"/>
    <w:rsid w:val="004121E7"/>
    <w:rsid w:val="00412BFF"/>
    <w:rsid w:val="00412D61"/>
    <w:rsid w:val="00414E51"/>
    <w:rsid w:val="00420F04"/>
    <w:rsid w:val="00422CAA"/>
    <w:rsid w:val="00423099"/>
    <w:rsid w:val="00424E79"/>
    <w:rsid w:val="0042661C"/>
    <w:rsid w:val="004274B3"/>
    <w:rsid w:val="00430F9D"/>
    <w:rsid w:val="00441A34"/>
    <w:rsid w:val="00443EC1"/>
    <w:rsid w:val="00453264"/>
    <w:rsid w:val="00462B54"/>
    <w:rsid w:val="00463064"/>
    <w:rsid w:val="00466399"/>
    <w:rsid w:val="00472461"/>
    <w:rsid w:val="004768C6"/>
    <w:rsid w:val="00477C92"/>
    <w:rsid w:val="004809B8"/>
    <w:rsid w:val="004821B9"/>
    <w:rsid w:val="00486CEB"/>
    <w:rsid w:val="00491D88"/>
    <w:rsid w:val="00493583"/>
    <w:rsid w:val="004939CE"/>
    <w:rsid w:val="0049605C"/>
    <w:rsid w:val="004965F7"/>
    <w:rsid w:val="004A1AF3"/>
    <w:rsid w:val="004A1D86"/>
    <w:rsid w:val="004A7048"/>
    <w:rsid w:val="004B0A0A"/>
    <w:rsid w:val="004B1C4B"/>
    <w:rsid w:val="004B60CB"/>
    <w:rsid w:val="004C1CB5"/>
    <w:rsid w:val="004C5848"/>
    <w:rsid w:val="004D5100"/>
    <w:rsid w:val="004E5553"/>
    <w:rsid w:val="004E769A"/>
    <w:rsid w:val="004F40BA"/>
    <w:rsid w:val="00500ACD"/>
    <w:rsid w:val="00504061"/>
    <w:rsid w:val="00505BAE"/>
    <w:rsid w:val="00506956"/>
    <w:rsid w:val="00515380"/>
    <w:rsid w:val="0051676E"/>
    <w:rsid w:val="005176CA"/>
    <w:rsid w:val="005177E7"/>
    <w:rsid w:val="005226E3"/>
    <w:rsid w:val="00525649"/>
    <w:rsid w:val="00537992"/>
    <w:rsid w:val="00537A77"/>
    <w:rsid w:val="00540A1D"/>
    <w:rsid w:val="00541A14"/>
    <w:rsid w:val="005435FF"/>
    <w:rsid w:val="00543F9C"/>
    <w:rsid w:val="00546D39"/>
    <w:rsid w:val="00550E84"/>
    <w:rsid w:val="00551368"/>
    <w:rsid w:val="00554B03"/>
    <w:rsid w:val="005567DF"/>
    <w:rsid w:val="005577B0"/>
    <w:rsid w:val="00557846"/>
    <w:rsid w:val="00562084"/>
    <w:rsid w:val="00570EED"/>
    <w:rsid w:val="005716FC"/>
    <w:rsid w:val="00575DEF"/>
    <w:rsid w:val="00583A1F"/>
    <w:rsid w:val="00583A33"/>
    <w:rsid w:val="005867D2"/>
    <w:rsid w:val="005963CC"/>
    <w:rsid w:val="00596E19"/>
    <w:rsid w:val="005A241E"/>
    <w:rsid w:val="005A5E50"/>
    <w:rsid w:val="005A6FED"/>
    <w:rsid w:val="005B1BC4"/>
    <w:rsid w:val="005B6894"/>
    <w:rsid w:val="005C0516"/>
    <w:rsid w:val="005C13B2"/>
    <w:rsid w:val="005C27E3"/>
    <w:rsid w:val="005C2FB0"/>
    <w:rsid w:val="005C351C"/>
    <w:rsid w:val="005C37CB"/>
    <w:rsid w:val="005C459C"/>
    <w:rsid w:val="005D1A9F"/>
    <w:rsid w:val="005D4475"/>
    <w:rsid w:val="005D52FA"/>
    <w:rsid w:val="005E266F"/>
    <w:rsid w:val="005E5734"/>
    <w:rsid w:val="005E5D31"/>
    <w:rsid w:val="005E73CE"/>
    <w:rsid w:val="005F07DC"/>
    <w:rsid w:val="005F3861"/>
    <w:rsid w:val="005F64FB"/>
    <w:rsid w:val="0060251E"/>
    <w:rsid w:val="00602DDE"/>
    <w:rsid w:val="00610724"/>
    <w:rsid w:val="00611737"/>
    <w:rsid w:val="00614DE8"/>
    <w:rsid w:val="00622669"/>
    <w:rsid w:val="00622FE1"/>
    <w:rsid w:val="00625CE5"/>
    <w:rsid w:val="00631D0D"/>
    <w:rsid w:val="00635027"/>
    <w:rsid w:val="006403DF"/>
    <w:rsid w:val="006412BE"/>
    <w:rsid w:val="00644A7B"/>
    <w:rsid w:val="00651406"/>
    <w:rsid w:val="006556D9"/>
    <w:rsid w:val="00661C46"/>
    <w:rsid w:val="006652D3"/>
    <w:rsid w:val="0066653D"/>
    <w:rsid w:val="00667CF3"/>
    <w:rsid w:val="006733E1"/>
    <w:rsid w:val="006769C4"/>
    <w:rsid w:val="00677627"/>
    <w:rsid w:val="006777C1"/>
    <w:rsid w:val="00677BD5"/>
    <w:rsid w:val="0068025E"/>
    <w:rsid w:val="006828EE"/>
    <w:rsid w:val="00684EF8"/>
    <w:rsid w:val="00685D22"/>
    <w:rsid w:val="00693C87"/>
    <w:rsid w:val="00694171"/>
    <w:rsid w:val="0069437F"/>
    <w:rsid w:val="006969DD"/>
    <w:rsid w:val="006A05C7"/>
    <w:rsid w:val="006A607B"/>
    <w:rsid w:val="006A6E27"/>
    <w:rsid w:val="006A72B0"/>
    <w:rsid w:val="006B3E4D"/>
    <w:rsid w:val="006C189A"/>
    <w:rsid w:val="006C52B9"/>
    <w:rsid w:val="006D1DFE"/>
    <w:rsid w:val="006E6BC2"/>
    <w:rsid w:val="006E77BB"/>
    <w:rsid w:val="0070150E"/>
    <w:rsid w:val="00705DB8"/>
    <w:rsid w:val="00713225"/>
    <w:rsid w:val="00717868"/>
    <w:rsid w:val="0072512A"/>
    <w:rsid w:val="00731EE6"/>
    <w:rsid w:val="0073211E"/>
    <w:rsid w:val="007355A6"/>
    <w:rsid w:val="00740A71"/>
    <w:rsid w:val="0074426F"/>
    <w:rsid w:val="007477C5"/>
    <w:rsid w:val="00747938"/>
    <w:rsid w:val="00756072"/>
    <w:rsid w:val="00762AFB"/>
    <w:rsid w:val="00765BA8"/>
    <w:rsid w:val="00766007"/>
    <w:rsid w:val="00770A26"/>
    <w:rsid w:val="00777E96"/>
    <w:rsid w:val="00785FC9"/>
    <w:rsid w:val="00790BD4"/>
    <w:rsid w:val="007913B8"/>
    <w:rsid w:val="007A1364"/>
    <w:rsid w:val="007A24A0"/>
    <w:rsid w:val="007A4AB2"/>
    <w:rsid w:val="007A5E68"/>
    <w:rsid w:val="007B1BF7"/>
    <w:rsid w:val="007C1A46"/>
    <w:rsid w:val="007C404B"/>
    <w:rsid w:val="007C4BAE"/>
    <w:rsid w:val="007D1D3B"/>
    <w:rsid w:val="007D382A"/>
    <w:rsid w:val="007D5960"/>
    <w:rsid w:val="007E114E"/>
    <w:rsid w:val="007E487F"/>
    <w:rsid w:val="007E4B2D"/>
    <w:rsid w:val="007E587D"/>
    <w:rsid w:val="007E71E9"/>
    <w:rsid w:val="007F1D06"/>
    <w:rsid w:val="008010D7"/>
    <w:rsid w:val="008029B1"/>
    <w:rsid w:val="00803443"/>
    <w:rsid w:val="0080680D"/>
    <w:rsid w:val="00812C05"/>
    <w:rsid w:val="00813032"/>
    <w:rsid w:val="0081322A"/>
    <w:rsid w:val="008162AB"/>
    <w:rsid w:val="00830360"/>
    <w:rsid w:val="00840190"/>
    <w:rsid w:val="00843E6F"/>
    <w:rsid w:val="00846E4A"/>
    <w:rsid w:val="00851AF5"/>
    <w:rsid w:val="00851FB5"/>
    <w:rsid w:val="00853B09"/>
    <w:rsid w:val="0086342C"/>
    <w:rsid w:val="008647DE"/>
    <w:rsid w:val="00864B95"/>
    <w:rsid w:val="008720D6"/>
    <w:rsid w:val="008800D3"/>
    <w:rsid w:val="008823ED"/>
    <w:rsid w:val="00886CDD"/>
    <w:rsid w:val="0089214D"/>
    <w:rsid w:val="00892E38"/>
    <w:rsid w:val="0089393B"/>
    <w:rsid w:val="00893C0D"/>
    <w:rsid w:val="00897FA5"/>
    <w:rsid w:val="008A1B31"/>
    <w:rsid w:val="008A20DA"/>
    <w:rsid w:val="008A3E3F"/>
    <w:rsid w:val="008B5C8F"/>
    <w:rsid w:val="008B5F16"/>
    <w:rsid w:val="008B7722"/>
    <w:rsid w:val="008C0E5C"/>
    <w:rsid w:val="008C747C"/>
    <w:rsid w:val="008D348B"/>
    <w:rsid w:val="008D7815"/>
    <w:rsid w:val="008E2BE4"/>
    <w:rsid w:val="008E2C05"/>
    <w:rsid w:val="008E6B4E"/>
    <w:rsid w:val="008E7970"/>
    <w:rsid w:val="008E7C34"/>
    <w:rsid w:val="008F0C36"/>
    <w:rsid w:val="008F377B"/>
    <w:rsid w:val="008F77FD"/>
    <w:rsid w:val="0090646A"/>
    <w:rsid w:val="00915266"/>
    <w:rsid w:val="00915512"/>
    <w:rsid w:val="009218EC"/>
    <w:rsid w:val="009220E2"/>
    <w:rsid w:val="009233CC"/>
    <w:rsid w:val="009240D8"/>
    <w:rsid w:val="00935C37"/>
    <w:rsid w:val="009360D7"/>
    <w:rsid w:val="009362C9"/>
    <w:rsid w:val="00942387"/>
    <w:rsid w:val="0094626F"/>
    <w:rsid w:val="009462D2"/>
    <w:rsid w:val="009564B6"/>
    <w:rsid w:val="0096109B"/>
    <w:rsid w:val="009652D5"/>
    <w:rsid w:val="009677F8"/>
    <w:rsid w:val="00971146"/>
    <w:rsid w:val="00971A12"/>
    <w:rsid w:val="00972A9A"/>
    <w:rsid w:val="00976D1E"/>
    <w:rsid w:val="0099038A"/>
    <w:rsid w:val="009906F5"/>
    <w:rsid w:val="00991675"/>
    <w:rsid w:val="00992008"/>
    <w:rsid w:val="00996409"/>
    <w:rsid w:val="00996D00"/>
    <w:rsid w:val="009A03DC"/>
    <w:rsid w:val="009A6CF3"/>
    <w:rsid w:val="009B43BF"/>
    <w:rsid w:val="009B4A2D"/>
    <w:rsid w:val="009C1E0B"/>
    <w:rsid w:val="009D545A"/>
    <w:rsid w:val="009D6D44"/>
    <w:rsid w:val="009D73FC"/>
    <w:rsid w:val="009E22FA"/>
    <w:rsid w:val="009E4744"/>
    <w:rsid w:val="009E4EC9"/>
    <w:rsid w:val="009E5D5A"/>
    <w:rsid w:val="009F2262"/>
    <w:rsid w:val="009F4ADA"/>
    <w:rsid w:val="009F6A0D"/>
    <w:rsid w:val="00A04029"/>
    <w:rsid w:val="00A07991"/>
    <w:rsid w:val="00A10286"/>
    <w:rsid w:val="00A10CDE"/>
    <w:rsid w:val="00A1680D"/>
    <w:rsid w:val="00A16E2E"/>
    <w:rsid w:val="00A20B21"/>
    <w:rsid w:val="00A23878"/>
    <w:rsid w:val="00A23AB0"/>
    <w:rsid w:val="00A23F6E"/>
    <w:rsid w:val="00A266C5"/>
    <w:rsid w:val="00A309C6"/>
    <w:rsid w:val="00A32E4E"/>
    <w:rsid w:val="00A36E0C"/>
    <w:rsid w:val="00A417DA"/>
    <w:rsid w:val="00A505DE"/>
    <w:rsid w:val="00A5327C"/>
    <w:rsid w:val="00A5721C"/>
    <w:rsid w:val="00A67913"/>
    <w:rsid w:val="00A80FCF"/>
    <w:rsid w:val="00A81A94"/>
    <w:rsid w:val="00A9681E"/>
    <w:rsid w:val="00AA007A"/>
    <w:rsid w:val="00AA1712"/>
    <w:rsid w:val="00AA5AAB"/>
    <w:rsid w:val="00AA6866"/>
    <w:rsid w:val="00AA7641"/>
    <w:rsid w:val="00AB073E"/>
    <w:rsid w:val="00AB1A13"/>
    <w:rsid w:val="00AB1B41"/>
    <w:rsid w:val="00AB4177"/>
    <w:rsid w:val="00AB4E9F"/>
    <w:rsid w:val="00AC210F"/>
    <w:rsid w:val="00AC319E"/>
    <w:rsid w:val="00AC7A16"/>
    <w:rsid w:val="00AD2782"/>
    <w:rsid w:val="00AE3A1E"/>
    <w:rsid w:val="00AE734F"/>
    <w:rsid w:val="00AF2656"/>
    <w:rsid w:val="00AF6110"/>
    <w:rsid w:val="00AF6AC6"/>
    <w:rsid w:val="00B00611"/>
    <w:rsid w:val="00B04354"/>
    <w:rsid w:val="00B14BC6"/>
    <w:rsid w:val="00B17EA4"/>
    <w:rsid w:val="00B24926"/>
    <w:rsid w:val="00B249FC"/>
    <w:rsid w:val="00B317E7"/>
    <w:rsid w:val="00B33A57"/>
    <w:rsid w:val="00B34083"/>
    <w:rsid w:val="00B37728"/>
    <w:rsid w:val="00B45C64"/>
    <w:rsid w:val="00B46A32"/>
    <w:rsid w:val="00B46B29"/>
    <w:rsid w:val="00B5110D"/>
    <w:rsid w:val="00B53547"/>
    <w:rsid w:val="00B53597"/>
    <w:rsid w:val="00B55D3E"/>
    <w:rsid w:val="00B62590"/>
    <w:rsid w:val="00B6729F"/>
    <w:rsid w:val="00B82627"/>
    <w:rsid w:val="00B90AA7"/>
    <w:rsid w:val="00B91074"/>
    <w:rsid w:val="00B9168B"/>
    <w:rsid w:val="00B94335"/>
    <w:rsid w:val="00BA65E5"/>
    <w:rsid w:val="00BB09DF"/>
    <w:rsid w:val="00BB3FC5"/>
    <w:rsid w:val="00BC2B3B"/>
    <w:rsid w:val="00BC4579"/>
    <w:rsid w:val="00BC6520"/>
    <w:rsid w:val="00BC67F4"/>
    <w:rsid w:val="00BC76B9"/>
    <w:rsid w:val="00BD2E2C"/>
    <w:rsid w:val="00BD3D24"/>
    <w:rsid w:val="00BE0555"/>
    <w:rsid w:val="00BE2976"/>
    <w:rsid w:val="00BF35A3"/>
    <w:rsid w:val="00C0018A"/>
    <w:rsid w:val="00C00905"/>
    <w:rsid w:val="00C035B5"/>
    <w:rsid w:val="00C11ABD"/>
    <w:rsid w:val="00C141DA"/>
    <w:rsid w:val="00C149DA"/>
    <w:rsid w:val="00C14FB2"/>
    <w:rsid w:val="00C176AC"/>
    <w:rsid w:val="00C21EF9"/>
    <w:rsid w:val="00C222F7"/>
    <w:rsid w:val="00C23AC3"/>
    <w:rsid w:val="00C24839"/>
    <w:rsid w:val="00C2657C"/>
    <w:rsid w:val="00C27C23"/>
    <w:rsid w:val="00C32C9B"/>
    <w:rsid w:val="00C34656"/>
    <w:rsid w:val="00C40664"/>
    <w:rsid w:val="00C41C84"/>
    <w:rsid w:val="00C52419"/>
    <w:rsid w:val="00C54930"/>
    <w:rsid w:val="00C554D4"/>
    <w:rsid w:val="00C61B02"/>
    <w:rsid w:val="00C67D15"/>
    <w:rsid w:val="00C719A2"/>
    <w:rsid w:val="00C71C08"/>
    <w:rsid w:val="00C72165"/>
    <w:rsid w:val="00C76E8C"/>
    <w:rsid w:val="00C83041"/>
    <w:rsid w:val="00C90556"/>
    <w:rsid w:val="00C90B42"/>
    <w:rsid w:val="00C9475D"/>
    <w:rsid w:val="00C95056"/>
    <w:rsid w:val="00C951FD"/>
    <w:rsid w:val="00CA7F28"/>
    <w:rsid w:val="00CB0768"/>
    <w:rsid w:val="00CB0D3B"/>
    <w:rsid w:val="00CB131F"/>
    <w:rsid w:val="00CB40F4"/>
    <w:rsid w:val="00CB4DCD"/>
    <w:rsid w:val="00CB4F2D"/>
    <w:rsid w:val="00CC1690"/>
    <w:rsid w:val="00CC3466"/>
    <w:rsid w:val="00CC665A"/>
    <w:rsid w:val="00CC7B91"/>
    <w:rsid w:val="00CE04A0"/>
    <w:rsid w:val="00CE34DC"/>
    <w:rsid w:val="00D07FB4"/>
    <w:rsid w:val="00D21FA8"/>
    <w:rsid w:val="00D236B7"/>
    <w:rsid w:val="00D23E48"/>
    <w:rsid w:val="00D24447"/>
    <w:rsid w:val="00D244BE"/>
    <w:rsid w:val="00D31163"/>
    <w:rsid w:val="00D43096"/>
    <w:rsid w:val="00D46AB2"/>
    <w:rsid w:val="00D47815"/>
    <w:rsid w:val="00D656EB"/>
    <w:rsid w:val="00D7623E"/>
    <w:rsid w:val="00D771FD"/>
    <w:rsid w:val="00D7796D"/>
    <w:rsid w:val="00D81B18"/>
    <w:rsid w:val="00D830B8"/>
    <w:rsid w:val="00D83541"/>
    <w:rsid w:val="00D87674"/>
    <w:rsid w:val="00D93A16"/>
    <w:rsid w:val="00D9496D"/>
    <w:rsid w:val="00D97DBD"/>
    <w:rsid w:val="00DA0768"/>
    <w:rsid w:val="00DA161A"/>
    <w:rsid w:val="00DA5A94"/>
    <w:rsid w:val="00DB2355"/>
    <w:rsid w:val="00DB3BB4"/>
    <w:rsid w:val="00DB7E1A"/>
    <w:rsid w:val="00DC0F02"/>
    <w:rsid w:val="00DC0F8D"/>
    <w:rsid w:val="00DC2284"/>
    <w:rsid w:val="00DC3CA4"/>
    <w:rsid w:val="00DD4CF3"/>
    <w:rsid w:val="00DE4578"/>
    <w:rsid w:val="00DF04EE"/>
    <w:rsid w:val="00DF3E35"/>
    <w:rsid w:val="00E03ED5"/>
    <w:rsid w:val="00E06243"/>
    <w:rsid w:val="00E07169"/>
    <w:rsid w:val="00E1688C"/>
    <w:rsid w:val="00E22665"/>
    <w:rsid w:val="00E30499"/>
    <w:rsid w:val="00E30B51"/>
    <w:rsid w:val="00E324BB"/>
    <w:rsid w:val="00E377E8"/>
    <w:rsid w:val="00E43464"/>
    <w:rsid w:val="00E47A69"/>
    <w:rsid w:val="00E55D20"/>
    <w:rsid w:val="00E55F05"/>
    <w:rsid w:val="00E571BB"/>
    <w:rsid w:val="00E74435"/>
    <w:rsid w:val="00E758AD"/>
    <w:rsid w:val="00E77D4E"/>
    <w:rsid w:val="00E91860"/>
    <w:rsid w:val="00E93F0C"/>
    <w:rsid w:val="00E954B7"/>
    <w:rsid w:val="00E95A6A"/>
    <w:rsid w:val="00E96FDB"/>
    <w:rsid w:val="00E9797C"/>
    <w:rsid w:val="00EA107B"/>
    <w:rsid w:val="00EB61E0"/>
    <w:rsid w:val="00EC0445"/>
    <w:rsid w:val="00EC16F1"/>
    <w:rsid w:val="00EC175E"/>
    <w:rsid w:val="00EC5DE0"/>
    <w:rsid w:val="00ED05D6"/>
    <w:rsid w:val="00ED0C6F"/>
    <w:rsid w:val="00ED0D94"/>
    <w:rsid w:val="00ED2FCC"/>
    <w:rsid w:val="00ED4348"/>
    <w:rsid w:val="00ED4D99"/>
    <w:rsid w:val="00EE5F75"/>
    <w:rsid w:val="00EF0282"/>
    <w:rsid w:val="00EF2722"/>
    <w:rsid w:val="00EF6805"/>
    <w:rsid w:val="00F00508"/>
    <w:rsid w:val="00F01E52"/>
    <w:rsid w:val="00F042DC"/>
    <w:rsid w:val="00F07099"/>
    <w:rsid w:val="00F1030B"/>
    <w:rsid w:val="00F105EA"/>
    <w:rsid w:val="00F11117"/>
    <w:rsid w:val="00F12541"/>
    <w:rsid w:val="00F22035"/>
    <w:rsid w:val="00F227F9"/>
    <w:rsid w:val="00F22D18"/>
    <w:rsid w:val="00F3185B"/>
    <w:rsid w:val="00F36C87"/>
    <w:rsid w:val="00F46927"/>
    <w:rsid w:val="00F46EFD"/>
    <w:rsid w:val="00F55854"/>
    <w:rsid w:val="00F55CE0"/>
    <w:rsid w:val="00F56813"/>
    <w:rsid w:val="00F62564"/>
    <w:rsid w:val="00F70110"/>
    <w:rsid w:val="00F72C93"/>
    <w:rsid w:val="00F80A88"/>
    <w:rsid w:val="00F823F5"/>
    <w:rsid w:val="00F90BFF"/>
    <w:rsid w:val="00F9170D"/>
    <w:rsid w:val="00F94368"/>
    <w:rsid w:val="00F9494C"/>
    <w:rsid w:val="00FA08D0"/>
    <w:rsid w:val="00FA15C8"/>
    <w:rsid w:val="00FA2D86"/>
    <w:rsid w:val="00FA348C"/>
    <w:rsid w:val="00FA4BC4"/>
    <w:rsid w:val="00FA7139"/>
    <w:rsid w:val="00FB0118"/>
    <w:rsid w:val="00FB0AD8"/>
    <w:rsid w:val="00FB0B70"/>
    <w:rsid w:val="00FB4DBB"/>
    <w:rsid w:val="00FC299E"/>
    <w:rsid w:val="00FC3745"/>
    <w:rsid w:val="00FD350F"/>
    <w:rsid w:val="00FE2099"/>
    <w:rsid w:val="00FE2C17"/>
    <w:rsid w:val="00FE3999"/>
    <w:rsid w:val="00FE3D3D"/>
    <w:rsid w:val="00FE5DAB"/>
    <w:rsid w:val="00FF0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3AD17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toc 1" w:uiPriority="39"/>
    <w:lsdException w:name="toc 3" w:uiPriority="39"/>
    <w:lsdException w:name="toc 4" w:uiPriority="39"/>
    <w:lsdException w:name="footnote text" w:qFormat="1"/>
    <w:lsdException w:name="header" w:uiPriority="99"/>
    <w:lsdException w:name="footer" w:uiPriority="99"/>
    <w:lsdException w:name="footnote reference" w:qFormat="1"/>
    <w:lsdException w:name="macro" w:semiHidden="0" w:unhideWhenUsed="0"/>
    <w:lsdException w:name="List Bullet" w:semiHidden="0" w:unhideWhenUsed="0"/>
    <w:lsdException w:name="List Number" w:semiHidden="0" w:unhideWhenUsed="0"/>
    <w:lsdException w:name="Title" w:semiHidden="0" w:unhideWhenUsed="0"/>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Hyperlink" w:uiPriority="99"/>
    <w:lsdException w:name="Strong" w:semiHidden="0" w:unhideWhenUsed="0"/>
    <w:lsdException w:name="Emphasis" w:semiHidden="0" w:unhideWhenUsed="0"/>
    <w:lsdException w:name="No List"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46EFD"/>
    <w:pPr>
      <w:tabs>
        <w:tab w:val="left" w:pos="567"/>
      </w:tabs>
      <w:spacing w:after="80" w:line="320" w:lineRule="atLeast"/>
    </w:pPr>
    <w:rPr>
      <w:sz w:val="24"/>
    </w:rPr>
  </w:style>
  <w:style w:type="paragraph" w:styleId="Heading1">
    <w:name w:val="heading 1"/>
    <w:basedOn w:val="Normal"/>
    <w:next w:val="Heading2"/>
    <w:link w:val="Heading1Char"/>
    <w:uiPriority w:val="9"/>
    <w:qFormat/>
    <w:rsid w:val="00622669"/>
    <w:pPr>
      <w:keepNext/>
      <w:widowControl w:val="0"/>
      <w:pBdr>
        <w:bottom w:val="single" w:sz="4" w:space="1" w:color="auto"/>
      </w:pBdr>
      <w:spacing w:before="800" w:after="0" w:line="240" w:lineRule="auto"/>
      <w:outlineLvl w:val="0"/>
    </w:pPr>
    <w:rPr>
      <w:rFonts w:eastAsiaTheme="majorEastAsia" w:cstheme="majorBidi"/>
      <w:b/>
      <w:bCs/>
      <w:caps/>
      <w:color w:val="2C8558"/>
      <w:sz w:val="40"/>
      <w:szCs w:val="28"/>
    </w:rPr>
  </w:style>
  <w:style w:type="paragraph" w:styleId="Heading2">
    <w:name w:val="heading 2"/>
    <w:basedOn w:val="Normal"/>
    <w:next w:val="Heading3"/>
    <w:link w:val="Heading2Char"/>
    <w:uiPriority w:val="9"/>
    <w:qFormat/>
    <w:rsid w:val="00622669"/>
    <w:pPr>
      <w:keepNext/>
      <w:widowControl w:val="0"/>
      <w:spacing w:before="100" w:after="720" w:line="240" w:lineRule="auto"/>
      <w:outlineLvl w:val="1"/>
    </w:pPr>
    <w:rPr>
      <w:rFonts w:eastAsiaTheme="majorEastAsia" w:cstheme="majorBidi"/>
      <w:b/>
      <w:bCs/>
      <w:caps/>
      <w:color w:val="2C8558"/>
      <w:sz w:val="40"/>
      <w:szCs w:val="26"/>
    </w:rPr>
  </w:style>
  <w:style w:type="paragraph" w:styleId="Heading3">
    <w:name w:val="heading 3"/>
    <w:basedOn w:val="Normal"/>
    <w:next w:val="Heading4"/>
    <w:link w:val="Heading3Char"/>
    <w:uiPriority w:val="9"/>
    <w:qFormat/>
    <w:rsid w:val="00622669"/>
    <w:pPr>
      <w:keepNext/>
      <w:widowControl w:val="0"/>
      <w:spacing w:before="600" w:after="200" w:line="240" w:lineRule="auto"/>
      <w:outlineLvl w:val="2"/>
    </w:pPr>
    <w:rPr>
      <w:rFonts w:eastAsiaTheme="majorEastAsia" w:cstheme="majorBidi"/>
      <w:b/>
      <w:bCs/>
      <w:caps/>
      <w:color w:val="2C8558"/>
      <w:sz w:val="32"/>
    </w:rPr>
  </w:style>
  <w:style w:type="paragraph" w:styleId="Heading4">
    <w:name w:val="heading 4"/>
    <w:basedOn w:val="Normal"/>
    <w:next w:val="Heading5"/>
    <w:link w:val="Heading4Char"/>
    <w:uiPriority w:val="9"/>
    <w:qFormat/>
    <w:rsid w:val="00622669"/>
    <w:pPr>
      <w:keepNext/>
      <w:widowControl w:val="0"/>
      <w:spacing w:before="300" w:after="40" w:line="240" w:lineRule="auto"/>
      <w:outlineLvl w:val="3"/>
    </w:pPr>
    <w:rPr>
      <w:rFonts w:eastAsiaTheme="majorEastAsia" w:cstheme="majorBidi"/>
      <w:b/>
      <w:bCs/>
      <w:iCs/>
      <w:color w:val="2C8558"/>
      <w:sz w:val="32"/>
    </w:rPr>
  </w:style>
  <w:style w:type="paragraph" w:styleId="Heading5">
    <w:name w:val="heading 5"/>
    <w:basedOn w:val="Normal"/>
    <w:next w:val="Heading6"/>
    <w:link w:val="Heading5Char"/>
    <w:uiPriority w:val="9"/>
    <w:qFormat/>
    <w:rsid w:val="00622669"/>
    <w:pPr>
      <w:keepNext/>
      <w:tabs>
        <w:tab w:val="clear" w:pos="567"/>
      </w:tabs>
      <w:spacing w:before="300" w:after="40" w:line="240" w:lineRule="auto"/>
      <w:outlineLvl w:val="4"/>
    </w:pPr>
    <w:rPr>
      <w:rFonts w:eastAsiaTheme="majorEastAsia" w:cstheme="majorBidi"/>
      <w:b/>
      <w:i/>
      <w:color w:val="2C8558"/>
      <w:sz w:val="28"/>
    </w:rPr>
  </w:style>
  <w:style w:type="paragraph" w:styleId="Heading6">
    <w:name w:val="heading 6"/>
    <w:basedOn w:val="Normal"/>
    <w:next w:val="Normal"/>
    <w:link w:val="Heading6Char"/>
    <w:uiPriority w:val="9"/>
    <w:qFormat/>
    <w:rsid w:val="00622669"/>
    <w:pPr>
      <w:keepNext/>
      <w:keepLines/>
      <w:spacing w:before="120"/>
      <w:outlineLvl w:val="5"/>
    </w:pPr>
    <w:rPr>
      <w:rFonts w:eastAsiaTheme="majorEastAsia" w:cstheme="majorBidi"/>
      <w:b/>
      <w:i/>
      <w:iCs/>
      <w:color w:val="2C8558"/>
      <w:sz w:val="28"/>
    </w:rPr>
  </w:style>
  <w:style w:type="paragraph" w:styleId="Heading7">
    <w:name w:val="heading 7"/>
    <w:basedOn w:val="Normal"/>
    <w:next w:val="Normal"/>
    <w:link w:val="Heading7Char"/>
    <w:uiPriority w:val="9"/>
    <w:semiHidden/>
    <w:rsid w:val="006226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7"/>
      </w:numPr>
      <w:spacing w:before="240" w:after="60"/>
      <w:outlineLvl w:val="7"/>
    </w:pPr>
    <w:rPr>
      <w:rFonts w:ascii="Arial" w:hAnsi="Arial"/>
      <w:i/>
      <w:sz w:val="20"/>
      <w:szCs w:val="20"/>
    </w:rPr>
  </w:style>
  <w:style w:type="paragraph" w:styleId="Heading9">
    <w:name w:val="heading 9"/>
    <w:aliases w:val="Heading 9 (Do not use),(Subsubsection Nos)"/>
    <w:basedOn w:val="Normal"/>
    <w:next w:val="Normal"/>
    <w:semiHidden/>
    <w:rsid w:val="00765BA8"/>
    <w:pPr>
      <w:numPr>
        <w:ilvl w:val="8"/>
        <w:numId w:val="17"/>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622669"/>
    <w:pPr>
      <w:spacing w:after="0" w:line="240" w:lineRule="auto"/>
    </w:pPr>
    <w:rPr>
      <w:rFonts w:ascii="Tahoma" w:hAnsi="Tahoma" w:cs="Tahoma"/>
      <w:sz w:val="16"/>
      <w:szCs w:val="16"/>
    </w:rPr>
  </w:style>
  <w:style w:type="paragraph" w:styleId="Caption">
    <w:name w:val="caption"/>
    <w:basedOn w:val="Normal"/>
    <w:next w:val="Normal"/>
    <w:link w:val="CaptionChar"/>
    <w:rsid w:val="00622669"/>
    <w:pPr>
      <w:keepNext/>
      <w:keepLines/>
      <w:tabs>
        <w:tab w:val="clear" w:pos="567"/>
        <w:tab w:val="left" w:pos="1418"/>
      </w:tabs>
      <w:spacing w:before="240" w:after="120" w:line="240" w:lineRule="auto"/>
      <w:ind w:left="1418" w:hanging="1418"/>
    </w:pPr>
    <w:rPr>
      <w:b/>
      <w:bCs/>
      <w:szCs w:val="20"/>
    </w:rPr>
  </w:style>
  <w:style w:type="paragraph" w:customStyle="1" w:styleId="CGCBulletlist">
    <w:name w:val="CGC Bullet list"/>
    <w:aliases w:val="CGC List 1"/>
    <w:basedOn w:val="Normal"/>
    <w:link w:val="CGCBulletlistChar"/>
    <w:qFormat/>
    <w:rsid w:val="00DC0F02"/>
    <w:pPr>
      <w:numPr>
        <w:numId w:val="36"/>
      </w:numPr>
      <w:tabs>
        <w:tab w:val="clear" w:pos="567"/>
        <w:tab w:val="clear" w:pos="927"/>
        <w:tab w:val="left" w:pos="1134"/>
      </w:tabs>
      <w:spacing w:before="80" w:line="300" w:lineRule="atLeast"/>
      <w:ind w:left="1134" w:hanging="567"/>
    </w:pPr>
    <w:rPr>
      <w:szCs w:val="20"/>
    </w:rPr>
  </w:style>
  <w:style w:type="paragraph" w:customStyle="1" w:styleId="CGCNumeralList">
    <w:name w:val="CGC Numeral List"/>
    <w:aliases w:val="CGC List 3"/>
    <w:basedOn w:val="Normal"/>
    <w:qFormat/>
    <w:rsid w:val="00622669"/>
    <w:pPr>
      <w:numPr>
        <w:numId w:val="38"/>
      </w:numPr>
      <w:tabs>
        <w:tab w:val="clear" w:pos="567"/>
      </w:tabs>
      <w:spacing w:line="300" w:lineRule="atLeast"/>
    </w:pPr>
    <w:rPr>
      <w:szCs w:val="20"/>
    </w:rPr>
  </w:style>
  <w:style w:type="paragraph" w:customStyle="1" w:styleId="CGCNumberedPara">
    <w:name w:val="CGC Numbered Para"/>
    <w:aliases w:val="CGC Para No"/>
    <w:basedOn w:val="Normal"/>
    <w:link w:val="CGCParaNoChar"/>
    <w:qFormat/>
    <w:rsid w:val="00622669"/>
    <w:pPr>
      <w:numPr>
        <w:ilvl w:val="1"/>
        <w:numId w:val="37"/>
      </w:numPr>
      <w:spacing w:before="120"/>
    </w:pPr>
    <w:rPr>
      <w:szCs w:val="24"/>
    </w:rPr>
  </w:style>
  <w:style w:type="paragraph" w:customStyle="1" w:styleId="CGCQuotation">
    <w:name w:val="CGC Quotation"/>
    <w:basedOn w:val="Normal"/>
    <w:next w:val="CGCNumberedPara"/>
    <w:qFormat/>
    <w:rsid w:val="00622669"/>
    <w:pPr>
      <w:tabs>
        <w:tab w:val="clear" w:pos="567"/>
      </w:tabs>
      <w:spacing w:before="120" w:after="120" w:line="240" w:lineRule="auto"/>
      <w:ind w:left="1134" w:right="1134"/>
    </w:pPr>
    <w:rPr>
      <w:sz w:val="22"/>
      <w:szCs w:val="24"/>
    </w:rPr>
  </w:style>
  <w:style w:type="paragraph" w:customStyle="1" w:styleId="CGCSubbulletlist">
    <w:name w:val="CGC Sub bullet list"/>
    <w:aliases w:val="CGC List 2"/>
    <w:basedOn w:val="Normal"/>
    <w:qFormat/>
    <w:rsid w:val="00C21EF9"/>
    <w:pPr>
      <w:numPr>
        <w:numId w:val="39"/>
      </w:numPr>
      <w:tabs>
        <w:tab w:val="clear" w:pos="567"/>
        <w:tab w:val="clear" w:pos="927"/>
        <w:tab w:val="left" w:pos="1701"/>
      </w:tabs>
      <w:spacing w:line="300" w:lineRule="atLeast"/>
      <w:ind w:left="1701" w:hanging="567"/>
    </w:pPr>
    <w:rPr>
      <w:szCs w:val="20"/>
    </w:rPr>
  </w:style>
  <w:style w:type="paragraph" w:customStyle="1" w:styleId="CGCQuotationBullet">
    <w:name w:val="CGC Quotation Bullet"/>
    <w:basedOn w:val="CGCSubbulletlist"/>
    <w:rsid w:val="00622669"/>
    <w:pPr>
      <w:numPr>
        <w:numId w:val="40"/>
      </w:numPr>
      <w:ind w:right="1134"/>
    </w:pPr>
    <w:rPr>
      <w:sz w:val="22"/>
    </w:rPr>
  </w:style>
  <w:style w:type="paragraph" w:customStyle="1" w:styleId="CGCTableFootnote">
    <w:name w:val="CGC Table Footnote"/>
    <w:basedOn w:val="CGCNumberedPara"/>
    <w:next w:val="NoSpacing"/>
    <w:link w:val="CGCTableFootnoteChar"/>
    <w:qFormat/>
    <w:rsid w:val="00622669"/>
    <w:pPr>
      <w:numPr>
        <w:ilvl w:val="0"/>
        <w:numId w:val="0"/>
      </w:numPr>
      <w:tabs>
        <w:tab w:val="left" w:pos="851"/>
      </w:tabs>
      <w:spacing w:before="0" w:after="0" w:line="240" w:lineRule="auto"/>
      <w:ind w:left="851" w:hanging="851"/>
    </w:pPr>
    <w:rPr>
      <w:sz w:val="20"/>
    </w:rPr>
  </w:style>
  <w:style w:type="paragraph" w:customStyle="1" w:styleId="CGCTableHeading">
    <w:name w:val="CGC Table Heading"/>
    <w:basedOn w:val="Normal"/>
    <w:next w:val="Normal"/>
    <w:link w:val="CGCTableHeadingChar"/>
    <w:qFormat/>
    <w:rsid w:val="00622669"/>
    <w:pPr>
      <w:keepNext/>
      <w:keepLines/>
      <w:tabs>
        <w:tab w:val="clear" w:pos="567"/>
        <w:tab w:val="left" w:pos="1420"/>
      </w:tabs>
      <w:spacing w:before="240" w:after="120" w:line="240" w:lineRule="auto"/>
      <w:ind w:left="1418" w:hanging="1418"/>
    </w:pPr>
    <w:rPr>
      <w:b/>
      <w:szCs w:val="20"/>
    </w:rPr>
  </w:style>
  <w:style w:type="paragraph" w:customStyle="1" w:styleId="TableRowNormal">
    <w:name w:val="TableRowNormal"/>
    <w:basedOn w:val="Normal"/>
    <w:rsid w:val="00765BA8"/>
    <w:pPr>
      <w:keepNext/>
      <w:keepLines/>
      <w:tabs>
        <w:tab w:val="left" w:pos="475"/>
        <w:tab w:val="left" w:pos="1440"/>
        <w:tab w:val="left" w:pos="2160"/>
        <w:tab w:val="left" w:pos="2880"/>
      </w:tabs>
      <w:spacing w:before="60" w:after="60" w:line="200" w:lineRule="atLeast"/>
      <w:ind w:left="144" w:hanging="144"/>
      <w:jc w:val="right"/>
    </w:pPr>
    <w:rPr>
      <w:sz w:val="20"/>
      <w:szCs w:val="20"/>
    </w:rPr>
  </w:style>
  <w:style w:type="paragraph" w:customStyle="1" w:styleId="CGCTableStub">
    <w:name w:val="CGC Table Stub"/>
    <w:basedOn w:val="Normal"/>
    <w:link w:val="CGCTableStubChar"/>
    <w:qFormat/>
    <w:rsid w:val="00622669"/>
    <w:pPr>
      <w:keepNext/>
      <w:keepLines/>
      <w:tabs>
        <w:tab w:val="left" w:pos="284"/>
      </w:tabs>
      <w:spacing w:before="60" w:after="60" w:line="200" w:lineRule="atLeast"/>
    </w:pPr>
    <w:rPr>
      <w:sz w:val="20"/>
      <w:szCs w:val="20"/>
    </w:rPr>
  </w:style>
  <w:style w:type="character" w:styleId="CommentReference">
    <w:name w:val="annotation reference"/>
    <w:basedOn w:val="DefaultParagraphFont"/>
    <w:rsid w:val="00765BA8"/>
    <w:rPr>
      <w:sz w:val="16"/>
      <w:szCs w:val="16"/>
    </w:rPr>
  </w:style>
  <w:style w:type="paragraph" w:styleId="CommentText">
    <w:name w:val="annotation text"/>
    <w:basedOn w:val="Normal"/>
    <w:rsid w:val="00765BA8"/>
    <w:rPr>
      <w:sz w:val="20"/>
      <w:szCs w:val="20"/>
    </w:rPr>
  </w:style>
  <w:style w:type="paragraph" w:styleId="CommentSubject">
    <w:name w:val="annotation subject"/>
    <w:basedOn w:val="CommentText"/>
    <w:next w:val="CommentText"/>
    <w:rsid w:val="00765BA8"/>
    <w:rPr>
      <w:b/>
      <w:bCs/>
    </w:rPr>
  </w:style>
  <w:style w:type="paragraph" w:styleId="DocumentMap">
    <w:name w:val="Document Map"/>
    <w:basedOn w:val="Normal"/>
    <w:rsid w:val="00765BA8"/>
    <w:pPr>
      <w:shd w:val="clear" w:color="auto" w:fill="000080"/>
    </w:pPr>
    <w:rPr>
      <w:rFonts w:ascii="Tahoma" w:hAnsi="Tahoma" w:cs="Tahoma"/>
      <w:sz w:val="20"/>
      <w:szCs w:val="20"/>
    </w:rPr>
  </w:style>
  <w:style w:type="character" w:styleId="EndnoteReference">
    <w:name w:val="endnote reference"/>
    <w:basedOn w:val="DefaultParagraphFont"/>
    <w:rsid w:val="00765BA8"/>
    <w:rPr>
      <w:vertAlign w:val="superscript"/>
    </w:rPr>
  </w:style>
  <w:style w:type="paragraph" w:styleId="EndnoteText">
    <w:name w:val="endnote text"/>
    <w:basedOn w:val="Normal"/>
    <w:rsid w:val="00765BA8"/>
    <w:rPr>
      <w:sz w:val="20"/>
      <w:szCs w:val="20"/>
    </w:rPr>
  </w:style>
  <w:style w:type="paragraph" w:styleId="Footer">
    <w:name w:val="footer"/>
    <w:basedOn w:val="Normal"/>
    <w:link w:val="FooterChar"/>
    <w:uiPriority w:val="99"/>
    <w:unhideWhenUsed/>
    <w:rsid w:val="00622669"/>
    <w:pPr>
      <w:tabs>
        <w:tab w:val="clear" w:pos="567"/>
        <w:tab w:val="center" w:pos="4513"/>
        <w:tab w:val="right" w:pos="9026"/>
      </w:tabs>
      <w:spacing w:after="0" w:line="240" w:lineRule="auto"/>
    </w:pPr>
  </w:style>
  <w:style w:type="character" w:styleId="FootnoteReference">
    <w:name w:val="footnote reference"/>
    <w:basedOn w:val="DefaultParagraphFont"/>
    <w:qFormat/>
    <w:rsid w:val="00765BA8"/>
    <w:rPr>
      <w:vertAlign w:val="superscript"/>
    </w:rPr>
  </w:style>
  <w:style w:type="paragraph" w:styleId="FootnoteText">
    <w:name w:val="footnote text"/>
    <w:basedOn w:val="Normal"/>
    <w:link w:val="FootnoteTextChar"/>
    <w:qFormat/>
    <w:rsid w:val="00622669"/>
    <w:pPr>
      <w:spacing w:after="0" w:line="240" w:lineRule="auto"/>
      <w:ind w:left="567" w:hanging="567"/>
    </w:pPr>
    <w:rPr>
      <w:sz w:val="20"/>
      <w:szCs w:val="20"/>
    </w:rPr>
  </w:style>
  <w:style w:type="paragraph" w:styleId="Header">
    <w:name w:val="header"/>
    <w:basedOn w:val="Normal"/>
    <w:link w:val="HeaderChar"/>
    <w:uiPriority w:val="99"/>
    <w:unhideWhenUsed/>
    <w:rsid w:val="00622669"/>
    <w:pPr>
      <w:tabs>
        <w:tab w:val="clear" w:pos="567"/>
        <w:tab w:val="center" w:pos="4513"/>
        <w:tab w:val="right" w:pos="9026"/>
      </w:tabs>
      <w:spacing w:after="0" w:line="240" w:lineRule="auto"/>
    </w:pPr>
  </w:style>
  <w:style w:type="character" w:styleId="Hyperlink">
    <w:name w:val="Hyperlink"/>
    <w:basedOn w:val="DefaultParagraphFont"/>
    <w:uiPriority w:val="99"/>
    <w:rsid w:val="00765BA8"/>
    <w:rPr>
      <w:color w:val="0000FF"/>
      <w:u w:val="single"/>
    </w:rPr>
  </w:style>
  <w:style w:type="paragraph" w:styleId="Index1">
    <w:name w:val="index 1"/>
    <w:basedOn w:val="Normal"/>
    <w:rsid w:val="00212948"/>
  </w:style>
  <w:style w:type="paragraph" w:styleId="Index2">
    <w:name w:val="index 2"/>
    <w:basedOn w:val="Normal"/>
    <w:next w:val="Index1"/>
    <w:rsid w:val="00212948"/>
    <w:pPr>
      <w:ind w:left="284"/>
    </w:pPr>
  </w:style>
  <w:style w:type="paragraph" w:styleId="Index3">
    <w:name w:val="index 3"/>
    <w:basedOn w:val="Normal"/>
    <w:next w:val="Index1"/>
    <w:rsid w:val="00212948"/>
    <w:pPr>
      <w:ind w:left="567"/>
    </w:pPr>
  </w:style>
  <w:style w:type="paragraph" w:styleId="Index4">
    <w:name w:val="index 4"/>
    <w:basedOn w:val="Normal"/>
    <w:next w:val="Normal"/>
    <w:rsid w:val="00765BA8"/>
    <w:pPr>
      <w:ind w:left="880" w:hanging="220"/>
    </w:pPr>
  </w:style>
  <w:style w:type="paragraph" w:styleId="Index5">
    <w:name w:val="index 5"/>
    <w:basedOn w:val="Normal"/>
    <w:next w:val="Normal"/>
    <w:rsid w:val="00765BA8"/>
    <w:pPr>
      <w:ind w:left="1100" w:hanging="220"/>
    </w:pPr>
  </w:style>
  <w:style w:type="paragraph" w:styleId="Index6">
    <w:name w:val="index 6"/>
    <w:basedOn w:val="Normal"/>
    <w:next w:val="Normal"/>
    <w:rsid w:val="00765BA8"/>
    <w:pPr>
      <w:ind w:left="1320" w:hanging="220"/>
    </w:pPr>
  </w:style>
  <w:style w:type="paragraph" w:styleId="Index7">
    <w:name w:val="index 7"/>
    <w:basedOn w:val="Normal"/>
    <w:next w:val="Normal"/>
    <w:rsid w:val="00765BA8"/>
    <w:pPr>
      <w:ind w:left="1540" w:hanging="220"/>
    </w:pPr>
  </w:style>
  <w:style w:type="paragraph" w:styleId="Index8">
    <w:name w:val="index 8"/>
    <w:basedOn w:val="Normal"/>
    <w:next w:val="Normal"/>
    <w:rsid w:val="00765BA8"/>
    <w:pPr>
      <w:ind w:left="1760" w:hanging="220"/>
    </w:pPr>
  </w:style>
  <w:style w:type="paragraph" w:styleId="Index9">
    <w:name w:val="index 9"/>
    <w:basedOn w:val="Normal"/>
    <w:next w:val="Normal"/>
    <w:rsid w:val="00765BA8"/>
    <w:pPr>
      <w:ind w:left="1980" w:hanging="220"/>
    </w:pPr>
  </w:style>
  <w:style w:type="paragraph" w:styleId="IndexHeading">
    <w:name w:val="index heading"/>
    <w:basedOn w:val="Normal"/>
    <w:next w:val="Index1"/>
    <w:rsid w:val="00765BA8"/>
  </w:style>
  <w:style w:type="paragraph" w:styleId="List">
    <w:name w:val="List"/>
    <w:basedOn w:val="Normal"/>
    <w:rsid w:val="003A27BB"/>
    <w:pPr>
      <w:spacing w:line="300" w:lineRule="atLeast"/>
    </w:pPr>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765BA8"/>
  </w:style>
  <w:style w:type="paragraph" w:customStyle="1" w:styleId="Single">
    <w:name w:val="Single"/>
    <w:basedOn w:val="Normal"/>
    <w:next w:val="CGCNumberedPara"/>
    <w:rsid w:val="00765BA8"/>
    <w:pPr>
      <w:spacing w:after="0" w:line="240" w:lineRule="auto"/>
    </w:pPr>
  </w:style>
  <w:style w:type="table" w:styleId="TableGrid">
    <w:name w:val="Table Grid"/>
    <w:basedOn w:val="TableNormal"/>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765BA8"/>
    <w:pPr>
      <w:tabs>
        <w:tab w:val="clear" w:pos="567"/>
      </w:tabs>
      <w:ind w:left="220" w:hanging="220"/>
    </w:pPr>
  </w:style>
  <w:style w:type="paragraph" w:styleId="TableofFigures">
    <w:name w:val="table of figures"/>
    <w:basedOn w:val="Normal"/>
    <w:next w:val="Normal"/>
    <w:rsid w:val="00765BA8"/>
    <w:pPr>
      <w:tabs>
        <w:tab w:val="clear" w:pos="567"/>
      </w:tabs>
    </w:pPr>
  </w:style>
  <w:style w:type="paragraph" w:customStyle="1" w:styleId="TableColHeadings">
    <w:name w:val="TableColHeadings"/>
    <w:basedOn w:val="Normal"/>
    <w:rsid w:val="00765BA8"/>
    <w:pPr>
      <w:keepNext/>
      <w:keepLines/>
      <w:tabs>
        <w:tab w:val="left" w:pos="475"/>
        <w:tab w:val="left" w:pos="1440"/>
        <w:tab w:val="left" w:pos="2160"/>
        <w:tab w:val="left" w:pos="2880"/>
      </w:tabs>
      <w:spacing w:before="60" w:after="60" w:line="240" w:lineRule="auto"/>
      <w:jc w:val="right"/>
    </w:pPr>
    <w:rPr>
      <w:sz w:val="20"/>
      <w:szCs w:val="20"/>
    </w:rPr>
  </w:style>
  <w:style w:type="paragraph" w:customStyle="1" w:styleId="TableRowUnits">
    <w:name w:val="TableRowUnits"/>
    <w:basedOn w:val="Normal"/>
    <w:rsid w:val="00765BA8"/>
    <w:pPr>
      <w:keepNext/>
      <w:keepLines/>
      <w:tabs>
        <w:tab w:val="left" w:pos="475"/>
        <w:tab w:val="left" w:pos="1440"/>
        <w:tab w:val="left" w:pos="2160"/>
        <w:tab w:val="left" w:pos="2880"/>
      </w:tabs>
      <w:spacing w:after="0" w:line="240" w:lineRule="auto"/>
      <w:jc w:val="right"/>
    </w:pPr>
    <w:rPr>
      <w:sz w:val="20"/>
      <w:szCs w:val="20"/>
    </w:rPr>
  </w:style>
  <w:style w:type="paragraph" w:styleId="TOAHeading">
    <w:name w:val="toa heading"/>
    <w:basedOn w:val="Normal"/>
    <w:next w:val="Normal"/>
    <w:rsid w:val="003A27BB"/>
    <w:pPr>
      <w:spacing w:before="120"/>
    </w:pPr>
    <w:rPr>
      <w:rFonts w:cs="Arial"/>
      <w:b/>
      <w:bCs/>
    </w:rPr>
  </w:style>
  <w:style w:type="paragraph" w:styleId="TOC1">
    <w:name w:val="toc 1"/>
    <w:basedOn w:val="Normal"/>
    <w:next w:val="Normal"/>
    <w:uiPriority w:val="39"/>
    <w:rsid w:val="00996409"/>
    <w:pPr>
      <w:tabs>
        <w:tab w:val="clear" w:pos="567"/>
        <w:tab w:val="right" w:pos="8942"/>
      </w:tabs>
      <w:spacing w:before="120" w:after="120"/>
    </w:pPr>
    <w:rPr>
      <w:b/>
      <w:bCs/>
      <w:caps/>
      <w:szCs w:val="20"/>
    </w:rPr>
  </w:style>
  <w:style w:type="paragraph" w:styleId="TOC2">
    <w:name w:val="toc 2"/>
    <w:basedOn w:val="Normal"/>
    <w:next w:val="Normal"/>
    <w:rsid w:val="006A72B0"/>
    <w:pPr>
      <w:tabs>
        <w:tab w:val="clear" w:pos="567"/>
        <w:tab w:val="right" w:pos="8942"/>
      </w:tabs>
      <w:spacing w:after="0"/>
      <w:ind w:left="851"/>
    </w:pPr>
    <w:rPr>
      <w:szCs w:val="20"/>
    </w:rPr>
  </w:style>
  <w:style w:type="paragraph" w:styleId="TOC3">
    <w:name w:val="toc 3"/>
    <w:basedOn w:val="Normal"/>
    <w:next w:val="Normal"/>
    <w:uiPriority w:val="39"/>
    <w:rsid w:val="00C2657C"/>
    <w:pPr>
      <w:tabs>
        <w:tab w:val="clear" w:pos="567"/>
        <w:tab w:val="right" w:pos="8942"/>
      </w:tabs>
      <w:spacing w:after="0"/>
      <w:ind w:left="567"/>
    </w:pPr>
    <w:rPr>
      <w:iCs/>
    </w:rPr>
  </w:style>
  <w:style w:type="paragraph" w:styleId="TOC4">
    <w:name w:val="toc 4"/>
    <w:basedOn w:val="Normal"/>
    <w:next w:val="Normal"/>
    <w:uiPriority w:val="39"/>
    <w:rsid w:val="00996409"/>
    <w:pPr>
      <w:tabs>
        <w:tab w:val="clear" w:pos="567"/>
        <w:tab w:val="right" w:pos="8942"/>
      </w:tabs>
      <w:spacing w:after="0"/>
      <w:ind w:left="1134"/>
    </w:pPr>
  </w:style>
  <w:style w:type="paragraph" w:styleId="TOC5">
    <w:name w:val="toc 5"/>
    <w:basedOn w:val="Normal"/>
    <w:next w:val="Normal"/>
    <w:rsid w:val="00765BA8"/>
    <w:pPr>
      <w:tabs>
        <w:tab w:val="clear" w:pos="567"/>
      </w:tabs>
      <w:spacing w:after="0"/>
      <w:ind w:left="1701"/>
    </w:pPr>
    <w:rPr>
      <w:sz w:val="18"/>
      <w:szCs w:val="18"/>
    </w:rPr>
  </w:style>
  <w:style w:type="paragraph" w:styleId="TOC6">
    <w:name w:val="toc 6"/>
    <w:basedOn w:val="Normal"/>
    <w:next w:val="Normal"/>
    <w:rsid w:val="00765BA8"/>
    <w:pPr>
      <w:tabs>
        <w:tab w:val="clear" w:pos="567"/>
      </w:tabs>
      <w:spacing w:after="0"/>
      <w:ind w:left="1100"/>
    </w:pPr>
    <w:rPr>
      <w:sz w:val="18"/>
      <w:szCs w:val="18"/>
    </w:rPr>
  </w:style>
  <w:style w:type="paragraph" w:styleId="TOC7">
    <w:name w:val="toc 7"/>
    <w:basedOn w:val="Normal"/>
    <w:next w:val="Normal"/>
    <w:rsid w:val="00765BA8"/>
    <w:pPr>
      <w:tabs>
        <w:tab w:val="clear" w:pos="567"/>
      </w:tabs>
      <w:spacing w:after="0"/>
      <w:ind w:left="1320"/>
    </w:pPr>
    <w:rPr>
      <w:sz w:val="18"/>
      <w:szCs w:val="18"/>
    </w:rPr>
  </w:style>
  <w:style w:type="paragraph" w:styleId="TOC8">
    <w:name w:val="toc 8"/>
    <w:basedOn w:val="Normal"/>
    <w:next w:val="Normal"/>
    <w:rsid w:val="00765BA8"/>
    <w:pPr>
      <w:tabs>
        <w:tab w:val="clear" w:pos="567"/>
      </w:tabs>
      <w:spacing w:after="0"/>
      <w:ind w:left="1540"/>
    </w:pPr>
    <w:rPr>
      <w:sz w:val="18"/>
      <w:szCs w:val="18"/>
    </w:rPr>
  </w:style>
  <w:style w:type="paragraph" w:styleId="TOC9">
    <w:name w:val="toc 9"/>
    <w:basedOn w:val="Normal"/>
    <w:next w:val="Normal"/>
    <w:rsid w:val="00765BA8"/>
    <w:pPr>
      <w:tabs>
        <w:tab w:val="clear" w:pos="567"/>
      </w:tabs>
      <w:spacing w:after="0"/>
      <w:ind w:left="1760"/>
    </w:pPr>
    <w:rPr>
      <w:sz w:val="18"/>
      <w:szCs w:val="18"/>
    </w:rPr>
  </w:style>
  <w:style w:type="character" w:customStyle="1" w:styleId="Heading1Char">
    <w:name w:val="Heading 1 Char"/>
    <w:basedOn w:val="DefaultParagraphFont"/>
    <w:link w:val="Heading1"/>
    <w:uiPriority w:val="9"/>
    <w:rsid w:val="00622669"/>
    <w:rPr>
      <w:rFonts w:eastAsiaTheme="majorEastAsia" w:cstheme="majorBidi"/>
      <w:b/>
      <w:bCs/>
      <w:caps/>
      <w:color w:val="2C8558"/>
      <w:sz w:val="40"/>
      <w:szCs w:val="28"/>
    </w:rPr>
  </w:style>
  <w:style w:type="character" w:customStyle="1" w:styleId="Heading2Char">
    <w:name w:val="Heading 2 Char"/>
    <w:basedOn w:val="DefaultParagraphFont"/>
    <w:link w:val="Heading2"/>
    <w:uiPriority w:val="9"/>
    <w:rsid w:val="00622669"/>
    <w:rPr>
      <w:rFonts w:eastAsiaTheme="majorEastAsia" w:cstheme="majorBidi"/>
      <w:b/>
      <w:bCs/>
      <w:caps/>
      <w:color w:val="2C8558"/>
      <w:sz w:val="40"/>
      <w:szCs w:val="26"/>
    </w:rPr>
  </w:style>
  <w:style w:type="character" w:customStyle="1" w:styleId="Heading3Char">
    <w:name w:val="Heading 3 Char"/>
    <w:basedOn w:val="DefaultParagraphFont"/>
    <w:link w:val="Heading3"/>
    <w:uiPriority w:val="9"/>
    <w:rsid w:val="00622669"/>
    <w:rPr>
      <w:rFonts w:eastAsiaTheme="majorEastAsia" w:cstheme="majorBidi"/>
      <w:b/>
      <w:bCs/>
      <w:caps/>
      <w:color w:val="2C8558"/>
      <w:sz w:val="32"/>
    </w:rPr>
  </w:style>
  <w:style w:type="character" w:customStyle="1" w:styleId="Heading4Char">
    <w:name w:val="Heading 4 Char"/>
    <w:basedOn w:val="DefaultParagraphFont"/>
    <w:link w:val="Heading4"/>
    <w:uiPriority w:val="9"/>
    <w:rsid w:val="00622669"/>
    <w:rPr>
      <w:rFonts w:eastAsiaTheme="majorEastAsia" w:cstheme="majorBidi"/>
      <w:b/>
      <w:bCs/>
      <w:iCs/>
      <w:color w:val="2C8558"/>
      <w:sz w:val="32"/>
    </w:rPr>
  </w:style>
  <w:style w:type="character" w:customStyle="1" w:styleId="Heading5Char">
    <w:name w:val="Heading 5 Char"/>
    <w:basedOn w:val="DefaultParagraphFont"/>
    <w:link w:val="Heading5"/>
    <w:uiPriority w:val="9"/>
    <w:rsid w:val="00622669"/>
    <w:rPr>
      <w:rFonts w:eastAsiaTheme="majorEastAsia" w:cstheme="majorBidi"/>
      <w:b/>
      <w:i/>
      <w:color w:val="2C8558"/>
      <w:sz w:val="28"/>
    </w:rPr>
  </w:style>
  <w:style w:type="paragraph" w:styleId="NoSpacing">
    <w:name w:val="No Spacing"/>
    <w:link w:val="NoSpacingChar"/>
    <w:uiPriority w:val="1"/>
    <w:qFormat/>
    <w:rsid w:val="00622669"/>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F9170D"/>
    <w:rPr>
      <w:sz w:val="24"/>
    </w:rPr>
  </w:style>
  <w:style w:type="paragraph" w:styleId="ListParagraph">
    <w:name w:val="List Paragraph"/>
    <w:basedOn w:val="Normal"/>
    <w:uiPriority w:val="34"/>
    <w:qFormat/>
    <w:rsid w:val="00622669"/>
    <w:pPr>
      <w:tabs>
        <w:tab w:val="clear" w:pos="567"/>
      </w:tabs>
      <w:spacing w:line="300" w:lineRule="atLeast"/>
      <w:ind w:left="1134"/>
    </w:pPr>
    <w:rPr>
      <w:szCs w:val="24"/>
    </w:rPr>
  </w:style>
  <w:style w:type="paragraph" w:styleId="TOCHeading">
    <w:name w:val="TOC Heading"/>
    <w:basedOn w:val="Heading1"/>
    <w:next w:val="Normal"/>
    <w:uiPriority w:val="39"/>
    <w:semiHidden/>
    <w:unhideWhenUsed/>
    <w:qFormat/>
    <w:rsid w:val="00F9170D"/>
    <w:pPr>
      <w:keepLines/>
      <w:pBdr>
        <w:bottom w:val="none" w:sz="0" w:space="0" w:color="auto"/>
      </w:pBdr>
      <w:spacing w:before="480" w:line="320" w:lineRule="atLeast"/>
      <w:outlineLvl w:val="9"/>
    </w:pPr>
    <w:rPr>
      <w:rFonts w:asciiTheme="majorHAnsi" w:hAnsiTheme="majorHAnsi"/>
      <w:caps w:val="0"/>
      <w:color w:val="365F91" w:themeColor="accent1" w:themeShade="BF"/>
      <w:sz w:val="28"/>
    </w:rPr>
  </w:style>
  <w:style w:type="character" w:customStyle="1" w:styleId="FooterChar">
    <w:name w:val="Footer Char"/>
    <w:basedOn w:val="DefaultParagraphFont"/>
    <w:link w:val="Footer"/>
    <w:uiPriority w:val="99"/>
    <w:rsid w:val="00622669"/>
    <w:rPr>
      <w:sz w:val="24"/>
    </w:rPr>
  </w:style>
  <w:style w:type="character" w:customStyle="1" w:styleId="HeaderChar">
    <w:name w:val="Header Char"/>
    <w:basedOn w:val="DefaultParagraphFont"/>
    <w:link w:val="Header"/>
    <w:uiPriority w:val="99"/>
    <w:rsid w:val="00622669"/>
    <w:rPr>
      <w:sz w:val="24"/>
    </w:rPr>
  </w:style>
  <w:style w:type="paragraph" w:customStyle="1" w:styleId="CGCDataCaption">
    <w:name w:val="CGC Data Caption"/>
    <w:basedOn w:val="CGCTableFootnote"/>
    <w:next w:val="NoSpacing"/>
    <w:link w:val="DataCaptionChar"/>
    <w:qFormat/>
    <w:rsid w:val="00622669"/>
  </w:style>
  <w:style w:type="character" w:customStyle="1" w:styleId="CaptionChar">
    <w:name w:val="Caption Char"/>
    <w:basedOn w:val="DefaultParagraphFont"/>
    <w:link w:val="Caption"/>
    <w:rsid w:val="00622669"/>
    <w:rPr>
      <w:b/>
      <w:bCs/>
      <w:sz w:val="24"/>
      <w:szCs w:val="20"/>
    </w:rPr>
  </w:style>
  <w:style w:type="character" w:customStyle="1" w:styleId="DataCaptionChar">
    <w:name w:val="Data Caption Char"/>
    <w:basedOn w:val="DefaultParagraphFont"/>
    <w:link w:val="CGCDataCaption"/>
    <w:rsid w:val="00622669"/>
    <w:rPr>
      <w:sz w:val="20"/>
      <w:szCs w:val="24"/>
    </w:rPr>
  </w:style>
  <w:style w:type="character" w:customStyle="1" w:styleId="BalloonTextChar">
    <w:name w:val="Balloon Text Char"/>
    <w:basedOn w:val="DefaultParagraphFont"/>
    <w:link w:val="BalloonText"/>
    <w:uiPriority w:val="99"/>
    <w:rsid w:val="00622669"/>
    <w:rPr>
      <w:rFonts w:ascii="Tahoma" w:hAnsi="Tahoma" w:cs="Tahoma"/>
      <w:sz w:val="16"/>
      <w:szCs w:val="16"/>
    </w:rPr>
  </w:style>
  <w:style w:type="character" w:customStyle="1" w:styleId="FootnoteTextChar">
    <w:name w:val="Footnote Text Char"/>
    <w:basedOn w:val="DefaultParagraphFont"/>
    <w:link w:val="FootnoteText"/>
    <w:rsid w:val="00622669"/>
    <w:rPr>
      <w:sz w:val="20"/>
      <w:szCs w:val="20"/>
    </w:rPr>
  </w:style>
  <w:style w:type="character" w:customStyle="1" w:styleId="Heading6Char">
    <w:name w:val="Heading 6 Char"/>
    <w:basedOn w:val="DefaultParagraphFont"/>
    <w:link w:val="Heading6"/>
    <w:rsid w:val="00622669"/>
    <w:rPr>
      <w:rFonts w:eastAsiaTheme="majorEastAsia" w:cstheme="majorBidi"/>
      <w:b/>
      <w:i/>
      <w:iCs/>
      <w:color w:val="2C8558"/>
      <w:sz w:val="28"/>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character" w:customStyle="1" w:styleId="CGCParaNoChar">
    <w:name w:val="CGC Para No Char"/>
    <w:aliases w:val="CGC Numbered Para Char"/>
    <w:basedOn w:val="DefaultParagraphFont"/>
    <w:link w:val="CGCNumberedPara"/>
    <w:rsid w:val="00F46EFD"/>
    <w:rPr>
      <w:sz w:val="24"/>
      <w:szCs w:val="24"/>
    </w:rPr>
  </w:style>
  <w:style w:type="character" w:customStyle="1" w:styleId="CGCBulletlistChar">
    <w:name w:val="CGC Bullet list Char"/>
    <w:aliases w:val="CGC List 1 Char,CGC Bullet list Char1"/>
    <w:basedOn w:val="DefaultParagraphFont"/>
    <w:link w:val="CGCBulletlist"/>
    <w:locked/>
    <w:rsid w:val="00F46EFD"/>
    <w:rPr>
      <w:sz w:val="24"/>
      <w:szCs w:val="20"/>
    </w:rPr>
  </w:style>
  <w:style w:type="character" w:customStyle="1" w:styleId="CGCTableFootnoteChar">
    <w:name w:val="CGC Table Footnote Char"/>
    <w:basedOn w:val="DefaultParagraphFont"/>
    <w:link w:val="CGCTableFootnote"/>
    <w:rsid w:val="00C54930"/>
    <w:rPr>
      <w:sz w:val="20"/>
      <w:szCs w:val="24"/>
    </w:rPr>
  </w:style>
  <w:style w:type="character" w:customStyle="1" w:styleId="CGCTableHeadingChar">
    <w:name w:val="CGC Table Heading Char"/>
    <w:basedOn w:val="DefaultParagraphFont"/>
    <w:link w:val="CGCTableHeading"/>
    <w:rsid w:val="00C54930"/>
    <w:rPr>
      <w:b/>
      <w:sz w:val="24"/>
      <w:szCs w:val="20"/>
    </w:rPr>
  </w:style>
  <w:style w:type="character" w:customStyle="1" w:styleId="CGCTableStubChar">
    <w:name w:val="CGC Table Stub Char"/>
    <w:basedOn w:val="DefaultParagraphFont"/>
    <w:link w:val="CGCTableStub"/>
    <w:rsid w:val="00C54930"/>
    <w:rPr>
      <w:sz w:val="20"/>
      <w:szCs w:val="20"/>
    </w:rPr>
  </w:style>
  <w:style w:type="character" w:customStyle="1" w:styleId="CGCBulletlistCharChar">
    <w:name w:val="CGC Bullet list Char Char"/>
    <w:basedOn w:val="DefaultParagraphFont"/>
    <w:rsid w:val="00C23AC3"/>
    <w:rPr>
      <w:sz w:val="24"/>
      <w:szCs w:val="20"/>
    </w:rPr>
  </w:style>
  <w:style w:type="paragraph" w:styleId="Revision">
    <w:name w:val="Revision"/>
    <w:hidden/>
    <w:uiPriority w:val="99"/>
    <w:semiHidden/>
    <w:rsid w:val="00C52419"/>
    <w:pPr>
      <w:spacing w:after="0" w:line="240" w:lineRule="auto"/>
    </w:pPr>
    <w:rPr>
      <w:sz w:val="24"/>
    </w:rPr>
  </w:style>
  <w:style w:type="character" w:styleId="FollowedHyperlink">
    <w:name w:val="FollowedHyperlink"/>
    <w:basedOn w:val="DefaultParagraphFont"/>
    <w:semiHidden/>
    <w:unhideWhenUsed/>
    <w:rsid w:val="00C5241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toc 1" w:uiPriority="39"/>
    <w:lsdException w:name="toc 3" w:uiPriority="39"/>
    <w:lsdException w:name="toc 4" w:uiPriority="39"/>
    <w:lsdException w:name="footnote text" w:qFormat="1"/>
    <w:lsdException w:name="header" w:uiPriority="99"/>
    <w:lsdException w:name="footer" w:uiPriority="99"/>
    <w:lsdException w:name="footnote reference" w:qFormat="1"/>
    <w:lsdException w:name="macro" w:semiHidden="0" w:unhideWhenUsed="0"/>
    <w:lsdException w:name="List Bullet" w:semiHidden="0" w:unhideWhenUsed="0"/>
    <w:lsdException w:name="List Number" w:semiHidden="0" w:unhideWhenUsed="0"/>
    <w:lsdException w:name="Title" w:semiHidden="0" w:unhideWhenUsed="0"/>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Hyperlink" w:uiPriority="99"/>
    <w:lsdException w:name="Strong" w:semiHidden="0" w:unhideWhenUsed="0"/>
    <w:lsdException w:name="Emphasis" w:semiHidden="0" w:unhideWhenUsed="0"/>
    <w:lsdException w:name="No List"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46EFD"/>
    <w:pPr>
      <w:tabs>
        <w:tab w:val="left" w:pos="567"/>
      </w:tabs>
      <w:spacing w:after="80" w:line="320" w:lineRule="atLeast"/>
    </w:pPr>
    <w:rPr>
      <w:sz w:val="24"/>
    </w:rPr>
  </w:style>
  <w:style w:type="paragraph" w:styleId="Heading1">
    <w:name w:val="heading 1"/>
    <w:basedOn w:val="Normal"/>
    <w:next w:val="Heading2"/>
    <w:link w:val="Heading1Char"/>
    <w:uiPriority w:val="9"/>
    <w:qFormat/>
    <w:rsid w:val="00622669"/>
    <w:pPr>
      <w:keepNext/>
      <w:widowControl w:val="0"/>
      <w:pBdr>
        <w:bottom w:val="single" w:sz="4" w:space="1" w:color="auto"/>
      </w:pBdr>
      <w:spacing w:before="800" w:after="0" w:line="240" w:lineRule="auto"/>
      <w:outlineLvl w:val="0"/>
    </w:pPr>
    <w:rPr>
      <w:rFonts w:eastAsiaTheme="majorEastAsia" w:cstheme="majorBidi"/>
      <w:b/>
      <w:bCs/>
      <w:caps/>
      <w:color w:val="2C8558"/>
      <w:sz w:val="40"/>
      <w:szCs w:val="28"/>
    </w:rPr>
  </w:style>
  <w:style w:type="paragraph" w:styleId="Heading2">
    <w:name w:val="heading 2"/>
    <w:basedOn w:val="Normal"/>
    <w:next w:val="Heading3"/>
    <w:link w:val="Heading2Char"/>
    <w:uiPriority w:val="9"/>
    <w:qFormat/>
    <w:rsid w:val="00622669"/>
    <w:pPr>
      <w:keepNext/>
      <w:widowControl w:val="0"/>
      <w:spacing w:before="100" w:after="720" w:line="240" w:lineRule="auto"/>
      <w:outlineLvl w:val="1"/>
    </w:pPr>
    <w:rPr>
      <w:rFonts w:eastAsiaTheme="majorEastAsia" w:cstheme="majorBidi"/>
      <w:b/>
      <w:bCs/>
      <w:caps/>
      <w:color w:val="2C8558"/>
      <w:sz w:val="40"/>
      <w:szCs w:val="26"/>
    </w:rPr>
  </w:style>
  <w:style w:type="paragraph" w:styleId="Heading3">
    <w:name w:val="heading 3"/>
    <w:basedOn w:val="Normal"/>
    <w:next w:val="Heading4"/>
    <w:link w:val="Heading3Char"/>
    <w:uiPriority w:val="9"/>
    <w:qFormat/>
    <w:rsid w:val="00622669"/>
    <w:pPr>
      <w:keepNext/>
      <w:widowControl w:val="0"/>
      <w:spacing w:before="600" w:after="200" w:line="240" w:lineRule="auto"/>
      <w:outlineLvl w:val="2"/>
    </w:pPr>
    <w:rPr>
      <w:rFonts w:eastAsiaTheme="majorEastAsia" w:cstheme="majorBidi"/>
      <w:b/>
      <w:bCs/>
      <w:caps/>
      <w:color w:val="2C8558"/>
      <w:sz w:val="32"/>
    </w:rPr>
  </w:style>
  <w:style w:type="paragraph" w:styleId="Heading4">
    <w:name w:val="heading 4"/>
    <w:basedOn w:val="Normal"/>
    <w:next w:val="Heading5"/>
    <w:link w:val="Heading4Char"/>
    <w:uiPriority w:val="9"/>
    <w:qFormat/>
    <w:rsid w:val="00622669"/>
    <w:pPr>
      <w:keepNext/>
      <w:widowControl w:val="0"/>
      <w:spacing w:before="300" w:after="40" w:line="240" w:lineRule="auto"/>
      <w:outlineLvl w:val="3"/>
    </w:pPr>
    <w:rPr>
      <w:rFonts w:eastAsiaTheme="majorEastAsia" w:cstheme="majorBidi"/>
      <w:b/>
      <w:bCs/>
      <w:iCs/>
      <w:color w:val="2C8558"/>
      <w:sz w:val="32"/>
    </w:rPr>
  </w:style>
  <w:style w:type="paragraph" w:styleId="Heading5">
    <w:name w:val="heading 5"/>
    <w:basedOn w:val="Normal"/>
    <w:next w:val="Heading6"/>
    <w:link w:val="Heading5Char"/>
    <w:uiPriority w:val="9"/>
    <w:qFormat/>
    <w:rsid w:val="00622669"/>
    <w:pPr>
      <w:keepNext/>
      <w:tabs>
        <w:tab w:val="clear" w:pos="567"/>
      </w:tabs>
      <w:spacing w:before="300" w:after="40" w:line="240" w:lineRule="auto"/>
      <w:outlineLvl w:val="4"/>
    </w:pPr>
    <w:rPr>
      <w:rFonts w:eastAsiaTheme="majorEastAsia" w:cstheme="majorBidi"/>
      <w:b/>
      <w:i/>
      <w:color w:val="2C8558"/>
      <w:sz w:val="28"/>
    </w:rPr>
  </w:style>
  <w:style w:type="paragraph" w:styleId="Heading6">
    <w:name w:val="heading 6"/>
    <w:basedOn w:val="Normal"/>
    <w:next w:val="Normal"/>
    <w:link w:val="Heading6Char"/>
    <w:uiPriority w:val="9"/>
    <w:qFormat/>
    <w:rsid w:val="00622669"/>
    <w:pPr>
      <w:keepNext/>
      <w:keepLines/>
      <w:spacing w:before="120"/>
      <w:outlineLvl w:val="5"/>
    </w:pPr>
    <w:rPr>
      <w:rFonts w:eastAsiaTheme="majorEastAsia" w:cstheme="majorBidi"/>
      <w:b/>
      <w:i/>
      <w:iCs/>
      <w:color w:val="2C8558"/>
      <w:sz w:val="28"/>
    </w:rPr>
  </w:style>
  <w:style w:type="paragraph" w:styleId="Heading7">
    <w:name w:val="heading 7"/>
    <w:basedOn w:val="Normal"/>
    <w:next w:val="Normal"/>
    <w:link w:val="Heading7Char"/>
    <w:uiPriority w:val="9"/>
    <w:semiHidden/>
    <w:rsid w:val="006226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7"/>
      </w:numPr>
      <w:spacing w:before="240" w:after="60"/>
      <w:outlineLvl w:val="7"/>
    </w:pPr>
    <w:rPr>
      <w:rFonts w:ascii="Arial" w:hAnsi="Arial"/>
      <w:i/>
      <w:sz w:val="20"/>
      <w:szCs w:val="20"/>
    </w:rPr>
  </w:style>
  <w:style w:type="paragraph" w:styleId="Heading9">
    <w:name w:val="heading 9"/>
    <w:aliases w:val="Heading 9 (Do not use),(Subsubsection Nos)"/>
    <w:basedOn w:val="Normal"/>
    <w:next w:val="Normal"/>
    <w:semiHidden/>
    <w:rsid w:val="00765BA8"/>
    <w:pPr>
      <w:numPr>
        <w:ilvl w:val="8"/>
        <w:numId w:val="17"/>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622669"/>
    <w:pPr>
      <w:spacing w:after="0" w:line="240" w:lineRule="auto"/>
    </w:pPr>
    <w:rPr>
      <w:rFonts w:ascii="Tahoma" w:hAnsi="Tahoma" w:cs="Tahoma"/>
      <w:sz w:val="16"/>
      <w:szCs w:val="16"/>
    </w:rPr>
  </w:style>
  <w:style w:type="paragraph" w:styleId="Caption">
    <w:name w:val="caption"/>
    <w:basedOn w:val="Normal"/>
    <w:next w:val="Normal"/>
    <w:link w:val="CaptionChar"/>
    <w:rsid w:val="00622669"/>
    <w:pPr>
      <w:keepNext/>
      <w:keepLines/>
      <w:tabs>
        <w:tab w:val="clear" w:pos="567"/>
        <w:tab w:val="left" w:pos="1418"/>
      </w:tabs>
      <w:spacing w:before="240" w:after="120" w:line="240" w:lineRule="auto"/>
      <w:ind w:left="1418" w:hanging="1418"/>
    </w:pPr>
    <w:rPr>
      <w:b/>
      <w:bCs/>
      <w:szCs w:val="20"/>
    </w:rPr>
  </w:style>
  <w:style w:type="paragraph" w:customStyle="1" w:styleId="CGCBulletlist">
    <w:name w:val="CGC Bullet list"/>
    <w:aliases w:val="CGC List 1"/>
    <w:basedOn w:val="Normal"/>
    <w:link w:val="CGCBulletlistChar"/>
    <w:qFormat/>
    <w:rsid w:val="00DC0F02"/>
    <w:pPr>
      <w:numPr>
        <w:numId w:val="36"/>
      </w:numPr>
      <w:tabs>
        <w:tab w:val="clear" w:pos="567"/>
        <w:tab w:val="clear" w:pos="927"/>
        <w:tab w:val="left" w:pos="1134"/>
      </w:tabs>
      <w:spacing w:before="80" w:line="300" w:lineRule="atLeast"/>
      <w:ind w:left="1134" w:hanging="567"/>
    </w:pPr>
    <w:rPr>
      <w:szCs w:val="20"/>
    </w:rPr>
  </w:style>
  <w:style w:type="paragraph" w:customStyle="1" w:styleId="CGCNumeralList">
    <w:name w:val="CGC Numeral List"/>
    <w:aliases w:val="CGC List 3"/>
    <w:basedOn w:val="Normal"/>
    <w:qFormat/>
    <w:rsid w:val="00622669"/>
    <w:pPr>
      <w:numPr>
        <w:numId w:val="38"/>
      </w:numPr>
      <w:tabs>
        <w:tab w:val="clear" w:pos="567"/>
      </w:tabs>
      <w:spacing w:line="300" w:lineRule="atLeast"/>
    </w:pPr>
    <w:rPr>
      <w:szCs w:val="20"/>
    </w:rPr>
  </w:style>
  <w:style w:type="paragraph" w:customStyle="1" w:styleId="CGCNumberedPara">
    <w:name w:val="CGC Numbered Para"/>
    <w:aliases w:val="CGC Para No"/>
    <w:basedOn w:val="Normal"/>
    <w:link w:val="CGCParaNoChar"/>
    <w:qFormat/>
    <w:rsid w:val="00622669"/>
    <w:pPr>
      <w:numPr>
        <w:ilvl w:val="1"/>
        <w:numId w:val="37"/>
      </w:numPr>
      <w:spacing w:before="120"/>
    </w:pPr>
    <w:rPr>
      <w:szCs w:val="24"/>
    </w:rPr>
  </w:style>
  <w:style w:type="paragraph" w:customStyle="1" w:styleId="CGCQuotation">
    <w:name w:val="CGC Quotation"/>
    <w:basedOn w:val="Normal"/>
    <w:next w:val="CGCNumberedPara"/>
    <w:qFormat/>
    <w:rsid w:val="00622669"/>
    <w:pPr>
      <w:tabs>
        <w:tab w:val="clear" w:pos="567"/>
      </w:tabs>
      <w:spacing w:before="120" w:after="120" w:line="240" w:lineRule="auto"/>
      <w:ind w:left="1134" w:right="1134"/>
    </w:pPr>
    <w:rPr>
      <w:sz w:val="22"/>
      <w:szCs w:val="24"/>
    </w:rPr>
  </w:style>
  <w:style w:type="paragraph" w:customStyle="1" w:styleId="CGCSubbulletlist">
    <w:name w:val="CGC Sub bullet list"/>
    <w:aliases w:val="CGC List 2"/>
    <w:basedOn w:val="Normal"/>
    <w:qFormat/>
    <w:rsid w:val="00C21EF9"/>
    <w:pPr>
      <w:numPr>
        <w:numId w:val="39"/>
      </w:numPr>
      <w:tabs>
        <w:tab w:val="clear" w:pos="567"/>
        <w:tab w:val="clear" w:pos="927"/>
        <w:tab w:val="left" w:pos="1701"/>
      </w:tabs>
      <w:spacing w:line="300" w:lineRule="atLeast"/>
      <w:ind w:left="1701" w:hanging="567"/>
    </w:pPr>
    <w:rPr>
      <w:szCs w:val="20"/>
    </w:rPr>
  </w:style>
  <w:style w:type="paragraph" w:customStyle="1" w:styleId="CGCQuotationBullet">
    <w:name w:val="CGC Quotation Bullet"/>
    <w:basedOn w:val="CGCSubbulletlist"/>
    <w:rsid w:val="00622669"/>
    <w:pPr>
      <w:numPr>
        <w:numId w:val="40"/>
      </w:numPr>
      <w:ind w:right="1134"/>
    </w:pPr>
    <w:rPr>
      <w:sz w:val="22"/>
    </w:rPr>
  </w:style>
  <w:style w:type="paragraph" w:customStyle="1" w:styleId="CGCTableFootnote">
    <w:name w:val="CGC Table Footnote"/>
    <w:basedOn w:val="CGCNumberedPara"/>
    <w:next w:val="NoSpacing"/>
    <w:link w:val="CGCTableFootnoteChar"/>
    <w:qFormat/>
    <w:rsid w:val="00622669"/>
    <w:pPr>
      <w:numPr>
        <w:ilvl w:val="0"/>
        <w:numId w:val="0"/>
      </w:numPr>
      <w:tabs>
        <w:tab w:val="left" w:pos="851"/>
      </w:tabs>
      <w:spacing w:before="0" w:after="0" w:line="240" w:lineRule="auto"/>
      <w:ind w:left="851" w:hanging="851"/>
    </w:pPr>
    <w:rPr>
      <w:sz w:val="20"/>
    </w:rPr>
  </w:style>
  <w:style w:type="paragraph" w:customStyle="1" w:styleId="CGCTableHeading">
    <w:name w:val="CGC Table Heading"/>
    <w:basedOn w:val="Normal"/>
    <w:next w:val="Normal"/>
    <w:link w:val="CGCTableHeadingChar"/>
    <w:qFormat/>
    <w:rsid w:val="00622669"/>
    <w:pPr>
      <w:keepNext/>
      <w:keepLines/>
      <w:tabs>
        <w:tab w:val="clear" w:pos="567"/>
        <w:tab w:val="left" w:pos="1420"/>
      </w:tabs>
      <w:spacing w:before="240" w:after="120" w:line="240" w:lineRule="auto"/>
      <w:ind w:left="1418" w:hanging="1418"/>
    </w:pPr>
    <w:rPr>
      <w:b/>
      <w:szCs w:val="20"/>
    </w:rPr>
  </w:style>
  <w:style w:type="paragraph" w:customStyle="1" w:styleId="TableRowNormal">
    <w:name w:val="TableRowNormal"/>
    <w:basedOn w:val="Normal"/>
    <w:rsid w:val="00765BA8"/>
    <w:pPr>
      <w:keepNext/>
      <w:keepLines/>
      <w:tabs>
        <w:tab w:val="left" w:pos="475"/>
        <w:tab w:val="left" w:pos="1440"/>
        <w:tab w:val="left" w:pos="2160"/>
        <w:tab w:val="left" w:pos="2880"/>
      </w:tabs>
      <w:spacing w:before="60" w:after="60" w:line="200" w:lineRule="atLeast"/>
      <w:ind w:left="144" w:hanging="144"/>
      <w:jc w:val="right"/>
    </w:pPr>
    <w:rPr>
      <w:sz w:val="20"/>
      <w:szCs w:val="20"/>
    </w:rPr>
  </w:style>
  <w:style w:type="paragraph" w:customStyle="1" w:styleId="CGCTableStub">
    <w:name w:val="CGC Table Stub"/>
    <w:basedOn w:val="Normal"/>
    <w:link w:val="CGCTableStubChar"/>
    <w:qFormat/>
    <w:rsid w:val="00622669"/>
    <w:pPr>
      <w:keepNext/>
      <w:keepLines/>
      <w:tabs>
        <w:tab w:val="left" w:pos="284"/>
      </w:tabs>
      <w:spacing w:before="60" w:after="60" w:line="200" w:lineRule="atLeast"/>
    </w:pPr>
    <w:rPr>
      <w:sz w:val="20"/>
      <w:szCs w:val="20"/>
    </w:rPr>
  </w:style>
  <w:style w:type="character" w:styleId="CommentReference">
    <w:name w:val="annotation reference"/>
    <w:basedOn w:val="DefaultParagraphFont"/>
    <w:rsid w:val="00765BA8"/>
    <w:rPr>
      <w:sz w:val="16"/>
      <w:szCs w:val="16"/>
    </w:rPr>
  </w:style>
  <w:style w:type="paragraph" w:styleId="CommentText">
    <w:name w:val="annotation text"/>
    <w:basedOn w:val="Normal"/>
    <w:rsid w:val="00765BA8"/>
    <w:rPr>
      <w:sz w:val="20"/>
      <w:szCs w:val="20"/>
    </w:rPr>
  </w:style>
  <w:style w:type="paragraph" w:styleId="CommentSubject">
    <w:name w:val="annotation subject"/>
    <w:basedOn w:val="CommentText"/>
    <w:next w:val="CommentText"/>
    <w:rsid w:val="00765BA8"/>
    <w:rPr>
      <w:b/>
      <w:bCs/>
    </w:rPr>
  </w:style>
  <w:style w:type="paragraph" w:styleId="DocumentMap">
    <w:name w:val="Document Map"/>
    <w:basedOn w:val="Normal"/>
    <w:rsid w:val="00765BA8"/>
    <w:pPr>
      <w:shd w:val="clear" w:color="auto" w:fill="000080"/>
    </w:pPr>
    <w:rPr>
      <w:rFonts w:ascii="Tahoma" w:hAnsi="Tahoma" w:cs="Tahoma"/>
      <w:sz w:val="20"/>
      <w:szCs w:val="20"/>
    </w:rPr>
  </w:style>
  <w:style w:type="character" w:styleId="EndnoteReference">
    <w:name w:val="endnote reference"/>
    <w:basedOn w:val="DefaultParagraphFont"/>
    <w:rsid w:val="00765BA8"/>
    <w:rPr>
      <w:vertAlign w:val="superscript"/>
    </w:rPr>
  </w:style>
  <w:style w:type="paragraph" w:styleId="EndnoteText">
    <w:name w:val="endnote text"/>
    <w:basedOn w:val="Normal"/>
    <w:rsid w:val="00765BA8"/>
    <w:rPr>
      <w:sz w:val="20"/>
      <w:szCs w:val="20"/>
    </w:rPr>
  </w:style>
  <w:style w:type="paragraph" w:styleId="Footer">
    <w:name w:val="footer"/>
    <w:basedOn w:val="Normal"/>
    <w:link w:val="FooterChar"/>
    <w:uiPriority w:val="99"/>
    <w:unhideWhenUsed/>
    <w:rsid w:val="00622669"/>
    <w:pPr>
      <w:tabs>
        <w:tab w:val="clear" w:pos="567"/>
        <w:tab w:val="center" w:pos="4513"/>
        <w:tab w:val="right" w:pos="9026"/>
      </w:tabs>
      <w:spacing w:after="0" w:line="240" w:lineRule="auto"/>
    </w:pPr>
  </w:style>
  <w:style w:type="character" w:styleId="FootnoteReference">
    <w:name w:val="footnote reference"/>
    <w:basedOn w:val="DefaultParagraphFont"/>
    <w:qFormat/>
    <w:rsid w:val="00765BA8"/>
    <w:rPr>
      <w:vertAlign w:val="superscript"/>
    </w:rPr>
  </w:style>
  <w:style w:type="paragraph" w:styleId="FootnoteText">
    <w:name w:val="footnote text"/>
    <w:basedOn w:val="Normal"/>
    <w:link w:val="FootnoteTextChar"/>
    <w:qFormat/>
    <w:rsid w:val="00622669"/>
    <w:pPr>
      <w:spacing w:after="0" w:line="240" w:lineRule="auto"/>
      <w:ind w:left="567" w:hanging="567"/>
    </w:pPr>
    <w:rPr>
      <w:sz w:val="20"/>
      <w:szCs w:val="20"/>
    </w:rPr>
  </w:style>
  <w:style w:type="paragraph" w:styleId="Header">
    <w:name w:val="header"/>
    <w:basedOn w:val="Normal"/>
    <w:link w:val="HeaderChar"/>
    <w:uiPriority w:val="99"/>
    <w:unhideWhenUsed/>
    <w:rsid w:val="00622669"/>
    <w:pPr>
      <w:tabs>
        <w:tab w:val="clear" w:pos="567"/>
        <w:tab w:val="center" w:pos="4513"/>
        <w:tab w:val="right" w:pos="9026"/>
      </w:tabs>
      <w:spacing w:after="0" w:line="240" w:lineRule="auto"/>
    </w:pPr>
  </w:style>
  <w:style w:type="character" w:styleId="Hyperlink">
    <w:name w:val="Hyperlink"/>
    <w:basedOn w:val="DefaultParagraphFont"/>
    <w:uiPriority w:val="99"/>
    <w:rsid w:val="00765BA8"/>
    <w:rPr>
      <w:color w:val="0000FF"/>
      <w:u w:val="single"/>
    </w:rPr>
  </w:style>
  <w:style w:type="paragraph" w:styleId="Index1">
    <w:name w:val="index 1"/>
    <w:basedOn w:val="Normal"/>
    <w:rsid w:val="00212948"/>
  </w:style>
  <w:style w:type="paragraph" w:styleId="Index2">
    <w:name w:val="index 2"/>
    <w:basedOn w:val="Normal"/>
    <w:next w:val="Index1"/>
    <w:rsid w:val="00212948"/>
    <w:pPr>
      <w:ind w:left="284"/>
    </w:pPr>
  </w:style>
  <w:style w:type="paragraph" w:styleId="Index3">
    <w:name w:val="index 3"/>
    <w:basedOn w:val="Normal"/>
    <w:next w:val="Index1"/>
    <w:rsid w:val="00212948"/>
    <w:pPr>
      <w:ind w:left="567"/>
    </w:pPr>
  </w:style>
  <w:style w:type="paragraph" w:styleId="Index4">
    <w:name w:val="index 4"/>
    <w:basedOn w:val="Normal"/>
    <w:next w:val="Normal"/>
    <w:rsid w:val="00765BA8"/>
    <w:pPr>
      <w:ind w:left="880" w:hanging="220"/>
    </w:pPr>
  </w:style>
  <w:style w:type="paragraph" w:styleId="Index5">
    <w:name w:val="index 5"/>
    <w:basedOn w:val="Normal"/>
    <w:next w:val="Normal"/>
    <w:rsid w:val="00765BA8"/>
    <w:pPr>
      <w:ind w:left="1100" w:hanging="220"/>
    </w:pPr>
  </w:style>
  <w:style w:type="paragraph" w:styleId="Index6">
    <w:name w:val="index 6"/>
    <w:basedOn w:val="Normal"/>
    <w:next w:val="Normal"/>
    <w:rsid w:val="00765BA8"/>
    <w:pPr>
      <w:ind w:left="1320" w:hanging="220"/>
    </w:pPr>
  </w:style>
  <w:style w:type="paragraph" w:styleId="Index7">
    <w:name w:val="index 7"/>
    <w:basedOn w:val="Normal"/>
    <w:next w:val="Normal"/>
    <w:rsid w:val="00765BA8"/>
    <w:pPr>
      <w:ind w:left="1540" w:hanging="220"/>
    </w:pPr>
  </w:style>
  <w:style w:type="paragraph" w:styleId="Index8">
    <w:name w:val="index 8"/>
    <w:basedOn w:val="Normal"/>
    <w:next w:val="Normal"/>
    <w:rsid w:val="00765BA8"/>
    <w:pPr>
      <w:ind w:left="1760" w:hanging="220"/>
    </w:pPr>
  </w:style>
  <w:style w:type="paragraph" w:styleId="Index9">
    <w:name w:val="index 9"/>
    <w:basedOn w:val="Normal"/>
    <w:next w:val="Normal"/>
    <w:rsid w:val="00765BA8"/>
    <w:pPr>
      <w:ind w:left="1980" w:hanging="220"/>
    </w:pPr>
  </w:style>
  <w:style w:type="paragraph" w:styleId="IndexHeading">
    <w:name w:val="index heading"/>
    <w:basedOn w:val="Normal"/>
    <w:next w:val="Index1"/>
    <w:rsid w:val="00765BA8"/>
  </w:style>
  <w:style w:type="paragraph" w:styleId="List">
    <w:name w:val="List"/>
    <w:basedOn w:val="Normal"/>
    <w:rsid w:val="003A27BB"/>
    <w:pPr>
      <w:spacing w:line="300" w:lineRule="atLeast"/>
    </w:pPr>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765BA8"/>
  </w:style>
  <w:style w:type="paragraph" w:customStyle="1" w:styleId="Single">
    <w:name w:val="Single"/>
    <w:basedOn w:val="Normal"/>
    <w:next w:val="CGCNumberedPara"/>
    <w:rsid w:val="00765BA8"/>
    <w:pPr>
      <w:spacing w:after="0" w:line="240" w:lineRule="auto"/>
    </w:pPr>
  </w:style>
  <w:style w:type="table" w:styleId="TableGrid">
    <w:name w:val="Table Grid"/>
    <w:basedOn w:val="TableNormal"/>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765BA8"/>
    <w:pPr>
      <w:tabs>
        <w:tab w:val="clear" w:pos="567"/>
      </w:tabs>
      <w:ind w:left="220" w:hanging="220"/>
    </w:pPr>
  </w:style>
  <w:style w:type="paragraph" w:styleId="TableofFigures">
    <w:name w:val="table of figures"/>
    <w:basedOn w:val="Normal"/>
    <w:next w:val="Normal"/>
    <w:rsid w:val="00765BA8"/>
    <w:pPr>
      <w:tabs>
        <w:tab w:val="clear" w:pos="567"/>
      </w:tabs>
    </w:pPr>
  </w:style>
  <w:style w:type="paragraph" w:customStyle="1" w:styleId="TableColHeadings">
    <w:name w:val="TableColHeadings"/>
    <w:basedOn w:val="Normal"/>
    <w:rsid w:val="00765BA8"/>
    <w:pPr>
      <w:keepNext/>
      <w:keepLines/>
      <w:tabs>
        <w:tab w:val="left" w:pos="475"/>
        <w:tab w:val="left" w:pos="1440"/>
        <w:tab w:val="left" w:pos="2160"/>
        <w:tab w:val="left" w:pos="2880"/>
      </w:tabs>
      <w:spacing w:before="60" w:after="60" w:line="240" w:lineRule="auto"/>
      <w:jc w:val="right"/>
    </w:pPr>
    <w:rPr>
      <w:sz w:val="20"/>
      <w:szCs w:val="20"/>
    </w:rPr>
  </w:style>
  <w:style w:type="paragraph" w:customStyle="1" w:styleId="TableRowUnits">
    <w:name w:val="TableRowUnits"/>
    <w:basedOn w:val="Normal"/>
    <w:rsid w:val="00765BA8"/>
    <w:pPr>
      <w:keepNext/>
      <w:keepLines/>
      <w:tabs>
        <w:tab w:val="left" w:pos="475"/>
        <w:tab w:val="left" w:pos="1440"/>
        <w:tab w:val="left" w:pos="2160"/>
        <w:tab w:val="left" w:pos="2880"/>
      </w:tabs>
      <w:spacing w:after="0" w:line="240" w:lineRule="auto"/>
      <w:jc w:val="right"/>
    </w:pPr>
    <w:rPr>
      <w:sz w:val="20"/>
      <w:szCs w:val="20"/>
    </w:rPr>
  </w:style>
  <w:style w:type="paragraph" w:styleId="TOAHeading">
    <w:name w:val="toa heading"/>
    <w:basedOn w:val="Normal"/>
    <w:next w:val="Normal"/>
    <w:rsid w:val="003A27BB"/>
    <w:pPr>
      <w:spacing w:before="120"/>
    </w:pPr>
    <w:rPr>
      <w:rFonts w:cs="Arial"/>
      <w:b/>
      <w:bCs/>
    </w:rPr>
  </w:style>
  <w:style w:type="paragraph" w:styleId="TOC1">
    <w:name w:val="toc 1"/>
    <w:basedOn w:val="Normal"/>
    <w:next w:val="Normal"/>
    <w:uiPriority w:val="39"/>
    <w:rsid w:val="00996409"/>
    <w:pPr>
      <w:tabs>
        <w:tab w:val="clear" w:pos="567"/>
        <w:tab w:val="right" w:pos="8942"/>
      </w:tabs>
      <w:spacing w:before="120" w:after="120"/>
    </w:pPr>
    <w:rPr>
      <w:b/>
      <w:bCs/>
      <w:caps/>
      <w:szCs w:val="20"/>
    </w:rPr>
  </w:style>
  <w:style w:type="paragraph" w:styleId="TOC2">
    <w:name w:val="toc 2"/>
    <w:basedOn w:val="Normal"/>
    <w:next w:val="Normal"/>
    <w:rsid w:val="006A72B0"/>
    <w:pPr>
      <w:tabs>
        <w:tab w:val="clear" w:pos="567"/>
        <w:tab w:val="right" w:pos="8942"/>
      </w:tabs>
      <w:spacing w:after="0"/>
      <w:ind w:left="851"/>
    </w:pPr>
    <w:rPr>
      <w:szCs w:val="20"/>
    </w:rPr>
  </w:style>
  <w:style w:type="paragraph" w:styleId="TOC3">
    <w:name w:val="toc 3"/>
    <w:basedOn w:val="Normal"/>
    <w:next w:val="Normal"/>
    <w:uiPriority w:val="39"/>
    <w:rsid w:val="00C2657C"/>
    <w:pPr>
      <w:tabs>
        <w:tab w:val="clear" w:pos="567"/>
        <w:tab w:val="right" w:pos="8942"/>
      </w:tabs>
      <w:spacing w:after="0"/>
      <w:ind w:left="567"/>
    </w:pPr>
    <w:rPr>
      <w:iCs/>
    </w:rPr>
  </w:style>
  <w:style w:type="paragraph" w:styleId="TOC4">
    <w:name w:val="toc 4"/>
    <w:basedOn w:val="Normal"/>
    <w:next w:val="Normal"/>
    <w:uiPriority w:val="39"/>
    <w:rsid w:val="00996409"/>
    <w:pPr>
      <w:tabs>
        <w:tab w:val="clear" w:pos="567"/>
        <w:tab w:val="right" w:pos="8942"/>
      </w:tabs>
      <w:spacing w:after="0"/>
      <w:ind w:left="1134"/>
    </w:pPr>
  </w:style>
  <w:style w:type="paragraph" w:styleId="TOC5">
    <w:name w:val="toc 5"/>
    <w:basedOn w:val="Normal"/>
    <w:next w:val="Normal"/>
    <w:rsid w:val="00765BA8"/>
    <w:pPr>
      <w:tabs>
        <w:tab w:val="clear" w:pos="567"/>
      </w:tabs>
      <w:spacing w:after="0"/>
      <w:ind w:left="1701"/>
    </w:pPr>
    <w:rPr>
      <w:sz w:val="18"/>
      <w:szCs w:val="18"/>
    </w:rPr>
  </w:style>
  <w:style w:type="paragraph" w:styleId="TOC6">
    <w:name w:val="toc 6"/>
    <w:basedOn w:val="Normal"/>
    <w:next w:val="Normal"/>
    <w:rsid w:val="00765BA8"/>
    <w:pPr>
      <w:tabs>
        <w:tab w:val="clear" w:pos="567"/>
      </w:tabs>
      <w:spacing w:after="0"/>
      <w:ind w:left="1100"/>
    </w:pPr>
    <w:rPr>
      <w:sz w:val="18"/>
      <w:szCs w:val="18"/>
    </w:rPr>
  </w:style>
  <w:style w:type="paragraph" w:styleId="TOC7">
    <w:name w:val="toc 7"/>
    <w:basedOn w:val="Normal"/>
    <w:next w:val="Normal"/>
    <w:rsid w:val="00765BA8"/>
    <w:pPr>
      <w:tabs>
        <w:tab w:val="clear" w:pos="567"/>
      </w:tabs>
      <w:spacing w:after="0"/>
      <w:ind w:left="1320"/>
    </w:pPr>
    <w:rPr>
      <w:sz w:val="18"/>
      <w:szCs w:val="18"/>
    </w:rPr>
  </w:style>
  <w:style w:type="paragraph" w:styleId="TOC8">
    <w:name w:val="toc 8"/>
    <w:basedOn w:val="Normal"/>
    <w:next w:val="Normal"/>
    <w:rsid w:val="00765BA8"/>
    <w:pPr>
      <w:tabs>
        <w:tab w:val="clear" w:pos="567"/>
      </w:tabs>
      <w:spacing w:after="0"/>
      <w:ind w:left="1540"/>
    </w:pPr>
    <w:rPr>
      <w:sz w:val="18"/>
      <w:szCs w:val="18"/>
    </w:rPr>
  </w:style>
  <w:style w:type="paragraph" w:styleId="TOC9">
    <w:name w:val="toc 9"/>
    <w:basedOn w:val="Normal"/>
    <w:next w:val="Normal"/>
    <w:rsid w:val="00765BA8"/>
    <w:pPr>
      <w:tabs>
        <w:tab w:val="clear" w:pos="567"/>
      </w:tabs>
      <w:spacing w:after="0"/>
      <w:ind w:left="1760"/>
    </w:pPr>
    <w:rPr>
      <w:sz w:val="18"/>
      <w:szCs w:val="18"/>
    </w:rPr>
  </w:style>
  <w:style w:type="character" w:customStyle="1" w:styleId="Heading1Char">
    <w:name w:val="Heading 1 Char"/>
    <w:basedOn w:val="DefaultParagraphFont"/>
    <w:link w:val="Heading1"/>
    <w:uiPriority w:val="9"/>
    <w:rsid w:val="00622669"/>
    <w:rPr>
      <w:rFonts w:eastAsiaTheme="majorEastAsia" w:cstheme="majorBidi"/>
      <w:b/>
      <w:bCs/>
      <w:caps/>
      <w:color w:val="2C8558"/>
      <w:sz w:val="40"/>
      <w:szCs w:val="28"/>
    </w:rPr>
  </w:style>
  <w:style w:type="character" w:customStyle="1" w:styleId="Heading2Char">
    <w:name w:val="Heading 2 Char"/>
    <w:basedOn w:val="DefaultParagraphFont"/>
    <w:link w:val="Heading2"/>
    <w:uiPriority w:val="9"/>
    <w:rsid w:val="00622669"/>
    <w:rPr>
      <w:rFonts w:eastAsiaTheme="majorEastAsia" w:cstheme="majorBidi"/>
      <w:b/>
      <w:bCs/>
      <w:caps/>
      <w:color w:val="2C8558"/>
      <w:sz w:val="40"/>
      <w:szCs w:val="26"/>
    </w:rPr>
  </w:style>
  <w:style w:type="character" w:customStyle="1" w:styleId="Heading3Char">
    <w:name w:val="Heading 3 Char"/>
    <w:basedOn w:val="DefaultParagraphFont"/>
    <w:link w:val="Heading3"/>
    <w:uiPriority w:val="9"/>
    <w:rsid w:val="00622669"/>
    <w:rPr>
      <w:rFonts w:eastAsiaTheme="majorEastAsia" w:cstheme="majorBidi"/>
      <w:b/>
      <w:bCs/>
      <w:caps/>
      <w:color w:val="2C8558"/>
      <w:sz w:val="32"/>
    </w:rPr>
  </w:style>
  <w:style w:type="character" w:customStyle="1" w:styleId="Heading4Char">
    <w:name w:val="Heading 4 Char"/>
    <w:basedOn w:val="DefaultParagraphFont"/>
    <w:link w:val="Heading4"/>
    <w:uiPriority w:val="9"/>
    <w:rsid w:val="00622669"/>
    <w:rPr>
      <w:rFonts w:eastAsiaTheme="majorEastAsia" w:cstheme="majorBidi"/>
      <w:b/>
      <w:bCs/>
      <w:iCs/>
      <w:color w:val="2C8558"/>
      <w:sz w:val="32"/>
    </w:rPr>
  </w:style>
  <w:style w:type="character" w:customStyle="1" w:styleId="Heading5Char">
    <w:name w:val="Heading 5 Char"/>
    <w:basedOn w:val="DefaultParagraphFont"/>
    <w:link w:val="Heading5"/>
    <w:uiPriority w:val="9"/>
    <w:rsid w:val="00622669"/>
    <w:rPr>
      <w:rFonts w:eastAsiaTheme="majorEastAsia" w:cstheme="majorBidi"/>
      <w:b/>
      <w:i/>
      <w:color w:val="2C8558"/>
      <w:sz w:val="28"/>
    </w:rPr>
  </w:style>
  <w:style w:type="paragraph" w:styleId="NoSpacing">
    <w:name w:val="No Spacing"/>
    <w:link w:val="NoSpacingChar"/>
    <w:uiPriority w:val="1"/>
    <w:qFormat/>
    <w:rsid w:val="00622669"/>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F9170D"/>
    <w:rPr>
      <w:sz w:val="24"/>
    </w:rPr>
  </w:style>
  <w:style w:type="paragraph" w:styleId="ListParagraph">
    <w:name w:val="List Paragraph"/>
    <w:basedOn w:val="Normal"/>
    <w:uiPriority w:val="34"/>
    <w:qFormat/>
    <w:rsid w:val="00622669"/>
    <w:pPr>
      <w:tabs>
        <w:tab w:val="clear" w:pos="567"/>
      </w:tabs>
      <w:spacing w:line="300" w:lineRule="atLeast"/>
      <w:ind w:left="1134"/>
    </w:pPr>
    <w:rPr>
      <w:szCs w:val="24"/>
    </w:rPr>
  </w:style>
  <w:style w:type="paragraph" w:styleId="TOCHeading">
    <w:name w:val="TOC Heading"/>
    <w:basedOn w:val="Heading1"/>
    <w:next w:val="Normal"/>
    <w:uiPriority w:val="39"/>
    <w:semiHidden/>
    <w:unhideWhenUsed/>
    <w:qFormat/>
    <w:rsid w:val="00F9170D"/>
    <w:pPr>
      <w:keepLines/>
      <w:pBdr>
        <w:bottom w:val="none" w:sz="0" w:space="0" w:color="auto"/>
      </w:pBdr>
      <w:spacing w:before="480" w:line="320" w:lineRule="atLeast"/>
      <w:outlineLvl w:val="9"/>
    </w:pPr>
    <w:rPr>
      <w:rFonts w:asciiTheme="majorHAnsi" w:hAnsiTheme="majorHAnsi"/>
      <w:caps w:val="0"/>
      <w:color w:val="365F91" w:themeColor="accent1" w:themeShade="BF"/>
      <w:sz w:val="28"/>
    </w:rPr>
  </w:style>
  <w:style w:type="character" w:customStyle="1" w:styleId="FooterChar">
    <w:name w:val="Footer Char"/>
    <w:basedOn w:val="DefaultParagraphFont"/>
    <w:link w:val="Footer"/>
    <w:uiPriority w:val="99"/>
    <w:rsid w:val="00622669"/>
    <w:rPr>
      <w:sz w:val="24"/>
    </w:rPr>
  </w:style>
  <w:style w:type="character" w:customStyle="1" w:styleId="HeaderChar">
    <w:name w:val="Header Char"/>
    <w:basedOn w:val="DefaultParagraphFont"/>
    <w:link w:val="Header"/>
    <w:uiPriority w:val="99"/>
    <w:rsid w:val="00622669"/>
    <w:rPr>
      <w:sz w:val="24"/>
    </w:rPr>
  </w:style>
  <w:style w:type="paragraph" w:customStyle="1" w:styleId="CGCDataCaption">
    <w:name w:val="CGC Data Caption"/>
    <w:basedOn w:val="CGCTableFootnote"/>
    <w:next w:val="NoSpacing"/>
    <w:link w:val="DataCaptionChar"/>
    <w:qFormat/>
    <w:rsid w:val="00622669"/>
  </w:style>
  <w:style w:type="character" w:customStyle="1" w:styleId="CaptionChar">
    <w:name w:val="Caption Char"/>
    <w:basedOn w:val="DefaultParagraphFont"/>
    <w:link w:val="Caption"/>
    <w:rsid w:val="00622669"/>
    <w:rPr>
      <w:b/>
      <w:bCs/>
      <w:sz w:val="24"/>
      <w:szCs w:val="20"/>
    </w:rPr>
  </w:style>
  <w:style w:type="character" w:customStyle="1" w:styleId="DataCaptionChar">
    <w:name w:val="Data Caption Char"/>
    <w:basedOn w:val="DefaultParagraphFont"/>
    <w:link w:val="CGCDataCaption"/>
    <w:rsid w:val="00622669"/>
    <w:rPr>
      <w:sz w:val="20"/>
      <w:szCs w:val="24"/>
    </w:rPr>
  </w:style>
  <w:style w:type="character" w:customStyle="1" w:styleId="BalloonTextChar">
    <w:name w:val="Balloon Text Char"/>
    <w:basedOn w:val="DefaultParagraphFont"/>
    <w:link w:val="BalloonText"/>
    <w:uiPriority w:val="99"/>
    <w:rsid w:val="00622669"/>
    <w:rPr>
      <w:rFonts w:ascii="Tahoma" w:hAnsi="Tahoma" w:cs="Tahoma"/>
      <w:sz w:val="16"/>
      <w:szCs w:val="16"/>
    </w:rPr>
  </w:style>
  <w:style w:type="character" w:customStyle="1" w:styleId="FootnoteTextChar">
    <w:name w:val="Footnote Text Char"/>
    <w:basedOn w:val="DefaultParagraphFont"/>
    <w:link w:val="FootnoteText"/>
    <w:rsid w:val="00622669"/>
    <w:rPr>
      <w:sz w:val="20"/>
      <w:szCs w:val="20"/>
    </w:rPr>
  </w:style>
  <w:style w:type="character" w:customStyle="1" w:styleId="Heading6Char">
    <w:name w:val="Heading 6 Char"/>
    <w:basedOn w:val="DefaultParagraphFont"/>
    <w:link w:val="Heading6"/>
    <w:rsid w:val="00622669"/>
    <w:rPr>
      <w:rFonts w:eastAsiaTheme="majorEastAsia" w:cstheme="majorBidi"/>
      <w:b/>
      <w:i/>
      <w:iCs/>
      <w:color w:val="2C8558"/>
      <w:sz w:val="28"/>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character" w:customStyle="1" w:styleId="CGCParaNoChar">
    <w:name w:val="CGC Para No Char"/>
    <w:aliases w:val="CGC Numbered Para Char"/>
    <w:basedOn w:val="DefaultParagraphFont"/>
    <w:link w:val="CGCNumberedPara"/>
    <w:rsid w:val="00F46EFD"/>
    <w:rPr>
      <w:sz w:val="24"/>
      <w:szCs w:val="24"/>
    </w:rPr>
  </w:style>
  <w:style w:type="character" w:customStyle="1" w:styleId="CGCBulletlistChar">
    <w:name w:val="CGC Bullet list Char"/>
    <w:aliases w:val="CGC List 1 Char,CGC Bullet list Char1"/>
    <w:basedOn w:val="DefaultParagraphFont"/>
    <w:link w:val="CGCBulletlist"/>
    <w:locked/>
    <w:rsid w:val="00F46EFD"/>
    <w:rPr>
      <w:sz w:val="24"/>
      <w:szCs w:val="20"/>
    </w:rPr>
  </w:style>
  <w:style w:type="character" w:customStyle="1" w:styleId="CGCTableFootnoteChar">
    <w:name w:val="CGC Table Footnote Char"/>
    <w:basedOn w:val="DefaultParagraphFont"/>
    <w:link w:val="CGCTableFootnote"/>
    <w:rsid w:val="00C54930"/>
    <w:rPr>
      <w:sz w:val="20"/>
      <w:szCs w:val="24"/>
    </w:rPr>
  </w:style>
  <w:style w:type="character" w:customStyle="1" w:styleId="CGCTableHeadingChar">
    <w:name w:val="CGC Table Heading Char"/>
    <w:basedOn w:val="DefaultParagraphFont"/>
    <w:link w:val="CGCTableHeading"/>
    <w:rsid w:val="00C54930"/>
    <w:rPr>
      <w:b/>
      <w:sz w:val="24"/>
      <w:szCs w:val="20"/>
    </w:rPr>
  </w:style>
  <w:style w:type="character" w:customStyle="1" w:styleId="CGCTableStubChar">
    <w:name w:val="CGC Table Stub Char"/>
    <w:basedOn w:val="DefaultParagraphFont"/>
    <w:link w:val="CGCTableStub"/>
    <w:rsid w:val="00C54930"/>
    <w:rPr>
      <w:sz w:val="20"/>
      <w:szCs w:val="20"/>
    </w:rPr>
  </w:style>
  <w:style w:type="character" w:customStyle="1" w:styleId="CGCBulletlistCharChar">
    <w:name w:val="CGC Bullet list Char Char"/>
    <w:basedOn w:val="DefaultParagraphFont"/>
    <w:rsid w:val="00C23AC3"/>
    <w:rPr>
      <w:sz w:val="24"/>
      <w:szCs w:val="20"/>
    </w:rPr>
  </w:style>
  <w:style w:type="paragraph" w:styleId="Revision">
    <w:name w:val="Revision"/>
    <w:hidden/>
    <w:uiPriority w:val="99"/>
    <w:semiHidden/>
    <w:rsid w:val="00C52419"/>
    <w:pPr>
      <w:spacing w:after="0" w:line="240" w:lineRule="auto"/>
    </w:pPr>
    <w:rPr>
      <w:sz w:val="24"/>
    </w:rPr>
  </w:style>
  <w:style w:type="character" w:styleId="FollowedHyperlink">
    <w:name w:val="FollowedHyperlink"/>
    <w:basedOn w:val="DefaultParagraphFont"/>
    <w:semiHidden/>
    <w:unhideWhenUsed/>
    <w:rsid w:val="00C524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70621">
      <w:bodyDiv w:val="1"/>
      <w:marLeft w:val="0"/>
      <w:marRight w:val="0"/>
      <w:marTop w:val="0"/>
      <w:marBottom w:val="0"/>
      <w:divBdr>
        <w:top w:val="none" w:sz="0" w:space="0" w:color="auto"/>
        <w:left w:val="none" w:sz="0" w:space="0" w:color="auto"/>
        <w:bottom w:val="none" w:sz="0" w:space="0" w:color="auto"/>
        <w:right w:val="none" w:sz="0" w:space="0" w:color="auto"/>
      </w:divBdr>
    </w:div>
    <w:div w:id="33696614">
      <w:bodyDiv w:val="1"/>
      <w:marLeft w:val="0"/>
      <w:marRight w:val="0"/>
      <w:marTop w:val="0"/>
      <w:marBottom w:val="0"/>
      <w:divBdr>
        <w:top w:val="none" w:sz="0" w:space="0" w:color="auto"/>
        <w:left w:val="none" w:sz="0" w:space="0" w:color="auto"/>
        <w:bottom w:val="none" w:sz="0" w:space="0" w:color="auto"/>
        <w:right w:val="none" w:sz="0" w:space="0" w:color="auto"/>
      </w:divBdr>
    </w:div>
    <w:div w:id="77138373">
      <w:bodyDiv w:val="1"/>
      <w:marLeft w:val="0"/>
      <w:marRight w:val="0"/>
      <w:marTop w:val="0"/>
      <w:marBottom w:val="0"/>
      <w:divBdr>
        <w:top w:val="none" w:sz="0" w:space="0" w:color="auto"/>
        <w:left w:val="none" w:sz="0" w:space="0" w:color="auto"/>
        <w:bottom w:val="none" w:sz="0" w:space="0" w:color="auto"/>
        <w:right w:val="none" w:sz="0" w:space="0" w:color="auto"/>
      </w:divBdr>
    </w:div>
    <w:div w:id="106966795">
      <w:bodyDiv w:val="1"/>
      <w:marLeft w:val="0"/>
      <w:marRight w:val="0"/>
      <w:marTop w:val="0"/>
      <w:marBottom w:val="0"/>
      <w:divBdr>
        <w:top w:val="none" w:sz="0" w:space="0" w:color="auto"/>
        <w:left w:val="none" w:sz="0" w:space="0" w:color="auto"/>
        <w:bottom w:val="none" w:sz="0" w:space="0" w:color="auto"/>
        <w:right w:val="none" w:sz="0" w:space="0" w:color="auto"/>
      </w:divBdr>
    </w:div>
    <w:div w:id="153498397">
      <w:bodyDiv w:val="1"/>
      <w:marLeft w:val="0"/>
      <w:marRight w:val="0"/>
      <w:marTop w:val="0"/>
      <w:marBottom w:val="0"/>
      <w:divBdr>
        <w:top w:val="none" w:sz="0" w:space="0" w:color="auto"/>
        <w:left w:val="none" w:sz="0" w:space="0" w:color="auto"/>
        <w:bottom w:val="none" w:sz="0" w:space="0" w:color="auto"/>
        <w:right w:val="none" w:sz="0" w:space="0" w:color="auto"/>
      </w:divBdr>
    </w:div>
    <w:div w:id="374548778">
      <w:bodyDiv w:val="1"/>
      <w:marLeft w:val="0"/>
      <w:marRight w:val="0"/>
      <w:marTop w:val="0"/>
      <w:marBottom w:val="0"/>
      <w:divBdr>
        <w:top w:val="none" w:sz="0" w:space="0" w:color="auto"/>
        <w:left w:val="none" w:sz="0" w:space="0" w:color="auto"/>
        <w:bottom w:val="none" w:sz="0" w:space="0" w:color="auto"/>
        <w:right w:val="none" w:sz="0" w:space="0" w:color="auto"/>
      </w:divBdr>
    </w:div>
    <w:div w:id="507983339">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564145545">
      <w:bodyDiv w:val="1"/>
      <w:marLeft w:val="0"/>
      <w:marRight w:val="0"/>
      <w:marTop w:val="0"/>
      <w:marBottom w:val="0"/>
      <w:divBdr>
        <w:top w:val="none" w:sz="0" w:space="0" w:color="auto"/>
        <w:left w:val="none" w:sz="0" w:space="0" w:color="auto"/>
        <w:bottom w:val="none" w:sz="0" w:space="0" w:color="auto"/>
        <w:right w:val="none" w:sz="0" w:space="0" w:color="auto"/>
      </w:divBdr>
    </w:div>
    <w:div w:id="679818746">
      <w:bodyDiv w:val="1"/>
      <w:marLeft w:val="0"/>
      <w:marRight w:val="0"/>
      <w:marTop w:val="0"/>
      <w:marBottom w:val="0"/>
      <w:divBdr>
        <w:top w:val="none" w:sz="0" w:space="0" w:color="auto"/>
        <w:left w:val="none" w:sz="0" w:space="0" w:color="auto"/>
        <w:bottom w:val="none" w:sz="0" w:space="0" w:color="auto"/>
        <w:right w:val="none" w:sz="0" w:space="0" w:color="auto"/>
      </w:divBdr>
    </w:div>
    <w:div w:id="788742922">
      <w:bodyDiv w:val="1"/>
      <w:marLeft w:val="0"/>
      <w:marRight w:val="0"/>
      <w:marTop w:val="0"/>
      <w:marBottom w:val="0"/>
      <w:divBdr>
        <w:top w:val="none" w:sz="0" w:space="0" w:color="auto"/>
        <w:left w:val="none" w:sz="0" w:space="0" w:color="auto"/>
        <w:bottom w:val="none" w:sz="0" w:space="0" w:color="auto"/>
        <w:right w:val="none" w:sz="0" w:space="0" w:color="auto"/>
      </w:divBdr>
    </w:div>
    <w:div w:id="812716540">
      <w:bodyDiv w:val="1"/>
      <w:marLeft w:val="0"/>
      <w:marRight w:val="0"/>
      <w:marTop w:val="0"/>
      <w:marBottom w:val="0"/>
      <w:divBdr>
        <w:top w:val="none" w:sz="0" w:space="0" w:color="auto"/>
        <w:left w:val="none" w:sz="0" w:space="0" w:color="auto"/>
        <w:bottom w:val="none" w:sz="0" w:space="0" w:color="auto"/>
        <w:right w:val="none" w:sz="0" w:space="0" w:color="auto"/>
      </w:divBdr>
    </w:div>
    <w:div w:id="964001090">
      <w:bodyDiv w:val="1"/>
      <w:marLeft w:val="0"/>
      <w:marRight w:val="0"/>
      <w:marTop w:val="0"/>
      <w:marBottom w:val="0"/>
      <w:divBdr>
        <w:top w:val="none" w:sz="0" w:space="0" w:color="auto"/>
        <w:left w:val="none" w:sz="0" w:space="0" w:color="auto"/>
        <w:bottom w:val="none" w:sz="0" w:space="0" w:color="auto"/>
        <w:right w:val="none" w:sz="0" w:space="0" w:color="auto"/>
      </w:divBdr>
    </w:div>
    <w:div w:id="975571533">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055202062">
      <w:bodyDiv w:val="1"/>
      <w:marLeft w:val="0"/>
      <w:marRight w:val="0"/>
      <w:marTop w:val="0"/>
      <w:marBottom w:val="0"/>
      <w:divBdr>
        <w:top w:val="none" w:sz="0" w:space="0" w:color="auto"/>
        <w:left w:val="none" w:sz="0" w:space="0" w:color="auto"/>
        <w:bottom w:val="none" w:sz="0" w:space="0" w:color="auto"/>
        <w:right w:val="none" w:sz="0" w:space="0" w:color="auto"/>
      </w:divBdr>
    </w:div>
    <w:div w:id="1093820801">
      <w:bodyDiv w:val="1"/>
      <w:marLeft w:val="0"/>
      <w:marRight w:val="0"/>
      <w:marTop w:val="0"/>
      <w:marBottom w:val="0"/>
      <w:divBdr>
        <w:top w:val="none" w:sz="0" w:space="0" w:color="auto"/>
        <w:left w:val="none" w:sz="0" w:space="0" w:color="auto"/>
        <w:bottom w:val="none" w:sz="0" w:space="0" w:color="auto"/>
        <w:right w:val="none" w:sz="0" w:space="0" w:color="auto"/>
      </w:divBdr>
    </w:div>
    <w:div w:id="1426337883">
      <w:bodyDiv w:val="1"/>
      <w:marLeft w:val="0"/>
      <w:marRight w:val="0"/>
      <w:marTop w:val="0"/>
      <w:marBottom w:val="0"/>
      <w:divBdr>
        <w:top w:val="none" w:sz="0" w:space="0" w:color="auto"/>
        <w:left w:val="none" w:sz="0" w:space="0" w:color="auto"/>
        <w:bottom w:val="none" w:sz="0" w:space="0" w:color="auto"/>
        <w:right w:val="none" w:sz="0" w:space="0" w:color="auto"/>
      </w:divBdr>
    </w:div>
    <w:div w:id="1454903424">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532766364">
      <w:bodyDiv w:val="1"/>
      <w:marLeft w:val="0"/>
      <w:marRight w:val="0"/>
      <w:marTop w:val="0"/>
      <w:marBottom w:val="0"/>
      <w:divBdr>
        <w:top w:val="none" w:sz="0" w:space="0" w:color="auto"/>
        <w:left w:val="none" w:sz="0" w:space="0" w:color="auto"/>
        <w:bottom w:val="none" w:sz="0" w:space="0" w:color="auto"/>
        <w:right w:val="none" w:sz="0" w:space="0" w:color="auto"/>
      </w:divBdr>
    </w:div>
    <w:div w:id="1561209355">
      <w:bodyDiv w:val="1"/>
      <w:marLeft w:val="0"/>
      <w:marRight w:val="0"/>
      <w:marTop w:val="0"/>
      <w:marBottom w:val="0"/>
      <w:divBdr>
        <w:top w:val="none" w:sz="0" w:space="0" w:color="auto"/>
        <w:left w:val="none" w:sz="0" w:space="0" w:color="auto"/>
        <w:bottom w:val="none" w:sz="0" w:space="0" w:color="auto"/>
        <w:right w:val="none" w:sz="0" w:space="0" w:color="auto"/>
      </w:divBdr>
    </w:div>
    <w:div w:id="1589343846">
      <w:bodyDiv w:val="1"/>
      <w:marLeft w:val="0"/>
      <w:marRight w:val="0"/>
      <w:marTop w:val="0"/>
      <w:marBottom w:val="0"/>
      <w:divBdr>
        <w:top w:val="none" w:sz="0" w:space="0" w:color="auto"/>
        <w:left w:val="none" w:sz="0" w:space="0" w:color="auto"/>
        <w:bottom w:val="none" w:sz="0" w:space="0" w:color="auto"/>
        <w:right w:val="none" w:sz="0" w:space="0" w:color="auto"/>
      </w:divBdr>
    </w:div>
    <w:div w:id="1664971093">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785538044">
      <w:bodyDiv w:val="1"/>
      <w:marLeft w:val="0"/>
      <w:marRight w:val="0"/>
      <w:marTop w:val="0"/>
      <w:marBottom w:val="0"/>
      <w:divBdr>
        <w:top w:val="none" w:sz="0" w:space="0" w:color="auto"/>
        <w:left w:val="none" w:sz="0" w:space="0" w:color="auto"/>
        <w:bottom w:val="none" w:sz="0" w:space="0" w:color="auto"/>
        <w:right w:val="none" w:sz="0" w:space="0" w:color="auto"/>
      </w:divBdr>
    </w:div>
    <w:div w:id="1986549866">
      <w:bodyDiv w:val="1"/>
      <w:marLeft w:val="0"/>
      <w:marRight w:val="0"/>
      <w:marTop w:val="0"/>
      <w:marBottom w:val="0"/>
      <w:divBdr>
        <w:top w:val="none" w:sz="0" w:space="0" w:color="auto"/>
        <w:left w:val="none" w:sz="0" w:space="0" w:color="auto"/>
        <w:bottom w:val="none" w:sz="0" w:space="0" w:color="auto"/>
        <w:right w:val="none" w:sz="0" w:space="0" w:color="auto"/>
      </w:divBdr>
    </w:div>
    <w:div w:id="2047483764">
      <w:bodyDiv w:val="1"/>
      <w:marLeft w:val="0"/>
      <w:marRight w:val="0"/>
      <w:marTop w:val="0"/>
      <w:marBottom w:val="0"/>
      <w:divBdr>
        <w:top w:val="none" w:sz="0" w:space="0" w:color="auto"/>
        <w:left w:val="none" w:sz="0" w:space="0" w:color="auto"/>
        <w:bottom w:val="none" w:sz="0" w:space="0" w:color="auto"/>
        <w:right w:val="none" w:sz="0" w:space="0" w:color="auto"/>
      </w:divBdr>
    </w:div>
    <w:div w:id="2117551361">
      <w:bodyDiv w:val="1"/>
      <w:marLeft w:val="0"/>
      <w:marRight w:val="0"/>
      <w:marTop w:val="0"/>
      <w:marBottom w:val="0"/>
      <w:divBdr>
        <w:top w:val="none" w:sz="0" w:space="0" w:color="auto"/>
        <w:left w:val="none" w:sz="0" w:space="0" w:color="auto"/>
        <w:bottom w:val="none" w:sz="0" w:space="0" w:color="auto"/>
        <w:right w:val="none" w:sz="0" w:space="0" w:color="auto"/>
      </w:divBdr>
    </w:div>
    <w:div w:id="214715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oter" Target="footer3.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secretary@cgc.gov.au"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www.nntt.gov.au/searchRegApps/NativeTitleClaims/Pages/default.asp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athleen.morris@cgc.gov.au" TargetMode="External"/><Relationship Id="rId24" Type="http://schemas.openxmlformats.org/officeDocument/2006/relationships/image" Target="media/image5.emf"/><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4.emf"/><Relationship Id="rId10" Type="http://schemas.openxmlformats.org/officeDocument/2006/relationships/hyperlink" Target="mailto:marc.boisseau@cgc.gov.au" TargetMode="External"/><Relationship Id="rId19" Type="http://schemas.openxmlformats.org/officeDocument/2006/relationships/image" Target="media/image3.png"/><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creativecommons.org/licenses/by/3.0" TargetMode="External"/><Relationship Id="rId22" Type="http://schemas.openxmlformats.org/officeDocument/2006/relationships/footer" Target="footer5.xml"/><Relationship Id="rId30" Type="http://schemas.microsoft.com/office/2011/relationships/commentsExtended" Target="commentsExtended.xml"/></Relationships>
</file>

<file path=word/_rels/footnotes.xml.rels><?xml version="1.0" encoding="UTF-8" standalone="yes"?>
<Relationships xmlns="http://schemas.openxmlformats.org/package/2006/relationships"><Relationship Id="rId8" Type="http://schemas.openxmlformats.org/officeDocument/2006/relationships/hyperlink" Target="http://www.nntt.gov.au/searchRegApps/FutureActs/Pages/default.aspx" TargetMode="External"/><Relationship Id="rId3" Type="http://schemas.openxmlformats.org/officeDocument/2006/relationships/hyperlink" Target="http://www.communityservices.act.gov.au/hcs/policies/eligibility_for_public_housing_assistance" TargetMode="External"/><Relationship Id="rId7" Type="http://schemas.openxmlformats.org/officeDocument/2006/relationships/hyperlink" Target="http://www.planning.act.gov.au/__data/assets/pdf_file/0005/893426/Planning_Background03_City.pdf" TargetMode="External"/><Relationship Id="rId2" Type="http://schemas.openxmlformats.org/officeDocument/2006/relationships/hyperlink" Target="http://www.health.act.gov.au/our-services/community-based-services/act-community-assistance-support-program" TargetMode="External"/><Relationship Id="rId1" Type="http://schemas.openxmlformats.org/officeDocument/2006/relationships/hyperlink" Target="http://www.health.act.gov.au/our-services/community-based-services/act-community-assistance-support-program" TargetMode="External"/><Relationship Id="rId6" Type="http://schemas.openxmlformats.org/officeDocument/2006/relationships/hyperlink" Target="https://www.property.nsw.gov.au/sites/default/files/Property%20NSW%20Annual%20Review%202015-16_web_sml.pdf" TargetMode="External"/><Relationship Id="rId5" Type="http://schemas.openxmlformats.org/officeDocument/2006/relationships/hyperlink" Target="http://www.environment.gov.au/heritage/places/world-heritage-list" TargetMode="External"/><Relationship Id="rId10" Type="http://schemas.openxmlformats.org/officeDocument/2006/relationships/hyperlink" Target="https://www.dpc.wa.gov.au/lantu/south-west-native-title-settlement/Pages/default.aspx" TargetMode="External"/><Relationship Id="rId4" Type="http://schemas.openxmlformats.org/officeDocument/2006/relationships/hyperlink" Target="https://www.library.act.gov.au/how_to_use_the_library/join_the_library" TargetMode="External"/><Relationship Id="rId9" Type="http://schemas.openxmlformats.org/officeDocument/2006/relationships/hyperlink" Target="http://www.abc.net.au/news/2017-02-20/timber-creek-native-title-case-watched-closely-by-governments/82872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8967</Words>
  <Characters>50185</Characters>
  <Application>Microsoft Office Word</Application>
  <DocSecurity>0</DocSecurity>
  <Lines>418</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2018-04-19T00:14:00Z</dcterms:created>
  <dcterms:modified xsi:type="dcterms:W3CDTF">2018-04-19T00:16:00Z</dcterms:modified>
</cp:coreProperties>
</file>