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D5" w:rsidRPr="00970E6D" w:rsidRDefault="00050ED5" w:rsidP="00050ED5">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0ECBC023" wp14:editId="3996B56A">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r>
        <w:rPr>
          <w:b/>
          <w:sz w:val="40"/>
          <w:szCs w:val="40"/>
        </w:rPr>
        <w:t>STATE MINING POLICIES</w:t>
      </w:r>
    </w:p>
    <w:p w:rsidR="00050ED5" w:rsidRDefault="00050ED5" w:rsidP="00050ED5">
      <w:pPr>
        <w:tabs>
          <w:tab w:val="clear" w:pos="567"/>
        </w:tabs>
        <w:jc w:val="center"/>
        <w:rPr>
          <w:b/>
          <w:sz w:val="40"/>
          <w:szCs w:val="40"/>
        </w:rPr>
      </w:pPr>
    </w:p>
    <w:p w:rsidR="00050ED5"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r w:rsidRPr="00970E6D">
        <w:rPr>
          <w:b/>
          <w:sz w:val="40"/>
          <w:szCs w:val="40"/>
        </w:rPr>
        <w:t xml:space="preserve">STAFF </w:t>
      </w:r>
      <w:r>
        <w:rPr>
          <w:b/>
          <w:sz w:val="40"/>
          <w:szCs w:val="40"/>
        </w:rPr>
        <w:t>RESEARCH PAPER</w:t>
      </w:r>
      <w:r>
        <w:rPr>
          <w:b/>
          <w:sz w:val="40"/>
          <w:szCs w:val="40"/>
        </w:rPr>
        <w:br/>
        <w:t>CGC 20</w:t>
      </w:r>
      <w:r w:rsidRPr="00970E6D">
        <w:rPr>
          <w:b/>
          <w:sz w:val="40"/>
          <w:szCs w:val="40"/>
        </w:rPr>
        <w:t>1</w:t>
      </w:r>
      <w:r w:rsidR="0018734F">
        <w:rPr>
          <w:b/>
          <w:sz w:val="40"/>
          <w:szCs w:val="40"/>
        </w:rPr>
        <w:t>7-04</w:t>
      </w:r>
      <w:r w:rsidR="00C75AD3">
        <w:rPr>
          <w:b/>
          <w:sz w:val="40"/>
          <w:szCs w:val="40"/>
        </w:rPr>
        <w:t>-</w:t>
      </w:r>
      <w:r w:rsidR="00DE79BE">
        <w:rPr>
          <w:b/>
          <w:sz w:val="40"/>
          <w:szCs w:val="40"/>
        </w:rPr>
        <w:t>S</w:t>
      </w: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b/>
          <w:sz w:val="40"/>
          <w:szCs w:val="40"/>
        </w:rPr>
      </w:pPr>
    </w:p>
    <w:p w:rsidR="00050ED5" w:rsidRPr="00970E6D" w:rsidRDefault="00050ED5" w:rsidP="00050ED5">
      <w:pPr>
        <w:tabs>
          <w:tab w:val="clear" w:pos="567"/>
        </w:tabs>
        <w:jc w:val="center"/>
        <w:rPr>
          <w:sz w:val="40"/>
          <w:szCs w:val="40"/>
        </w:rPr>
      </w:pPr>
    </w:p>
    <w:p w:rsidR="00050ED5" w:rsidRPr="00970E6D" w:rsidRDefault="00050ED5" w:rsidP="00050ED5">
      <w:pPr>
        <w:tabs>
          <w:tab w:val="clear" w:pos="567"/>
        </w:tabs>
        <w:jc w:val="right"/>
        <w:rPr>
          <w:b/>
          <w:sz w:val="28"/>
          <w:szCs w:val="28"/>
        </w:rPr>
      </w:pPr>
      <w:r>
        <w:rPr>
          <w:b/>
          <w:sz w:val="28"/>
          <w:szCs w:val="28"/>
        </w:rPr>
        <w:t>MAY 2017</w:t>
      </w:r>
    </w:p>
    <w:p w:rsidR="00050ED5" w:rsidRPr="00970E6D" w:rsidRDefault="00050ED5" w:rsidP="00050ED5">
      <w:pPr>
        <w:tabs>
          <w:tab w:val="clear" w:pos="567"/>
        </w:tabs>
      </w:pPr>
    </w:p>
    <w:p w:rsidR="00050ED5" w:rsidRPr="00970E6D" w:rsidRDefault="00050ED5" w:rsidP="00050ED5">
      <w:pPr>
        <w:tabs>
          <w:tab w:val="clear" w:pos="567"/>
        </w:tabs>
        <w:sectPr w:rsidR="00050ED5" w:rsidRPr="00970E6D" w:rsidSect="00C80C39">
          <w:footerReference w:type="default" r:id="rId10"/>
          <w:footerReference w:type="first" r:id="rId11"/>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Pr>
      <w:tblGrid>
        <w:gridCol w:w="2943"/>
        <w:gridCol w:w="6224"/>
      </w:tblGrid>
      <w:tr w:rsidR="00050ED5" w:rsidRPr="00970E6D" w:rsidTr="00472830">
        <w:tc>
          <w:tcPr>
            <w:tcW w:w="1605" w:type="pct"/>
            <w:tcBorders>
              <w:top w:val="single" w:sz="4" w:space="0" w:color="auto"/>
              <w:left w:val="single" w:sz="4" w:space="0" w:color="auto"/>
              <w:bottom w:val="single" w:sz="4" w:space="0" w:color="auto"/>
              <w:right w:val="single" w:sz="4" w:space="0" w:color="auto"/>
            </w:tcBorders>
          </w:tcPr>
          <w:p w:rsidR="00050ED5" w:rsidRPr="00970E6D" w:rsidRDefault="00050ED5" w:rsidP="00472830">
            <w:pPr>
              <w:tabs>
                <w:tab w:val="clear" w:pos="567"/>
              </w:tabs>
            </w:pPr>
            <w:r w:rsidRPr="00970E6D">
              <w:lastRenderedPageBreak/>
              <w:t>Confidential material</w:t>
            </w:r>
          </w:p>
        </w:tc>
        <w:tc>
          <w:tcPr>
            <w:tcW w:w="3395" w:type="pct"/>
            <w:tcBorders>
              <w:top w:val="single" w:sz="4" w:space="0" w:color="auto"/>
              <w:left w:val="single" w:sz="4" w:space="0" w:color="auto"/>
              <w:bottom w:val="single" w:sz="4" w:space="0" w:color="auto"/>
              <w:right w:val="single" w:sz="4" w:space="0" w:color="auto"/>
            </w:tcBorders>
          </w:tcPr>
          <w:p w:rsidR="00050ED5" w:rsidRPr="00CF1294" w:rsidRDefault="00050ED5" w:rsidP="00472830">
            <w:pPr>
              <w:tabs>
                <w:tab w:val="clear" w:pos="567"/>
              </w:tabs>
            </w:pPr>
            <w:r w:rsidRPr="00CF1294">
              <w:t xml:space="preserve">It is the </w:t>
            </w:r>
            <w:r w:rsidR="00C75AD3">
              <w:t>C</w:t>
            </w:r>
            <w:r w:rsidRPr="00CF1294">
              <w:t xml:space="preserve">ommission’s normal practice to make State submissions available on its website under the CC BY licence, allowing free use of content by third parties. </w:t>
            </w:r>
          </w:p>
          <w:p w:rsidR="00050ED5" w:rsidRPr="00CF1294" w:rsidRDefault="00050ED5" w:rsidP="00472830">
            <w:pPr>
              <w:tabs>
                <w:tab w:val="clear" w:pos="567"/>
              </w:tabs>
            </w:pPr>
            <w:r w:rsidRPr="00CF1294">
              <w:rPr>
                <w:noProof/>
                <w:lang w:eastAsia="en-AU"/>
              </w:rPr>
              <w:drawing>
                <wp:inline distT="0" distB="0" distL="0" distR="0" wp14:anchorId="65BA6DE9" wp14:editId="3C176BA5">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050ED5" w:rsidRPr="00CF1294" w:rsidRDefault="00050ED5" w:rsidP="00472830">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050ED5" w:rsidRPr="00970E6D" w:rsidRDefault="00050ED5" w:rsidP="00C75AD3">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C75AD3">
              <w:t>C</w:t>
            </w:r>
            <w:r w:rsidRPr="00CF1294">
              <w:t>ommission’s website.</w:t>
            </w:r>
          </w:p>
        </w:tc>
      </w:tr>
    </w:tbl>
    <w:p w:rsidR="00050ED5" w:rsidRPr="00970E6D" w:rsidRDefault="00050ED5" w:rsidP="00050ED5">
      <w:pPr>
        <w:tabs>
          <w:tab w:val="clear" w:pos="567"/>
        </w:tabs>
        <w:sectPr w:rsidR="00050ED5" w:rsidRPr="00970E6D" w:rsidSect="00C80C39">
          <w:headerReference w:type="first" r:id="rId14"/>
          <w:footerReference w:type="first" r:id="rId15"/>
          <w:pgSz w:w="11899" w:h="16838" w:code="9"/>
          <w:pgMar w:top="1701" w:right="1474" w:bottom="1701" w:left="1474" w:header="709" w:footer="709" w:gutter="0"/>
          <w:cols w:space="708"/>
          <w:vAlign w:val="bottom"/>
          <w:titlePg/>
          <w:docGrid w:linePitch="299"/>
        </w:sectPr>
      </w:pPr>
    </w:p>
    <w:p w:rsidR="00050ED5" w:rsidRPr="00E674AF" w:rsidRDefault="00050ED5" w:rsidP="00050ED5">
      <w:pPr>
        <w:pStyle w:val="Heading1"/>
      </w:pPr>
      <w:r w:rsidRPr="00E674AF">
        <w:lastRenderedPageBreak/>
        <w:t>CONTENTS</w:t>
      </w:r>
      <w:bookmarkEnd w:id="0"/>
      <w:bookmarkEnd w:id="1"/>
      <w:bookmarkEnd w:id="2"/>
      <w:bookmarkEnd w:id="3"/>
      <w:bookmarkEnd w:id="4"/>
      <w:bookmarkEnd w:id="5"/>
    </w:p>
    <w:p w:rsidR="00050ED5" w:rsidRDefault="00050ED5" w:rsidP="00050ED5">
      <w:pPr>
        <w:tabs>
          <w:tab w:val="clear" w:pos="567"/>
        </w:tabs>
      </w:pPr>
    </w:p>
    <w:p w:rsidR="00934F47" w:rsidRDefault="00050ED5">
      <w:pPr>
        <w:pStyle w:val="TOC1"/>
        <w:rPr>
          <w:rFonts w:eastAsiaTheme="minorEastAsia"/>
          <w:b w:val="0"/>
          <w:bCs w:val="0"/>
          <w:caps w:val="0"/>
          <w:noProof/>
          <w:sz w:val="22"/>
          <w:szCs w:val="22"/>
          <w:lang w:eastAsia="en-AU"/>
        </w:rPr>
      </w:pPr>
      <w:r>
        <w:fldChar w:fldCharType="begin"/>
      </w:r>
      <w:r>
        <w:instrText xml:space="preserve"> TOC \f \h \z \u \t "Heading 3,1,Heading 4,2" </w:instrText>
      </w:r>
      <w:r>
        <w:fldChar w:fldCharType="separate"/>
      </w:r>
      <w:hyperlink w:anchor="_Toc482337807" w:history="1">
        <w:r w:rsidR="00934F47" w:rsidRPr="002F335E">
          <w:rPr>
            <w:rStyle w:val="Hyperlink"/>
            <w:noProof/>
          </w:rPr>
          <w:t>BACKGROUND</w:t>
        </w:r>
        <w:r w:rsidR="00934F47">
          <w:rPr>
            <w:noProof/>
            <w:webHidden/>
          </w:rPr>
          <w:tab/>
        </w:r>
        <w:r w:rsidR="00934F47">
          <w:rPr>
            <w:noProof/>
            <w:webHidden/>
          </w:rPr>
          <w:fldChar w:fldCharType="begin"/>
        </w:r>
        <w:r w:rsidR="00934F47">
          <w:rPr>
            <w:noProof/>
            <w:webHidden/>
          </w:rPr>
          <w:instrText xml:space="preserve"> PAGEREF _Toc482337807 \h </w:instrText>
        </w:r>
        <w:r w:rsidR="00934F47">
          <w:rPr>
            <w:noProof/>
            <w:webHidden/>
          </w:rPr>
        </w:r>
        <w:r w:rsidR="00934F47">
          <w:rPr>
            <w:noProof/>
            <w:webHidden/>
          </w:rPr>
          <w:fldChar w:fldCharType="separate"/>
        </w:r>
        <w:r w:rsidR="00614BD2">
          <w:rPr>
            <w:noProof/>
            <w:webHidden/>
          </w:rPr>
          <w:t>1</w:t>
        </w:r>
        <w:r w:rsidR="00934F47">
          <w:rPr>
            <w:noProof/>
            <w:webHidden/>
          </w:rPr>
          <w:fldChar w:fldCharType="end"/>
        </w:r>
      </w:hyperlink>
    </w:p>
    <w:p w:rsidR="00934F47" w:rsidRDefault="008F5AB7">
      <w:pPr>
        <w:pStyle w:val="TOC1"/>
        <w:rPr>
          <w:rFonts w:eastAsiaTheme="minorEastAsia"/>
          <w:b w:val="0"/>
          <w:bCs w:val="0"/>
          <w:caps w:val="0"/>
          <w:noProof/>
          <w:sz w:val="22"/>
          <w:szCs w:val="22"/>
          <w:lang w:eastAsia="en-AU"/>
        </w:rPr>
      </w:pPr>
      <w:hyperlink w:anchor="_Toc482337808" w:history="1">
        <w:r w:rsidR="00934F47" w:rsidRPr="002F335E">
          <w:rPr>
            <w:rStyle w:val="Hyperlink"/>
            <w:noProof/>
          </w:rPr>
          <w:t>THE 2010 REVIEW MINING REVENUE ASSESSMENT</w:t>
        </w:r>
        <w:r w:rsidR="00934F47">
          <w:rPr>
            <w:noProof/>
            <w:webHidden/>
          </w:rPr>
          <w:tab/>
        </w:r>
        <w:r w:rsidR="00934F47">
          <w:rPr>
            <w:noProof/>
            <w:webHidden/>
          </w:rPr>
          <w:fldChar w:fldCharType="begin"/>
        </w:r>
        <w:r w:rsidR="00934F47">
          <w:rPr>
            <w:noProof/>
            <w:webHidden/>
          </w:rPr>
          <w:instrText xml:space="preserve"> PAGEREF _Toc482337808 \h </w:instrText>
        </w:r>
        <w:r w:rsidR="00934F47">
          <w:rPr>
            <w:noProof/>
            <w:webHidden/>
          </w:rPr>
        </w:r>
        <w:r w:rsidR="00934F47">
          <w:rPr>
            <w:noProof/>
            <w:webHidden/>
          </w:rPr>
          <w:fldChar w:fldCharType="separate"/>
        </w:r>
        <w:r w:rsidR="00614BD2">
          <w:rPr>
            <w:noProof/>
            <w:webHidden/>
          </w:rPr>
          <w:t>1</w:t>
        </w:r>
        <w:r w:rsidR="00934F47">
          <w:rPr>
            <w:noProof/>
            <w:webHidden/>
          </w:rPr>
          <w:fldChar w:fldCharType="end"/>
        </w:r>
      </w:hyperlink>
    </w:p>
    <w:p w:rsidR="00934F47" w:rsidRDefault="008F5AB7">
      <w:pPr>
        <w:pStyle w:val="TOC2"/>
        <w:rPr>
          <w:rFonts w:eastAsiaTheme="minorEastAsia"/>
          <w:noProof/>
          <w:sz w:val="22"/>
          <w:szCs w:val="22"/>
          <w:lang w:eastAsia="en-AU"/>
        </w:rPr>
      </w:pPr>
      <w:hyperlink w:anchor="_Toc482337809" w:history="1">
        <w:r w:rsidR="00934F47" w:rsidRPr="002F335E">
          <w:rPr>
            <w:rStyle w:val="Hyperlink"/>
            <w:noProof/>
          </w:rPr>
          <w:t>Removal of iron ore fines concession</w:t>
        </w:r>
        <w:r w:rsidR="00934F47">
          <w:rPr>
            <w:noProof/>
            <w:webHidden/>
          </w:rPr>
          <w:tab/>
        </w:r>
        <w:r w:rsidR="00934F47">
          <w:rPr>
            <w:noProof/>
            <w:webHidden/>
          </w:rPr>
          <w:fldChar w:fldCharType="begin"/>
        </w:r>
        <w:r w:rsidR="00934F47">
          <w:rPr>
            <w:noProof/>
            <w:webHidden/>
          </w:rPr>
          <w:instrText xml:space="preserve"> PAGEREF _Toc482337809 \h </w:instrText>
        </w:r>
        <w:r w:rsidR="00934F47">
          <w:rPr>
            <w:noProof/>
            <w:webHidden/>
          </w:rPr>
        </w:r>
        <w:r w:rsidR="00934F47">
          <w:rPr>
            <w:noProof/>
            <w:webHidden/>
          </w:rPr>
          <w:fldChar w:fldCharType="separate"/>
        </w:r>
        <w:r w:rsidR="00614BD2">
          <w:rPr>
            <w:noProof/>
            <w:webHidden/>
          </w:rPr>
          <w:t>2</w:t>
        </w:r>
        <w:r w:rsidR="00934F47">
          <w:rPr>
            <w:noProof/>
            <w:webHidden/>
          </w:rPr>
          <w:fldChar w:fldCharType="end"/>
        </w:r>
      </w:hyperlink>
    </w:p>
    <w:p w:rsidR="00934F47" w:rsidRDefault="008F5AB7">
      <w:pPr>
        <w:pStyle w:val="TOC2"/>
        <w:rPr>
          <w:rFonts w:eastAsiaTheme="minorEastAsia"/>
          <w:noProof/>
          <w:sz w:val="22"/>
          <w:szCs w:val="22"/>
          <w:lang w:eastAsia="en-AU"/>
        </w:rPr>
      </w:pPr>
      <w:hyperlink w:anchor="_Toc482337810" w:history="1">
        <w:r w:rsidR="00934F47" w:rsidRPr="002F335E">
          <w:rPr>
            <w:rStyle w:val="Hyperlink"/>
            <w:noProof/>
          </w:rPr>
          <w:t>Increase in iron ore fines royalty rate</w:t>
        </w:r>
        <w:r w:rsidR="00934F47">
          <w:rPr>
            <w:noProof/>
            <w:webHidden/>
          </w:rPr>
          <w:tab/>
        </w:r>
        <w:r w:rsidR="00934F47">
          <w:rPr>
            <w:noProof/>
            <w:webHidden/>
          </w:rPr>
          <w:fldChar w:fldCharType="begin"/>
        </w:r>
        <w:r w:rsidR="00934F47">
          <w:rPr>
            <w:noProof/>
            <w:webHidden/>
          </w:rPr>
          <w:instrText xml:space="preserve"> PAGEREF _Toc482337810 \h </w:instrText>
        </w:r>
        <w:r w:rsidR="00934F47">
          <w:rPr>
            <w:noProof/>
            <w:webHidden/>
          </w:rPr>
        </w:r>
        <w:r w:rsidR="00934F47">
          <w:rPr>
            <w:noProof/>
            <w:webHidden/>
          </w:rPr>
          <w:fldChar w:fldCharType="separate"/>
        </w:r>
        <w:r w:rsidR="00614BD2">
          <w:rPr>
            <w:noProof/>
            <w:webHidden/>
          </w:rPr>
          <w:t>2</w:t>
        </w:r>
        <w:r w:rsidR="00934F47">
          <w:rPr>
            <w:noProof/>
            <w:webHidden/>
          </w:rPr>
          <w:fldChar w:fldCharType="end"/>
        </w:r>
      </w:hyperlink>
    </w:p>
    <w:p w:rsidR="00934F47" w:rsidRDefault="008F5AB7">
      <w:pPr>
        <w:pStyle w:val="TOC1"/>
        <w:rPr>
          <w:rFonts w:eastAsiaTheme="minorEastAsia"/>
          <w:b w:val="0"/>
          <w:bCs w:val="0"/>
          <w:caps w:val="0"/>
          <w:noProof/>
          <w:sz w:val="22"/>
          <w:szCs w:val="22"/>
          <w:lang w:eastAsia="en-AU"/>
        </w:rPr>
      </w:pPr>
      <w:hyperlink w:anchor="_Toc482337811" w:history="1">
        <w:r w:rsidR="00934F47" w:rsidRPr="002F335E">
          <w:rPr>
            <w:rStyle w:val="Hyperlink"/>
            <w:noProof/>
          </w:rPr>
          <w:t>THE 2015 REVIEW MINING REVENUE ASSESSMENT</w:t>
        </w:r>
        <w:r w:rsidR="00934F47">
          <w:rPr>
            <w:noProof/>
            <w:webHidden/>
          </w:rPr>
          <w:tab/>
        </w:r>
        <w:r w:rsidR="00934F47">
          <w:rPr>
            <w:noProof/>
            <w:webHidden/>
          </w:rPr>
          <w:fldChar w:fldCharType="begin"/>
        </w:r>
        <w:r w:rsidR="00934F47">
          <w:rPr>
            <w:noProof/>
            <w:webHidden/>
          </w:rPr>
          <w:instrText xml:space="preserve"> PAGEREF _Toc482337811 \h </w:instrText>
        </w:r>
        <w:r w:rsidR="00934F47">
          <w:rPr>
            <w:noProof/>
            <w:webHidden/>
          </w:rPr>
        </w:r>
        <w:r w:rsidR="00934F47">
          <w:rPr>
            <w:noProof/>
            <w:webHidden/>
          </w:rPr>
          <w:fldChar w:fldCharType="separate"/>
        </w:r>
        <w:r w:rsidR="00614BD2">
          <w:rPr>
            <w:noProof/>
            <w:webHidden/>
          </w:rPr>
          <w:t>3</w:t>
        </w:r>
        <w:r w:rsidR="00934F47">
          <w:rPr>
            <w:noProof/>
            <w:webHidden/>
          </w:rPr>
          <w:fldChar w:fldCharType="end"/>
        </w:r>
      </w:hyperlink>
    </w:p>
    <w:p w:rsidR="00934F47" w:rsidRDefault="008F5AB7">
      <w:pPr>
        <w:pStyle w:val="TOC1"/>
        <w:rPr>
          <w:rFonts w:eastAsiaTheme="minorEastAsia"/>
          <w:b w:val="0"/>
          <w:bCs w:val="0"/>
          <w:caps w:val="0"/>
          <w:noProof/>
          <w:sz w:val="22"/>
          <w:szCs w:val="22"/>
          <w:lang w:eastAsia="en-AU"/>
        </w:rPr>
      </w:pPr>
      <w:hyperlink w:anchor="_Toc482337812" w:history="1">
        <w:r w:rsidR="00934F47" w:rsidRPr="002F335E">
          <w:rPr>
            <w:rStyle w:val="Hyperlink"/>
            <w:noProof/>
          </w:rPr>
          <w:t>MONITORING STATE MINING POLICIES</w:t>
        </w:r>
        <w:r w:rsidR="00934F47">
          <w:rPr>
            <w:noProof/>
            <w:webHidden/>
          </w:rPr>
          <w:tab/>
        </w:r>
        <w:r w:rsidR="00934F47">
          <w:rPr>
            <w:noProof/>
            <w:webHidden/>
          </w:rPr>
          <w:fldChar w:fldCharType="begin"/>
        </w:r>
        <w:r w:rsidR="00934F47">
          <w:rPr>
            <w:noProof/>
            <w:webHidden/>
          </w:rPr>
          <w:instrText xml:space="preserve"> PAGEREF _Toc482337812 \h </w:instrText>
        </w:r>
        <w:r w:rsidR="00934F47">
          <w:rPr>
            <w:noProof/>
            <w:webHidden/>
          </w:rPr>
        </w:r>
        <w:r w:rsidR="00934F47">
          <w:rPr>
            <w:noProof/>
            <w:webHidden/>
          </w:rPr>
          <w:fldChar w:fldCharType="separate"/>
        </w:r>
        <w:r w:rsidR="00614BD2">
          <w:rPr>
            <w:noProof/>
            <w:webHidden/>
          </w:rPr>
          <w:t>3</w:t>
        </w:r>
        <w:r w:rsidR="00934F47">
          <w:rPr>
            <w:noProof/>
            <w:webHidden/>
          </w:rPr>
          <w:fldChar w:fldCharType="end"/>
        </w:r>
      </w:hyperlink>
    </w:p>
    <w:p w:rsidR="00934F47" w:rsidRDefault="008F5AB7">
      <w:pPr>
        <w:pStyle w:val="TOC2"/>
        <w:rPr>
          <w:rFonts w:eastAsiaTheme="minorEastAsia"/>
          <w:noProof/>
          <w:sz w:val="22"/>
          <w:szCs w:val="22"/>
          <w:lang w:eastAsia="en-AU"/>
        </w:rPr>
      </w:pPr>
      <w:hyperlink w:anchor="_Toc482337813" w:history="1">
        <w:r w:rsidR="00934F47" w:rsidRPr="002F335E">
          <w:rPr>
            <w:rStyle w:val="Hyperlink"/>
            <w:noProof/>
          </w:rPr>
          <w:t>Has the mineral by mineral approach influenced State behaviour?</w:t>
        </w:r>
        <w:r w:rsidR="00934F47">
          <w:rPr>
            <w:noProof/>
            <w:webHidden/>
          </w:rPr>
          <w:tab/>
        </w:r>
        <w:r w:rsidR="00934F47">
          <w:rPr>
            <w:noProof/>
            <w:webHidden/>
          </w:rPr>
          <w:fldChar w:fldCharType="begin"/>
        </w:r>
        <w:r w:rsidR="00934F47">
          <w:rPr>
            <w:noProof/>
            <w:webHidden/>
          </w:rPr>
          <w:instrText xml:space="preserve"> PAGEREF _Toc482337813 \h </w:instrText>
        </w:r>
        <w:r w:rsidR="00934F47">
          <w:rPr>
            <w:noProof/>
            <w:webHidden/>
          </w:rPr>
        </w:r>
        <w:r w:rsidR="00934F47">
          <w:rPr>
            <w:noProof/>
            <w:webHidden/>
          </w:rPr>
          <w:fldChar w:fldCharType="separate"/>
        </w:r>
        <w:r w:rsidR="00614BD2">
          <w:rPr>
            <w:noProof/>
            <w:webHidden/>
          </w:rPr>
          <w:t>4</w:t>
        </w:r>
        <w:r w:rsidR="00934F47">
          <w:rPr>
            <w:noProof/>
            <w:webHidden/>
          </w:rPr>
          <w:fldChar w:fldCharType="end"/>
        </w:r>
      </w:hyperlink>
    </w:p>
    <w:p w:rsidR="00934F47" w:rsidRDefault="008F5AB7">
      <w:pPr>
        <w:pStyle w:val="TOC2"/>
        <w:rPr>
          <w:rFonts w:eastAsiaTheme="minorEastAsia"/>
          <w:noProof/>
          <w:sz w:val="22"/>
          <w:szCs w:val="22"/>
          <w:lang w:eastAsia="en-AU"/>
        </w:rPr>
      </w:pPr>
      <w:hyperlink w:anchor="_Toc482337814" w:history="1">
        <w:r w:rsidR="00934F47" w:rsidRPr="002F335E">
          <w:rPr>
            <w:rStyle w:val="Hyperlink"/>
            <w:noProof/>
          </w:rPr>
          <w:t>Have other minerals become material?</w:t>
        </w:r>
        <w:r w:rsidR="00934F47">
          <w:rPr>
            <w:noProof/>
            <w:webHidden/>
          </w:rPr>
          <w:tab/>
        </w:r>
        <w:r w:rsidR="00934F47">
          <w:rPr>
            <w:noProof/>
            <w:webHidden/>
          </w:rPr>
          <w:fldChar w:fldCharType="begin"/>
        </w:r>
        <w:r w:rsidR="00934F47">
          <w:rPr>
            <w:noProof/>
            <w:webHidden/>
          </w:rPr>
          <w:instrText xml:space="preserve"> PAGEREF _Toc482337814 \h </w:instrText>
        </w:r>
        <w:r w:rsidR="00934F47">
          <w:rPr>
            <w:noProof/>
            <w:webHidden/>
          </w:rPr>
        </w:r>
        <w:r w:rsidR="00934F47">
          <w:rPr>
            <w:noProof/>
            <w:webHidden/>
          </w:rPr>
          <w:fldChar w:fldCharType="separate"/>
        </w:r>
        <w:r w:rsidR="00614BD2">
          <w:rPr>
            <w:noProof/>
            <w:webHidden/>
          </w:rPr>
          <w:t>5</w:t>
        </w:r>
        <w:r w:rsidR="00934F47">
          <w:rPr>
            <w:noProof/>
            <w:webHidden/>
          </w:rPr>
          <w:fldChar w:fldCharType="end"/>
        </w:r>
      </w:hyperlink>
    </w:p>
    <w:p w:rsidR="00934F47" w:rsidRDefault="008F5AB7">
      <w:pPr>
        <w:pStyle w:val="TOC2"/>
        <w:rPr>
          <w:rFonts w:eastAsiaTheme="minorEastAsia"/>
          <w:noProof/>
          <w:sz w:val="22"/>
          <w:szCs w:val="22"/>
          <w:lang w:eastAsia="en-AU"/>
        </w:rPr>
      </w:pPr>
      <w:hyperlink w:anchor="_Toc482337815" w:history="1">
        <w:r w:rsidR="00934F47" w:rsidRPr="002F335E">
          <w:rPr>
            <w:rStyle w:val="Hyperlink"/>
            <w:noProof/>
          </w:rPr>
          <w:t>Is the revenue base consistent with average policy?</w:t>
        </w:r>
        <w:r w:rsidR="00934F47">
          <w:rPr>
            <w:noProof/>
            <w:webHidden/>
          </w:rPr>
          <w:tab/>
        </w:r>
        <w:r w:rsidR="00934F47">
          <w:rPr>
            <w:noProof/>
            <w:webHidden/>
          </w:rPr>
          <w:fldChar w:fldCharType="begin"/>
        </w:r>
        <w:r w:rsidR="00934F47">
          <w:rPr>
            <w:noProof/>
            <w:webHidden/>
          </w:rPr>
          <w:instrText xml:space="preserve"> PAGEREF _Toc482337815 \h </w:instrText>
        </w:r>
        <w:r w:rsidR="00934F47">
          <w:rPr>
            <w:noProof/>
            <w:webHidden/>
          </w:rPr>
        </w:r>
        <w:r w:rsidR="00934F47">
          <w:rPr>
            <w:noProof/>
            <w:webHidden/>
          </w:rPr>
          <w:fldChar w:fldCharType="separate"/>
        </w:r>
        <w:r w:rsidR="00614BD2">
          <w:rPr>
            <w:noProof/>
            <w:webHidden/>
          </w:rPr>
          <w:t>6</w:t>
        </w:r>
        <w:r w:rsidR="00934F47">
          <w:rPr>
            <w:noProof/>
            <w:webHidden/>
          </w:rPr>
          <w:fldChar w:fldCharType="end"/>
        </w:r>
      </w:hyperlink>
    </w:p>
    <w:p w:rsidR="00934F47" w:rsidRDefault="008F5AB7">
      <w:pPr>
        <w:pStyle w:val="TOC1"/>
        <w:rPr>
          <w:rFonts w:eastAsiaTheme="minorEastAsia"/>
          <w:b w:val="0"/>
          <w:bCs w:val="0"/>
          <w:caps w:val="0"/>
          <w:noProof/>
          <w:sz w:val="22"/>
          <w:szCs w:val="22"/>
          <w:lang w:eastAsia="en-AU"/>
        </w:rPr>
      </w:pPr>
      <w:hyperlink w:anchor="_Toc482337816" w:history="1">
        <w:r w:rsidR="00934F47" w:rsidRPr="002F335E">
          <w:rPr>
            <w:rStyle w:val="Hyperlink"/>
            <w:noProof/>
          </w:rPr>
          <w:t>CONCLUSION</w:t>
        </w:r>
        <w:r w:rsidR="00934F47">
          <w:rPr>
            <w:noProof/>
            <w:webHidden/>
          </w:rPr>
          <w:tab/>
        </w:r>
        <w:r w:rsidR="00934F47">
          <w:rPr>
            <w:noProof/>
            <w:webHidden/>
          </w:rPr>
          <w:fldChar w:fldCharType="begin"/>
        </w:r>
        <w:r w:rsidR="00934F47">
          <w:rPr>
            <w:noProof/>
            <w:webHidden/>
          </w:rPr>
          <w:instrText xml:space="preserve"> PAGEREF _Toc482337816 \h </w:instrText>
        </w:r>
        <w:r w:rsidR="00934F47">
          <w:rPr>
            <w:noProof/>
            <w:webHidden/>
          </w:rPr>
        </w:r>
        <w:r w:rsidR="00934F47">
          <w:rPr>
            <w:noProof/>
            <w:webHidden/>
          </w:rPr>
          <w:fldChar w:fldCharType="separate"/>
        </w:r>
        <w:r w:rsidR="00614BD2">
          <w:rPr>
            <w:noProof/>
            <w:webHidden/>
          </w:rPr>
          <w:t>7</w:t>
        </w:r>
        <w:r w:rsidR="00934F47">
          <w:rPr>
            <w:noProof/>
            <w:webHidden/>
          </w:rPr>
          <w:fldChar w:fldCharType="end"/>
        </w:r>
      </w:hyperlink>
    </w:p>
    <w:p w:rsidR="00050ED5" w:rsidRDefault="00050ED5" w:rsidP="00050ED5">
      <w:pPr>
        <w:tabs>
          <w:tab w:val="clear" w:pos="567"/>
        </w:tabs>
      </w:pPr>
      <w:r>
        <w:fldChar w:fldCharType="end"/>
      </w:r>
    </w:p>
    <w:p w:rsidR="00050ED5" w:rsidRPr="00E674AF" w:rsidRDefault="00050ED5" w:rsidP="00050ED5">
      <w:pPr>
        <w:tabs>
          <w:tab w:val="clear" w:pos="567"/>
        </w:tabs>
      </w:pPr>
    </w:p>
    <w:p w:rsidR="00050ED5" w:rsidRPr="00E674AF" w:rsidRDefault="00050ED5" w:rsidP="00050ED5">
      <w:pPr>
        <w:tabs>
          <w:tab w:val="clear" w:pos="567"/>
        </w:tabs>
        <w:sectPr w:rsidR="00050ED5" w:rsidRPr="00E674AF" w:rsidSect="00C80C39">
          <w:footerReference w:type="first" r:id="rId16"/>
          <w:pgSz w:w="11899" w:h="16838" w:code="9"/>
          <w:pgMar w:top="1701" w:right="1474" w:bottom="1701" w:left="1474" w:header="709" w:footer="709" w:gutter="0"/>
          <w:pgNumType w:fmt="lowerRoman" w:start="1"/>
          <w:cols w:space="708"/>
          <w:titlePg/>
          <w:docGrid w:linePitch="299"/>
        </w:sectPr>
      </w:pPr>
    </w:p>
    <w:p w:rsidR="00050ED5" w:rsidRDefault="00050ED5" w:rsidP="00050ED5">
      <w:pPr>
        <w:pStyle w:val="Heading3"/>
      </w:pPr>
      <w:bookmarkStart w:id="6" w:name="Content"/>
      <w:bookmarkStart w:id="7" w:name="_Toc482337807"/>
      <w:bookmarkEnd w:id="6"/>
      <w:r>
        <w:lastRenderedPageBreak/>
        <w:t>BACKGROUND</w:t>
      </w:r>
      <w:bookmarkEnd w:id="7"/>
    </w:p>
    <w:tbl>
      <w:tblPr>
        <w:tblW w:w="0" w:type="auto"/>
        <w:tblInd w:w="108" w:type="dxa"/>
        <w:shd w:val="clear" w:color="auto" w:fill="D9F3E6"/>
        <w:tblLook w:val="04A0" w:firstRow="1" w:lastRow="0" w:firstColumn="1" w:lastColumn="0" w:noHBand="0" w:noVBand="1"/>
      </w:tblPr>
      <w:tblGrid>
        <w:gridCol w:w="8931"/>
      </w:tblGrid>
      <w:tr w:rsidR="00D80C7A" w:rsidRPr="00E674AF" w:rsidTr="00596691">
        <w:tc>
          <w:tcPr>
            <w:tcW w:w="8931" w:type="dxa"/>
            <w:shd w:val="clear" w:color="auto" w:fill="D9F3E6"/>
          </w:tcPr>
          <w:p w:rsidR="00D80C7A" w:rsidRDefault="00D80C7A" w:rsidP="00D80C7A">
            <w:r>
              <w:t xml:space="preserve">This staff research paper provides additional analyses of issues raised in Staff Discussion Paper 2017-02-S </w:t>
            </w:r>
            <w:r w:rsidRPr="00D80C7A">
              <w:rPr>
                <w:i/>
              </w:rPr>
              <w:t>The principle of HFE and its implementation</w:t>
            </w:r>
            <w:r>
              <w:t xml:space="preserve">. </w:t>
            </w:r>
            <w:r w:rsidR="00C95675">
              <w:t xml:space="preserve">Its purpose is to provide material States may find </w:t>
            </w:r>
            <w:r w:rsidR="001162EB">
              <w:t>helpful</w:t>
            </w:r>
            <w:r w:rsidR="00C95675">
              <w:t xml:space="preserve"> in preparing a response to the staff discussion paper.</w:t>
            </w:r>
          </w:p>
          <w:p w:rsidR="00D80C7A" w:rsidRPr="00E674AF" w:rsidRDefault="00C95675" w:rsidP="00C95675">
            <w:r>
              <w:t xml:space="preserve">Commission </w:t>
            </w:r>
            <w:proofErr w:type="gramStart"/>
            <w:r>
              <w:t>staff are</w:t>
            </w:r>
            <w:proofErr w:type="gramEnd"/>
            <w:r>
              <w:t xml:space="preserve"> not seeking State submissions on the issues raised in this staff research paper.</w:t>
            </w:r>
          </w:p>
        </w:tc>
      </w:tr>
    </w:tbl>
    <w:p w:rsidR="00D80C7A" w:rsidRPr="00E674AF" w:rsidRDefault="00D80C7A" w:rsidP="00D80C7A">
      <w:pPr>
        <w:tabs>
          <w:tab w:val="clear" w:pos="567"/>
        </w:tabs>
      </w:pPr>
    </w:p>
    <w:p w:rsidR="00050ED5" w:rsidRDefault="00050ED5" w:rsidP="00050ED5">
      <w:pPr>
        <w:pStyle w:val="CGCNumberedPara"/>
        <w:numPr>
          <w:ilvl w:val="1"/>
          <w:numId w:val="3"/>
        </w:numPr>
      </w:pPr>
      <w:r>
        <w:t>One of the Commission’s supporting principles is policy neutrality. This principle seeks to ensure that, as far as possible:</w:t>
      </w:r>
    </w:p>
    <w:p w:rsidR="00050ED5" w:rsidRDefault="00050ED5" w:rsidP="00050ED5">
      <w:pPr>
        <w:pStyle w:val="CGCBulletlist"/>
        <w:numPr>
          <w:ilvl w:val="0"/>
          <w:numId w:val="1"/>
        </w:numPr>
        <w:tabs>
          <w:tab w:val="clear" w:pos="927"/>
        </w:tabs>
        <w:ind w:left="1134" w:hanging="567"/>
      </w:pPr>
      <w:r>
        <w:t xml:space="preserve">a State’s own policies or choices (in relation to the services it provides or the revenues it raises) do not directly influence </w:t>
      </w:r>
      <w:r w:rsidR="003504BE">
        <w:t>its share of GST revenue</w:t>
      </w:r>
    </w:p>
    <w:p w:rsidR="00050ED5" w:rsidRDefault="00050ED5" w:rsidP="00050ED5">
      <w:pPr>
        <w:pStyle w:val="CGCBulletlist"/>
        <w:numPr>
          <w:ilvl w:val="0"/>
          <w:numId w:val="1"/>
        </w:numPr>
        <w:tabs>
          <w:tab w:val="clear" w:pos="927"/>
        </w:tabs>
        <w:ind w:left="1134" w:hanging="567"/>
      </w:pPr>
      <w:r>
        <w:t xml:space="preserve">Commission methods do not influence State </w:t>
      </w:r>
      <w:r w:rsidR="000B5BE4">
        <w:t>decision</w:t>
      </w:r>
      <w:r w:rsidR="00E4585C">
        <w:t xml:space="preserve"> </w:t>
      </w:r>
      <w:r>
        <w:t>making.</w:t>
      </w:r>
    </w:p>
    <w:p w:rsidR="00050ED5" w:rsidRDefault="00050ED5">
      <w:pPr>
        <w:pStyle w:val="CGCNumberedPara"/>
        <w:numPr>
          <w:ilvl w:val="1"/>
          <w:numId w:val="3"/>
        </w:numPr>
      </w:pPr>
      <w:r>
        <w:t>Policy neutrality was a major consideration in the development of the mining assessment in the last two reviews. In its 2015 Review report, the Commission said it would monitor developments in State mining policies. This research paper reports changes in State mining policies since that review</w:t>
      </w:r>
      <w:r w:rsidR="000B5BE4">
        <w:t xml:space="preserve"> and identifies two circumstances which raise issues about how the Commis</w:t>
      </w:r>
      <w:r w:rsidR="00AF5A71">
        <w:t>s</w:t>
      </w:r>
      <w:r w:rsidR="000B5BE4">
        <w:t>ion develops its mining assessment.</w:t>
      </w:r>
    </w:p>
    <w:p w:rsidR="00050ED5" w:rsidRDefault="00050ED5" w:rsidP="00050ED5">
      <w:pPr>
        <w:pStyle w:val="Heading3"/>
      </w:pPr>
      <w:bookmarkStart w:id="8" w:name="_Toc482337808"/>
      <w:r>
        <w:t>THE 2010 REVIEW MINING REVENUE ASSESSMENT</w:t>
      </w:r>
      <w:bookmarkEnd w:id="8"/>
    </w:p>
    <w:p w:rsidR="00050ED5" w:rsidRDefault="00050ED5" w:rsidP="00050ED5">
      <w:pPr>
        <w:pStyle w:val="CGCNumberedPara"/>
        <w:numPr>
          <w:ilvl w:val="1"/>
          <w:numId w:val="3"/>
        </w:numPr>
      </w:pPr>
      <w:r>
        <w:t xml:space="preserve">In devising its 2010 Review Mining assessment, the Commission sought to find a balance between measuring States’ mining capacity and doing so in </w:t>
      </w:r>
      <w:r w:rsidR="00C75AD3">
        <w:t xml:space="preserve">a </w:t>
      </w:r>
      <w:r>
        <w:t xml:space="preserve">policy neutral way. This was </w:t>
      </w:r>
      <w:r w:rsidR="003504BE">
        <w:t>in the context of</w:t>
      </w:r>
      <w:r>
        <w:t xml:space="preserve"> the policies of one State </w:t>
      </w:r>
      <w:r w:rsidR="003504BE">
        <w:t xml:space="preserve">(Western Australia) </w:t>
      </w:r>
      <w:r w:rsidR="003B0E7A">
        <w:t>accounting for</w:t>
      </w:r>
      <w:r>
        <w:t xml:space="preserve"> 97% of </w:t>
      </w:r>
      <w:r w:rsidR="003504BE">
        <w:t xml:space="preserve">all </w:t>
      </w:r>
      <w:r>
        <w:t>iron ore production and 99</w:t>
      </w:r>
      <w:r w:rsidR="00AF5A71">
        <w:t xml:space="preserve">% </w:t>
      </w:r>
      <w:r>
        <w:t xml:space="preserve">of iron ore royalty revenue. The Commission decided to </w:t>
      </w:r>
      <w:r w:rsidR="0080328C">
        <w:t>classify the royalties raised from</w:t>
      </w:r>
      <w:r w:rsidR="003504BE">
        <w:t xml:space="preserve"> all minerals</w:t>
      </w:r>
      <w:r w:rsidR="0080328C">
        <w:t xml:space="preserve"> into two groups</w:t>
      </w:r>
      <w:r>
        <w:t xml:space="preserve"> to mitigate the influence of State policies</w:t>
      </w:r>
      <w:r w:rsidR="003504BE">
        <w:t xml:space="preserve"> on the </w:t>
      </w:r>
      <w:r w:rsidR="0080328C">
        <w:t xml:space="preserve">royalties raised from the </w:t>
      </w:r>
      <w:r w:rsidR="003504BE">
        <w:t>production of any one mineral</w:t>
      </w:r>
      <w:r>
        <w:t>. It said its approach achieved an appropriate balance between equalisation and policy neutrality.</w:t>
      </w:r>
    </w:p>
    <w:p w:rsidR="00050ED5" w:rsidRDefault="00050ED5" w:rsidP="00050ED5">
      <w:pPr>
        <w:pStyle w:val="CGCNumberedPara"/>
        <w:numPr>
          <w:ilvl w:val="1"/>
          <w:numId w:val="3"/>
        </w:numPr>
      </w:pPr>
      <w:r>
        <w:t>The two groups</w:t>
      </w:r>
      <w:r w:rsidR="0080328C">
        <w:t xml:space="preserve"> were</w:t>
      </w:r>
      <w:r>
        <w:t xml:space="preserve"> </w:t>
      </w:r>
      <w:r w:rsidR="0080328C">
        <w:t>royalties raised from minerals</w:t>
      </w:r>
      <w:r>
        <w:t xml:space="preserve"> with high royalty rates and </w:t>
      </w:r>
      <w:r w:rsidR="0080328C">
        <w:t>royalties raised from minerals</w:t>
      </w:r>
      <w:r>
        <w:t xml:space="preserve"> with low royalty rates. The Commission classified:</w:t>
      </w:r>
    </w:p>
    <w:p w:rsidR="00050ED5" w:rsidRDefault="00050ED5" w:rsidP="00050ED5">
      <w:pPr>
        <w:pStyle w:val="CGCBulletlist"/>
        <w:numPr>
          <w:ilvl w:val="0"/>
          <w:numId w:val="1"/>
        </w:numPr>
        <w:tabs>
          <w:tab w:val="clear" w:pos="927"/>
        </w:tabs>
        <w:ind w:left="1134" w:hanging="567"/>
      </w:pPr>
      <w:r>
        <w:t>oil and gas, bauxite, lump iron ore and export coal t</w:t>
      </w:r>
      <w:r w:rsidR="00825380">
        <w:t>o the high (royalty rate) group</w:t>
      </w:r>
    </w:p>
    <w:p w:rsidR="00050ED5" w:rsidRDefault="00050ED5" w:rsidP="00050ED5">
      <w:pPr>
        <w:pStyle w:val="CGCBulletlist"/>
        <w:numPr>
          <w:ilvl w:val="0"/>
          <w:numId w:val="1"/>
        </w:numPr>
        <w:tabs>
          <w:tab w:val="clear" w:pos="927"/>
        </w:tabs>
        <w:ind w:left="1134" w:hanging="567"/>
      </w:pPr>
      <w:proofErr w:type="gramStart"/>
      <w:r>
        <w:t>the</w:t>
      </w:r>
      <w:proofErr w:type="gramEnd"/>
      <w:r>
        <w:t xml:space="preserve"> remaining minerals, including iron ore fines and domestic coal, to the low (royalty rate) group.</w:t>
      </w:r>
    </w:p>
    <w:p w:rsidR="00050ED5" w:rsidRDefault="00050ED5" w:rsidP="00050ED5">
      <w:pPr>
        <w:pStyle w:val="CGCNumberedPara"/>
        <w:numPr>
          <w:ilvl w:val="1"/>
          <w:numId w:val="3"/>
        </w:numPr>
      </w:pPr>
      <w:r>
        <w:t>The composition of</w:t>
      </w:r>
      <w:r w:rsidRPr="00F76A09">
        <w:t xml:space="preserve"> </w:t>
      </w:r>
      <w:r>
        <w:t>the</w:t>
      </w:r>
      <w:r w:rsidRPr="00F76A09">
        <w:t xml:space="preserve"> group</w:t>
      </w:r>
      <w:r>
        <w:t>s was not fixed. A mineral could move between groups if its royalty rate changed.</w:t>
      </w:r>
    </w:p>
    <w:p w:rsidR="008913EC" w:rsidRDefault="008913EC" w:rsidP="008913EC">
      <w:pPr>
        <w:pStyle w:val="CGCNumberedPara"/>
        <w:numPr>
          <w:ilvl w:val="1"/>
          <w:numId w:val="3"/>
        </w:numPr>
      </w:pPr>
      <w:r>
        <w:lastRenderedPageBreak/>
        <w:t>While the Commission considered the assessment might ideally be based directly on profit levels, it was unable to overcome the data deficiencies to allow it to make such an assessment.</w:t>
      </w:r>
    </w:p>
    <w:p w:rsidR="00050ED5" w:rsidRDefault="00050ED5" w:rsidP="00050ED5">
      <w:pPr>
        <w:pStyle w:val="Heading4"/>
      </w:pPr>
      <w:bookmarkStart w:id="9" w:name="_Toc482337809"/>
      <w:r>
        <w:t>Removal of iron ore fines concession</w:t>
      </w:r>
      <w:bookmarkEnd w:id="9"/>
    </w:p>
    <w:p w:rsidR="00050ED5" w:rsidRDefault="00050ED5" w:rsidP="00050ED5">
      <w:pPr>
        <w:pStyle w:val="CGCNumberedPara"/>
        <w:numPr>
          <w:ilvl w:val="1"/>
          <w:numId w:val="3"/>
        </w:numPr>
      </w:pPr>
      <w:r>
        <w:t xml:space="preserve">Shortly after the </w:t>
      </w:r>
      <w:r w:rsidR="003504BE">
        <w:t xml:space="preserve">2010 </w:t>
      </w:r>
      <w:r w:rsidR="0080328C">
        <w:t>R</w:t>
      </w:r>
      <w:r>
        <w:t>eview, Western Australia announced it would remove a concession applying to around half of iron ore fines production in the State. From 1</w:t>
      </w:r>
      <w:r w:rsidR="00464637">
        <w:t> </w:t>
      </w:r>
      <w:r>
        <w:t>July</w:t>
      </w:r>
      <w:r w:rsidR="00464637">
        <w:t> </w:t>
      </w:r>
      <w:r>
        <w:t xml:space="preserve">2010, it applied </w:t>
      </w:r>
      <w:r w:rsidR="00464637">
        <w:t xml:space="preserve">the standard </w:t>
      </w:r>
      <w:r>
        <w:t>rate of 5.625% to all fines production</w:t>
      </w:r>
      <w:r w:rsidR="00464637">
        <w:t xml:space="preserve">, up from the concessional rate of 3.75% </w:t>
      </w:r>
      <w:r w:rsidR="00E4585C">
        <w:t xml:space="preserve">that </w:t>
      </w:r>
      <w:r w:rsidR="00464637">
        <w:t>applied to the operations of BHP Billiton and Rio Tinto</w:t>
      </w:r>
      <w:r>
        <w:t>.</w:t>
      </w:r>
    </w:p>
    <w:p w:rsidR="00050ED5" w:rsidRDefault="00050ED5" w:rsidP="00050ED5">
      <w:pPr>
        <w:pStyle w:val="CGCNumberedPara"/>
        <w:numPr>
          <w:ilvl w:val="1"/>
          <w:numId w:val="3"/>
        </w:numPr>
      </w:pPr>
      <w:r>
        <w:t xml:space="preserve">As part of </w:t>
      </w:r>
      <w:r w:rsidR="00D80C7A">
        <w:t>the development of its</w:t>
      </w:r>
      <w:r>
        <w:t xml:space="preserve"> 2011 Update report, the Commission considered whether to move fines to the high group. It concluded a better equalisation outcome was achieved by leaving fines in the low group, but said it may move minerals between groups if States changed royalty rates.</w:t>
      </w:r>
    </w:p>
    <w:p w:rsidR="00050ED5" w:rsidRDefault="00050ED5" w:rsidP="00050ED5">
      <w:pPr>
        <w:pStyle w:val="CGCNumberedPara"/>
        <w:numPr>
          <w:ilvl w:val="1"/>
          <w:numId w:val="3"/>
        </w:numPr>
      </w:pPr>
      <w:r>
        <w:t xml:space="preserve">The Commission subsequently received 2011 Update terms of reference, </w:t>
      </w:r>
      <w:r w:rsidR="003504BE">
        <w:t xml:space="preserve">directing </w:t>
      </w:r>
      <w:r>
        <w:t>it to leave iron ore fines in the low group.</w:t>
      </w:r>
    </w:p>
    <w:p w:rsidR="00050ED5" w:rsidRDefault="00050ED5" w:rsidP="00050ED5">
      <w:pPr>
        <w:pStyle w:val="Heading4"/>
      </w:pPr>
      <w:bookmarkStart w:id="10" w:name="_Toc482337810"/>
      <w:r>
        <w:t>Increase in iron ore fines royalty rate</w:t>
      </w:r>
      <w:bookmarkEnd w:id="10"/>
    </w:p>
    <w:p w:rsidR="00050ED5" w:rsidRPr="00F033FF" w:rsidRDefault="00050ED5" w:rsidP="00050ED5">
      <w:pPr>
        <w:pStyle w:val="CGCNumberedPara"/>
        <w:numPr>
          <w:ilvl w:val="1"/>
          <w:numId w:val="3"/>
        </w:numPr>
      </w:pPr>
      <w:r w:rsidRPr="003779CC">
        <w:rPr>
          <w:szCs w:val="22"/>
        </w:rPr>
        <w:t xml:space="preserve">In its 2011-12 Budget, Western Australian announced it would increase its royalty rate on fines. A first increase </w:t>
      </w:r>
      <w:r>
        <w:rPr>
          <w:szCs w:val="22"/>
        </w:rPr>
        <w:t>took</w:t>
      </w:r>
      <w:r w:rsidRPr="003779CC">
        <w:rPr>
          <w:szCs w:val="22"/>
        </w:rPr>
        <w:t xml:space="preserve"> effect from 1 July 2012 and a second from 1</w:t>
      </w:r>
      <w:r w:rsidR="00C75AD3">
        <w:rPr>
          <w:szCs w:val="22"/>
        </w:rPr>
        <w:t> </w:t>
      </w:r>
      <w:r w:rsidRPr="003779CC">
        <w:rPr>
          <w:szCs w:val="22"/>
        </w:rPr>
        <w:t>July</w:t>
      </w:r>
      <w:r w:rsidR="00C75AD3">
        <w:rPr>
          <w:szCs w:val="22"/>
        </w:rPr>
        <w:t> </w:t>
      </w:r>
      <w:r w:rsidRPr="003779CC">
        <w:rPr>
          <w:szCs w:val="22"/>
        </w:rPr>
        <w:t xml:space="preserve">2013. </w:t>
      </w:r>
      <w:r>
        <w:t xml:space="preserve">After the second increase, its rate on fines </w:t>
      </w:r>
      <w:r w:rsidR="00E4585C">
        <w:t xml:space="preserve">would </w:t>
      </w:r>
      <w:r>
        <w:t xml:space="preserve">align with its rate on lump iron ore (a high group mineral). </w:t>
      </w:r>
    </w:p>
    <w:p w:rsidR="00050ED5" w:rsidRPr="002A7DDB" w:rsidRDefault="00C75AD3" w:rsidP="00050ED5">
      <w:pPr>
        <w:pStyle w:val="CGCNumberedPara"/>
        <w:numPr>
          <w:ilvl w:val="1"/>
          <w:numId w:val="3"/>
        </w:numPr>
      </w:pPr>
      <w:r>
        <w:rPr>
          <w:szCs w:val="22"/>
        </w:rPr>
        <w:t>T</w:t>
      </w:r>
      <w:r w:rsidR="00050ED5">
        <w:rPr>
          <w:szCs w:val="22"/>
        </w:rPr>
        <w:t>erms of reference for the 2012, 2013 and 2014 Updates instructed the Commission to leave iron ore fines in the low group.</w:t>
      </w:r>
    </w:p>
    <w:p w:rsidR="00050ED5" w:rsidRDefault="00464637" w:rsidP="00602621">
      <w:pPr>
        <w:pStyle w:val="CGCNumberedPara"/>
      </w:pPr>
      <w:r>
        <w:t>The Commission’s mining revenue assessment was one of the areas considered by the GST Distribution Review.</w:t>
      </w:r>
      <w:r>
        <w:rPr>
          <w:rStyle w:val="FootnoteReference"/>
          <w:szCs w:val="22"/>
        </w:rPr>
        <w:footnoteReference w:id="1"/>
      </w:r>
      <w:r>
        <w:t xml:space="preserve"> </w:t>
      </w:r>
      <w:r w:rsidR="00602621">
        <w:t xml:space="preserve">The Panel considered the major issue with </w:t>
      </w:r>
      <w:r w:rsidR="003B0E7A">
        <w:t xml:space="preserve">the </w:t>
      </w:r>
      <w:r w:rsidR="00602621">
        <w:t xml:space="preserve">assessment was the potential </w:t>
      </w:r>
      <w:r w:rsidR="00602621" w:rsidRPr="00602621">
        <w:rPr>
          <w:szCs w:val="22"/>
        </w:rPr>
        <w:t>for a State to lose more in GST revenue than it gain</w:t>
      </w:r>
      <w:r w:rsidR="001162EB">
        <w:rPr>
          <w:szCs w:val="22"/>
        </w:rPr>
        <w:t>ed</w:t>
      </w:r>
      <w:r w:rsidR="00602621" w:rsidRPr="00602621">
        <w:rPr>
          <w:szCs w:val="22"/>
        </w:rPr>
        <w:t xml:space="preserve"> from an increase in its royalties</w:t>
      </w:r>
      <w:r w:rsidR="00602621">
        <w:rPr>
          <w:szCs w:val="22"/>
        </w:rPr>
        <w:t>. This could happen w</w:t>
      </w:r>
      <w:r w:rsidR="00602621">
        <w:t>hen a mineral moved from the low rate group to the high rate group</w:t>
      </w:r>
      <w:r w:rsidR="00927E35">
        <w:t xml:space="preserve"> (potentially such as for iron ore fines)</w:t>
      </w:r>
      <w:r w:rsidR="00602621">
        <w:t xml:space="preserve">. The Panel’s view was that </w:t>
      </w:r>
      <w:r w:rsidR="003B0E7A">
        <w:t>th</w:t>
      </w:r>
      <w:r w:rsidR="00E4585C">
        <w:t>is appeared</w:t>
      </w:r>
      <w:r w:rsidR="00602621" w:rsidRPr="00602621">
        <w:t xml:space="preserve"> to be a perverse and inappropriate side-effect of the two-tier mining revenue assessment</w:t>
      </w:r>
      <w:r w:rsidR="00602621">
        <w:t>.</w:t>
      </w:r>
      <w:r w:rsidR="00602621">
        <w:rPr>
          <w:rStyle w:val="FootnoteReference"/>
        </w:rPr>
        <w:footnoteReference w:id="2"/>
      </w:r>
    </w:p>
    <w:p w:rsidR="00050ED5" w:rsidRDefault="00050ED5" w:rsidP="00050ED5">
      <w:pPr>
        <w:pStyle w:val="Heading3"/>
      </w:pPr>
      <w:bookmarkStart w:id="11" w:name="_Toc482337811"/>
      <w:r>
        <w:lastRenderedPageBreak/>
        <w:t>THE 2015 REVIEW MINING REVENUE ASSESSMENT</w:t>
      </w:r>
      <w:bookmarkEnd w:id="11"/>
    </w:p>
    <w:p w:rsidR="00050ED5" w:rsidRPr="00A424B6" w:rsidRDefault="00050ED5" w:rsidP="00050ED5">
      <w:pPr>
        <w:pStyle w:val="CGCNumberedPara"/>
        <w:numPr>
          <w:ilvl w:val="1"/>
          <w:numId w:val="3"/>
        </w:numPr>
      </w:pPr>
      <w:r>
        <w:rPr>
          <w:szCs w:val="22"/>
        </w:rPr>
        <w:t>In the 2015 Review, the Commission again considered the balance between measuring States’ mining capacity and policy neutrality. It</w:t>
      </w:r>
      <w:r w:rsidRPr="003779CC">
        <w:rPr>
          <w:szCs w:val="22"/>
        </w:rPr>
        <w:t xml:space="preserve"> decided to separately assess the minerals that</w:t>
      </w:r>
      <w:r w:rsidR="00602621">
        <w:rPr>
          <w:szCs w:val="22"/>
        </w:rPr>
        <w:t xml:space="preserve"> individually redistributed material amounts of GST revenue</w:t>
      </w:r>
      <w:r w:rsidRPr="003779CC">
        <w:rPr>
          <w:szCs w:val="22"/>
        </w:rPr>
        <w:t xml:space="preserve"> </w:t>
      </w:r>
      <w:r>
        <w:rPr>
          <w:szCs w:val="22"/>
        </w:rPr>
        <w:t xml:space="preserve">and to assess the </w:t>
      </w:r>
      <w:r w:rsidRPr="003779CC">
        <w:rPr>
          <w:szCs w:val="22"/>
        </w:rPr>
        <w:t>remaining minerals in one group.</w:t>
      </w:r>
      <w:r w:rsidR="00602621">
        <w:rPr>
          <w:rStyle w:val="FootnoteReference"/>
          <w:szCs w:val="22"/>
        </w:rPr>
        <w:footnoteReference w:id="3"/>
      </w:r>
    </w:p>
    <w:p w:rsidR="00050ED5" w:rsidRDefault="00050ED5" w:rsidP="00050ED5">
      <w:pPr>
        <w:pStyle w:val="CGCNumberedPara"/>
        <w:numPr>
          <w:ilvl w:val="1"/>
          <w:numId w:val="3"/>
        </w:numPr>
      </w:pPr>
      <w:r>
        <w:rPr>
          <w:szCs w:val="22"/>
        </w:rPr>
        <w:t>The Commission said mining wa</w:t>
      </w:r>
      <w:r w:rsidRPr="003779CC">
        <w:rPr>
          <w:szCs w:val="22"/>
        </w:rPr>
        <w:t xml:space="preserve">s an area where </w:t>
      </w:r>
      <w:r>
        <w:rPr>
          <w:szCs w:val="22"/>
        </w:rPr>
        <w:t>it had</w:t>
      </w:r>
      <w:r w:rsidRPr="003779CC">
        <w:rPr>
          <w:szCs w:val="22"/>
        </w:rPr>
        <w:t xml:space="preserve"> to balance competing supporting principles. </w:t>
      </w:r>
      <w:r>
        <w:rPr>
          <w:szCs w:val="22"/>
        </w:rPr>
        <w:t>It chose</w:t>
      </w:r>
      <w:r w:rsidRPr="003779CC">
        <w:rPr>
          <w:szCs w:val="22"/>
        </w:rPr>
        <w:t xml:space="preserve"> a mineral by mineral approach because </w:t>
      </w:r>
      <w:r>
        <w:rPr>
          <w:szCs w:val="22"/>
        </w:rPr>
        <w:t xml:space="preserve">it concluded </w:t>
      </w:r>
      <w:r w:rsidRPr="003779CC">
        <w:rPr>
          <w:szCs w:val="22"/>
        </w:rPr>
        <w:t xml:space="preserve">policy neutrality </w:t>
      </w:r>
      <w:r>
        <w:rPr>
          <w:szCs w:val="22"/>
        </w:rPr>
        <w:t>was</w:t>
      </w:r>
      <w:r w:rsidRPr="003779CC">
        <w:rPr>
          <w:szCs w:val="22"/>
        </w:rPr>
        <w:t xml:space="preserve"> not the only issue</w:t>
      </w:r>
      <w:r>
        <w:rPr>
          <w:szCs w:val="22"/>
        </w:rPr>
        <w:t xml:space="preserve"> and it</w:t>
      </w:r>
      <w:r w:rsidRPr="003779CC">
        <w:rPr>
          <w:szCs w:val="22"/>
        </w:rPr>
        <w:t xml:space="preserve"> believe</w:t>
      </w:r>
      <w:r>
        <w:rPr>
          <w:szCs w:val="22"/>
        </w:rPr>
        <w:t>d</w:t>
      </w:r>
      <w:r w:rsidRPr="003779CC">
        <w:rPr>
          <w:szCs w:val="22"/>
        </w:rPr>
        <w:t xml:space="preserve"> a mineral by mineral </w:t>
      </w:r>
      <w:r>
        <w:rPr>
          <w:szCs w:val="22"/>
        </w:rPr>
        <w:t xml:space="preserve">approach provided </w:t>
      </w:r>
      <w:r w:rsidRPr="003779CC">
        <w:rPr>
          <w:szCs w:val="22"/>
        </w:rPr>
        <w:t>a better reflection of States</w:t>
      </w:r>
      <w:r w:rsidR="003504BE">
        <w:rPr>
          <w:szCs w:val="22"/>
        </w:rPr>
        <w:t>’</w:t>
      </w:r>
      <w:r w:rsidRPr="003779CC">
        <w:rPr>
          <w:szCs w:val="22"/>
        </w:rPr>
        <w:t xml:space="preserve"> underlying mining </w:t>
      </w:r>
      <w:r w:rsidR="003504BE">
        <w:rPr>
          <w:szCs w:val="22"/>
        </w:rPr>
        <w:t xml:space="preserve">revenue raising </w:t>
      </w:r>
      <w:r w:rsidRPr="003779CC">
        <w:rPr>
          <w:szCs w:val="22"/>
        </w:rPr>
        <w:t>capacity</w:t>
      </w:r>
      <w:r>
        <w:rPr>
          <w:szCs w:val="22"/>
        </w:rPr>
        <w:t>.</w:t>
      </w:r>
    </w:p>
    <w:p w:rsidR="00050ED5" w:rsidRDefault="00050ED5" w:rsidP="00050ED5">
      <w:pPr>
        <w:pStyle w:val="CGCNumberedPara"/>
        <w:numPr>
          <w:ilvl w:val="1"/>
          <w:numId w:val="3"/>
        </w:numPr>
      </w:pPr>
      <w:r>
        <w:t xml:space="preserve">In its report, the Commission said it intended </w:t>
      </w:r>
      <w:r w:rsidRPr="003779CC">
        <w:rPr>
          <w:szCs w:val="22"/>
        </w:rPr>
        <w:t xml:space="preserve">to </w:t>
      </w:r>
      <w:r>
        <w:rPr>
          <w:szCs w:val="22"/>
        </w:rPr>
        <w:t>retain its mineral by mineral</w:t>
      </w:r>
      <w:r w:rsidRPr="003779CC">
        <w:rPr>
          <w:szCs w:val="22"/>
        </w:rPr>
        <w:t xml:space="preserve"> structure until the next review. However, if there </w:t>
      </w:r>
      <w:r>
        <w:rPr>
          <w:szCs w:val="22"/>
        </w:rPr>
        <w:t>w</w:t>
      </w:r>
      <w:r w:rsidR="00825380">
        <w:rPr>
          <w:szCs w:val="22"/>
        </w:rPr>
        <w:t>ere</w:t>
      </w:r>
      <w:r w:rsidRPr="003779CC">
        <w:rPr>
          <w:szCs w:val="22"/>
        </w:rPr>
        <w:t xml:space="preserve"> a major change in circumstances</w:t>
      </w:r>
      <w:r>
        <w:rPr>
          <w:szCs w:val="22"/>
        </w:rPr>
        <w:t xml:space="preserve"> —</w:t>
      </w:r>
      <w:r w:rsidRPr="003779CC">
        <w:rPr>
          <w:szCs w:val="22"/>
        </w:rPr>
        <w:t xml:space="preserve"> such </w:t>
      </w:r>
      <w:r>
        <w:rPr>
          <w:szCs w:val="22"/>
        </w:rPr>
        <w:t>as</w:t>
      </w:r>
      <w:r w:rsidRPr="003779CC">
        <w:rPr>
          <w:szCs w:val="22"/>
        </w:rPr>
        <w:t xml:space="preserve"> another mineral becom</w:t>
      </w:r>
      <w:r>
        <w:rPr>
          <w:szCs w:val="22"/>
        </w:rPr>
        <w:t>ing</w:t>
      </w:r>
      <w:r w:rsidRPr="003779CC">
        <w:rPr>
          <w:szCs w:val="22"/>
        </w:rPr>
        <w:t xml:space="preserve"> material or one of the material minerals becom</w:t>
      </w:r>
      <w:r>
        <w:rPr>
          <w:szCs w:val="22"/>
        </w:rPr>
        <w:t>ing</w:t>
      </w:r>
      <w:r w:rsidRPr="003779CC">
        <w:rPr>
          <w:szCs w:val="22"/>
        </w:rPr>
        <w:t xml:space="preserve"> immaterial</w:t>
      </w:r>
      <w:r>
        <w:rPr>
          <w:szCs w:val="22"/>
        </w:rPr>
        <w:t xml:space="preserve"> —</w:t>
      </w:r>
      <w:r w:rsidRPr="003779CC">
        <w:rPr>
          <w:szCs w:val="22"/>
        </w:rPr>
        <w:t xml:space="preserve"> </w:t>
      </w:r>
      <w:r>
        <w:rPr>
          <w:szCs w:val="22"/>
        </w:rPr>
        <w:t>it would</w:t>
      </w:r>
      <w:r w:rsidRPr="003779CC">
        <w:rPr>
          <w:szCs w:val="22"/>
        </w:rPr>
        <w:t xml:space="preserve"> exercise its judgment on whether </w:t>
      </w:r>
      <w:r>
        <w:rPr>
          <w:szCs w:val="22"/>
        </w:rPr>
        <w:t>equalisation</w:t>
      </w:r>
      <w:r w:rsidRPr="003779CC">
        <w:rPr>
          <w:szCs w:val="22"/>
        </w:rPr>
        <w:t xml:space="preserve"> would be improved by changing </w:t>
      </w:r>
      <w:r>
        <w:rPr>
          <w:szCs w:val="22"/>
        </w:rPr>
        <w:t>the structure of the assessment</w:t>
      </w:r>
      <w:r>
        <w:t>.</w:t>
      </w:r>
    </w:p>
    <w:p w:rsidR="00050ED5" w:rsidRDefault="00050ED5" w:rsidP="00050ED5">
      <w:pPr>
        <w:pStyle w:val="CGCNumberedPara"/>
        <w:numPr>
          <w:ilvl w:val="1"/>
          <w:numId w:val="3"/>
        </w:numPr>
      </w:pPr>
      <w:r>
        <w:t xml:space="preserve">The mineral by mineral </w:t>
      </w:r>
      <w:r w:rsidR="003504BE">
        <w:t xml:space="preserve">approach </w:t>
      </w:r>
      <w:r>
        <w:t>avoids most of the GST Distribution Review Panel’s policy neutrality concerns over the two</w:t>
      </w:r>
      <w:r>
        <w:noBreakHyphen/>
        <w:t xml:space="preserve">tier structure. It is </w:t>
      </w:r>
      <w:r w:rsidR="0080328C">
        <w:t xml:space="preserve">still </w:t>
      </w:r>
      <w:r>
        <w:t xml:space="preserve">possible for a minor mineral to move from the residual group if there was a big enough increase in </w:t>
      </w:r>
      <w:r w:rsidR="003B0E7A">
        <w:t xml:space="preserve">legislated </w:t>
      </w:r>
      <w:r>
        <w:t>royalt</w:t>
      </w:r>
      <w:r w:rsidR="00E4585C">
        <w:t>y rat</w:t>
      </w:r>
      <w:r>
        <w:t>es to make it material.</w:t>
      </w:r>
    </w:p>
    <w:p w:rsidR="00050ED5" w:rsidRDefault="00050ED5" w:rsidP="00050ED5">
      <w:pPr>
        <w:pStyle w:val="Heading3"/>
      </w:pPr>
      <w:bookmarkStart w:id="12" w:name="_Toc482337812"/>
      <w:r>
        <w:t>MONITORING STATE MINING POLICIES</w:t>
      </w:r>
      <w:bookmarkEnd w:id="12"/>
    </w:p>
    <w:p w:rsidR="00050ED5" w:rsidRPr="00F80FFB" w:rsidRDefault="00050ED5" w:rsidP="00050ED5">
      <w:pPr>
        <w:pStyle w:val="CGCNumberedPara"/>
        <w:numPr>
          <w:ilvl w:val="1"/>
          <w:numId w:val="3"/>
        </w:numPr>
      </w:pPr>
      <w:r>
        <w:t xml:space="preserve">In its 2015 Review report, </w:t>
      </w:r>
      <w:r>
        <w:rPr>
          <w:szCs w:val="22"/>
        </w:rPr>
        <w:t xml:space="preserve">the Commission said it would </w:t>
      </w:r>
      <w:r w:rsidRPr="00A84981">
        <w:rPr>
          <w:szCs w:val="22"/>
        </w:rPr>
        <w:t>monitor State mining policies</w:t>
      </w:r>
      <w:r>
        <w:rPr>
          <w:szCs w:val="22"/>
        </w:rPr>
        <w:t>:</w:t>
      </w:r>
    </w:p>
    <w:p w:rsidR="00050ED5" w:rsidRDefault="00050ED5" w:rsidP="00050ED5">
      <w:pPr>
        <w:pStyle w:val="CGCBulletlist"/>
        <w:numPr>
          <w:ilvl w:val="0"/>
          <w:numId w:val="1"/>
        </w:numPr>
        <w:tabs>
          <w:tab w:val="clear" w:pos="927"/>
        </w:tabs>
        <w:ind w:left="1134" w:hanging="567"/>
      </w:pPr>
      <w:r>
        <w:t>to ensure its mineral by mineral assessment was not influencing State behaviour</w:t>
      </w:r>
    </w:p>
    <w:p w:rsidR="00050ED5" w:rsidRDefault="00050ED5" w:rsidP="00050ED5">
      <w:pPr>
        <w:pStyle w:val="CGCBulletlist"/>
        <w:numPr>
          <w:ilvl w:val="0"/>
          <w:numId w:val="1"/>
        </w:numPr>
        <w:tabs>
          <w:tab w:val="clear" w:pos="927"/>
        </w:tabs>
        <w:ind w:left="1134" w:hanging="567"/>
      </w:pPr>
      <w:r>
        <w:t>to check whether other minerals, such as coal seam gas, bec</w:t>
      </w:r>
      <w:r w:rsidR="0080328C">
        <w:t>a</w:t>
      </w:r>
      <w:r>
        <w:t>me material, requiring a change to the minerals separately assessed</w:t>
      </w:r>
    </w:p>
    <w:p w:rsidR="00050ED5" w:rsidRPr="00F80FFB" w:rsidRDefault="00050ED5" w:rsidP="00050ED5">
      <w:pPr>
        <w:pStyle w:val="CGCBulletlist"/>
        <w:numPr>
          <w:ilvl w:val="0"/>
          <w:numId w:val="1"/>
        </w:numPr>
        <w:tabs>
          <w:tab w:val="clear" w:pos="927"/>
        </w:tabs>
        <w:ind w:left="1134" w:hanging="567"/>
      </w:pPr>
      <w:proofErr w:type="gramStart"/>
      <w:r>
        <w:t>to</w:t>
      </w:r>
      <w:proofErr w:type="gramEnd"/>
      <w:r>
        <w:t xml:space="preserve"> ensure the revenue base it observe</w:t>
      </w:r>
      <w:r w:rsidR="0080328C">
        <w:t>d</w:t>
      </w:r>
      <w:r>
        <w:t xml:space="preserve"> with respect to say, coal seam gas, is consistent with average policy.</w:t>
      </w:r>
      <w:r>
        <w:rPr>
          <w:rStyle w:val="FootnoteReference"/>
        </w:rPr>
        <w:footnoteReference w:id="4"/>
      </w:r>
    </w:p>
    <w:p w:rsidR="00050ED5" w:rsidRDefault="00050ED5" w:rsidP="00050ED5">
      <w:pPr>
        <w:pStyle w:val="Heading4"/>
      </w:pPr>
      <w:bookmarkStart w:id="13" w:name="_Toc482337813"/>
      <w:r>
        <w:lastRenderedPageBreak/>
        <w:t>Has the mineral by mineral approach influenced State behaviour?</w:t>
      </w:r>
      <w:bookmarkEnd w:id="13"/>
    </w:p>
    <w:p w:rsidR="00050ED5" w:rsidRDefault="00050ED5" w:rsidP="00050ED5">
      <w:pPr>
        <w:pStyle w:val="Heading5"/>
      </w:pPr>
      <w:r>
        <w:t>Changes in mining royalty rates since 2013-14</w:t>
      </w:r>
    </w:p>
    <w:p w:rsidR="00050ED5" w:rsidRDefault="00050ED5" w:rsidP="00050ED5">
      <w:pPr>
        <w:pStyle w:val="CGCNumberedPara"/>
        <w:numPr>
          <w:ilvl w:val="1"/>
          <w:numId w:val="3"/>
        </w:numPr>
      </w:pPr>
      <w:r>
        <w:t xml:space="preserve">Information on royalty rates </w:t>
      </w:r>
      <w:r w:rsidR="003504BE">
        <w:t xml:space="preserve">was </w:t>
      </w:r>
      <w:r>
        <w:t xml:space="preserve">obtained from State budget documents and Western Australia’s </w:t>
      </w:r>
      <w:r w:rsidRPr="00C75AD3">
        <w:rPr>
          <w:i/>
        </w:rPr>
        <w:t>Overview of State Taxes and Royalties</w:t>
      </w:r>
      <w:r>
        <w:t>.</w:t>
      </w:r>
      <w:r w:rsidR="00C75AD3">
        <w:rPr>
          <w:rStyle w:val="FootnoteReference"/>
        </w:rPr>
        <w:footnoteReference w:id="5"/>
      </w:r>
      <w:r>
        <w:t xml:space="preserve"> </w:t>
      </w:r>
    </w:p>
    <w:p w:rsidR="00050ED5" w:rsidRDefault="00050ED5" w:rsidP="00050ED5">
      <w:pPr>
        <w:pStyle w:val="CGCNumberedPara"/>
        <w:numPr>
          <w:ilvl w:val="1"/>
          <w:numId w:val="3"/>
        </w:numPr>
      </w:pPr>
      <w:r>
        <w:t>There has only been one royalty rate change since 2013-14. New South Wales had a concession on petroleum royalty rates where the rate was nil for the first five years, increasing from 6% to 10% over the following five years. It ceased its concession on 1 January 2013.</w:t>
      </w:r>
    </w:p>
    <w:p w:rsidR="00050ED5" w:rsidRDefault="00050ED5" w:rsidP="00050ED5">
      <w:pPr>
        <w:pStyle w:val="Heading5"/>
      </w:pPr>
      <w:r>
        <w:t>Changes in mining policies since 2013-14</w:t>
      </w:r>
    </w:p>
    <w:p w:rsidR="00050ED5" w:rsidRDefault="00050ED5" w:rsidP="00050ED5">
      <w:pPr>
        <w:pStyle w:val="CGCNumberedPara"/>
        <w:numPr>
          <w:ilvl w:val="1"/>
          <w:numId w:val="3"/>
        </w:numPr>
      </w:pPr>
      <w:r>
        <w:t xml:space="preserve">In September 2015, New South Wales amended its </w:t>
      </w:r>
      <w:r w:rsidRPr="0095758A">
        <w:rPr>
          <w:i/>
        </w:rPr>
        <w:t>State Environmental Planning Policy (Mining, Petroleum Production and Extractive Industries) 2007</w:t>
      </w:r>
      <w:r>
        <w:t>, which sets the legal framework for assessing projects relating to its mineral and energy resources. It repealed clause 12AA which required the consent authority to consider the relative significance of a resource and the economic benefits of developing the resource.</w:t>
      </w:r>
      <w:r w:rsidR="006218DF">
        <w:rPr>
          <w:rStyle w:val="FootnoteReference"/>
        </w:rPr>
        <w:footnoteReference w:id="6"/>
      </w:r>
      <w:r>
        <w:t xml:space="preserve"> </w:t>
      </w:r>
    </w:p>
    <w:p w:rsidR="00050ED5" w:rsidRDefault="00050ED5" w:rsidP="00050ED5">
      <w:pPr>
        <w:pStyle w:val="CGCNumberedPara"/>
        <w:numPr>
          <w:ilvl w:val="1"/>
          <w:numId w:val="3"/>
        </w:numPr>
      </w:pPr>
      <w:r>
        <w:t>States also changed their mining policies in relation to minerals that are the subject of bans or moratoriums. At the time of the 2015 Review, there were bans or moratoriums on three minerals:</w:t>
      </w:r>
    </w:p>
    <w:p w:rsidR="00050ED5" w:rsidRDefault="00050ED5" w:rsidP="00050ED5">
      <w:pPr>
        <w:pStyle w:val="CGCBulletlist"/>
        <w:numPr>
          <w:ilvl w:val="0"/>
          <w:numId w:val="1"/>
        </w:numPr>
        <w:tabs>
          <w:tab w:val="clear" w:pos="927"/>
        </w:tabs>
        <w:ind w:left="1134" w:hanging="567"/>
      </w:pPr>
      <w:r>
        <w:t>Uranium mining was banned in New South Wales and Victoria. It was permitted in Queensland, Western Australia, South Australia, Tasmania and the Northern Territory.</w:t>
      </w:r>
    </w:p>
    <w:p w:rsidR="00050ED5" w:rsidRDefault="00050ED5" w:rsidP="00050ED5">
      <w:pPr>
        <w:pStyle w:val="CGCBulletlist"/>
        <w:numPr>
          <w:ilvl w:val="0"/>
          <w:numId w:val="1"/>
        </w:numPr>
        <w:tabs>
          <w:tab w:val="clear" w:pos="927"/>
        </w:tabs>
        <w:ind w:left="1134" w:hanging="567"/>
      </w:pPr>
      <w:r>
        <w:t>New South Wales had a ban on unconventional gas mining within 2 kilometres of existing and future residential areas and in the Upper Hunter equine and viticulture industry clusters.</w:t>
      </w:r>
    </w:p>
    <w:p w:rsidR="00050ED5" w:rsidRDefault="00050ED5" w:rsidP="00050ED5">
      <w:pPr>
        <w:pStyle w:val="CGCBulletlist"/>
        <w:numPr>
          <w:ilvl w:val="0"/>
          <w:numId w:val="1"/>
        </w:numPr>
        <w:tabs>
          <w:tab w:val="clear" w:pos="927"/>
        </w:tabs>
        <w:ind w:left="1134" w:hanging="567"/>
      </w:pPr>
      <w:r>
        <w:t xml:space="preserve">Western Australia had a ban on coal mining in an area 230 square kilometres around the Margaret River </w:t>
      </w:r>
      <w:proofErr w:type="gramStart"/>
      <w:r>
        <w:t>township</w:t>
      </w:r>
      <w:proofErr w:type="gramEnd"/>
      <w:r>
        <w:t>.</w:t>
      </w:r>
    </w:p>
    <w:p w:rsidR="00050ED5" w:rsidRDefault="00050ED5" w:rsidP="00050ED5">
      <w:pPr>
        <w:pStyle w:val="CGCNumberedPara"/>
        <w:numPr>
          <w:ilvl w:val="1"/>
          <w:numId w:val="3"/>
        </w:numPr>
      </w:pPr>
      <w:r>
        <w:t>Since the 2015 Review, the following changes have taken place:</w:t>
      </w:r>
    </w:p>
    <w:p w:rsidR="00050ED5" w:rsidRDefault="00050ED5" w:rsidP="00050ED5">
      <w:pPr>
        <w:pStyle w:val="CGCBulletlist"/>
        <w:numPr>
          <w:ilvl w:val="0"/>
          <w:numId w:val="1"/>
        </w:numPr>
        <w:tabs>
          <w:tab w:val="clear" w:pos="927"/>
        </w:tabs>
        <w:ind w:left="1134" w:hanging="567"/>
      </w:pPr>
      <w:r>
        <w:t>Queensland (in 2015) and Western Australia (in 2017)</w:t>
      </w:r>
      <w:r>
        <w:rPr>
          <w:rStyle w:val="FootnoteReference"/>
        </w:rPr>
        <w:footnoteReference w:id="7"/>
      </w:r>
      <w:r>
        <w:t xml:space="preserve"> have reinstated bans on uranium mining.</w:t>
      </w:r>
    </w:p>
    <w:p w:rsidR="00050ED5" w:rsidRDefault="00050ED5" w:rsidP="00050ED5">
      <w:pPr>
        <w:pStyle w:val="CGCBulletlist"/>
        <w:numPr>
          <w:ilvl w:val="0"/>
          <w:numId w:val="1"/>
        </w:numPr>
        <w:tabs>
          <w:tab w:val="clear" w:pos="927"/>
        </w:tabs>
        <w:ind w:left="1134" w:hanging="567"/>
      </w:pPr>
      <w:r>
        <w:t xml:space="preserve">Victoria (in 2017), Tasmania (for five years from 2015) and the Northern Territory (in 2016) have imposed moratoriums or bans on unconventional gas </w:t>
      </w:r>
      <w:r>
        <w:lastRenderedPageBreak/>
        <w:t>mining. Victoria (in 2017) also imposed a five year moratorium on onshore conventional gas mining.</w:t>
      </w:r>
    </w:p>
    <w:p w:rsidR="00050ED5" w:rsidRDefault="00050ED5" w:rsidP="00050ED5">
      <w:pPr>
        <w:pStyle w:val="CGCNumberedPara"/>
        <w:numPr>
          <w:ilvl w:val="1"/>
          <w:numId w:val="3"/>
        </w:numPr>
      </w:pPr>
      <w:r>
        <w:t xml:space="preserve">Commission staff will continue monitoring State mining policies and royalty rates </w:t>
      </w:r>
      <w:r w:rsidR="00834BD3">
        <w:t xml:space="preserve">over the course of </w:t>
      </w:r>
      <w:r>
        <w:t>the 2020 Review.</w:t>
      </w:r>
    </w:p>
    <w:p w:rsidR="00050ED5" w:rsidRDefault="00050ED5" w:rsidP="00050ED5">
      <w:pPr>
        <w:pStyle w:val="CGCNumberedPara"/>
        <w:numPr>
          <w:ilvl w:val="1"/>
          <w:numId w:val="3"/>
        </w:numPr>
      </w:pPr>
      <w:r>
        <w:t>There is no evidence the mineral by mineral approach has influenced State behaviour. There were no legislated rate changes like those observed after the 2010 Review. The only change was the removal of a concession.</w:t>
      </w:r>
      <w:r w:rsidR="006218DF">
        <w:t xml:space="preserve"> </w:t>
      </w:r>
    </w:p>
    <w:p w:rsidR="00050ED5" w:rsidRDefault="00050ED5" w:rsidP="00050ED5">
      <w:pPr>
        <w:pStyle w:val="Heading5"/>
      </w:pPr>
      <w:r>
        <w:t>Policies in relation to coal seam gas</w:t>
      </w:r>
    </w:p>
    <w:p w:rsidR="00050ED5" w:rsidRDefault="00050ED5" w:rsidP="00050ED5">
      <w:pPr>
        <w:pStyle w:val="CGCNumberedPara"/>
        <w:numPr>
          <w:ilvl w:val="1"/>
          <w:numId w:val="3"/>
        </w:numPr>
      </w:pPr>
      <w:r>
        <w:t xml:space="preserve">The Commission said it would monitor developments in coal seam gas (CSG). CSG production is currently assessed in the onshore oil and gas component. </w:t>
      </w:r>
    </w:p>
    <w:p w:rsidR="00050ED5" w:rsidRDefault="00050ED5" w:rsidP="00050ED5">
      <w:pPr>
        <w:pStyle w:val="CGCNumberedPara"/>
        <w:numPr>
          <w:ilvl w:val="1"/>
          <w:numId w:val="3"/>
        </w:numPr>
      </w:pPr>
      <w:r>
        <w:fldChar w:fldCharType="begin"/>
      </w:r>
      <w:r>
        <w:instrText xml:space="preserve"> REF _Ref478995103 \h </w:instrText>
      </w:r>
      <w:r>
        <w:fldChar w:fldCharType="separate"/>
      </w:r>
      <w:r w:rsidR="00614BD2">
        <w:t xml:space="preserve">Table </w:t>
      </w:r>
      <w:r w:rsidR="00614BD2">
        <w:rPr>
          <w:noProof/>
        </w:rPr>
        <w:t>1</w:t>
      </w:r>
      <w:r>
        <w:fldChar w:fldCharType="end"/>
      </w:r>
      <w:r>
        <w:t xml:space="preserve"> shows the differing State policies in relation to CSG.</w:t>
      </w:r>
      <w:r w:rsidRPr="00726C80">
        <w:t xml:space="preserve"> </w:t>
      </w:r>
      <w:r>
        <w:t>Currently around one fifth of onshore oil and gas royalties relate to CSG production.</w:t>
      </w:r>
      <w:r w:rsidR="006218DF">
        <w:t xml:space="preserve"> It is unclear the extent to which, if at all, the Commission’s mining revenue assessment influenced States’ introduction of bans on coal seam gas (CSG) development.</w:t>
      </w:r>
    </w:p>
    <w:p w:rsidR="00050ED5" w:rsidRDefault="00050ED5" w:rsidP="00050ED5">
      <w:pPr>
        <w:pStyle w:val="CGCTableHeading"/>
      </w:pPr>
      <w:bookmarkStart w:id="14" w:name="_Ref478995103"/>
      <w:r>
        <w:t xml:space="preserve">Table </w:t>
      </w:r>
      <w:r w:rsidR="005F2CDD">
        <w:fldChar w:fldCharType="begin"/>
      </w:r>
      <w:r w:rsidR="005F2CDD">
        <w:instrText xml:space="preserve"> SEQ Table \* ARABIC </w:instrText>
      </w:r>
      <w:r w:rsidR="005F2CDD">
        <w:fldChar w:fldCharType="separate"/>
      </w:r>
      <w:proofErr w:type="gramStart"/>
      <w:r w:rsidR="00614BD2">
        <w:rPr>
          <w:noProof/>
        </w:rPr>
        <w:t>1</w:t>
      </w:r>
      <w:r w:rsidR="005F2CDD">
        <w:rPr>
          <w:noProof/>
        </w:rPr>
        <w:fldChar w:fldCharType="end"/>
      </w:r>
      <w:bookmarkEnd w:id="14"/>
      <w:r>
        <w:tab/>
        <w:t>State policies</w:t>
      </w:r>
      <w:proofErr w:type="gramEnd"/>
      <w:r>
        <w:t xml:space="preserve"> in relation to coal seam gas</w:t>
      </w:r>
    </w:p>
    <w:tbl>
      <w:tblPr>
        <w:tblW w:w="5000" w:type="pct"/>
        <w:tblCellMar>
          <w:left w:w="85" w:type="dxa"/>
          <w:right w:w="85" w:type="dxa"/>
        </w:tblCellMar>
        <w:tblLook w:val="0000" w:firstRow="0" w:lastRow="0" w:firstColumn="0" w:lastColumn="0" w:noHBand="0" w:noVBand="0"/>
      </w:tblPr>
      <w:tblGrid>
        <w:gridCol w:w="1786"/>
        <w:gridCol w:w="7335"/>
      </w:tblGrid>
      <w:tr w:rsidR="00050ED5" w:rsidRPr="004537EA" w:rsidTr="00472830">
        <w:tc>
          <w:tcPr>
            <w:tcW w:w="979" w:type="pct"/>
            <w:tcBorders>
              <w:top w:val="single" w:sz="6" w:space="0" w:color="auto"/>
              <w:bottom w:val="single" w:sz="6" w:space="0" w:color="auto"/>
            </w:tcBorders>
            <w:vAlign w:val="bottom"/>
          </w:tcPr>
          <w:p w:rsidR="00050ED5" w:rsidRPr="004537EA" w:rsidRDefault="00050ED5" w:rsidP="00472830">
            <w:pPr>
              <w:pStyle w:val="TableColHeadings"/>
              <w:jc w:val="left"/>
              <w:rPr>
                <w:rFonts w:cstheme="minorHAnsi"/>
              </w:rPr>
            </w:pPr>
            <w:r>
              <w:rPr>
                <w:rFonts w:cstheme="minorHAnsi"/>
              </w:rPr>
              <w:t>State</w:t>
            </w:r>
          </w:p>
        </w:tc>
        <w:tc>
          <w:tcPr>
            <w:tcW w:w="4021" w:type="pct"/>
            <w:tcBorders>
              <w:top w:val="single" w:sz="6" w:space="0" w:color="auto"/>
              <w:bottom w:val="single" w:sz="6" w:space="0" w:color="auto"/>
            </w:tcBorders>
            <w:vAlign w:val="bottom"/>
          </w:tcPr>
          <w:p w:rsidR="00050ED5" w:rsidRPr="004537EA" w:rsidRDefault="00050ED5" w:rsidP="00472830">
            <w:pPr>
              <w:pStyle w:val="TableColHeadings"/>
              <w:jc w:val="left"/>
              <w:rPr>
                <w:rFonts w:cstheme="minorHAnsi"/>
              </w:rPr>
            </w:pPr>
            <w:r>
              <w:rPr>
                <w:rFonts w:cstheme="minorHAnsi"/>
              </w:rPr>
              <w:t>Policy</w:t>
            </w:r>
          </w:p>
        </w:tc>
      </w:tr>
      <w:tr w:rsidR="00050ED5" w:rsidRPr="004537EA" w:rsidTr="00472830">
        <w:tc>
          <w:tcPr>
            <w:tcW w:w="979" w:type="pct"/>
          </w:tcPr>
          <w:p w:rsidR="00050ED5" w:rsidRPr="004537EA" w:rsidRDefault="00050ED5" w:rsidP="00472830">
            <w:pPr>
              <w:pStyle w:val="CGCTableStub"/>
              <w:rPr>
                <w:rFonts w:cstheme="minorHAnsi"/>
              </w:rPr>
            </w:pPr>
            <w:r>
              <w:rPr>
                <w:rFonts w:cstheme="minorHAnsi"/>
              </w:rPr>
              <w:t>New South Wales</w:t>
            </w:r>
          </w:p>
        </w:tc>
        <w:tc>
          <w:tcPr>
            <w:tcW w:w="4021" w:type="pct"/>
            <w:vAlign w:val="bottom"/>
          </w:tcPr>
          <w:p w:rsidR="00050ED5" w:rsidRPr="004537EA" w:rsidRDefault="00050ED5" w:rsidP="008F5AB7">
            <w:pPr>
              <w:pStyle w:val="TableRowNormal"/>
              <w:ind w:left="0" w:firstLine="0"/>
              <w:jc w:val="left"/>
              <w:rPr>
                <w:rFonts w:cstheme="minorHAnsi"/>
              </w:rPr>
            </w:pPr>
            <w:r>
              <w:rPr>
                <w:rFonts w:cstheme="minorHAnsi"/>
              </w:rPr>
              <w:t>Freeze on CSG exploration and development. Buyback of licences. Narrabri gas project environmental impact statement lodged.</w:t>
            </w:r>
          </w:p>
        </w:tc>
      </w:tr>
      <w:tr w:rsidR="00050ED5" w:rsidRPr="004537EA" w:rsidTr="00472830">
        <w:tc>
          <w:tcPr>
            <w:tcW w:w="979" w:type="pct"/>
          </w:tcPr>
          <w:p w:rsidR="00050ED5" w:rsidRPr="004537EA" w:rsidRDefault="00050ED5" w:rsidP="00472830">
            <w:pPr>
              <w:pStyle w:val="CGCTableStub"/>
              <w:rPr>
                <w:rFonts w:cstheme="minorHAnsi"/>
              </w:rPr>
            </w:pPr>
            <w:r>
              <w:rPr>
                <w:rFonts w:cstheme="minorHAnsi"/>
              </w:rPr>
              <w:t>Victoria</w:t>
            </w:r>
          </w:p>
        </w:tc>
        <w:tc>
          <w:tcPr>
            <w:tcW w:w="4021" w:type="pct"/>
            <w:vAlign w:val="bottom"/>
          </w:tcPr>
          <w:p w:rsidR="00050ED5" w:rsidRPr="004537EA" w:rsidRDefault="00050ED5" w:rsidP="008F5AB7">
            <w:pPr>
              <w:pStyle w:val="TableRowNormal"/>
              <w:ind w:left="0" w:firstLine="0"/>
              <w:jc w:val="left"/>
              <w:rPr>
                <w:rFonts w:cstheme="minorHAnsi"/>
              </w:rPr>
            </w:pPr>
            <w:r>
              <w:rPr>
                <w:rFonts w:cstheme="minorHAnsi"/>
              </w:rPr>
              <w:t>Ban on onshore exploration for unconventional gas and hydraulic fracturing. Ban on conventional drilling until 2020.</w:t>
            </w:r>
          </w:p>
        </w:tc>
      </w:tr>
      <w:tr w:rsidR="00050ED5" w:rsidRPr="004537EA" w:rsidTr="00472830">
        <w:tc>
          <w:tcPr>
            <w:tcW w:w="979" w:type="pct"/>
          </w:tcPr>
          <w:p w:rsidR="00050ED5" w:rsidRPr="004537EA" w:rsidRDefault="00050ED5" w:rsidP="00472830">
            <w:pPr>
              <w:pStyle w:val="CGCTableStub"/>
              <w:rPr>
                <w:rFonts w:cstheme="minorHAnsi"/>
              </w:rPr>
            </w:pPr>
            <w:r>
              <w:rPr>
                <w:rFonts w:cstheme="minorHAnsi"/>
              </w:rPr>
              <w:t>Queensland</w:t>
            </w:r>
          </w:p>
        </w:tc>
        <w:tc>
          <w:tcPr>
            <w:tcW w:w="4021" w:type="pct"/>
            <w:vAlign w:val="bottom"/>
          </w:tcPr>
          <w:p w:rsidR="00050ED5" w:rsidRPr="004537EA" w:rsidRDefault="00050ED5" w:rsidP="008F5AB7">
            <w:pPr>
              <w:pStyle w:val="TableRowNormal"/>
              <w:ind w:left="0" w:firstLine="0"/>
              <w:jc w:val="left"/>
              <w:rPr>
                <w:rFonts w:cstheme="minorHAnsi"/>
              </w:rPr>
            </w:pPr>
            <w:r>
              <w:rPr>
                <w:rFonts w:cstheme="minorHAnsi"/>
              </w:rPr>
              <w:t>No restrictions. CSG makes up more than 90% of the State’s natural gas supply.</w:t>
            </w:r>
          </w:p>
        </w:tc>
      </w:tr>
      <w:tr w:rsidR="00050ED5" w:rsidRPr="004537EA" w:rsidTr="00472830">
        <w:tc>
          <w:tcPr>
            <w:tcW w:w="979" w:type="pct"/>
          </w:tcPr>
          <w:p w:rsidR="00050ED5" w:rsidRDefault="00050ED5" w:rsidP="00472830">
            <w:pPr>
              <w:pStyle w:val="CGCTableStub"/>
              <w:rPr>
                <w:rFonts w:cstheme="minorHAnsi"/>
              </w:rPr>
            </w:pPr>
            <w:r>
              <w:rPr>
                <w:rFonts w:cstheme="minorHAnsi"/>
              </w:rPr>
              <w:t>Western Australia</w:t>
            </w:r>
          </w:p>
        </w:tc>
        <w:tc>
          <w:tcPr>
            <w:tcW w:w="4021" w:type="pct"/>
            <w:vAlign w:val="bottom"/>
          </w:tcPr>
          <w:p w:rsidR="00050ED5" w:rsidRPr="004537EA" w:rsidRDefault="003B0E7A" w:rsidP="008F5AB7">
            <w:pPr>
              <w:pStyle w:val="TableRowNormal"/>
              <w:ind w:left="0" w:firstLine="0"/>
              <w:jc w:val="left"/>
              <w:rPr>
                <w:rFonts w:cstheme="minorHAnsi"/>
              </w:rPr>
            </w:pPr>
            <w:r>
              <w:rPr>
                <w:rFonts w:cstheme="minorHAnsi"/>
              </w:rPr>
              <w:t>Currently n</w:t>
            </w:r>
            <w:r w:rsidR="00050ED5">
              <w:rPr>
                <w:rFonts w:cstheme="minorHAnsi"/>
              </w:rPr>
              <w:t>o restrictions</w:t>
            </w:r>
            <w:r>
              <w:rPr>
                <w:rFonts w:cstheme="minorHAnsi"/>
              </w:rPr>
              <w:t xml:space="preserve">, although the </w:t>
            </w:r>
            <w:r w:rsidR="00E4585C">
              <w:rPr>
                <w:rFonts w:cstheme="minorHAnsi"/>
              </w:rPr>
              <w:t>new</w:t>
            </w:r>
            <w:r w:rsidR="00050ED5">
              <w:rPr>
                <w:rFonts w:cstheme="minorHAnsi"/>
              </w:rPr>
              <w:t xml:space="preserve"> </w:t>
            </w:r>
            <w:r>
              <w:rPr>
                <w:rFonts w:cstheme="minorHAnsi"/>
              </w:rPr>
              <w:t xml:space="preserve">government said </w:t>
            </w:r>
            <w:r w:rsidR="00050ED5">
              <w:rPr>
                <w:rFonts w:cstheme="minorHAnsi"/>
              </w:rPr>
              <w:t xml:space="preserve">it </w:t>
            </w:r>
            <w:r>
              <w:rPr>
                <w:rFonts w:cstheme="minorHAnsi"/>
              </w:rPr>
              <w:t>would</w:t>
            </w:r>
            <w:r w:rsidR="00050ED5">
              <w:rPr>
                <w:rFonts w:cstheme="minorHAnsi"/>
              </w:rPr>
              <w:t xml:space="preserve"> ban fracking acro</w:t>
            </w:r>
            <w:r>
              <w:rPr>
                <w:rFonts w:cstheme="minorHAnsi"/>
              </w:rPr>
              <w:t>ss large parts of the Southwest</w:t>
            </w:r>
            <w:r w:rsidR="00050ED5">
              <w:rPr>
                <w:rFonts w:cstheme="minorHAnsi"/>
              </w:rPr>
              <w:t>.</w:t>
            </w:r>
          </w:p>
        </w:tc>
      </w:tr>
      <w:tr w:rsidR="00050ED5" w:rsidRPr="004537EA" w:rsidTr="00472830">
        <w:tc>
          <w:tcPr>
            <w:tcW w:w="979" w:type="pct"/>
          </w:tcPr>
          <w:p w:rsidR="00050ED5" w:rsidRDefault="00050ED5" w:rsidP="00472830">
            <w:pPr>
              <w:pStyle w:val="CGCTableStub"/>
              <w:rPr>
                <w:rFonts w:cstheme="minorHAnsi"/>
              </w:rPr>
            </w:pPr>
            <w:r>
              <w:rPr>
                <w:rFonts w:cstheme="minorHAnsi"/>
              </w:rPr>
              <w:t>South Australia</w:t>
            </w:r>
          </w:p>
        </w:tc>
        <w:tc>
          <w:tcPr>
            <w:tcW w:w="4021" w:type="pct"/>
            <w:vAlign w:val="bottom"/>
          </w:tcPr>
          <w:p w:rsidR="00050ED5" w:rsidRPr="004537EA" w:rsidRDefault="00050ED5" w:rsidP="008F5AB7">
            <w:pPr>
              <w:pStyle w:val="TableRowNormal"/>
              <w:ind w:left="0" w:firstLine="0"/>
              <w:jc w:val="left"/>
              <w:rPr>
                <w:rFonts w:cstheme="minorHAnsi"/>
              </w:rPr>
            </w:pPr>
            <w:r>
              <w:rPr>
                <w:rFonts w:cstheme="minorHAnsi"/>
              </w:rPr>
              <w:t>No restrictions. Liberal opposition announced a policy for a 10 year fracking moratorium in the State’s Southeast.</w:t>
            </w:r>
          </w:p>
        </w:tc>
      </w:tr>
      <w:tr w:rsidR="00050ED5" w:rsidRPr="004537EA" w:rsidTr="00472830">
        <w:tc>
          <w:tcPr>
            <w:tcW w:w="979" w:type="pct"/>
          </w:tcPr>
          <w:p w:rsidR="00050ED5" w:rsidRDefault="00050ED5" w:rsidP="00472830">
            <w:pPr>
              <w:pStyle w:val="CGCTableStub"/>
              <w:rPr>
                <w:rFonts w:cstheme="minorHAnsi"/>
              </w:rPr>
            </w:pPr>
            <w:r>
              <w:rPr>
                <w:rFonts w:cstheme="minorHAnsi"/>
              </w:rPr>
              <w:t>Tasmania</w:t>
            </w:r>
          </w:p>
        </w:tc>
        <w:tc>
          <w:tcPr>
            <w:tcW w:w="4021" w:type="pct"/>
            <w:vAlign w:val="bottom"/>
          </w:tcPr>
          <w:p w:rsidR="00050ED5" w:rsidRPr="004537EA" w:rsidRDefault="00050ED5" w:rsidP="008F5AB7">
            <w:pPr>
              <w:pStyle w:val="TableRowNormal"/>
              <w:ind w:left="0" w:firstLine="0"/>
              <w:jc w:val="left"/>
              <w:rPr>
                <w:rFonts w:cstheme="minorHAnsi"/>
              </w:rPr>
            </w:pPr>
            <w:r>
              <w:rPr>
                <w:rFonts w:cstheme="minorHAnsi"/>
              </w:rPr>
              <w:t>Ban on fracking. There is no onshore gas activity and no proposal for any.</w:t>
            </w:r>
          </w:p>
        </w:tc>
      </w:tr>
      <w:tr w:rsidR="00050ED5" w:rsidRPr="004537EA" w:rsidTr="00472830">
        <w:tc>
          <w:tcPr>
            <w:tcW w:w="979" w:type="pct"/>
            <w:tcBorders>
              <w:bottom w:val="single" w:sz="6" w:space="0" w:color="auto"/>
            </w:tcBorders>
          </w:tcPr>
          <w:p w:rsidR="00050ED5" w:rsidRDefault="00050ED5" w:rsidP="00472830">
            <w:pPr>
              <w:pStyle w:val="CGCTableStub"/>
              <w:rPr>
                <w:rFonts w:cstheme="minorHAnsi"/>
              </w:rPr>
            </w:pPr>
            <w:r>
              <w:rPr>
                <w:rFonts w:cstheme="minorHAnsi"/>
              </w:rPr>
              <w:t>Northern Territory</w:t>
            </w:r>
          </w:p>
        </w:tc>
        <w:tc>
          <w:tcPr>
            <w:tcW w:w="4021" w:type="pct"/>
            <w:tcBorders>
              <w:bottom w:val="single" w:sz="6" w:space="0" w:color="auto"/>
            </w:tcBorders>
            <w:vAlign w:val="bottom"/>
          </w:tcPr>
          <w:p w:rsidR="00050ED5" w:rsidRPr="004537EA" w:rsidRDefault="00050ED5" w:rsidP="008F5AB7">
            <w:pPr>
              <w:pStyle w:val="TableRowNormal"/>
              <w:ind w:left="0" w:firstLine="0"/>
              <w:jc w:val="left"/>
              <w:rPr>
                <w:rFonts w:cstheme="minorHAnsi"/>
              </w:rPr>
            </w:pPr>
            <w:r>
              <w:rPr>
                <w:rFonts w:cstheme="minorHAnsi"/>
              </w:rPr>
              <w:t>Independent scientific review. Moratorium on fracking.</w:t>
            </w:r>
          </w:p>
        </w:tc>
      </w:tr>
    </w:tbl>
    <w:p w:rsidR="00050ED5" w:rsidRDefault="00050ED5" w:rsidP="00050ED5">
      <w:pPr>
        <w:pStyle w:val="CGCTableFootnote"/>
      </w:pPr>
      <w:r>
        <w:t>Source:</w:t>
      </w:r>
      <w:r>
        <w:tab/>
        <w:t>The Australian, Wednesday 8 February, 2017, page 11.</w:t>
      </w:r>
    </w:p>
    <w:p w:rsidR="00050ED5" w:rsidRDefault="00050ED5" w:rsidP="00050ED5">
      <w:pPr>
        <w:pStyle w:val="Heading4"/>
      </w:pPr>
      <w:bookmarkStart w:id="15" w:name="_Toc482337814"/>
      <w:r>
        <w:t>Have other minerals become material?</w:t>
      </w:r>
      <w:bookmarkEnd w:id="15"/>
    </w:p>
    <w:p w:rsidR="00050ED5" w:rsidRDefault="00050ED5" w:rsidP="00050ED5">
      <w:pPr>
        <w:pStyle w:val="CGCNumberedPara"/>
        <w:numPr>
          <w:ilvl w:val="1"/>
          <w:numId w:val="3"/>
        </w:numPr>
      </w:pPr>
      <w:r>
        <w:t xml:space="preserve">There is no evidence that </w:t>
      </w:r>
      <w:r w:rsidR="00E4585C">
        <w:t>an</w:t>
      </w:r>
      <w:r>
        <w:t>other m</w:t>
      </w:r>
      <w:r w:rsidR="00834BD3">
        <w:t>ineral</w:t>
      </w:r>
      <w:r w:rsidR="00E4585C">
        <w:t xml:space="preserve"> ha</w:t>
      </w:r>
      <w:r w:rsidR="00834BD3">
        <w:t>s</w:t>
      </w:r>
      <w:r>
        <w:t xml:space="preserve"> become material</w:t>
      </w:r>
      <w:r w:rsidR="00CC590C">
        <w:t xml:space="preserve"> enough to be separately assessed</w:t>
      </w:r>
      <w:r>
        <w:t>.</w:t>
      </w:r>
      <w:r w:rsidR="00CC590C">
        <w:rPr>
          <w:rStyle w:val="FootnoteReference"/>
        </w:rPr>
        <w:footnoteReference w:id="8"/>
      </w:r>
      <w:r>
        <w:t xml:space="preserve"> </w:t>
      </w:r>
    </w:p>
    <w:p w:rsidR="00050ED5" w:rsidRDefault="00050ED5" w:rsidP="00050ED5">
      <w:pPr>
        <w:pStyle w:val="CGCNumberedPara"/>
        <w:numPr>
          <w:ilvl w:val="1"/>
          <w:numId w:val="3"/>
        </w:numPr>
      </w:pPr>
      <w:r>
        <w:lastRenderedPageBreak/>
        <w:t>A separate assessment of CSG is not currently material. Queensland’s 2016</w:t>
      </w:r>
      <w:r>
        <w:noBreakHyphen/>
        <w:t>17 Mid</w:t>
      </w:r>
      <w:r w:rsidR="00927E35">
        <w:noBreakHyphen/>
      </w:r>
      <w:r>
        <w:t>Year Fiscal and Economic Review projects its petroleum royalties (which include CSG) to increase from $36 million to $250 million over the next five years. Commission staff will monitor the materiality of separately assessing CSG.</w:t>
      </w:r>
      <w:r w:rsidRPr="00981261">
        <w:t xml:space="preserve"> </w:t>
      </w:r>
    </w:p>
    <w:p w:rsidR="00050ED5" w:rsidRDefault="00050ED5" w:rsidP="00050ED5">
      <w:pPr>
        <w:pStyle w:val="CGCNumberedPara"/>
        <w:numPr>
          <w:ilvl w:val="1"/>
          <w:numId w:val="3"/>
        </w:numPr>
      </w:pPr>
      <w:r>
        <w:t xml:space="preserve">Royalties from uranium mining are around $11 million per annum and are assessed in the </w:t>
      </w:r>
      <w:proofErr w:type="gramStart"/>
      <w:r>
        <w:t>Other</w:t>
      </w:r>
      <w:proofErr w:type="gramEnd"/>
      <w:r>
        <w:t xml:space="preserve"> minerals component. A separate assessment is not currently material.</w:t>
      </w:r>
    </w:p>
    <w:p w:rsidR="00050ED5" w:rsidRDefault="00050ED5" w:rsidP="00050ED5">
      <w:pPr>
        <w:pStyle w:val="Heading4"/>
      </w:pPr>
      <w:bookmarkStart w:id="16" w:name="_Toc482337815"/>
      <w:r>
        <w:t>Is the revenue base consistent with average policy?</w:t>
      </w:r>
      <w:bookmarkEnd w:id="16"/>
    </w:p>
    <w:p w:rsidR="00050ED5" w:rsidRDefault="00050ED5" w:rsidP="00050ED5">
      <w:pPr>
        <w:pStyle w:val="CGCNumberedPara"/>
        <w:numPr>
          <w:ilvl w:val="1"/>
          <w:numId w:val="3"/>
        </w:numPr>
      </w:pPr>
      <w:r>
        <w:t xml:space="preserve">In the 2015 Review, the Commission said its mineral by mineral approach was consistent with average policy. Nevertheless, there are two </w:t>
      </w:r>
      <w:r w:rsidR="003504BE">
        <w:t xml:space="preserve">cases </w:t>
      </w:r>
      <w:r>
        <w:t xml:space="preserve">of constructing the average policy that it </w:t>
      </w:r>
      <w:r w:rsidR="00367BD3">
        <w:t>may revisit</w:t>
      </w:r>
      <w:r w:rsidR="008F5AB7">
        <w:t xml:space="preserve"> as part of the next review:</w:t>
      </w:r>
    </w:p>
    <w:p w:rsidR="00050ED5" w:rsidRDefault="00367BD3" w:rsidP="00050ED5">
      <w:pPr>
        <w:pStyle w:val="CGCBulletlist"/>
        <w:numPr>
          <w:ilvl w:val="0"/>
          <w:numId w:val="1"/>
        </w:numPr>
        <w:tabs>
          <w:tab w:val="clear" w:pos="927"/>
        </w:tabs>
        <w:ind w:left="1134" w:hanging="567"/>
      </w:pPr>
      <w:r>
        <w:t>w</w:t>
      </w:r>
      <w:r w:rsidR="00050ED5">
        <w:t>hen a State dominates a tax base</w:t>
      </w:r>
    </w:p>
    <w:p w:rsidR="00050ED5" w:rsidRDefault="00367BD3" w:rsidP="00050ED5">
      <w:pPr>
        <w:pStyle w:val="CGCBulletlist"/>
        <w:numPr>
          <w:ilvl w:val="0"/>
          <w:numId w:val="1"/>
        </w:numPr>
        <w:tabs>
          <w:tab w:val="clear" w:pos="927"/>
        </w:tabs>
        <w:ind w:left="1134" w:hanging="567"/>
      </w:pPr>
      <w:proofErr w:type="gramStart"/>
      <w:r>
        <w:t>w</w:t>
      </w:r>
      <w:r w:rsidR="00050ED5">
        <w:t>hen</w:t>
      </w:r>
      <w:proofErr w:type="gramEnd"/>
      <w:r w:rsidR="00050ED5">
        <w:t xml:space="preserve"> a State prohibits a tax base being accessed.</w:t>
      </w:r>
    </w:p>
    <w:p w:rsidR="00050ED5" w:rsidRDefault="00050ED5" w:rsidP="00050ED5">
      <w:pPr>
        <w:pStyle w:val="Heading5"/>
      </w:pPr>
      <w:r>
        <w:t>When a State dominates a tax base</w:t>
      </w:r>
    </w:p>
    <w:p w:rsidR="00050ED5" w:rsidRDefault="00050ED5" w:rsidP="00050ED5">
      <w:pPr>
        <w:pStyle w:val="CGCNumberedPara"/>
        <w:numPr>
          <w:ilvl w:val="1"/>
          <w:numId w:val="3"/>
        </w:numPr>
      </w:pPr>
      <w:r>
        <w:t xml:space="preserve">When a State dominates </w:t>
      </w:r>
      <w:r w:rsidR="009F1F9C">
        <w:t xml:space="preserve">the tax base for </w:t>
      </w:r>
      <w:r>
        <w:t xml:space="preserve">a mineral, its legislated rate </w:t>
      </w:r>
      <w:r w:rsidR="008F5AB7">
        <w:t xml:space="preserve">practically </w:t>
      </w:r>
      <w:r>
        <w:t xml:space="preserve">becomes the mineral’s effective rate and the State’s actual revenue </w:t>
      </w:r>
      <w:r w:rsidR="008F5AB7">
        <w:t xml:space="preserve">virtually </w:t>
      </w:r>
      <w:r>
        <w:t xml:space="preserve">becomes its assessed revenue. The implication is that there </w:t>
      </w:r>
      <w:r w:rsidR="003B0E7A">
        <w:t>may be</w:t>
      </w:r>
      <w:r>
        <w:t xml:space="preserve"> a negative incentive for the State to increase its royalty rate and a positive incentive for it to decrease its rates</w:t>
      </w:r>
      <w:r w:rsidR="00D80C7A">
        <w:t xml:space="preserve"> so as to affect its GST share</w:t>
      </w:r>
      <w:r>
        <w:t>.</w:t>
      </w:r>
    </w:p>
    <w:p w:rsidR="00050ED5" w:rsidRDefault="00050ED5" w:rsidP="00050ED5">
      <w:pPr>
        <w:pStyle w:val="Heading5"/>
      </w:pPr>
      <w:r>
        <w:t>When a State prohibits a tax base being accessed</w:t>
      </w:r>
    </w:p>
    <w:p w:rsidR="00050ED5" w:rsidRDefault="00050ED5" w:rsidP="00050ED5">
      <w:pPr>
        <w:pStyle w:val="CGCNumberedPara"/>
        <w:numPr>
          <w:ilvl w:val="1"/>
          <w:numId w:val="3"/>
        </w:numPr>
      </w:pPr>
      <w:r>
        <w:t xml:space="preserve">At times, State governments impose bans or moratoriums on exploration and mining. States mostly cite environmental reasons for imposing a ban. </w:t>
      </w:r>
    </w:p>
    <w:p w:rsidR="00050ED5" w:rsidRDefault="00050ED5" w:rsidP="00050ED5">
      <w:pPr>
        <w:pStyle w:val="CGCNumberedPara"/>
        <w:numPr>
          <w:ilvl w:val="1"/>
          <w:numId w:val="3"/>
        </w:numPr>
      </w:pPr>
      <w:r>
        <w:t>In the 2015 Review, States were assessed to have no capacity in relation to any banned activity. This is consistent with treating bans on environmental grounds as average policy.</w:t>
      </w:r>
      <w:r w:rsidRPr="00AF60C5">
        <w:t xml:space="preserve"> </w:t>
      </w:r>
      <w:r>
        <w:t xml:space="preserve">In the 2017 Update, Queensland said bans in other States meant it was being penalised for permitting CSG production. </w:t>
      </w:r>
      <w:r w:rsidR="00E4585C">
        <w:t>Western Australia also made a similar claim. The existing m</w:t>
      </w:r>
      <w:r>
        <w:t>oratoriums and bans do not currently have a material effect on the relevant State’s assessed mining capacity.</w:t>
      </w:r>
      <w:r w:rsidR="004C405D">
        <w:t xml:space="preserve"> </w:t>
      </w:r>
    </w:p>
    <w:p w:rsidR="00050ED5" w:rsidRDefault="00050ED5" w:rsidP="00050ED5">
      <w:pPr>
        <w:pStyle w:val="CGCNumberedPara"/>
        <w:numPr>
          <w:ilvl w:val="1"/>
          <w:numId w:val="3"/>
        </w:numPr>
      </w:pPr>
      <w:r>
        <w:t>As part of the 2020 Review, the Commission will reconsider what average policy is</w:t>
      </w:r>
      <w:r w:rsidR="000B5BE4">
        <w:t xml:space="preserve"> in the case </w:t>
      </w:r>
      <w:r>
        <w:t>whe</w:t>
      </w:r>
      <w:r w:rsidR="000B5BE4">
        <w:t>re</w:t>
      </w:r>
      <w:r>
        <w:t xml:space="preserve"> </w:t>
      </w:r>
      <w:r w:rsidR="000B5BE4">
        <w:t xml:space="preserve">exploitation of a </w:t>
      </w:r>
      <w:r>
        <w:t>mineral</w:t>
      </w:r>
      <w:r w:rsidR="000B5BE4">
        <w:t xml:space="preserve"> is</w:t>
      </w:r>
      <w:r>
        <w:t xml:space="preserve"> banned in a State. This could involve the Commission estimating the missing capacity, assessing no capacity for the State that bans a mineral (the current approach) or assessing no capacity for any State for the banned mineral. In considering this issue the Commission will need to balance the competing supporting principles of policy neutrality and fiscal capacity.</w:t>
      </w:r>
      <w:r w:rsidRPr="00E24BAA">
        <w:t xml:space="preserve"> </w:t>
      </w:r>
      <w:r>
        <w:t>The issue would become more pressing if a</w:t>
      </w:r>
      <w:r w:rsidR="00E4585C">
        <w:t>n existing moratorium or</w:t>
      </w:r>
      <w:r>
        <w:t xml:space="preserve"> ban were to become material.</w:t>
      </w:r>
    </w:p>
    <w:p w:rsidR="003B0E7A" w:rsidRDefault="003B0E7A" w:rsidP="003B0E7A">
      <w:pPr>
        <w:pStyle w:val="Heading3"/>
      </w:pPr>
      <w:bookmarkStart w:id="17" w:name="_Toc482337816"/>
      <w:r>
        <w:lastRenderedPageBreak/>
        <w:t>CONCLUSION</w:t>
      </w:r>
      <w:bookmarkEnd w:id="17"/>
    </w:p>
    <w:p w:rsidR="003B0E7A" w:rsidRPr="00F80FFB" w:rsidRDefault="003B0E7A" w:rsidP="003B0E7A">
      <w:pPr>
        <w:pStyle w:val="CGCNumberedPara"/>
        <w:numPr>
          <w:ilvl w:val="1"/>
          <w:numId w:val="3"/>
        </w:numPr>
      </w:pPr>
      <w:r>
        <w:t xml:space="preserve">In its 2015 Review report, </w:t>
      </w:r>
      <w:r>
        <w:rPr>
          <w:szCs w:val="22"/>
        </w:rPr>
        <w:t xml:space="preserve">the Commission said it would </w:t>
      </w:r>
      <w:r w:rsidRPr="00A84981">
        <w:rPr>
          <w:szCs w:val="22"/>
        </w:rPr>
        <w:t>monitor State mining policies</w:t>
      </w:r>
      <w:r>
        <w:rPr>
          <w:szCs w:val="22"/>
        </w:rPr>
        <w:t>:</w:t>
      </w:r>
    </w:p>
    <w:p w:rsidR="003B0E7A" w:rsidRDefault="003B0E7A" w:rsidP="003B0E7A">
      <w:pPr>
        <w:pStyle w:val="CGCBulletlist"/>
        <w:numPr>
          <w:ilvl w:val="0"/>
          <w:numId w:val="1"/>
        </w:numPr>
        <w:tabs>
          <w:tab w:val="clear" w:pos="927"/>
        </w:tabs>
        <w:ind w:left="1134" w:hanging="567"/>
      </w:pPr>
      <w:r>
        <w:t>to ensure its mineral by mineral assessment was not influencing State behaviour</w:t>
      </w:r>
    </w:p>
    <w:p w:rsidR="003B0E7A" w:rsidRDefault="003B0E7A" w:rsidP="003B0E7A">
      <w:pPr>
        <w:pStyle w:val="CGCBulletlist"/>
        <w:numPr>
          <w:ilvl w:val="0"/>
          <w:numId w:val="1"/>
        </w:numPr>
        <w:tabs>
          <w:tab w:val="clear" w:pos="927"/>
        </w:tabs>
        <w:ind w:left="1134" w:hanging="567"/>
      </w:pPr>
      <w:r>
        <w:t>to check whether other minerals, such as coal seam gas, became material, requiring a change to the minerals separately assessed</w:t>
      </w:r>
    </w:p>
    <w:p w:rsidR="003B0E7A" w:rsidRPr="00F80FFB" w:rsidRDefault="003B0E7A" w:rsidP="003B0E7A">
      <w:pPr>
        <w:pStyle w:val="CGCBulletlist"/>
        <w:numPr>
          <w:ilvl w:val="0"/>
          <w:numId w:val="1"/>
        </w:numPr>
        <w:tabs>
          <w:tab w:val="clear" w:pos="927"/>
        </w:tabs>
        <w:ind w:left="1134" w:hanging="567"/>
      </w:pPr>
      <w:proofErr w:type="gramStart"/>
      <w:r>
        <w:t>to</w:t>
      </w:r>
      <w:proofErr w:type="gramEnd"/>
      <w:r>
        <w:t xml:space="preserve"> ensure the revenue base it observed with respect to say, coal seam gas, is consistent with average policy.</w:t>
      </w:r>
    </w:p>
    <w:p w:rsidR="00367BD3" w:rsidRDefault="003B0E7A" w:rsidP="003B0E7A">
      <w:pPr>
        <w:pStyle w:val="CGCNumberedPara"/>
        <w:numPr>
          <w:ilvl w:val="1"/>
          <w:numId w:val="3"/>
        </w:numPr>
      </w:pPr>
      <w:r>
        <w:t>The mineral by mineral assessment does not appear to have influenced State behaviour. There have been no legislated royalty rate changes</w:t>
      </w:r>
      <w:r w:rsidR="00367BD3">
        <w:t>, a</w:t>
      </w:r>
      <w:r>
        <w:t>lthough New South Wales</w:t>
      </w:r>
      <w:r w:rsidR="00367BD3">
        <w:t xml:space="preserve"> did</w:t>
      </w:r>
      <w:r>
        <w:t xml:space="preserve"> remove a concession. </w:t>
      </w:r>
    </w:p>
    <w:p w:rsidR="003B0E7A" w:rsidRDefault="003B0E7A" w:rsidP="003B0E7A">
      <w:pPr>
        <w:pStyle w:val="CGCNumberedPara"/>
        <w:numPr>
          <w:ilvl w:val="1"/>
          <w:numId w:val="3"/>
        </w:numPr>
      </w:pPr>
      <w:r>
        <w:t xml:space="preserve">None of </w:t>
      </w:r>
      <w:r w:rsidR="00D80C7A">
        <w:t xml:space="preserve">the </w:t>
      </w:r>
      <w:r>
        <w:t xml:space="preserve">minerals included in the </w:t>
      </w:r>
      <w:proofErr w:type="gramStart"/>
      <w:r w:rsidR="00367BD3">
        <w:t>Other</w:t>
      </w:r>
      <w:proofErr w:type="gramEnd"/>
      <w:r w:rsidR="00367BD3">
        <w:t xml:space="preserve"> mineral component have become material enough to be separately assessed. However, Queensland has forecast a big increase in its royalties from C</w:t>
      </w:r>
      <w:r w:rsidR="00E4585C">
        <w:t>SG</w:t>
      </w:r>
      <w:r w:rsidR="00367BD3">
        <w:t>. Commission staff will continue to monitor developments in this area.</w:t>
      </w:r>
    </w:p>
    <w:p w:rsidR="00367BD3" w:rsidRDefault="00367BD3" w:rsidP="00367BD3">
      <w:pPr>
        <w:pStyle w:val="CGCNumberedPara"/>
        <w:numPr>
          <w:ilvl w:val="1"/>
          <w:numId w:val="3"/>
        </w:numPr>
      </w:pPr>
      <w:r>
        <w:t>The Commission said that the mineral by mineral approach was consistent with average policy. Nevertheless, there are two cases of constructing average policy that it may revisit as part of the next re</w:t>
      </w:r>
      <w:r w:rsidR="008F5AB7">
        <w:t>view:</w:t>
      </w:r>
      <w:bookmarkStart w:id="18" w:name="_GoBack"/>
      <w:bookmarkEnd w:id="18"/>
    </w:p>
    <w:p w:rsidR="00367BD3" w:rsidRDefault="00367BD3" w:rsidP="00367BD3">
      <w:pPr>
        <w:pStyle w:val="CGCBulletlist"/>
        <w:numPr>
          <w:ilvl w:val="0"/>
          <w:numId w:val="1"/>
        </w:numPr>
        <w:tabs>
          <w:tab w:val="clear" w:pos="927"/>
        </w:tabs>
        <w:ind w:left="1134" w:hanging="567"/>
      </w:pPr>
      <w:r>
        <w:t>when a State dominates a tax base</w:t>
      </w:r>
    </w:p>
    <w:p w:rsidR="00367BD3" w:rsidRDefault="00367BD3" w:rsidP="00367BD3">
      <w:pPr>
        <w:pStyle w:val="CGCBulletlist"/>
        <w:numPr>
          <w:ilvl w:val="0"/>
          <w:numId w:val="1"/>
        </w:numPr>
        <w:tabs>
          <w:tab w:val="clear" w:pos="927"/>
        </w:tabs>
        <w:ind w:left="1134" w:hanging="567"/>
      </w:pPr>
      <w:proofErr w:type="gramStart"/>
      <w:r>
        <w:t>when</w:t>
      </w:r>
      <w:proofErr w:type="gramEnd"/>
      <w:r>
        <w:t xml:space="preserve"> a State prohibits a tax base being accessed.</w:t>
      </w:r>
    </w:p>
    <w:p w:rsidR="003B0E7A" w:rsidRPr="00C21EF9" w:rsidRDefault="003B0E7A" w:rsidP="003B0E7A">
      <w:pPr>
        <w:pStyle w:val="CGCNumberedPara"/>
        <w:numPr>
          <w:ilvl w:val="0"/>
          <w:numId w:val="0"/>
        </w:numPr>
        <w:ind w:left="567" w:hanging="567"/>
      </w:pPr>
    </w:p>
    <w:sectPr w:rsidR="003B0E7A" w:rsidRPr="00C21EF9" w:rsidSect="00734A83">
      <w:footerReference w:type="default" r:id="rId17"/>
      <w:footerReference w:type="first" r:id="rId18"/>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3C" w:rsidRDefault="004E7F3C">
      <w:r>
        <w:separator/>
      </w:r>
    </w:p>
  </w:endnote>
  <w:endnote w:type="continuationSeparator" w:id="0">
    <w:p w:rsidR="004E7F3C" w:rsidRDefault="004E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D5" w:rsidRPr="00875C0F" w:rsidRDefault="00050ED5" w:rsidP="00C80C3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D5" w:rsidRPr="00875C0F" w:rsidRDefault="00050ED5" w:rsidP="00C80C39">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rsidR="00050ED5" w:rsidRPr="00875C0F" w:rsidRDefault="008F5AB7" w:rsidP="00C80C39">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D5" w:rsidRPr="001E2A9C" w:rsidRDefault="00050ED5" w:rsidP="00C80C39">
    <w:pPr>
      <w:pStyle w:val="Footer"/>
      <w:jc w:val="right"/>
    </w:pPr>
    <w:r>
      <w:fldChar w:fldCharType="begin"/>
    </w:r>
    <w:r>
      <w:instrText xml:space="preserve"> PAGE   \* MERGEFORMAT </w:instrText>
    </w:r>
    <w:r>
      <w:fldChar w:fldCharType="separate"/>
    </w:r>
    <w:r w:rsidR="008F5AB7">
      <w:rPr>
        <w:noProof/>
      </w:rPr>
      <w:t>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8F5AB7">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8F5AB7"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3C" w:rsidRDefault="004E7F3C">
      <w:r>
        <w:separator/>
      </w:r>
    </w:p>
  </w:footnote>
  <w:footnote w:type="continuationSeparator" w:id="0">
    <w:p w:rsidR="004E7F3C" w:rsidRDefault="004E7F3C">
      <w:r>
        <w:continuationSeparator/>
      </w:r>
    </w:p>
  </w:footnote>
  <w:footnote w:id="1">
    <w:p w:rsidR="00464637" w:rsidRDefault="00464637">
      <w:pPr>
        <w:pStyle w:val="FootnoteText"/>
      </w:pPr>
      <w:r>
        <w:rPr>
          <w:rStyle w:val="FootnoteReference"/>
        </w:rPr>
        <w:footnoteRef/>
      </w:r>
      <w:r>
        <w:t xml:space="preserve"> </w:t>
      </w:r>
      <w:r>
        <w:tab/>
        <w:t xml:space="preserve">The GST Distribution Review was established by the Commonwealth Treasurer in May 2011, comprising a Panel including Messrs Brumby, Carter and Greiner. The Panel provided its </w:t>
      </w:r>
      <w:r w:rsidR="00602621">
        <w:t>Final Report to the Treasurer in October 2012.</w:t>
      </w:r>
      <w:r>
        <w:t xml:space="preserve"> </w:t>
      </w:r>
    </w:p>
  </w:footnote>
  <w:footnote w:id="2">
    <w:p w:rsidR="00602621" w:rsidRDefault="00602621" w:rsidP="00602621">
      <w:pPr>
        <w:pStyle w:val="FootnoteText"/>
      </w:pPr>
      <w:r>
        <w:rPr>
          <w:rStyle w:val="FootnoteReference"/>
        </w:rPr>
        <w:footnoteRef/>
      </w:r>
      <w:r>
        <w:t xml:space="preserve"> </w:t>
      </w:r>
      <w:r>
        <w:tab/>
        <w:t>GST Distribution Review, Final Report, October 2012, page 111.</w:t>
      </w:r>
    </w:p>
  </w:footnote>
  <w:footnote w:id="3">
    <w:p w:rsidR="00602621" w:rsidRDefault="00602621" w:rsidP="00602621">
      <w:pPr>
        <w:pStyle w:val="FootnoteText"/>
      </w:pPr>
      <w:r>
        <w:rPr>
          <w:rStyle w:val="FootnoteReference"/>
        </w:rPr>
        <w:footnoteRef/>
      </w:r>
      <w:r>
        <w:t xml:space="preserve"> </w:t>
      </w:r>
      <w:r>
        <w:tab/>
        <w:t xml:space="preserve">The individually assessed minerals were </w:t>
      </w:r>
      <w:r w:rsidRPr="003779CC">
        <w:rPr>
          <w:szCs w:val="22"/>
        </w:rPr>
        <w:t>iron ore, coal, gold, onshore oil and gas, copper, bauxite and nickel</w:t>
      </w:r>
      <w:r>
        <w:rPr>
          <w:szCs w:val="22"/>
        </w:rPr>
        <w:t>.</w:t>
      </w:r>
    </w:p>
  </w:footnote>
  <w:footnote w:id="4">
    <w:p w:rsidR="00050ED5" w:rsidRDefault="00050ED5" w:rsidP="00050ED5">
      <w:pPr>
        <w:pStyle w:val="FootnoteText"/>
      </w:pPr>
      <w:r>
        <w:rPr>
          <w:rStyle w:val="FootnoteReference"/>
        </w:rPr>
        <w:footnoteRef/>
      </w:r>
      <w:r>
        <w:t xml:space="preserve"> </w:t>
      </w:r>
      <w:r>
        <w:tab/>
        <w:t>Report on GST Revenue Sharing Relativities, 2015 Review, Volume 1, page 12, paragraph 30.</w:t>
      </w:r>
    </w:p>
  </w:footnote>
  <w:footnote w:id="5">
    <w:p w:rsidR="00C75AD3" w:rsidRDefault="00C75AD3" w:rsidP="00C75AD3">
      <w:pPr>
        <w:pStyle w:val="FootnoteText"/>
      </w:pPr>
      <w:r>
        <w:rPr>
          <w:rStyle w:val="FootnoteReference"/>
        </w:rPr>
        <w:footnoteRef/>
      </w:r>
      <w:r>
        <w:t xml:space="preserve"> </w:t>
      </w:r>
      <w:r>
        <w:tab/>
        <w:t>See</w:t>
      </w:r>
      <w:r w:rsidR="008F5AB7">
        <w:t xml:space="preserve"> the </w:t>
      </w:r>
      <w:hyperlink r:id="rId1" w:history="1">
        <w:r w:rsidR="008F5AB7" w:rsidRPr="008F5AB7">
          <w:rPr>
            <w:rStyle w:val="Hyperlink"/>
          </w:rPr>
          <w:t>Western Australian Treasury website</w:t>
        </w:r>
      </w:hyperlink>
      <w:r w:rsidR="008F5AB7">
        <w:t xml:space="preserve"> (</w:t>
      </w:r>
      <w:r w:rsidR="008F5AB7" w:rsidRPr="008F5AB7">
        <w:t>www.treasury.wa.gov.au/Treasury/Publications/State_Taxes/</w:t>
      </w:r>
      <w:r w:rsidR="008F5AB7">
        <w:t>).</w:t>
      </w:r>
    </w:p>
  </w:footnote>
  <w:footnote w:id="6">
    <w:p w:rsidR="006218DF" w:rsidRDefault="006218DF">
      <w:pPr>
        <w:pStyle w:val="FootnoteText"/>
      </w:pPr>
      <w:r>
        <w:rPr>
          <w:rStyle w:val="FootnoteReference"/>
        </w:rPr>
        <w:footnoteRef/>
      </w:r>
      <w:r>
        <w:t xml:space="preserve"> </w:t>
      </w:r>
      <w:r>
        <w:tab/>
        <w:t>Under clause 12AA in Part 3 of the Act the significance of the resource was to be the consent authority’s principal consideration.</w:t>
      </w:r>
    </w:p>
  </w:footnote>
  <w:footnote w:id="7">
    <w:p w:rsidR="00050ED5" w:rsidRDefault="00050ED5" w:rsidP="00050ED5">
      <w:pPr>
        <w:pStyle w:val="FootnoteText"/>
      </w:pPr>
      <w:r>
        <w:rPr>
          <w:rStyle w:val="FootnoteReference"/>
        </w:rPr>
        <w:footnoteRef/>
      </w:r>
      <w:r>
        <w:t xml:space="preserve"> </w:t>
      </w:r>
      <w:r>
        <w:tab/>
        <w:t xml:space="preserve">The new government will allow three uranium mines approved by the preceding government to proceed. </w:t>
      </w:r>
      <w:r w:rsidR="008F5AB7">
        <w:t xml:space="preserve">See the </w:t>
      </w:r>
      <w:hyperlink r:id="rId2" w:history="1">
        <w:r w:rsidR="008F5AB7" w:rsidRPr="008F5AB7">
          <w:rPr>
            <w:rStyle w:val="Hyperlink"/>
          </w:rPr>
          <w:t>ABC website</w:t>
        </w:r>
      </w:hyperlink>
      <w:r w:rsidR="008F5AB7">
        <w:t xml:space="preserve"> (</w:t>
      </w:r>
      <w:r w:rsidR="008F5AB7" w:rsidRPr="008F5AB7">
        <w:t>www.abc.net.au/news/2017-03-27/uranium-mines-will-be-allowed-to-proceed-labor-minister-confirms/8389622</w:t>
      </w:r>
      <w:r w:rsidR="008F5AB7">
        <w:t>).</w:t>
      </w:r>
    </w:p>
  </w:footnote>
  <w:footnote w:id="8">
    <w:p w:rsidR="00CC590C" w:rsidRDefault="00CC590C">
      <w:pPr>
        <w:pStyle w:val="FootnoteText"/>
      </w:pPr>
      <w:r>
        <w:rPr>
          <w:rStyle w:val="FootnoteReference"/>
        </w:rPr>
        <w:footnoteRef/>
      </w:r>
      <w:r>
        <w:t xml:space="preserve"> </w:t>
      </w:r>
      <w:r>
        <w:tab/>
        <w:t xml:space="preserve">In its 2015 Review report, the Commission said it would monitor the minerals that are not separately assessed. It would test whether any of them had become sufficiently large to warrant being separately assessed. Compared with the existing assessment, a separate assessment of a mineral would need to change at least one State’s GST shares by $30 per capita to be considered to be material.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D5" w:rsidRDefault="00050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3C"/>
    <w:rsid w:val="00016FE0"/>
    <w:rsid w:val="00022EA9"/>
    <w:rsid w:val="00024745"/>
    <w:rsid w:val="00032F41"/>
    <w:rsid w:val="0004123E"/>
    <w:rsid w:val="00041748"/>
    <w:rsid w:val="00041E84"/>
    <w:rsid w:val="00042234"/>
    <w:rsid w:val="000424EA"/>
    <w:rsid w:val="00050ED5"/>
    <w:rsid w:val="00056373"/>
    <w:rsid w:val="00061111"/>
    <w:rsid w:val="000624BB"/>
    <w:rsid w:val="000648E8"/>
    <w:rsid w:val="00093796"/>
    <w:rsid w:val="000A3898"/>
    <w:rsid w:val="000A52A1"/>
    <w:rsid w:val="000B2942"/>
    <w:rsid w:val="000B3557"/>
    <w:rsid w:val="000B5BE4"/>
    <w:rsid w:val="000B64E3"/>
    <w:rsid w:val="000C4B36"/>
    <w:rsid w:val="000D1354"/>
    <w:rsid w:val="000D7C54"/>
    <w:rsid w:val="000E0210"/>
    <w:rsid w:val="000E6AA5"/>
    <w:rsid w:val="000E7F56"/>
    <w:rsid w:val="000F1CDA"/>
    <w:rsid w:val="001039C2"/>
    <w:rsid w:val="001040AD"/>
    <w:rsid w:val="0011178C"/>
    <w:rsid w:val="00112CF0"/>
    <w:rsid w:val="001162EB"/>
    <w:rsid w:val="001211AB"/>
    <w:rsid w:val="001218B8"/>
    <w:rsid w:val="00124ED1"/>
    <w:rsid w:val="00136497"/>
    <w:rsid w:val="00141BD1"/>
    <w:rsid w:val="001441DA"/>
    <w:rsid w:val="00147115"/>
    <w:rsid w:val="001477CE"/>
    <w:rsid w:val="0016723A"/>
    <w:rsid w:val="00170DC9"/>
    <w:rsid w:val="00171A05"/>
    <w:rsid w:val="00172F3A"/>
    <w:rsid w:val="001730FD"/>
    <w:rsid w:val="00173798"/>
    <w:rsid w:val="00173BE6"/>
    <w:rsid w:val="00173E72"/>
    <w:rsid w:val="00177C2B"/>
    <w:rsid w:val="001807C0"/>
    <w:rsid w:val="001811DE"/>
    <w:rsid w:val="00187145"/>
    <w:rsid w:val="0018734F"/>
    <w:rsid w:val="001957BF"/>
    <w:rsid w:val="001A4336"/>
    <w:rsid w:val="001B0110"/>
    <w:rsid w:val="001B3048"/>
    <w:rsid w:val="001B696E"/>
    <w:rsid w:val="001B6A56"/>
    <w:rsid w:val="001C469B"/>
    <w:rsid w:val="001C6A71"/>
    <w:rsid w:val="001D638B"/>
    <w:rsid w:val="001D6DFA"/>
    <w:rsid w:val="001E6180"/>
    <w:rsid w:val="001E674B"/>
    <w:rsid w:val="001E68FC"/>
    <w:rsid w:val="001E72B6"/>
    <w:rsid w:val="001F4F5A"/>
    <w:rsid w:val="00204026"/>
    <w:rsid w:val="00212948"/>
    <w:rsid w:val="00217839"/>
    <w:rsid w:val="00225A3B"/>
    <w:rsid w:val="0023081D"/>
    <w:rsid w:val="0023329C"/>
    <w:rsid w:val="00236DC0"/>
    <w:rsid w:val="002373A2"/>
    <w:rsid w:val="00242517"/>
    <w:rsid w:val="0024260B"/>
    <w:rsid w:val="0024401F"/>
    <w:rsid w:val="0024569B"/>
    <w:rsid w:val="00255B5A"/>
    <w:rsid w:val="00262AD6"/>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04BE"/>
    <w:rsid w:val="003522E0"/>
    <w:rsid w:val="0035267F"/>
    <w:rsid w:val="0035580D"/>
    <w:rsid w:val="003639FB"/>
    <w:rsid w:val="00363BF7"/>
    <w:rsid w:val="00367BD3"/>
    <w:rsid w:val="00382AE5"/>
    <w:rsid w:val="00387DD2"/>
    <w:rsid w:val="003929D2"/>
    <w:rsid w:val="00393E3E"/>
    <w:rsid w:val="00393FA5"/>
    <w:rsid w:val="003A27BB"/>
    <w:rsid w:val="003A5B26"/>
    <w:rsid w:val="003B0E7A"/>
    <w:rsid w:val="003B673D"/>
    <w:rsid w:val="003C2577"/>
    <w:rsid w:val="003C4448"/>
    <w:rsid w:val="003D22D2"/>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64637"/>
    <w:rsid w:val="00472461"/>
    <w:rsid w:val="004809B8"/>
    <w:rsid w:val="004821B9"/>
    <w:rsid w:val="00491D88"/>
    <w:rsid w:val="0049605C"/>
    <w:rsid w:val="004965F7"/>
    <w:rsid w:val="004A7048"/>
    <w:rsid w:val="004B0A0A"/>
    <w:rsid w:val="004B1C4B"/>
    <w:rsid w:val="004B60CB"/>
    <w:rsid w:val="004C1CB5"/>
    <w:rsid w:val="004C405D"/>
    <w:rsid w:val="004D4452"/>
    <w:rsid w:val="004E769A"/>
    <w:rsid w:val="004E7F3C"/>
    <w:rsid w:val="00500ACD"/>
    <w:rsid w:val="00504061"/>
    <w:rsid w:val="00505BAE"/>
    <w:rsid w:val="00506956"/>
    <w:rsid w:val="00515380"/>
    <w:rsid w:val="005176CA"/>
    <w:rsid w:val="00532D10"/>
    <w:rsid w:val="00537A77"/>
    <w:rsid w:val="00541A14"/>
    <w:rsid w:val="00543F9C"/>
    <w:rsid w:val="00546D39"/>
    <w:rsid w:val="00550E84"/>
    <w:rsid w:val="00551368"/>
    <w:rsid w:val="005577B0"/>
    <w:rsid w:val="00562084"/>
    <w:rsid w:val="00570EED"/>
    <w:rsid w:val="005716FC"/>
    <w:rsid w:val="00575DEF"/>
    <w:rsid w:val="00583A33"/>
    <w:rsid w:val="005867D2"/>
    <w:rsid w:val="00592B45"/>
    <w:rsid w:val="005963CC"/>
    <w:rsid w:val="00596E19"/>
    <w:rsid w:val="005A0584"/>
    <w:rsid w:val="005A241E"/>
    <w:rsid w:val="005A6FED"/>
    <w:rsid w:val="005B1BC4"/>
    <w:rsid w:val="005B6894"/>
    <w:rsid w:val="005B7121"/>
    <w:rsid w:val="005C13B2"/>
    <w:rsid w:val="005C27E3"/>
    <w:rsid w:val="005C37CB"/>
    <w:rsid w:val="005C459C"/>
    <w:rsid w:val="005D1A9F"/>
    <w:rsid w:val="005D52FA"/>
    <w:rsid w:val="005E266F"/>
    <w:rsid w:val="005E5734"/>
    <w:rsid w:val="005E73CE"/>
    <w:rsid w:val="005F07DC"/>
    <w:rsid w:val="005F2CDD"/>
    <w:rsid w:val="005F64FB"/>
    <w:rsid w:val="0060251E"/>
    <w:rsid w:val="00602621"/>
    <w:rsid w:val="00602DDE"/>
    <w:rsid w:val="00611737"/>
    <w:rsid w:val="00614BD2"/>
    <w:rsid w:val="00614DE8"/>
    <w:rsid w:val="006218DF"/>
    <w:rsid w:val="0062238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4A83"/>
    <w:rsid w:val="007355A6"/>
    <w:rsid w:val="00740A71"/>
    <w:rsid w:val="007477C5"/>
    <w:rsid w:val="00747938"/>
    <w:rsid w:val="00761D69"/>
    <w:rsid w:val="00762AFB"/>
    <w:rsid w:val="00765BA8"/>
    <w:rsid w:val="00766007"/>
    <w:rsid w:val="00770A26"/>
    <w:rsid w:val="007872DA"/>
    <w:rsid w:val="007A1364"/>
    <w:rsid w:val="007A24A0"/>
    <w:rsid w:val="007A4AB2"/>
    <w:rsid w:val="007A5E68"/>
    <w:rsid w:val="007B1BF7"/>
    <w:rsid w:val="007C404B"/>
    <w:rsid w:val="007C4BAE"/>
    <w:rsid w:val="007C6F2E"/>
    <w:rsid w:val="007D1D3B"/>
    <w:rsid w:val="007D5960"/>
    <w:rsid w:val="007E114E"/>
    <w:rsid w:val="007E487F"/>
    <w:rsid w:val="007E4B2D"/>
    <w:rsid w:val="007E587D"/>
    <w:rsid w:val="007E6757"/>
    <w:rsid w:val="007E71E9"/>
    <w:rsid w:val="007F1873"/>
    <w:rsid w:val="007F1D06"/>
    <w:rsid w:val="008010D7"/>
    <w:rsid w:val="0080328C"/>
    <w:rsid w:val="00803443"/>
    <w:rsid w:val="0080680D"/>
    <w:rsid w:val="00810DB4"/>
    <w:rsid w:val="00812C05"/>
    <w:rsid w:val="0081322A"/>
    <w:rsid w:val="008162AB"/>
    <w:rsid w:val="00825380"/>
    <w:rsid w:val="00834BD3"/>
    <w:rsid w:val="00843E6F"/>
    <w:rsid w:val="00846E4A"/>
    <w:rsid w:val="00851AF5"/>
    <w:rsid w:val="00851FB5"/>
    <w:rsid w:val="00854DAA"/>
    <w:rsid w:val="008647DE"/>
    <w:rsid w:val="00864B95"/>
    <w:rsid w:val="0086502F"/>
    <w:rsid w:val="008800D3"/>
    <w:rsid w:val="00886CDD"/>
    <w:rsid w:val="008913EC"/>
    <w:rsid w:val="0089214D"/>
    <w:rsid w:val="00893C0D"/>
    <w:rsid w:val="008A20DA"/>
    <w:rsid w:val="008B5C8F"/>
    <w:rsid w:val="008B5F16"/>
    <w:rsid w:val="008B7722"/>
    <w:rsid w:val="008C0E5C"/>
    <w:rsid w:val="008C1AEA"/>
    <w:rsid w:val="008D348B"/>
    <w:rsid w:val="008E2BE4"/>
    <w:rsid w:val="008E6B4E"/>
    <w:rsid w:val="008E7970"/>
    <w:rsid w:val="008E7C34"/>
    <w:rsid w:val="008F0C36"/>
    <w:rsid w:val="008F377B"/>
    <w:rsid w:val="008F5AB7"/>
    <w:rsid w:val="00915512"/>
    <w:rsid w:val="009233CC"/>
    <w:rsid w:val="009240D8"/>
    <w:rsid w:val="0092523D"/>
    <w:rsid w:val="00927E35"/>
    <w:rsid w:val="00934F47"/>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B5A07"/>
    <w:rsid w:val="009C1E0B"/>
    <w:rsid w:val="009D545A"/>
    <w:rsid w:val="009D6D44"/>
    <w:rsid w:val="009E22FA"/>
    <w:rsid w:val="009E4744"/>
    <w:rsid w:val="009E4EC9"/>
    <w:rsid w:val="009E5D5A"/>
    <w:rsid w:val="009F1F9C"/>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85D0F"/>
    <w:rsid w:val="00A9681E"/>
    <w:rsid w:val="00AA007A"/>
    <w:rsid w:val="00AA1210"/>
    <w:rsid w:val="00AA35B4"/>
    <w:rsid w:val="00AA5AC3"/>
    <w:rsid w:val="00AB073E"/>
    <w:rsid w:val="00AB1A13"/>
    <w:rsid w:val="00AB4E9F"/>
    <w:rsid w:val="00AC210F"/>
    <w:rsid w:val="00AC319E"/>
    <w:rsid w:val="00AE3A1E"/>
    <w:rsid w:val="00AE734F"/>
    <w:rsid w:val="00AF2656"/>
    <w:rsid w:val="00AF5A71"/>
    <w:rsid w:val="00AF6110"/>
    <w:rsid w:val="00AF6AC6"/>
    <w:rsid w:val="00B00611"/>
    <w:rsid w:val="00B04354"/>
    <w:rsid w:val="00B249FC"/>
    <w:rsid w:val="00B317E7"/>
    <w:rsid w:val="00B33A57"/>
    <w:rsid w:val="00B34083"/>
    <w:rsid w:val="00B37728"/>
    <w:rsid w:val="00B439AC"/>
    <w:rsid w:val="00B45C64"/>
    <w:rsid w:val="00B46A32"/>
    <w:rsid w:val="00B46B29"/>
    <w:rsid w:val="00B53547"/>
    <w:rsid w:val="00B53597"/>
    <w:rsid w:val="00B55D3E"/>
    <w:rsid w:val="00B62590"/>
    <w:rsid w:val="00B6729F"/>
    <w:rsid w:val="00B706E2"/>
    <w:rsid w:val="00B82627"/>
    <w:rsid w:val="00B90AA7"/>
    <w:rsid w:val="00B94335"/>
    <w:rsid w:val="00BA38F6"/>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61F1C"/>
    <w:rsid w:val="00C719A2"/>
    <w:rsid w:val="00C72165"/>
    <w:rsid w:val="00C75AD3"/>
    <w:rsid w:val="00C83041"/>
    <w:rsid w:val="00C90B42"/>
    <w:rsid w:val="00C9475D"/>
    <w:rsid w:val="00C95056"/>
    <w:rsid w:val="00C951FD"/>
    <w:rsid w:val="00C95675"/>
    <w:rsid w:val="00CA7F28"/>
    <w:rsid w:val="00CB0768"/>
    <w:rsid w:val="00CB131F"/>
    <w:rsid w:val="00CB4DCD"/>
    <w:rsid w:val="00CB4F2D"/>
    <w:rsid w:val="00CC1690"/>
    <w:rsid w:val="00CC590C"/>
    <w:rsid w:val="00CC665A"/>
    <w:rsid w:val="00CE04A0"/>
    <w:rsid w:val="00CE34DC"/>
    <w:rsid w:val="00D07FB4"/>
    <w:rsid w:val="00D21FA8"/>
    <w:rsid w:val="00D236B7"/>
    <w:rsid w:val="00D23E48"/>
    <w:rsid w:val="00D244BE"/>
    <w:rsid w:val="00D43096"/>
    <w:rsid w:val="00D46AB2"/>
    <w:rsid w:val="00D47815"/>
    <w:rsid w:val="00D656EB"/>
    <w:rsid w:val="00D771FD"/>
    <w:rsid w:val="00D7796D"/>
    <w:rsid w:val="00D80C7A"/>
    <w:rsid w:val="00D81B18"/>
    <w:rsid w:val="00D83541"/>
    <w:rsid w:val="00D93A16"/>
    <w:rsid w:val="00D9496D"/>
    <w:rsid w:val="00DA0768"/>
    <w:rsid w:val="00DA161A"/>
    <w:rsid w:val="00DA5A94"/>
    <w:rsid w:val="00DB2355"/>
    <w:rsid w:val="00DB3BB4"/>
    <w:rsid w:val="00DC0F02"/>
    <w:rsid w:val="00DC0F8D"/>
    <w:rsid w:val="00DC2284"/>
    <w:rsid w:val="00DC3CA4"/>
    <w:rsid w:val="00DE1C0E"/>
    <w:rsid w:val="00DE4578"/>
    <w:rsid w:val="00DE79BE"/>
    <w:rsid w:val="00DF04EE"/>
    <w:rsid w:val="00DF3E35"/>
    <w:rsid w:val="00DF458F"/>
    <w:rsid w:val="00E03ED5"/>
    <w:rsid w:val="00E06243"/>
    <w:rsid w:val="00E07169"/>
    <w:rsid w:val="00E162A4"/>
    <w:rsid w:val="00E1688C"/>
    <w:rsid w:val="00E22665"/>
    <w:rsid w:val="00E30499"/>
    <w:rsid w:val="00E30B51"/>
    <w:rsid w:val="00E324BB"/>
    <w:rsid w:val="00E377E8"/>
    <w:rsid w:val="00E4178A"/>
    <w:rsid w:val="00E43464"/>
    <w:rsid w:val="00E4585C"/>
    <w:rsid w:val="00E47A69"/>
    <w:rsid w:val="00E51E73"/>
    <w:rsid w:val="00E571BB"/>
    <w:rsid w:val="00E74435"/>
    <w:rsid w:val="00E758AD"/>
    <w:rsid w:val="00E77D4E"/>
    <w:rsid w:val="00E91860"/>
    <w:rsid w:val="00E954B7"/>
    <w:rsid w:val="00E96FDB"/>
    <w:rsid w:val="00EA107B"/>
    <w:rsid w:val="00EB4A21"/>
    <w:rsid w:val="00EB6D31"/>
    <w:rsid w:val="00EC06CC"/>
    <w:rsid w:val="00EC16F1"/>
    <w:rsid w:val="00ED05D6"/>
    <w:rsid w:val="00ED0C6F"/>
    <w:rsid w:val="00ED2FCC"/>
    <w:rsid w:val="00EE5F75"/>
    <w:rsid w:val="00EF2722"/>
    <w:rsid w:val="00EF6805"/>
    <w:rsid w:val="00F00508"/>
    <w:rsid w:val="00F01E52"/>
    <w:rsid w:val="00F042DC"/>
    <w:rsid w:val="00F04309"/>
    <w:rsid w:val="00F07099"/>
    <w:rsid w:val="00F105EA"/>
    <w:rsid w:val="00F11117"/>
    <w:rsid w:val="00F12541"/>
    <w:rsid w:val="00F22035"/>
    <w:rsid w:val="00F22D18"/>
    <w:rsid w:val="00F36C87"/>
    <w:rsid w:val="00F46927"/>
    <w:rsid w:val="00F55854"/>
    <w:rsid w:val="00F56813"/>
    <w:rsid w:val="00F70110"/>
    <w:rsid w:val="00F711DA"/>
    <w:rsid w:val="00F72C93"/>
    <w:rsid w:val="00F80A88"/>
    <w:rsid w:val="00F823F5"/>
    <w:rsid w:val="00F9170D"/>
    <w:rsid w:val="00F94368"/>
    <w:rsid w:val="00F9494C"/>
    <w:rsid w:val="00FA15C8"/>
    <w:rsid w:val="00FA2D86"/>
    <w:rsid w:val="00FA348C"/>
    <w:rsid w:val="00FB0AD8"/>
    <w:rsid w:val="00FB4DBB"/>
    <w:rsid w:val="00FC5144"/>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DE1C0E"/>
    <w:pPr>
      <w:tabs>
        <w:tab w:val="clear" w:pos="567"/>
        <w:tab w:val="right" w:pos="8942"/>
      </w:tabs>
      <w:spacing w:after="0"/>
      <w:ind w:left="284"/>
    </w:pPr>
    <w:rPr>
      <w:szCs w:val="20"/>
    </w:rPr>
  </w:style>
  <w:style w:type="paragraph" w:styleId="TOC3">
    <w:name w:val="toc 3"/>
    <w:basedOn w:val="Normal"/>
    <w:next w:val="Normal"/>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050ED5"/>
    <w:rPr>
      <w:sz w:val="24"/>
      <w:szCs w:val="20"/>
    </w:rPr>
  </w:style>
  <w:style w:type="character" w:customStyle="1" w:styleId="CGCBulletlistChar">
    <w:name w:val="CGC Bullet list Char"/>
    <w:aliases w:val="CGC List 1 Char,CGC Bullet list Char1"/>
    <w:basedOn w:val="DefaultParagraphFont"/>
    <w:locked/>
    <w:rsid w:val="00D80C7A"/>
    <w:rPr>
      <w:sz w:val="24"/>
      <w:szCs w:val="20"/>
    </w:rPr>
  </w:style>
  <w:style w:type="character" w:customStyle="1" w:styleId="CGCParaNoChar">
    <w:name w:val="CGC Para No Char"/>
    <w:aliases w:val="CGC Numbered Para Char"/>
    <w:basedOn w:val="DefaultParagraphFont"/>
    <w:link w:val="CGCNumberedPara"/>
    <w:rsid w:val="00D80C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DE1C0E"/>
    <w:pPr>
      <w:tabs>
        <w:tab w:val="clear" w:pos="567"/>
        <w:tab w:val="right" w:pos="8942"/>
      </w:tabs>
      <w:spacing w:after="0"/>
      <w:ind w:left="284"/>
    </w:pPr>
    <w:rPr>
      <w:szCs w:val="20"/>
    </w:rPr>
  </w:style>
  <w:style w:type="paragraph" w:styleId="TOC3">
    <w:name w:val="toc 3"/>
    <w:basedOn w:val="Normal"/>
    <w:next w:val="Normal"/>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050ED5"/>
    <w:rPr>
      <w:sz w:val="24"/>
      <w:szCs w:val="20"/>
    </w:rPr>
  </w:style>
  <w:style w:type="character" w:customStyle="1" w:styleId="CGCBulletlistChar">
    <w:name w:val="CGC Bullet list Char"/>
    <w:aliases w:val="CGC List 1 Char,CGC Bullet list Char1"/>
    <w:basedOn w:val="DefaultParagraphFont"/>
    <w:locked/>
    <w:rsid w:val="00D80C7A"/>
    <w:rPr>
      <w:sz w:val="24"/>
      <w:szCs w:val="20"/>
    </w:rPr>
  </w:style>
  <w:style w:type="character" w:customStyle="1" w:styleId="CGCParaNoChar">
    <w:name w:val="CGC Para No Char"/>
    <w:aliases w:val="CGC Numbered Para Char"/>
    <w:basedOn w:val="DefaultParagraphFont"/>
    <w:link w:val="CGCNumberedPara"/>
    <w:rsid w:val="00D80C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bc.net.au/news/2017-03-27/uranium-mines-will-be-allowed-to-proceed-labor-minister-confirms/8389622" TargetMode="External"/><Relationship Id="rId1" Type="http://schemas.openxmlformats.org/officeDocument/2006/relationships/hyperlink" Target="http://www.treasury.wa.gov.au/Treasury/Publications/State_Tax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Agenda%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0894-B785-44C8-ACE9-468B9554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Paper.dotx</Template>
  <TotalTime>57</TotalTime>
  <Pages>10</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15342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Dermot Doherty</dc:creator>
  <cp:lastModifiedBy>Dermot Doherty</cp:lastModifiedBy>
  <cp:revision>20</cp:revision>
  <cp:lastPrinted>2017-05-12T00:48:00Z</cp:lastPrinted>
  <dcterms:created xsi:type="dcterms:W3CDTF">2017-05-03T22:24:00Z</dcterms:created>
  <dcterms:modified xsi:type="dcterms:W3CDTF">2017-05-12T01:26:00Z</dcterms:modified>
</cp:coreProperties>
</file>