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7DB06" w14:textId="77777777" w:rsidR="005631B0" w:rsidRPr="00970E6D" w:rsidRDefault="005631B0" w:rsidP="005631B0">
      <w:pPr>
        <w:tabs>
          <w:tab w:val="clear" w:pos="567"/>
        </w:tabs>
        <w:jc w:val="center"/>
        <w:rPr>
          <w:b/>
          <w:bCs/>
        </w:rPr>
      </w:pPr>
      <w:bookmarkStart w:id="0" w:name="_Toc106707122"/>
      <w:bookmarkStart w:id="1" w:name="_Toc155675722"/>
      <w:bookmarkStart w:id="2" w:name="_Toc155675934"/>
      <w:bookmarkStart w:id="3" w:name="_Toc155675975"/>
      <w:bookmarkStart w:id="4" w:name="_Toc155676245"/>
      <w:bookmarkStart w:id="5" w:name="_Toc174415768"/>
      <w:r w:rsidRPr="00970E6D">
        <w:rPr>
          <w:noProof/>
          <w:lang w:eastAsia="en-AU"/>
        </w:rPr>
        <w:drawing>
          <wp:inline distT="0" distB="0" distL="0" distR="0" wp14:anchorId="6ACF47FB" wp14:editId="2D095C2D">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8"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14:paraId="3F5A225D" w14:textId="77777777" w:rsidR="005631B0" w:rsidRPr="00970E6D" w:rsidRDefault="005631B0" w:rsidP="005631B0">
      <w:pPr>
        <w:tabs>
          <w:tab w:val="clear" w:pos="567"/>
        </w:tabs>
        <w:jc w:val="center"/>
        <w:rPr>
          <w:b/>
          <w:sz w:val="40"/>
          <w:szCs w:val="40"/>
        </w:rPr>
      </w:pPr>
    </w:p>
    <w:p w14:paraId="7FE51190" w14:textId="77777777" w:rsidR="005631B0" w:rsidRPr="00970E6D" w:rsidRDefault="005631B0" w:rsidP="005631B0">
      <w:pPr>
        <w:tabs>
          <w:tab w:val="clear" w:pos="567"/>
        </w:tabs>
        <w:jc w:val="center"/>
        <w:rPr>
          <w:b/>
          <w:sz w:val="40"/>
          <w:szCs w:val="40"/>
        </w:rPr>
      </w:pPr>
    </w:p>
    <w:p w14:paraId="11DFC1F8" w14:textId="77777777" w:rsidR="005631B0" w:rsidRPr="00970E6D" w:rsidRDefault="005631B0" w:rsidP="005631B0">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14:paraId="5020F5EC" w14:textId="77777777" w:rsidR="005631B0" w:rsidRPr="00970E6D" w:rsidRDefault="005631B0" w:rsidP="005631B0">
      <w:pPr>
        <w:tabs>
          <w:tab w:val="clear" w:pos="567"/>
        </w:tabs>
        <w:jc w:val="center"/>
        <w:rPr>
          <w:b/>
          <w:sz w:val="40"/>
          <w:szCs w:val="40"/>
        </w:rPr>
      </w:pPr>
    </w:p>
    <w:p w14:paraId="1B874CBB" w14:textId="77777777" w:rsidR="005631B0" w:rsidRPr="00970E6D" w:rsidRDefault="005631B0" w:rsidP="005631B0">
      <w:pPr>
        <w:tabs>
          <w:tab w:val="clear" w:pos="567"/>
        </w:tabs>
        <w:jc w:val="center"/>
        <w:rPr>
          <w:b/>
          <w:sz w:val="40"/>
          <w:szCs w:val="40"/>
        </w:rPr>
      </w:pPr>
    </w:p>
    <w:p w14:paraId="30976E49" w14:textId="77777777" w:rsidR="005631B0" w:rsidRPr="00970E6D" w:rsidRDefault="005631B0" w:rsidP="005631B0">
      <w:pPr>
        <w:tabs>
          <w:tab w:val="clear" w:pos="567"/>
        </w:tabs>
        <w:jc w:val="center"/>
        <w:rPr>
          <w:b/>
          <w:sz w:val="40"/>
          <w:szCs w:val="40"/>
        </w:rPr>
      </w:pPr>
    </w:p>
    <w:p w14:paraId="3C6EC3E1" w14:textId="77777777" w:rsidR="005631B0" w:rsidRPr="00970E6D" w:rsidRDefault="005631B0" w:rsidP="005631B0">
      <w:pPr>
        <w:tabs>
          <w:tab w:val="clear" w:pos="567"/>
        </w:tabs>
        <w:jc w:val="center"/>
        <w:rPr>
          <w:b/>
          <w:sz w:val="40"/>
          <w:szCs w:val="40"/>
        </w:rPr>
      </w:pPr>
    </w:p>
    <w:p w14:paraId="005D7505" w14:textId="77777777" w:rsidR="005631B0" w:rsidRPr="00970E6D" w:rsidRDefault="005631B0" w:rsidP="005631B0">
      <w:pPr>
        <w:tabs>
          <w:tab w:val="clear" w:pos="567"/>
        </w:tabs>
        <w:jc w:val="center"/>
        <w:rPr>
          <w:bCs/>
          <w:sz w:val="40"/>
          <w:szCs w:val="40"/>
        </w:rPr>
      </w:pPr>
      <w:r>
        <w:rPr>
          <w:b/>
          <w:sz w:val="40"/>
          <w:szCs w:val="40"/>
        </w:rPr>
        <w:t>NEW ISSUES FOR THE 2020 REVIEW</w:t>
      </w:r>
    </w:p>
    <w:p w14:paraId="1C5EF1F9" w14:textId="77777777" w:rsidR="005631B0" w:rsidRPr="00970E6D" w:rsidRDefault="005631B0" w:rsidP="005631B0">
      <w:pPr>
        <w:tabs>
          <w:tab w:val="clear" w:pos="567"/>
        </w:tabs>
        <w:jc w:val="center"/>
        <w:rPr>
          <w:b/>
          <w:sz w:val="40"/>
          <w:szCs w:val="40"/>
        </w:rPr>
      </w:pPr>
    </w:p>
    <w:p w14:paraId="017596EF" w14:textId="77777777" w:rsidR="005631B0" w:rsidRPr="00970E6D" w:rsidRDefault="005631B0" w:rsidP="005631B0">
      <w:pPr>
        <w:tabs>
          <w:tab w:val="clear" w:pos="567"/>
        </w:tabs>
        <w:jc w:val="center"/>
        <w:rPr>
          <w:b/>
          <w:sz w:val="40"/>
          <w:szCs w:val="40"/>
        </w:rPr>
      </w:pPr>
    </w:p>
    <w:p w14:paraId="172BF68A" w14:textId="77777777" w:rsidR="005631B0" w:rsidRPr="00970E6D" w:rsidRDefault="005631B0" w:rsidP="005631B0">
      <w:pPr>
        <w:tabs>
          <w:tab w:val="clear" w:pos="567"/>
        </w:tabs>
        <w:jc w:val="center"/>
        <w:rPr>
          <w:b/>
          <w:sz w:val="40"/>
          <w:szCs w:val="40"/>
        </w:rPr>
      </w:pPr>
    </w:p>
    <w:p w14:paraId="0C9DC9F4" w14:textId="77777777" w:rsidR="005631B0" w:rsidRPr="00970E6D" w:rsidRDefault="005631B0" w:rsidP="005631B0">
      <w:pPr>
        <w:tabs>
          <w:tab w:val="clear" w:pos="567"/>
        </w:tabs>
        <w:jc w:val="center"/>
        <w:rPr>
          <w:b/>
          <w:sz w:val="40"/>
          <w:szCs w:val="40"/>
        </w:rPr>
      </w:pPr>
    </w:p>
    <w:p w14:paraId="1C594F00" w14:textId="77777777" w:rsidR="005631B0" w:rsidRPr="00970E6D" w:rsidRDefault="005631B0" w:rsidP="005631B0">
      <w:pPr>
        <w:tabs>
          <w:tab w:val="clear" w:pos="567"/>
        </w:tabs>
        <w:jc w:val="center"/>
        <w:rPr>
          <w:b/>
          <w:sz w:val="40"/>
          <w:szCs w:val="40"/>
        </w:rPr>
      </w:pPr>
      <w:r w:rsidRPr="00970E6D">
        <w:rPr>
          <w:b/>
          <w:sz w:val="40"/>
          <w:szCs w:val="40"/>
        </w:rPr>
        <w:t xml:space="preserve">STAFF DISCUSSION </w:t>
      </w:r>
      <w:r>
        <w:rPr>
          <w:b/>
          <w:sz w:val="40"/>
          <w:szCs w:val="40"/>
        </w:rPr>
        <w:t>PAPER</w:t>
      </w:r>
      <w:r>
        <w:rPr>
          <w:b/>
          <w:sz w:val="40"/>
          <w:szCs w:val="40"/>
        </w:rPr>
        <w:br/>
        <w:t>CGC 20</w:t>
      </w:r>
      <w:r w:rsidRPr="00970E6D">
        <w:rPr>
          <w:b/>
          <w:sz w:val="40"/>
          <w:szCs w:val="40"/>
        </w:rPr>
        <w:t>1</w:t>
      </w:r>
      <w:r>
        <w:rPr>
          <w:b/>
          <w:sz w:val="40"/>
          <w:szCs w:val="40"/>
        </w:rPr>
        <w:t>9-01-S</w:t>
      </w:r>
    </w:p>
    <w:p w14:paraId="29387B6B" w14:textId="77777777" w:rsidR="005631B0" w:rsidRPr="00970E6D" w:rsidRDefault="005631B0" w:rsidP="005631B0">
      <w:pPr>
        <w:tabs>
          <w:tab w:val="clear" w:pos="567"/>
        </w:tabs>
        <w:jc w:val="center"/>
        <w:rPr>
          <w:b/>
          <w:sz w:val="40"/>
          <w:szCs w:val="40"/>
        </w:rPr>
      </w:pPr>
    </w:p>
    <w:p w14:paraId="76E393D8" w14:textId="77777777" w:rsidR="005631B0" w:rsidRPr="00970E6D" w:rsidRDefault="005631B0" w:rsidP="005631B0">
      <w:pPr>
        <w:tabs>
          <w:tab w:val="clear" w:pos="567"/>
        </w:tabs>
        <w:jc w:val="center"/>
        <w:rPr>
          <w:b/>
          <w:sz w:val="40"/>
          <w:szCs w:val="40"/>
        </w:rPr>
      </w:pPr>
    </w:p>
    <w:p w14:paraId="13ABB11B" w14:textId="77777777" w:rsidR="005631B0" w:rsidRPr="00970E6D" w:rsidRDefault="005631B0" w:rsidP="005631B0">
      <w:pPr>
        <w:tabs>
          <w:tab w:val="clear" w:pos="567"/>
        </w:tabs>
        <w:jc w:val="center"/>
        <w:rPr>
          <w:b/>
          <w:sz w:val="40"/>
          <w:szCs w:val="40"/>
        </w:rPr>
      </w:pPr>
    </w:p>
    <w:p w14:paraId="3CB61CC5" w14:textId="77777777" w:rsidR="005631B0" w:rsidRPr="00970E6D" w:rsidRDefault="005631B0" w:rsidP="005631B0">
      <w:pPr>
        <w:tabs>
          <w:tab w:val="clear" w:pos="567"/>
        </w:tabs>
        <w:jc w:val="center"/>
        <w:rPr>
          <w:sz w:val="40"/>
          <w:szCs w:val="40"/>
        </w:rPr>
      </w:pPr>
    </w:p>
    <w:p w14:paraId="317A81BE" w14:textId="77777777" w:rsidR="005631B0" w:rsidRPr="00970E6D" w:rsidRDefault="005631B0" w:rsidP="005631B0">
      <w:pPr>
        <w:tabs>
          <w:tab w:val="clear" w:pos="567"/>
        </w:tabs>
        <w:jc w:val="right"/>
        <w:rPr>
          <w:b/>
          <w:sz w:val="28"/>
          <w:szCs w:val="28"/>
        </w:rPr>
      </w:pPr>
      <w:r>
        <w:rPr>
          <w:b/>
          <w:sz w:val="28"/>
          <w:szCs w:val="28"/>
        </w:rPr>
        <w:t>OCTOBER 2019</w:t>
      </w:r>
    </w:p>
    <w:p w14:paraId="43D01723" w14:textId="77777777" w:rsidR="005631B0" w:rsidRPr="00970E6D" w:rsidRDefault="005631B0" w:rsidP="005631B0">
      <w:pPr>
        <w:tabs>
          <w:tab w:val="clear" w:pos="567"/>
        </w:tabs>
      </w:pPr>
    </w:p>
    <w:p w14:paraId="21146DA3" w14:textId="77777777" w:rsidR="005631B0" w:rsidRPr="00970E6D" w:rsidRDefault="005631B0" w:rsidP="005631B0">
      <w:pPr>
        <w:tabs>
          <w:tab w:val="clear" w:pos="567"/>
        </w:tabs>
        <w:sectPr w:rsidR="005631B0" w:rsidRPr="00970E6D" w:rsidSect="00086947">
          <w:headerReference w:type="even" r:id="rId9"/>
          <w:headerReference w:type="default" r:id="rId10"/>
          <w:footerReference w:type="even" r:id="rId11"/>
          <w:footerReference w:type="default" r:id="rId12"/>
          <w:headerReference w:type="first" r:id="rId13"/>
          <w:footerReference w:type="first" r:id="rId14"/>
          <w:pgSz w:w="11899" w:h="16838" w:code="9"/>
          <w:pgMar w:top="1701" w:right="1474" w:bottom="1701" w:left="1474" w:header="709" w:footer="709" w:gutter="0"/>
          <w:cols w:space="708"/>
          <w:titlePg/>
          <w:docGrid w:linePitch="299"/>
        </w:sectPr>
      </w:pPr>
    </w:p>
    <w:p w14:paraId="27BECA7A" w14:textId="77777777" w:rsidR="005631B0" w:rsidRPr="00970E6D" w:rsidRDefault="005631B0" w:rsidP="005631B0">
      <w:pPr>
        <w:tabs>
          <w:tab w:val="clear" w:pos="567"/>
        </w:tabs>
      </w:pPr>
    </w:p>
    <w:tbl>
      <w:tblPr>
        <w:tblStyle w:val="TableGrid"/>
        <w:tblW w:w="5000" w:type="pct"/>
        <w:tblLook w:val="01E0" w:firstRow="1" w:lastRow="1" w:firstColumn="1" w:lastColumn="1" w:noHBand="0" w:noVBand="0"/>
      </w:tblPr>
      <w:tblGrid>
        <w:gridCol w:w="2972"/>
        <w:gridCol w:w="5969"/>
      </w:tblGrid>
      <w:tr w:rsidR="005631B0" w:rsidRPr="00970E6D" w14:paraId="59A2517A" w14:textId="77777777" w:rsidTr="00086947">
        <w:tc>
          <w:tcPr>
            <w:tcW w:w="1662" w:type="pct"/>
            <w:tcBorders>
              <w:top w:val="single" w:sz="4" w:space="0" w:color="auto"/>
              <w:left w:val="single" w:sz="4" w:space="0" w:color="auto"/>
              <w:bottom w:val="single" w:sz="4" w:space="0" w:color="auto"/>
              <w:right w:val="single" w:sz="4" w:space="0" w:color="auto"/>
            </w:tcBorders>
          </w:tcPr>
          <w:p w14:paraId="5D6A7001" w14:textId="77777777" w:rsidR="005631B0" w:rsidRPr="00970E6D" w:rsidRDefault="005631B0" w:rsidP="00086947">
            <w:pPr>
              <w:tabs>
                <w:tab w:val="clear" w:pos="567"/>
              </w:tabs>
            </w:pPr>
            <w:r w:rsidRPr="00970E6D">
              <w:t>Paper issued</w:t>
            </w:r>
          </w:p>
        </w:tc>
        <w:tc>
          <w:tcPr>
            <w:tcW w:w="3338" w:type="pct"/>
            <w:tcBorders>
              <w:top w:val="single" w:sz="4" w:space="0" w:color="auto"/>
              <w:left w:val="single" w:sz="4" w:space="0" w:color="auto"/>
              <w:bottom w:val="single" w:sz="4" w:space="0" w:color="auto"/>
              <w:right w:val="single" w:sz="4" w:space="0" w:color="auto"/>
            </w:tcBorders>
          </w:tcPr>
          <w:p w14:paraId="5757AD5B" w14:textId="77777777" w:rsidR="005631B0" w:rsidRPr="00970E6D" w:rsidRDefault="005631B0" w:rsidP="00086947">
            <w:pPr>
              <w:tabs>
                <w:tab w:val="clear" w:pos="567"/>
              </w:tabs>
            </w:pPr>
            <w:r>
              <w:t>8 October 2019</w:t>
            </w:r>
          </w:p>
        </w:tc>
      </w:tr>
      <w:tr w:rsidR="005631B0" w:rsidRPr="00970E6D" w14:paraId="3B701D21" w14:textId="77777777" w:rsidTr="00086947">
        <w:tc>
          <w:tcPr>
            <w:tcW w:w="1662" w:type="pct"/>
            <w:tcBorders>
              <w:top w:val="single" w:sz="4" w:space="0" w:color="auto"/>
              <w:left w:val="single" w:sz="4" w:space="0" w:color="auto"/>
              <w:bottom w:val="single" w:sz="4" w:space="0" w:color="auto"/>
              <w:right w:val="single" w:sz="4" w:space="0" w:color="auto"/>
            </w:tcBorders>
          </w:tcPr>
          <w:p w14:paraId="431C91DB" w14:textId="77777777" w:rsidR="005631B0" w:rsidRPr="00970E6D" w:rsidRDefault="005631B0" w:rsidP="00086947">
            <w:pPr>
              <w:tabs>
                <w:tab w:val="clear" w:pos="567"/>
              </w:tabs>
            </w:pPr>
            <w:r w:rsidRPr="00970E6D">
              <w:t>Commission contact officer</w:t>
            </w:r>
          </w:p>
        </w:tc>
        <w:tc>
          <w:tcPr>
            <w:tcW w:w="3338" w:type="pct"/>
            <w:tcBorders>
              <w:top w:val="single" w:sz="4" w:space="0" w:color="auto"/>
              <w:left w:val="single" w:sz="4" w:space="0" w:color="auto"/>
              <w:bottom w:val="single" w:sz="4" w:space="0" w:color="auto"/>
              <w:right w:val="single" w:sz="4" w:space="0" w:color="auto"/>
            </w:tcBorders>
          </w:tcPr>
          <w:p w14:paraId="3A1464E9" w14:textId="77777777" w:rsidR="005631B0" w:rsidRPr="00970E6D" w:rsidRDefault="005631B0" w:rsidP="00086947">
            <w:pPr>
              <w:tabs>
                <w:tab w:val="clear" w:pos="567"/>
              </w:tabs>
            </w:pPr>
            <w:r>
              <w:t>Priscilla Kan, 02 6229 8849, priscilla.kan@cgc.gov.au</w:t>
            </w:r>
          </w:p>
        </w:tc>
      </w:tr>
      <w:tr w:rsidR="005631B0" w:rsidRPr="00970E6D" w14:paraId="492658CF" w14:textId="77777777" w:rsidTr="00086947">
        <w:tc>
          <w:tcPr>
            <w:tcW w:w="1662" w:type="pct"/>
            <w:tcBorders>
              <w:top w:val="single" w:sz="4" w:space="0" w:color="auto"/>
              <w:left w:val="single" w:sz="4" w:space="0" w:color="auto"/>
              <w:bottom w:val="single" w:sz="4" w:space="0" w:color="auto"/>
              <w:right w:val="single" w:sz="4" w:space="0" w:color="auto"/>
            </w:tcBorders>
          </w:tcPr>
          <w:p w14:paraId="571A56B3" w14:textId="77777777" w:rsidR="005631B0" w:rsidRPr="00970E6D" w:rsidRDefault="005631B0" w:rsidP="00086947">
            <w:pPr>
              <w:tabs>
                <w:tab w:val="clear" w:pos="567"/>
              </w:tabs>
            </w:pPr>
            <w:r w:rsidRPr="00970E6D">
              <w:t>Submissions sought by</w:t>
            </w:r>
          </w:p>
        </w:tc>
        <w:tc>
          <w:tcPr>
            <w:tcW w:w="3338" w:type="pct"/>
            <w:tcBorders>
              <w:top w:val="single" w:sz="4" w:space="0" w:color="auto"/>
              <w:left w:val="single" w:sz="4" w:space="0" w:color="auto"/>
              <w:bottom w:val="single" w:sz="4" w:space="0" w:color="auto"/>
              <w:right w:val="single" w:sz="4" w:space="0" w:color="auto"/>
            </w:tcBorders>
          </w:tcPr>
          <w:p w14:paraId="287CF775" w14:textId="77777777" w:rsidR="005631B0" w:rsidRPr="00970E6D" w:rsidRDefault="005631B0" w:rsidP="00086947">
            <w:pPr>
              <w:tabs>
                <w:tab w:val="clear" w:pos="567"/>
              </w:tabs>
            </w:pPr>
            <w:r>
              <w:t>Submissions due by</w:t>
            </w:r>
            <w:r w:rsidRPr="00970E6D">
              <w:t xml:space="preserve"> </w:t>
            </w:r>
            <w:r>
              <w:t>22 November 2019</w:t>
            </w:r>
            <w:r w:rsidRPr="00970E6D">
              <w:t xml:space="preserve">.  </w:t>
            </w:r>
            <w:r>
              <w:t>Email submissions</w:t>
            </w:r>
            <w:r w:rsidRPr="00970E6D">
              <w:t xml:space="preserve"> in Word </w:t>
            </w:r>
            <w:r>
              <w:t xml:space="preserve">and PDF </w:t>
            </w:r>
            <w:r w:rsidRPr="00970E6D">
              <w:t xml:space="preserve">format to </w:t>
            </w:r>
            <w:hyperlink r:id="rId15" w:history="1">
              <w:r w:rsidRPr="00970E6D">
                <w:rPr>
                  <w:rStyle w:val="Hyperlink"/>
                </w:rPr>
                <w:t>secretary@cgc.gov.au</w:t>
              </w:r>
            </w:hyperlink>
            <w:r w:rsidRPr="00970E6D">
              <w:t xml:space="preserve"> .</w:t>
            </w:r>
          </w:p>
          <w:p w14:paraId="5D2E0298" w14:textId="77777777" w:rsidR="005631B0" w:rsidRPr="00970E6D" w:rsidRDefault="005631B0" w:rsidP="00086947">
            <w:pPr>
              <w:tabs>
                <w:tab w:val="clear" w:pos="567"/>
              </w:tabs>
            </w:pPr>
            <w:r w:rsidRPr="00970E6D">
              <w:t xml:space="preserve">Submissions of more than </w:t>
            </w:r>
            <w:r>
              <w:t>10</w:t>
            </w:r>
            <w:r w:rsidRPr="00970E6D">
              <w:t xml:space="preserve"> pages in length should include a summary section.</w:t>
            </w:r>
          </w:p>
        </w:tc>
      </w:tr>
      <w:tr w:rsidR="005631B0" w:rsidRPr="00970E6D" w14:paraId="50EA9813" w14:textId="77777777" w:rsidTr="00086947">
        <w:tc>
          <w:tcPr>
            <w:tcW w:w="1662" w:type="pct"/>
            <w:tcBorders>
              <w:top w:val="single" w:sz="4" w:space="0" w:color="auto"/>
              <w:left w:val="single" w:sz="4" w:space="0" w:color="auto"/>
              <w:bottom w:val="single" w:sz="4" w:space="0" w:color="auto"/>
              <w:right w:val="single" w:sz="4" w:space="0" w:color="auto"/>
            </w:tcBorders>
          </w:tcPr>
          <w:p w14:paraId="5F29E400" w14:textId="77777777" w:rsidR="005631B0" w:rsidRPr="00970E6D" w:rsidRDefault="005631B0" w:rsidP="00086947">
            <w:pPr>
              <w:tabs>
                <w:tab w:val="clear" w:pos="567"/>
              </w:tabs>
            </w:pPr>
            <w:r w:rsidRPr="00970E6D">
              <w:t>Confidential material</w:t>
            </w:r>
          </w:p>
        </w:tc>
        <w:tc>
          <w:tcPr>
            <w:tcW w:w="3338" w:type="pct"/>
            <w:tcBorders>
              <w:top w:val="single" w:sz="4" w:space="0" w:color="auto"/>
              <w:left w:val="single" w:sz="4" w:space="0" w:color="auto"/>
              <w:bottom w:val="single" w:sz="4" w:space="0" w:color="auto"/>
              <w:right w:val="single" w:sz="4" w:space="0" w:color="auto"/>
            </w:tcBorders>
          </w:tcPr>
          <w:p w14:paraId="651CB5EE" w14:textId="2CA1DCDD" w:rsidR="005631B0" w:rsidRPr="00CF1294" w:rsidRDefault="00047A3F" w:rsidP="00086947">
            <w:pPr>
              <w:tabs>
                <w:tab w:val="clear" w:pos="567"/>
              </w:tabs>
            </w:pPr>
            <w:r>
              <w:t>It is the C</w:t>
            </w:r>
            <w:r w:rsidR="005631B0" w:rsidRPr="00CF1294">
              <w:t xml:space="preserve">ommission’s normal practice to make State submissions available on its website under the CC BY licence, allowing free use of content by third parties. </w:t>
            </w:r>
          </w:p>
          <w:p w14:paraId="197C54D0" w14:textId="77777777" w:rsidR="005631B0" w:rsidRPr="00CF1294" w:rsidRDefault="005631B0" w:rsidP="00086947">
            <w:pPr>
              <w:tabs>
                <w:tab w:val="clear" w:pos="567"/>
              </w:tabs>
            </w:pPr>
            <w:r w:rsidRPr="00CF1294">
              <w:rPr>
                <w:noProof/>
                <w:lang w:eastAsia="en-AU"/>
              </w:rPr>
              <w:drawing>
                <wp:inline distT="0" distB="0" distL="0" distR="0" wp14:anchorId="5B21E4B7" wp14:editId="3E502D6D">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6"/>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51CE71E0" w14:textId="77777777" w:rsidR="005631B0" w:rsidRPr="00CF1294" w:rsidRDefault="005631B0" w:rsidP="00086947">
            <w:pPr>
              <w:tabs>
                <w:tab w:val="clear" w:pos="567"/>
              </w:tabs>
            </w:pPr>
            <w:r w:rsidRPr="00CF1294">
              <w:t xml:space="preserve">Further information on the CC BY licence can be found </w:t>
            </w:r>
            <w:r w:rsidRPr="00EC79CF">
              <w:t xml:space="preserve">on the </w:t>
            </w:r>
            <w:hyperlink r:id="rId17" w:history="1">
              <w:r w:rsidRPr="00841145">
                <w:rPr>
                  <w:rStyle w:val="Hyperlink"/>
                </w:rPr>
                <w:t>Creative Commons website</w:t>
              </w:r>
            </w:hyperlink>
            <w:r w:rsidRPr="00EC79CF">
              <w:t xml:space="preserve"> </w:t>
            </w:r>
            <w:r>
              <w:t>(</w:t>
            </w:r>
            <w:r w:rsidRPr="00841145">
              <w:t>http://creativecommons.org</w:t>
            </w:r>
            <w:r>
              <w:t>).</w:t>
            </w:r>
            <w:r w:rsidRPr="00CF1294">
              <w:t xml:space="preserve"> </w:t>
            </w:r>
          </w:p>
          <w:p w14:paraId="77F36EB2" w14:textId="5EB05EFE" w:rsidR="005631B0" w:rsidRPr="00970E6D" w:rsidRDefault="005631B0" w:rsidP="00086947">
            <w:pPr>
              <w:tabs>
                <w:tab w:val="clear" w:pos="567"/>
              </w:tabs>
            </w:pPr>
            <w:r w:rsidRPr="00CF1294">
              <w:t>Confidential material contained in submissions must be clearly identified or included in separate attachment/s, and details provided in the covering email. Identified confidential materia</w:t>
            </w:r>
            <w:r w:rsidR="00047A3F">
              <w:t>l will not be published on the C</w:t>
            </w:r>
            <w:r w:rsidRPr="00CF1294">
              <w:t>ommission’s website.</w:t>
            </w:r>
          </w:p>
        </w:tc>
      </w:tr>
    </w:tbl>
    <w:p w14:paraId="52D90304" w14:textId="77777777" w:rsidR="005631B0" w:rsidRPr="00970E6D" w:rsidRDefault="005631B0" w:rsidP="005631B0">
      <w:pPr>
        <w:tabs>
          <w:tab w:val="clear" w:pos="567"/>
        </w:tabs>
        <w:sectPr w:rsidR="005631B0" w:rsidRPr="00970E6D" w:rsidSect="00086947">
          <w:headerReference w:type="first" r:id="rId18"/>
          <w:footerReference w:type="first" r:id="rId19"/>
          <w:pgSz w:w="11899" w:h="16838" w:code="9"/>
          <w:pgMar w:top="1701" w:right="1474" w:bottom="1701" w:left="1474" w:header="709" w:footer="709" w:gutter="0"/>
          <w:cols w:space="708"/>
          <w:vAlign w:val="bottom"/>
          <w:titlePg/>
          <w:docGrid w:linePitch="299"/>
        </w:sectPr>
      </w:pPr>
    </w:p>
    <w:p w14:paraId="6A55A2CB" w14:textId="77777777" w:rsidR="005631B0" w:rsidRPr="00970E6D" w:rsidRDefault="005631B0" w:rsidP="005631B0">
      <w:pPr>
        <w:pStyle w:val="Heading1"/>
      </w:pPr>
      <w:r w:rsidRPr="00970E6D">
        <w:lastRenderedPageBreak/>
        <w:t>C</w:t>
      </w:r>
      <w:bookmarkEnd w:id="0"/>
      <w:bookmarkEnd w:id="1"/>
      <w:bookmarkEnd w:id="2"/>
      <w:bookmarkEnd w:id="3"/>
      <w:bookmarkEnd w:id="4"/>
      <w:bookmarkEnd w:id="5"/>
      <w:r>
        <w:t>ontents</w:t>
      </w:r>
    </w:p>
    <w:p w14:paraId="4E52C4D2" w14:textId="77777777" w:rsidR="00833889" w:rsidRDefault="00833889">
      <w:pPr>
        <w:pStyle w:val="TOC3"/>
      </w:pPr>
    </w:p>
    <w:p w14:paraId="31D2750A" w14:textId="3DB04FAF" w:rsidR="00FA7349" w:rsidRDefault="00086947">
      <w:pPr>
        <w:pStyle w:val="TOC3"/>
        <w:rPr>
          <w:rFonts w:eastAsiaTheme="minorEastAsia"/>
          <w:iCs w:val="0"/>
          <w:noProof/>
          <w:sz w:val="22"/>
          <w:lang w:eastAsia="en-AU"/>
        </w:rPr>
      </w:pPr>
      <w:r>
        <w:fldChar w:fldCharType="begin"/>
      </w:r>
      <w:r>
        <w:instrText xml:space="preserve"> TOC \o "2-2" \f \h \z \u \t "Heading 2,1,Heading 3,3,Heading 4,4" </w:instrText>
      </w:r>
      <w:r>
        <w:fldChar w:fldCharType="separate"/>
      </w:r>
      <w:hyperlink w:anchor="_Toc20405421" w:history="1">
        <w:r w:rsidR="00FA7349" w:rsidRPr="00CD4F00">
          <w:rPr>
            <w:rStyle w:val="Hyperlink"/>
            <w:noProof/>
          </w:rPr>
          <w:t>Background</w:t>
        </w:r>
        <w:r w:rsidR="00FA7349">
          <w:rPr>
            <w:noProof/>
            <w:webHidden/>
          </w:rPr>
          <w:tab/>
        </w:r>
        <w:r w:rsidR="00FA7349">
          <w:rPr>
            <w:noProof/>
            <w:webHidden/>
          </w:rPr>
          <w:fldChar w:fldCharType="begin"/>
        </w:r>
        <w:r w:rsidR="00FA7349">
          <w:rPr>
            <w:noProof/>
            <w:webHidden/>
          </w:rPr>
          <w:instrText xml:space="preserve"> PAGEREF _Toc20405421 \h </w:instrText>
        </w:r>
        <w:r w:rsidR="00FA7349">
          <w:rPr>
            <w:noProof/>
            <w:webHidden/>
          </w:rPr>
        </w:r>
        <w:r w:rsidR="00FA7349">
          <w:rPr>
            <w:noProof/>
            <w:webHidden/>
          </w:rPr>
          <w:fldChar w:fldCharType="separate"/>
        </w:r>
        <w:r w:rsidR="00D173AD">
          <w:rPr>
            <w:noProof/>
            <w:webHidden/>
          </w:rPr>
          <w:t>1</w:t>
        </w:r>
        <w:r w:rsidR="00FA7349">
          <w:rPr>
            <w:noProof/>
            <w:webHidden/>
          </w:rPr>
          <w:fldChar w:fldCharType="end"/>
        </w:r>
      </w:hyperlink>
    </w:p>
    <w:p w14:paraId="71E0E02A" w14:textId="584C5A7E" w:rsidR="00FA7349" w:rsidRDefault="00B54AB0">
      <w:pPr>
        <w:pStyle w:val="TOC3"/>
        <w:rPr>
          <w:rFonts w:eastAsiaTheme="minorEastAsia"/>
          <w:iCs w:val="0"/>
          <w:noProof/>
          <w:sz w:val="22"/>
          <w:lang w:eastAsia="en-AU"/>
        </w:rPr>
      </w:pPr>
      <w:hyperlink w:anchor="_Toc20405422" w:history="1">
        <w:r w:rsidR="00FA7349" w:rsidRPr="00CD4F00">
          <w:rPr>
            <w:rStyle w:val="Hyperlink"/>
            <w:noProof/>
          </w:rPr>
          <w:t>New issues for the 2020 REview</w:t>
        </w:r>
        <w:r w:rsidR="00FA7349">
          <w:rPr>
            <w:noProof/>
            <w:webHidden/>
          </w:rPr>
          <w:tab/>
        </w:r>
        <w:r w:rsidR="00FA7349">
          <w:rPr>
            <w:noProof/>
            <w:webHidden/>
          </w:rPr>
          <w:fldChar w:fldCharType="begin"/>
        </w:r>
        <w:r w:rsidR="00FA7349">
          <w:rPr>
            <w:noProof/>
            <w:webHidden/>
          </w:rPr>
          <w:instrText xml:space="preserve"> PAGEREF _Toc20405422 \h </w:instrText>
        </w:r>
        <w:r w:rsidR="00FA7349">
          <w:rPr>
            <w:noProof/>
            <w:webHidden/>
          </w:rPr>
        </w:r>
        <w:r w:rsidR="00FA7349">
          <w:rPr>
            <w:noProof/>
            <w:webHidden/>
          </w:rPr>
          <w:fldChar w:fldCharType="separate"/>
        </w:r>
        <w:r w:rsidR="00D173AD">
          <w:rPr>
            <w:noProof/>
            <w:webHidden/>
          </w:rPr>
          <w:t>1</w:t>
        </w:r>
        <w:r w:rsidR="00FA7349">
          <w:rPr>
            <w:noProof/>
            <w:webHidden/>
          </w:rPr>
          <w:fldChar w:fldCharType="end"/>
        </w:r>
      </w:hyperlink>
    </w:p>
    <w:p w14:paraId="5B049BCC" w14:textId="058C9DCB" w:rsidR="00FA7349" w:rsidRDefault="00B54AB0">
      <w:pPr>
        <w:pStyle w:val="TOC3"/>
        <w:rPr>
          <w:rFonts w:eastAsiaTheme="minorEastAsia"/>
          <w:iCs w:val="0"/>
          <w:noProof/>
          <w:sz w:val="22"/>
          <w:lang w:eastAsia="en-AU"/>
        </w:rPr>
      </w:pPr>
      <w:hyperlink w:anchor="_Toc20405423" w:history="1">
        <w:r w:rsidR="00FA7349" w:rsidRPr="00CD4F00">
          <w:rPr>
            <w:rStyle w:val="Hyperlink"/>
            <w:noProof/>
          </w:rPr>
          <w:t>Welfare assessment – treatment national disability SPP</w:t>
        </w:r>
        <w:r w:rsidR="00FA7349">
          <w:rPr>
            <w:noProof/>
            <w:webHidden/>
          </w:rPr>
          <w:tab/>
        </w:r>
        <w:r w:rsidR="00FA7349">
          <w:rPr>
            <w:noProof/>
            <w:webHidden/>
          </w:rPr>
          <w:fldChar w:fldCharType="begin"/>
        </w:r>
        <w:r w:rsidR="00FA7349">
          <w:rPr>
            <w:noProof/>
            <w:webHidden/>
          </w:rPr>
          <w:instrText xml:space="preserve"> PAGEREF _Toc20405423 \h </w:instrText>
        </w:r>
        <w:r w:rsidR="00FA7349">
          <w:rPr>
            <w:noProof/>
            <w:webHidden/>
          </w:rPr>
        </w:r>
        <w:r w:rsidR="00FA7349">
          <w:rPr>
            <w:noProof/>
            <w:webHidden/>
          </w:rPr>
          <w:fldChar w:fldCharType="separate"/>
        </w:r>
        <w:r w:rsidR="00D173AD">
          <w:rPr>
            <w:noProof/>
            <w:webHidden/>
          </w:rPr>
          <w:t>1</w:t>
        </w:r>
        <w:r w:rsidR="00FA7349">
          <w:rPr>
            <w:noProof/>
            <w:webHidden/>
          </w:rPr>
          <w:fldChar w:fldCharType="end"/>
        </w:r>
      </w:hyperlink>
    </w:p>
    <w:p w14:paraId="48BA1E4F" w14:textId="313946E5" w:rsidR="00FA7349" w:rsidRDefault="00B54AB0">
      <w:pPr>
        <w:pStyle w:val="TOC3"/>
        <w:rPr>
          <w:rFonts w:eastAsiaTheme="minorEastAsia"/>
          <w:iCs w:val="0"/>
          <w:noProof/>
          <w:sz w:val="22"/>
          <w:lang w:eastAsia="en-AU"/>
        </w:rPr>
      </w:pPr>
      <w:hyperlink w:anchor="_Toc20405426" w:history="1">
        <w:r w:rsidR="00FA7349" w:rsidRPr="00CD4F00">
          <w:rPr>
            <w:rStyle w:val="Hyperlink"/>
            <w:noProof/>
          </w:rPr>
          <w:t>Treatment of Commonwealth payments commenced in 2018-19</w:t>
        </w:r>
        <w:r w:rsidR="00FA7349">
          <w:rPr>
            <w:noProof/>
            <w:webHidden/>
          </w:rPr>
          <w:tab/>
        </w:r>
        <w:r w:rsidR="00FA7349">
          <w:rPr>
            <w:noProof/>
            <w:webHidden/>
          </w:rPr>
          <w:fldChar w:fldCharType="begin"/>
        </w:r>
        <w:r w:rsidR="00FA7349">
          <w:rPr>
            <w:noProof/>
            <w:webHidden/>
          </w:rPr>
          <w:instrText xml:space="preserve"> PAGEREF _Toc20405426 \h </w:instrText>
        </w:r>
        <w:r w:rsidR="00FA7349">
          <w:rPr>
            <w:noProof/>
            <w:webHidden/>
          </w:rPr>
        </w:r>
        <w:r w:rsidR="00FA7349">
          <w:rPr>
            <w:noProof/>
            <w:webHidden/>
          </w:rPr>
          <w:fldChar w:fldCharType="separate"/>
        </w:r>
        <w:r w:rsidR="00D173AD">
          <w:rPr>
            <w:noProof/>
            <w:webHidden/>
          </w:rPr>
          <w:t>2</w:t>
        </w:r>
        <w:r w:rsidR="00FA7349">
          <w:rPr>
            <w:noProof/>
            <w:webHidden/>
          </w:rPr>
          <w:fldChar w:fldCharType="end"/>
        </w:r>
      </w:hyperlink>
    </w:p>
    <w:p w14:paraId="0095486A" w14:textId="2158BAB0" w:rsidR="00FA7349" w:rsidRDefault="00B54AB0">
      <w:pPr>
        <w:pStyle w:val="TOC3"/>
        <w:rPr>
          <w:rFonts w:eastAsiaTheme="minorEastAsia"/>
          <w:iCs w:val="0"/>
          <w:noProof/>
          <w:sz w:val="22"/>
          <w:lang w:eastAsia="en-AU"/>
        </w:rPr>
      </w:pPr>
      <w:hyperlink w:anchor="_Toc20405428" w:history="1">
        <w:r w:rsidR="00FA7349" w:rsidRPr="00CD4F00">
          <w:rPr>
            <w:rStyle w:val="Hyperlink"/>
            <w:noProof/>
          </w:rPr>
          <w:t xml:space="preserve">Treatment of Commonwealth payments commenced in 2019-20 </w:t>
        </w:r>
        <w:r w:rsidR="008D259C">
          <w:rPr>
            <w:rStyle w:val="Hyperlink"/>
            <w:noProof/>
          </w:rPr>
          <w:t>or</w:t>
        </w:r>
        <w:r w:rsidR="00FA7349" w:rsidRPr="00CD4F00">
          <w:rPr>
            <w:rStyle w:val="Hyperlink"/>
            <w:noProof/>
          </w:rPr>
          <w:t xml:space="preserve"> 2020-21</w:t>
        </w:r>
        <w:r w:rsidR="00FA7349">
          <w:rPr>
            <w:noProof/>
            <w:webHidden/>
          </w:rPr>
          <w:tab/>
        </w:r>
        <w:r w:rsidR="00FA7349">
          <w:rPr>
            <w:noProof/>
            <w:webHidden/>
          </w:rPr>
          <w:fldChar w:fldCharType="begin"/>
        </w:r>
        <w:r w:rsidR="00FA7349">
          <w:rPr>
            <w:noProof/>
            <w:webHidden/>
          </w:rPr>
          <w:instrText xml:space="preserve"> PAGEREF _Toc20405428 \h </w:instrText>
        </w:r>
        <w:r w:rsidR="00FA7349">
          <w:rPr>
            <w:noProof/>
            <w:webHidden/>
          </w:rPr>
        </w:r>
        <w:r w:rsidR="00FA7349">
          <w:rPr>
            <w:noProof/>
            <w:webHidden/>
          </w:rPr>
          <w:fldChar w:fldCharType="separate"/>
        </w:r>
        <w:r w:rsidR="00D173AD">
          <w:rPr>
            <w:noProof/>
            <w:webHidden/>
          </w:rPr>
          <w:t>3</w:t>
        </w:r>
        <w:r w:rsidR="00FA7349">
          <w:rPr>
            <w:noProof/>
            <w:webHidden/>
          </w:rPr>
          <w:fldChar w:fldCharType="end"/>
        </w:r>
      </w:hyperlink>
    </w:p>
    <w:p w14:paraId="7A07B630" w14:textId="3DF10497" w:rsidR="00FA7349" w:rsidRDefault="00B54AB0">
      <w:pPr>
        <w:pStyle w:val="TOC3"/>
        <w:rPr>
          <w:rFonts w:eastAsiaTheme="minorEastAsia"/>
          <w:iCs w:val="0"/>
          <w:noProof/>
          <w:sz w:val="22"/>
          <w:lang w:eastAsia="en-AU"/>
        </w:rPr>
      </w:pPr>
      <w:hyperlink w:anchor="_Toc20405429" w:history="1">
        <w:r w:rsidR="00FA7349" w:rsidRPr="00CD4F00">
          <w:rPr>
            <w:rStyle w:val="Hyperlink"/>
            <w:noProof/>
          </w:rPr>
          <w:t>ATTACHMENT A</w:t>
        </w:r>
        <w:r w:rsidR="00FA7349">
          <w:rPr>
            <w:noProof/>
            <w:webHidden/>
          </w:rPr>
          <w:tab/>
        </w:r>
        <w:r w:rsidR="00FA7349">
          <w:rPr>
            <w:noProof/>
            <w:webHidden/>
          </w:rPr>
          <w:fldChar w:fldCharType="begin"/>
        </w:r>
        <w:r w:rsidR="00FA7349">
          <w:rPr>
            <w:noProof/>
            <w:webHidden/>
          </w:rPr>
          <w:instrText xml:space="preserve"> PAGEREF _Toc20405429 \h </w:instrText>
        </w:r>
        <w:r w:rsidR="00FA7349">
          <w:rPr>
            <w:noProof/>
            <w:webHidden/>
          </w:rPr>
        </w:r>
        <w:r w:rsidR="00FA7349">
          <w:rPr>
            <w:noProof/>
            <w:webHidden/>
          </w:rPr>
          <w:fldChar w:fldCharType="separate"/>
        </w:r>
        <w:r w:rsidR="00D173AD">
          <w:rPr>
            <w:noProof/>
            <w:webHidden/>
          </w:rPr>
          <w:t>4</w:t>
        </w:r>
        <w:r w:rsidR="00FA7349">
          <w:rPr>
            <w:noProof/>
            <w:webHidden/>
          </w:rPr>
          <w:fldChar w:fldCharType="end"/>
        </w:r>
      </w:hyperlink>
    </w:p>
    <w:p w14:paraId="35F11493" w14:textId="75E6C9A3" w:rsidR="005631B0" w:rsidRPr="00970E6D" w:rsidRDefault="00086947" w:rsidP="005631B0">
      <w:pPr>
        <w:tabs>
          <w:tab w:val="clear" w:pos="567"/>
        </w:tabs>
      </w:pPr>
      <w:r>
        <w:fldChar w:fldCharType="end"/>
      </w:r>
    </w:p>
    <w:p w14:paraId="7CAF283C" w14:textId="77777777" w:rsidR="005631B0" w:rsidRPr="00970E6D" w:rsidRDefault="005631B0" w:rsidP="005631B0">
      <w:pPr>
        <w:tabs>
          <w:tab w:val="clear" w:pos="567"/>
        </w:tabs>
      </w:pPr>
    </w:p>
    <w:p w14:paraId="66A78805" w14:textId="77777777" w:rsidR="005631B0" w:rsidRPr="00970E6D" w:rsidRDefault="005631B0" w:rsidP="005631B0">
      <w:pPr>
        <w:tabs>
          <w:tab w:val="clear" w:pos="567"/>
        </w:tabs>
        <w:sectPr w:rsidR="005631B0" w:rsidRPr="00970E6D" w:rsidSect="00086947">
          <w:headerReference w:type="first" r:id="rId20"/>
          <w:footerReference w:type="first" r:id="rId21"/>
          <w:pgSz w:w="11899" w:h="16838" w:code="9"/>
          <w:pgMar w:top="1701" w:right="1474" w:bottom="1701" w:left="1474" w:header="709" w:footer="709" w:gutter="0"/>
          <w:pgNumType w:fmt="lowerRoman" w:start="1"/>
          <w:cols w:space="708"/>
          <w:titlePg/>
          <w:docGrid w:linePitch="299"/>
        </w:sectPr>
      </w:pPr>
    </w:p>
    <w:p w14:paraId="441A1C54" w14:textId="77777777" w:rsidR="005631B0" w:rsidRPr="00970E6D" w:rsidRDefault="005631B0" w:rsidP="005631B0">
      <w:pPr>
        <w:pStyle w:val="Heading3"/>
      </w:pPr>
      <w:bookmarkStart w:id="7" w:name="_Toc17989800"/>
      <w:bookmarkStart w:id="8" w:name="_Toc17989881"/>
      <w:bookmarkStart w:id="9" w:name="_Toc20405421"/>
      <w:r w:rsidRPr="00970E6D">
        <w:lastRenderedPageBreak/>
        <w:t>B</w:t>
      </w:r>
      <w:r>
        <w:t>ackground</w:t>
      </w:r>
      <w:bookmarkEnd w:id="7"/>
      <w:bookmarkEnd w:id="8"/>
      <w:bookmarkEnd w:id="9"/>
    </w:p>
    <w:p w14:paraId="38BDADAA" w14:textId="482F7B38" w:rsidR="005631B0" w:rsidRDefault="005631B0" w:rsidP="005631B0">
      <w:pPr>
        <w:pStyle w:val="CGCNumberedPara"/>
        <w:numPr>
          <w:ilvl w:val="1"/>
          <w:numId w:val="3"/>
        </w:numPr>
      </w:pPr>
      <w:r>
        <w:t>This paper sets out new issues identified by Commission staff as relevant to the 2020</w:t>
      </w:r>
      <w:r w:rsidR="005B21AB">
        <w:t> </w:t>
      </w:r>
      <w:r>
        <w:t>Review. We are seeking State and Commonwealth treasuries’ views on staff proposals.</w:t>
      </w:r>
    </w:p>
    <w:p w14:paraId="5FBC22DB" w14:textId="4CF46454" w:rsidR="005631B0" w:rsidRDefault="005631B0" w:rsidP="005631B0">
      <w:pPr>
        <w:pStyle w:val="CGCNumberedPara"/>
        <w:numPr>
          <w:ilvl w:val="1"/>
          <w:numId w:val="3"/>
        </w:numPr>
      </w:pPr>
      <w:r>
        <w:t xml:space="preserve">Please provide comments by 22 November 2019 to </w:t>
      </w:r>
      <w:hyperlink r:id="rId22" w:history="1">
        <w:r w:rsidRPr="009714DA">
          <w:rPr>
            <w:rStyle w:val="Hyperlink"/>
          </w:rPr>
          <w:t>secretary@cgc.gov.au</w:t>
        </w:r>
      </w:hyperlink>
      <w:r>
        <w:t>. The contact officer for queries is Priscilla Kan (</w:t>
      </w:r>
      <w:hyperlink r:id="rId23" w:history="1">
        <w:r w:rsidRPr="00387746">
          <w:rPr>
            <w:rStyle w:val="Hyperlink"/>
          </w:rPr>
          <w:t>priscilla.kan@cgc.gov.au</w:t>
        </w:r>
      </w:hyperlink>
      <w:r>
        <w:t xml:space="preserve"> or 02 6229 8849</w:t>
      </w:r>
      <w:r w:rsidR="00C62811">
        <w:t>)</w:t>
      </w:r>
      <w:r>
        <w:t>.</w:t>
      </w:r>
    </w:p>
    <w:p w14:paraId="4F920C11" w14:textId="194152F1" w:rsidR="005631B0" w:rsidRPr="00970E6D" w:rsidRDefault="00B62DB5" w:rsidP="005631B0">
      <w:pPr>
        <w:pStyle w:val="Heading3"/>
      </w:pPr>
      <w:bookmarkStart w:id="10" w:name="_Toc20405422"/>
      <w:r>
        <w:t>New issues for the 2020 REview</w:t>
      </w:r>
      <w:bookmarkEnd w:id="10"/>
    </w:p>
    <w:p w14:paraId="30E5C038" w14:textId="77777777" w:rsidR="005631B0" w:rsidRDefault="005631B0" w:rsidP="005631B0">
      <w:pPr>
        <w:pStyle w:val="CGCNumberedPara"/>
        <w:numPr>
          <w:ilvl w:val="1"/>
          <w:numId w:val="3"/>
        </w:numPr>
      </w:pPr>
      <w:r>
        <w:t xml:space="preserve"> The new issues for the 2020 Review include:</w:t>
      </w:r>
    </w:p>
    <w:p w14:paraId="790BE83A" w14:textId="5EE432C5" w:rsidR="005631B0" w:rsidRDefault="005631B0" w:rsidP="005631B0">
      <w:pPr>
        <w:pStyle w:val="CGCBulletlist"/>
        <w:numPr>
          <w:ilvl w:val="0"/>
          <w:numId w:val="1"/>
        </w:numPr>
        <w:tabs>
          <w:tab w:val="clear" w:pos="927"/>
          <w:tab w:val="clear" w:pos="1134"/>
        </w:tabs>
        <w:ind w:left="1134" w:hanging="567"/>
      </w:pPr>
      <w:r>
        <w:t xml:space="preserve">Welfare assessment — treatment </w:t>
      </w:r>
      <w:r w:rsidR="000A1A57">
        <w:t xml:space="preserve">of the </w:t>
      </w:r>
      <w:r w:rsidR="00833889">
        <w:t>National Disability Specific P</w:t>
      </w:r>
      <w:r>
        <w:t xml:space="preserve">urpose </w:t>
      </w:r>
      <w:r w:rsidR="00833889">
        <w:t>payment</w:t>
      </w:r>
      <w:r w:rsidR="000A1A57">
        <w:t xml:space="preserve"> </w:t>
      </w:r>
      <w:r w:rsidR="00833889">
        <w:t xml:space="preserve">(SPP) </w:t>
      </w:r>
      <w:r w:rsidR="000A1A57">
        <w:t>following full transition to the National Disability Insurance Scheme (NDIS)</w:t>
      </w:r>
    </w:p>
    <w:p w14:paraId="58D8E8A3" w14:textId="77777777" w:rsidR="005631B0" w:rsidRDefault="005631B0" w:rsidP="005631B0">
      <w:pPr>
        <w:pStyle w:val="CGCBulletlist"/>
        <w:numPr>
          <w:ilvl w:val="0"/>
          <w:numId w:val="1"/>
        </w:numPr>
        <w:tabs>
          <w:tab w:val="clear" w:pos="927"/>
        </w:tabs>
        <w:ind w:left="1134" w:hanging="567"/>
      </w:pPr>
      <w:r>
        <w:t>treatment of new Commonwealth payments.</w:t>
      </w:r>
    </w:p>
    <w:p w14:paraId="1461A0E4" w14:textId="162C7735" w:rsidR="005631B0" w:rsidRDefault="005631B0" w:rsidP="005631B0">
      <w:pPr>
        <w:pStyle w:val="Heading3"/>
      </w:pPr>
      <w:bookmarkStart w:id="11" w:name="_Toc17989802"/>
      <w:bookmarkStart w:id="12" w:name="_Toc17989883"/>
      <w:bookmarkStart w:id="13" w:name="_Toc20405423"/>
      <w:r>
        <w:t xml:space="preserve">Welfare assessment – treatment national disability </w:t>
      </w:r>
      <w:bookmarkEnd w:id="11"/>
      <w:bookmarkEnd w:id="12"/>
      <w:r w:rsidR="00833889">
        <w:t>SPP</w:t>
      </w:r>
      <w:bookmarkEnd w:id="13"/>
    </w:p>
    <w:p w14:paraId="0065FEFC" w14:textId="77777777" w:rsidR="005631B0" w:rsidRDefault="005631B0" w:rsidP="005631B0">
      <w:pPr>
        <w:pStyle w:val="Heading4"/>
      </w:pPr>
      <w:bookmarkStart w:id="14" w:name="_Toc17989803"/>
      <w:bookmarkStart w:id="15" w:name="_Toc17989884"/>
      <w:bookmarkStart w:id="16" w:name="_Toc20398173"/>
      <w:bookmarkStart w:id="17" w:name="_Toc20398299"/>
      <w:bookmarkStart w:id="18" w:name="_Toc20405424"/>
      <w:r>
        <w:t>Background</w:t>
      </w:r>
      <w:bookmarkEnd w:id="14"/>
      <w:bookmarkEnd w:id="15"/>
      <w:bookmarkEnd w:id="16"/>
      <w:bookmarkEnd w:id="17"/>
      <w:bookmarkEnd w:id="18"/>
    </w:p>
    <w:p w14:paraId="3FEA20C9" w14:textId="7BD42C37" w:rsidR="000A1A57" w:rsidRDefault="000A1A57" w:rsidP="005631B0">
      <w:pPr>
        <w:pStyle w:val="CGCNumberedPara"/>
        <w:numPr>
          <w:ilvl w:val="1"/>
          <w:numId w:val="3"/>
        </w:numPr>
      </w:pPr>
      <w:r>
        <w:t xml:space="preserve">The change </w:t>
      </w:r>
      <w:r w:rsidR="00EB0DA2">
        <w:t>to arrangements</w:t>
      </w:r>
      <w:r>
        <w:t xml:space="preserve"> for disability services is a major shift in </w:t>
      </w:r>
      <w:r w:rsidR="00EB0DA2">
        <w:t>federal</w:t>
      </w:r>
      <w:r>
        <w:t xml:space="preserve"> financial arrangements.</w:t>
      </w:r>
    </w:p>
    <w:p w14:paraId="5BC5EF24" w14:textId="126CE496" w:rsidR="001C3348" w:rsidRDefault="001C3348" w:rsidP="005631B0">
      <w:pPr>
        <w:pStyle w:val="CGCNumberedPara"/>
        <w:numPr>
          <w:ilvl w:val="1"/>
          <w:numId w:val="3"/>
        </w:numPr>
      </w:pPr>
      <w:r>
        <w:t xml:space="preserve">In 2020-21, the application year for the 2020 Review, transition to the National Disability Insurance Scheme will be </w:t>
      </w:r>
      <w:r w:rsidR="00A55248">
        <w:t xml:space="preserve">largely </w:t>
      </w:r>
      <w:r>
        <w:t xml:space="preserve">complete and the National </w:t>
      </w:r>
      <w:r w:rsidR="00833889">
        <w:t>SPP</w:t>
      </w:r>
      <w:r w:rsidR="000B4BF1">
        <w:t xml:space="preserve"> </w:t>
      </w:r>
      <w:r>
        <w:t xml:space="preserve">will cease. From 2020-21, Commonwealth support for disability services will be through payments to the National Disability Insurance Agency. </w:t>
      </w:r>
    </w:p>
    <w:p w14:paraId="59515714" w14:textId="60A5E424" w:rsidR="000A1A57" w:rsidRDefault="001C3348" w:rsidP="000A1A57">
      <w:pPr>
        <w:pStyle w:val="CGCNumberedPara"/>
        <w:numPr>
          <w:ilvl w:val="1"/>
          <w:numId w:val="3"/>
        </w:numPr>
      </w:pPr>
      <w:r>
        <w:t xml:space="preserve">In the 2019 Update, the assessment of NDIS expenses in the Welfare category moved to full scheme implementation. </w:t>
      </w:r>
      <w:r w:rsidR="000B4BF1">
        <w:t>The new issue for this update is how the National Disability SPP should be treated now that the scheme is fully implemented.</w:t>
      </w:r>
      <w:r w:rsidR="000A1A57">
        <w:t xml:space="preserve"> Up to and including the 2019 Update, the National Disability SPP to the States has been treated as having an impact on the GST distribution.</w:t>
      </w:r>
    </w:p>
    <w:p w14:paraId="15548723" w14:textId="77777777" w:rsidR="005631B0" w:rsidRDefault="005631B0" w:rsidP="005631B0">
      <w:pPr>
        <w:pStyle w:val="Heading4"/>
      </w:pPr>
      <w:bookmarkStart w:id="19" w:name="_Toc17989804"/>
      <w:bookmarkStart w:id="20" w:name="_Toc17989885"/>
      <w:bookmarkStart w:id="21" w:name="_Toc20398174"/>
      <w:bookmarkStart w:id="22" w:name="_Toc20398300"/>
      <w:bookmarkStart w:id="23" w:name="_Toc20405425"/>
      <w:r>
        <w:t>Analysis</w:t>
      </w:r>
      <w:bookmarkEnd w:id="19"/>
      <w:bookmarkEnd w:id="20"/>
      <w:bookmarkEnd w:id="21"/>
      <w:bookmarkEnd w:id="22"/>
      <w:bookmarkEnd w:id="23"/>
    </w:p>
    <w:p w14:paraId="15EDFC7A" w14:textId="30125A1D" w:rsidR="001C3348" w:rsidRDefault="000B4BF1" w:rsidP="000B4BF1">
      <w:pPr>
        <w:pStyle w:val="CGCNumberedPara"/>
        <w:numPr>
          <w:ilvl w:val="1"/>
          <w:numId w:val="3"/>
        </w:numPr>
      </w:pPr>
      <w:r>
        <w:t>Staff consider that the National Disability SPP should have no effect on the GST distribution from 2020</w:t>
      </w:r>
      <w:r>
        <w:noBreakHyphen/>
        <w:t>21 to reflect the full implement</w:t>
      </w:r>
      <w:r w:rsidR="00067D0F">
        <w:t>ation</w:t>
      </w:r>
      <w:r>
        <w:t xml:space="preserve"> arrangements that will be in place in the application year. This will ensure symmetry in the treatment of the payment and the associate</w:t>
      </w:r>
      <w:r w:rsidR="00657FDB">
        <w:t>d</w:t>
      </w:r>
      <w:r>
        <w:t xml:space="preserve"> expenses</w:t>
      </w:r>
      <w:r w:rsidR="00185741">
        <w:t xml:space="preserve"> and </w:t>
      </w:r>
      <w:r w:rsidR="008D259C">
        <w:t xml:space="preserve">that the assessment </w:t>
      </w:r>
      <w:r w:rsidR="00185741">
        <w:t>reflect</w:t>
      </w:r>
      <w:r w:rsidR="008D259C">
        <w:t>s</w:t>
      </w:r>
      <w:r w:rsidR="00185741">
        <w:t xml:space="preserve"> circumstances </w:t>
      </w:r>
      <w:r w:rsidR="00185741">
        <w:lastRenderedPageBreak/>
        <w:t>in the application year. To</w:t>
      </w:r>
      <w:r>
        <w:t xml:space="preserve"> achieve this, staff propose to assess the National Disability SPP on an EPC basis in the 2020 Review and until the payment drops out of the assessment years. </w:t>
      </w:r>
      <w:r w:rsidR="00F53C4A">
        <w:t>This is expected to occur in the 202</w:t>
      </w:r>
      <w:r w:rsidR="008D259C">
        <w:t>4</w:t>
      </w:r>
      <w:r w:rsidR="00F53C4A">
        <w:t xml:space="preserve"> Update when the final payment </w:t>
      </w:r>
      <w:r w:rsidR="00185741">
        <w:t xml:space="preserve">to Western Australia </w:t>
      </w:r>
      <w:r w:rsidR="00F53C4A">
        <w:t>in 2019-20 will drop out of the assessment window.</w:t>
      </w:r>
      <w:r w:rsidR="00185741">
        <w:t xml:space="preserve"> </w:t>
      </w:r>
    </w:p>
    <w:p w14:paraId="7B79C7DD" w14:textId="09C527E0" w:rsidR="005631B0" w:rsidRDefault="005631B0" w:rsidP="0059780D">
      <w:pPr>
        <w:pStyle w:val="NoSpacing"/>
      </w:pPr>
    </w:p>
    <w:tbl>
      <w:tblPr>
        <w:tblStyle w:val="TableGrid"/>
        <w:tblW w:w="0" w:type="auto"/>
        <w:tblInd w:w="567" w:type="dxa"/>
        <w:tblLook w:val="04A0" w:firstRow="1" w:lastRow="0" w:firstColumn="1" w:lastColumn="0" w:noHBand="0" w:noVBand="1"/>
      </w:tblPr>
      <w:tblGrid>
        <w:gridCol w:w="8384"/>
      </w:tblGrid>
      <w:tr w:rsidR="005631B0" w14:paraId="1CF996D5" w14:textId="77777777" w:rsidTr="00086947">
        <w:tc>
          <w:tcPr>
            <w:tcW w:w="8941" w:type="dxa"/>
            <w:tcBorders>
              <w:top w:val="nil"/>
              <w:left w:val="nil"/>
              <w:bottom w:val="nil"/>
              <w:right w:val="nil"/>
            </w:tcBorders>
            <w:shd w:val="clear" w:color="auto" w:fill="D9F3E6"/>
          </w:tcPr>
          <w:p w14:paraId="09F57062" w14:textId="77777777" w:rsidR="005631B0" w:rsidRDefault="005631B0" w:rsidP="00086947">
            <w:pPr>
              <w:pStyle w:val="CGCNumberedPara"/>
              <w:numPr>
                <w:ilvl w:val="0"/>
                <w:numId w:val="0"/>
              </w:numPr>
            </w:pPr>
            <w:r>
              <w:t>Staff propose to recommend that the Commission:</w:t>
            </w:r>
          </w:p>
          <w:p w14:paraId="27E52643" w14:textId="0333DC42" w:rsidR="005631B0" w:rsidRDefault="00F53C4A" w:rsidP="000B4BF1">
            <w:pPr>
              <w:pStyle w:val="CGCBulletlist"/>
              <w:numPr>
                <w:ilvl w:val="0"/>
                <w:numId w:val="1"/>
              </w:numPr>
              <w:tabs>
                <w:tab w:val="clear" w:pos="927"/>
                <w:tab w:val="left" w:pos="1418"/>
                <w:tab w:val="left" w:pos="2268"/>
                <w:tab w:val="left" w:pos="2835"/>
              </w:tabs>
              <w:ind w:left="1134" w:hanging="567"/>
            </w:pPr>
            <w:r>
              <w:t>a</w:t>
            </w:r>
            <w:r w:rsidR="005631B0">
              <w:t xml:space="preserve">ssess </w:t>
            </w:r>
            <w:r w:rsidR="00A55248">
              <w:t>the National Disability SPP</w:t>
            </w:r>
            <w:r w:rsidR="005631B0">
              <w:t xml:space="preserve"> </w:t>
            </w:r>
            <w:r w:rsidR="000B4BF1">
              <w:t xml:space="preserve">on an EPC basis </w:t>
            </w:r>
            <w:r w:rsidR="005631B0">
              <w:t xml:space="preserve">because </w:t>
            </w:r>
            <w:r w:rsidR="000B4BF1">
              <w:t xml:space="preserve">in the application year all States will have </w:t>
            </w:r>
            <w:r w:rsidR="00A55248">
              <w:t xml:space="preserve">largely </w:t>
            </w:r>
            <w:r w:rsidR="000B4BF1">
              <w:t>completed their transition to the NDIS.</w:t>
            </w:r>
            <w:r w:rsidR="005631B0">
              <w:t xml:space="preserve"> </w:t>
            </w:r>
          </w:p>
        </w:tc>
      </w:tr>
    </w:tbl>
    <w:p w14:paraId="2E1C2F97" w14:textId="1E676F1F" w:rsidR="005631B0" w:rsidRPr="00970E6D" w:rsidRDefault="00B62DB5" w:rsidP="005631B0">
      <w:pPr>
        <w:pStyle w:val="Heading3"/>
      </w:pPr>
      <w:bookmarkStart w:id="24" w:name="_Toc20405426"/>
      <w:r>
        <w:t>Treatment of Commonwealth payments commenced in 2018-19</w:t>
      </w:r>
      <w:bookmarkEnd w:id="24"/>
    </w:p>
    <w:p w14:paraId="0A5A6EE7" w14:textId="44150D4A" w:rsidR="005631B0" w:rsidRDefault="005631B0" w:rsidP="005631B0">
      <w:pPr>
        <w:pStyle w:val="CGCNumberedPara"/>
        <w:numPr>
          <w:ilvl w:val="1"/>
          <w:numId w:val="3"/>
        </w:numPr>
      </w:pPr>
      <w:r>
        <w:t>Staff have examined the Commonwealth payments that commenced in 2018-19, as listed in the Commonwealth’s Final Budget Outcome 2018-19, and propose to treat them as set out in Attachment A, Table A-1. The proposals are based on the following guideline adopted in the 2020 Review:</w:t>
      </w:r>
    </w:p>
    <w:p w14:paraId="4A5D4C7D" w14:textId="0B05E694" w:rsidR="005631B0" w:rsidRDefault="005631B0" w:rsidP="005631B0">
      <w:pPr>
        <w:pStyle w:val="CGCQuotation"/>
      </w:pPr>
      <w:r>
        <w:t>payments which support State services, and for which expenditure needs are assessed</w:t>
      </w:r>
      <w:r w:rsidR="008D259C">
        <w:rPr>
          <w:rStyle w:val="FootnoteReference"/>
        </w:rPr>
        <w:footnoteReference w:id="1"/>
      </w:r>
      <w:r>
        <w:t>, will impact on State fiscal capacities.</w:t>
      </w:r>
    </w:p>
    <w:p w14:paraId="6E4C359C" w14:textId="48E0E821" w:rsidR="00E63E55" w:rsidRPr="00E63E55" w:rsidRDefault="00EB0DA2" w:rsidP="00EB0DA2">
      <w:pPr>
        <w:pStyle w:val="CGCNumberedPara"/>
      </w:pPr>
      <w:r>
        <w:t>If a</w:t>
      </w:r>
      <w:r w:rsidR="00E63E55">
        <w:t xml:space="preserve"> payment </w:t>
      </w:r>
      <w:r>
        <w:t>has</w:t>
      </w:r>
      <w:r w:rsidR="00E63E55">
        <w:t xml:space="preserve"> </w:t>
      </w:r>
      <w:r w:rsidR="0007068D">
        <w:t>multiple</w:t>
      </w:r>
      <w:r w:rsidR="00E63E55">
        <w:t xml:space="preserve"> component</w:t>
      </w:r>
      <w:r w:rsidR="0007068D">
        <w:t>s</w:t>
      </w:r>
      <w:r w:rsidR="00E63E55">
        <w:t>, and the Commission decides that one or mor</w:t>
      </w:r>
      <w:r w:rsidR="008D259C">
        <w:t>e component</w:t>
      </w:r>
      <w:r w:rsidR="00E63E55">
        <w:t xml:space="preserve"> should not affect State fiscal capacities, Commission staff will </w:t>
      </w:r>
      <w:r w:rsidR="008D259C">
        <w:t>collect</w:t>
      </w:r>
      <w:r w:rsidR="00E63E55">
        <w:t xml:space="preserve"> information to split the payment</w:t>
      </w:r>
      <w:r w:rsidR="008D259C">
        <w:t xml:space="preserve"> to ensure the appropriate treatment is applied</w:t>
      </w:r>
      <w:r>
        <w:t>.</w:t>
      </w:r>
    </w:p>
    <w:p w14:paraId="784C3691" w14:textId="55CDD82D" w:rsidR="005631B0" w:rsidRDefault="005631B0" w:rsidP="005631B0">
      <w:pPr>
        <w:pStyle w:val="Heading4"/>
      </w:pPr>
      <w:bookmarkStart w:id="25" w:name="_Toc17989806"/>
      <w:bookmarkStart w:id="26" w:name="_Toc17989887"/>
      <w:bookmarkStart w:id="27" w:name="_Toc20398176"/>
      <w:bookmarkStart w:id="28" w:name="_Toc20398302"/>
      <w:bookmarkStart w:id="29" w:name="_Toc20405427"/>
      <w:r>
        <w:t>Terms of reference requirements</w:t>
      </w:r>
      <w:bookmarkEnd w:id="25"/>
      <w:bookmarkEnd w:id="26"/>
      <w:bookmarkEnd w:id="27"/>
      <w:bookmarkEnd w:id="28"/>
      <w:bookmarkEnd w:id="29"/>
    </w:p>
    <w:p w14:paraId="1ED64CBE" w14:textId="77777777" w:rsidR="005631B0" w:rsidRDefault="005631B0" w:rsidP="005631B0">
      <w:pPr>
        <w:pStyle w:val="CGCNumberedPara"/>
        <w:numPr>
          <w:ilvl w:val="1"/>
          <w:numId w:val="3"/>
        </w:numPr>
      </w:pPr>
      <w:r>
        <w:t>The 2020 Review terms of reference we have received to date did not give directions on the treatment of particular payments. However, the following payments that commenced in 2018-19 were quarantined by the 2019 Update terms of reference:</w:t>
      </w:r>
    </w:p>
    <w:p w14:paraId="1E4AD670" w14:textId="77777777" w:rsidR="005631B0" w:rsidRDefault="005631B0" w:rsidP="005631B0">
      <w:pPr>
        <w:pStyle w:val="CGCBulletlist"/>
        <w:numPr>
          <w:ilvl w:val="0"/>
          <w:numId w:val="1"/>
        </w:numPr>
        <w:tabs>
          <w:tab w:val="clear" w:pos="927"/>
        </w:tabs>
        <w:ind w:left="1134" w:hanging="567"/>
      </w:pPr>
      <w:r>
        <w:t>payments relating to the Project Agreement for the Health Innovation Fund – Stage 1</w:t>
      </w:r>
    </w:p>
    <w:p w14:paraId="0B3B690A" w14:textId="77777777" w:rsidR="005631B0" w:rsidRDefault="005631B0" w:rsidP="005631B0">
      <w:pPr>
        <w:pStyle w:val="CGCBulletlist"/>
        <w:numPr>
          <w:ilvl w:val="0"/>
          <w:numId w:val="1"/>
        </w:numPr>
        <w:tabs>
          <w:tab w:val="clear" w:pos="927"/>
        </w:tabs>
        <w:ind w:left="1134" w:hanging="567"/>
      </w:pPr>
      <w:r w:rsidRPr="00A52943">
        <w:t>payments to the Australian Capital Territory relating to the Project Agreement for the expansion of Clare Holland House</w:t>
      </w:r>
    </w:p>
    <w:p w14:paraId="01396BD2" w14:textId="301935E1" w:rsidR="005631B0" w:rsidRDefault="005631B0" w:rsidP="005631B0">
      <w:pPr>
        <w:pStyle w:val="CGCBulletlist"/>
        <w:numPr>
          <w:ilvl w:val="0"/>
          <w:numId w:val="1"/>
        </w:numPr>
        <w:tabs>
          <w:tab w:val="clear" w:pos="927"/>
        </w:tabs>
        <w:ind w:left="1134" w:hanging="567"/>
      </w:pPr>
      <w:r w:rsidRPr="00A52943">
        <w:t>payments to the Northern Territory of up to $</w:t>
      </w:r>
      <w:r w:rsidR="00356FBF">
        <w:t xml:space="preserve"> </w:t>
      </w:r>
      <w:r w:rsidR="00C36683">
        <w:t>550</w:t>
      </w:r>
      <w:r w:rsidR="00C36683" w:rsidRPr="00A52943">
        <w:t xml:space="preserve"> </w:t>
      </w:r>
      <w:r w:rsidRPr="00A52943">
        <w:t xml:space="preserve">million </w:t>
      </w:r>
      <w:r w:rsidR="00356FBF">
        <w:t xml:space="preserve"> over </w:t>
      </w:r>
      <w:r w:rsidRPr="00A52943">
        <w:t xml:space="preserve"> 5 years for Remote Indigenous Housing commencing in 2018-19</w:t>
      </w:r>
      <w:r>
        <w:t>.</w:t>
      </w:r>
    </w:p>
    <w:p w14:paraId="77A775D1" w14:textId="76097155" w:rsidR="007247D7" w:rsidRDefault="005631B0" w:rsidP="007247D7">
      <w:pPr>
        <w:pStyle w:val="CGCNumberedPara"/>
        <w:numPr>
          <w:ilvl w:val="1"/>
          <w:numId w:val="3"/>
        </w:numPr>
      </w:pPr>
      <w:r w:rsidRPr="00212E4E">
        <w:lastRenderedPageBreak/>
        <w:t xml:space="preserve">Accordingly, </w:t>
      </w:r>
      <w:r>
        <w:t xml:space="preserve">staff propose </w:t>
      </w:r>
      <w:r w:rsidRPr="00212E4E">
        <w:t>the</w:t>
      </w:r>
      <w:r>
        <w:t xml:space="preserve"> above</w:t>
      </w:r>
      <w:r w:rsidRPr="00212E4E">
        <w:t xml:space="preserve"> payment</w:t>
      </w:r>
      <w:r>
        <w:t xml:space="preserve">s be treated in a way that they do </w:t>
      </w:r>
      <w:r w:rsidRPr="00212E4E">
        <w:t>not</w:t>
      </w:r>
      <w:r>
        <w:t xml:space="preserve"> affect State fiscal capacities.</w:t>
      </w:r>
    </w:p>
    <w:p w14:paraId="3522301B" w14:textId="61C2AD17" w:rsidR="005631B0" w:rsidRDefault="005631B0" w:rsidP="005631B0">
      <w:pPr>
        <w:pStyle w:val="CGCNumberedPara"/>
        <w:numPr>
          <w:ilvl w:val="1"/>
          <w:numId w:val="3"/>
        </w:numPr>
      </w:pPr>
      <w:r>
        <w:t>The 2019 Update terms of reference also required the payment for the additional general revenue assistance relating to GST transitional support and top-up payments under the Commonwealth’s HFE reform package (to commence in 2019-20) not to affect State fiscal capacities. However, the Commonwealth paid Western Australia $434 million of its 2019-20 top-up payment in 2018-19. Staff propose to treat the payment as having no impact on State fiscal capacities in this review.</w:t>
      </w:r>
    </w:p>
    <w:p w14:paraId="04773DED" w14:textId="78D8E586" w:rsidR="007247D7" w:rsidRDefault="007247D7" w:rsidP="005631B0">
      <w:pPr>
        <w:pStyle w:val="CGCNumberedPara"/>
        <w:numPr>
          <w:ilvl w:val="1"/>
          <w:numId w:val="3"/>
        </w:numPr>
      </w:pPr>
      <w:r>
        <w:t xml:space="preserve">In addition, the 2019 Update terms of reference quarantined payments to South Australia for </w:t>
      </w:r>
      <w:r w:rsidR="0007068D">
        <w:t>a</w:t>
      </w:r>
      <w:r>
        <w:t xml:space="preserve"> Proton Beam Therapy Facility. </w:t>
      </w:r>
      <w:r w:rsidR="008D259C">
        <w:t xml:space="preserve">This payment was expected in 2018-19. </w:t>
      </w:r>
      <w:r>
        <w:t xml:space="preserve">However, </w:t>
      </w:r>
      <w:r w:rsidR="008D259C">
        <w:t xml:space="preserve">it was not included in </w:t>
      </w:r>
      <w:r>
        <w:t>FBO 2018-</w:t>
      </w:r>
      <w:r w:rsidR="0007068D">
        <w:t>19</w:t>
      </w:r>
      <w:r w:rsidR="008D259C">
        <w:t>.</w:t>
      </w:r>
    </w:p>
    <w:p w14:paraId="7B9C44F9" w14:textId="35878CF2" w:rsidR="005631B0" w:rsidRDefault="005631B0" w:rsidP="005631B0">
      <w:pPr>
        <w:pStyle w:val="CGCNumberedPara"/>
        <w:numPr>
          <w:ilvl w:val="1"/>
          <w:numId w:val="3"/>
        </w:numPr>
      </w:pPr>
      <w:r>
        <w:t xml:space="preserve">We have received preliminary advice from the Commonwealth Treasury that the 2020 Review (supplementary) terms of reference will direct the Commission to exclude the $56 million Commonwealth payment to Tasmania in 2018-19 for the Marinus Link initiative from its calculation of State fiscal facilities. </w:t>
      </w:r>
      <w:r w:rsidR="00EB0DA2">
        <w:t>I</w:t>
      </w:r>
      <w:r w:rsidR="008D259C">
        <w:t>n the absence of t</w:t>
      </w:r>
      <w:r w:rsidR="00EB0DA2">
        <w:t xml:space="preserve">erms of reference, </w:t>
      </w:r>
      <w:r w:rsidR="007247D7">
        <w:t xml:space="preserve">staff </w:t>
      </w:r>
      <w:r w:rsidR="00EB0DA2">
        <w:t>propose to recommend treating the payment as having no impact</w:t>
      </w:r>
      <w:r w:rsidR="007247D7">
        <w:t xml:space="preserve"> State fiscal capacities because needs are not assessed.</w:t>
      </w:r>
      <w:r>
        <w:t xml:space="preserve"> </w:t>
      </w:r>
    </w:p>
    <w:p w14:paraId="350EFFC1" w14:textId="07D4F8AE" w:rsidR="005631B0" w:rsidRDefault="00B62DB5" w:rsidP="005631B0">
      <w:pPr>
        <w:pStyle w:val="Heading3"/>
      </w:pPr>
      <w:bookmarkStart w:id="30" w:name="_Toc17989807"/>
      <w:bookmarkStart w:id="31" w:name="_Toc17989888"/>
      <w:bookmarkStart w:id="32" w:name="_Toc20405428"/>
      <w:r>
        <w:t xml:space="preserve">Treatment of Commonwealth payments commenced in </w:t>
      </w:r>
      <w:r w:rsidR="005631B0">
        <w:t xml:space="preserve">2019-20 </w:t>
      </w:r>
      <w:r w:rsidR="00047A3F">
        <w:t>or</w:t>
      </w:r>
      <w:r w:rsidR="005631B0">
        <w:t xml:space="preserve"> 2020-21</w:t>
      </w:r>
      <w:bookmarkEnd w:id="30"/>
      <w:bookmarkEnd w:id="31"/>
      <w:bookmarkEnd w:id="32"/>
    </w:p>
    <w:p w14:paraId="1B765194" w14:textId="7056F2A5" w:rsidR="005631B0" w:rsidRDefault="005631B0" w:rsidP="005631B0">
      <w:pPr>
        <w:pStyle w:val="CGCNumberedPara"/>
        <w:numPr>
          <w:ilvl w:val="1"/>
          <w:numId w:val="3"/>
        </w:numPr>
      </w:pPr>
      <w:r>
        <w:t xml:space="preserve">Table A-2 of Attachment A provides a list of new payments that will commence in 2019-20 or 2020-21. Although the payments shown will affect the year in which the 2020 Review relativities will apply, staff do not propose to backcast any of them because they do not represent a major change in federal financial arrangements. Staff will consider their treatment in the </w:t>
      </w:r>
      <w:r w:rsidR="007247D7">
        <w:t>relevant updates</w:t>
      </w:r>
      <w:r>
        <w:t>.</w:t>
      </w:r>
    </w:p>
    <w:p w14:paraId="7D840A90" w14:textId="77777777" w:rsidR="005631B0" w:rsidRPr="00970E6D" w:rsidRDefault="005631B0" w:rsidP="005631B0">
      <w:pPr>
        <w:tabs>
          <w:tab w:val="clear" w:pos="567"/>
        </w:tabs>
      </w:pPr>
    </w:p>
    <w:p w14:paraId="4D96291A" w14:textId="77777777" w:rsidR="005631B0" w:rsidRPr="00970E6D" w:rsidRDefault="005631B0" w:rsidP="005631B0">
      <w:pPr>
        <w:tabs>
          <w:tab w:val="clear" w:pos="567"/>
        </w:tabs>
        <w:sectPr w:rsidR="005631B0" w:rsidRPr="00970E6D" w:rsidSect="00086947">
          <w:headerReference w:type="default" r:id="rId24"/>
          <w:footerReference w:type="default" r:id="rId25"/>
          <w:headerReference w:type="first" r:id="rId26"/>
          <w:footerReference w:type="first" r:id="rId27"/>
          <w:pgSz w:w="11899" w:h="16838" w:code="9"/>
          <w:pgMar w:top="1701" w:right="1474" w:bottom="1701" w:left="1474" w:header="709" w:footer="709" w:gutter="0"/>
          <w:pgNumType w:start="1"/>
          <w:cols w:space="708"/>
          <w:titlePg/>
          <w:docGrid w:linePitch="299"/>
        </w:sectPr>
      </w:pPr>
    </w:p>
    <w:bookmarkStart w:id="33" w:name="_Toc525217819"/>
    <w:bookmarkStart w:id="34" w:name="_Toc525218116"/>
    <w:bookmarkStart w:id="35" w:name="_Toc525636876"/>
    <w:bookmarkStart w:id="36" w:name="_Toc526415846"/>
    <w:bookmarkStart w:id="37" w:name="_Toc526763084"/>
    <w:bookmarkStart w:id="38" w:name="_Toc526769347"/>
    <w:bookmarkStart w:id="39" w:name="_Toc17989808"/>
    <w:bookmarkStart w:id="40" w:name="_Toc17989889"/>
    <w:bookmarkStart w:id="41" w:name="_Toc20405429"/>
    <w:p w14:paraId="14B3AEC7" w14:textId="4C44831D" w:rsidR="005631B0" w:rsidRDefault="0039765D" w:rsidP="005631B0">
      <w:pPr>
        <w:pStyle w:val="Heading3"/>
        <w:ind w:left="567" w:hanging="567"/>
      </w:pPr>
      <w:r w:rsidRPr="0072187F">
        <w:rPr>
          <w:noProof/>
          <w:sz w:val="22"/>
          <w:lang w:eastAsia="en-AU"/>
        </w:rPr>
        <w:lastRenderedPageBreak/>
        <mc:AlternateContent>
          <mc:Choice Requires="wps">
            <w:drawing>
              <wp:anchor distT="0" distB="0" distL="114300" distR="114300" simplePos="0" relativeHeight="251662336" behindDoc="0" locked="0" layoutInCell="1" allowOverlap="1" wp14:anchorId="24EB8C7C" wp14:editId="1EEA32F9">
                <wp:simplePos x="0" y="0"/>
                <wp:positionH relativeFrom="column">
                  <wp:posOffset>-708660</wp:posOffset>
                </wp:positionH>
                <wp:positionV relativeFrom="paragraph">
                  <wp:posOffset>311784</wp:posOffset>
                </wp:positionV>
                <wp:extent cx="430530" cy="5349875"/>
                <wp:effectExtent l="0" t="0" r="762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534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9D169" w14:textId="5CC2A00D" w:rsidR="000A1A57" w:rsidRPr="004C6DAD" w:rsidRDefault="000A1A57" w:rsidP="005631B0">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fldChar w:fldCharType="begin"/>
                            </w:r>
                            <w:r>
                              <w:instrText xml:space="preserve"> PAGE   \* MERGEFORMAT </w:instrText>
                            </w:r>
                            <w:r>
                              <w:fldChar w:fldCharType="separate"/>
                            </w:r>
                            <w:r w:rsidR="00D173AD">
                              <w:rPr>
                                <w:noProof/>
                              </w:rPr>
                              <w:t>4</w:t>
                            </w:r>
                            <w:r>
                              <w:rPr>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B8C7C" id="_x0000_t202" coordsize="21600,21600" o:spt="202" path="m,l,21600r21600,l21600,xe">
                <v:stroke joinstyle="miter"/>
                <v:path gradientshapeok="t" o:connecttype="rect"/>
              </v:shapetype>
              <v:shape id="Text Box 6" o:spid="_x0000_s1026" type="#_x0000_t202" style="position:absolute;left:0;text-align:left;margin-left:-55.8pt;margin-top:24.55pt;width:33.9pt;height:4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" stroked="f">
                <v:textbox style="layout-flow:vertical">
                  <w:txbxContent>
                    <w:p w14:paraId="3FD9D169" w14:textId="5CC2A00D" w:rsidR="000A1A57" w:rsidRPr="004C6DAD" w:rsidRDefault="000A1A57" w:rsidP="005631B0">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fldChar w:fldCharType="begin"/>
                      </w:r>
                      <w:r>
                        <w:instrText xml:space="preserve"> PAGE   \* MERGEFORMAT </w:instrText>
                      </w:r>
                      <w:r>
                        <w:fldChar w:fldCharType="separate"/>
                      </w:r>
                      <w:r w:rsidR="00D173AD">
                        <w:rPr>
                          <w:noProof/>
                        </w:rPr>
                        <w:t>4</w:t>
                      </w:r>
                      <w:r>
                        <w:rPr>
                          <w:noProof/>
                        </w:rPr>
                        <w:fldChar w:fldCharType="end"/>
                      </w:r>
                    </w:p>
                  </w:txbxContent>
                </v:textbox>
              </v:shape>
            </w:pict>
          </mc:Fallback>
        </mc:AlternateContent>
      </w:r>
      <w:r w:rsidR="005631B0">
        <w:t>A</w:t>
      </w:r>
      <w:r w:rsidR="00B62DB5">
        <w:t>TTACHMENT</w:t>
      </w:r>
      <w:r w:rsidR="005631B0">
        <w:t xml:space="preserve"> </w:t>
      </w:r>
      <w:bookmarkEnd w:id="33"/>
      <w:bookmarkEnd w:id="34"/>
      <w:r w:rsidR="005631B0">
        <w:t>A</w:t>
      </w:r>
      <w:bookmarkEnd w:id="35"/>
      <w:bookmarkEnd w:id="36"/>
      <w:bookmarkEnd w:id="37"/>
      <w:bookmarkEnd w:id="38"/>
      <w:bookmarkEnd w:id="39"/>
      <w:bookmarkEnd w:id="40"/>
      <w:bookmarkEnd w:id="41"/>
      <w:r w:rsidR="005631B0">
        <w:t xml:space="preserve"> </w:t>
      </w:r>
    </w:p>
    <w:p w14:paraId="4C44C416" w14:textId="53F09E1A" w:rsidR="005631B0" w:rsidRPr="00F369A6" w:rsidRDefault="005631B0" w:rsidP="005631B0">
      <w:pPr>
        <w:pStyle w:val="CGCTableHeading"/>
        <w:ind w:left="567" w:hanging="567"/>
      </w:pPr>
      <w:r w:rsidRPr="0072187F">
        <w:rPr>
          <w:sz w:val="22"/>
          <w:szCs w:val="22"/>
        </w:rPr>
        <w:t xml:space="preserve">Table </w:t>
      </w:r>
      <w:r>
        <w:rPr>
          <w:sz w:val="22"/>
          <w:szCs w:val="22"/>
        </w:rPr>
        <w:t>A</w:t>
      </w:r>
      <w:r w:rsidRPr="0072187F">
        <w:rPr>
          <w:sz w:val="22"/>
          <w:szCs w:val="22"/>
        </w:rPr>
        <w:t xml:space="preserve">- </w:t>
      </w:r>
      <w:r w:rsidRPr="0072187F">
        <w:rPr>
          <w:sz w:val="22"/>
          <w:szCs w:val="22"/>
        </w:rPr>
        <w:fldChar w:fldCharType="begin"/>
      </w:r>
      <w:r w:rsidRPr="0072187F">
        <w:rPr>
          <w:sz w:val="22"/>
          <w:szCs w:val="22"/>
        </w:rPr>
        <w:instrText xml:space="preserve"> SEQ Table_A- \* ARABIC </w:instrText>
      </w:r>
      <w:r w:rsidRPr="0072187F">
        <w:rPr>
          <w:sz w:val="22"/>
          <w:szCs w:val="22"/>
        </w:rPr>
        <w:fldChar w:fldCharType="separate"/>
      </w:r>
      <w:r w:rsidR="00D173AD">
        <w:rPr>
          <w:noProof/>
          <w:sz w:val="22"/>
          <w:szCs w:val="22"/>
        </w:rPr>
        <w:t>1</w:t>
      </w:r>
      <w:r w:rsidRPr="0072187F">
        <w:rPr>
          <w:sz w:val="22"/>
          <w:szCs w:val="22"/>
        </w:rPr>
        <w:fldChar w:fldCharType="end"/>
      </w:r>
      <w:r w:rsidRPr="0072187F">
        <w:rPr>
          <w:sz w:val="22"/>
          <w:szCs w:val="22"/>
        </w:rPr>
        <w:t xml:space="preserve"> </w:t>
      </w:r>
      <w:r>
        <w:rPr>
          <w:sz w:val="22"/>
          <w:szCs w:val="22"/>
        </w:rPr>
        <w:tab/>
      </w:r>
      <w:r w:rsidRPr="0072187F">
        <w:rPr>
          <w:sz w:val="22"/>
          <w:szCs w:val="22"/>
        </w:rPr>
        <w:t>Proposed treatment of Commonwealth payments commenced in 201</w:t>
      </w:r>
      <w:r>
        <w:rPr>
          <w:sz w:val="22"/>
          <w:szCs w:val="22"/>
        </w:rPr>
        <w:t>8-19</w:t>
      </w:r>
      <w:r w:rsidRPr="005B21AB">
        <w:rPr>
          <w:sz w:val="22"/>
          <w:szCs w:val="22"/>
          <w:shd w:val="clear" w:color="auto" w:fill="FFFFFF" w:themeFill="background1"/>
        </w:rPr>
        <w:t xml:space="preserve">, </w:t>
      </w:r>
      <w:r w:rsidRPr="005B21AB">
        <w:rPr>
          <w:i/>
          <w:sz w:val="22"/>
          <w:szCs w:val="22"/>
          <w:shd w:val="clear" w:color="auto" w:fill="FFFFFF" w:themeFill="background1"/>
        </w:rPr>
        <w:t>Final Budget Outcome, 2018</w:t>
      </w:r>
      <w:r>
        <w:rPr>
          <w:i/>
          <w:sz w:val="22"/>
          <w:szCs w:val="22"/>
        </w:rPr>
        <w:t>-19</w:t>
      </w:r>
    </w:p>
    <w:tbl>
      <w:tblPr>
        <w:tblStyle w:val="TableGrid1"/>
        <w:tblW w:w="5001" w:type="pct"/>
        <w:tblLook w:val="04A0" w:firstRow="1" w:lastRow="0" w:firstColumn="1" w:lastColumn="0" w:noHBand="0" w:noVBand="1"/>
        <w:tblCaption w:val="Table A1 proposed treatment of Commonwealth payments commenced in 2016-17"/>
        <w:tblDescription w:val="Proposed treatment of Commonwealth payments commenced in 2016-17"/>
      </w:tblPr>
      <w:tblGrid>
        <w:gridCol w:w="3081"/>
        <w:gridCol w:w="5604"/>
        <w:gridCol w:w="1239"/>
        <w:gridCol w:w="1457"/>
        <w:gridCol w:w="2048"/>
      </w:tblGrid>
      <w:tr w:rsidR="005631B0" w:rsidRPr="00F8751D" w14:paraId="5E777F5E" w14:textId="77777777" w:rsidTr="004442D3">
        <w:tc>
          <w:tcPr>
            <w:tcW w:w="1153" w:type="pct"/>
            <w:vAlign w:val="center"/>
          </w:tcPr>
          <w:p w14:paraId="052357E3" w14:textId="77777777" w:rsidR="005631B0" w:rsidRPr="00F8751D" w:rsidRDefault="005631B0" w:rsidP="00086947">
            <w:pPr>
              <w:spacing w:before="40" w:after="40" w:line="200" w:lineRule="atLeast"/>
              <w:ind w:left="567" w:hanging="567"/>
              <w:rPr>
                <w:rFonts w:ascii="Calibri" w:eastAsia="Calibri" w:hAnsi="Calibri" w:cs="Times New Roman"/>
                <w:sz w:val="20"/>
                <w:szCs w:val="20"/>
              </w:rPr>
            </w:pPr>
            <w:r w:rsidRPr="00F8751D">
              <w:rPr>
                <w:rFonts w:ascii="Calibri" w:eastAsia="Calibri" w:hAnsi="Calibri" w:cs="Times New Roman"/>
                <w:sz w:val="20"/>
                <w:szCs w:val="20"/>
              </w:rPr>
              <w:t>Commonwealth payment</w:t>
            </w:r>
          </w:p>
        </w:tc>
        <w:tc>
          <w:tcPr>
            <w:tcW w:w="2092" w:type="pct"/>
            <w:vAlign w:val="center"/>
          </w:tcPr>
          <w:p w14:paraId="37EF556A" w14:textId="77777777" w:rsidR="005631B0" w:rsidRPr="00F8751D" w:rsidRDefault="005631B0" w:rsidP="00086947">
            <w:pPr>
              <w:spacing w:before="40" w:after="40" w:line="200" w:lineRule="atLeast"/>
              <w:ind w:left="567" w:hanging="567"/>
              <w:rPr>
                <w:rFonts w:ascii="Calibri" w:eastAsia="Calibri" w:hAnsi="Calibri" w:cs="Times New Roman"/>
                <w:sz w:val="20"/>
                <w:szCs w:val="20"/>
              </w:rPr>
            </w:pPr>
            <w:r w:rsidRPr="00F8751D">
              <w:rPr>
                <w:rFonts w:ascii="Calibri" w:eastAsia="Calibri" w:hAnsi="Calibri" w:cs="Times New Roman"/>
                <w:sz w:val="20"/>
                <w:szCs w:val="20"/>
              </w:rPr>
              <w:t>Description</w:t>
            </w:r>
          </w:p>
        </w:tc>
        <w:tc>
          <w:tcPr>
            <w:tcW w:w="439" w:type="pct"/>
            <w:vAlign w:val="center"/>
          </w:tcPr>
          <w:p w14:paraId="73AC94F4" w14:textId="541714E1" w:rsidR="005631B0" w:rsidRPr="00F8751D" w:rsidRDefault="005B21AB" w:rsidP="005B21AB">
            <w:pPr>
              <w:spacing w:before="40" w:after="40" w:line="200" w:lineRule="atLeast"/>
              <w:jc w:val="right"/>
              <w:rPr>
                <w:rFonts w:ascii="Calibri" w:eastAsia="Calibri" w:hAnsi="Calibri" w:cs="Times New Roman"/>
                <w:sz w:val="20"/>
                <w:szCs w:val="20"/>
              </w:rPr>
            </w:pPr>
            <w:r>
              <w:rPr>
                <w:rFonts w:ascii="Calibri" w:eastAsia="Calibri" w:hAnsi="Calibri" w:cs="Times New Roman"/>
                <w:sz w:val="20"/>
                <w:szCs w:val="20"/>
              </w:rPr>
              <w:t>2018-19</w:t>
            </w:r>
            <w:r>
              <w:rPr>
                <w:rFonts w:ascii="Calibri" w:eastAsia="Calibri" w:hAnsi="Calibri" w:cs="Times New Roman"/>
                <w:sz w:val="20"/>
                <w:szCs w:val="20"/>
              </w:rPr>
              <w:br/>
            </w:r>
            <w:r w:rsidR="005631B0" w:rsidRPr="00F8751D">
              <w:rPr>
                <w:rFonts w:ascii="Calibri" w:eastAsia="Calibri" w:hAnsi="Calibri" w:cs="Times New Roman"/>
                <w:sz w:val="20"/>
                <w:szCs w:val="20"/>
              </w:rPr>
              <w:t>$m</w:t>
            </w:r>
          </w:p>
        </w:tc>
        <w:tc>
          <w:tcPr>
            <w:tcW w:w="544" w:type="pct"/>
            <w:vAlign w:val="center"/>
          </w:tcPr>
          <w:p w14:paraId="3EDB3F7D" w14:textId="77777777" w:rsidR="005631B0" w:rsidRPr="00F8751D" w:rsidRDefault="005631B0" w:rsidP="00086947">
            <w:pPr>
              <w:spacing w:before="40" w:after="40" w:line="200" w:lineRule="atLeast"/>
              <w:rPr>
                <w:rFonts w:ascii="Calibri" w:eastAsia="Calibri" w:hAnsi="Calibri" w:cs="Times New Roman"/>
                <w:sz w:val="20"/>
                <w:szCs w:val="20"/>
              </w:rPr>
            </w:pPr>
            <w:r w:rsidRPr="00F8751D">
              <w:rPr>
                <w:rFonts w:ascii="Calibri" w:eastAsia="Calibri" w:hAnsi="Calibri" w:cs="Times New Roman"/>
                <w:sz w:val="20"/>
                <w:szCs w:val="20"/>
              </w:rPr>
              <w:t>Proposed treatment</w:t>
            </w:r>
          </w:p>
        </w:tc>
        <w:tc>
          <w:tcPr>
            <w:tcW w:w="772" w:type="pct"/>
            <w:tcBorders>
              <w:bottom w:val="single" w:sz="4" w:space="0" w:color="auto"/>
            </w:tcBorders>
            <w:vAlign w:val="center"/>
          </w:tcPr>
          <w:p w14:paraId="7C1F7925" w14:textId="3FC5A346" w:rsidR="005631B0" w:rsidRPr="00F8751D" w:rsidRDefault="005631B0" w:rsidP="00086947">
            <w:pPr>
              <w:spacing w:before="40" w:after="40" w:line="200" w:lineRule="atLeast"/>
              <w:rPr>
                <w:rFonts w:ascii="Calibri" w:eastAsia="Calibri" w:hAnsi="Calibri" w:cs="Times New Roman"/>
                <w:sz w:val="20"/>
                <w:szCs w:val="20"/>
              </w:rPr>
            </w:pPr>
            <w:r w:rsidRPr="00F8751D">
              <w:rPr>
                <w:rFonts w:ascii="Calibri" w:eastAsia="Calibri" w:hAnsi="Calibri" w:cs="Times New Roman"/>
                <w:sz w:val="20"/>
                <w:szCs w:val="20"/>
              </w:rPr>
              <w:t xml:space="preserve">Reason for </w:t>
            </w:r>
            <w:r w:rsidR="00E93273">
              <w:rPr>
                <w:rFonts w:ascii="Calibri" w:eastAsia="Calibri" w:hAnsi="Calibri" w:cs="Times New Roman"/>
                <w:sz w:val="20"/>
                <w:szCs w:val="20"/>
              </w:rPr>
              <w:t>n</w:t>
            </w:r>
            <w:r w:rsidRPr="00F8751D">
              <w:rPr>
                <w:rFonts w:ascii="Calibri" w:eastAsia="Calibri" w:hAnsi="Calibri" w:cs="Times New Roman"/>
                <w:sz w:val="20"/>
                <w:szCs w:val="20"/>
              </w:rPr>
              <w:t>o impact treatment</w:t>
            </w:r>
          </w:p>
        </w:tc>
      </w:tr>
      <w:tr w:rsidR="005631B0" w:rsidRPr="00197C91" w14:paraId="1D161707" w14:textId="77777777" w:rsidTr="00685F9B">
        <w:tc>
          <w:tcPr>
            <w:tcW w:w="5000" w:type="pct"/>
            <w:gridSpan w:val="5"/>
            <w:tcBorders>
              <w:bottom w:val="single" w:sz="4" w:space="0" w:color="auto"/>
            </w:tcBorders>
          </w:tcPr>
          <w:p w14:paraId="295E2DF7" w14:textId="77777777" w:rsidR="005631B0" w:rsidRPr="00F8751D" w:rsidRDefault="005631B0" w:rsidP="00086947">
            <w:pPr>
              <w:spacing w:before="40" w:after="40" w:line="200" w:lineRule="atLeast"/>
              <w:ind w:left="567" w:hanging="567"/>
              <w:rPr>
                <w:rFonts w:ascii="Calibri" w:eastAsia="Calibri" w:hAnsi="Calibri" w:cs="Times New Roman"/>
                <w:b/>
                <w:sz w:val="20"/>
                <w:szCs w:val="20"/>
              </w:rPr>
            </w:pPr>
            <w:r w:rsidRPr="00F8751D">
              <w:rPr>
                <w:rFonts w:ascii="Calibri" w:eastAsia="Calibri" w:hAnsi="Calibri" w:cs="Times New Roman"/>
                <w:b/>
                <w:sz w:val="20"/>
                <w:szCs w:val="20"/>
              </w:rPr>
              <w:t>HEALTH</w:t>
            </w:r>
          </w:p>
        </w:tc>
      </w:tr>
      <w:tr w:rsidR="005631B0" w:rsidRPr="00197C91" w14:paraId="49B10B8A" w14:textId="77777777" w:rsidTr="00685F9B">
        <w:tc>
          <w:tcPr>
            <w:tcW w:w="5000" w:type="pct"/>
            <w:gridSpan w:val="5"/>
            <w:tcBorders>
              <w:bottom w:val="single" w:sz="4" w:space="0" w:color="auto"/>
            </w:tcBorders>
          </w:tcPr>
          <w:p w14:paraId="737E2727" w14:textId="77777777" w:rsidR="005631B0" w:rsidRPr="00F8751D" w:rsidRDefault="005631B0" w:rsidP="00086947">
            <w:pPr>
              <w:spacing w:before="40" w:after="40" w:line="200" w:lineRule="atLeast"/>
              <w:ind w:left="567" w:hanging="567"/>
              <w:rPr>
                <w:rFonts w:ascii="Calibri" w:eastAsia="Calibri" w:hAnsi="Calibri" w:cs="Times New Roman"/>
                <w:b/>
                <w:sz w:val="20"/>
                <w:szCs w:val="20"/>
              </w:rPr>
            </w:pPr>
            <w:r w:rsidRPr="00F8751D">
              <w:rPr>
                <w:rFonts w:ascii="Calibri" w:eastAsia="Calibri" w:hAnsi="Calibri" w:cs="Times New Roman"/>
                <w:b/>
                <w:sz w:val="20"/>
                <w:szCs w:val="20"/>
              </w:rPr>
              <w:t>Health services</w:t>
            </w:r>
          </w:p>
        </w:tc>
      </w:tr>
      <w:tr w:rsidR="005631B0" w:rsidRPr="00197C91" w14:paraId="0D0A5D5D" w14:textId="77777777" w:rsidTr="004442D3">
        <w:tc>
          <w:tcPr>
            <w:tcW w:w="1153" w:type="pct"/>
            <w:tcBorders>
              <w:top w:val="single" w:sz="4" w:space="0" w:color="auto"/>
              <w:bottom w:val="single" w:sz="4" w:space="0" w:color="auto"/>
            </w:tcBorders>
          </w:tcPr>
          <w:p w14:paraId="28147717" w14:textId="77777777" w:rsidR="005631B0" w:rsidRPr="00F8751D" w:rsidRDefault="005631B0" w:rsidP="00086947">
            <w:pPr>
              <w:spacing w:before="40" w:after="40" w:line="200" w:lineRule="atLeast"/>
              <w:rPr>
                <w:rFonts w:ascii="Calibri" w:hAnsi="Calibri"/>
                <w:sz w:val="20"/>
                <w:szCs w:val="20"/>
              </w:rPr>
            </w:pPr>
            <w:r w:rsidRPr="00F8751D">
              <w:rPr>
                <w:rFonts w:ascii="Calibri" w:hAnsi="Calibri"/>
                <w:sz w:val="20"/>
                <w:szCs w:val="20"/>
              </w:rPr>
              <w:t>Specialist dementia care</w:t>
            </w:r>
          </w:p>
        </w:tc>
        <w:tc>
          <w:tcPr>
            <w:tcW w:w="2092" w:type="pct"/>
            <w:tcBorders>
              <w:top w:val="single" w:sz="4" w:space="0" w:color="auto"/>
              <w:bottom w:val="single" w:sz="4" w:space="0" w:color="auto"/>
            </w:tcBorders>
          </w:tcPr>
          <w:p w14:paraId="34296B8C" w14:textId="77777777" w:rsidR="005631B0" w:rsidRPr="00F8751D" w:rsidRDefault="005631B0" w:rsidP="00086947">
            <w:pPr>
              <w:spacing w:before="40" w:after="40" w:line="200" w:lineRule="atLeast"/>
              <w:rPr>
                <w:rFonts w:ascii="Calibri" w:hAnsi="Calibri"/>
                <w:sz w:val="20"/>
                <w:szCs w:val="20"/>
              </w:rPr>
            </w:pPr>
            <w:r w:rsidRPr="00F8751D">
              <w:rPr>
                <w:rFonts w:ascii="Calibri" w:hAnsi="Calibri"/>
                <w:sz w:val="20"/>
                <w:szCs w:val="20"/>
              </w:rPr>
              <w:t>Funding for a program that delivers intensive and specialised care for people with very severe behavioural and psychological symptoms of dementia.</w:t>
            </w:r>
          </w:p>
        </w:tc>
        <w:tc>
          <w:tcPr>
            <w:tcW w:w="439" w:type="pct"/>
            <w:tcBorders>
              <w:top w:val="single" w:sz="4" w:space="0" w:color="auto"/>
              <w:bottom w:val="single" w:sz="4" w:space="0" w:color="auto"/>
            </w:tcBorders>
          </w:tcPr>
          <w:p w14:paraId="340FAA8F" w14:textId="77777777" w:rsidR="005631B0" w:rsidRPr="00F8751D" w:rsidRDefault="005631B0" w:rsidP="00086947">
            <w:pPr>
              <w:spacing w:before="40" w:after="40" w:line="200" w:lineRule="atLeast"/>
              <w:ind w:left="567" w:hanging="567"/>
              <w:jc w:val="right"/>
              <w:rPr>
                <w:rFonts w:ascii="Calibri" w:eastAsia="Calibri" w:hAnsi="Calibri" w:cs="Times New Roman"/>
                <w:sz w:val="20"/>
                <w:szCs w:val="20"/>
              </w:rPr>
            </w:pPr>
            <w:r w:rsidRPr="00F8751D">
              <w:rPr>
                <w:rFonts w:ascii="Calibri" w:eastAsia="Calibri" w:hAnsi="Calibri" w:cs="Times New Roman"/>
                <w:sz w:val="20"/>
                <w:szCs w:val="20"/>
              </w:rPr>
              <w:t>0.2</w:t>
            </w:r>
          </w:p>
        </w:tc>
        <w:tc>
          <w:tcPr>
            <w:tcW w:w="544" w:type="pct"/>
            <w:tcBorders>
              <w:top w:val="single" w:sz="4" w:space="0" w:color="auto"/>
              <w:bottom w:val="single" w:sz="4" w:space="0" w:color="auto"/>
            </w:tcBorders>
          </w:tcPr>
          <w:p w14:paraId="580EFB7A" w14:textId="77777777" w:rsidR="005631B0" w:rsidRPr="00F8751D" w:rsidRDefault="005631B0" w:rsidP="00086947">
            <w:pPr>
              <w:spacing w:before="40" w:after="40" w:line="200" w:lineRule="atLeast"/>
              <w:ind w:left="567" w:hanging="567"/>
              <w:rPr>
                <w:rFonts w:ascii="Calibri" w:eastAsia="Calibri" w:hAnsi="Calibri" w:cs="Times New Roman"/>
                <w:sz w:val="20"/>
                <w:szCs w:val="20"/>
              </w:rPr>
            </w:pPr>
            <w:r w:rsidRPr="00F8751D">
              <w:rPr>
                <w:rFonts w:ascii="Calibri" w:eastAsia="Calibri" w:hAnsi="Calibri" w:cs="Times New Roman"/>
                <w:sz w:val="20"/>
                <w:szCs w:val="20"/>
              </w:rPr>
              <w:t>Impact</w:t>
            </w:r>
          </w:p>
        </w:tc>
        <w:tc>
          <w:tcPr>
            <w:tcW w:w="772" w:type="pct"/>
            <w:tcBorders>
              <w:top w:val="single" w:sz="4" w:space="0" w:color="auto"/>
              <w:bottom w:val="single" w:sz="4" w:space="0" w:color="auto"/>
            </w:tcBorders>
          </w:tcPr>
          <w:p w14:paraId="51D254C1" w14:textId="77777777" w:rsidR="005631B0" w:rsidRPr="00F8751D" w:rsidRDefault="005631B0" w:rsidP="00086947">
            <w:pPr>
              <w:spacing w:before="40" w:after="40" w:line="200" w:lineRule="atLeast"/>
              <w:rPr>
                <w:rFonts w:ascii="Calibri" w:hAnsi="Calibri"/>
                <w:b/>
                <w:color w:val="FF0000"/>
                <w:sz w:val="20"/>
                <w:szCs w:val="20"/>
              </w:rPr>
            </w:pPr>
          </w:p>
        </w:tc>
      </w:tr>
      <w:tr w:rsidR="005631B0" w:rsidRPr="008A4038" w14:paraId="2DCAE323" w14:textId="77777777" w:rsidTr="00685F9B">
        <w:tc>
          <w:tcPr>
            <w:tcW w:w="5000" w:type="pct"/>
            <w:gridSpan w:val="5"/>
            <w:tcBorders>
              <w:bottom w:val="single" w:sz="4" w:space="0" w:color="auto"/>
            </w:tcBorders>
          </w:tcPr>
          <w:p w14:paraId="61AC65D1" w14:textId="77777777" w:rsidR="005631B0" w:rsidRPr="00F8751D" w:rsidRDefault="005631B0" w:rsidP="00086947">
            <w:pPr>
              <w:spacing w:before="40" w:after="40" w:line="200" w:lineRule="atLeast"/>
              <w:ind w:left="567" w:hanging="567"/>
              <w:rPr>
                <w:rFonts w:ascii="Calibri" w:eastAsia="Calibri" w:hAnsi="Calibri" w:cs="Times New Roman"/>
                <w:b/>
                <w:sz w:val="20"/>
                <w:szCs w:val="20"/>
              </w:rPr>
            </w:pPr>
            <w:r w:rsidRPr="00F8751D">
              <w:rPr>
                <w:rFonts w:ascii="Calibri" w:eastAsia="Calibri" w:hAnsi="Calibri" w:cs="Times New Roman"/>
                <w:b/>
                <w:sz w:val="20"/>
                <w:szCs w:val="20"/>
              </w:rPr>
              <w:t>Health infrastructure</w:t>
            </w:r>
          </w:p>
        </w:tc>
      </w:tr>
      <w:tr w:rsidR="005631B0" w:rsidRPr="008A4038" w14:paraId="37B9A484" w14:textId="77777777" w:rsidTr="004442D3">
        <w:tc>
          <w:tcPr>
            <w:tcW w:w="1153" w:type="pct"/>
            <w:tcBorders>
              <w:top w:val="single" w:sz="4" w:space="0" w:color="auto"/>
              <w:bottom w:val="single" w:sz="4" w:space="0" w:color="auto"/>
            </w:tcBorders>
          </w:tcPr>
          <w:p w14:paraId="5B7871E2" w14:textId="77777777" w:rsidR="005631B0" w:rsidRPr="008A4038" w:rsidRDefault="005631B0" w:rsidP="00086947">
            <w:pPr>
              <w:spacing w:before="40" w:after="40" w:line="200" w:lineRule="atLeast"/>
              <w:rPr>
                <w:rFonts w:ascii="Calibri" w:eastAsia="Calibri" w:hAnsi="Calibri" w:cs="Times New Roman"/>
                <w:sz w:val="20"/>
                <w:szCs w:val="20"/>
              </w:rPr>
            </w:pPr>
            <w:r w:rsidRPr="008A4038">
              <w:rPr>
                <w:rFonts w:ascii="Calibri" w:eastAsia="Calibri" w:hAnsi="Calibri" w:cs="Times New Roman"/>
                <w:sz w:val="20"/>
                <w:szCs w:val="20"/>
              </w:rPr>
              <w:t>Expansion of Clare Holland House</w:t>
            </w:r>
          </w:p>
        </w:tc>
        <w:tc>
          <w:tcPr>
            <w:tcW w:w="2092" w:type="pct"/>
            <w:tcBorders>
              <w:top w:val="single" w:sz="4" w:space="0" w:color="auto"/>
              <w:bottom w:val="single" w:sz="4" w:space="0" w:color="auto"/>
            </w:tcBorders>
          </w:tcPr>
          <w:p w14:paraId="36B5BF79" w14:textId="77777777" w:rsidR="005631B0" w:rsidRPr="008A4038" w:rsidRDefault="005631B0" w:rsidP="00086947">
            <w:pPr>
              <w:spacing w:before="40" w:after="40" w:line="200" w:lineRule="atLeast"/>
              <w:rPr>
                <w:rFonts w:ascii="Calibri" w:hAnsi="Calibri"/>
                <w:sz w:val="20"/>
                <w:szCs w:val="20"/>
              </w:rPr>
            </w:pPr>
            <w:r w:rsidRPr="008A4038">
              <w:rPr>
                <w:rFonts w:ascii="Calibri" w:hAnsi="Calibri"/>
                <w:sz w:val="20"/>
                <w:szCs w:val="20"/>
              </w:rPr>
              <w:t xml:space="preserve">Funding </w:t>
            </w:r>
            <w:r>
              <w:rPr>
                <w:rFonts w:ascii="Calibri" w:hAnsi="Calibri"/>
                <w:sz w:val="20"/>
                <w:szCs w:val="20"/>
              </w:rPr>
              <w:t xml:space="preserve">for the expansion of Clare Holland House in the ACT </w:t>
            </w:r>
            <w:r w:rsidRPr="008A4038">
              <w:rPr>
                <w:rFonts w:ascii="Calibri" w:hAnsi="Calibri"/>
                <w:sz w:val="20"/>
                <w:szCs w:val="20"/>
              </w:rPr>
              <w:t xml:space="preserve">to increase palliative care facilities in the </w:t>
            </w:r>
            <w:r>
              <w:rPr>
                <w:rFonts w:ascii="Calibri" w:hAnsi="Calibri"/>
                <w:sz w:val="20"/>
                <w:szCs w:val="20"/>
              </w:rPr>
              <w:t>territory</w:t>
            </w:r>
            <w:r w:rsidRPr="008A4038">
              <w:rPr>
                <w:rFonts w:ascii="Calibri" w:hAnsi="Calibri"/>
                <w:sz w:val="20"/>
                <w:szCs w:val="20"/>
              </w:rPr>
              <w:t>.</w:t>
            </w:r>
          </w:p>
        </w:tc>
        <w:tc>
          <w:tcPr>
            <w:tcW w:w="439" w:type="pct"/>
            <w:tcBorders>
              <w:top w:val="single" w:sz="4" w:space="0" w:color="auto"/>
              <w:bottom w:val="single" w:sz="4" w:space="0" w:color="auto"/>
            </w:tcBorders>
          </w:tcPr>
          <w:p w14:paraId="757F4CA9" w14:textId="77777777" w:rsidR="005631B0" w:rsidRPr="008A4038" w:rsidRDefault="005631B0" w:rsidP="00086947">
            <w:pPr>
              <w:spacing w:before="40" w:after="40" w:line="200" w:lineRule="atLeast"/>
              <w:ind w:left="567" w:hanging="567"/>
              <w:jc w:val="right"/>
              <w:rPr>
                <w:rFonts w:ascii="Calibri" w:eastAsia="Calibri" w:hAnsi="Calibri" w:cs="Times New Roman"/>
                <w:sz w:val="20"/>
                <w:szCs w:val="20"/>
              </w:rPr>
            </w:pPr>
            <w:r w:rsidRPr="008A4038">
              <w:rPr>
                <w:rFonts w:ascii="Calibri" w:eastAsia="Calibri" w:hAnsi="Calibri" w:cs="Times New Roman"/>
                <w:sz w:val="20"/>
                <w:szCs w:val="20"/>
              </w:rPr>
              <w:t>4.0</w:t>
            </w:r>
          </w:p>
        </w:tc>
        <w:tc>
          <w:tcPr>
            <w:tcW w:w="544" w:type="pct"/>
            <w:tcBorders>
              <w:top w:val="single" w:sz="4" w:space="0" w:color="auto"/>
              <w:bottom w:val="single" w:sz="4" w:space="0" w:color="auto"/>
            </w:tcBorders>
          </w:tcPr>
          <w:p w14:paraId="2FACE914" w14:textId="77777777" w:rsidR="005631B0" w:rsidRPr="008A4038" w:rsidRDefault="005631B0" w:rsidP="00086947">
            <w:pPr>
              <w:spacing w:before="40" w:after="40" w:line="200" w:lineRule="atLeast"/>
              <w:ind w:left="567" w:hanging="567"/>
              <w:rPr>
                <w:rFonts w:ascii="Calibri" w:eastAsia="Calibri" w:hAnsi="Calibri" w:cs="Times New Roman"/>
                <w:sz w:val="20"/>
                <w:szCs w:val="20"/>
              </w:rPr>
            </w:pPr>
            <w:r>
              <w:rPr>
                <w:rFonts w:ascii="Calibri" w:eastAsia="Calibri" w:hAnsi="Calibri" w:cs="Times New Roman"/>
                <w:sz w:val="20"/>
                <w:szCs w:val="20"/>
              </w:rPr>
              <w:t>No impact</w:t>
            </w:r>
          </w:p>
        </w:tc>
        <w:tc>
          <w:tcPr>
            <w:tcW w:w="772" w:type="pct"/>
            <w:tcBorders>
              <w:top w:val="single" w:sz="4" w:space="0" w:color="auto"/>
              <w:bottom w:val="single" w:sz="4" w:space="0" w:color="auto"/>
            </w:tcBorders>
          </w:tcPr>
          <w:p w14:paraId="17767D82" w14:textId="14A9F161" w:rsidR="005631B0" w:rsidRPr="00BA065E" w:rsidRDefault="005631B0" w:rsidP="00086947">
            <w:pPr>
              <w:spacing w:before="40" w:after="40" w:line="200" w:lineRule="atLeast"/>
              <w:rPr>
                <w:rFonts w:ascii="Calibri" w:eastAsia="Calibri" w:hAnsi="Calibri" w:cs="Times New Roman"/>
                <w:sz w:val="20"/>
                <w:szCs w:val="20"/>
              </w:rPr>
            </w:pPr>
            <w:r w:rsidRPr="00BA065E">
              <w:rPr>
                <w:rFonts w:ascii="Calibri" w:hAnsi="Calibri"/>
                <w:sz w:val="20"/>
                <w:szCs w:val="20"/>
              </w:rPr>
              <w:t>U2019 Terms of Reference requirement</w:t>
            </w:r>
            <w:r w:rsidR="005B21AB">
              <w:rPr>
                <w:rFonts w:ascii="Calibri" w:hAnsi="Calibri"/>
                <w:sz w:val="20"/>
                <w:szCs w:val="20"/>
              </w:rPr>
              <w:t>.</w:t>
            </w:r>
          </w:p>
        </w:tc>
      </w:tr>
      <w:tr w:rsidR="005631B0" w:rsidRPr="008A4038" w14:paraId="4DDBDD20" w14:textId="77777777" w:rsidTr="004442D3">
        <w:tc>
          <w:tcPr>
            <w:tcW w:w="1153" w:type="pct"/>
            <w:tcBorders>
              <w:top w:val="single" w:sz="4" w:space="0" w:color="auto"/>
              <w:bottom w:val="single" w:sz="4" w:space="0" w:color="auto"/>
            </w:tcBorders>
          </w:tcPr>
          <w:p w14:paraId="67E92FF2" w14:textId="77777777" w:rsidR="005631B0" w:rsidRPr="008A4038" w:rsidRDefault="005631B0" w:rsidP="00086947">
            <w:pPr>
              <w:spacing w:before="40" w:after="40" w:line="200" w:lineRule="atLeast"/>
              <w:rPr>
                <w:rFonts w:ascii="Calibri" w:eastAsia="Calibri" w:hAnsi="Calibri" w:cs="Times New Roman"/>
                <w:sz w:val="20"/>
                <w:szCs w:val="20"/>
              </w:rPr>
            </w:pPr>
            <w:r>
              <w:rPr>
                <w:rFonts w:ascii="Calibri" w:eastAsia="Calibri" w:hAnsi="Calibri" w:cs="Times New Roman"/>
                <w:sz w:val="20"/>
                <w:szCs w:val="20"/>
              </w:rPr>
              <w:t>Fussell House accommodation</w:t>
            </w:r>
          </w:p>
        </w:tc>
        <w:tc>
          <w:tcPr>
            <w:tcW w:w="2092" w:type="pct"/>
            <w:tcBorders>
              <w:top w:val="single" w:sz="4" w:space="0" w:color="auto"/>
              <w:bottom w:val="single" w:sz="4" w:space="0" w:color="auto"/>
            </w:tcBorders>
          </w:tcPr>
          <w:p w14:paraId="77E14881" w14:textId="77777777" w:rsidR="005631B0" w:rsidRPr="004A2E1A" w:rsidRDefault="005631B0" w:rsidP="00086947">
            <w:pPr>
              <w:spacing w:before="40" w:after="40" w:line="200" w:lineRule="atLeast"/>
              <w:rPr>
                <w:rFonts w:ascii="Calibri" w:hAnsi="Calibri"/>
                <w:sz w:val="20"/>
                <w:szCs w:val="20"/>
              </w:rPr>
            </w:pPr>
            <w:r>
              <w:rPr>
                <w:sz w:val="20"/>
                <w:szCs w:val="20"/>
              </w:rPr>
              <w:t>Funding</w:t>
            </w:r>
            <w:r w:rsidRPr="004A2E1A">
              <w:rPr>
                <w:sz w:val="20"/>
                <w:szCs w:val="20"/>
              </w:rPr>
              <w:t xml:space="preserve"> for the development of the </w:t>
            </w:r>
            <w:r>
              <w:rPr>
                <w:sz w:val="20"/>
                <w:szCs w:val="20"/>
              </w:rPr>
              <w:t xml:space="preserve">Fussell House </w:t>
            </w:r>
            <w:r w:rsidRPr="004A2E1A">
              <w:rPr>
                <w:sz w:val="20"/>
                <w:szCs w:val="20"/>
              </w:rPr>
              <w:t xml:space="preserve">accommodation facility </w:t>
            </w:r>
            <w:r>
              <w:rPr>
                <w:sz w:val="20"/>
                <w:szCs w:val="20"/>
              </w:rPr>
              <w:t xml:space="preserve">in New South Wales </w:t>
            </w:r>
            <w:r w:rsidRPr="004A2E1A">
              <w:rPr>
                <w:sz w:val="20"/>
                <w:szCs w:val="20"/>
              </w:rPr>
              <w:t>to house veterans and their families who receive treatment at the National Centre for Veterans’ Healthcare.</w:t>
            </w:r>
          </w:p>
        </w:tc>
        <w:tc>
          <w:tcPr>
            <w:tcW w:w="439" w:type="pct"/>
            <w:tcBorders>
              <w:top w:val="single" w:sz="4" w:space="0" w:color="auto"/>
              <w:bottom w:val="single" w:sz="4" w:space="0" w:color="auto"/>
            </w:tcBorders>
          </w:tcPr>
          <w:p w14:paraId="18A764CB" w14:textId="77777777" w:rsidR="005631B0" w:rsidRPr="008A4038" w:rsidRDefault="005631B0" w:rsidP="00086947">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4.0</w:t>
            </w:r>
          </w:p>
        </w:tc>
        <w:tc>
          <w:tcPr>
            <w:tcW w:w="544" w:type="pct"/>
            <w:tcBorders>
              <w:top w:val="single" w:sz="4" w:space="0" w:color="auto"/>
              <w:bottom w:val="single" w:sz="4" w:space="0" w:color="auto"/>
            </w:tcBorders>
          </w:tcPr>
          <w:p w14:paraId="68D270D2" w14:textId="77777777" w:rsidR="005631B0" w:rsidRPr="008A4038" w:rsidRDefault="005631B0" w:rsidP="00086947">
            <w:pPr>
              <w:spacing w:before="40" w:after="40" w:line="200" w:lineRule="atLeast"/>
              <w:ind w:left="567" w:hanging="567"/>
              <w:rPr>
                <w:rFonts w:ascii="Calibri" w:eastAsia="Calibri" w:hAnsi="Calibri" w:cs="Times New Roman"/>
                <w:sz w:val="20"/>
                <w:szCs w:val="20"/>
              </w:rPr>
            </w:pPr>
            <w:r>
              <w:rPr>
                <w:rFonts w:ascii="Calibri" w:eastAsia="Calibri" w:hAnsi="Calibri" w:cs="Times New Roman"/>
                <w:sz w:val="20"/>
                <w:szCs w:val="20"/>
              </w:rPr>
              <w:t>No impact</w:t>
            </w:r>
          </w:p>
        </w:tc>
        <w:tc>
          <w:tcPr>
            <w:tcW w:w="772" w:type="pct"/>
            <w:tcBorders>
              <w:top w:val="single" w:sz="4" w:space="0" w:color="auto"/>
              <w:bottom w:val="single" w:sz="4" w:space="0" w:color="auto"/>
            </w:tcBorders>
          </w:tcPr>
          <w:p w14:paraId="6C3F2784" w14:textId="77777777" w:rsidR="005631B0" w:rsidRPr="008A4038" w:rsidRDefault="005631B0" w:rsidP="00086947">
            <w:pPr>
              <w:spacing w:before="40" w:after="40" w:line="200" w:lineRule="atLeast"/>
              <w:rPr>
                <w:rFonts w:ascii="Calibri" w:eastAsia="Calibri" w:hAnsi="Calibri" w:cs="Times New Roman"/>
                <w:sz w:val="20"/>
                <w:szCs w:val="20"/>
              </w:rPr>
            </w:pPr>
            <w:r>
              <w:rPr>
                <w:rFonts w:ascii="Calibri" w:eastAsia="Calibri" w:hAnsi="Calibri" w:cs="Times New Roman"/>
                <w:sz w:val="20"/>
                <w:szCs w:val="20"/>
              </w:rPr>
              <w:t>Needs not assessed. Treatment of veterans is a Commonwealth responsibility.</w:t>
            </w:r>
          </w:p>
        </w:tc>
      </w:tr>
      <w:tr w:rsidR="00685F9B" w:rsidRPr="008A4038" w14:paraId="525978A5" w14:textId="77777777" w:rsidTr="004442D3">
        <w:trPr>
          <w:trHeight w:val="743"/>
        </w:trPr>
        <w:tc>
          <w:tcPr>
            <w:tcW w:w="1153" w:type="pct"/>
            <w:tcBorders>
              <w:top w:val="single" w:sz="4" w:space="0" w:color="auto"/>
              <w:bottom w:val="single" w:sz="4" w:space="0" w:color="auto"/>
            </w:tcBorders>
          </w:tcPr>
          <w:p w14:paraId="564EC40A" w14:textId="77777777" w:rsidR="00685F9B" w:rsidRDefault="00685F9B" w:rsidP="00E100DB">
            <w:pPr>
              <w:spacing w:before="40" w:after="40" w:line="200" w:lineRule="atLeast"/>
              <w:rPr>
                <w:rFonts w:ascii="Calibri" w:eastAsia="Calibri" w:hAnsi="Calibri" w:cs="Times New Roman"/>
                <w:sz w:val="20"/>
                <w:szCs w:val="20"/>
              </w:rPr>
            </w:pPr>
            <w:r>
              <w:rPr>
                <w:rFonts w:ascii="Calibri" w:eastAsia="Calibri" w:hAnsi="Calibri" w:cs="Times New Roman"/>
                <w:sz w:val="20"/>
                <w:szCs w:val="20"/>
              </w:rPr>
              <w:t>Redevelopment of Strathalbyn residential aged care facility</w:t>
            </w:r>
          </w:p>
          <w:p w14:paraId="26C38B60" w14:textId="77777777" w:rsidR="00685F9B" w:rsidRPr="008A4038" w:rsidRDefault="00685F9B" w:rsidP="00E100DB">
            <w:pPr>
              <w:spacing w:before="40" w:after="40" w:line="200" w:lineRule="atLeast"/>
              <w:rPr>
                <w:rFonts w:ascii="Calibri" w:eastAsia="Calibri" w:hAnsi="Calibri" w:cs="Times New Roman"/>
                <w:sz w:val="20"/>
                <w:szCs w:val="20"/>
              </w:rPr>
            </w:pPr>
          </w:p>
        </w:tc>
        <w:tc>
          <w:tcPr>
            <w:tcW w:w="2092" w:type="pct"/>
            <w:tcBorders>
              <w:top w:val="single" w:sz="4" w:space="0" w:color="auto"/>
              <w:bottom w:val="single" w:sz="4" w:space="0" w:color="auto"/>
            </w:tcBorders>
          </w:tcPr>
          <w:p w14:paraId="36C6B040" w14:textId="77777777" w:rsidR="00685F9B" w:rsidRPr="008A4038" w:rsidRDefault="00685F9B" w:rsidP="00E100DB">
            <w:pPr>
              <w:spacing w:before="40" w:after="40" w:line="200" w:lineRule="atLeast"/>
              <w:rPr>
                <w:rFonts w:ascii="Calibri" w:hAnsi="Calibri"/>
                <w:sz w:val="20"/>
                <w:szCs w:val="20"/>
              </w:rPr>
            </w:pPr>
            <w:r>
              <w:rPr>
                <w:rFonts w:ascii="Calibri" w:hAnsi="Calibri"/>
                <w:sz w:val="20"/>
                <w:szCs w:val="20"/>
              </w:rPr>
              <w:t>Funding for additional residential aged care services in Strathalbyn, South Australia by undertaking capital works at the Strathalbyn and District Aged Care Facility.</w:t>
            </w:r>
            <w:r>
              <w:t xml:space="preserve"> </w:t>
            </w:r>
            <w:r w:rsidRPr="001E5C54">
              <w:rPr>
                <w:rFonts w:ascii="Calibri" w:hAnsi="Calibri"/>
                <w:sz w:val="20"/>
                <w:szCs w:val="20"/>
              </w:rPr>
              <w:t xml:space="preserve">A new 36-bed residential aged care building will be constructed. </w:t>
            </w:r>
          </w:p>
        </w:tc>
        <w:tc>
          <w:tcPr>
            <w:tcW w:w="439" w:type="pct"/>
            <w:tcBorders>
              <w:top w:val="single" w:sz="4" w:space="0" w:color="auto"/>
              <w:bottom w:val="single" w:sz="4" w:space="0" w:color="auto"/>
            </w:tcBorders>
          </w:tcPr>
          <w:p w14:paraId="7F6460F0" w14:textId="77777777" w:rsidR="00685F9B" w:rsidRPr="008A4038" w:rsidRDefault="00685F9B" w:rsidP="00E100DB">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2.5</w:t>
            </w:r>
          </w:p>
        </w:tc>
        <w:tc>
          <w:tcPr>
            <w:tcW w:w="548" w:type="pct"/>
            <w:tcBorders>
              <w:top w:val="single" w:sz="4" w:space="0" w:color="auto"/>
              <w:bottom w:val="single" w:sz="4" w:space="0" w:color="auto"/>
            </w:tcBorders>
          </w:tcPr>
          <w:p w14:paraId="48E7C149" w14:textId="77777777" w:rsidR="00685F9B" w:rsidRPr="008A4038" w:rsidRDefault="00685F9B" w:rsidP="00E100DB">
            <w:pPr>
              <w:spacing w:before="40" w:after="40" w:line="200" w:lineRule="atLeast"/>
              <w:ind w:left="567" w:hanging="567"/>
              <w:rPr>
                <w:rFonts w:ascii="Calibri" w:eastAsia="Calibri" w:hAnsi="Calibri" w:cs="Times New Roman"/>
                <w:sz w:val="20"/>
                <w:szCs w:val="20"/>
              </w:rPr>
            </w:pPr>
            <w:r>
              <w:rPr>
                <w:rFonts w:ascii="Calibri" w:eastAsia="Calibri" w:hAnsi="Calibri" w:cs="Times New Roman"/>
                <w:sz w:val="20"/>
                <w:szCs w:val="20"/>
              </w:rPr>
              <w:t>No impact</w:t>
            </w:r>
          </w:p>
        </w:tc>
        <w:tc>
          <w:tcPr>
            <w:tcW w:w="768" w:type="pct"/>
            <w:tcBorders>
              <w:top w:val="single" w:sz="4" w:space="0" w:color="auto"/>
              <w:bottom w:val="single" w:sz="4" w:space="0" w:color="auto"/>
            </w:tcBorders>
          </w:tcPr>
          <w:p w14:paraId="7DEEEF26" w14:textId="77777777" w:rsidR="00685F9B" w:rsidRPr="008A4038" w:rsidRDefault="00685F9B" w:rsidP="00E100DB">
            <w:pPr>
              <w:spacing w:before="40" w:after="40" w:line="200" w:lineRule="atLeast"/>
              <w:rPr>
                <w:rFonts w:ascii="Calibri" w:eastAsia="Calibri" w:hAnsi="Calibri" w:cs="Times New Roman"/>
                <w:sz w:val="20"/>
                <w:szCs w:val="20"/>
              </w:rPr>
            </w:pPr>
            <w:r>
              <w:rPr>
                <w:rFonts w:ascii="Calibri" w:eastAsia="Calibri" w:hAnsi="Calibri" w:cs="Times New Roman"/>
                <w:sz w:val="20"/>
                <w:szCs w:val="20"/>
              </w:rPr>
              <w:t>Needs not assessed. Aged care services are Commonwealth responsibility.</w:t>
            </w:r>
          </w:p>
        </w:tc>
      </w:tr>
      <w:tr w:rsidR="00685F9B" w:rsidRPr="00685F9B" w14:paraId="597DD2EE" w14:textId="77777777" w:rsidTr="004442D3">
        <w:trPr>
          <w:trHeight w:val="743"/>
        </w:trPr>
        <w:tc>
          <w:tcPr>
            <w:tcW w:w="1153" w:type="pct"/>
            <w:tcBorders>
              <w:top w:val="single" w:sz="4" w:space="0" w:color="auto"/>
              <w:bottom w:val="single" w:sz="4" w:space="0" w:color="auto"/>
            </w:tcBorders>
          </w:tcPr>
          <w:p w14:paraId="54CAC10B" w14:textId="14E742B5" w:rsidR="00685F9B" w:rsidRPr="00685F9B" w:rsidRDefault="00685F9B" w:rsidP="00685F9B">
            <w:pPr>
              <w:spacing w:before="40" w:after="40" w:line="200" w:lineRule="atLeast"/>
              <w:rPr>
                <w:rFonts w:ascii="Calibri" w:eastAsia="Calibri" w:hAnsi="Calibri" w:cs="Times New Roman"/>
                <w:b/>
                <w:sz w:val="20"/>
                <w:szCs w:val="20"/>
              </w:rPr>
            </w:pPr>
            <w:r w:rsidRPr="00685F9B">
              <w:rPr>
                <w:rFonts w:ascii="Calibri" w:eastAsia="Calibri" w:hAnsi="Calibri" w:cs="Times New Roman"/>
                <w:b/>
                <w:sz w:val="20"/>
                <w:szCs w:val="20"/>
              </w:rPr>
              <w:t>Other health</w:t>
            </w:r>
          </w:p>
        </w:tc>
        <w:tc>
          <w:tcPr>
            <w:tcW w:w="2092" w:type="pct"/>
            <w:tcBorders>
              <w:top w:val="single" w:sz="4" w:space="0" w:color="auto"/>
              <w:bottom w:val="single" w:sz="4" w:space="0" w:color="auto"/>
            </w:tcBorders>
          </w:tcPr>
          <w:p w14:paraId="015CB065" w14:textId="77777777" w:rsidR="00685F9B" w:rsidRPr="00685F9B" w:rsidRDefault="00685F9B" w:rsidP="00685F9B">
            <w:pPr>
              <w:spacing w:before="40" w:after="40" w:line="200" w:lineRule="atLeast"/>
              <w:rPr>
                <w:rFonts w:ascii="Calibri" w:eastAsia="Calibri" w:hAnsi="Calibri" w:cs="Times New Roman"/>
                <w:sz w:val="20"/>
                <w:szCs w:val="20"/>
              </w:rPr>
            </w:pPr>
          </w:p>
        </w:tc>
        <w:tc>
          <w:tcPr>
            <w:tcW w:w="439" w:type="pct"/>
            <w:tcBorders>
              <w:top w:val="single" w:sz="4" w:space="0" w:color="auto"/>
              <w:bottom w:val="single" w:sz="4" w:space="0" w:color="auto"/>
            </w:tcBorders>
          </w:tcPr>
          <w:p w14:paraId="5BE7CDA9" w14:textId="77777777" w:rsidR="00685F9B" w:rsidRDefault="00685F9B" w:rsidP="00685F9B">
            <w:pPr>
              <w:spacing w:before="40" w:after="40" w:line="200" w:lineRule="atLeast"/>
              <w:rPr>
                <w:rFonts w:ascii="Calibri" w:eastAsia="Calibri" w:hAnsi="Calibri" w:cs="Times New Roman"/>
                <w:sz w:val="20"/>
                <w:szCs w:val="20"/>
              </w:rPr>
            </w:pPr>
          </w:p>
        </w:tc>
        <w:tc>
          <w:tcPr>
            <w:tcW w:w="548" w:type="pct"/>
            <w:tcBorders>
              <w:top w:val="single" w:sz="4" w:space="0" w:color="auto"/>
              <w:bottom w:val="single" w:sz="4" w:space="0" w:color="auto"/>
            </w:tcBorders>
          </w:tcPr>
          <w:p w14:paraId="66C9A45C" w14:textId="77777777" w:rsidR="00685F9B" w:rsidRDefault="00685F9B" w:rsidP="00685F9B">
            <w:pPr>
              <w:spacing w:before="40" w:after="40" w:line="200" w:lineRule="atLeast"/>
              <w:rPr>
                <w:rFonts w:ascii="Calibri" w:eastAsia="Calibri" w:hAnsi="Calibri" w:cs="Times New Roman"/>
                <w:sz w:val="20"/>
                <w:szCs w:val="20"/>
              </w:rPr>
            </w:pPr>
          </w:p>
        </w:tc>
        <w:tc>
          <w:tcPr>
            <w:tcW w:w="768" w:type="pct"/>
            <w:tcBorders>
              <w:top w:val="single" w:sz="4" w:space="0" w:color="auto"/>
              <w:bottom w:val="single" w:sz="4" w:space="0" w:color="auto"/>
            </w:tcBorders>
          </w:tcPr>
          <w:p w14:paraId="60B34C2A" w14:textId="77777777" w:rsidR="00685F9B" w:rsidRDefault="00685F9B" w:rsidP="00685F9B">
            <w:pPr>
              <w:spacing w:before="40" w:after="40" w:line="200" w:lineRule="atLeast"/>
              <w:rPr>
                <w:rFonts w:ascii="Calibri" w:eastAsia="Calibri" w:hAnsi="Calibri" w:cs="Times New Roman"/>
                <w:sz w:val="20"/>
                <w:szCs w:val="20"/>
              </w:rPr>
            </w:pPr>
          </w:p>
        </w:tc>
      </w:tr>
      <w:tr w:rsidR="00685F9B" w:rsidRPr="00AE11EB" w14:paraId="43272548" w14:textId="77777777" w:rsidTr="004442D3">
        <w:tc>
          <w:tcPr>
            <w:tcW w:w="1153" w:type="pct"/>
            <w:tcBorders>
              <w:top w:val="single" w:sz="4" w:space="0" w:color="auto"/>
              <w:bottom w:val="single" w:sz="4" w:space="0" w:color="auto"/>
            </w:tcBorders>
          </w:tcPr>
          <w:p w14:paraId="681B77B0" w14:textId="77777777" w:rsidR="00685F9B" w:rsidRPr="005160A6" w:rsidRDefault="00685F9B" w:rsidP="00A57D74">
            <w:pPr>
              <w:spacing w:before="40" w:after="40" w:line="200" w:lineRule="atLeast"/>
              <w:rPr>
                <w:rFonts w:ascii="Calibri" w:eastAsia="Calibri" w:hAnsi="Calibri" w:cs="Times New Roman"/>
                <w:sz w:val="20"/>
                <w:szCs w:val="20"/>
              </w:rPr>
            </w:pPr>
            <w:r w:rsidRPr="005160A6">
              <w:rPr>
                <w:rFonts w:ascii="Calibri" w:eastAsia="Calibri" w:hAnsi="Calibri" w:cs="Times New Roman"/>
                <w:sz w:val="20"/>
                <w:szCs w:val="20"/>
              </w:rPr>
              <w:t>Community Health, Hospitals and Infrastructure projects</w:t>
            </w:r>
          </w:p>
        </w:tc>
        <w:tc>
          <w:tcPr>
            <w:tcW w:w="2092" w:type="pct"/>
            <w:tcBorders>
              <w:top w:val="single" w:sz="4" w:space="0" w:color="auto"/>
              <w:bottom w:val="single" w:sz="4" w:space="0" w:color="auto"/>
            </w:tcBorders>
          </w:tcPr>
          <w:p w14:paraId="00CB7A2D" w14:textId="5DCFCEE4" w:rsidR="00685F9B" w:rsidRPr="00AE11EB" w:rsidRDefault="00685F9B" w:rsidP="0070496E">
            <w:pPr>
              <w:spacing w:before="40" w:after="40" w:line="200" w:lineRule="atLeast"/>
              <w:rPr>
                <w:rFonts w:ascii="Calibri" w:hAnsi="Calibri"/>
                <w:sz w:val="20"/>
                <w:szCs w:val="20"/>
              </w:rPr>
            </w:pPr>
            <w:r>
              <w:rPr>
                <w:rFonts w:ascii="Calibri" w:eastAsia="Calibri" w:hAnsi="Calibri" w:cs="Times New Roman"/>
                <w:sz w:val="20"/>
                <w:szCs w:val="20"/>
              </w:rPr>
              <w:t>F</w:t>
            </w:r>
            <w:r w:rsidRPr="005160A6">
              <w:rPr>
                <w:rFonts w:ascii="Calibri" w:eastAsia="Calibri" w:hAnsi="Calibri" w:cs="Times New Roman"/>
                <w:sz w:val="20"/>
                <w:szCs w:val="20"/>
              </w:rPr>
              <w:t xml:space="preserve">unding to all States for health infrastructure and services to </w:t>
            </w:r>
            <w:r w:rsidR="0070496E">
              <w:rPr>
                <w:rFonts w:ascii="Calibri" w:eastAsia="Calibri" w:hAnsi="Calibri" w:cs="Times New Roman"/>
                <w:sz w:val="20"/>
                <w:szCs w:val="20"/>
              </w:rPr>
              <w:t>improve</w:t>
            </w:r>
            <w:r w:rsidRPr="005160A6">
              <w:rPr>
                <w:rFonts w:ascii="Calibri" w:eastAsia="Calibri" w:hAnsi="Calibri" w:cs="Times New Roman"/>
                <w:sz w:val="20"/>
                <w:szCs w:val="20"/>
              </w:rPr>
              <w:t xml:space="preserve"> access </w:t>
            </w:r>
            <w:r w:rsidR="0070496E">
              <w:rPr>
                <w:rFonts w:ascii="Calibri" w:eastAsia="Calibri" w:hAnsi="Calibri" w:cs="Times New Roman"/>
                <w:sz w:val="20"/>
                <w:szCs w:val="20"/>
              </w:rPr>
              <w:t xml:space="preserve">to </w:t>
            </w:r>
            <w:r w:rsidRPr="005160A6">
              <w:rPr>
                <w:rFonts w:ascii="Calibri" w:eastAsia="Calibri" w:hAnsi="Calibri" w:cs="Times New Roman"/>
                <w:sz w:val="20"/>
                <w:szCs w:val="20"/>
              </w:rPr>
              <w:t>care.</w:t>
            </w:r>
            <w:r>
              <w:rPr>
                <w:rFonts w:ascii="Calibri" w:eastAsia="Calibri" w:hAnsi="Calibri" w:cs="Times New Roman"/>
                <w:sz w:val="20"/>
                <w:szCs w:val="20"/>
              </w:rPr>
              <w:t xml:space="preserve"> Some of the payments are made through the Guaranteeing Medicare project.</w:t>
            </w:r>
          </w:p>
        </w:tc>
        <w:tc>
          <w:tcPr>
            <w:tcW w:w="439" w:type="pct"/>
            <w:tcBorders>
              <w:top w:val="single" w:sz="4" w:space="0" w:color="auto"/>
              <w:bottom w:val="single" w:sz="4" w:space="0" w:color="auto"/>
            </w:tcBorders>
          </w:tcPr>
          <w:p w14:paraId="191ABEA8" w14:textId="77777777" w:rsidR="00685F9B" w:rsidRPr="00AE11EB" w:rsidRDefault="00685F9B" w:rsidP="00A57D74">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 xml:space="preserve"> 100.8</w:t>
            </w:r>
          </w:p>
        </w:tc>
        <w:tc>
          <w:tcPr>
            <w:tcW w:w="548" w:type="pct"/>
            <w:tcBorders>
              <w:top w:val="single" w:sz="4" w:space="0" w:color="auto"/>
              <w:bottom w:val="single" w:sz="4" w:space="0" w:color="auto"/>
            </w:tcBorders>
          </w:tcPr>
          <w:p w14:paraId="3210F040" w14:textId="77777777" w:rsidR="00685F9B" w:rsidRPr="005160A6" w:rsidRDefault="00685F9B" w:rsidP="00A57D74">
            <w:pPr>
              <w:spacing w:before="40" w:after="40" w:line="200" w:lineRule="atLeast"/>
              <w:rPr>
                <w:rFonts w:ascii="Calibri" w:eastAsia="Calibri" w:hAnsi="Calibri" w:cs="Times New Roman"/>
                <w:sz w:val="20"/>
                <w:szCs w:val="20"/>
              </w:rPr>
            </w:pPr>
            <w:r>
              <w:rPr>
                <w:rFonts w:ascii="Calibri" w:eastAsia="Calibri" w:hAnsi="Calibri" w:cs="Times New Roman"/>
                <w:sz w:val="20"/>
                <w:szCs w:val="20"/>
              </w:rPr>
              <w:t>Impact</w:t>
            </w:r>
          </w:p>
        </w:tc>
        <w:tc>
          <w:tcPr>
            <w:tcW w:w="768" w:type="pct"/>
            <w:tcBorders>
              <w:top w:val="single" w:sz="4" w:space="0" w:color="auto"/>
              <w:bottom w:val="single" w:sz="4" w:space="0" w:color="auto"/>
            </w:tcBorders>
          </w:tcPr>
          <w:p w14:paraId="4EDD9596" w14:textId="77777777" w:rsidR="00685F9B" w:rsidRDefault="00685F9B" w:rsidP="00A57D74">
            <w:pPr>
              <w:spacing w:before="40" w:after="40" w:line="200" w:lineRule="atLeast"/>
              <w:rPr>
                <w:rFonts w:ascii="Calibri" w:eastAsia="Calibri" w:hAnsi="Calibri" w:cs="Times New Roman"/>
                <w:sz w:val="20"/>
                <w:szCs w:val="20"/>
              </w:rPr>
            </w:pPr>
          </w:p>
          <w:p w14:paraId="25C084E1" w14:textId="77777777" w:rsidR="00685F9B" w:rsidRDefault="00685F9B" w:rsidP="00A57D74">
            <w:pPr>
              <w:spacing w:before="40" w:after="40" w:line="200" w:lineRule="atLeast"/>
              <w:rPr>
                <w:rFonts w:ascii="Calibri" w:eastAsia="Calibri" w:hAnsi="Calibri" w:cs="Times New Roman"/>
                <w:sz w:val="20"/>
                <w:szCs w:val="20"/>
              </w:rPr>
            </w:pPr>
          </w:p>
          <w:p w14:paraId="65B684C0" w14:textId="77777777" w:rsidR="00685F9B" w:rsidRDefault="00685F9B" w:rsidP="00A57D74">
            <w:pPr>
              <w:spacing w:before="40" w:after="40" w:line="200" w:lineRule="atLeast"/>
              <w:rPr>
                <w:rFonts w:ascii="Calibri" w:eastAsia="Calibri" w:hAnsi="Calibri" w:cs="Times New Roman"/>
                <w:sz w:val="20"/>
                <w:szCs w:val="20"/>
              </w:rPr>
            </w:pPr>
          </w:p>
          <w:p w14:paraId="260FB1DD" w14:textId="77777777" w:rsidR="00685F9B" w:rsidRPr="001E2B01" w:rsidRDefault="00685F9B" w:rsidP="00A57D74">
            <w:pPr>
              <w:spacing w:before="40" w:after="40" w:line="200" w:lineRule="atLeast"/>
              <w:rPr>
                <w:rFonts w:ascii="Calibri" w:eastAsia="Calibri" w:hAnsi="Calibri" w:cs="Times New Roman"/>
                <w:sz w:val="20"/>
                <w:szCs w:val="20"/>
              </w:rPr>
            </w:pPr>
          </w:p>
        </w:tc>
      </w:tr>
    </w:tbl>
    <w:p w14:paraId="6D8BE13B" w14:textId="77777777" w:rsidR="005631B0" w:rsidRPr="00C73C8A" w:rsidRDefault="005631B0" w:rsidP="005631B0">
      <w:pPr>
        <w:rPr>
          <w:b/>
        </w:rPr>
      </w:pPr>
      <w:r w:rsidRPr="00C73C8A">
        <w:rPr>
          <w:b/>
          <w:noProof/>
          <w:sz w:val="22"/>
          <w:lang w:eastAsia="en-AU"/>
        </w:rPr>
        <w:lastRenderedPageBreak/>
        <mc:AlternateContent>
          <mc:Choice Requires="wps">
            <w:drawing>
              <wp:anchor distT="0" distB="0" distL="114300" distR="114300" simplePos="0" relativeHeight="251663360" behindDoc="0" locked="0" layoutInCell="1" allowOverlap="1" wp14:anchorId="74E7B2E7" wp14:editId="71872F8A">
                <wp:simplePos x="0" y="0"/>
                <wp:positionH relativeFrom="column">
                  <wp:posOffset>-708660</wp:posOffset>
                </wp:positionH>
                <wp:positionV relativeFrom="paragraph">
                  <wp:posOffset>254635</wp:posOffset>
                </wp:positionV>
                <wp:extent cx="430530" cy="4962525"/>
                <wp:effectExtent l="0" t="0" r="762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496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15804" w14:textId="073E5C0A" w:rsidR="000A1A57" w:rsidRPr="00C73C8A" w:rsidRDefault="000A1A57" w:rsidP="005631B0">
                            <w:pPr>
                              <w:spacing w:after="0" w:line="240" w:lineRule="auto"/>
                              <w:rPr>
                                <w:sz w:val="20"/>
                                <w:szCs w:val="20"/>
                              </w:rPr>
                            </w:pPr>
                            <w:r w:rsidRPr="00C73C8A">
                              <w:t>Attachment A</w:t>
                            </w:r>
                            <w:r w:rsidRPr="00C73C8A">
                              <w:rPr>
                                <w:sz w:val="20"/>
                                <w:szCs w:val="20"/>
                              </w:rPr>
                              <w:tab/>
                            </w:r>
                            <w:r w:rsidRPr="00C73C8A">
                              <w:rPr>
                                <w:sz w:val="20"/>
                                <w:szCs w:val="20"/>
                              </w:rPr>
                              <w:ptab w:relativeTo="margin" w:alignment="right" w:leader="none"/>
                            </w:r>
                            <w:r w:rsidRPr="00C73C8A">
                              <w:fldChar w:fldCharType="begin"/>
                            </w:r>
                            <w:r w:rsidRPr="00C73C8A">
                              <w:instrText xml:space="preserve"> PAGE   \* MERGEFORMAT </w:instrText>
                            </w:r>
                            <w:r w:rsidRPr="00C73C8A">
                              <w:fldChar w:fldCharType="separate"/>
                            </w:r>
                            <w:r w:rsidR="00D173AD">
                              <w:rPr>
                                <w:noProof/>
                              </w:rPr>
                              <w:t>5</w:t>
                            </w:r>
                            <w:r w:rsidRPr="00C73C8A">
                              <w:rPr>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7B2E7" id="Text Box 11" o:spid="_x0000_s1027" type="#_x0000_t202" style="position:absolute;margin-left:-55.8pt;margin-top:20.05pt;width:33.9pt;height:3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" stroked="f">
                <v:textbox style="layout-flow:vertical">
                  <w:txbxContent>
                    <w:p w14:paraId="12415804" w14:textId="073E5C0A" w:rsidR="000A1A57" w:rsidRPr="00C73C8A" w:rsidRDefault="000A1A57" w:rsidP="005631B0">
                      <w:pPr>
                        <w:spacing w:after="0" w:line="240" w:lineRule="auto"/>
                        <w:rPr>
                          <w:sz w:val="20"/>
                          <w:szCs w:val="20"/>
                        </w:rPr>
                      </w:pPr>
                      <w:r w:rsidRPr="00C73C8A">
                        <w:t>Attachment A</w:t>
                      </w:r>
                      <w:r w:rsidRPr="00C73C8A">
                        <w:rPr>
                          <w:sz w:val="20"/>
                          <w:szCs w:val="20"/>
                        </w:rPr>
                        <w:tab/>
                      </w:r>
                      <w:r w:rsidRPr="00C73C8A">
                        <w:rPr>
                          <w:sz w:val="20"/>
                          <w:szCs w:val="20"/>
                        </w:rPr>
                        <w:ptab w:relativeTo="margin" w:alignment="right" w:leader="none"/>
                      </w:r>
                      <w:r w:rsidRPr="00C73C8A">
                        <w:fldChar w:fldCharType="begin"/>
                      </w:r>
                      <w:r w:rsidRPr="00C73C8A">
                        <w:instrText xml:space="preserve"> PAGE   \* MERGEFORMAT </w:instrText>
                      </w:r>
                      <w:r w:rsidRPr="00C73C8A">
                        <w:fldChar w:fldCharType="separate"/>
                      </w:r>
                      <w:r w:rsidR="00D173AD">
                        <w:rPr>
                          <w:noProof/>
                        </w:rPr>
                        <w:t>5</w:t>
                      </w:r>
                      <w:r w:rsidRPr="00C73C8A">
                        <w:rPr>
                          <w:noProof/>
                        </w:rPr>
                        <w:fldChar w:fldCharType="end"/>
                      </w:r>
                    </w:p>
                  </w:txbxContent>
                </v:textbox>
              </v:shape>
            </w:pict>
          </mc:Fallback>
        </mc:AlternateContent>
      </w:r>
      <w:r w:rsidRPr="00C73C8A">
        <w:rPr>
          <w:b/>
          <w:sz w:val="22"/>
        </w:rPr>
        <w:t xml:space="preserve">Table A- 1 </w:t>
      </w:r>
      <w:r w:rsidRPr="00C73C8A">
        <w:rPr>
          <w:b/>
          <w:sz w:val="22"/>
        </w:rPr>
        <w:tab/>
        <w:t xml:space="preserve">Proposed treatment of Commonwealth payments commenced in 2018-19, </w:t>
      </w:r>
      <w:r w:rsidRPr="00C73C8A">
        <w:rPr>
          <w:b/>
          <w:i/>
          <w:sz w:val="22"/>
        </w:rPr>
        <w:t>Final Budget Outcome, 2018-19 (Continued)</w:t>
      </w:r>
    </w:p>
    <w:tbl>
      <w:tblPr>
        <w:tblStyle w:val="TableGrid1"/>
        <w:tblW w:w="5001" w:type="pct"/>
        <w:tblLook w:val="04A0" w:firstRow="1" w:lastRow="0" w:firstColumn="1" w:lastColumn="0" w:noHBand="0" w:noVBand="1"/>
        <w:tblCaption w:val="Table A1 proposed treatment of Commonwealth payments commenced in 2016-17"/>
        <w:tblDescription w:val="Proposed treatment of Commonwealth payments commenced in 2016-17"/>
      </w:tblPr>
      <w:tblGrid>
        <w:gridCol w:w="2981"/>
        <w:gridCol w:w="11"/>
        <w:gridCol w:w="5686"/>
        <w:gridCol w:w="1139"/>
        <w:gridCol w:w="1547"/>
        <w:gridCol w:w="2065"/>
      </w:tblGrid>
      <w:tr w:rsidR="005631B0" w:rsidRPr="00C73C8A" w14:paraId="2C03410F" w14:textId="77777777" w:rsidTr="005909AF">
        <w:tc>
          <w:tcPr>
            <w:tcW w:w="1110" w:type="pct"/>
          </w:tcPr>
          <w:p w14:paraId="2A4C92EA" w14:textId="77777777" w:rsidR="005631B0" w:rsidRPr="00C73C8A" w:rsidRDefault="005631B0" w:rsidP="00086947">
            <w:pPr>
              <w:spacing w:before="40" w:after="40" w:line="200" w:lineRule="atLeast"/>
              <w:ind w:left="567" w:hanging="567"/>
              <w:rPr>
                <w:rFonts w:ascii="Calibri" w:eastAsia="Calibri" w:hAnsi="Calibri" w:cs="Times New Roman"/>
                <w:sz w:val="20"/>
                <w:szCs w:val="20"/>
              </w:rPr>
            </w:pPr>
            <w:r w:rsidRPr="00C73C8A">
              <w:rPr>
                <w:rFonts w:ascii="Calibri" w:eastAsia="Calibri" w:hAnsi="Calibri" w:cs="Times New Roman"/>
                <w:sz w:val="20"/>
                <w:szCs w:val="20"/>
              </w:rPr>
              <w:t>Commonwealth payment</w:t>
            </w:r>
          </w:p>
        </w:tc>
        <w:tc>
          <w:tcPr>
            <w:tcW w:w="2121" w:type="pct"/>
            <w:gridSpan w:val="2"/>
          </w:tcPr>
          <w:p w14:paraId="56ACE5DC" w14:textId="77777777" w:rsidR="005631B0" w:rsidRPr="00C73C8A" w:rsidRDefault="005631B0" w:rsidP="00086947">
            <w:pPr>
              <w:spacing w:before="40" w:after="40" w:line="200" w:lineRule="atLeast"/>
              <w:ind w:left="567" w:hanging="567"/>
              <w:rPr>
                <w:rFonts w:ascii="Calibri" w:eastAsia="Calibri" w:hAnsi="Calibri" w:cs="Times New Roman"/>
                <w:sz w:val="20"/>
                <w:szCs w:val="20"/>
              </w:rPr>
            </w:pPr>
            <w:r w:rsidRPr="00C73C8A">
              <w:rPr>
                <w:rFonts w:ascii="Calibri" w:eastAsia="Calibri" w:hAnsi="Calibri" w:cs="Times New Roman"/>
                <w:sz w:val="20"/>
                <w:szCs w:val="20"/>
              </w:rPr>
              <w:t>Description</w:t>
            </w:r>
          </w:p>
        </w:tc>
        <w:tc>
          <w:tcPr>
            <w:tcW w:w="424" w:type="pct"/>
          </w:tcPr>
          <w:p w14:paraId="41FB145F" w14:textId="5521DAAF" w:rsidR="005631B0" w:rsidRPr="00C73C8A" w:rsidRDefault="005631B0" w:rsidP="005B21AB">
            <w:pPr>
              <w:spacing w:before="40" w:after="40" w:line="200" w:lineRule="atLeast"/>
              <w:jc w:val="right"/>
              <w:rPr>
                <w:rFonts w:ascii="Calibri" w:eastAsia="Calibri" w:hAnsi="Calibri" w:cs="Times New Roman"/>
                <w:sz w:val="20"/>
                <w:szCs w:val="20"/>
              </w:rPr>
            </w:pPr>
            <w:r w:rsidRPr="00C73C8A">
              <w:rPr>
                <w:rFonts w:ascii="Calibri" w:eastAsia="Calibri" w:hAnsi="Calibri" w:cs="Times New Roman"/>
                <w:sz w:val="20"/>
                <w:szCs w:val="20"/>
              </w:rPr>
              <w:t>2018-19</w:t>
            </w:r>
            <w:r w:rsidR="005B21AB">
              <w:rPr>
                <w:rFonts w:ascii="Calibri" w:eastAsia="Calibri" w:hAnsi="Calibri" w:cs="Times New Roman"/>
                <w:sz w:val="20"/>
                <w:szCs w:val="20"/>
              </w:rPr>
              <w:br/>
              <w:t xml:space="preserve"> </w:t>
            </w:r>
            <w:r w:rsidRPr="00C73C8A">
              <w:rPr>
                <w:rFonts w:ascii="Calibri" w:eastAsia="Calibri" w:hAnsi="Calibri" w:cs="Times New Roman"/>
                <w:sz w:val="20"/>
                <w:szCs w:val="20"/>
              </w:rPr>
              <w:t>$m</w:t>
            </w:r>
          </w:p>
        </w:tc>
        <w:tc>
          <w:tcPr>
            <w:tcW w:w="576" w:type="pct"/>
          </w:tcPr>
          <w:p w14:paraId="5849461E" w14:textId="77777777" w:rsidR="005631B0" w:rsidRPr="00C73C8A" w:rsidRDefault="005631B0" w:rsidP="00086947">
            <w:pPr>
              <w:spacing w:before="40" w:after="40" w:line="200" w:lineRule="atLeast"/>
              <w:rPr>
                <w:rFonts w:ascii="Calibri" w:eastAsia="Calibri" w:hAnsi="Calibri" w:cs="Times New Roman"/>
                <w:sz w:val="20"/>
                <w:szCs w:val="20"/>
              </w:rPr>
            </w:pPr>
            <w:r w:rsidRPr="00C73C8A">
              <w:rPr>
                <w:rFonts w:ascii="Calibri" w:eastAsia="Calibri" w:hAnsi="Calibri" w:cs="Times New Roman"/>
                <w:sz w:val="20"/>
                <w:szCs w:val="20"/>
              </w:rPr>
              <w:t>Proposed treatment</w:t>
            </w:r>
          </w:p>
        </w:tc>
        <w:tc>
          <w:tcPr>
            <w:tcW w:w="770" w:type="pct"/>
          </w:tcPr>
          <w:p w14:paraId="0E13E34A" w14:textId="3AF9BD64" w:rsidR="005631B0" w:rsidRPr="00C73C8A" w:rsidRDefault="00E93273" w:rsidP="00086947">
            <w:pPr>
              <w:spacing w:before="40" w:after="40" w:line="200" w:lineRule="atLeast"/>
              <w:rPr>
                <w:rFonts w:ascii="Calibri" w:eastAsia="Calibri" w:hAnsi="Calibri" w:cs="Times New Roman"/>
                <w:sz w:val="20"/>
                <w:szCs w:val="20"/>
              </w:rPr>
            </w:pPr>
            <w:r>
              <w:rPr>
                <w:rFonts w:ascii="Calibri" w:eastAsia="Calibri" w:hAnsi="Calibri" w:cs="Times New Roman"/>
                <w:sz w:val="20"/>
                <w:szCs w:val="20"/>
              </w:rPr>
              <w:t>Reason for n</w:t>
            </w:r>
            <w:r w:rsidR="005631B0" w:rsidRPr="00C73C8A">
              <w:rPr>
                <w:rFonts w:ascii="Calibri" w:eastAsia="Calibri" w:hAnsi="Calibri" w:cs="Times New Roman"/>
                <w:sz w:val="20"/>
                <w:szCs w:val="20"/>
              </w:rPr>
              <w:t>o impact treatment</w:t>
            </w:r>
          </w:p>
        </w:tc>
      </w:tr>
      <w:tr w:rsidR="005631B0" w:rsidRPr="00AE11EB" w14:paraId="38B9FDB1" w14:textId="77777777" w:rsidTr="005909AF">
        <w:tc>
          <w:tcPr>
            <w:tcW w:w="1110" w:type="pct"/>
            <w:tcBorders>
              <w:top w:val="single" w:sz="4" w:space="0" w:color="auto"/>
              <w:bottom w:val="single" w:sz="4" w:space="0" w:color="auto"/>
            </w:tcBorders>
          </w:tcPr>
          <w:p w14:paraId="6B4D046E" w14:textId="77777777" w:rsidR="005631B0" w:rsidRPr="00E25986" w:rsidRDefault="005631B0" w:rsidP="00086947">
            <w:pPr>
              <w:spacing w:before="40" w:after="40" w:line="200" w:lineRule="atLeast"/>
              <w:rPr>
                <w:rFonts w:ascii="Calibri" w:hAnsi="Calibri"/>
                <w:sz w:val="20"/>
                <w:szCs w:val="20"/>
              </w:rPr>
            </w:pPr>
            <w:r w:rsidRPr="00E25986">
              <w:rPr>
                <w:rFonts w:ascii="Calibri" w:hAnsi="Calibri"/>
                <w:sz w:val="20"/>
                <w:szCs w:val="20"/>
              </w:rPr>
              <w:t>Health Innovation Fund</w:t>
            </w:r>
          </w:p>
        </w:tc>
        <w:tc>
          <w:tcPr>
            <w:tcW w:w="2121" w:type="pct"/>
            <w:gridSpan w:val="2"/>
            <w:tcBorders>
              <w:top w:val="single" w:sz="4" w:space="0" w:color="auto"/>
              <w:bottom w:val="single" w:sz="4" w:space="0" w:color="auto"/>
            </w:tcBorders>
          </w:tcPr>
          <w:p w14:paraId="6CCB4AEF" w14:textId="535ECA99" w:rsidR="005631B0" w:rsidRPr="00E25986" w:rsidRDefault="005631B0" w:rsidP="0070496E">
            <w:pPr>
              <w:spacing w:before="40" w:after="40" w:line="200" w:lineRule="atLeast"/>
              <w:rPr>
                <w:rFonts w:ascii="Calibri" w:hAnsi="Calibri"/>
                <w:sz w:val="20"/>
                <w:szCs w:val="20"/>
              </w:rPr>
            </w:pPr>
            <w:r>
              <w:rPr>
                <w:rFonts w:ascii="Calibri" w:hAnsi="Calibri"/>
                <w:sz w:val="20"/>
                <w:szCs w:val="20"/>
              </w:rPr>
              <w:t xml:space="preserve">Funding to support the delivery of new projects that support health prevention and the better use of health data, consistent with reforms at clauses </w:t>
            </w:r>
            <w:r w:rsidRPr="00B05C69">
              <w:rPr>
                <w:rFonts w:ascii="Calibri" w:hAnsi="Calibri"/>
                <w:sz w:val="20"/>
                <w:szCs w:val="20"/>
              </w:rPr>
              <w:t>7(c)(v) and (vi) of the Heads of</w:t>
            </w:r>
            <w:r w:rsidR="0070496E">
              <w:rPr>
                <w:rFonts w:ascii="Calibri" w:hAnsi="Calibri"/>
                <w:sz w:val="20"/>
                <w:szCs w:val="20"/>
              </w:rPr>
              <w:t xml:space="preserve"> </w:t>
            </w:r>
            <w:r w:rsidRPr="00B05C69">
              <w:rPr>
                <w:rFonts w:ascii="Calibri" w:hAnsi="Calibri"/>
                <w:sz w:val="20"/>
                <w:szCs w:val="20"/>
              </w:rPr>
              <w:t>Agreement on Public Hospital Funding and Health Reform agreed in February 2018.</w:t>
            </w:r>
          </w:p>
        </w:tc>
        <w:tc>
          <w:tcPr>
            <w:tcW w:w="424" w:type="pct"/>
            <w:tcBorders>
              <w:top w:val="single" w:sz="4" w:space="0" w:color="auto"/>
              <w:bottom w:val="single" w:sz="4" w:space="0" w:color="auto"/>
            </w:tcBorders>
          </w:tcPr>
          <w:p w14:paraId="4E069DF9" w14:textId="77777777" w:rsidR="005631B0" w:rsidRPr="00AE11EB" w:rsidRDefault="005631B0" w:rsidP="00086947">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50.0</w:t>
            </w:r>
          </w:p>
        </w:tc>
        <w:tc>
          <w:tcPr>
            <w:tcW w:w="576" w:type="pct"/>
            <w:tcBorders>
              <w:top w:val="single" w:sz="4" w:space="0" w:color="auto"/>
              <w:bottom w:val="single" w:sz="4" w:space="0" w:color="auto"/>
            </w:tcBorders>
          </w:tcPr>
          <w:p w14:paraId="6EE729B4" w14:textId="77777777" w:rsidR="005631B0" w:rsidRPr="00E25986" w:rsidRDefault="005631B0" w:rsidP="00086947">
            <w:pPr>
              <w:spacing w:before="40" w:after="40" w:line="200" w:lineRule="atLeast"/>
              <w:ind w:left="567" w:hanging="567"/>
              <w:rPr>
                <w:rFonts w:ascii="Calibri" w:eastAsia="Calibri" w:hAnsi="Calibri" w:cs="Times New Roman"/>
                <w:sz w:val="20"/>
                <w:szCs w:val="20"/>
              </w:rPr>
            </w:pPr>
            <w:r>
              <w:rPr>
                <w:rFonts w:ascii="Calibri" w:eastAsia="Calibri" w:hAnsi="Calibri" w:cs="Times New Roman"/>
                <w:sz w:val="20"/>
                <w:szCs w:val="20"/>
              </w:rPr>
              <w:t>No impact</w:t>
            </w:r>
          </w:p>
        </w:tc>
        <w:tc>
          <w:tcPr>
            <w:tcW w:w="770" w:type="pct"/>
            <w:tcBorders>
              <w:top w:val="single" w:sz="4" w:space="0" w:color="auto"/>
              <w:bottom w:val="single" w:sz="4" w:space="0" w:color="auto"/>
            </w:tcBorders>
          </w:tcPr>
          <w:p w14:paraId="3537CCD6" w14:textId="5334FF1D" w:rsidR="005631B0" w:rsidRPr="00BA065E" w:rsidRDefault="005631B0" w:rsidP="00086947">
            <w:pPr>
              <w:spacing w:before="40" w:after="40" w:line="200" w:lineRule="atLeast"/>
              <w:rPr>
                <w:rFonts w:ascii="Calibri" w:eastAsia="Calibri" w:hAnsi="Calibri" w:cs="Times New Roman"/>
                <w:sz w:val="20"/>
                <w:szCs w:val="20"/>
              </w:rPr>
            </w:pPr>
            <w:r w:rsidRPr="00BA065E">
              <w:rPr>
                <w:rFonts w:ascii="Calibri" w:hAnsi="Calibri"/>
                <w:sz w:val="20"/>
                <w:szCs w:val="20"/>
              </w:rPr>
              <w:t>U2019 Terms of Reference requirement</w:t>
            </w:r>
            <w:r w:rsidR="0070496E">
              <w:rPr>
                <w:rFonts w:ascii="Calibri" w:hAnsi="Calibri"/>
                <w:sz w:val="20"/>
                <w:szCs w:val="20"/>
              </w:rPr>
              <w:t>.</w:t>
            </w:r>
          </w:p>
        </w:tc>
      </w:tr>
      <w:tr w:rsidR="005631B0" w:rsidRPr="00AE11EB" w14:paraId="6C59E84B" w14:textId="77777777" w:rsidTr="00685F9B">
        <w:tc>
          <w:tcPr>
            <w:tcW w:w="5000" w:type="pct"/>
            <w:gridSpan w:val="6"/>
            <w:tcBorders>
              <w:top w:val="single" w:sz="4" w:space="0" w:color="auto"/>
              <w:bottom w:val="single" w:sz="4" w:space="0" w:color="auto"/>
            </w:tcBorders>
          </w:tcPr>
          <w:p w14:paraId="524641DF" w14:textId="77777777" w:rsidR="005631B0" w:rsidRPr="00AE11EB" w:rsidRDefault="005631B0" w:rsidP="00086947">
            <w:pPr>
              <w:spacing w:before="40" w:after="40" w:line="200" w:lineRule="atLeast"/>
              <w:rPr>
                <w:rFonts w:ascii="Calibri" w:eastAsia="Calibri" w:hAnsi="Calibri" w:cs="Times New Roman"/>
                <w:sz w:val="20"/>
                <w:szCs w:val="20"/>
              </w:rPr>
            </w:pPr>
            <w:r w:rsidRPr="00E25986">
              <w:rPr>
                <w:rFonts w:ascii="Calibri" w:eastAsia="Calibri" w:hAnsi="Calibri" w:cs="Times New Roman"/>
                <w:b/>
                <w:sz w:val="20"/>
                <w:szCs w:val="20"/>
              </w:rPr>
              <w:t>SKILLS AND WORKFORCE DEVELOPMENT</w:t>
            </w:r>
          </w:p>
        </w:tc>
      </w:tr>
      <w:tr w:rsidR="005631B0" w:rsidRPr="00AE11EB" w14:paraId="2F55C3D2" w14:textId="77777777" w:rsidTr="005909AF">
        <w:tc>
          <w:tcPr>
            <w:tcW w:w="1110" w:type="pct"/>
            <w:tcBorders>
              <w:top w:val="single" w:sz="4" w:space="0" w:color="auto"/>
              <w:bottom w:val="single" w:sz="4" w:space="0" w:color="auto"/>
            </w:tcBorders>
          </w:tcPr>
          <w:p w14:paraId="50316EBF" w14:textId="77777777" w:rsidR="005631B0" w:rsidRPr="00AE11EB" w:rsidRDefault="005631B0" w:rsidP="00086947">
            <w:pPr>
              <w:spacing w:before="40" w:after="40" w:line="200" w:lineRule="atLeast"/>
              <w:rPr>
                <w:rFonts w:ascii="Calibri" w:eastAsia="Calibri" w:hAnsi="Calibri" w:cs="Times New Roman"/>
                <w:sz w:val="20"/>
                <w:szCs w:val="20"/>
              </w:rPr>
            </w:pPr>
            <w:r w:rsidRPr="00773214">
              <w:rPr>
                <w:rFonts w:ascii="Calibri" w:hAnsi="Calibri"/>
                <w:sz w:val="20"/>
                <w:szCs w:val="20"/>
              </w:rPr>
              <w:t>Job Ready Generation Package – North-West Tasmania</w:t>
            </w:r>
          </w:p>
        </w:tc>
        <w:tc>
          <w:tcPr>
            <w:tcW w:w="2121" w:type="pct"/>
            <w:gridSpan w:val="2"/>
            <w:tcBorders>
              <w:top w:val="single" w:sz="4" w:space="0" w:color="auto"/>
              <w:bottom w:val="single" w:sz="4" w:space="0" w:color="auto"/>
            </w:tcBorders>
          </w:tcPr>
          <w:p w14:paraId="137265A3" w14:textId="77777777" w:rsidR="005631B0" w:rsidRPr="00AE11EB" w:rsidRDefault="005631B0" w:rsidP="00086947">
            <w:pPr>
              <w:spacing w:before="40" w:after="40" w:line="200" w:lineRule="atLeast"/>
              <w:rPr>
                <w:rFonts w:ascii="Calibri" w:hAnsi="Calibri"/>
                <w:sz w:val="20"/>
                <w:szCs w:val="20"/>
              </w:rPr>
            </w:pPr>
            <w:r>
              <w:rPr>
                <w:rFonts w:ascii="Calibri" w:hAnsi="Calibri"/>
                <w:sz w:val="20"/>
                <w:szCs w:val="20"/>
              </w:rPr>
              <w:t>Funding</w:t>
            </w:r>
            <w:r w:rsidRPr="00773214">
              <w:rPr>
                <w:rFonts w:ascii="Calibri" w:hAnsi="Calibri"/>
                <w:sz w:val="20"/>
                <w:szCs w:val="20"/>
              </w:rPr>
              <w:t xml:space="preserve"> to support the delivery of training, workforce planning and job matching initiatives in north-west Tasmania that are focused on meeting the skill needs of industr</w:t>
            </w:r>
            <w:r>
              <w:rPr>
                <w:rFonts w:ascii="Calibri" w:hAnsi="Calibri"/>
                <w:sz w:val="20"/>
                <w:szCs w:val="20"/>
              </w:rPr>
              <w:t>ies</w:t>
            </w:r>
            <w:r w:rsidRPr="00773214">
              <w:rPr>
                <w:rFonts w:ascii="Calibri" w:hAnsi="Calibri"/>
                <w:sz w:val="20"/>
                <w:szCs w:val="20"/>
              </w:rPr>
              <w:t xml:space="preserve"> in the region.</w:t>
            </w:r>
          </w:p>
        </w:tc>
        <w:tc>
          <w:tcPr>
            <w:tcW w:w="424" w:type="pct"/>
            <w:tcBorders>
              <w:top w:val="single" w:sz="4" w:space="0" w:color="auto"/>
              <w:bottom w:val="single" w:sz="4" w:space="0" w:color="auto"/>
            </w:tcBorders>
          </w:tcPr>
          <w:p w14:paraId="26B1E64C" w14:textId="77777777" w:rsidR="005631B0" w:rsidRPr="00AE11EB" w:rsidRDefault="005631B0" w:rsidP="00086947">
            <w:pPr>
              <w:spacing w:before="40" w:after="40" w:line="200" w:lineRule="atLeast"/>
              <w:ind w:left="567" w:hanging="567"/>
              <w:jc w:val="right"/>
              <w:rPr>
                <w:rFonts w:ascii="Calibri" w:eastAsia="Calibri" w:hAnsi="Calibri" w:cs="Times New Roman"/>
                <w:sz w:val="20"/>
                <w:szCs w:val="20"/>
              </w:rPr>
            </w:pPr>
            <w:r w:rsidRPr="00773214">
              <w:rPr>
                <w:rFonts w:ascii="Calibri" w:eastAsia="Calibri" w:hAnsi="Calibri" w:cs="Times New Roman"/>
                <w:sz w:val="20"/>
                <w:szCs w:val="20"/>
              </w:rPr>
              <w:t>3.2</w:t>
            </w:r>
          </w:p>
        </w:tc>
        <w:tc>
          <w:tcPr>
            <w:tcW w:w="576" w:type="pct"/>
            <w:tcBorders>
              <w:top w:val="single" w:sz="4" w:space="0" w:color="auto"/>
              <w:bottom w:val="single" w:sz="4" w:space="0" w:color="auto"/>
            </w:tcBorders>
          </w:tcPr>
          <w:p w14:paraId="11DCC169" w14:textId="77777777" w:rsidR="005631B0" w:rsidRPr="00773214" w:rsidRDefault="005631B0" w:rsidP="00086947">
            <w:pPr>
              <w:spacing w:before="40" w:after="40" w:line="200" w:lineRule="atLeast"/>
              <w:ind w:left="567" w:hanging="567"/>
              <w:rPr>
                <w:rFonts w:ascii="Calibri" w:eastAsia="Calibri" w:hAnsi="Calibri" w:cs="Times New Roman"/>
                <w:sz w:val="20"/>
                <w:szCs w:val="20"/>
              </w:rPr>
            </w:pPr>
            <w:r>
              <w:rPr>
                <w:rFonts w:ascii="Calibri" w:eastAsia="Calibri" w:hAnsi="Calibri" w:cs="Times New Roman"/>
                <w:sz w:val="20"/>
                <w:szCs w:val="20"/>
              </w:rPr>
              <w:t>Impact</w:t>
            </w:r>
          </w:p>
        </w:tc>
        <w:tc>
          <w:tcPr>
            <w:tcW w:w="770" w:type="pct"/>
            <w:tcBorders>
              <w:top w:val="single" w:sz="4" w:space="0" w:color="auto"/>
              <w:bottom w:val="single" w:sz="4" w:space="0" w:color="auto"/>
            </w:tcBorders>
          </w:tcPr>
          <w:p w14:paraId="5CF49DC7" w14:textId="77777777" w:rsidR="005631B0" w:rsidRPr="00AE11EB" w:rsidRDefault="005631B0" w:rsidP="00086947">
            <w:pPr>
              <w:spacing w:before="40" w:after="40" w:line="200" w:lineRule="atLeast"/>
              <w:rPr>
                <w:rFonts w:ascii="Calibri" w:eastAsia="Calibri" w:hAnsi="Calibri" w:cs="Times New Roman"/>
                <w:sz w:val="20"/>
                <w:szCs w:val="20"/>
              </w:rPr>
            </w:pPr>
          </w:p>
        </w:tc>
      </w:tr>
      <w:tr w:rsidR="00685F9B" w:rsidRPr="00AE11EB" w14:paraId="5B286BB6" w14:textId="77777777" w:rsidTr="005909AF">
        <w:tc>
          <w:tcPr>
            <w:tcW w:w="1110" w:type="pct"/>
            <w:tcBorders>
              <w:top w:val="single" w:sz="4" w:space="0" w:color="auto"/>
              <w:bottom w:val="single" w:sz="4" w:space="0" w:color="auto"/>
            </w:tcBorders>
          </w:tcPr>
          <w:p w14:paraId="14318BCC" w14:textId="51B27BDC" w:rsidR="00685F9B" w:rsidRPr="00773214" w:rsidRDefault="00685F9B" w:rsidP="00685F9B">
            <w:pPr>
              <w:spacing w:before="40" w:after="40" w:line="200" w:lineRule="atLeast"/>
              <w:rPr>
                <w:rFonts w:ascii="Calibri" w:hAnsi="Calibri"/>
                <w:sz w:val="20"/>
                <w:szCs w:val="20"/>
              </w:rPr>
            </w:pPr>
            <w:r w:rsidRPr="00AE11EB">
              <w:rPr>
                <w:rFonts w:ascii="Calibri" w:eastAsia="Calibri" w:hAnsi="Calibri" w:cs="Times New Roman"/>
                <w:b/>
                <w:sz w:val="20"/>
                <w:szCs w:val="20"/>
              </w:rPr>
              <w:t>AFFORDABLE HOUSING</w:t>
            </w:r>
          </w:p>
        </w:tc>
        <w:tc>
          <w:tcPr>
            <w:tcW w:w="2121" w:type="pct"/>
            <w:gridSpan w:val="2"/>
            <w:tcBorders>
              <w:top w:val="single" w:sz="4" w:space="0" w:color="auto"/>
              <w:bottom w:val="single" w:sz="4" w:space="0" w:color="auto"/>
            </w:tcBorders>
          </w:tcPr>
          <w:p w14:paraId="4BCCBA8B" w14:textId="77777777" w:rsidR="00685F9B" w:rsidRDefault="00685F9B" w:rsidP="00685F9B">
            <w:pPr>
              <w:spacing w:before="40" w:after="40" w:line="200" w:lineRule="atLeast"/>
              <w:rPr>
                <w:rFonts w:ascii="Calibri" w:hAnsi="Calibri"/>
                <w:sz w:val="20"/>
                <w:szCs w:val="20"/>
              </w:rPr>
            </w:pPr>
          </w:p>
        </w:tc>
        <w:tc>
          <w:tcPr>
            <w:tcW w:w="424" w:type="pct"/>
            <w:tcBorders>
              <w:top w:val="single" w:sz="4" w:space="0" w:color="auto"/>
              <w:bottom w:val="single" w:sz="4" w:space="0" w:color="auto"/>
            </w:tcBorders>
          </w:tcPr>
          <w:p w14:paraId="081D517F" w14:textId="77777777" w:rsidR="00685F9B" w:rsidRPr="00773214" w:rsidRDefault="00685F9B" w:rsidP="00685F9B">
            <w:pPr>
              <w:spacing w:before="40" w:after="40" w:line="200" w:lineRule="atLeast"/>
              <w:ind w:left="567" w:hanging="567"/>
              <w:jc w:val="right"/>
              <w:rPr>
                <w:rFonts w:ascii="Calibri" w:eastAsia="Calibri" w:hAnsi="Calibri" w:cs="Times New Roman"/>
                <w:sz w:val="20"/>
                <w:szCs w:val="20"/>
              </w:rPr>
            </w:pPr>
          </w:p>
        </w:tc>
        <w:tc>
          <w:tcPr>
            <w:tcW w:w="576" w:type="pct"/>
            <w:tcBorders>
              <w:top w:val="single" w:sz="4" w:space="0" w:color="auto"/>
              <w:bottom w:val="single" w:sz="4" w:space="0" w:color="auto"/>
            </w:tcBorders>
          </w:tcPr>
          <w:p w14:paraId="67CC374C" w14:textId="77777777" w:rsidR="00685F9B" w:rsidRDefault="00685F9B" w:rsidP="00685F9B">
            <w:pPr>
              <w:spacing w:before="40" w:after="40" w:line="200" w:lineRule="atLeast"/>
              <w:ind w:left="567" w:hanging="567"/>
              <w:rPr>
                <w:rFonts w:ascii="Calibri" w:eastAsia="Calibri" w:hAnsi="Calibri" w:cs="Times New Roman"/>
                <w:sz w:val="20"/>
                <w:szCs w:val="20"/>
              </w:rPr>
            </w:pPr>
          </w:p>
        </w:tc>
        <w:tc>
          <w:tcPr>
            <w:tcW w:w="770" w:type="pct"/>
            <w:tcBorders>
              <w:top w:val="single" w:sz="4" w:space="0" w:color="auto"/>
              <w:bottom w:val="single" w:sz="4" w:space="0" w:color="auto"/>
            </w:tcBorders>
          </w:tcPr>
          <w:p w14:paraId="2072475D" w14:textId="77777777" w:rsidR="00685F9B" w:rsidRPr="00AE11EB" w:rsidRDefault="00685F9B" w:rsidP="00685F9B">
            <w:pPr>
              <w:spacing w:before="40" w:after="40" w:line="200" w:lineRule="atLeast"/>
              <w:rPr>
                <w:rFonts w:ascii="Calibri" w:eastAsia="Calibri" w:hAnsi="Calibri" w:cs="Times New Roman"/>
                <w:sz w:val="20"/>
                <w:szCs w:val="20"/>
              </w:rPr>
            </w:pPr>
          </w:p>
        </w:tc>
      </w:tr>
      <w:tr w:rsidR="00685F9B" w:rsidRPr="00AE11EB" w14:paraId="6E1F6810" w14:textId="77777777" w:rsidTr="005909AF">
        <w:tc>
          <w:tcPr>
            <w:tcW w:w="1110" w:type="pct"/>
            <w:tcBorders>
              <w:top w:val="single" w:sz="4" w:space="0" w:color="auto"/>
              <w:bottom w:val="single" w:sz="4" w:space="0" w:color="auto"/>
            </w:tcBorders>
          </w:tcPr>
          <w:p w14:paraId="5C03B1A3" w14:textId="77777777" w:rsidR="00685F9B" w:rsidRPr="00C81079" w:rsidRDefault="00685F9B" w:rsidP="00B33CE4">
            <w:pPr>
              <w:spacing w:before="40" w:after="40" w:line="200" w:lineRule="atLeast"/>
              <w:rPr>
                <w:rFonts w:ascii="Calibri" w:hAnsi="Calibri"/>
                <w:sz w:val="20"/>
                <w:szCs w:val="20"/>
              </w:rPr>
            </w:pPr>
            <w:r w:rsidRPr="00C81079">
              <w:rPr>
                <w:rFonts w:ascii="Calibri" w:hAnsi="Calibri"/>
                <w:sz w:val="20"/>
                <w:szCs w:val="20"/>
              </w:rPr>
              <w:t>National Regulatory System for Community Housing</w:t>
            </w:r>
            <w:r>
              <w:rPr>
                <w:rFonts w:ascii="Calibri" w:hAnsi="Calibri"/>
                <w:sz w:val="20"/>
                <w:szCs w:val="20"/>
              </w:rPr>
              <w:t xml:space="preserve"> (NRSCH)</w:t>
            </w:r>
          </w:p>
        </w:tc>
        <w:tc>
          <w:tcPr>
            <w:tcW w:w="2121" w:type="pct"/>
            <w:gridSpan w:val="2"/>
            <w:tcBorders>
              <w:top w:val="single" w:sz="4" w:space="0" w:color="auto"/>
              <w:bottom w:val="single" w:sz="4" w:space="0" w:color="auto"/>
            </w:tcBorders>
          </w:tcPr>
          <w:p w14:paraId="14C29661" w14:textId="77777777" w:rsidR="00685F9B" w:rsidRDefault="00685F9B" w:rsidP="00B33CE4">
            <w:pPr>
              <w:spacing w:before="40" w:after="40" w:line="200" w:lineRule="atLeast"/>
              <w:rPr>
                <w:rFonts w:ascii="Calibri" w:hAnsi="Calibri"/>
                <w:sz w:val="20"/>
                <w:szCs w:val="20"/>
              </w:rPr>
            </w:pPr>
            <w:r>
              <w:rPr>
                <w:rFonts w:ascii="Calibri" w:hAnsi="Calibri"/>
                <w:sz w:val="20"/>
                <w:szCs w:val="20"/>
              </w:rPr>
              <w:t>Funding</w:t>
            </w:r>
            <w:r w:rsidRPr="00481DAC">
              <w:rPr>
                <w:rFonts w:ascii="Calibri" w:hAnsi="Calibri"/>
                <w:sz w:val="20"/>
                <w:szCs w:val="20"/>
              </w:rPr>
              <w:t xml:space="preserve"> </w:t>
            </w:r>
            <w:r>
              <w:rPr>
                <w:rFonts w:ascii="Calibri" w:hAnsi="Calibri"/>
                <w:sz w:val="20"/>
                <w:szCs w:val="20"/>
              </w:rPr>
              <w:t>to</w:t>
            </w:r>
            <w:r w:rsidRPr="00481DAC">
              <w:rPr>
                <w:rFonts w:ascii="Calibri" w:hAnsi="Calibri"/>
                <w:sz w:val="20"/>
                <w:szCs w:val="20"/>
              </w:rPr>
              <w:t xml:space="preserve"> support the delivery of a range of papers to review the effectiveness of the</w:t>
            </w:r>
            <w:r>
              <w:rPr>
                <w:rFonts w:ascii="Calibri" w:hAnsi="Calibri"/>
                <w:sz w:val="20"/>
                <w:szCs w:val="20"/>
              </w:rPr>
              <w:t xml:space="preserve"> </w:t>
            </w:r>
            <w:r w:rsidRPr="00481DAC">
              <w:rPr>
                <w:rFonts w:ascii="Calibri" w:hAnsi="Calibri"/>
                <w:sz w:val="20"/>
                <w:szCs w:val="20"/>
              </w:rPr>
              <w:t>NRSCH in accordance with terms agreed between the Comm</w:t>
            </w:r>
            <w:r>
              <w:rPr>
                <w:rFonts w:ascii="Calibri" w:hAnsi="Calibri"/>
                <w:sz w:val="20"/>
                <w:szCs w:val="20"/>
              </w:rPr>
              <w:t>onwealth and States</w:t>
            </w:r>
            <w:r w:rsidRPr="00481DAC">
              <w:rPr>
                <w:rFonts w:ascii="Calibri" w:hAnsi="Calibri"/>
                <w:sz w:val="20"/>
                <w:szCs w:val="20"/>
              </w:rPr>
              <w:t xml:space="preserve">. </w:t>
            </w:r>
            <w:r>
              <w:rPr>
                <w:rFonts w:ascii="Calibri" w:hAnsi="Calibri"/>
                <w:sz w:val="20"/>
                <w:szCs w:val="20"/>
              </w:rPr>
              <w:t>New South Wales is responsible for delivering project outputs.</w:t>
            </w:r>
          </w:p>
          <w:p w14:paraId="080FCAC1" w14:textId="573F6C70" w:rsidR="00685F9B" w:rsidRPr="00AE11EB" w:rsidRDefault="00685F9B" w:rsidP="0070496E">
            <w:pPr>
              <w:spacing w:before="40" w:after="40" w:line="200" w:lineRule="atLeast"/>
              <w:rPr>
                <w:rFonts w:ascii="Calibri" w:hAnsi="Calibri"/>
                <w:sz w:val="20"/>
                <w:szCs w:val="20"/>
              </w:rPr>
            </w:pPr>
            <w:r w:rsidRPr="00481DAC">
              <w:rPr>
                <w:rFonts w:ascii="Calibri" w:hAnsi="Calibri"/>
                <w:sz w:val="20"/>
                <w:szCs w:val="20"/>
              </w:rPr>
              <w:t xml:space="preserve">The Commonwealth will provide an estimated total financial contribution </w:t>
            </w:r>
            <w:r>
              <w:rPr>
                <w:rFonts w:ascii="Calibri" w:hAnsi="Calibri"/>
                <w:sz w:val="20"/>
                <w:szCs w:val="20"/>
              </w:rPr>
              <w:t>to New South Wales of up to $1.1 million</w:t>
            </w:r>
            <w:r w:rsidRPr="00481DAC">
              <w:rPr>
                <w:rFonts w:ascii="Calibri" w:hAnsi="Calibri"/>
                <w:sz w:val="20"/>
                <w:szCs w:val="20"/>
              </w:rPr>
              <w:t xml:space="preserve">. The States will contribute matched funding or in-kind contributions. </w:t>
            </w:r>
          </w:p>
        </w:tc>
        <w:tc>
          <w:tcPr>
            <w:tcW w:w="424" w:type="pct"/>
            <w:tcBorders>
              <w:top w:val="single" w:sz="4" w:space="0" w:color="auto"/>
              <w:bottom w:val="single" w:sz="4" w:space="0" w:color="auto"/>
            </w:tcBorders>
          </w:tcPr>
          <w:p w14:paraId="60E1F47A" w14:textId="77777777" w:rsidR="00685F9B" w:rsidRPr="00AE11EB" w:rsidRDefault="00685F9B" w:rsidP="00B33CE4">
            <w:pPr>
              <w:spacing w:before="40" w:after="40" w:line="200" w:lineRule="atLeast"/>
              <w:ind w:left="567" w:hanging="567"/>
              <w:jc w:val="right"/>
              <w:rPr>
                <w:rFonts w:ascii="Calibri" w:eastAsia="Calibri" w:hAnsi="Calibri" w:cs="Times New Roman"/>
                <w:sz w:val="20"/>
                <w:szCs w:val="20"/>
              </w:rPr>
            </w:pPr>
            <w:r w:rsidRPr="00AE11EB">
              <w:rPr>
                <w:rFonts w:ascii="Calibri" w:eastAsia="Calibri" w:hAnsi="Calibri" w:cs="Times New Roman"/>
                <w:sz w:val="20"/>
                <w:szCs w:val="20"/>
              </w:rPr>
              <w:t>0.8</w:t>
            </w:r>
          </w:p>
        </w:tc>
        <w:tc>
          <w:tcPr>
            <w:tcW w:w="576" w:type="pct"/>
            <w:tcBorders>
              <w:top w:val="single" w:sz="4" w:space="0" w:color="auto"/>
              <w:bottom w:val="single" w:sz="4" w:space="0" w:color="auto"/>
            </w:tcBorders>
          </w:tcPr>
          <w:p w14:paraId="576CC629" w14:textId="77777777" w:rsidR="00685F9B" w:rsidRPr="00AE11EB" w:rsidRDefault="00685F9B" w:rsidP="00B33CE4">
            <w:pPr>
              <w:spacing w:before="40" w:after="40" w:line="200" w:lineRule="atLeast"/>
              <w:rPr>
                <w:rFonts w:ascii="Calibri" w:eastAsia="Calibri" w:hAnsi="Calibri" w:cs="Times New Roman"/>
                <w:sz w:val="20"/>
                <w:szCs w:val="20"/>
              </w:rPr>
            </w:pPr>
            <w:r w:rsidRPr="009B6C06">
              <w:rPr>
                <w:rFonts w:ascii="Calibri" w:hAnsi="Calibri"/>
                <w:sz w:val="20"/>
                <w:szCs w:val="20"/>
              </w:rPr>
              <w:t>No im</w:t>
            </w:r>
            <w:r>
              <w:rPr>
                <w:rFonts w:ascii="Calibri" w:hAnsi="Calibri"/>
                <w:sz w:val="20"/>
                <w:szCs w:val="20"/>
              </w:rPr>
              <w:t>pact</w:t>
            </w:r>
          </w:p>
        </w:tc>
        <w:tc>
          <w:tcPr>
            <w:tcW w:w="770" w:type="pct"/>
            <w:tcBorders>
              <w:top w:val="single" w:sz="4" w:space="0" w:color="auto"/>
              <w:bottom w:val="single" w:sz="4" w:space="0" w:color="auto"/>
            </w:tcBorders>
          </w:tcPr>
          <w:p w14:paraId="02FAE492" w14:textId="77777777" w:rsidR="00685F9B" w:rsidRPr="00AE11EB" w:rsidRDefault="00685F9B" w:rsidP="00B33CE4">
            <w:pPr>
              <w:spacing w:before="40" w:after="40" w:line="200" w:lineRule="atLeast"/>
              <w:rPr>
                <w:rFonts w:ascii="Calibri" w:eastAsia="Calibri" w:hAnsi="Calibri" w:cs="Times New Roman"/>
                <w:sz w:val="20"/>
                <w:szCs w:val="20"/>
              </w:rPr>
            </w:pPr>
            <w:r>
              <w:rPr>
                <w:rFonts w:ascii="Calibri" w:eastAsia="Calibri" w:hAnsi="Calibri" w:cs="Times New Roman"/>
                <w:sz w:val="20"/>
                <w:szCs w:val="20"/>
              </w:rPr>
              <w:t>The Commonwealth is purchasing the services from New South Wales for a national project and needs are not assessed.</w:t>
            </w:r>
          </w:p>
        </w:tc>
      </w:tr>
      <w:tr w:rsidR="00685F9B" w:rsidRPr="00AE11EB" w14:paraId="67A36669" w14:textId="77777777" w:rsidTr="005909AF">
        <w:tc>
          <w:tcPr>
            <w:tcW w:w="1114" w:type="pct"/>
            <w:gridSpan w:val="2"/>
            <w:tcBorders>
              <w:top w:val="single" w:sz="4" w:space="0" w:color="auto"/>
              <w:bottom w:val="single" w:sz="4" w:space="0" w:color="auto"/>
            </w:tcBorders>
          </w:tcPr>
          <w:p w14:paraId="68552CCF" w14:textId="701025D9" w:rsidR="00685F9B" w:rsidRPr="00C81079" w:rsidRDefault="00685F9B" w:rsidP="003D5289">
            <w:pPr>
              <w:spacing w:before="40" w:after="40" w:line="200" w:lineRule="atLeast"/>
              <w:rPr>
                <w:rFonts w:ascii="Calibri" w:hAnsi="Calibri"/>
                <w:sz w:val="20"/>
                <w:szCs w:val="20"/>
              </w:rPr>
            </w:pPr>
            <w:r>
              <w:rPr>
                <w:rFonts w:ascii="Calibri" w:hAnsi="Calibri"/>
                <w:sz w:val="20"/>
                <w:szCs w:val="20"/>
              </w:rPr>
              <w:t>Remote housing – payments to the Northern Territory</w:t>
            </w:r>
            <w:r w:rsidR="00D74A30">
              <w:rPr>
                <w:rFonts w:ascii="Calibri" w:hAnsi="Calibri"/>
                <w:sz w:val="20"/>
                <w:szCs w:val="20"/>
              </w:rPr>
              <w:t xml:space="preserve"> commencing in 2018-19</w:t>
            </w:r>
          </w:p>
        </w:tc>
        <w:tc>
          <w:tcPr>
            <w:tcW w:w="2117" w:type="pct"/>
            <w:tcBorders>
              <w:top w:val="single" w:sz="4" w:space="0" w:color="auto"/>
              <w:bottom w:val="single" w:sz="4" w:space="0" w:color="auto"/>
            </w:tcBorders>
          </w:tcPr>
          <w:p w14:paraId="26A4F99C" w14:textId="77777777" w:rsidR="00685F9B" w:rsidRDefault="00685F9B" w:rsidP="003D5289">
            <w:pPr>
              <w:spacing w:before="40" w:after="40" w:line="200" w:lineRule="atLeast"/>
              <w:rPr>
                <w:rFonts w:ascii="Calibri" w:hAnsi="Calibri"/>
                <w:sz w:val="20"/>
                <w:szCs w:val="20"/>
              </w:rPr>
            </w:pPr>
            <w:r>
              <w:rPr>
                <w:rFonts w:ascii="Calibri" w:hAnsi="Calibri"/>
                <w:sz w:val="20"/>
                <w:szCs w:val="20"/>
              </w:rPr>
              <w:t xml:space="preserve">Funding of up to $550 million over five years to the Northern Territory to improve remote housing in the Territory by reducing overcrowding for Aboriginal people in 73 remote Northern Territory communities and the 17 Alice Springs town camps. </w:t>
            </w:r>
          </w:p>
        </w:tc>
        <w:tc>
          <w:tcPr>
            <w:tcW w:w="424" w:type="pct"/>
            <w:tcBorders>
              <w:top w:val="single" w:sz="4" w:space="0" w:color="auto"/>
              <w:bottom w:val="single" w:sz="4" w:space="0" w:color="auto"/>
            </w:tcBorders>
          </w:tcPr>
          <w:p w14:paraId="2208AB8B" w14:textId="77777777" w:rsidR="00685F9B" w:rsidRPr="00AE11EB" w:rsidRDefault="00685F9B" w:rsidP="003D5289">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 xml:space="preserve"> 35.0</w:t>
            </w:r>
          </w:p>
        </w:tc>
        <w:tc>
          <w:tcPr>
            <w:tcW w:w="576" w:type="pct"/>
            <w:tcBorders>
              <w:top w:val="single" w:sz="4" w:space="0" w:color="auto"/>
              <w:bottom w:val="single" w:sz="4" w:space="0" w:color="auto"/>
            </w:tcBorders>
          </w:tcPr>
          <w:p w14:paraId="41A9AD1E" w14:textId="77777777" w:rsidR="00685F9B" w:rsidRPr="009B6C06" w:rsidRDefault="00685F9B" w:rsidP="003D5289">
            <w:pPr>
              <w:spacing w:before="40" w:after="40" w:line="200" w:lineRule="atLeast"/>
              <w:rPr>
                <w:rFonts w:ascii="Calibri" w:hAnsi="Calibri"/>
                <w:sz w:val="20"/>
                <w:szCs w:val="20"/>
              </w:rPr>
            </w:pPr>
            <w:r>
              <w:rPr>
                <w:rFonts w:ascii="Calibri" w:hAnsi="Calibri"/>
                <w:sz w:val="20"/>
                <w:szCs w:val="20"/>
              </w:rPr>
              <w:t>No impact</w:t>
            </w:r>
          </w:p>
        </w:tc>
        <w:tc>
          <w:tcPr>
            <w:tcW w:w="770" w:type="pct"/>
            <w:tcBorders>
              <w:top w:val="single" w:sz="4" w:space="0" w:color="auto"/>
              <w:bottom w:val="single" w:sz="4" w:space="0" w:color="auto"/>
            </w:tcBorders>
          </w:tcPr>
          <w:p w14:paraId="25632587" w14:textId="32453D97" w:rsidR="00685F9B" w:rsidRPr="00BA065E" w:rsidRDefault="00685F9B" w:rsidP="00D74A30">
            <w:pPr>
              <w:spacing w:before="40" w:after="40" w:line="200" w:lineRule="atLeast"/>
              <w:rPr>
                <w:rFonts w:ascii="Calibri" w:eastAsia="Calibri" w:hAnsi="Calibri" w:cs="Times New Roman"/>
                <w:sz w:val="20"/>
                <w:szCs w:val="20"/>
              </w:rPr>
            </w:pPr>
            <w:r w:rsidRPr="00BA065E">
              <w:rPr>
                <w:rFonts w:ascii="Calibri" w:hAnsi="Calibri"/>
                <w:sz w:val="20"/>
                <w:szCs w:val="20"/>
              </w:rPr>
              <w:t>U2019 Terms of Reference requirement</w:t>
            </w:r>
            <w:r>
              <w:rPr>
                <w:rFonts w:ascii="Calibri" w:hAnsi="Calibri"/>
                <w:sz w:val="20"/>
                <w:szCs w:val="20"/>
              </w:rPr>
              <w:t>. (ToR only apply to the Remote housing payments to the Northern Territory</w:t>
            </w:r>
            <w:r w:rsidR="00D74A30">
              <w:rPr>
                <w:rFonts w:ascii="Calibri" w:hAnsi="Calibri"/>
                <w:sz w:val="20"/>
                <w:szCs w:val="20"/>
              </w:rPr>
              <w:t xml:space="preserve"> commencing in 2018</w:t>
            </w:r>
            <w:r w:rsidR="00D74A30">
              <w:rPr>
                <w:rFonts w:ascii="Calibri" w:hAnsi="Calibri"/>
                <w:sz w:val="20"/>
                <w:szCs w:val="20"/>
              </w:rPr>
              <w:noBreakHyphen/>
              <w:t>19</w:t>
            </w:r>
            <w:r>
              <w:rPr>
                <w:rFonts w:ascii="Calibri" w:hAnsi="Calibri"/>
                <w:sz w:val="20"/>
                <w:szCs w:val="20"/>
              </w:rPr>
              <w:t>).</w:t>
            </w:r>
          </w:p>
        </w:tc>
      </w:tr>
    </w:tbl>
    <w:p w14:paraId="6F17DC6A" w14:textId="32328156" w:rsidR="00FA7349" w:rsidRDefault="00FA7349" w:rsidP="005631B0">
      <w:pPr>
        <w:rPr>
          <w:b/>
          <w:sz w:val="22"/>
        </w:rPr>
      </w:pPr>
    </w:p>
    <w:p w14:paraId="56989895" w14:textId="77777777" w:rsidR="005909AF" w:rsidRDefault="005909AF" w:rsidP="005631B0">
      <w:pPr>
        <w:rPr>
          <w:b/>
          <w:sz w:val="22"/>
        </w:rPr>
      </w:pPr>
    </w:p>
    <w:p w14:paraId="0320F125" w14:textId="3149964D" w:rsidR="005631B0" w:rsidRPr="00120DAC" w:rsidRDefault="005631B0" w:rsidP="005631B0">
      <w:pPr>
        <w:rPr>
          <w:b/>
        </w:rPr>
      </w:pPr>
      <w:r w:rsidRPr="00120DAC">
        <w:rPr>
          <w:b/>
          <w:noProof/>
          <w:sz w:val="22"/>
          <w:lang w:eastAsia="en-AU"/>
        </w:rPr>
        <w:lastRenderedPageBreak/>
        <mc:AlternateContent>
          <mc:Choice Requires="wps">
            <w:drawing>
              <wp:anchor distT="0" distB="0" distL="114300" distR="114300" simplePos="0" relativeHeight="251665408" behindDoc="0" locked="0" layoutInCell="1" allowOverlap="1" wp14:anchorId="34741002" wp14:editId="6FB7A3C6">
                <wp:simplePos x="0" y="0"/>
                <wp:positionH relativeFrom="column">
                  <wp:posOffset>-708660</wp:posOffset>
                </wp:positionH>
                <wp:positionV relativeFrom="paragraph">
                  <wp:posOffset>251460</wp:posOffset>
                </wp:positionV>
                <wp:extent cx="430530" cy="4962525"/>
                <wp:effectExtent l="0" t="0" r="762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496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25CBC" w14:textId="68F2C3BD" w:rsidR="000A1A57" w:rsidRPr="004C6DAD" w:rsidRDefault="000A1A57" w:rsidP="005631B0">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rsidRPr="00C73C8A">
                              <w:fldChar w:fldCharType="begin"/>
                            </w:r>
                            <w:r w:rsidRPr="00C73C8A">
                              <w:instrText xml:space="preserve"> PAGE   \* MERGEFORMAT </w:instrText>
                            </w:r>
                            <w:r w:rsidRPr="00C73C8A">
                              <w:fldChar w:fldCharType="separate"/>
                            </w:r>
                            <w:r w:rsidR="00D173AD">
                              <w:rPr>
                                <w:noProof/>
                              </w:rPr>
                              <w:t>5</w:t>
                            </w:r>
                            <w:r w:rsidRPr="00C73C8A">
                              <w:rPr>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41002" id="Text Box 7" o:spid="_x0000_s1028" type="#_x0000_t202" style="position:absolute;margin-left:-55.8pt;margin-top:19.8pt;width:33.9pt;height:3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6n+ggIAABY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" stroked="f">
                <v:textbox style="layout-flow:vertical">
                  <w:txbxContent>
                    <w:p w14:paraId="25425CBC" w14:textId="68F2C3BD" w:rsidR="000A1A57" w:rsidRPr="004C6DAD" w:rsidRDefault="000A1A57" w:rsidP="005631B0">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rsidRPr="00C73C8A">
                        <w:fldChar w:fldCharType="begin"/>
                      </w:r>
                      <w:r w:rsidRPr="00C73C8A">
                        <w:instrText xml:space="preserve"> PAGE   \* MERGEFORMAT </w:instrText>
                      </w:r>
                      <w:r w:rsidRPr="00C73C8A">
                        <w:fldChar w:fldCharType="separate"/>
                      </w:r>
                      <w:r w:rsidR="00D173AD">
                        <w:rPr>
                          <w:noProof/>
                        </w:rPr>
                        <w:t>5</w:t>
                      </w:r>
                      <w:r w:rsidRPr="00C73C8A">
                        <w:rPr>
                          <w:noProof/>
                        </w:rPr>
                        <w:fldChar w:fldCharType="end"/>
                      </w:r>
                    </w:p>
                  </w:txbxContent>
                </v:textbox>
              </v:shape>
            </w:pict>
          </mc:Fallback>
        </mc:AlternateContent>
      </w:r>
      <w:r w:rsidRPr="00120DAC">
        <w:rPr>
          <w:b/>
          <w:sz w:val="22"/>
        </w:rPr>
        <w:t xml:space="preserve">Table A- 1 </w:t>
      </w:r>
      <w:r w:rsidRPr="00120DAC">
        <w:rPr>
          <w:b/>
          <w:sz w:val="22"/>
        </w:rPr>
        <w:tab/>
        <w:t xml:space="preserve">Proposed treatment of Commonwealth payments commenced in 2018-19, </w:t>
      </w:r>
      <w:r w:rsidRPr="00120DAC">
        <w:rPr>
          <w:b/>
          <w:i/>
          <w:sz w:val="22"/>
        </w:rPr>
        <w:t>Final Budget Outcome, 2018-19 (Continued)</w:t>
      </w:r>
    </w:p>
    <w:tbl>
      <w:tblPr>
        <w:tblStyle w:val="TableGrid1"/>
        <w:tblW w:w="5001" w:type="pct"/>
        <w:tblLook w:val="04A0" w:firstRow="1" w:lastRow="0" w:firstColumn="1" w:lastColumn="0" w:noHBand="0" w:noVBand="1"/>
        <w:tblCaption w:val="Table A1 proposed treatment of Commonwealth payments commenced in 2016-17"/>
        <w:tblDescription w:val="Proposed treatment of Commonwealth payments commenced in 2016-17"/>
      </w:tblPr>
      <w:tblGrid>
        <w:gridCol w:w="3034"/>
        <w:gridCol w:w="7"/>
        <w:gridCol w:w="5699"/>
        <w:gridCol w:w="8"/>
        <w:gridCol w:w="1117"/>
        <w:gridCol w:w="8"/>
        <w:gridCol w:w="1464"/>
        <w:gridCol w:w="2092"/>
      </w:tblGrid>
      <w:tr w:rsidR="005631B0" w:rsidRPr="00120DAC" w14:paraId="363C7D6F" w14:textId="77777777" w:rsidTr="004663C5">
        <w:tc>
          <w:tcPr>
            <w:tcW w:w="1130" w:type="pct"/>
          </w:tcPr>
          <w:p w14:paraId="21CFBD02" w14:textId="77777777" w:rsidR="005631B0" w:rsidRPr="00120DAC" w:rsidRDefault="005631B0" w:rsidP="00086947">
            <w:pPr>
              <w:spacing w:before="40" w:after="40" w:line="200" w:lineRule="atLeast"/>
              <w:ind w:left="567" w:hanging="567"/>
              <w:rPr>
                <w:rFonts w:ascii="Calibri" w:eastAsia="Calibri" w:hAnsi="Calibri" w:cs="Times New Roman"/>
                <w:sz w:val="20"/>
                <w:szCs w:val="20"/>
              </w:rPr>
            </w:pPr>
            <w:r w:rsidRPr="00120DAC">
              <w:rPr>
                <w:rFonts w:ascii="Calibri" w:eastAsia="Calibri" w:hAnsi="Calibri" w:cs="Times New Roman"/>
                <w:sz w:val="20"/>
                <w:szCs w:val="20"/>
              </w:rPr>
              <w:t>Commonwealth payment</w:t>
            </w:r>
          </w:p>
        </w:tc>
        <w:tc>
          <w:tcPr>
            <w:tcW w:w="2124" w:type="pct"/>
            <w:gridSpan w:val="2"/>
          </w:tcPr>
          <w:p w14:paraId="3992C1C8" w14:textId="77777777" w:rsidR="005631B0" w:rsidRPr="00120DAC" w:rsidRDefault="005631B0" w:rsidP="00086947">
            <w:pPr>
              <w:spacing w:before="40" w:after="40" w:line="200" w:lineRule="atLeast"/>
              <w:ind w:left="567" w:hanging="567"/>
              <w:rPr>
                <w:rFonts w:ascii="Calibri" w:eastAsia="Calibri" w:hAnsi="Calibri" w:cs="Times New Roman"/>
                <w:sz w:val="20"/>
                <w:szCs w:val="20"/>
              </w:rPr>
            </w:pPr>
            <w:r w:rsidRPr="00120DAC">
              <w:rPr>
                <w:rFonts w:ascii="Calibri" w:eastAsia="Calibri" w:hAnsi="Calibri" w:cs="Times New Roman"/>
                <w:sz w:val="20"/>
                <w:szCs w:val="20"/>
              </w:rPr>
              <w:t>Description</w:t>
            </w:r>
          </w:p>
        </w:tc>
        <w:tc>
          <w:tcPr>
            <w:tcW w:w="422" w:type="pct"/>
            <w:gridSpan w:val="3"/>
          </w:tcPr>
          <w:p w14:paraId="4E20EE25" w14:textId="44096C3A" w:rsidR="005631B0" w:rsidRPr="00120DAC" w:rsidRDefault="009E0F50" w:rsidP="009E0F50">
            <w:pPr>
              <w:spacing w:before="40" w:after="40" w:line="200" w:lineRule="atLeast"/>
              <w:jc w:val="right"/>
              <w:rPr>
                <w:rFonts w:ascii="Calibri" w:eastAsia="Calibri" w:hAnsi="Calibri" w:cs="Times New Roman"/>
                <w:sz w:val="20"/>
                <w:szCs w:val="20"/>
              </w:rPr>
            </w:pPr>
            <w:r w:rsidRPr="00C73C8A">
              <w:rPr>
                <w:rFonts w:ascii="Calibri" w:eastAsia="Calibri" w:hAnsi="Calibri" w:cs="Times New Roman"/>
                <w:sz w:val="20"/>
                <w:szCs w:val="20"/>
              </w:rPr>
              <w:t>2018-19</w:t>
            </w:r>
            <w:r>
              <w:rPr>
                <w:rFonts w:ascii="Calibri" w:eastAsia="Calibri" w:hAnsi="Calibri" w:cs="Times New Roman"/>
                <w:sz w:val="20"/>
                <w:szCs w:val="20"/>
              </w:rPr>
              <w:br/>
              <w:t xml:space="preserve"> </w:t>
            </w:r>
            <w:r w:rsidRPr="00C73C8A">
              <w:rPr>
                <w:rFonts w:ascii="Calibri" w:eastAsia="Calibri" w:hAnsi="Calibri" w:cs="Times New Roman"/>
                <w:sz w:val="20"/>
                <w:szCs w:val="20"/>
              </w:rPr>
              <w:t>$m</w:t>
            </w:r>
          </w:p>
        </w:tc>
        <w:tc>
          <w:tcPr>
            <w:tcW w:w="545" w:type="pct"/>
          </w:tcPr>
          <w:p w14:paraId="605CEF23" w14:textId="77777777" w:rsidR="005631B0" w:rsidRPr="00120DAC" w:rsidRDefault="005631B0" w:rsidP="00086947">
            <w:pPr>
              <w:spacing w:before="40" w:after="40" w:line="200" w:lineRule="atLeast"/>
              <w:rPr>
                <w:rFonts w:ascii="Calibri" w:eastAsia="Calibri" w:hAnsi="Calibri" w:cs="Times New Roman"/>
                <w:sz w:val="20"/>
                <w:szCs w:val="20"/>
              </w:rPr>
            </w:pPr>
            <w:r w:rsidRPr="00120DAC">
              <w:rPr>
                <w:rFonts w:ascii="Calibri" w:eastAsia="Calibri" w:hAnsi="Calibri" w:cs="Times New Roman"/>
                <w:sz w:val="20"/>
                <w:szCs w:val="20"/>
              </w:rPr>
              <w:t>Proposed treatment</w:t>
            </w:r>
          </w:p>
        </w:tc>
        <w:tc>
          <w:tcPr>
            <w:tcW w:w="779" w:type="pct"/>
          </w:tcPr>
          <w:p w14:paraId="684EE88E" w14:textId="153AE5DA" w:rsidR="005631B0" w:rsidRPr="00120DAC" w:rsidRDefault="00E93273" w:rsidP="00086947">
            <w:pPr>
              <w:spacing w:before="40" w:after="40" w:line="200" w:lineRule="atLeast"/>
              <w:rPr>
                <w:rFonts w:ascii="Calibri" w:eastAsia="Calibri" w:hAnsi="Calibri" w:cs="Times New Roman"/>
                <w:sz w:val="20"/>
                <w:szCs w:val="20"/>
              </w:rPr>
            </w:pPr>
            <w:r>
              <w:rPr>
                <w:rFonts w:ascii="Calibri" w:eastAsia="Calibri" w:hAnsi="Calibri" w:cs="Times New Roman"/>
                <w:sz w:val="20"/>
                <w:szCs w:val="20"/>
              </w:rPr>
              <w:t>Reason for n</w:t>
            </w:r>
            <w:r w:rsidR="005631B0" w:rsidRPr="00120DAC">
              <w:rPr>
                <w:rFonts w:ascii="Calibri" w:eastAsia="Calibri" w:hAnsi="Calibri" w:cs="Times New Roman"/>
                <w:sz w:val="20"/>
                <w:szCs w:val="20"/>
              </w:rPr>
              <w:t>o impact treatment</w:t>
            </w:r>
          </w:p>
        </w:tc>
      </w:tr>
      <w:tr w:rsidR="005631B0" w:rsidRPr="00120DAC" w14:paraId="6B101482" w14:textId="77777777" w:rsidTr="004663C5">
        <w:trPr>
          <w:trHeight w:val="295"/>
        </w:trPr>
        <w:tc>
          <w:tcPr>
            <w:tcW w:w="5000" w:type="pct"/>
            <w:gridSpan w:val="8"/>
            <w:tcBorders>
              <w:top w:val="single" w:sz="4" w:space="0" w:color="auto"/>
              <w:bottom w:val="single" w:sz="4" w:space="0" w:color="auto"/>
            </w:tcBorders>
          </w:tcPr>
          <w:p w14:paraId="0A68A1B3" w14:textId="77777777" w:rsidR="005631B0" w:rsidRPr="00120DAC" w:rsidRDefault="005631B0" w:rsidP="00086947">
            <w:pPr>
              <w:spacing w:before="40" w:after="40" w:line="200" w:lineRule="atLeast"/>
              <w:ind w:left="567" w:hanging="567"/>
              <w:rPr>
                <w:rFonts w:ascii="Calibri" w:eastAsia="Calibri" w:hAnsi="Calibri" w:cs="Times New Roman"/>
                <w:b/>
                <w:sz w:val="20"/>
                <w:szCs w:val="20"/>
              </w:rPr>
            </w:pPr>
            <w:r w:rsidRPr="00C136C5">
              <w:rPr>
                <w:rFonts w:ascii="Calibri" w:eastAsia="Calibri" w:hAnsi="Calibri" w:cs="Times New Roman"/>
                <w:b/>
                <w:sz w:val="20"/>
                <w:szCs w:val="20"/>
              </w:rPr>
              <w:t>INFRASTRUCTURE</w:t>
            </w:r>
          </w:p>
        </w:tc>
      </w:tr>
      <w:tr w:rsidR="005631B0" w:rsidRPr="00854F36" w14:paraId="47BE8FB6" w14:textId="77777777" w:rsidTr="004663C5">
        <w:tc>
          <w:tcPr>
            <w:tcW w:w="1130" w:type="pct"/>
          </w:tcPr>
          <w:p w14:paraId="5421DE70" w14:textId="77777777" w:rsidR="005631B0" w:rsidRPr="00854F36" w:rsidRDefault="005631B0" w:rsidP="00086947">
            <w:pPr>
              <w:spacing w:before="40" w:after="40" w:line="200" w:lineRule="atLeast"/>
              <w:rPr>
                <w:rFonts w:ascii="Calibri" w:hAnsi="Calibri"/>
                <w:sz w:val="20"/>
                <w:szCs w:val="20"/>
              </w:rPr>
            </w:pPr>
            <w:r>
              <w:rPr>
                <w:rFonts w:ascii="Calibri" w:hAnsi="Calibri"/>
                <w:sz w:val="20"/>
                <w:szCs w:val="20"/>
              </w:rPr>
              <w:t xml:space="preserve">Infrastructure investment program — </w:t>
            </w:r>
            <w:r w:rsidRPr="00854F36">
              <w:rPr>
                <w:rFonts w:ascii="Calibri" w:hAnsi="Calibri"/>
                <w:sz w:val="20"/>
                <w:szCs w:val="20"/>
              </w:rPr>
              <w:t>Roads of Strategic Importance</w:t>
            </w:r>
          </w:p>
        </w:tc>
        <w:tc>
          <w:tcPr>
            <w:tcW w:w="2124" w:type="pct"/>
            <w:gridSpan w:val="2"/>
          </w:tcPr>
          <w:p w14:paraId="51B6CE6D" w14:textId="51FB0428" w:rsidR="005631B0" w:rsidRPr="00C8661E" w:rsidRDefault="005631B0" w:rsidP="00C8661E">
            <w:pPr>
              <w:spacing w:before="40" w:after="40" w:line="200" w:lineRule="atLeast"/>
              <w:rPr>
                <w:rFonts w:ascii="Calibri" w:hAnsi="Calibri"/>
                <w:sz w:val="20"/>
                <w:szCs w:val="20"/>
              </w:rPr>
            </w:pPr>
            <w:r>
              <w:rPr>
                <w:rFonts w:ascii="Calibri" w:hAnsi="Calibri"/>
                <w:sz w:val="20"/>
                <w:szCs w:val="20"/>
              </w:rPr>
              <w:t xml:space="preserve">Funding of $4.5 billion over 12 years to upgrade key routes to improve access for businesses and communities to essential services, markets and employment opportunities. </w:t>
            </w:r>
            <w:r w:rsidRPr="004A2E1A">
              <w:rPr>
                <w:rFonts w:ascii="Calibri" w:hAnsi="Calibri"/>
                <w:sz w:val="20"/>
                <w:szCs w:val="20"/>
              </w:rPr>
              <w:t xml:space="preserve">Initial </w:t>
            </w:r>
            <w:r w:rsidRPr="00DC5790">
              <w:rPr>
                <w:rFonts w:ascii="Calibri" w:hAnsi="Calibri"/>
                <w:sz w:val="20"/>
                <w:szCs w:val="20"/>
              </w:rPr>
              <w:t xml:space="preserve">investments </w:t>
            </w:r>
            <w:r w:rsidR="00452974">
              <w:rPr>
                <w:rFonts w:ascii="Calibri" w:hAnsi="Calibri"/>
                <w:sz w:val="20"/>
                <w:szCs w:val="20"/>
              </w:rPr>
              <w:t xml:space="preserve">of $2.2 million to Tasmania. </w:t>
            </w:r>
          </w:p>
        </w:tc>
        <w:tc>
          <w:tcPr>
            <w:tcW w:w="422" w:type="pct"/>
            <w:gridSpan w:val="3"/>
          </w:tcPr>
          <w:p w14:paraId="6D1A1AB7" w14:textId="307D5261" w:rsidR="005631B0" w:rsidRPr="00854F36" w:rsidRDefault="00A41123" w:rsidP="00086947">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 xml:space="preserve"> </w:t>
            </w:r>
            <w:r w:rsidR="003B5FAA">
              <w:rPr>
                <w:rFonts w:ascii="Calibri" w:eastAsia="Calibri" w:hAnsi="Calibri" w:cs="Times New Roman"/>
                <w:sz w:val="20"/>
                <w:szCs w:val="20"/>
              </w:rPr>
              <w:t>2.2</w:t>
            </w:r>
          </w:p>
        </w:tc>
        <w:tc>
          <w:tcPr>
            <w:tcW w:w="545" w:type="pct"/>
          </w:tcPr>
          <w:p w14:paraId="1D7FC6A2" w14:textId="01DFF7DC" w:rsidR="005631B0" w:rsidRDefault="005631B0" w:rsidP="00086947">
            <w:pPr>
              <w:spacing w:before="40" w:after="40" w:line="200" w:lineRule="atLeast"/>
              <w:rPr>
                <w:rFonts w:ascii="Calibri" w:hAnsi="Calibri"/>
                <w:sz w:val="20"/>
                <w:szCs w:val="20"/>
              </w:rPr>
            </w:pPr>
            <w:r>
              <w:rPr>
                <w:rFonts w:ascii="Calibri" w:hAnsi="Calibri"/>
                <w:sz w:val="20"/>
                <w:szCs w:val="20"/>
              </w:rPr>
              <w:t>National network roads (NNR)</w:t>
            </w:r>
            <w:r w:rsidR="0051170F">
              <w:rPr>
                <w:rFonts w:ascii="Calibri" w:hAnsi="Calibri"/>
                <w:sz w:val="20"/>
                <w:szCs w:val="20"/>
              </w:rPr>
              <w:t xml:space="preserve"> </w:t>
            </w:r>
            <w:r>
              <w:rPr>
                <w:rFonts w:ascii="Calibri" w:hAnsi="Calibri"/>
                <w:sz w:val="20"/>
                <w:szCs w:val="20"/>
              </w:rPr>
              <w:t>– 50% no impact;</w:t>
            </w:r>
          </w:p>
          <w:p w14:paraId="49F3FAE9" w14:textId="68455DE9" w:rsidR="005631B0" w:rsidRPr="00854F36" w:rsidRDefault="005631B0" w:rsidP="00086947">
            <w:pPr>
              <w:spacing w:before="40" w:after="40" w:line="200" w:lineRule="atLeast"/>
              <w:rPr>
                <w:rFonts w:ascii="Calibri" w:hAnsi="Calibri"/>
                <w:sz w:val="20"/>
                <w:szCs w:val="20"/>
              </w:rPr>
            </w:pPr>
            <w:r>
              <w:rPr>
                <w:rFonts w:ascii="Calibri" w:hAnsi="Calibri"/>
                <w:sz w:val="20"/>
                <w:szCs w:val="20"/>
              </w:rPr>
              <w:t xml:space="preserve">Off NNR – 100% </w:t>
            </w:r>
            <w:r w:rsidR="0051170F">
              <w:rPr>
                <w:rFonts w:ascii="Calibri" w:hAnsi="Calibri"/>
                <w:sz w:val="20"/>
                <w:szCs w:val="20"/>
              </w:rPr>
              <w:t>i</w:t>
            </w:r>
            <w:r>
              <w:rPr>
                <w:rFonts w:ascii="Calibri" w:hAnsi="Calibri"/>
                <w:sz w:val="20"/>
                <w:szCs w:val="20"/>
              </w:rPr>
              <w:t>mpact</w:t>
            </w:r>
          </w:p>
        </w:tc>
        <w:tc>
          <w:tcPr>
            <w:tcW w:w="779" w:type="pct"/>
          </w:tcPr>
          <w:p w14:paraId="2FED901E" w14:textId="4050F52A" w:rsidR="005631B0" w:rsidRPr="009E0F50" w:rsidRDefault="005631B0" w:rsidP="00086947">
            <w:pPr>
              <w:spacing w:before="40" w:after="40" w:line="200" w:lineRule="atLeast"/>
              <w:rPr>
                <w:rFonts w:ascii="Calibri" w:hAnsi="Calibri"/>
                <w:sz w:val="20"/>
                <w:szCs w:val="20"/>
              </w:rPr>
            </w:pPr>
            <w:r w:rsidRPr="009E0F50">
              <w:rPr>
                <w:rFonts w:ascii="Calibri" w:eastAsia="Calibri" w:hAnsi="Calibri" w:cs="Times New Roman"/>
                <w:sz w:val="20"/>
                <w:szCs w:val="20"/>
              </w:rPr>
              <w:t xml:space="preserve">50% no impact for NNR investment because </w:t>
            </w:r>
            <w:r w:rsidR="00E93273">
              <w:rPr>
                <w:rFonts w:ascii="Calibri" w:eastAsia="Calibri" w:hAnsi="Calibri" w:cs="Times New Roman"/>
                <w:sz w:val="20"/>
                <w:szCs w:val="20"/>
              </w:rPr>
              <w:t xml:space="preserve">roads </w:t>
            </w:r>
            <w:r w:rsidRPr="009E0F50">
              <w:rPr>
                <w:rFonts w:ascii="Calibri" w:eastAsia="Calibri" w:hAnsi="Calibri" w:cs="Times New Roman"/>
                <w:sz w:val="20"/>
                <w:szCs w:val="20"/>
              </w:rPr>
              <w:t>assessment may not capture all non-policy influences</w:t>
            </w:r>
            <w:r w:rsidR="009E0F50" w:rsidRPr="009E0F50">
              <w:rPr>
                <w:rFonts w:ascii="Calibri" w:eastAsia="Calibri" w:hAnsi="Calibri" w:cs="Times New Roman"/>
                <w:sz w:val="20"/>
                <w:szCs w:val="20"/>
              </w:rPr>
              <w:t>.</w:t>
            </w:r>
          </w:p>
        </w:tc>
      </w:tr>
      <w:tr w:rsidR="004663C5" w:rsidRPr="00197C91" w14:paraId="32B24F0D" w14:textId="77777777" w:rsidTr="004663C5">
        <w:tc>
          <w:tcPr>
            <w:tcW w:w="1132" w:type="pct"/>
            <w:gridSpan w:val="2"/>
            <w:tcBorders>
              <w:top w:val="single" w:sz="4" w:space="0" w:color="auto"/>
              <w:bottom w:val="single" w:sz="4" w:space="0" w:color="auto"/>
            </w:tcBorders>
          </w:tcPr>
          <w:p w14:paraId="3CAA8CF4" w14:textId="77777777" w:rsidR="004663C5" w:rsidRDefault="004663C5" w:rsidP="00034173">
            <w:pPr>
              <w:spacing w:before="40" w:after="40" w:line="200" w:lineRule="atLeast"/>
              <w:rPr>
                <w:rFonts w:ascii="Calibri" w:eastAsia="Calibri" w:hAnsi="Calibri" w:cs="Times New Roman"/>
                <w:sz w:val="20"/>
                <w:szCs w:val="20"/>
              </w:rPr>
            </w:pPr>
            <w:r>
              <w:rPr>
                <w:rFonts w:ascii="Calibri" w:eastAsia="Calibri" w:hAnsi="Calibri" w:cs="Times New Roman"/>
                <w:sz w:val="20"/>
                <w:szCs w:val="20"/>
              </w:rPr>
              <w:t>Western Sydney City Deal</w:t>
            </w:r>
          </w:p>
        </w:tc>
        <w:tc>
          <w:tcPr>
            <w:tcW w:w="2125" w:type="pct"/>
            <w:gridSpan w:val="2"/>
            <w:tcBorders>
              <w:top w:val="single" w:sz="4" w:space="0" w:color="auto"/>
              <w:bottom w:val="single" w:sz="4" w:space="0" w:color="auto"/>
            </w:tcBorders>
          </w:tcPr>
          <w:p w14:paraId="75EE39F7" w14:textId="77777777" w:rsidR="004663C5" w:rsidRPr="001B6F4C" w:rsidRDefault="004663C5" w:rsidP="00034173">
            <w:pPr>
              <w:spacing w:before="40" w:after="40" w:line="200" w:lineRule="atLeast"/>
              <w:rPr>
                <w:rFonts w:ascii="Calibri" w:hAnsi="Calibri"/>
                <w:sz w:val="20"/>
                <w:szCs w:val="20"/>
              </w:rPr>
            </w:pPr>
            <w:r>
              <w:rPr>
                <w:rFonts w:ascii="Calibri" w:eastAsia="Calibri" w:hAnsi="Calibri" w:cs="Times New Roman"/>
                <w:sz w:val="20"/>
                <w:szCs w:val="20"/>
              </w:rPr>
              <w:t>Funding over</w:t>
            </w:r>
            <w:r w:rsidRPr="001B6F4C">
              <w:rPr>
                <w:rFonts w:ascii="Calibri" w:hAnsi="Calibri"/>
                <w:sz w:val="20"/>
                <w:szCs w:val="20"/>
              </w:rPr>
              <w:t xml:space="preserve"> </w:t>
            </w:r>
            <w:r>
              <w:rPr>
                <w:rFonts w:ascii="Calibri" w:hAnsi="Calibri"/>
                <w:sz w:val="20"/>
                <w:szCs w:val="20"/>
              </w:rPr>
              <w:t xml:space="preserve">20 years </w:t>
            </w:r>
            <w:r w:rsidRPr="001B6F4C">
              <w:rPr>
                <w:rFonts w:ascii="Calibri" w:hAnsi="Calibri"/>
                <w:sz w:val="20"/>
                <w:szCs w:val="20"/>
              </w:rPr>
              <w:t>to deliver improved community facilities and urban amenities, and to cut development costs and boost housing supply</w:t>
            </w:r>
            <w:r>
              <w:rPr>
                <w:rFonts w:ascii="Calibri" w:hAnsi="Calibri"/>
                <w:sz w:val="20"/>
                <w:szCs w:val="20"/>
              </w:rPr>
              <w:t xml:space="preserve"> in Western Sydney</w:t>
            </w:r>
            <w:r w:rsidRPr="001B6F4C">
              <w:rPr>
                <w:rFonts w:ascii="Calibri" w:hAnsi="Calibri"/>
                <w:sz w:val="20"/>
                <w:szCs w:val="20"/>
              </w:rPr>
              <w:t>. It aims to</w:t>
            </w:r>
            <w:r>
              <w:rPr>
                <w:rFonts w:ascii="Calibri" w:hAnsi="Calibri"/>
                <w:sz w:val="20"/>
                <w:szCs w:val="20"/>
              </w:rPr>
              <w:t>:</w:t>
            </w:r>
          </w:p>
          <w:p w14:paraId="4F32A3F4" w14:textId="77777777" w:rsidR="004663C5" w:rsidRPr="001B6F4C" w:rsidRDefault="004663C5" w:rsidP="00034173">
            <w:pPr>
              <w:pStyle w:val="CGCBulletlist"/>
              <w:numPr>
                <w:ilvl w:val="0"/>
                <w:numId w:val="1"/>
              </w:numPr>
              <w:tabs>
                <w:tab w:val="clear" w:pos="1134"/>
              </w:tabs>
              <w:spacing w:before="40" w:after="40" w:line="200" w:lineRule="atLeast"/>
              <w:ind w:left="292" w:hanging="292"/>
              <w:rPr>
                <w:rFonts w:ascii="Calibri" w:hAnsi="Calibri"/>
                <w:sz w:val="20"/>
              </w:rPr>
            </w:pPr>
            <w:r w:rsidRPr="001B6F4C">
              <w:rPr>
                <w:rFonts w:ascii="Calibri" w:hAnsi="Calibri"/>
                <w:sz w:val="20"/>
              </w:rPr>
              <w:t xml:space="preserve">improve connectivity through North South rail </w:t>
            </w:r>
            <w:r>
              <w:rPr>
                <w:rFonts w:ascii="Calibri" w:hAnsi="Calibri"/>
                <w:sz w:val="20"/>
              </w:rPr>
              <w:t>l</w:t>
            </w:r>
            <w:r w:rsidRPr="001B6F4C">
              <w:rPr>
                <w:rFonts w:ascii="Calibri" w:hAnsi="Calibri"/>
                <w:sz w:val="20"/>
              </w:rPr>
              <w:t>ink, rapid bus services and exploring 5G network and smart digital technology</w:t>
            </w:r>
          </w:p>
          <w:p w14:paraId="64C89EC8" w14:textId="77777777" w:rsidR="004663C5" w:rsidRPr="001B6F4C" w:rsidRDefault="004663C5" w:rsidP="00034173">
            <w:pPr>
              <w:pStyle w:val="CGCBulletlist"/>
              <w:numPr>
                <w:ilvl w:val="0"/>
                <w:numId w:val="1"/>
              </w:numPr>
              <w:tabs>
                <w:tab w:val="clear" w:pos="1134"/>
              </w:tabs>
              <w:spacing w:before="40" w:after="40" w:line="200" w:lineRule="atLeast"/>
              <w:ind w:left="292" w:hanging="292"/>
              <w:rPr>
                <w:rFonts w:ascii="Calibri" w:hAnsi="Calibri"/>
                <w:sz w:val="20"/>
              </w:rPr>
            </w:pPr>
            <w:r>
              <w:rPr>
                <w:rFonts w:ascii="Calibri" w:hAnsi="Calibri"/>
                <w:sz w:val="20"/>
              </w:rPr>
              <w:t>c</w:t>
            </w:r>
            <w:r w:rsidRPr="001B6F4C">
              <w:rPr>
                <w:rFonts w:ascii="Calibri" w:hAnsi="Calibri"/>
                <w:sz w:val="20"/>
              </w:rPr>
              <w:t xml:space="preserve">reate new jobs through the building of Badgerys Creek Aerotropolis, </w:t>
            </w:r>
            <w:r>
              <w:rPr>
                <w:rFonts w:ascii="Calibri" w:hAnsi="Calibri"/>
                <w:sz w:val="20"/>
              </w:rPr>
              <w:t>Western Sydney I</w:t>
            </w:r>
            <w:r w:rsidRPr="001B6F4C">
              <w:rPr>
                <w:rFonts w:ascii="Calibri" w:hAnsi="Calibri"/>
                <w:sz w:val="20"/>
              </w:rPr>
              <w:t>nvestment Attraction Fund and Western Sydney Investment Attraction Office, establishmen</w:t>
            </w:r>
            <w:r>
              <w:rPr>
                <w:rFonts w:ascii="Calibri" w:hAnsi="Calibri"/>
                <w:sz w:val="20"/>
              </w:rPr>
              <w:t>t of the NDIS Quality and Safeg</w:t>
            </w:r>
            <w:r w:rsidRPr="001B6F4C">
              <w:rPr>
                <w:rFonts w:ascii="Calibri" w:hAnsi="Calibri"/>
                <w:sz w:val="20"/>
              </w:rPr>
              <w:t>u</w:t>
            </w:r>
            <w:r>
              <w:rPr>
                <w:rFonts w:ascii="Calibri" w:hAnsi="Calibri"/>
                <w:sz w:val="20"/>
              </w:rPr>
              <w:t>a</w:t>
            </w:r>
            <w:r w:rsidRPr="001B6F4C">
              <w:rPr>
                <w:rFonts w:ascii="Calibri" w:hAnsi="Calibri"/>
                <w:sz w:val="20"/>
              </w:rPr>
              <w:t>rds Commission, releasing government land to drive economic growth and Indigenous employment, social employment and procurement</w:t>
            </w:r>
          </w:p>
          <w:p w14:paraId="7F804202" w14:textId="77777777" w:rsidR="004663C5" w:rsidRPr="001B6F4C" w:rsidRDefault="004663C5" w:rsidP="00034173">
            <w:pPr>
              <w:pStyle w:val="CGCBulletlist"/>
              <w:numPr>
                <w:ilvl w:val="0"/>
                <w:numId w:val="1"/>
              </w:numPr>
              <w:tabs>
                <w:tab w:val="clear" w:pos="1134"/>
              </w:tabs>
              <w:spacing w:before="40" w:after="40" w:line="200" w:lineRule="atLeast"/>
              <w:ind w:left="292" w:hanging="292"/>
              <w:rPr>
                <w:rFonts w:ascii="Calibri" w:hAnsi="Calibri"/>
                <w:sz w:val="20"/>
              </w:rPr>
            </w:pPr>
            <w:r>
              <w:rPr>
                <w:rFonts w:ascii="Calibri" w:hAnsi="Calibri"/>
                <w:sz w:val="20"/>
              </w:rPr>
              <w:t>i</w:t>
            </w:r>
            <w:r w:rsidRPr="001B6F4C">
              <w:rPr>
                <w:rFonts w:ascii="Calibri" w:hAnsi="Calibri"/>
                <w:sz w:val="20"/>
              </w:rPr>
              <w:t xml:space="preserve">mprove access to education and skill training opportunities through the creation of Aerospace Institute, STEM </w:t>
            </w:r>
            <w:r>
              <w:rPr>
                <w:rFonts w:ascii="Calibri" w:hAnsi="Calibri"/>
                <w:sz w:val="20"/>
              </w:rPr>
              <w:t>(Science, technology, engineering and mathematics)</w:t>
            </w:r>
            <w:r w:rsidRPr="001B6F4C">
              <w:rPr>
                <w:rFonts w:ascii="Calibri" w:hAnsi="Calibri"/>
                <w:sz w:val="20"/>
              </w:rPr>
              <w:t xml:space="preserve"> University, Aerotropolis VET facility, secondary </w:t>
            </w:r>
            <w:r>
              <w:rPr>
                <w:rFonts w:ascii="Calibri" w:hAnsi="Calibri"/>
                <w:sz w:val="20"/>
              </w:rPr>
              <w:t>school and TAFE skills exchange</w:t>
            </w:r>
          </w:p>
          <w:p w14:paraId="76714162" w14:textId="77777777" w:rsidR="004663C5" w:rsidRPr="001B6F4C" w:rsidRDefault="004663C5" w:rsidP="00034173">
            <w:pPr>
              <w:pStyle w:val="CGCBulletlist"/>
              <w:numPr>
                <w:ilvl w:val="0"/>
                <w:numId w:val="1"/>
              </w:numPr>
              <w:tabs>
                <w:tab w:val="clear" w:pos="1134"/>
              </w:tabs>
              <w:spacing w:before="40" w:after="40" w:line="200" w:lineRule="atLeast"/>
              <w:ind w:left="292" w:hanging="292"/>
              <w:rPr>
                <w:rFonts w:ascii="Calibri" w:hAnsi="Calibri"/>
                <w:sz w:val="20"/>
              </w:rPr>
            </w:pPr>
            <w:r>
              <w:rPr>
                <w:rFonts w:ascii="Calibri" w:hAnsi="Calibri"/>
                <w:sz w:val="20"/>
              </w:rPr>
              <w:t>i</w:t>
            </w:r>
            <w:r w:rsidRPr="001B6F4C">
              <w:rPr>
                <w:rFonts w:ascii="Calibri" w:hAnsi="Calibri"/>
                <w:sz w:val="20"/>
              </w:rPr>
              <w:t xml:space="preserve">mprove liveability and sustainability through creation of the Western Parkland Liveability Program, restoring and protecting the South Creek corridor and a Strategic Assessment under the </w:t>
            </w:r>
            <w:r w:rsidRPr="00F261FA">
              <w:rPr>
                <w:rFonts w:ascii="Calibri" w:hAnsi="Calibri"/>
                <w:i/>
                <w:sz w:val="20"/>
              </w:rPr>
              <w:t>Environment Protection and Biodiversity Conservation Act 1999</w:t>
            </w:r>
            <w:r w:rsidRPr="001B6F4C">
              <w:rPr>
                <w:rFonts w:ascii="Calibri" w:hAnsi="Calibri"/>
                <w:sz w:val="20"/>
              </w:rPr>
              <w:t xml:space="preserve"> (Cth)</w:t>
            </w:r>
          </w:p>
          <w:p w14:paraId="71E633C6" w14:textId="77777777" w:rsidR="004663C5" w:rsidRPr="007C3AD2" w:rsidRDefault="004663C5" w:rsidP="00034173">
            <w:pPr>
              <w:pStyle w:val="CGCBulletlist"/>
              <w:numPr>
                <w:ilvl w:val="0"/>
                <w:numId w:val="1"/>
              </w:numPr>
              <w:tabs>
                <w:tab w:val="clear" w:pos="1134"/>
              </w:tabs>
              <w:spacing w:before="40" w:after="40" w:line="200" w:lineRule="atLeast"/>
              <w:ind w:left="292" w:hanging="292"/>
              <w:rPr>
                <w:rFonts w:ascii="Calibri" w:hAnsi="Calibri"/>
                <w:sz w:val="20"/>
              </w:rPr>
            </w:pPr>
            <w:r>
              <w:rPr>
                <w:rFonts w:ascii="Calibri" w:hAnsi="Calibri"/>
                <w:sz w:val="20"/>
              </w:rPr>
              <w:t>p</w:t>
            </w:r>
            <w:r w:rsidRPr="001B6F4C">
              <w:rPr>
                <w:rFonts w:ascii="Calibri" w:hAnsi="Calibri"/>
                <w:sz w:val="20"/>
              </w:rPr>
              <w:t>lan to deliver housing to ensure sustainable growth while maintaining character of the Western Parkland City.</w:t>
            </w:r>
          </w:p>
        </w:tc>
        <w:tc>
          <w:tcPr>
            <w:tcW w:w="416" w:type="pct"/>
            <w:tcBorders>
              <w:top w:val="single" w:sz="4" w:space="0" w:color="auto"/>
              <w:bottom w:val="single" w:sz="4" w:space="0" w:color="auto"/>
            </w:tcBorders>
          </w:tcPr>
          <w:p w14:paraId="275D37C8" w14:textId="77777777" w:rsidR="004663C5" w:rsidRPr="00197C91" w:rsidRDefault="004663C5" w:rsidP="00034173">
            <w:pPr>
              <w:spacing w:before="40" w:after="40" w:line="200" w:lineRule="atLeast"/>
              <w:ind w:left="567" w:hanging="567"/>
              <w:jc w:val="right"/>
              <w:rPr>
                <w:rFonts w:ascii="Calibri" w:eastAsia="Calibri" w:hAnsi="Calibri" w:cs="Times New Roman"/>
                <w:color w:val="FF0000"/>
                <w:sz w:val="20"/>
                <w:szCs w:val="20"/>
              </w:rPr>
            </w:pPr>
            <w:r>
              <w:rPr>
                <w:rFonts w:ascii="Calibri" w:eastAsia="Calibri" w:hAnsi="Calibri" w:cs="Times New Roman"/>
                <w:sz w:val="20"/>
                <w:szCs w:val="20"/>
              </w:rPr>
              <w:t>7.8</w:t>
            </w:r>
          </w:p>
        </w:tc>
        <w:tc>
          <w:tcPr>
            <w:tcW w:w="546" w:type="pct"/>
            <w:gridSpan w:val="2"/>
            <w:tcBorders>
              <w:top w:val="single" w:sz="4" w:space="0" w:color="auto"/>
              <w:bottom w:val="single" w:sz="4" w:space="0" w:color="auto"/>
            </w:tcBorders>
          </w:tcPr>
          <w:p w14:paraId="3E31A915" w14:textId="77777777" w:rsidR="004663C5" w:rsidRDefault="004663C5" w:rsidP="00034173">
            <w:pPr>
              <w:spacing w:before="40" w:after="40" w:line="200" w:lineRule="atLeast"/>
              <w:rPr>
                <w:rFonts w:ascii="Calibri" w:hAnsi="Calibri"/>
                <w:sz w:val="20"/>
                <w:szCs w:val="20"/>
              </w:rPr>
            </w:pPr>
            <w:r>
              <w:rPr>
                <w:rFonts w:ascii="Calibri" w:hAnsi="Calibri"/>
                <w:sz w:val="20"/>
                <w:szCs w:val="20"/>
              </w:rPr>
              <w:t>No impact – payments direct to local governments;</w:t>
            </w:r>
          </w:p>
          <w:p w14:paraId="123051AA" w14:textId="77777777" w:rsidR="004663C5" w:rsidRDefault="004663C5" w:rsidP="00034173">
            <w:pPr>
              <w:spacing w:before="40" w:after="40" w:line="200" w:lineRule="atLeast"/>
              <w:rPr>
                <w:rFonts w:ascii="Calibri" w:hAnsi="Calibri"/>
                <w:sz w:val="20"/>
                <w:szCs w:val="20"/>
              </w:rPr>
            </w:pPr>
            <w:r>
              <w:rPr>
                <w:rFonts w:ascii="Calibri" w:hAnsi="Calibri"/>
                <w:sz w:val="20"/>
                <w:szCs w:val="20"/>
              </w:rPr>
              <w:t>Impact – payments to States</w:t>
            </w:r>
          </w:p>
        </w:tc>
        <w:tc>
          <w:tcPr>
            <w:tcW w:w="779" w:type="pct"/>
            <w:tcBorders>
              <w:top w:val="single" w:sz="4" w:space="0" w:color="auto"/>
              <w:bottom w:val="single" w:sz="4" w:space="0" w:color="auto"/>
            </w:tcBorders>
          </w:tcPr>
          <w:p w14:paraId="62B9A1B9" w14:textId="2D73CD21" w:rsidR="004663C5" w:rsidRDefault="004663C5" w:rsidP="00034173">
            <w:pPr>
              <w:spacing w:before="40" w:after="40" w:line="200" w:lineRule="atLeast"/>
              <w:rPr>
                <w:rFonts w:ascii="Calibri" w:hAnsi="Calibri"/>
                <w:sz w:val="20"/>
                <w:szCs w:val="20"/>
              </w:rPr>
            </w:pPr>
            <w:r>
              <w:rPr>
                <w:rFonts w:ascii="Calibri" w:hAnsi="Calibri"/>
                <w:sz w:val="20"/>
                <w:szCs w:val="20"/>
              </w:rPr>
              <w:t>Payments to local government are out of scope</w:t>
            </w:r>
            <w:r w:rsidR="00E93273">
              <w:rPr>
                <w:rFonts w:ascii="Calibri" w:hAnsi="Calibri"/>
                <w:sz w:val="20"/>
                <w:szCs w:val="20"/>
              </w:rPr>
              <w:t>.</w:t>
            </w:r>
          </w:p>
          <w:p w14:paraId="067E348A" w14:textId="77777777" w:rsidR="004663C5" w:rsidRPr="003A33DE" w:rsidRDefault="004663C5" w:rsidP="00034173">
            <w:pPr>
              <w:spacing w:before="40" w:after="40" w:line="200" w:lineRule="atLeast"/>
              <w:rPr>
                <w:rFonts w:ascii="Calibri" w:hAnsi="Calibri"/>
                <w:sz w:val="20"/>
                <w:szCs w:val="20"/>
              </w:rPr>
            </w:pPr>
          </w:p>
        </w:tc>
      </w:tr>
    </w:tbl>
    <w:p w14:paraId="78012F04" w14:textId="77777777" w:rsidR="005631B0" w:rsidRPr="00567474" w:rsidRDefault="005631B0" w:rsidP="005631B0">
      <w:pPr>
        <w:spacing w:before="40" w:after="40" w:line="200" w:lineRule="atLeast"/>
        <w:rPr>
          <w:b/>
        </w:rPr>
      </w:pPr>
      <w:r w:rsidRPr="00567474">
        <w:rPr>
          <w:b/>
          <w:noProof/>
          <w:sz w:val="22"/>
          <w:lang w:eastAsia="en-AU"/>
        </w:rPr>
        <w:lastRenderedPageBreak/>
        <mc:AlternateContent>
          <mc:Choice Requires="wps">
            <w:drawing>
              <wp:anchor distT="0" distB="0" distL="114300" distR="114300" simplePos="0" relativeHeight="251666432" behindDoc="0" locked="0" layoutInCell="1" allowOverlap="1" wp14:anchorId="79A00716" wp14:editId="0B3CD58D">
                <wp:simplePos x="0" y="0"/>
                <wp:positionH relativeFrom="column">
                  <wp:posOffset>-657571</wp:posOffset>
                </wp:positionH>
                <wp:positionV relativeFrom="paragraph">
                  <wp:posOffset>196735</wp:posOffset>
                </wp:positionV>
                <wp:extent cx="430530" cy="5092930"/>
                <wp:effectExtent l="0" t="0" r="762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5092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BA3B0" w14:textId="35907BC1" w:rsidR="000A1A57" w:rsidRPr="004C6DAD" w:rsidRDefault="000A1A57" w:rsidP="005631B0">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fldChar w:fldCharType="begin"/>
                            </w:r>
                            <w:r>
                              <w:instrText xml:space="preserve"> PAGE   \* MERGEFORMAT </w:instrText>
                            </w:r>
                            <w:r>
                              <w:fldChar w:fldCharType="separate"/>
                            </w:r>
                            <w:r w:rsidR="00D173AD">
                              <w:rPr>
                                <w:noProof/>
                              </w:rPr>
                              <w:t>5</w:t>
                            </w:r>
                            <w:r>
                              <w:rPr>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00716" id="Text Box 9" o:spid="_x0000_s1029" type="#_x0000_t202" style="position:absolute;margin-left:-51.8pt;margin-top:15.5pt;width:33.9pt;height:4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" stroked="f">
                <v:textbox style="layout-flow:vertical">
                  <w:txbxContent>
                    <w:p w14:paraId="672BA3B0" w14:textId="35907BC1" w:rsidR="000A1A57" w:rsidRPr="004C6DAD" w:rsidRDefault="000A1A57" w:rsidP="005631B0">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fldChar w:fldCharType="begin"/>
                      </w:r>
                      <w:r>
                        <w:instrText xml:space="preserve"> PAGE   \* MERGEFORMAT </w:instrText>
                      </w:r>
                      <w:r>
                        <w:fldChar w:fldCharType="separate"/>
                      </w:r>
                      <w:r w:rsidR="00D173AD">
                        <w:rPr>
                          <w:noProof/>
                        </w:rPr>
                        <w:t>5</w:t>
                      </w:r>
                      <w:r>
                        <w:rPr>
                          <w:noProof/>
                        </w:rPr>
                        <w:fldChar w:fldCharType="end"/>
                      </w:r>
                    </w:p>
                  </w:txbxContent>
                </v:textbox>
              </v:shape>
            </w:pict>
          </mc:Fallback>
        </mc:AlternateContent>
      </w:r>
      <w:r w:rsidRPr="00567474">
        <w:rPr>
          <w:b/>
          <w:sz w:val="22"/>
        </w:rPr>
        <w:t xml:space="preserve">Table A- 1 </w:t>
      </w:r>
      <w:r w:rsidRPr="00567474">
        <w:rPr>
          <w:b/>
          <w:sz w:val="22"/>
        </w:rPr>
        <w:tab/>
        <w:t xml:space="preserve">Proposed treatment of Commonwealth payments commenced in 2018-19, </w:t>
      </w:r>
      <w:r w:rsidRPr="00567474">
        <w:rPr>
          <w:b/>
          <w:i/>
          <w:sz w:val="22"/>
        </w:rPr>
        <w:t>Final Budget Outcome, 2018-19 (Continued)</w:t>
      </w:r>
    </w:p>
    <w:tbl>
      <w:tblPr>
        <w:tblStyle w:val="TableGrid1"/>
        <w:tblW w:w="5000" w:type="pct"/>
        <w:tblLook w:val="04A0" w:firstRow="1" w:lastRow="0" w:firstColumn="1" w:lastColumn="0" w:noHBand="0" w:noVBand="1"/>
        <w:tblCaption w:val="Table A1 proposed treatment of Commonwealth payments commenced in 2016-17"/>
        <w:tblDescription w:val="Proposed treatment of Commonwealth payments commenced in 2016-17"/>
      </w:tblPr>
      <w:tblGrid>
        <w:gridCol w:w="3042"/>
        <w:gridCol w:w="5709"/>
        <w:gridCol w:w="1120"/>
        <w:gridCol w:w="1466"/>
        <w:gridCol w:w="2089"/>
      </w:tblGrid>
      <w:tr w:rsidR="005631B0" w:rsidRPr="00567474" w14:paraId="646E7AD5" w14:textId="77777777" w:rsidTr="00086947">
        <w:tc>
          <w:tcPr>
            <w:tcW w:w="1133" w:type="pct"/>
          </w:tcPr>
          <w:p w14:paraId="6075B39F" w14:textId="77777777" w:rsidR="005631B0" w:rsidRPr="00567474" w:rsidRDefault="005631B0" w:rsidP="00086947">
            <w:pPr>
              <w:spacing w:before="40" w:after="40" w:line="200" w:lineRule="atLeast"/>
              <w:ind w:left="567" w:hanging="567"/>
              <w:rPr>
                <w:rFonts w:ascii="Calibri" w:eastAsia="Calibri" w:hAnsi="Calibri" w:cs="Times New Roman"/>
                <w:sz w:val="20"/>
                <w:szCs w:val="20"/>
              </w:rPr>
            </w:pPr>
            <w:r w:rsidRPr="00567474">
              <w:rPr>
                <w:rFonts w:ascii="Calibri" w:eastAsia="Calibri" w:hAnsi="Calibri" w:cs="Times New Roman"/>
                <w:sz w:val="20"/>
                <w:szCs w:val="20"/>
              </w:rPr>
              <w:t>Commonwealth payment</w:t>
            </w:r>
          </w:p>
        </w:tc>
        <w:tc>
          <w:tcPr>
            <w:tcW w:w="2126" w:type="pct"/>
          </w:tcPr>
          <w:p w14:paraId="1E78CEAE" w14:textId="77777777" w:rsidR="005631B0" w:rsidRPr="00567474" w:rsidRDefault="005631B0" w:rsidP="00086947">
            <w:pPr>
              <w:spacing w:before="40" w:after="40" w:line="200" w:lineRule="atLeast"/>
              <w:ind w:left="567" w:hanging="567"/>
              <w:rPr>
                <w:rFonts w:ascii="Calibri" w:eastAsia="Calibri" w:hAnsi="Calibri" w:cs="Times New Roman"/>
                <w:sz w:val="20"/>
                <w:szCs w:val="20"/>
              </w:rPr>
            </w:pPr>
            <w:r w:rsidRPr="00567474">
              <w:rPr>
                <w:rFonts w:ascii="Calibri" w:eastAsia="Calibri" w:hAnsi="Calibri" w:cs="Times New Roman"/>
                <w:sz w:val="20"/>
                <w:szCs w:val="20"/>
              </w:rPr>
              <w:t>Description</w:t>
            </w:r>
          </w:p>
        </w:tc>
        <w:tc>
          <w:tcPr>
            <w:tcW w:w="417" w:type="pct"/>
          </w:tcPr>
          <w:p w14:paraId="1B9D9C9D" w14:textId="4BA42E18" w:rsidR="005631B0" w:rsidRPr="00567474" w:rsidRDefault="009E0F50" w:rsidP="009E0F50">
            <w:pPr>
              <w:spacing w:before="40" w:after="40" w:line="200" w:lineRule="atLeast"/>
              <w:jc w:val="right"/>
              <w:rPr>
                <w:rFonts w:ascii="Calibri" w:eastAsia="Calibri" w:hAnsi="Calibri" w:cs="Times New Roman"/>
                <w:sz w:val="20"/>
                <w:szCs w:val="20"/>
              </w:rPr>
            </w:pPr>
            <w:r>
              <w:rPr>
                <w:rFonts w:ascii="Calibri" w:eastAsia="Calibri" w:hAnsi="Calibri" w:cs="Times New Roman"/>
                <w:sz w:val="20"/>
                <w:szCs w:val="20"/>
              </w:rPr>
              <w:t>2018-19</w:t>
            </w:r>
            <w:r>
              <w:rPr>
                <w:rFonts w:ascii="Calibri" w:eastAsia="Calibri" w:hAnsi="Calibri" w:cs="Times New Roman"/>
                <w:sz w:val="20"/>
                <w:szCs w:val="20"/>
              </w:rPr>
              <w:br/>
            </w:r>
            <w:r w:rsidRPr="00120DAC">
              <w:rPr>
                <w:rFonts w:ascii="Calibri" w:eastAsia="Calibri" w:hAnsi="Calibri" w:cs="Times New Roman"/>
                <w:sz w:val="20"/>
                <w:szCs w:val="20"/>
              </w:rPr>
              <w:t>$m</w:t>
            </w:r>
          </w:p>
        </w:tc>
        <w:tc>
          <w:tcPr>
            <w:tcW w:w="546" w:type="pct"/>
          </w:tcPr>
          <w:p w14:paraId="088DFDBE" w14:textId="77777777" w:rsidR="005631B0" w:rsidRPr="00567474" w:rsidRDefault="005631B0" w:rsidP="00086947">
            <w:pPr>
              <w:spacing w:before="40" w:after="40" w:line="200" w:lineRule="atLeast"/>
              <w:rPr>
                <w:rFonts w:ascii="Calibri" w:eastAsia="Calibri" w:hAnsi="Calibri" w:cs="Times New Roman"/>
                <w:sz w:val="20"/>
                <w:szCs w:val="20"/>
              </w:rPr>
            </w:pPr>
            <w:r w:rsidRPr="00567474">
              <w:rPr>
                <w:rFonts w:ascii="Calibri" w:eastAsia="Calibri" w:hAnsi="Calibri" w:cs="Times New Roman"/>
                <w:sz w:val="20"/>
                <w:szCs w:val="20"/>
              </w:rPr>
              <w:t>Proposed treatment</w:t>
            </w:r>
          </w:p>
        </w:tc>
        <w:tc>
          <w:tcPr>
            <w:tcW w:w="778" w:type="pct"/>
          </w:tcPr>
          <w:p w14:paraId="4A4C192C" w14:textId="03B8A4CE" w:rsidR="005631B0" w:rsidRPr="00567474" w:rsidRDefault="00E93273" w:rsidP="00086947">
            <w:pPr>
              <w:spacing w:before="40" w:after="40" w:line="200" w:lineRule="atLeast"/>
              <w:rPr>
                <w:rFonts w:ascii="Calibri" w:eastAsia="Calibri" w:hAnsi="Calibri" w:cs="Times New Roman"/>
                <w:sz w:val="20"/>
                <w:szCs w:val="20"/>
              </w:rPr>
            </w:pPr>
            <w:r>
              <w:rPr>
                <w:rFonts w:ascii="Calibri" w:eastAsia="Calibri" w:hAnsi="Calibri" w:cs="Times New Roman"/>
                <w:sz w:val="20"/>
                <w:szCs w:val="20"/>
              </w:rPr>
              <w:t>Reason for n</w:t>
            </w:r>
            <w:r w:rsidR="005631B0" w:rsidRPr="00567474">
              <w:rPr>
                <w:rFonts w:ascii="Calibri" w:eastAsia="Calibri" w:hAnsi="Calibri" w:cs="Times New Roman"/>
                <w:sz w:val="20"/>
                <w:szCs w:val="20"/>
              </w:rPr>
              <w:t>o impact treatment</w:t>
            </w:r>
          </w:p>
        </w:tc>
      </w:tr>
      <w:tr w:rsidR="005631B0" w:rsidRPr="003A33DE" w14:paraId="1491010A" w14:textId="77777777" w:rsidTr="00086947">
        <w:tc>
          <w:tcPr>
            <w:tcW w:w="5000" w:type="pct"/>
            <w:gridSpan w:val="5"/>
          </w:tcPr>
          <w:p w14:paraId="7D6B3303" w14:textId="77777777" w:rsidR="005631B0" w:rsidRPr="003A33DE" w:rsidRDefault="005631B0" w:rsidP="00086947">
            <w:pPr>
              <w:spacing w:before="40" w:after="40" w:line="200" w:lineRule="atLeast"/>
              <w:rPr>
                <w:rFonts w:ascii="Calibri" w:hAnsi="Calibri"/>
                <w:sz w:val="20"/>
                <w:szCs w:val="20"/>
              </w:rPr>
            </w:pPr>
            <w:r w:rsidRPr="00120DAC">
              <w:rPr>
                <w:rFonts w:ascii="Calibri" w:eastAsia="Calibri" w:hAnsi="Calibri" w:cs="Times New Roman"/>
                <w:b/>
                <w:sz w:val="20"/>
                <w:szCs w:val="20"/>
              </w:rPr>
              <w:t>ENVIRONMENT</w:t>
            </w:r>
          </w:p>
        </w:tc>
      </w:tr>
      <w:tr w:rsidR="005631B0" w14:paraId="4247A445" w14:textId="77777777" w:rsidTr="00086947">
        <w:tc>
          <w:tcPr>
            <w:tcW w:w="1133" w:type="pct"/>
          </w:tcPr>
          <w:p w14:paraId="19E1955B" w14:textId="77777777" w:rsidR="005631B0" w:rsidRPr="00F44295" w:rsidRDefault="005631B0" w:rsidP="00086947">
            <w:pPr>
              <w:spacing w:before="40" w:after="40" w:line="200" w:lineRule="atLeast"/>
              <w:rPr>
                <w:rFonts w:ascii="Calibri" w:hAnsi="Calibri"/>
                <w:sz w:val="20"/>
                <w:szCs w:val="20"/>
              </w:rPr>
            </w:pPr>
            <w:r w:rsidRPr="00482F2B">
              <w:rPr>
                <w:rFonts w:ascii="Calibri" w:eastAsia="Calibri" w:hAnsi="Calibri" w:cs="Times New Roman"/>
                <w:sz w:val="20"/>
                <w:szCs w:val="20"/>
              </w:rPr>
              <w:t>Grants</w:t>
            </w:r>
            <w:r>
              <w:rPr>
                <w:rFonts w:ascii="Calibri" w:eastAsia="Calibri" w:hAnsi="Calibri" w:cs="Times New Roman"/>
                <w:sz w:val="20"/>
                <w:szCs w:val="20"/>
              </w:rPr>
              <w:t xml:space="preserve"> assistance to primary producers impacted by the north Queensland floods</w:t>
            </w:r>
          </w:p>
        </w:tc>
        <w:tc>
          <w:tcPr>
            <w:tcW w:w="2126" w:type="pct"/>
          </w:tcPr>
          <w:p w14:paraId="7E2B8ACA" w14:textId="4D9601E1" w:rsidR="005631B0" w:rsidRPr="00482F2B" w:rsidRDefault="005631B0" w:rsidP="006C2063">
            <w:pPr>
              <w:spacing w:before="40" w:after="40" w:line="200" w:lineRule="atLeast"/>
              <w:rPr>
                <w:rFonts w:ascii="Calibri" w:hAnsi="Calibri"/>
                <w:sz w:val="20"/>
                <w:szCs w:val="20"/>
              </w:rPr>
            </w:pPr>
            <w:r>
              <w:rPr>
                <w:rFonts w:ascii="Calibri" w:hAnsi="Calibri"/>
                <w:sz w:val="20"/>
                <w:szCs w:val="20"/>
              </w:rPr>
              <w:t xml:space="preserve">Funding to assist primary producers </w:t>
            </w:r>
            <w:r w:rsidR="006C2063">
              <w:rPr>
                <w:rFonts w:ascii="Calibri" w:hAnsi="Calibri"/>
                <w:sz w:val="20"/>
                <w:szCs w:val="20"/>
              </w:rPr>
              <w:t xml:space="preserve">affected </w:t>
            </w:r>
            <w:r>
              <w:rPr>
                <w:rFonts w:ascii="Calibri" w:hAnsi="Calibri"/>
                <w:sz w:val="20"/>
                <w:szCs w:val="20"/>
              </w:rPr>
              <w:t>by the north and far north Queensland monsoon trough to rebuild their farm enterprises through grants to purchase on-farm infrastructure and to restock or replant.</w:t>
            </w:r>
          </w:p>
        </w:tc>
        <w:tc>
          <w:tcPr>
            <w:tcW w:w="417" w:type="pct"/>
          </w:tcPr>
          <w:p w14:paraId="67785334" w14:textId="77777777" w:rsidR="005631B0" w:rsidRDefault="005631B0" w:rsidP="00086947">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300.0</w:t>
            </w:r>
          </w:p>
        </w:tc>
        <w:tc>
          <w:tcPr>
            <w:tcW w:w="546" w:type="pct"/>
          </w:tcPr>
          <w:p w14:paraId="0E1CDA6B" w14:textId="77777777" w:rsidR="005631B0" w:rsidRPr="00482F2B" w:rsidRDefault="005631B0" w:rsidP="00086947">
            <w:pPr>
              <w:spacing w:before="40" w:after="40" w:line="200" w:lineRule="atLeast"/>
              <w:ind w:left="567" w:hanging="567"/>
              <w:rPr>
                <w:rFonts w:ascii="Calibri" w:eastAsia="Calibri" w:hAnsi="Calibri" w:cs="Times New Roman"/>
                <w:sz w:val="20"/>
                <w:szCs w:val="20"/>
              </w:rPr>
            </w:pPr>
            <w:r>
              <w:rPr>
                <w:rFonts w:ascii="Calibri" w:eastAsia="Calibri" w:hAnsi="Calibri" w:cs="Times New Roman"/>
                <w:sz w:val="20"/>
                <w:szCs w:val="20"/>
              </w:rPr>
              <w:t>No impact</w:t>
            </w:r>
          </w:p>
        </w:tc>
        <w:tc>
          <w:tcPr>
            <w:tcW w:w="778" w:type="pct"/>
          </w:tcPr>
          <w:p w14:paraId="03F3FD43" w14:textId="5D4EDAE0" w:rsidR="005631B0" w:rsidRPr="006C2063" w:rsidRDefault="001E171B" w:rsidP="00F261FA">
            <w:pPr>
              <w:spacing w:before="40" w:after="40" w:line="240" w:lineRule="auto"/>
              <w:rPr>
                <w:rFonts w:ascii="Calibri" w:hAnsi="Calibri"/>
                <w:sz w:val="20"/>
                <w:szCs w:val="20"/>
              </w:rPr>
            </w:pPr>
            <w:r>
              <w:rPr>
                <w:rFonts w:ascii="Calibri" w:eastAsia="Calibri" w:hAnsi="Calibri" w:cs="Calibri"/>
                <w:sz w:val="20"/>
                <w:szCs w:val="20"/>
              </w:rPr>
              <w:t>States act as an intermediaries</w:t>
            </w:r>
            <w:r w:rsidR="005631B0" w:rsidRPr="00F261FA">
              <w:rPr>
                <w:rFonts w:ascii="Calibri" w:eastAsia="Calibri" w:hAnsi="Calibri" w:cs="Calibri"/>
                <w:sz w:val="20"/>
                <w:szCs w:val="20"/>
              </w:rPr>
              <w:t xml:space="preserve"> and needs are not assessed</w:t>
            </w:r>
            <w:r w:rsidR="009E0F50">
              <w:rPr>
                <w:rFonts w:ascii="Calibri" w:eastAsia="Calibri" w:hAnsi="Calibri" w:cs="Calibri"/>
                <w:sz w:val="20"/>
                <w:szCs w:val="20"/>
              </w:rPr>
              <w:t>.</w:t>
            </w:r>
          </w:p>
        </w:tc>
      </w:tr>
      <w:tr w:rsidR="005631B0" w:rsidRPr="00197C91" w14:paraId="3DFCCE0E" w14:textId="77777777" w:rsidTr="00086947">
        <w:tc>
          <w:tcPr>
            <w:tcW w:w="1133" w:type="pct"/>
            <w:tcBorders>
              <w:top w:val="single" w:sz="4" w:space="0" w:color="auto"/>
              <w:bottom w:val="single" w:sz="4" w:space="0" w:color="auto"/>
            </w:tcBorders>
          </w:tcPr>
          <w:p w14:paraId="5175B5FE" w14:textId="77777777" w:rsidR="005631B0" w:rsidRPr="00537ABB" w:rsidRDefault="005631B0" w:rsidP="00086947">
            <w:pPr>
              <w:spacing w:before="40" w:after="40" w:line="200" w:lineRule="atLeast"/>
              <w:rPr>
                <w:rFonts w:ascii="Calibri" w:hAnsi="Calibri"/>
                <w:sz w:val="20"/>
                <w:szCs w:val="20"/>
              </w:rPr>
            </w:pPr>
            <w:r w:rsidRPr="00537ABB">
              <w:rPr>
                <w:rFonts w:ascii="Calibri" w:hAnsi="Calibri"/>
                <w:sz w:val="20"/>
                <w:szCs w:val="20"/>
              </w:rPr>
              <w:t>Mar</w:t>
            </w:r>
            <w:r>
              <w:rPr>
                <w:rFonts w:ascii="Calibri" w:hAnsi="Calibri"/>
                <w:sz w:val="20"/>
                <w:szCs w:val="20"/>
              </w:rPr>
              <w:t>inus Link</w:t>
            </w:r>
          </w:p>
        </w:tc>
        <w:tc>
          <w:tcPr>
            <w:tcW w:w="2126" w:type="pct"/>
            <w:tcBorders>
              <w:top w:val="single" w:sz="4" w:space="0" w:color="auto"/>
              <w:bottom w:val="single" w:sz="4" w:space="0" w:color="auto"/>
            </w:tcBorders>
          </w:tcPr>
          <w:p w14:paraId="2BD3C3B1" w14:textId="77777777" w:rsidR="005631B0" w:rsidRDefault="005631B0" w:rsidP="00086947">
            <w:pPr>
              <w:spacing w:before="40" w:after="40" w:line="200" w:lineRule="atLeast"/>
              <w:rPr>
                <w:rFonts w:ascii="Calibri" w:hAnsi="Calibri"/>
                <w:sz w:val="20"/>
                <w:szCs w:val="20"/>
              </w:rPr>
            </w:pPr>
            <w:r>
              <w:rPr>
                <w:rFonts w:ascii="Calibri" w:hAnsi="Calibri"/>
                <w:sz w:val="20"/>
                <w:szCs w:val="20"/>
              </w:rPr>
              <w:t>Funding to Tasmania to support progress towards the delivery and approvals phase of a second electricity transmission interconnector from Tasmania to the mainland, the Marinus Link.</w:t>
            </w:r>
          </w:p>
          <w:p w14:paraId="76071EC9" w14:textId="77777777" w:rsidR="005631B0" w:rsidRPr="00537ABB" w:rsidRDefault="005631B0" w:rsidP="00086947">
            <w:pPr>
              <w:spacing w:before="40" w:after="40" w:line="200" w:lineRule="atLeast"/>
              <w:rPr>
                <w:rFonts w:ascii="Calibri" w:hAnsi="Calibri"/>
                <w:sz w:val="20"/>
                <w:szCs w:val="20"/>
              </w:rPr>
            </w:pPr>
            <w:r w:rsidRPr="00FA5B8D">
              <w:rPr>
                <w:rFonts w:ascii="Calibri" w:hAnsi="Calibri"/>
                <w:sz w:val="20"/>
                <w:szCs w:val="20"/>
              </w:rPr>
              <w:t xml:space="preserve">The payment is for project planning, scoping and project delivery strategy only. The project is estimated to cost a further $1.3 to 3.1 </w:t>
            </w:r>
            <w:r>
              <w:rPr>
                <w:rFonts w:ascii="Calibri" w:hAnsi="Calibri"/>
                <w:sz w:val="20"/>
                <w:szCs w:val="20"/>
              </w:rPr>
              <w:t>billion to build.  TasNetworks,</w:t>
            </w:r>
            <w:r w:rsidRPr="00FA5B8D">
              <w:rPr>
                <w:rFonts w:ascii="Calibri" w:hAnsi="Calibri"/>
                <w:sz w:val="20"/>
                <w:szCs w:val="20"/>
              </w:rPr>
              <w:t xml:space="preserve"> the electricity network operator in Tasmania, has also received funding from the Australian Renewable Energy Agency (ARENA). </w:t>
            </w:r>
          </w:p>
        </w:tc>
        <w:tc>
          <w:tcPr>
            <w:tcW w:w="417" w:type="pct"/>
            <w:tcBorders>
              <w:top w:val="single" w:sz="4" w:space="0" w:color="auto"/>
              <w:bottom w:val="single" w:sz="4" w:space="0" w:color="auto"/>
            </w:tcBorders>
          </w:tcPr>
          <w:p w14:paraId="0A34FBC9" w14:textId="77777777" w:rsidR="005631B0" w:rsidRPr="00197C91" w:rsidRDefault="005631B0" w:rsidP="00086947">
            <w:pPr>
              <w:spacing w:before="40" w:after="40" w:line="200" w:lineRule="atLeast"/>
              <w:ind w:left="567" w:hanging="567"/>
              <w:jc w:val="right"/>
              <w:rPr>
                <w:rFonts w:ascii="Calibri" w:eastAsia="Calibri" w:hAnsi="Calibri" w:cs="Times New Roman"/>
                <w:color w:val="FF0000"/>
                <w:sz w:val="20"/>
                <w:szCs w:val="20"/>
              </w:rPr>
            </w:pPr>
            <w:r>
              <w:rPr>
                <w:rFonts w:ascii="Calibri" w:eastAsia="Calibri" w:hAnsi="Calibri" w:cs="Times New Roman"/>
                <w:sz w:val="20"/>
                <w:szCs w:val="20"/>
              </w:rPr>
              <w:t>56.0</w:t>
            </w:r>
          </w:p>
        </w:tc>
        <w:tc>
          <w:tcPr>
            <w:tcW w:w="546" w:type="pct"/>
            <w:tcBorders>
              <w:top w:val="single" w:sz="4" w:space="0" w:color="auto"/>
              <w:bottom w:val="single" w:sz="4" w:space="0" w:color="auto"/>
            </w:tcBorders>
          </w:tcPr>
          <w:p w14:paraId="2DABFDC0" w14:textId="77777777" w:rsidR="005631B0" w:rsidRPr="00482F2B" w:rsidRDefault="005631B0" w:rsidP="00086947">
            <w:pPr>
              <w:spacing w:before="40" w:after="40" w:line="200" w:lineRule="atLeast"/>
              <w:ind w:left="567" w:hanging="567"/>
              <w:rPr>
                <w:rFonts w:ascii="Calibri" w:eastAsia="Calibri" w:hAnsi="Calibri" w:cs="Times New Roman"/>
                <w:sz w:val="20"/>
                <w:szCs w:val="20"/>
              </w:rPr>
            </w:pPr>
            <w:r>
              <w:rPr>
                <w:rFonts w:ascii="Calibri" w:eastAsia="Calibri" w:hAnsi="Calibri" w:cs="Times New Roman"/>
                <w:sz w:val="20"/>
                <w:szCs w:val="20"/>
              </w:rPr>
              <w:t>No impact</w:t>
            </w:r>
          </w:p>
        </w:tc>
        <w:tc>
          <w:tcPr>
            <w:tcW w:w="778" w:type="pct"/>
            <w:tcBorders>
              <w:top w:val="single" w:sz="4" w:space="0" w:color="auto"/>
              <w:bottom w:val="single" w:sz="4" w:space="0" w:color="auto"/>
            </w:tcBorders>
          </w:tcPr>
          <w:p w14:paraId="3A327D47" w14:textId="2A646254" w:rsidR="005631B0" w:rsidRPr="00925326" w:rsidRDefault="004D1741" w:rsidP="00B73A5B">
            <w:pPr>
              <w:spacing w:before="40" w:after="40" w:line="200" w:lineRule="atLeast"/>
              <w:rPr>
                <w:rFonts w:ascii="Calibri" w:hAnsi="Calibri"/>
                <w:sz w:val="20"/>
                <w:szCs w:val="20"/>
              </w:rPr>
            </w:pPr>
            <w:r>
              <w:rPr>
                <w:rFonts w:ascii="Calibri" w:hAnsi="Calibri"/>
                <w:sz w:val="20"/>
                <w:szCs w:val="20"/>
              </w:rPr>
              <w:t xml:space="preserve">Project aims to </w:t>
            </w:r>
            <w:r w:rsidR="00B73A5B">
              <w:rPr>
                <w:rFonts w:ascii="Calibri" w:hAnsi="Calibri"/>
                <w:sz w:val="20"/>
                <w:szCs w:val="20"/>
              </w:rPr>
              <w:t>improve security of</w:t>
            </w:r>
            <w:r>
              <w:rPr>
                <w:rFonts w:ascii="Calibri" w:hAnsi="Calibri"/>
                <w:sz w:val="20"/>
                <w:szCs w:val="20"/>
              </w:rPr>
              <w:t xml:space="preserve"> the National Energy Market</w:t>
            </w:r>
            <w:r w:rsidR="00B73A5B">
              <w:rPr>
                <w:rFonts w:ascii="Calibri" w:hAnsi="Calibri"/>
                <w:sz w:val="20"/>
                <w:szCs w:val="20"/>
              </w:rPr>
              <w:t>. Needs are not</w:t>
            </w:r>
            <w:r>
              <w:rPr>
                <w:rFonts w:ascii="Calibri" w:hAnsi="Calibri"/>
                <w:sz w:val="20"/>
                <w:szCs w:val="20"/>
              </w:rPr>
              <w:t xml:space="preserve"> assessed. (</w:t>
            </w:r>
            <w:r w:rsidR="005631B0">
              <w:rPr>
                <w:rFonts w:ascii="Calibri" w:hAnsi="Calibri"/>
                <w:sz w:val="20"/>
                <w:szCs w:val="20"/>
              </w:rPr>
              <w:t>Expecting the R2020 Terms of Reference (supplementary) will direct the Commission to exclude this payment from its calculation of State fiscal capacities.</w:t>
            </w:r>
            <w:r>
              <w:rPr>
                <w:rFonts w:ascii="Calibri" w:hAnsi="Calibri"/>
                <w:sz w:val="20"/>
                <w:szCs w:val="20"/>
              </w:rPr>
              <w:t>)</w:t>
            </w:r>
          </w:p>
        </w:tc>
      </w:tr>
      <w:tr w:rsidR="005631B0" w:rsidRPr="00197C91" w14:paraId="6C7CFB67" w14:textId="77777777" w:rsidTr="00086947">
        <w:tc>
          <w:tcPr>
            <w:tcW w:w="1133" w:type="pct"/>
          </w:tcPr>
          <w:p w14:paraId="2679D0F2" w14:textId="77777777" w:rsidR="005631B0" w:rsidRPr="008A55FC" w:rsidRDefault="005631B0" w:rsidP="00086947">
            <w:pPr>
              <w:spacing w:before="40" w:after="40" w:line="200" w:lineRule="atLeast"/>
              <w:rPr>
                <w:rFonts w:ascii="Calibri" w:hAnsi="Calibri"/>
                <w:sz w:val="20"/>
                <w:szCs w:val="20"/>
              </w:rPr>
            </w:pPr>
            <w:r w:rsidRPr="008A55FC">
              <w:rPr>
                <w:rFonts w:ascii="Calibri" w:hAnsi="Calibri"/>
                <w:sz w:val="20"/>
                <w:szCs w:val="20"/>
              </w:rPr>
              <w:t>On-farm emergency water infrastructure rebate</w:t>
            </w:r>
          </w:p>
        </w:tc>
        <w:tc>
          <w:tcPr>
            <w:tcW w:w="2126" w:type="pct"/>
          </w:tcPr>
          <w:p w14:paraId="2A518FEF" w14:textId="77777777" w:rsidR="005631B0" w:rsidRDefault="005631B0" w:rsidP="00086947">
            <w:pPr>
              <w:spacing w:before="40" w:after="40" w:line="200" w:lineRule="atLeast"/>
              <w:rPr>
                <w:rFonts w:ascii="Calibri" w:hAnsi="Calibri"/>
                <w:sz w:val="20"/>
                <w:szCs w:val="20"/>
              </w:rPr>
            </w:pPr>
            <w:r>
              <w:rPr>
                <w:rFonts w:ascii="Calibri" w:hAnsi="Calibri"/>
                <w:sz w:val="20"/>
                <w:szCs w:val="20"/>
              </w:rPr>
              <w:t xml:space="preserve">Funding for </w:t>
            </w:r>
            <w:r w:rsidRPr="008A55FC">
              <w:rPr>
                <w:rFonts w:ascii="Calibri" w:hAnsi="Calibri"/>
                <w:sz w:val="20"/>
                <w:szCs w:val="20"/>
              </w:rPr>
              <w:t>one-off rebate</w:t>
            </w:r>
            <w:r>
              <w:rPr>
                <w:rFonts w:ascii="Calibri" w:hAnsi="Calibri"/>
                <w:sz w:val="20"/>
                <w:szCs w:val="20"/>
              </w:rPr>
              <w:t>s</w:t>
            </w:r>
            <w:r w:rsidRPr="008A55FC">
              <w:rPr>
                <w:rFonts w:ascii="Calibri" w:hAnsi="Calibri"/>
                <w:sz w:val="20"/>
                <w:szCs w:val="20"/>
              </w:rPr>
              <w:t xml:space="preserve"> to eligible primary producers to improve water infrastructure that addresses animal welfare and improves drought resilience for primary producers</w:t>
            </w:r>
            <w:r>
              <w:rPr>
                <w:rFonts w:ascii="Calibri" w:hAnsi="Calibri"/>
                <w:sz w:val="20"/>
                <w:szCs w:val="20"/>
              </w:rPr>
              <w:t>.</w:t>
            </w:r>
          </w:p>
        </w:tc>
        <w:tc>
          <w:tcPr>
            <w:tcW w:w="417" w:type="pct"/>
          </w:tcPr>
          <w:p w14:paraId="160B8A42" w14:textId="34471FD8" w:rsidR="005631B0" w:rsidRDefault="00A41123" w:rsidP="00086947">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 xml:space="preserve"> </w:t>
            </w:r>
            <w:r w:rsidR="0084098E">
              <w:rPr>
                <w:rFonts w:ascii="Calibri" w:eastAsia="Calibri" w:hAnsi="Calibri" w:cs="Times New Roman"/>
                <w:sz w:val="20"/>
                <w:szCs w:val="20"/>
              </w:rPr>
              <w:t>6.7</w:t>
            </w:r>
          </w:p>
        </w:tc>
        <w:tc>
          <w:tcPr>
            <w:tcW w:w="546" w:type="pct"/>
          </w:tcPr>
          <w:p w14:paraId="53C3D5ED" w14:textId="77777777" w:rsidR="005631B0" w:rsidRPr="00537ABB" w:rsidRDefault="005631B0" w:rsidP="00086947">
            <w:pPr>
              <w:spacing w:before="40" w:after="40" w:line="200" w:lineRule="atLeast"/>
              <w:ind w:left="567" w:hanging="567"/>
              <w:rPr>
                <w:rFonts w:ascii="Calibri" w:eastAsia="Calibri" w:hAnsi="Calibri" w:cs="Times New Roman"/>
                <w:sz w:val="20"/>
                <w:szCs w:val="20"/>
              </w:rPr>
            </w:pPr>
            <w:r>
              <w:rPr>
                <w:rFonts w:ascii="Calibri" w:eastAsia="Calibri" w:hAnsi="Calibri" w:cs="Times New Roman"/>
                <w:sz w:val="20"/>
                <w:szCs w:val="20"/>
              </w:rPr>
              <w:t>No impact</w:t>
            </w:r>
          </w:p>
        </w:tc>
        <w:tc>
          <w:tcPr>
            <w:tcW w:w="778" w:type="pct"/>
          </w:tcPr>
          <w:p w14:paraId="1AF2B7AC" w14:textId="6E610388" w:rsidR="005631B0" w:rsidRPr="006C2063" w:rsidRDefault="001E171B" w:rsidP="00F261FA">
            <w:pPr>
              <w:spacing w:before="40" w:after="40" w:line="240" w:lineRule="auto"/>
              <w:rPr>
                <w:rFonts w:ascii="Calibri" w:hAnsi="Calibri"/>
                <w:sz w:val="20"/>
                <w:szCs w:val="20"/>
              </w:rPr>
            </w:pPr>
            <w:r>
              <w:rPr>
                <w:rFonts w:ascii="Calibri" w:eastAsia="Calibri" w:hAnsi="Calibri" w:cs="Calibri"/>
                <w:sz w:val="20"/>
                <w:szCs w:val="20"/>
              </w:rPr>
              <w:t>States act as an intermediaries</w:t>
            </w:r>
            <w:r w:rsidR="005631B0" w:rsidRPr="00F261FA">
              <w:rPr>
                <w:rFonts w:ascii="Calibri" w:eastAsia="Calibri" w:hAnsi="Calibri" w:cs="Calibri"/>
                <w:sz w:val="20"/>
                <w:szCs w:val="20"/>
              </w:rPr>
              <w:t xml:space="preserve"> and needs are not assessed</w:t>
            </w:r>
            <w:r w:rsidR="009E0F50">
              <w:rPr>
                <w:rFonts w:ascii="Calibri" w:eastAsia="Calibri" w:hAnsi="Calibri" w:cs="Calibri"/>
                <w:sz w:val="20"/>
                <w:szCs w:val="20"/>
              </w:rPr>
              <w:t>.</w:t>
            </w:r>
          </w:p>
        </w:tc>
      </w:tr>
      <w:tr w:rsidR="005631B0" w:rsidRPr="00197C91" w14:paraId="6FD5618D" w14:textId="77777777" w:rsidTr="00086947">
        <w:tc>
          <w:tcPr>
            <w:tcW w:w="1133" w:type="pct"/>
          </w:tcPr>
          <w:p w14:paraId="11C587EC" w14:textId="77777777" w:rsidR="005631B0" w:rsidRPr="008F7F31" w:rsidRDefault="005631B0" w:rsidP="00086947">
            <w:pPr>
              <w:spacing w:before="40" w:after="40" w:line="200" w:lineRule="atLeast"/>
              <w:rPr>
                <w:rFonts w:ascii="Calibri" w:hAnsi="Calibri"/>
                <w:sz w:val="20"/>
                <w:szCs w:val="20"/>
              </w:rPr>
            </w:pPr>
            <w:r w:rsidRPr="008F7F31">
              <w:rPr>
                <w:rFonts w:ascii="Calibri" w:hAnsi="Calibri"/>
                <w:sz w:val="20"/>
                <w:szCs w:val="20"/>
              </w:rPr>
              <w:t>Prepared communities</w:t>
            </w:r>
          </w:p>
        </w:tc>
        <w:tc>
          <w:tcPr>
            <w:tcW w:w="2126" w:type="pct"/>
          </w:tcPr>
          <w:p w14:paraId="61FC129E" w14:textId="77777777" w:rsidR="005631B0" w:rsidRPr="008F7F31" w:rsidRDefault="005631B0" w:rsidP="00086947">
            <w:pPr>
              <w:spacing w:before="40" w:after="40" w:line="200" w:lineRule="atLeast"/>
              <w:rPr>
                <w:rFonts w:ascii="Calibri" w:hAnsi="Calibri"/>
                <w:sz w:val="20"/>
                <w:szCs w:val="20"/>
              </w:rPr>
            </w:pPr>
            <w:r>
              <w:rPr>
                <w:rFonts w:ascii="Calibri" w:hAnsi="Calibri"/>
                <w:sz w:val="20"/>
                <w:szCs w:val="20"/>
              </w:rPr>
              <w:t>Funding to deliver on high priority State initiatives to improve community preparedness for, and resilience to, disasters.</w:t>
            </w:r>
            <w:r>
              <w:t xml:space="preserve"> </w:t>
            </w:r>
            <w:r w:rsidRPr="000405F2">
              <w:rPr>
                <w:rFonts w:ascii="Calibri" w:hAnsi="Calibri"/>
                <w:sz w:val="20"/>
                <w:szCs w:val="20"/>
              </w:rPr>
              <w:t>The project forms part of the</w:t>
            </w:r>
            <w:r>
              <w:rPr>
                <w:rFonts w:ascii="Calibri" w:hAnsi="Calibri"/>
                <w:sz w:val="20"/>
                <w:szCs w:val="20"/>
              </w:rPr>
              <w:t xml:space="preserve"> </w:t>
            </w:r>
            <w:r w:rsidRPr="000405F2">
              <w:rPr>
                <w:rFonts w:ascii="Calibri" w:hAnsi="Calibri"/>
                <w:sz w:val="20"/>
                <w:szCs w:val="20"/>
              </w:rPr>
              <w:t>broader Preparing Australia Package of initiatives, which targets investment in key national</w:t>
            </w:r>
            <w:r>
              <w:rPr>
                <w:rFonts w:ascii="Calibri" w:hAnsi="Calibri"/>
                <w:sz w:val="20"/>
                <w:szCs w:val="20"/>
              </w:rPr>
              <w:t xml:space="preserve"> </w:t>
            </w:r>
            <w:r w:rsidRPr="000405F2">
              <w:rPr>
                <w:rFonts w:ascii="Calibri" w:hAnsi="Calibri"/>
                <w:sz w:val="20"/>
                <w:szCs w:val="20"/>
              </w:rPr>
              <w:t>emergency management and resilience activities that address urgent or critical priorities, or</w:t>
            </w:r>
            <w:r>
              <w:rPr>
                <w:rFonts w:ascii="Calibri" w:hAnsi="Calibri"/>
                <w:sz w:val="20"/>
                <w:szCs w:val="20"/>
              </w:rPr>
              <w:t xml:space="preserve"> </w:t>
            </w:r>
            <w:r w:rsidRPr="000405F2">
              <w:rPr>
                <w:rFonts w:ascii="Calibri" w:hAnsi="Calibri"/>
                <w:sz w:val="20"/>
                <w:szCs w:val="20"/>
              </w:rPr>
              <w:t>which are of strategic national importance.</w:t>
            </w:r>
          </w:p>
        </w:tc>
        <w:tc>
          <w:tcPr>
            <w:tcW w:w="417" w:type="pct"/>
          </w:tcPr>
          <w:p w14:paraId="1E6325D8" w14:textId="77777777" w:rsidR="005631B0" w:rsidRPr="002B5D51" w:rsidRDefault="005631B0" w:rsidP="00086947">
            <w:pPr>
              <w:spacing w:before="40" w:after="40" w:line="200" w:lineRule="atLeast"/>
              <w:ind w:left="567" w:hanging="567"/>
              <w:jc w:val="right"/>
              <w:rPr>
                <w:rFonts w:ascii="Calibri" w:eastAsia="Calibri" w:hAnsi="Calibri" w:cs="Times New Roman"/>
                <w:sz w:val="20"/>
                <w:szCs w:val="20"/>
              </w:rPr>
            </w:pPr>
            <w:r w:rsidRPr="002B5D51">
              <w:rPr>
                <w:rFonts w:ascii="Calibri" w:eastAsia="Calibri" w:hAnsi="Calibri" w:cs="Times New Roman"/>
                <w:sz w:val="20"/>
                <w:szCs w:val="20"/>
              </w:rPr>
              <w:t>5.0</w:t>
            </w:r>
          </w:p>
        </w:tc>
        <w:tc>
          <w:tcPr>
            <w:tcW w:w="546" w:type="pct"/>
          </w:tcPr>
          <w:p w14:paraId="5CAF9F44" w14:textId="77777777" w:rsidR="005631B0" w:rsidRPr="002B5D51" w:rsidRDefault="005631B0" w:rsidP="00086947">
            <w:pPr>
              <w:spacing w:before="40" w:after="40" w:line="200" w:lineRule="atLeast"/>
              <w:ind w:left="567" w:hanging="567"/>
              <w:rPr>
                <w:rFonts w:ascii="Calibri" w:eastAsia="Calibri" w:hAnsi="Calibri" w:cs="Times New Roman"/>
                <w:sz w:val="20"/>
                <w:szCs w:val="20"/>
              </w:rPr>
            </w:pPr>
            <w:r w:rsidRPr="002B5D51">
              <w:rPr>
                <w:rFonts w:ascii="Calibri" w:eastAsia="Calibri" w:hAnsi="Calibri" w:cs="Times New Roman"/>
                <w:sz w:val="20"/>
                <w:szCs w:val="20"/>
              </w:rPr>
              <w:t>No impact</w:t>
            </w:r>
          </w:p>
        </w:tc>
        <w:tc>
          <w:tcPr>
            <w:tcW w:w="778" w:type="pct"/>
          </w:tcPr>
          <w:p w14:paraId="587DDEB3" w14:textId="77777777" w:rsidR="005631B0" w:rsidRPr="003A33DE" w:rsidRDefault="005631B0" w:rsidP="00086947">
            <w:pPr>
              <w:spacing w:before="40" w:after="40" w:line="200" w:lineRule="atLeast"/>
              <w:rPr>
                <w:rFonts w:ascii="Calibri" w:hAnsi="Calibri"/>
                <w:sz w:val="20"/>
                <w:szCs w:val="20"/>
              </w:rPr>
            </w:pPr>
            <w:r>
              <w:rPr>
                <w:rFonts w:ascii="Calibri" w:hAnsi="Calibri"/>
                <w:sz w:val="20"/>
                <w:szCs w:val="20"/>
              </w:rPr>
              <w:t>Needs</w:t>
            </w:r>
            <w:r w:rsidRPr="008D64B7">
              <w:rPr>
                <w:rFonts w:ascii="Calibri" w:hAnsi="Calibri"/>
                <w:sz w:val="20"/>
                <w:szCs w:val="20"/>
              </w:rPr>
              <w:t xml:space="preserve"> are not assessed </w:t>
            </w:r>
            <w:r>
              <w:rPr>
                <w:rFonts w:ascii="Calibri" w:hAnsi="Calibri"/>
                <w:sz w:val="20"/>
                <w:szCs w:val="20"/>
              </w:rPr>
              <w:t>for disaster mitigation.</w:t>
            </w:r>
            <w:r w:rsidRPr="008D64B7">
              <w:rPr>
                <w:rFonts w:ascii="Calibri" w:hAnsi="Calibri"/>
                <w:sz w:val="20"/>
                <w:szCs w:val="20"/>
              </w:rPr>
              <w:t xml:space="preserve"> </w:t>
            </w:r>
          </w:p>
        </w:tc>
      </w:tr>
    </w:tbl>
    <w:p w14:paraId="680C46F8" w14:textId="77777777" w:rsidR="005631B0" w:rsidRDefault="005631B0" w:rsidP="005631B0"/>
    <w:p w14:paraId="3A0B95E6" w14:textId="77777777" w:rsidR="005631B0" w:rsidRDefault="005631B0" w:rsidP="005631B0"/>
    <w:p w14:paraId="4C46000B" w14:textId="61BF85F7" w:rsidR="005631B0" w:rsidRDefault="005631B0" w:rsidP="005631B0">
      <w:pPr>
        <w:spacing w:before="40" w:after="40" w:line="200" w:lineRule="atLeast"/>
        <w:rPr>
          <w:b/>
          <w:sz w:val="22"/>
        </w:rPr>
      </w:pPr>
    </w:p>
    <w:p w14:paraId="347C8E99" w14:textId="77777777" w:rsidR="005631B0" w:rsidRPr="00567474" w:rsidRDefault="005631B0" w:rsidP="005631B0">
      <w:pPr>
        <w:spacing w:before="40" w:after="40" w:line="200" w:lineRule="atLeast"/>
        <w:rPr>
          <w:b/>
        </w:rPr>
      </w:pPr>
      <w:r w:rsidRPr="00567474">
        <w:rPr>
          <w:b/>
          <w:sz w:val="22"/>
        </w:rPr>
        <w:t xml:space="preserve">Table A- 1 </w:t>
      </w:r>
      <w:r w:rsidRPr="00567474">
        <w:rPr>
          <w:b/>
          <w:sz w:val="22"/>
        </w:rPr>
        <w:tab/>
        <w:t xml:space="preserve">Proposed treatment of Commonwealth payments commenced in 2018-19, </w:t>
      </w:r>
      <w:r w:rsidRPr="00567474">
        <w:rPr>
          <w:b/>
          <w:i/>
          <w:sz w:val="22"/>
        </w:rPr>
        <w:t>Final Budget Outcome, 2018-19 (Continued)</w:t>
      </w:r>
    </w:p>
    <w:tbl>
      <w:tblPr>
        <w:tblStyle w:val="TableGrid1"/>
        <w:tblW w:w="5000" w:type="pct"/>
        <w:tblLook w:val="04A0" w:firstRow="1" w:lastRow="0" w:firstColumn="1" w:lastColumn="0" w:noHBand="0" w:noVBand="1"/>
        <w:tblCaption w:val="Table A1 proposed treatment of Commonwealth payments commenced in 2016-17"/>
        <w:tblDescription w:val="Proposed treatment of Commonwealth payments commenced in 2016-17"/>
      </w:tblPr>
      <w:tblGrid>
        <w:gridCol w:w="3045"/>
        <w:gridCol w:w="5709"/>
        <w:gridCol w:w="1114"/>
        <w:gridCol w:w="1466"/>
        <w:gridCol w:w="2092"/>
      </w:tblGrid>
      <w:tr w:rsidR="005631B0" w:rsidRPr="00567474" w14:paraId="1CFF4293" w14:textId="77777777" w:rsidTr="00086947">
        <w:tc>
          <w:tcPr>
            <w:tcW w:w="1134" w:type="pct"/>
          </w:tcPr>
          <w:p w14:paraId="29774CF0" w14:textId="77777777" w:rsidR="005631B0" w:rsidRPr="00567474" w:rsidRDefault="005631B0" w:rsidP="00086947">
            <w:pPr>
              <w:spacing w:before="40" w:after="40" w:line="200" w:lineRule="atLeast"/>
              <w:ind w:left="567" w:hanging="567"/>
              <w:rPr>
                <w:rFonts w:ascii="Calibri" w:eastAsia="Calibri" w:hAnsi="Calibri" w:cs="Times New Roman"/>
                <w:sz w:val="20"/>
                <w:szCs w:val="20"/>
              </w:rPr>
            </w:pPr>
            <w:r w:rsidRPr="00567474">
              <w:rPr>
                <w:b/>
                <w:noProof/>
                <w:sz w:val="22"/>
                <w:lang w:eastAsia="en-AU"/>
              </w:rPr>
              <mc:AlternateContent>
                <mc:Choice Requires="wps">
                  <w:drawing>
                    <wp:anchor distT="0" distB="0" distL="114300" distR="114300" simplePos="0" relativeHeight="251669504" behindDoc="0" locked="0" layoutInCell="1" allowOverlap="1" wp14:anchorId="37D92DC2" wp14:editId="21BD3369">
                      <wp:simplePos x="0" y="0"/>
                      <wp:positionH relativeFrom="column">
                        <wp:posOffset>-729326</wp:posOffset>
                      </wp:positionH>
                      <wp:positionV relativeFrom="paragraph">
                        <wp:posOffset>8024</wp:posOffset>
                      </wp:positionV>
                      <wp:extent cx="430530" cy="5301961"/>
                      <wp:effectExtent l="0" t="0" r="762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5301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07962" w14:textId="2C17B817" w:rsidR="000A1A57" w:rsidRPr="004C6DAD" w:rsidRDefault="000A1A57" w:rsidP="005631B0">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fldChar w:fldCharType="begin"/>
                                  </w:r>
                                  <w:r>
                                    <w:instrText xml:space="preserve"> PAGE   \* MERGEFORMAT </w:instrText>
                                  </w:r>
                                  <w:r>
                                    <w:fldChar w:fldCharType="separate"/>
                                  </w:r>
                                  <w:r w:rsidR="00D173AD">
                                    <w:rPr>
                                      <w:noProof/>
                                    </w:rPr>
                                    <w:t>5</w:t>
                                  </w:r>
                                  <w:r>
                                    <w:rPr>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92DC2" id="Text Box 4" o:spid="_x0000_s1030" type="#_x0000_t202" style="position:absolute;left:0;text-align:left;margin-left:-57.45pt;margin-top:.65pt;width:33.9pt;height:4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" stroked="f">
                      <v:textbox style="layout-flow:vertical">
                        <w:txbxContent>
                          <w:p w14:paraId="25907962" w14:textId="2C17B817" w:rsidR="000A1A57" w:rsidRPr="004C6DAD" w:rsidRDefault="000A1A57" w:rsidP="005631B0">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fldChar w:fldCharType="begin"/>
                            </w:r>
                            <w:r>
                              <w:instrText xml:space="preserve"> PAGE   \* MERGEFORMAT </w:instrText>
                            </w:r>
                            <w:r>
                              <w:fldChar w:fldCharType="separate"/>
                            </w:r>
                            <w:r w:rsidR="00D173AD">
                              <w:rPr>
                                <w:noProof/>
                              </w:rPr>
                              <w:t>5</w:t>
                            </w:r>
                            <w:r>
                              <w:rPr>
                                <w:noProof/>
                              </w:rPr>
                              <w:fldChar w:fldCharType="end"/>
                            </w:r>
                          </w:p>
                        </w:txbxContent>
                      </v:textbox>
                    </v:shape>
                  </w:pict>
                </mc:Fallback>
              </mc:AlternateContent>
            </w:r>
            <w:r w:rsidRPr="00567474">
              <w:rPr>
                <w:rFonts w:ascii="Calibri" w:eastAsia="Calibri" w:hAnsi="Calibri" w:cs="Times New Roman"/>
                <w:sz w:val="20"/>
                <w:szCs w:val="20"/>
              </w:rPr>
              <w:t>Commonwealth payment</w:t>
            </w:r>
          </w:p>
        </w:tc>
        <w:tc>
          <w:tcPr>
            <w:tcW w:w="2126" w:type="pct"/>
          </w:tcPr>
          <w:p w14:paraId="60CF665B" w14:textId="77777777" w:rsidR="005631B0" w:rsidRPr="00567474" w:rsidRDefault="005631B0" w:rsidP="00086947">
            <w:pPr>
              <w:spacing w:before="40" w:after="40" w:line="200" w:lineRule="atLeast"/>
              <w:ind w:left="567" w:hanging="567"/>
              <w:rPr>
                <w:rFonts w:ascii="Calibri" w:eastAsia="Calibri" w:hAnsi="Calibri" w:cs="Times New Roman"/>
                <w:sz w:val="20"/>
                <w:szCs w:val="20"/>
              </w:rPr>
            </w:pPr>
            <w:r w:rsidRPr="00567474">
              <w:rPr>
                <w:rFonts w:ascii="Calibri" w:eastAsia="Calibri" w:hAnsi="Calibri" w:cs="Times New Roman"/>
                <w:sz w:val="20"/>
                <w:szCs w:val="20"/>
              </w:rPr>
              <w:t>Description</w:t>
            </w:r>
          </w:p>
        </w:tc>
        <w:tc>
          <w:tcPr>
            <w:tcW w:w="415" w:type="pct"/>
          </w:tcPr>
          <w:p w14:paraId="0F96A2BA" w14:textId="5AA4BADE" w:rsidR="005631B0" w:rsidRPr="00567474" w:rsidRDefault="009E0F50" w:rsidP="009E0F50">
            <w:pPr>
              <w:spacing w:before="40" w:after="40" w:line="200" w:lineRule="atLeast"/>
              <w:jc w:val="right"/>
              <w:rPr>
                <w:rFonts w:ascii="Calibri" w:eastAsia="Calibri" w:hAnsi="Calibri" w:cs="Times New Roman"/>
                <w:sz w:val="20"/>
                <w:szCs w:val="20"/>
              </w:rPr>
            </w:pPr>
            <w:r>
              <w:rPr>
                <w:rFonts w:ascii="Calibri" w:eastAsia="Calibri" w:hAnsi="Calibri" w:cs="Times New Roman"/>
                <w:sz w:val="20"/>
                <w:szCs w:val="20"/>
              </w:rPr>
              <w:t>2018-19</w:t>
            </w:r>
            <w:r>
              <w:rPr>
                <w:rFonts w:ascii="Calibri" w:eastAsia="Calibri" w:hAnsi="Calibri" w:cs="Times New Roman"/>
                <w:sz w:val="20"/>
                <w:szCs w:val="20"/>
              </w:rPr>
              <w:br/>
            </w:r>
            <w:r w:rsidRPr="00120DAC">
              <w:rPr>
                <w:rFonts w:ascii="Calibri" w:eastAsia="Calibri" w:hAnsi="Calibri" w:cs="Times New Roman"/>
                <w:sz w:val="20"/>
                <w:szCs w:val="20"/>
              </w:rPr>
              <w:t>$m</w:t>
            </w:r>
          </w:p>
        </w:tc>
        <w:tc>
          <w:tcPr>
            <w:tcW w:w="546" w:type="pct"/>
          </w:tcPr>
          <w:p w14:paraId="20ED821A" w14:textId="77777777" w:rsidR="005631B0" w:rsidRPr="00567474" w:rsidRDefault="005631B0" w:rsidP="00086947">
            <w:pPr>
              <w:spacing w:before="40" w:after="40" w:line="200" w:lineRule="atLeast"/>
              <w:rPr>
                <w:rFonts w:ascii="Calibri" w:eastAsia="Calibri" w:hAnsi="Calibri" w:cs="Times New Roman"/>
                <w:sz w:val="20"/>
                <w:szCs w:val="20"/>
              </w:rPr>
            </w:pPr>
            <w:r w:rsidRPr="00567474">
              <w:rPr>
                <w:rFonts w:ascii="Calibri" w:eastAsia="Calibri" w:hAnsi="Calibri" w:cs="Times New Roman"/>
                <w:sz w:val="20"/>
                <w:szCs w:val="20"/>
              </w:rPr>
              <w:t>Proposed treatment</w:t>
            </w:r>
          </w:p>
        </w:tc>
        <w:tc>
          <w:tcPr>
            <w:tcW w:w="779" w:type="pct"/>
          </w:tcPr>
          <w:p w14:paraId="52A4F2B1" w14:textId="50D28DFB" w:rsidR="005631B0" w:rsidRPr="00567474" w:rsidRDefault="00E93273" w:rsidP="00086947">
            <w:pPr>
              <w:spacing w:before="40" w:after="40" w:line="200" w:lineRule="atLeast"/>
              <w:rPr>
                <w:rFonts w:ascii="Calibri" w:eastAsia="Calibri" w:hAnsi="Calibri" w:cs="Times New Roman"/>
                <w:sz w:val="20"/>
                <w:szCs w:val="20"/>
              </w:rPr>
            </w:pPr>
            <w:r>
              <w:rPr>
                <w:rFonts w:ascii="Calibri" w:eastAsia="Calibri" w:hAnsi="Calibri" w:cs="Times New Roman"/>
                <w:sz w:val="20"/>
                <w:szCs w:val="20"/>
              </w:rPr>
              <w:t>Reason for n</w:t>
            </w:r>
            <w:r w:rsidR="005631B0" w:rsidRPr="00567474">
              <w:rPr>
                <w:rFonts w:ascii="Calibri" w:eastAsia="Calibri" w:hAnsi="Calibri" w:cs="Times New Roman"/>
                <w:sz w:val="20"/>
                <w:szCs w:val="20"/>
              </w:rPr>
              <w:t>o impact treatment</w:t>
            </w:r>
          </w:p>
        </w:tc>
      </w:tr>
      <w:tr w:rsidR="005631B0" w:rsidRPr="00197C91" w14:paraId="7E2CE492" w14:textId="77777777" w:rsidTr="00086947">
        <w:tc>
          <w:tcPr>
            <w:tcW w:w="1134" w:type="pct"/>
          </w:tcPr>
          <w:p w14:paraId="07A9C5D1" w14:textId="77777777" w:rsidR="005631B0" w:rsidRPr="00F44295" w:rsidRDefault="005631B0" w:rsidP="00086947">
            <w:pPr>
              <w:spacing w:before="40" w:after="40" w:line="200" w:lineRule="atLeast"/>
              <w:rPr>
                <w:rFonts w:ascii="Calibri" w:hAnsi="Calibri"/>
                <w:sz w:val="20"/>
                <w:szCs w:val="20"/>
              </w:rPr>
            </w:pPr>
            <w:r w:rsidRPr="00F44295">
              <w:rPr>
                <w:rFonts w:ascii="Calibri" w:hAnsi="Calibri"/>
                <w:sz w:val="20"/>
                <w:szCs w:val="20"/>
              </w:rPr>
              <w:t>Preparing Australia package</w:t>
            </w:r>
          </w:p>
        </w:tc>
        <w:tc>
          <w:tcPr>
            <w:tcW w:w="2126" w:type="pct"/>
          </w:tcPr>
          <w:p w14:paraId="1716902F" w14:textId="77777777" w:rsidR="005631B0" w:rsidRDefault="005631B0" w:rsidP="00086947">
            <w:pPr>
              <w:spacing w:before="40" w:after="40" w:line="200" w:lineRule="atLeast"/>
              <w:rPr>
                <w:rFonts w:ascii="Calibri" w:hAnsi="Calibri"/>
                <w:sz w:val="20"/>
                <w:szCs w:val="20"/>
              </w:rPr>
            </w:pPr>
            <w:r>
              <w:rPr>
                <w:rFonts w:ascii="Calibri" w:hAnsi="Calibri"/>
                <w:sz w:val="20"/>
                <w:szCs w:val="20"/>
              </w:rPr>
              <w:t>Funding to invest in critical emergency management capabilities to enhance Australia’s natural disaster preparedness and community resilience.</w:t>
            </w:r>
          </w:p>
          <w:p w14:paraId="57A629D3" w14:textId="482736CF" w:rsidR="005631B0" w:rsidRPr="004B0D48" w:rsidRDefault="005631B0" w:rsidP="00086947">
            <w:pPr>
              <w:spacing w:before="20" w:after="20" w:line="200" w:lineRule="atLeast"/>
              <w:rPr>
                <w:rFonts w:ascii="Calibri" w:hAnsi="Calibri"/>
                <w:sz w:val="20"/>
                <w:szCs w:val="20"/>
              </w:rPr>
            </w:pPr>
            <w:r>
              <w:rPr>
                <w:rFonts w:ascii="Calibri" w:hAnsi="Calibri"/>
                <w:sz w:val="20"/>
                <w:szCs w:val="20"/>
              </w:rPr>
              <w:t>The outputs of the national partnership a</w:t>
            </w:r>
            <w:r w:rsidRPr="004B0D48">
              <w:rPr>
                <w:rFonts w:ascii="Calibri" w:hAnsi="Calibri"/>
                <w:sz w:val="20"/>
                <w:szCs w:val="20"/>
              </w:rPr>
              <w:t xml:space="preserve">greement are: </w:t>
            </w:r>
          </w:p>
          <w:p w14:paraId="1C9F59D3" w14:textId="77777777" w:rsidR="005631B0" w:rsidRDefault="005631B0" w:rsidP="00086947">
            <w:pPr>
              <w:spacing w:before="20" w:after="20" w:line="200" w:lineRule="atLeast"/>
              <w:ind w:left="434" w:hanging="434"/>
              <w:rPr>
                <w:rFonts w:ascii="Calibri" w:hAnsi="Calibri"/>
                <w:sz w:val="20"/>
                <w:szCs w:val="20"/>
              </w:rPr>
            </w:pPr>
            <w:r w:rsidRPr="004B0D48">
              <w:rPr>
                <w:rFonts w:ascii="Calibri" w:hAnsi="Calibri"/>
                <w:sz w:val="20"/>
                <w:szCs w:val="20"/>
              </w:rPr>
              <w:t>•</w:t>
            </w:r>
            <w:r w:rsidRPr="004B0D48">
              <w:rPr>
                <w:rFonts w:ascii="Calibri" w:hAnsi="Calibri"/>
                <w:sz w:val="20"/>
                <w:szCs w:val="20"/>
              </w:rPr>
              <w:tab/>
              <w:t xml:space="preserve">New South Wales, on behalf of all </w:t>
            </w:r>
            <w:r>
              <w:rPr>
                <w:rFonts w:ascii="Calibri" w:hAnsi="Calibri"/>
                <w:sz w:val="20"/>
                <w:szCs w:val="20"/>
              </w:rPr>
              <w:t>States and T</w:t>
            </w:r>
            <w:r w:rsidRPr="004B0D48">
              <w:rPr>
                <w:rFonts w:ascii="Calibri" w:hAnsi="Calibri"/>
                <w:sz w:val="20"/>
                <w:szCs w:val="20"/>
              </w:rPr>
              <w:t>erritories:</w:t>
            </w:r>
          </w:p>
          <w:p w14:paraId="2845A2C9" w14:textId="77777777" w:rsidR="005631B0" w:rsidRDefault="005631B0" w:rsidP="005631B0">
            <w:pPr>
              <w:pStyle w:val="CGCSubbulletlist"/>
              <w:numPr>
                <w:ilvl w:val="0"/>
                <w:numId w:val="4"/>
              </w:numPr>
              <w:tabs>
                <w:tab w:val="clear" w:pos="927"/>
                <w:tab w:val="clear" w:pos="1701"/>
              </w:tabs>
              <w:spacing w:before="20" w:after="20" w:line="200" w:lineRule="atLeast"/>
              <w:ind w:left="718" w:hanging="284"/>
              <w:rPr>
                <w:sz w:val="20"/>
              </w:rPr>
            </w:pPr>
            <w:r w:rsidRPr="004B0D48">
              <w:rPr>
                <w:sz w:val="20"/>
              </w:rPr>
              <w:t>commenc</w:t>
            </w:r>
            <w:r>
              <w:rPr>
                <w:sz w:val="20"/>
              </w:rPr>
              <w:t>e the</w:t>
            </w:r>
            <w:r w:rsidRPr="004B0D48">
              <w:rPr>
                <w:sz w:val="20"/>
              </w:rPr>
              <w:t xml:space="preserve"> implementation of </w:t>
            </w:r>
            <w:r>
              <w:rPr>
                <w:sz w:val="20"/>
              </w:rPr>
              <w:t xml:space="preserve">a 3-year program </w:t>
            </w:r>
            <w:r w:rsidRPr="004B0D48">
              <w:rPr>
                <w:sz w:val="20"/>
              </w:rPr>
              <w:t>for the next generation National Fire Danger Rating System</w:t>
            </w:r>
          </w:p>
          <w:p w14:paraId="1282B62A" w14:textId="77777777" w:rsidR="005631B0" w:rsidRPr="004B0D48" w:rsidRDefault="005631B0" w:rsidP="005631B0">
            <w:pPr>
              <w:pStyle w:val="CGCSubbulletlist"/>
              <w:numPr>
                <w:ilvl w:val="0"/>
                <w:numId w:val="4"/>
              </w:numPr>
              <w:tabs>
                <w:tab w:val="clear" w:pos="927"/>
                <w:tab w:val="clear" w:pos="1701"/>
              </w:tabs>
              <w:spacing w:before="20" w:after="20" w:line="200" w:lineRule="atLeast"/>
              <w:ind w:left="718" w:hanging="284"/>
              <w:rPr>
                <w:sz w:val="20"/>
              </w:rPr>
            </w:pPr>
            <w:r w:rsidRPr="004B0D48">
              <w:rPr>
                <w:rFonts w:ascii="Calibri" w:hAnsi="Calibri"/>
                <w:sz w:val="20"/>
              </w:rPr>
              <w:t>expand the trial of Public Safety Mobile Broadband to additional locations, and establish a national project management office in the NSW Telco Authority to implement this capability.</w:t>
            </w:r>
          </w:p>
          <w:p w14:paraId="3B932520" w14:textId="77777777" w:rsidR="005631B0" w:rsidRDefault="005631B0" w:rsidP="00086947">
            <w:pPr>
              <w:spacing w:before="40" w:after="40" w:line="200" w:lineRule="atLeast"/>
              <w:ind w:left="434" w:hanging="434"/>
              <w:rPr>
                <w:rFonts w:ascii="Calibri" w:hAnsi="Calibri"/>
                <w:sz w:val="20"/>
                <w:szCs w:val="20"/>
              </w:rPr>
            </w:pPr>
            <w:r w:rsidRPr="004B0D48">
              <w:rPr>
                <w:rFonts w:ascii="Calibri" w:hAnsi="Calibri"/>
                <w:sz w:val="20"/>
                <w:szCs w:val="20"/>
              </w:rPr>
              <w:t>•</w:t>
            </w:r>
            <w:r w:rsidRPr="004B0D48">
              <w:rPr>
                <w:rFonts w:ascii="Calibri" w:hAnsi="Calibri"/>
                <w:sz w:val="20"/>
                <w:szCs w:val="20"/>
              </w:rPr>
              <w:tab/>
              <w:t xml:space="preserve">Victoria, on behalf of all </w:t>
            </w:r>
            <w:r>
              <w:rPr>
                <w:rFonts w:ascii="Calibri" w:hAnsi="Calibri"/>
                <w:sz w:val="20"/>
                <w:szCs w:val="20"/>
              </w:rPr>
              <w:t>States and T</w:t>
            </w:r>
            <w:r w:rsidRPr="004B0D48">
              <w:rPr>
                <w:rFonts w:ascii="Calibri" w:hAnsi="Calibri"/>
                <w:sz w:val="20"/>
                <w:szCs w:val="20"/>
              </w:rPr>
              <w:t>erritories, extend the contracts for and undertak</w:t>
            </w:r>
            <w:r>
              <w:rPr>
                <w:rFonts w:ascii="Calibri" w:hAnsi="Calibri"/>
                <w:sz w:val="20"/>
                <w:szCs w:val="20"/>
              </w:rPr>
              <w:t>e</w:t>
            </w:r>
            <w:r w:rsidRPr="004B0D48">
              <w:rPr>
                <w:rFonts w:ascii="Calibri" w:hAnsi="Calibri"/>
                <w:sz w:val="20"/>
                <w:szCs w:val="20"/>
              </w:rPr>
              <w:t xml:space="preserve"> capital upgrades to ensure the continued operation of Emergency Alert (Australia’s national telephony-based warning system) until June 2020.</w:t>
            </w:r>
          </w:p>
        </w:tc>
        <w:tc>
          <w:tcPr>
            <w:tcW w:w="415" w:type="pct"/>
          </w:tcPr>
          <w:p w14:paraId="17041B7D" w14:textId="77777777" w:rsidR="005631B0" w:rsidRDefault="005631B0" w:rsidP="00086947">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9.4</w:t>
            </w:r>
          </w:p>
        </w:tc>
        <w:tc>
          <w:tcPr>
            <w:tcW w:w="546" w:type="pct"/>
          </w:tcPr>
          <w:p w14:paraId="139F3C3E" w14:textId="77777777" w:rsidR="005631B0" w:rsidRPr="00197C91" w:rsidRDefault="005631B0" w:rsidP="00086947">
            <w:pPr>
              <w:spacing w:before="40" w:after="40" w:line="200" w:lineRule="atLeast"/>
              <w:ind w:left="567" w:hanging="567"/>
              <w:rPr>
                <w:rFonts w:ascii="Calibri" w:eastAsia="Calibri" w:hAnsi="Calibri" w:cs="Times New Roman"/>
                <w:color w:val="FF0000"/>
                <w:sz w:val="20"/>
                <w:szCs w:val="20"/>
              </w:rPr>
            </w:pPr>
            <w:r>
              <w:rPr>
                <w:rFonts w:ascii="Calibri" w:eastAsia="Calibri" w:hAnsi="Calibri" w:cs="Times New Roman"/>
                <w:sz w:val="20"/>
                <w:szCs w:val="20"/>
              </w:rPr>
              <w:t>No impact</w:t>
            </w:r>
          </w:p>
        </w:tc>
        <w:tc>
          <w:tcPr>
            <w:tcW w:w="779" w:type="pct"/>
          </w:tcPr>
          <w:p w14:paraId="5ED6C1FB" w14:textId="77777777" w:rsidR="005631B0" w:rsidRDefault="005631B0" w:rsidP="00086947">
            <w:pPr>
              <w:spacing w:before="40" w:after="40" w:line="200" w:lineRule="atLeast"/>
              <w:rPr>
                <w:rFonts w:ascii="Calibri" w:hAnsi="Calibri"/>
                <w:sz w:val="20"/>
                <w:szCs w:val="20"/>
              </w:rPr>
            </w:pPr>
            <w:r>
              <w:rPr>
                <w:rFonts w:ascii="Calibri" w:eastAsia="Calibri" w:hAnsi="Calibri" w:cs="Times New Roman"/>
                <w:sz w:val="20"/>
                <w:szCs w:val="20"/>
              </w:rPr>
              <w:t>The Commonwealth purchase the services from New South Wales for a national project and needs are not assessed</w:t>
            </w:r>
            <w:r>
              <w:rPr>
                <w:rFonts w:ascii="Calibri" w:hAnsi="Calibri"/>
                <w:sz w:val="20"/>
                <w:szCs w:val="20"/>
              </w:rPr>
              <w:t xml:space="preserve"> </w:t>
            </w:r>
          </w:p>
          <w:p w14:paraId="6FDCA182" w14:textId="77777777" w:rsidR="005631B0" w:rsidRDefault="005631B0" w:rsidP="00086947">
            <w:pPr>
              <w:spacing w:before="40" w:after="40" w:line="200" w:lineRule="atLeast"/>
              <w:rPr>
                <w:rFonts w:ascii="Calibri" w:hAnsi="Calibri"/>
                <w:sz w:val="20"/>
                <w:szCs w:val="20"/>
              </w:rPr>
            </w:pPr>
            <w:r>
              <w:rPr>
                <w:rFonts w:ascii="Calibri" w:hAnsi="Calibri"/>
                <w:sz w:val="20"/>
                <w:szCs w:val="20"/>
              </w:rPr>
              <w:t xml:space="preserve">(There is a payment in </w:t>
            </w:r>
            <w:r>
              <w:rPr>
                <w:rFonts w:ascii="Calibri" w:hAnsi="Calibri"/>
                <w:sz w:val="20"/>
                <w:szCs w:val="20"/>
              </w:rPr>
              <w:br/>
              <w:t>2017-18 for the development of a national fire danger rating system. This payment does not affect State fiscal capacities.)</w:t>
            </w:r>
          </w:p>
        </w:tc>
      </w:tr>
      <w:tr w:rsidR="005631B0" w:rsidRPr="00197C91" w14:paraId="4CB5F305" w14:textId="77777777" w:rsidTr="00086947">
        <w:tc>
          <w:tcPr>
            <w:tcW w:w="1134" w:type="pct"/>
          </w:tcPr>
          <w:p w14:paraId="1B49A80E" w14:textId="77777777" w:rsidR="005631B0" w:rsidRPr="00F44295" w:rsidRDefault="005631B0" w:rsidP="00086947">
            <w:pPr>
              <w:spacing w:before="40" w:after="40" w:line="200" w:lineRule="atLeast"/>
              <w:rPr>
                <w:rFonts w:ascii="Calibri" w:hAnsi="Calibri"/>
                <w:sz w:val="20"/>
                <w:szCs w:val="20"/>
              </w:rPr>
            </w:pPr>
            <w:r>
              <w:rPr>
                <w:rFonts w:ascii="Calibri" w:eastAsia="Calibri" w:hAnsi="Calibri" w:cs="Times New Roman"/>
                <w:b/>
                <w:sz w:val="20"/>
                <w:szCs w:val="20"/>
              </w:rPr>
              <w:t>General revenue assistance</w:t>
            </w:r>
          </w:p>
        </w:tc>
        <w:tc>
          <w:tcPr>
            <w:tcW w:w="2126" w:type="pct"/>
          </w:tcPr>
          <w:p w14:paraId="73C0F407" w14:textId="77777777" w:rsidR="005631B0" w:rsidRPr="00F44295" w:rsidRDefault="005631B0" w:rsidP="00086947">
            <w:pPr>
              <w:spacing w:before="40" w:after="40" w:line="200" w:lineRule="atLeast"/>
              <w:rPr>
                <w:rFonts w:ascii="Calibri" w:hAnsi="Calibri"/>
                <w:sz w:val="20"/>
                <w:szCs w:val="20"/>
              </w:rPr>
            </w:pPr>
          </w:p>
        </w:tc>
        <w:tc>
          <w:tcPr>
            <w:tcW w:w="415" w:type="pct"/>
          </w:tcPr>
          <w:p w14:paraId="4C5EB3AB" w14:textId="77777777" w:rsidR="005631B0" w:rsidRPr="00197C91" w:rsidRDefault="005631B0" w:rsidP="00086947">
            <w:pPr>
              <w:spacing w:before="40" w:after="40" w:line="200" w:lineRule="atLeast"/>
              <w:ind w:left="567" w:hanging="567"/>
              <w:jc w:val="right"/>
              <w:rPr>
                <w:rFonts w:ascii="Calibri" w:eastAsia="Calibri" w:hAnsi="Calibri" w:cs="Times New Roman"/>
                <w:color w:val="FF0000"/>
                <w:sz w:val="20"/>
                <w:szCs w:val="20"/>
              </w:rPr>
            </w:pPr>
          </w:p>
        </w:tc>
        <w:tc>
          <w:tcPr>
            <w:tcW w:w="546" w:type="pct"/>
          </w:tcPr>
          <w:p w14:paraId="681F7C2A" w14:textId="77777777" w:rsidR="005631B0" w:rsidRPr="00197C91" w:rsidRDefault="005631B0" w:rsidP="00086947">
            <w:pPr>
              <w:spacing w:before="40" w:after="40" w:line="200" w:lineRule="atLeast"/>
              <w:ind w:left="567" w:hanging="567"/>
              <w:rPr>
                <w:rFonts w:ascii="Calibri" w:eastAsia="Calibri" w:hAnsi="Calibri" w:cs="Times New Roman"/>
                <w:color w:val="FF0000"/>
                <w:sz w:val="20"/>
                <w:szCs w:val="20"/>
              </w:rPr>
            </w:pPr>
          </w:p>
        </w:tc>
        <w:tc>
          <w:tcPr>
            <w:tcW w:w="779" w:type="pct"/>
          </w:tcPr>
          <w:p w14:paraId="1AEB3752" w14:textId="77777777" w:rsidR="005631B0" w:rsidRPr="003A33DE" w:rsidRDefault="005631B0" w:rsidP="00086947">
            <w:pPr>
              <w:spacing w:before="40" w:after="40" w:line="200" w:lineRule="atLeast"/>
              <w:rPr>
                <w:rFonts w:ascii="Calibri" w:hAnsi="Calibri"/>
                <w:sz w:val="20"/>
                <w:szCs w:val="20"/>
              </w:rPr>
            </w:pPr>
          </w:p>
        </w:tc>
      </w:tr>
      <w:tr w:rsidR="005631B0" w:rsidRPr="00197C91" w14:paraId="0A434C48" w14:textId="77777777" w:rsidTr="00086947">
        <w:tc>
          <w:tcPr>
            <w:tcW w:w="1134" w:type="pct"/>
          </w:tcPr>
          <w:p w14:paraId="7B38E36D" w14:textId="77777777" w:rsidR="005631B0" w:rsidRPr="00F44295" w:rsidRDefault="005631B0" w:rsidP="00086947">
            <w:pPr>
              <w:spacing w:before="40" w:after="40" w:line="200" w:lineRule="atLeast"/>
              <w:rPr>
                <w:rFonts w:ascii="Calibri" w:hAnsi="Calibri"/>
                <w:sz w:val="20"/>
                <w:szCs w:val="20"/>
              </w:rPr>
            </w:pPr>
            <w:r>
              <w:rPr>
                <w:rFonts w:ascii="Calibri" w:eastAsia="Calibri" w:hAnsi="Calibri" w:cs="Times New Roman"/>
                <w:sz w:val="20"/>
                <w:szCs w:val="20"/>
              </w:rPr>
              <w:t>Transitional GST top-up payments — payment to Western Australia</w:t>
            </w:r>
          </w:p>
        </w:tc>
        <w:tc>
          <w:tcPr>
            <w:tcW w:w="2126" w:type="pct"/>
          </w:tcPr>
          <w:p w14:paraId="5079B9EB" w14:textId="77777777" w:rsidR="005631B0" w:rsidRPr="00482F2B" w:rsidRDefault="005631B0" w:rsidP="00086947">
            <w:pPr>
              <w:spacing w:before="40" w:after="40" w:line="200" w:lineRule="atLeast"/>
              <w:rPr>
                <w:rFonts w:ascii="Calibri" w:hAnsi="Calibri"/>
                <w:sz w:val="20"/>
                <w:szCs w:val="20"/>
              </w:rPr>
            </w:pPr>
            <w:r>
              <w:rPr>
                <w:rFonts w:ascii="Calibri" w:hAnsi="Calibri"/>
                <w:sz w:val="20"/>
                <w:szCs w:val="20"/>
              </w:rPr>
              <w:t>The Commonwealth paid Western Australia $434 million of its 2019-20 top-up payments in 2018-19.</w:t>
            </w:r>
          </w:p>
        </w:tc>
        <w:tc>
          <w:tcPr>
            <w:tcW w:w="415" w:type="pct"/>
          </w:tcPr>
          <w:p w14:paraId="68DE46CF" w14:textId="77777777" w:rsidR="005631B0" w:rsidRDefault="005631B0" w:rsidP="00086947">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434.0</w:t>
            </w:r>
          </w:p>
        </w:tc>
        <w:tc>
          <w:tcPr>
            <w:tcW w:w="546" w:type="pct"/>
          </w:tcPr>
          <w:p w14:paraId="324F5641" w14:textId="77777777" w:rsidR="005631B0" w:rsidRPr="00482F2B" w:rsidRDefault="005631B0" w:rsidP="00086947">
            <w:pPr>
              <w:spacing w:before="40" w:after="40" w:line="200" w:lineRule="atLeast"/>
              <w:ind w:left="567" w:hanging="567"/>
              <w:rPr>
                <w:rFonts w:ascii="Calibri" w:eastAsia="Calibri" w:hAnsi="Calibri" w:cs="Times New Roman"/>
                <w:sz w:val="20"/>
                <w:szCs w:val="20"/>
              </w:rPr>
            </w:pPr>
            <w:r>
              <w:rPr>
                <w:rFonts w:ascii="Calibri" w:eastAsia="Calibri" w:hAnsi="Calibri" w:cs="Times New Roman"/>
                <w:sz w:val="20"/>
                <w:szCs w:val="20"/>
              </w:rPr>
              <w:t>No impact</w:t>
            </w:r>
          </w:p>
        </w:tc>
        <w:tc>
          <w:tcPr>
            <w:tcW w:w="779" w:type="pct"/>
          </w:tcPr>
          <w:p w14:paraId="28ACDA66" w14:textId="3C28B623" w:rsidR="005631B0" w:rsidRPr="00BA065E" w:rsidRDefault="005631B0" w:rsidP="00086947">
            <w:pPr>
              <w:spacing w:before="40" w:after="40" w:line="200" w:lineRule="atLeast"/>
              <w:rPr>
                <w:rFonts w:ascii="Calibri" w:eastAsia="Calibri" w:hAnsi="Calibri" w:cs="Times New Roman"/>
                <w:sz w:val="20"/>
                <w:szCs w:val="20"/>
              </w:rPr>
            </w:pPr>
            <w:r w:rsidRPr="00BA065E">
              <w:rPr>
                <w:rFonts w:ascii="Calibri" w:hAnsi="Calibri"/>
                <w:sz w:val="20"/>
                <w:szCs w:val="20"/>
              </w:rPr>
              <w:t>U2019 Terms of Reference requirement</w:t>
            </w:r>
            <w:r w:rsidR="009E0F50">
              <w:rPr>
                <w:rFonts w:ascii="Calibri" w:hAnsi="Calibri"/>
                <w:sz w:val="20"/>
                <w:szCs w:val="20"/>
              </w:rPr>
              <w:t>.</w:t>
            </w:r>
          </w:p>
        </w:tc>
      </w:tr>
    </w:tbl>
    <w:p w14:paraId="52D215BC" w14:textId="77777777" w:rsidR="005631B0" w:rsidRDefault="005631B0" w:rsidP="005631B0">
      <w:pPr>
        <w:pStyle w:val="CGCTableHeading"/>
        <w:spacing w:before="40" w:after="40" w:line="200" w:lineRule="atLeast"/>
        <w:ind w:left="1416" w:hanging="1416"/>
        <w:rPr>
          <w:sz w:val="22"/>
          <w:szCs w:val="22"/>
        </w:rPr>
        <w:sectPr w:rsidR="005631B0" w:rsidSect="00086947">
          <w:footerReference w:type="default" r:id="rId28"/>
          <w:footerReference w:type="first" r:id="rId29"/>
          <w:pgSz w:w="16838" w:h="11899" w:orient="landscape" w:code="9"/>
          <w:pgMar w:top="1474" w:right="1701" w:bottom="1474" w:left="1701" w:header="709" w:footer="709" w:gutter="0"/>
          <w:cols w:space="708"/>
          <w:titlePg/>
          <w:docGrid w:linePitch="326"/>
        </w:sectPr>
      </w:pPr>
    </w:p>
    <w:p w14:paraId="6098B43F" w14:textId="77777777" w:rsidR="005631B0" w:rsidRPr="00567474" w:rsidRDefault="005631B0" w:rsidP="005631B0">
      <w:pPr>
        <w:pStyle w:val="CGCTableHeading"/>
        <w:spacing w:before="40" w:after="40" w:line="200" w:lineRule="atLeast"/>
        <w:ind w:left="1416" w:hanging="1416"/>
        <w:rPr>
          <w:i/>
          <w:sz w:val="22"/>
          <w:szCs w:val="22"/>
        </w:rPr>
      </w:pPr>
      <w:r w:rsidRPr="00B6382F">
        <w:rPr>
          <w:noProof/>
          <w:sz w:val="22"/>
          <w:szCs w:val="22"/>
          <w:lang w:eastAsia="en-AU"/>
        </w:rPr>
        <w:lastRenderedPageBreak/>
        <mc:AlternateContent>
          <mc:Choice Requires="wps">
            <w:drawing>
              <wp:anchor distT="0" distB="0" distL="114300" distR="114300" simplePos="0" relativeHeight="251661312" behindDoc="0" locked="0" layoutInCell="1" allowOverlap="1" wp14:anchorId="726A0501" wp14:editId="684EEA9A">
                <wp:simplePos x="0" y="0"/>
                <wp:positionH relativeFrom="column">
                  <wp:posOffset>-632460</wp:posOffset>
                </wp:positionH>
                <wp:positionV relativeFrom="paragraph">
                  <wp:posOffset>187325</wp:posOffset>
                </wp:positionV>
                <wp:extent cx="430530" cy="4962525"/>
                <wp:effectExtent l="0" t="0" r="762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496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8D356" w14:textId="3FFCB1AC" w:rsidR="000A1A57" w:rsidRPr="004C6DAD" w:rsidRDefault="000A1A57" w:rsidP="005631B0">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fldChar w:fldCharType="begin"/>
                            </w:r>
                            <w:r>
                              <w:instrText xml:space="preserve"> PAGE   \* MERGEFORMAT </w:instrText>
                            </w:r>
                            <w:r>
                              <w:fldChar w:fldCharType="separate"/>
                            </w:r>
                            <w:r w:rsidR="00D173AD">
                              <w:rPr>
                                <w:noProof/>
                              </w:rPr>
                              <w:t>5</w:t>
                            </w:r>
                            <w:r>
                              <w:rPr>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A0501" id="Text Box 5" o:spid="_x0000_s1031" type="#_x0000_t202" style="position:absolute;left:0;text-align:left;margin-left:-49.8pt;margin-top:14.75pt;width:33.9pt;height:3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" stroked="f">
                <v:textbox style="layout-flow:vertical">
                  <w:txbxContent>
                    <w:p w14:paraId="7558D356" w14:textId="3FFCB1AC" w:rsidR="000A1A57" w:rsidRPr="004C6DAD" w:rsidRDefault="000A1A57" w:rsidP="005631B0">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fldChar w:fldCharType="begin"/>
                      </w:r>
                      <w:r>
                        <w:instrText xml:space="preserve"> PAGE   \* MERGEFORMAT </w:instrText>
                      </w:r>
                      <w:r>
                        <w:fldChar w:fldCharType="separate"/>
                      </w:r>
                      <w:r w:rsidR="00D173AD">
                        <w:rPr>
                          <w:noProof/>
                        </w:rPr>
                        <w:t>5</w:t>
                      </w:r>
                      <w:r>
                        <w:rPr>
                          <w:noProof/>
                        </w:rPr>
                        <w:fldChar w:fldCharType="end"/>
                      </w:r>
                    </w:p>
                  </w:txbxContent>
                </v:textbox>
              </v:shape>
            </w:pict>
          </mc:Fallback>
        </mc:AlternateContent>
      </w:r>
      <w:r w:rsidRPr="00B6382F">
        <w:rPr>
          <w:noProof/>
          <w:sz w:val="22"/>
          <w:szCs w:val="22"/>
          <w:lang w:eastAsia="en-AU"/>
        </w:rPr>
        <mc:AlternateContent>
          <mc:Choice Requires="wps">
            <w:drawing>
              <wp:anchor distT="0" distB="0" distL="114300" distR="114300" simplePos="0" relativeHeight="251664384" behindDoc="0" locked="0" layoutInCell="1" allowOverlap="1" wp14:anchorId="368AFDDF" wp14:editId="0D3A2B62">
                <wp:simplePos x="0" y="0"/>
                <wp:positionH relativeFrom="column">
                  <wp:posOffset>-662940</wp:posOffset>
                </wp:positionH>
                <wp:positionV relativeFrom="paragraph">
                  <wp:posOffset>212725</wp:posOffset>
                </wp:positionV>
                <wp:extent cx="430530" cy="4962525"/>
                <wp:effectExtent l="0" t="0" r="762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496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3E5DA" w14:textId="10AD270A" w:rsidR="000A1A57" w:rsidRPr="004C6DAD" w:rsidRDefault="000A1A57" w:rsidP="005631B0">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rPr>
                                <w:noProof/>
                              </w:rPr>
                              <w:fldChar w:fldCharType="begin"/>
                            </w:r>
                            <w:r>
                              <w:rPr>
                                <w:noProof/>
                              </w:rPr>
                              <w:instrText xml:space="preserve"> PAGE   \* MERGEFORMAT </w:instrText>
                            </w:r>
                            <w:r>
                              <w:rPr>
                                <w:noProof/>
                              </w:rPr>
                              <w:fldChar w:fldCharType="separate"/>
                            </w:r>
                            <w:r w:rsidR="00D173AD">
                              <w:rPr>
                                <w:noProof/>
                              </w:rPr>
                              <w:t>5</w:t>
                            </w:r>
                            <w:r>
                              <w:rPr>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AFDDF" id="Text Box 14" o:spid="_x0000_s1032" type="#_x0000_t202" style="position:absolute;left:0;text-align:left;margin-left:-52.2pt;margin-top:16.75pt;width:33.9pt;height:39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" stroked="f">
                <v:textbox style="layout-flow:vertical">
                  <w:txbxContent>
                    <w:p w14:paraId="6F03E5DA" w14:textId="10AD270A" w:rsidR="000A1A57" w:rsidRPr="004C6DAD" w:rsidRDefault="000A1A57" w:rsidP="005631B0">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rPr>
                          <w:noProof/>
                        </w:rPr>
                        <w:fldChar w:fldCharType="begin"/>
                      </w:r>
                      <w:r>
                        <w:rPr>
                          <w:noProof/>
                        </w:rPr>
                        <w:instrText xml:space="preserve"> PAGE   \* MERGEFORMAT </w:instrText>
                      </w:r>
                      <w:r>
                        <w:rPr>
                          <w:noProof/>
                        </w:rPr>
                        <w:fldChar w:fldCharType="separate"/>
                      </w:r>
                      <w:r w:rsidR="00D173AD">
                        <w:rPr>
                          <w:noProof/>
                        </w:rPr>
                        <w:t>5</w:t>
                      </w:r>
                      <w:r>
                        <w:rPr>
                          <w:noProof/>
                        </w:rPr>
                        <w:fldChar w:fldCharType="end"/>
                      </w:r>
                    </w:p>
                  </w:txbxContent>
                </v:textbox>
              </v:shape>
            </w:pict>
          </mc:Fallback>
        </mc:AlternateContent>
      </w:r>
      <w:r w:rsidRPr="00B6382F">
        <w:rPr>
          <w:noProof/>
          <w:sz w:val="22"/>
          <w:szCs w:val="22"/>
          <w:lang w:eastAsia="en-AU"/>
        </w:rPr>
        <mc:AlternateContent>
          <mc:Choice Requires="wps">
            <w:drawing>
              <wp:anchor distT="0" distB="0" distL="114300" distR="114300" simplePos="0" relativeHeight="251659264" behindDoc="0" locked="0" layoutInCell="1" allowOverlap="1" wp14:anchorId="0B9EFA23" wp14:editId="6CEED8A5">
                <wp:simplePos x="0" y="0"/>
                <wp:positionH relativeFrom="column">
                  <wp:posOffset>-632460</wp:posOffset>
                </wp:positionH>
                <wp:positionV relativeFrom="paragraph">
                  <wp:posOffset>187325</wp:posOffset>
                </wp:positionV>
                <wp:extent cx="430530" cy="4962525"/>
                <wp:effectExtent l="0" t="0" r="762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496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5B4D8" w14:textId="14B7A53F" w:rsidR="000A1A57" w:rsidRPr="004C6DAD" w:rsidRDefault="000A1A57" w:rsidP="005631B0">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fldChar w:fldCharType="begin"/>
                            </w:r>
                            <w:r>
                              <w:instrText xml:space="preserve"> PAGE   \* MERGEFORMAT </w:instrText>
                            </w:r>
                            <w:r>
                              <w:fldChar w:fldCharType="separate"/>
                            </w:r>
                            <w:r w:rsidR="00D173AD">
                              <w:rPr>
                                <w:noProof/>
                              </w:rPr>
                              <w:t>5</w:t>
                            </w:r>
                            <w:r>
                              <w:rPr>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EFA23" id="Text Box 8" o:spid="_x0000_s1033" type="#_x0000_t202" style="position:absolute;left:0;text-align:left;margin-left:-49.8pt;margin-top:14.75pt;width:33.9pt;height:3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" stroked="f">
                <v:textbox style="layout-flow:vertical">
                  <w:txbxContent>
                    <w:p w14:paraId="2335B4D8" w14:textId="14B7A53F" w:rsidR="000A1A57" w:rsidRPr="004C6DAD" w:rsidRDefault="000A1A57" w:rsidP="005631B0">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fldChar w:fldCharType="begin"/>
                      </w:r>
                      <w:r>
                        <w:instrText xml:space="preserve"> PAGE   \* MERGEFORMAT </w:instrText>
                      </w:r>
                      <w:r>
                        <w:fldChar w:fldCharType="separate"/>
                      </w:r>
                      <w:r w:rsidR="00D173AD">
                        <w:rPr>
                          <w:noProof/>
                        </w:rPr>
                        <w:t>5</w:t>
                      </w:r>
                      <w:r>
                        <w:rPr>
                          <w:noProof/>
                        </w:rPr>
                        <w:fldChar w:fldCharType="end"/>
                      </w:r>
                    </w:p>
                  </w:txbxContent>
                </v:textbox>
              </v:shape>
            </w:pict>
          </mc:Fallback>
        </mc:AlternateContent>
      </w:r>
      <w:r w:rsidRPr="00B6382F">
        <w:rPr>
          <w:sz w:val="22"/>
          <w:szCs w:val="22"/>
        </w:rPr>
        <w:t xml:space="preserve">Table A- 2 </w:t>
      </w:r>
      <w:r w:rsidRPr="00B6382F">
        <w:rPr>
          <w:sz w:val="22"/>
          <w:szCs w:val="22"/>
        </w:rPr>
        <w:tab/>
        <w:t xml:space="preserve">Commonwealth payments commencing in 2019-20 or 2020-21, </w:t>
      </w:r>
      <w:r w:rsidRPr="00B6382F">
        <w:rPr>
          <w:i/>
          <w:sz w:val="22"/>
          <w:szCs w:val="22"/>
        </w:rPr>
        <w:t>Federal Financial Relations, Budget Paper No. 3, 2019</w:t>
      </w:r>
      <w:r w:rsidRPr="00B6382F">
        <w:rPr>
          <w:i/>
          <w:sz w:val="22"/>
          <w:szCs w:val="22"/>
        </w:rPr>
        <w:noBreakHyphen/>
        <w:t>20</w:t>
      </w:r>
      <w:r>
        <w:rPr>
          <w:i/>
          <w:sz w:val="22"/>
          <w:szCs w:val="22"/>
        </w:rPr>
        <w:t xml:space="preserve"> </w:t>
      </w:r>
    </w:p>
    <w:tbl>
      <w:tblPr>
        <w:tblStyle w:val="TableGrid1"/>
        <w:tblW w:w="4981" w:type="pct"/>
        <w:tblLook w:val="04A0" w:firstRow="1" w:lastRow="0" w:firstColumn="1" w:lastColumn="0" w:noHBand="0" w:noVBand="1"/>
      </w:tblPr>
      <w:tblGrid>
        <w:gridCol w:w="2831"/>
        <w:gridCol w:w="7372"/>
        <w:gridCol w:w="1586"/>
        <w:gridCol w:w="1586"/>
      </w:tblGrid>
      <w:tr w:rsidR="005631B0" w:rsidRPr="00CE140B" w14:paraId="7EE625B1" w14:textId="77777777" w:rsidTr="00086947">
        <w:tc>
          <w:tcPr>
            <w:tcW w:w="1058" w:type="pct"/>
            <w:tcBorders>
              <w:top w:val="single" w:sz="4" w:space="0" w:color="auto"/>
              <w:bottom w:val="single" w:sz="4" w:space="0" w:color="auto"/>
            </w:tcBorders>
            <w:vAlign w:val="center"/>
          </w:tcPr>
          <w:p w14:paraId="5D47C4C1" w14:textId="77777777" w:rsidR="005631B0" w:rsidRPr="00CE140B" w:rsidRDefault="005631B0" w:rsidP="00086947">
            <w:pPr>
              <w:spacing w:before="40" w:after="40" w:line="200" w:lineRule="atLeast"/>
              <w:ind w:left="567" w:hanging="567"/>
              <w:rPr>
                <w:rFonts w:ascii="Calibri" w:eastAsia="Calibri" w:hAnsi="Calibri" w:cs="Times New Roman"/>
                <w:sz w:val="20"/>
                <w:szCs w:val="20"/>
              </w:rPr>
            </w:pPr>
            <w:r w:rsidRPr="00CE140B">
              <w:rPr>
                <w:rFonts w:ascii="Calibri" w:eastAsia="Calibri" w:hAnsi="Calibri" w:cs="Times New Roman"/>
                <w:sz w:val="20"/>
                <w:szCs w:val="20"/>
              </w:rPr>
              <w:t>Commonwealth payment</w:t>
            </w:r>
          </w:p>
        </w:tc>
        <w:tc>
          <w:tcPr>
            <w:tcW w:w="2756" w:type="pct"/>
            <w:tcBorders>
              <w:top w:val="single" w:sz="4" w:space="0" w:color="auto"/>
              <w:bottom w:val="single" w:sz="4" w:space="0" w:color="auto"/>
            </w:tcBorders>
            <w:vAlign w:val="center"/>
          </w:tcPr>
          <w:p w14:paraId="25540139" w14:textId="77777777" w:rsidR="005631B0" w:rsidRPr="00CE140B" w:rsidRDefault="005631B0" w:rsidP="00086947">
            <w:pPr>
              <w:spacing w:before="40" w:after="40" w:line="200" w:lineRule="atLeast"/>
              <w:ind w:left="567" w:hanging="567"/>
              <w:rPr>
                <w:rFonts w:ascii="Calibri" w:eastAsia="Calibri" w:hAnsi="Calibri" w:cs="Times New Roman"/>
                <w:sz w:val="20"/>
                <w:szCs w:val="20"/>
              </w:rPr>
            </w:pPr>
            <w:r w:rsidRPr="00CE140B">
              <w:rPr>
                <w:rFonts w:ascii="Calibri" w:eastAsia="Calibri" w:hAnsi="Calibri" w:cs="Times New Roman"/>
                <w:sz w:val="20"/>
                <w:szCs w:val="20"/>
              </w:rPr>
              <w:t>Description</w:t>
            </w:r>
          </w:p>
        </w:tc>
        <w:tc>
          <w:tcPr>
            <w:tcW w:w="593" w:type="pct"/>
            <w:tcBorders>
              <w:top w:val="single" w:sz="4" w:space="0" w:color="auto"/>
              <w:bottom w:val="single" w:sz="4" w:space="0" w:color="auto"/>
            </w:tcBorders>
            <w:vAlign w:val="center"/>
          </w:tcPr>
          <w:p w14:paraId="22BFAAC5" w14:textId="77777777" w:rsidR="005631B0" w:rsidRDefault="005631B0" w:rsidP="00086947">
            <w:pPr>
              <w:spacing w:before="40" w:after="40" w:line="200" w:lineRule="atLeast"/>
              <w:jc w:val="right"/>
              <w:rPr>
                <w:rFonts w:ascii="Calibri" w:eastAsia="Calibri" w:hAnsi="Calibri" w:cs="Times New Roman"/>
                <w:sz w:val="20"/>
                <w:szCs w:val="20"/>
              </w:rPr>
            </w:pPr>
            <w:r w:rsidRPr="00CE140B">
              <w:rPr>
                <w:rFonts w:ascii="Calibri" w:eastAsia="Calibri" w:hAnsi="Calibri" w:cs="Times New Roman"/>
                <w:sz w:val="20"/>
                <w:szCs w:val="20"/>
              </w:rPr>
              <w:t xml:space="preserve">New in 2019-20 </w:t>
            </w:r>
          </w:p>
          <w:p w14:paraId="2E0710D9" w14:textId="77777777" w:rsidR="005631B0" w:rsidRPr="00CE140B" w:rsidRDefault="005631B0" w:rsidP="00086947">
            <w:pPr>
              <w:spacing w:before="40" w:after="40" w:line="200" w:lineRule="atLeast"/>
              <w:jc w:val="right"/>
              <w:rPr>
                <w:rFonts w:ascii="Calibri" w:eastAsia="Calibri" w:hAnsi="Calibri" w:cs="Times New Roman"/>
                <w:sz w:val="20"/>
                <w:szCs w:val="20"/>
              </w:rPr>
            </w:pPr>
            <w:r w:rsidRPr="00CE140B">
              <w:rPr>
                <w:rFonts w:ascii="Calibri" w:eastAsia="Calibri" w:hAnsi="Calibri" w:cs="Times New Roman"/>
                <w:sz w:val="20"/>
                <w:szCs w:val="20"/>
              </w:rPr>
              <w:t xml:space="preserve"> $m</w:t>
            </w:r>
          </w:p>
        </w:tc>
        <w:tc>
          <w:tcPr>
            <w:tcW w:w="593" w:type="pct"/>
            <w:tcBorders>
              <w:top w:val="single" w:sz="4" w:space="0" w:color="auto"/>
              <w:bottom w:val="single" w:sz="4" w:space="0" w:color="auto"/>
            </w:tcBorders>
            <w:vAlign w:val="center"/>
          </w:tcPr>
          <w:p w14:paraId="601E2108" w14:textId="77777777" w:rsidR="005631B0" w:rsidRPr="00CE140B" w:rsidRDefault="005631B0" w:rsidP="00086947">
            <w:pPr>
              <w:spacing w:before="40" w:after="40" w:line="200" w:lineRule="atLeast"/>
              <w:jc w:val="right"/>
              <w:rPr>
                <w:rFonts w:ascii="Calibri" w:eastAsia="Calibri" w:hAnsi="Calibri" w:cs="Times New Roman"/>
                <w:sz w:val="20"/>
                <w:szCs w:val="20"/>
              </w:rPr>
            </w:pPr>
            <w:r w:rsidRPr="00CE140B">
              <w:rPr>
                <w:rFonts w:ascii="Calibri" w:eastAsia="Calibri" w:hAnsi="Calibri" w:cs="Times New Roman"/>
                <w:sz w:val="20"/>
                <w:szCs w:val="20"/>
              </w:rPr>
              <w:t>New in 2020-21  $m</w:t>
            </w:r>
          </w:p>
        </w:tc>
      </w:tr>
      <w:tr w:rsidR="0070496E" w:rsidRPr="00CE140B" w14:paraId="13EE87BB" w14:textId="77777777" w:rsidTr="00086947">
        <w:tc>
          <w:tcPr>
            <w:tcW w:w="1058" w:type="pct"/>
            <w:tcBorders>
              <w:top w:val="single" w:sz="4" w:space="0" w:color="auto"/>
              <w:bottom w:val="single" w:sz="4" w:space="0" w:color="auto"/>
            </w:tcBorders>
          </w:tcPr>
          <w:p w14:paraId="24B59DA8" w14:textId="48D55BD6" w:rsidR="0070496E" w:rsidRPr="00CE140B" w:rsidRDefault="0070496E" w:rsidP="00086947">
            <w:pPr>
              <w:spacing w:before="40" w:after="40" w:line="200" w:lineRule="atLeast"/>
              <w:rPr>
                <w:rFonts w:ascii="Calibri" w:hAnsi="Calibri"/>
                <w:sz w:val="20"/>
                <w:szCs w:val="20"/>
              </w:rPr>
            </w:pPr>
            <w:r>
              <w:rPr>
                <w:rFonts w:ascii="Calibri" w:hAnsi="Calibri"/>
                <w:sz w:val="20"/>
                <w:szCs w:val="20"/>
              </w:rPr>
              <w:t>Proton Beam Facility</w:t>
            </w:r>
          </w:p>
        </w:tc>
        <w:tc>
          <w:tcPr>
            <w:tcW w:w="2756" w:type="pct"/>
            <w:tcBorders>
              <w:top w:val="single" w:sz="4" w:space="0" w:color="auto"/>
              <w:bottom w:val="single" w:sz="4" w:space="0" w:color="auto"/>
            </w:tcBorders>
            <w:vAlign w:val="center"/>
          </w:tcPr>
          <w:p w14:paraId="666DF412" w14:textId="5EFFC6FA" w:rsidR="0070496E" w:rsidRDefault="0070496E" w:rsidP="0070496E">
            <w:pPr>
              <w:spacing w:before="40" w:after="40" w:line="200" w:lineRule="atLeast"/>
              <w:rPr>
                <w:rFonts w:ascii="Calibri" w:hAnsi="Calibri"/>
                <w:sz w:val="20"/>
                <w:szCs w:val="20"/>
              </w:rPr>
            </w:pPr>
            <w:r>
              <w:rPr>
                <w:rFonts w:ascii="Calibri" w:hAnsi="Calibri"/>
                <w:sz w:val="20"/>
                <w:szCs w:val="20"/>
              </w:rPr>
              <w:t>F</w:t>
            </w:r>
            <w:r w:rsidRPr="0070496E">
              <w:rPr>
                <w:rFonts w:ascii="Calibri" w:hAnsi="Calibri"/>
                <w:sz w:val="20"/>
                <w:szCs w:val="20"/>
              </w:rPr>
              <w:t xml:space="preserve">unding </w:t>
            </w:r>
            <w:r>
              <w:rPr>
                <w:rFonts w:ascii="Calibri" w:hAnsi="Calibri"/>
                <w:sz w:val="20"/>
                <w:szCs w:val="20"/>
              </w:rPr>
              <w:t xml:space="preserve">for </w:t>
            </w:r>
            <w:r w:rsidRPr="0070496E">
              <w:rPr>
                <w:rFonts w:ascii="Calibri" w:hAnsi="Calibri"/>
                <w:sz w:val="20"/>
                <w:szCs w:val="20"/>
              </w:rPr>
              <w:t>the establishment of a proton beam therapy</w:t>
            </w:r>
            <w:r>
              <w:rPr>
                <w:rFonts w:ascii="Calibri" w:hAnsi="Calibri"/>
                <w:sz w:val="20"/>
                <w:szCs w:val="20"/>
              </w:rPr>
              <w:t xml:space="preserve"> facility in Adelaide. (Payment quarantined in the 2019 Update terms of reference.) The payment ($40.7 million) was expected in 2018-19 but does not appear FBO 2018-19.</w:t>
            </w:r>
          </w:p>
        </w:tc>
        <w:tc>
          <w:tcPr>
            <w:tcW w:w="593" w:type="pct"/>
            <w:tcBorders>
              <w:top w:val="single" w:sz="4" w:space="0" w:color="auto"/>
              <w:bottom w:val="single" w:sz="4" w:space="0" w:color="auto"/>
            </w:tcBorders>
          </w:tcPr>
          <w:p w14:paraId="23393FAA" w14:textId="77777777" w:rsidR="0070496E" w:rsidRPr="00CE140B" w:rsidRDefault="0070496E" w:rsidP="00086947">
            <w:pPr>
              <w:spacing w:before="40" w:after="40" w:line="200" w:lineRule="atLeast"/>
              <w:ind w:left="567" w:hanging="567"/>
              <w:jc w:val="right"/>
              <w:rPr>
                <w:rFonts w:ascii="Calibri" w:eastAsia="Calibri" w:hAnsi="Calibri" w:cs="Times New Roman"/>
                <w:sz w:val="20"/>
                <w:szCs w:val="20"/>
              </w:rPr>
            </w:pPr>
          </w:p>
        </w:tc>
        <w:tc>
          <w:tcPr>
            <w:tcW w:w="593" w:type="pct"/>
            <w:tcBorders>
              <w:top w:val="single" w:sz="4" w:space="0" w:color="auto"/>
              <w:bottom w:val="single" w:sz="4" w:space="0" w:color="auto"/>
            </w:tcBorders>
          </w:tcPr>
          <w:p w14:paraId="664C3087" w14:textId="77777777" w:rsidR="0070496E" w:rsidRPr="00CE140B" w:rsidRDefault="0070496E" w:rsidP="00086947">
            <w:pPr>
              <w:spacing w:before="40" w:after="40" w:line="200" w:lineRule="atLeast"/>
              <w:jc w:val="right"/>
              <w:rPr>
                <w:rFonts w:ascii="Calibri" w:hAnsi="Calibri"/>
                <w:sz w:val="20"/>
                <w:szCs w:val="20"/>
              </w:rPr>
            </w:pPr>
          </w:p>
        </w:tc>
      </w:tr>
      <w:tr w:rsidR="005631B0" w:rsidRPr="00CE140B" w14:paraId="669ECAE0" w14:textId="77777777" w:rsidTr="00086947">
        <w:tc>
          <w:tcPr>
            <w:tcW w:w="1058" w:type="pct"/>
            <w:tcBorders>
              <w:top w:val="single" w:sz="4" w:space="0" w:color="auto"/>
              <w:bottom w:val="single" w:sz="4" w:space="0" w:color="auto"/>
            </w:tcBorders>
          </w:tcPr>
          <w:p w14:paraId="5E40E5D2" w14:textId="77777777" w:rsidR="005631B0" w:rsidRPr="00CE140B" w:rsidRDefault="005631B0" w:rsidP="00086947">
            <w:pPr>
              <w:spacing w:before="40" w:after="40" w:line="200" w:lineRule="atLeast"/>
              <w:rPr>
                <w:rFonts w:ascii="Calibri" w:hAnsi="Calibri"/>
                <w:sz w:val="20"/>
                <w:szCs w:val="20"/>
              </w:rPr>
            </w:pPr>
            <w:r w:rsidRPr="00CE140B">
              <w:rPr>
                <w:rFonts w:ascii="Calibri" w:hAnsi="Calibri"/>
                <w:sz w:val="20"/>
                <w:szCs w:val="20"/>
              </w:rPr>
              <w:t>Comprehensive palliative care across the life course</w:t>
            </w:r>
          </w:p>
        </w:tc>
        <w:tc>
          <w:tcPr>
            <w:tcW w:w="2756" w:type="pct"/>
            <w:tcBorders>
              <w:top w:val="single" w:sz="4" w:space="0" w:color="auto"/>
              <w:bottom w:val="single" w:sz="4" w:space="0" w:color="auto"/>
            </w:tcBorders>
            <w:vAlign w:val="center"/>
          </w:tcPr>
          <w:p w14:paraId="7ABD8021" w14:textId="77777777" w:rsidR="005631B0" w:rsidRPr="00CE140B" w:rsidRDefault="005631B0" w:rsidP="00086947">
            <w:pPr>
              <w:spacing w:before="40" w:after="40" w:line="200" w:lineRule="atLeast"/>
              <w:rPr>
                <w:rFonts w:ascii="Calibri" w:hAnsi="Calibri"/>
                <w:sz w:val="20"/>
                <w:szCs w:val="20"/>
              </w:rPr>
            </w:pPr>
            <w:r>
              <w:rPr>
                <w:rFonts w:ascii="Calibri" w:hAnsi="Calibri"/>
                <w:sz w:val="20"/>
                <w:szCs w:val="20"/>
              </w:rPr>
              <w:t>F</w:t>
            </w:r>
            <w:r w:rsidRPr="00CE140B">
              <w:rPr>
                <w:rFonts w:ascii="Calibri" w:hAnsi="Calibri"/>
                <w:sz w:val="20"/>
                <w:szCs w:val="20"/>
              </w:rPr>
              <w:t>unding for new and innovative approaches to improve palliative and end-of-life care coordination for older Australians living in residential aged care.</w:t>
            </w:r>
          </w:p>
        </w:tc>
        <w:tc>
          <w:tcPr>
            <w:tcW w:w="593" w:type="pct"/>
            <w:tcBorders>
              <w:top w:val="single" w:sz="4" w:space="0" w:color="auto"/>
              <w:bottom w:val="single" w:sz="4" w:space="0" w:color="auto"/>
            </w:tcBorders>
          </w:tcPr>
          <w:p w14:paraId="52E95FD5" w14:textId="77777777" w:rsidR="005631B0" w:rsidRPr="00A22630" w:rsidRDefault="005631B0" w:rsidP="00086947">
            <w:pPr>
              <w:spacing w:before="40" w:after="40" w:line="200" w:lineRule="atLeast"/>
              <w:ind w:left="567" w:hanging="567"/>
              <w:jc w:val="right"/>
              <w:rPr>
                <w:rFonts w:ascii="Calibri" w:eastAsia="Calibri" w:hAnsi="Calibri" w:cs="Times New Roman"/>
                <w:sz w:val="20"/>
                <w:szCs w:val="20"/>
              </w:rPr>
            </w:pPr>
            <w:r w:rsidRPr="00CE140B">
              <w:rPr>
                <w:rFonts w:ascii="Calibri" w:eastAsia="Calibri" w:hAnsi="Calibri" w:cs="Times New Roman"/>
                <w:sz w:val="20"/>
                <w:szCs w:val="20"/>
              </w:rPr>
              <w:t>9.9</w:t>
            </w:r>
          </w:p>
        </w:tc>
        <w:tc>
          <w:tcPr>
            <w:tcW w:w="593" w:type="pct"/>
            <w:tcBorders>
              <w:top w:val="single" w:sz="4" w:space="0" w:color="auto"/>
              <w:bottom w:val="single" w:sz="4" w:space="0" w:color="auto"/>
            </w:tcBorders>
          </w:tcPr>
          <w:p w14:paraId="5E0E534E" w14:textId="77777777" w:rsidR="005631B0" w:rsidRPr="00CE140B" w:rsidRDefault="005631B0" w:rsidP="00086947">
            <w:pPr>
              <w:spacing w:before="40" w:after="40" w:line="200" w:lineRule="atLeast"/>
              <w:jc w:val="right"/>
              <w:rPr>
                <w:rFonts w:ascii="Calibri" w:hAnsi="Calibri"/>
                <w:sz w:val="20"/>
                <w:szCs w:val="20"/>
              </w:rPr>
            </w:pPr>
          </w:p>
        </w:tc>
      </w:tr>
      <w:tr w:rsidR="005631B0" w:rsidRPr="00197C91" w14:paraId="42FCAC93" w14:textId="77777777" w:rsidTr="00086947">
        <w:tc>
          <w:tcPr>
            <w:tcW w:w="1058" w:type="pct"/>
            <w:tcBorders>
              <w:top w:val="single" w:sz="4" w:space="0" w:color="auto"/>
              <w:bottom w:val="single" w:sz="4" w:space="0" w:color="auto"/>
            </w:tcBorders>
          </w:tcPr>
          <w:p w14:paraId="74D9D0A8" w14:textId="77777777" w:rsidR="005631B0" w:rsidRPr="008A4038" w:rsidRDefault="005631B0" w:rsidP="00086947">
            <w:pPr>
              <w:spacing w:before="40" w:after="40" w:line="200" w:lineRule="atLeast"/>
              <w:rPr>
                <w:rFonts w:ascii="Calibri" w:eastAsia="Calibri" w:hAnsi="Calibri" w:cs="Times New Roman"/>
                <w:sz w:val="20"/>
                <w:szCs w:val="20"/>
              </w:rPr>
            </w:pPr>
            <w:r>
              <w:rPr>
                <w:rFonts w:ascii="Calibri" w:eastAsia="Calibri" w:hAnsi="Calibri" w:cs="Times New Roman"/>
                <w:sz w:val="20"/>
                <w:szCs w:val="20"/>
              </w:rPr>
              <w:t>Grace’s Place</w:t>
            </w:r>
          </w:p>
        </w:tc>
        <w:tc>
          <w:tcPr>
            <w:tcW w:w="2756" w:type="pct"/>
            <w:tcBorders>
              <w:top w:val="single" w:sz="4" w:space="0" w:color="auto"/>
              <w:bottom w:val="single" w:sz="4" w:space="0" w:color="auto"/>
            </w:tcBorders>
          </w:tcPr>
          <w:p w14:paraId="6326C2B4" w14:textId="77777777" w:rsidR="005631B0" w:rsidRPr="008A4038" w:rsidRDefault="005631B0" w:rsidP="00086947">
            <w:pPr>
              <w:spacing w:before="40" w:after="40" w:line="200" w:lineRule="atLeast"/>
              <w:rPr>
                <w:rFonts w:ascii="Calibri" w:hAnsi="Calibri"/>
                <w:sz w:val="20"/>
                <w:szCs w:val="20"/>
              </w:rPr>
            </w:pPr>
            <w:r>
              <w:rPr>
                <w:rFonts w:ascii="Calibri" w:hAnsi="Calibri"/>
                <w:sz w:val="20"/>
                <w:szCs w:val="20"/>
              </w:rPr>
              <w:t>Funding provided to New South Wales to assist with the construction of Grace’s Place, a residential trauma recovery centre for children and young people aged between 3 and 18 years impacted by homicide.</w:t>
            </w:r>
          </w:p>
        </w:tc>
        <w:tc>
          <w:tcPr>
            <w:tcW w:w="593" w:type="pct"/>
            <w:tcBorders>
              <w:top w:val="single" w:sz="4" w:space="0" w:color="auto"/>
              <w:bottom w:val="single" w:sz="4" w:space="0" w:color="auto"/>
            </w:tcBorders>
          </w:tcPr>
          <w:p w14:paraId="61084F07" w14:textId="77777777" w:rsidR="005631B0" w:rsidRPr="00226E9E" w:rsidRDefault="005631B0" w:rsidP="00086947">
            <w:pPr>
              <w:spacing w:before="40" w:after="40" w:line="200" w:lineRule="atLeast"/>
              <w:ind w:left="567" w:hanging="567"/>
              <w:jc w:val="right"/>
              <w:rPr>
                <w:rFonts w:ascii="Calibri" w:eastAsia="Calibri" w:hAnsi="Calibri" w:cs="Times New Roman"/>
                <w:sz w:val="20"/>
                <w:szCs w:val="20"/>
              </w:rPr>
            </w:pPr>
            <w:r w:rsidRPr="00226E9E">
              <w:rPr>
                <w:rFonts w:ascii="Calibri" w:eastAsia="Calibri" w:hAnsi="Calibri" w:cs="Times New Roman"/>
                <w:sz w:val="20"/>
                <w:szCs w:val="20"/>
              </w:rPr>
              <w:t>4.1</w:t>
            </w:r>
          </w:p>
        </w:tc>
        <w:tc>
          <w:tcPr>
            <w:tcW w:w="593" w:type="pct"/>
            <w:tcBorders>
              <w:top w:val="single" w:sz="4" w:space="0" w:color="auto"/>
              <w:bottom w:val="single" w:sz="4" w:space="0" w:color="auto"/>
            </w:tcBorders>
          </w:tcPr>
          <w:p w14:paraId="16CC9F01" w14:textId="77777777" w:rsidR="005631B0" w:rsidRPr="00226E9E" w:rsidRDefault="005631B0" w:rsidP="00086947">
            <w:pPr>
              <w:spacing w:before="40" w:after="40" w:line="200" w:lineRule="atLeast"/>
              <w:jc w:val="right"/>
              <w:rPr>
                <w:rFonts w:ascii="Calibri" w:hAnsi="Calibri"/>
                <w:sz w:val="20"/>
                <w:szCs w:val="20"/>
              </w:rPr>
            </w:pPr>
          </w:p>
        </w:tc>
      </w:tr>
      <w:tr w:rsidR="005631B0" w:rsidRPr="0053741D" w14:paraId="67B2584A" w14:textId="77777777" w:rsidTr="00086947">
        <w:tc>
          <w:tcPr>
            <w:tcW w:w="1058" w:type="pct"/>
            <w:tcBorders>
              <w:top w:val="single" w:sz="4" w:space="0" w:color="auto"/>
              <w:bottom w:val="single" w:sz="4" w:space="0" w:color="auto"/>
            </w:tcBorders>
          </w:tcPr>
          <w:p w14:paraId="72755A9E" w14:textId="77777777" w:rsidR="005631B0" w:rsidRPr="0053741D" w:rsidRDefault="005631B0" w:rsidP="00086947">
            <w:pPr>
              <w:spacing w:before="40" w:after="40" w:line="200" w:lineRule="atLeast"/>
              <w:rPr>
                <w:rFonts w:ascii="Calibri" w:hAnsi="Calibri"/>
                <w:sz w:val="20"/>
                <w:szCs w:val="20"/>
              </w:rPr>
            </w:pPr>
            <w:r w:rsidRPr="0053741D">
              <w:rPr>
                <w:rFonts w:ascii="Calibri" w:hAnsi="Calibri"/>
                <w:sz w:val="20"/>
                <w:szCs w:val="20"/>
              </w:rPr>
              <w:t>Skills for Tasmania</w:t>
            </w:r>
          </w:p>
        </w:tc>
        <w:tc>
          <w:tcPr>
            <w:tcW w:w="2756" w:type="pct"/>
            <w:tcBorders>
              <w:top w:val="single" w:sz="4" w:space="0" w:color="auto"/>
              <w:bottom w:val="single" w:sz="4" w:space="0" w:color="auto"/>
            </w:tcBorders>
            <w:vAlign w:val="center"/>
          </w:tcPr>
          <w:p w14:paraId="1B2249B9" w14:textId="77777777" w:rsidR="005631B0" w:rsidRPr="0053741D" w:rsidRDefault="005631B0" w:rsidP="00086947">
            <w:pPr>
              <w:spacing w:before="40" w:after="40" w:line="200" w:lineRule="atLeast"/>
              <w:rPr>
                <w:rFonts w:ascii="Calibri" w:hAnsi="Calibri"/>
                <w:sz w:val="20"/>
                <w:szCs w:val="20"/>
              </w:rPr>
            </w:pPr>
            <w:r>
              <w:rPr>
                <w:rFonts w:ascii="Calibri" w:hAnsi="Calibri"/>
                <w:sz w:val="20"/>
                <w:szCs w:val="20"/>
              </w:rPr>
              <w:t>Funding to</w:t>
            </w:r>
            <w:r w:rsidRPr="0053741D">
              <w:rPr>
                <w:rFonts w:ascii="Calibri" w:hAnsi="Calibri"/>
                <w:sz w:val="20"/>
                <w:szCs w:val="20"/>
              </w:rPr>
              <w:t xml:space="preserve"> provide fee-free training and support for training materials to encourage Tasmanians to train in areas of priority skills needs.</w:t>
            </w:r>
          </w:p>
        </w:tc>
        <w:tc>
          <w:tcPr>
            <w:tcW w:w="593" w:type="pct"/>
            <w:tcBorders>
              <w:top w:val="single" w:sz="4" w:space="0" w:color="auto"/>
              <w:bottom w:val="single" w:sz="4" w:space="0" w:color="auto"/>
            </w:tcBorders>
          </w:tcPr>
          <w:p w14:paraId="0D730E75" w14:textId="77777777" w:rsidR="005631B0" w:rsidRPr="0053741D" w:rsidRDefault="005631B0" w:rsidP="00086947">
            <w:pPr>
              <w:spacing w:before="40" w:after="40" w:line="200" w:lineRule="atLeast"/>
              <w:ind w:left="567" w:hanging="567"/>
              <w:jc w:val="right"/>
              <w:rPr>
                <w:rFonts w:ascii="Calibri" w:eastAsia="Calibri" w:hAnsi="Calibri" w:cs="Times New Roman"/>
                <w:sz w:val="20"/>
                <w:szCs w:val="20"/>
              </w:rPr>
            </w:pPr>
            <w:r w:rsidRPr="0053741D">
              <w:rPr>
                <w:rFonts w:ascii="Calibri" w:eastAsia="Calibri" w:hAnsi="Calibri" w:cs="Times New Roman"/>
                <w:sz w:val="20"/>
                <w:szCs w:val="20"/>
              </w:rPr>
              <w:t>2.3</w:t>
            </w:r>
          </w:p>
        </w:tc>
        <w:tc>
          <w:tcPr>
            <w:tcW w:w="593" w:type="pct"/>
            <w:tcBorders>
              <w:top w:val="single" w:sz="4" w:space="0" w:color="auto"/>
              <w:bottom w:val="single" w:sz="4" w:space="0" w:color="auto"/>
            </w:tcBorders>
          </w:tcPr>
          <w:p w14:paraId="11FE6697" w14:textId="77777777" w:rsidR="005631B0" w:rsidRPr="00A22630" w:rsidRDefault="005631B0" w:rsidP="00086947">
            <w:pPr>
              <w:spacing w:before="40" w:after="40" w:line="200" w:lineRule="atLeast"/>
              <w:ind w:left="567" w:hanging="567"/>
              <w:jc w:val="right"/>
              <w:rPr>
                <w:rFonts w:ascii="Calibri" w:eastAsia="Calibri" w:hAnsi="Calibri" w:cs="Times New Roman"/>
                <w:sz w:val="20"/>
                <w:szCs w:val="20"/>
              </w:rPr>
            </w:pPr>
          </w:p>
        </w:tc>
      </w:tr>
      <w:tr w:rsidR="00E93273" w:rsidRPr="001F71AC" w14:paraId="435BEC7A" w14:textId="77777777" w:rsidTr="00E93273">
        <w:tc>
          <w:tcPr>
            <w:tcW w:w="1058" w:type="pct"/>
            <w:tcBorders>
              <w:top w:val="single" w:sz="4" w:space="0" w:color="auto"/>
              <w:bottom w:val="single" w:sz="4" w:space="0" w:color="auto"/>
            </w:tcBorders>
          </w:tcPr>
          <w:p w14:paraId="238B9EC5" w14:textId="6A077D54" w:rsidR="00E93273" w:rsidRPr="001F71AC" w:rsidRDefault="00E93273" w:rsidP="00086947">
            <w:pPr>
              <w:spacing w:before="40" w:after="40" w:line="200" w:lineRule="atLeast"/>
              <w:rPr>
                <w:rFonts w:ascii="Calibri" w:hAnsi="Calibri"/>
                <w:sz w:val="20"/>
                <w:szCs w:val="20"/>
              </w:rPr>
            </w:pPr>
            <w:r>
              <w:rPr>
                <w:rFonts w:ascii="Calibri" w:hAnsi="Calibri"/>
                <w:sz w:val="20"/>
                <w:szCs w:val="20"/>
              </w:rPr>
              <w:t>Infrastructure investment program – Major projects Business Case Fund (a)</w:t>
            </w:r>
          </w:p>
        </w:tc>
        <w:tc>
          <w:tcPr>
            <w:tcW w:w="2756" w:type="pct"/>
            <w:tcBorders>
              <w:top w:val="single" w:sz="4" w:space="0" w:color="auto"/>
              <w:bottom w:val="single" w:sz="4" w:space="0" w:color="auto"/>
            </w:tcBorders>
          </w:tcPr>
          <w:p w14:paraId="3E56BBBD" w14:textId="2205B06B" w:rsidR="00E93273" w:rsidRPr="001F71AC" w:rsidRDefault="00E93273" w:rsidP="00E93273">
            <w:pPr>
              <w:spacing w:before="40" w:after="40" w:line="200" w:lineRule="atLeast"/>
              <w:rPr>
                <w:rFonts w:ascii="Calibri" w:hAnsi="Calibri"/>
                <w:sz w:val="20"/>
                <w:szCs w:val="20"/>
              </w:rPr>
            </w:pPr>
            <w:r>
              <w:rPr>
                <w:rFonts w:ascii="Calibri" w:hAnsi="Calibri"/>
                <w:sz w:val="20"/>
                <w:szCs w:val="20"/>
              </w:rPr>
              <w:t>Funding for the development of business cases for road and rail infrastructure projects.</w:t>
            </w:r>
          </w:p>
        </w:tc>
        <w:tc>
          <w:tcPr>
            <w:tcW w:w="593" w:type="pct"/>
            <w:tcBorders>
              <w:top w:val="single" w:sz="4" w:space="0" w:color="auto"/>
              <w:bottom w:val="single" w:sz="4" w:space="0" w:color="auto"/>
            </w:tcBorders>
          </w:tcPr>
          <w:p w14:paraId="206D2923" w14:textId="222DAE16" w:rsidR="00E93273" w:rsidRDefault="00E93273" w:rsidP="00086947">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40.0</w:t>
            </w:r>
          </w:p>
        </w:tc>
        <w:tc>
          <w:tcPr>
            <w:tcW w:w="593" w:type="pct"/>
            <w:tcBorders>
              <w:top w:val="single" w:sz="4" w:space="0" w:color="auto"/>
              <w:bottom w:val="single" w:sz="4" w:space="0" w:color="auto"/>
            </w:tcBorders>
          </w:tcPr>
          <w:p w14:paraId="16CFF7A3" w14:textId="77777777" w:rsidR="00E93273" w:rsidRPr="001F71AC" w:rsidRDefault="00E93273" w:rsidP="00086947">
            <w:pPr>
              <w:spacing w:before="40" w:after="40" w:line="200" w:lineRule="atLeast"/>
              <w:ind w:left="567" w:hanging="567"/>
              <w:jc w:val="right"/>
              <w:rPr>
                <w:rFonts w:ascii="Calibri" w:eastAsia="Calibri" w:hAnsi="Calibri" w:cs="Times New Roman"/>
                <w:sz w:val="20"/>
                <w:szCs w:val="20"/>
              </w:rPr>
            </w:pPr>
          </w:p>
        </w:tc>
      </w:tr>
      <w:tr w:rsidR="005631B0" w:rsidRPr="001F71AC" w14:paraId="62F6643B" w14:textId="77777777" w:rsidTr="00086947">
        <w:tc>
          <w:tcPr>
            <w:tcW w:w="1058" w:type="pct"/>
            <w:tcBorders>
              <w:top w:val="single" w:sz="4" w:space="0" w:color="auto"/>
              <w:bottom w:val="single" w:sz="4" w:space="0" w:color="auto"/>
            </w:tcBorders>
          </w:tcPr>
          <w:p w14:paraId="3FF1F9E1" w14:textId="60193518" w:rsidR="005631B0" w:rsidRPr="001F71AC" w:rsidRDefault="00E93273" w:rsidP="00086947">
            <w:pPr>
              <w:spacing w:before="40" w:after="40" w:line="200" w:lineRule="atLeast"/>
              <w:rPr>
                <w:rFonts w:ascii="Calibri" w:hAnsi="Calibri"/>
                <w:sz w:val="20"/>
                <w:szCs w:val="20"/>
              </w:rPr>
            </w:pPr>
            <w:r>
              <w:rPr>
                <w:rFonts w:ascii="Calibri" w:hAnsi="Calibri"/>
                <w:sz w:val="20"/>
                <w:szCs w:val="20"/>
              </w:rPr>
              <w:t>Geelong City Deal</w:t>
            </w:r>
            <w:r w:rsidR="001E171B">
              <w:rPr>
                <w:rFonts w:ascii="Calibri" w:hAnsi="Calibri"/>
                <w:sz w:val="20"/>
                <w:szCs w:val="20"/>
              </w:rPr>
              <w:t xml:space="preserve"> (a)</w:t>
            </w:r>
          </w:p>
        </w:tc>
        <w:tc>
          <w:tcPr>
            <w:tcW w:w="2756" w:type="pct"/>
            <w:tcBorders>
              <w:top w:val="single" w:sz="4" w:space="0" w:color="auto"/>
              <w:bottom w:val="single" w:sz="4" w:space="0" w:color="auto"/>
            </w:tcBorders>
            <w:vAlign w:val="center"/>
          </w:tcPr>
          <w:p w14:paraId="410C1543" w14:textId="6938BEC6" w:rsidR="005631B0" w:rsidRPr="001F71AC" w:rsidRDefault="001E171B" w:rsidP="00086947">
            <w:pPr>
              <w:spacing w:before="40" w:after="40" w:line="200" w:lineRule="atLeast"/>
              <w:rPr>
                <w:rFonts w:ascii="Calibri" w:hAnsi="Calibri"/>
                <w:sz w:val="20"/>
                <w:szCs w:val="20"/>
              </w:rPr>
            </w:pPr>
            <w:r>
              <w:rPr>
                <w:rFonts w:ascii="Calibri" w:hAnsi="Calibri"/>
                <w:sz w:val="20"/>
                <w:szCs w:val="20"/>
              </w:rPr>
              <w:t>Funding of $153 Million over seven years for infrastructure projects to support economic diversification in Geelong.</w:t>
            </w:r>
          </w:p>
        </w:tc>
        <w:tc>
          <w:tcPr>
            <w:tcW w:w="593" w:type="pct"/>
            <w:tcBorders>
              <w:top w:val="single" w:sz="4" w:space="0" w:color="auto"/>
              <w:bottom w:val="single" w:sz="4" w:space="0" w:color="auto"/>
            </w:tcBorders>
          </w:tcPr>
          <w:p w14:paraId="07989418" w14:textId="11685726" w:rsidR="005631B0" w:rsidRPr="001F71AC" w:rsidRDefault="001E171B" w:rsidP="00086947">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26.5</w:t>
            </w:r>
          </w:p>
        </w:tc>
        <w:tc>
          <w:tcPr>
            <w:tcW w:w="593" w:type="pct"/>
            <w:tcBorders>
              <w:top w:val="single" w:sz="4" w:space="0" w:color="auto"/>
              <w:bottom w:val="single" w:sz="4" w:space="0" w:color="auto"/>
            </w:tcBorders>
          </w:tcPr>
          <w:p w14:paraId="03760DA7" w14:textId="77777777" w:rsidR="005631B0" w:rsidRPr="001F71AC" w:rsidRDefault="005631B0" w:rsidP="00086947">
            <w:pPr>
              <w:spacing w:before="40" w:after="40" w:line="200" w:lineRule="atLeast"/>
              <w:ind w:left="567" w:hanging="567"/>
              <w:jc w:val="right"/>
              <w:rPr>
                <w:rFonts w:ascii="Calibri" w:eastAsia="Calibri" w:hAnsi="Calibri" w:cs="Times New Roman"/>
                <w:sz w:val="20"/>
                <w:szCs w:val="20"/>
              </w:rPr>
            </w:pPr>
          </w:p>
        </w:tc>
      </w:tr>
      <w:tr w:rsidR="005631B0" w:rsidRPr="001F71AC" w14:paraId="58BBB7E0" w14:textId="77777777" w:rsidTr="00086947">
        <w:tc>
          <w:tcPr>
            <w:tcW w:w="1058" w:type="pct"/>
            <w:tcBorders>
              <w:top w:val="single" w:sz="4" w:space="0" w:color="auto"/>
              <w:bottom w:val="single" w:sz="4" w:space="0" w:color="auto"/>
            </w:tcBorders>
          </w:tcPr>
          <w:p w14:paraId="21701DDA" w14:textId="2DF28A1C" w:rsidR="005631B0" w:rsidRPr="001F71AC" w:rsidRDefault="001E171B" w:rsidP="00086947">
            <w:pPr>
              <w:spacing w:before="40" w:after="40" w:line="200" w:lineRule="atLeast"/>
              <w:rPr>
                <w:rFonts w:ascii="Calibri" w:hAnsi="Calibri"/>
                <w:sz w:val="20"/>
                <w:szCs w:val="20"/>
              </w:rPr>
            </w:pPr>
            <w:r>
              <w:rPr>
                <w:rFonts w:ascii="Calibri" w:hAnsi="Calibri"/>
                <w:sz w:val="20"/>
                <w:szCs w:val="20"/>
              </w:rPr>
              <w:t>Townsville city deal (a)</w:t>
            </w:r>
          </w:p>
        </w:tc>
        <w:tc>
          <w:tcPr>
            <w:tcW w:w="2756" w:type="pct"/>
            <w:tcBorders>
              <w:top w:val="single" w:sz="4" w:space="0" w:color="auto"/>
              <w:bottom w:val="single" w:sz="4" w:space="0" w:color="auto"/>
            </w:tcBorders>
            <w:vAlign w:val="center"/>
          </w:tcPr>
          <w:p w14:paraId="6535F5AE" w14:textId="79DC5346" w:rsidR="005631B0" w:rsidRPr="001F71AC" w:rsidRDefault="001E171B" w:rsidP="00086947">
            <w:pPr>
              <w:spacing w:before="40" w:after="40" w:line="200" w:lineRule="atLeast"/>
              <w:rPr>
                <w:rFonts w:ascii="Calibri" w:hAnsi="Calibri"/>
                <w:sz w:val="20"/>
                <w:szCs w:val="20"/>
              </w:rPr>
            </w:pPr>
            <w:r>
              <w:rPr>
                <w:rFonts w:ascii="Calibri" w:hAnsi="Calibri"/>
                <w:sz w:val="20"/>
                <w:szCs w:val="20"/>
              </w:rPr>
              <w:t>Funding over 15 years to support programs of planning, reform and investment in Townsville.</w:t>
            </w:r>
          </w:p>
        </w:tc>
        <w:tc>
          <w:tcPr>
            <w:tcW w:w="593" w:type="pct"/>
            <w:tcBorders>
              <w:top w:val="single" w:sz="4" w:space="0" w:color="auto"/>
              <w:bottom w:val="single" w:sz="4" w:space="0" w:color="auto"/>
            </w:tcBorders>
          </w:tcPr>
          <w:p w14:paraId="621F0AF8" w14:textId="71D062B6" w:rsidR="005631B0" w:rsidRPr="001F71AC" w:rsidRDefault="001E171B" w:rsidP="00086947">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55.0</w:t>
            </w:r>
          </w:p>
        </w:tc>
        <w:tc>
          <w:tcPr>
            <w:tcW w:w="593" w:type="pct"/>
            <w:tcBorders>
              <w:top w:val="single" w:sz="4" w:space="0" w:color="auto"/>
              <w:bottom w:val="single" w:sz="4" w:space="0" w:color="auto"/>
            </w:tcBorders>
          </w:tcPr>
          <w:p w14:paraId="5BF4C879" w14:textId="77777777" w:rsidR="005631B0" w:rsidRPr="001F71AC" w:rsidRDefault="005631B0" w:rsidP="00086947">
            <w:pPr>
              <w:spacing w:before="40" w:after="40" w:line="200" w:lineRule="atLeast"/>
              <w:ind w:left="567" w:hanging="567"/>
              <w:jc w:val="right"/>
              <w:rPr>
                <w:rFonts w:ascii="Calibri" w:eastAsia="Calibri" w:hAnsi="Calibri" w:cs="Times New Roman"/>
                <w:sz w:val="20"/>
                <w:szCs w:val="20"/>
              </w:rPr>
            </w:pPr>
          </w:p>
        </w:tc>
      </w:tr>
      <w:tr w:rsidR="00E93273" w:rsidRPr="001F71AC" w14:paraId="29B950DF" w14:textId="77777777" w:rsidTr="005F5120">
        <w:tc>
          <w:tcPr>
            <w:tcW w:w="1058" w:type="pct"/>
          </w:tcPr>
          <w:p w14:paraId="61F28BC9" w14:textId="7C66B0C2" w:rsidR="00E93273" w:rsidRPr="001F71AC" w:rsidRDefault="00E93273" w:rsidP="00E93273">
            <w:pPr>
              <w:spacing w:before="40" w:after="40" w:line="200" w:lineRule="atLeast"/>
              <w:rPr>
                <w:rFonts w:ascii="Calibri" w:hAnsi="Calibri"/>
                <w:sz w:val="20"/>
                <w:szCs w:val="20"/>
              </w:rPr>
            </w:pPr>
            <w:r w:rsidRPr="001F71AC">
              <w:rPr>
                <w:rFonts w:ascii="Calibri" w:hAnsi="Calibri"/>
                <w:sz w:val="20"/>
                <w:szCs w:val="20"/>
              </w:rPr>
              <w:t>Adelaide City Deal</w:t>
            </w:r>
          </w:p>
        </w:tc>
        <w:tc>
          <w:tcPr>
            <w:tcW w:w="2756" w:type="pct"/>
            <w:vAlign w:val="center"/>
          </w:tcPr>
          <w:p w14:paraId="30E9771C" w14:textId="0A980B86" w:rsidR="00E93273" w:rsidRPr="001F71AC" w:rsidRDefault="00E93273" w:rsidP="00E93273">
            <w:pPr>
              <w:spacing w:before="40" w:after="40" w:line="200" w:lineRule="atLeast"/>
              <w:rPr>
                <w:rFonts w:ascii="Calibri" w:hAnsi="Calibri"/>
                <w:sz w:val="20"/>
                <w:szCs w:val="20"/>
              </w:rPr>
            </w:pPr>
            <w:r w:rsidRPr="001F71AC">
              <w:rPr>
                <w:rFonts w:ascii="Calibri" w:hAnsi="Calibri"/>
                <w:sz w:val="20"/>
                <w:szCs w:val="20"/>
              </w:rPr>
              <w:t>Fun</w:t>
            </w:r>
            <w:r>
              <w:rPr>
                <w:rFonts w:ascii="Calibri" w:hAnsi="Calibri"/>
                <w:sz w:val="20"/>
                <w:szCs w:val="20"/>
              </w:rPr>
              <w:t>ding to support projects including development of a new innovation and cultural precinct in the city centre.</w:t>
            </w:r>
          </w:p>
        </w:tc>
        <w:tc>
          <w:tcPr>
            <w:tcW w:w="593" w:type="pct"/>
          </w:tcPr>
          <w:p w14:paraId="078B45E4" w14:textId="05FECFB3" w:rsidR="00E93273" w:rsidRPr="001F71AC" w:rsidRDefault="00E93273" w:rsidP="00E93273">
            <w:pPr>
              <w:spacing w:before="40" w:after="40" w:line="200" w:lineRule="atLeast"/>
              <w:jc w:val="right"/>
              <w:rPr>
                <w:rFonts w:ascii="Calibri" w:eastAsia="Calibri" w:hAnsi="Calibri" w:cs="Times New Roman"/>
                <w:sz w:val="20"/>
                <w:szCs w:val="20"/>
              </w:rPr>
            </w:pPr>
            <w:r>
              <w:rPr>
                <w:rFonts w:ascii="Calibri" w:eastAsia="Calibri" w:hAnsi="Calibri" w:cs="Times New Roman"/>
                <w:sz w:val="20"/>
                <w:szCs w:val="20"/>
              </w:rPr>
              <w:t>4.0</w:t>
            </w:r>
          </w:p>
        </w:tc>
        <w:tc>
          <w:tcPr>
            <w:tcW w:w="593" w:type="pct"/>
          </w:tcPr>
          <w:p w14:paraId="0504F1B5" w14:textId="77777777" w:rsidR="00E93273" w:rsidRPr="001F71AC" w:rsidRDefault="00E93273" w:rsidP="00E93273">
            <w:pPr>
              <w:spacing w:before="40" w:after="40" w:line="200" w:lineRule="atLeast"/>
              <w:ind w:left="567" w:hanging="567"/>
              <w:jc w:val="right"/>
              <w:rPr>
                <w:rFonts w:ascii="Calibri" w:eastAsia="Calibri" w:hAnsi="Calibri" w:cs="Times New Roman"/>
                <w:sz w:val="20"/>
                <w:szCs w:val="20"/>
              </w:rPr>
            </w:pPr>
          </w:p>
        </w:tc>
      </w:tr>
      <w:tr w:rsidR="00E93273" w:rsidRPr="001F71AC" w14:paraId="09DBCBCF" w14:textId="77777777" w:rsidTr="005F5120">
        <w:tc>
          <w:tcPr>
            <w:tcW w:w="1058" w:type="pct"/>
          </w:tcPr>
          <w:p w14:paraId="4560439E" w14:textId="1B72CC76" w:rsidR="00E93273" w:rsidRPr="001F71AC" w:rsidRDefault="00E93273" w:rsidP="00E93273">
            <w:pPr>
              <w:spacing w:before="40" w:after="40" w:line="200" w:lineRule="atLeast"/>
              <w:rPr>
                <w:rFonts w:ascii="Calibri" w:hAnsi="Calibri"/>
                <w:sz w:val="20"/>
                <w:szCs w:val="20"/>
              </w:rPr>
            </w:pPr>
            <w:r w:rsidRPr="001F71AC">
              <w:rPr>
                <w:rFonts w:ascii="Calibri" w:hAnsi="Calibri"/>
                <w:sz w:val="20"/>
                <w:szCs w:val="20"/>
              </w:rPr>
              <w:t>Albury Wodonga Regional Deal</w:t>
            </w:r>
          </w:p>
        </w:tc>
        <w:tc>
          <w:tcPr>
            <w:tcW w:w="2756" w:type="pct"/>
            <w:vAlign w:val="center"/>
          </w:tcPr>
          <w:p w14:paraId="190EDE9D" w14:textId="1E1A9AD1" w:rsidR="00E93273" w:rsidRPr="001F71AC" w:rsidRDefault="00E93273" w:rsidP="00E93273">
            <w:pPr>
              <w:spacing w:before="40" w:after="40" w:line="200" w:lineRule="atLeast"/>
              <w:rPr>
                <w:rFonts w:ascii="Calibri" w:hAnsi="Calibri"/>
                <w:sz w:val="20"/>
                <w:szCs w:val="20"/>
              </w:rPr>
            </w:pPr>
            <w:r>
              <w:rPr>
                <w:rFonts w:ascii="Calibri" w:hAnsi="Calibri"/>
                <w:sz w:val="20"/>
                <w:szCs w:val="20"/>
              </w:rPr>
              <w:t>Funding to support projects that boost economic and social development in the region.</w:t>
            </w:r>
          </w:p>
        </w:tc>
        <w:tc>
          <w:tcPr>
            <w:tcW w:w="593" w:type="pct"/>
          </w:tcPr>
          <w:p w14:paraId="6A7EFB2F" w14:textId="7DB2167E" w:rsidR="00E93273" w:rsidRPr="001F71AC" w:rsidRDefault="00E93273" w:rsidP="00E93273">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3.2</w:t>
            </w:r>
          </w:p>
        </w:tc>
        <w:tc>
          <w:tcPr>
            <w:tcW w:w="593" w:type="pct"/>
          </w:tcPr>
          <w:p w14:paraId="24772539" w14:textId="77777777" w:rsidR="00E93273" w:rsidRPr="001F71AC" w:rsidRDefault="00E93273" w:rsidP="00E93273">
            <w:pPr>
              <w:spacing w:before="40" w:after="40" w:line="200" w:lineRule="atLeast"/>
              <w:ind w:left="567" w:hanging="567"/>
              <w:jc w:val="right"/>
              <w:rPr>
                <w:rFonts w:ascii="Calibri" w:eastAsia="Calibri" w:hAnsi="Calibri" w:cs="Times New Roman"/>
                <w:sz w:val="20"/>
                <w:szCs w:val="20"/>
              </w:rPr>
            </w:pPr>
          </w:p>
        </w:tc>
      </w:tr>
      <w:tr w:rsidR="00E93273" w:rsidRPr="001F71AC" w14:paraId="5BF33D84" w14:textId="77777777" w:rsidTr="005F5120">
        <w:tc>
          <w:tcPr>
            <w:tcW w:w="1058" w:type="pct"/>
          </w:tcPr>
          <w:p w14:paraId="50267E58" w14:textId="3415E66C" w:rsidR="00E93273" w:rsidRDefault="00E93273" w:rsidP="00E93273">
            <w:pPr>
              <w:spacing w:before="40" w:after="40" w:line="200" w:lineRule="atLeast"/>
              <w:rPr>
                <w:rFonts w:ascii="Calibri" w:hAnsi="Calibri"/>
                <w:sz w:val="20"/>
                <w:szCs w:val="20"/>
              </w:rPr>
            </w:pPr>
            <w:r>
              <w:rPr>
                <w:rFonts w:ascii="Calibri" w:hAnsi="Calibri"/>
                <w:sz w:val="20"/>
                <w:szCs w:val="20"/>
              </w:rPr>
              <w:t>Barkly Regional Deal</w:t>
            </w:r>
          </w:p>
        </w:tc>
        <w:tc>
          <w:tcPr>
            <w:tcW w:w="2756" w:type="pct"/>
            <w:vAlign w:val="center"/>
          </w:tcPr>
          <w:p w14:paraId="6FC9CE02" w14:textId="47358072" w:rsidR="00E93273" w:rsidRDefault="00E93273" w:rsidP="00E93273">
            <w:pPr>
              <w:spacing w:before="40" w:after="40" w:line="200" w:lineRule="atLeast"/>
              <w:rPr>
                <w:rFonts w:ascii="Calibri" w:hAnsi="Calibri"/>
                <w:sz w:val="20"/>
                <w:szCs w:val="20"/>
              </w:rPr>
            </w:pPr>
            <w:r>
              <w:rPr>
                <w:rFonts w:ascii="Calibri" w:hAnsi="Calibri"/>
                <w:sz w:val="20"/>
                <w:szCs w:val="20"/>
              </w:rPr>
              <w:t>Funding of $45.4 million over three years to support projects that boost economic and social development in the Barkly region.</w:t>
            </w:r>
          </w:p>
        </w:tc>
        <w:tc>
          <w:tcPr>
            <w:tcW w:w="593" w:type="pct"/>
          </w:tcPr>
          <w:p w14:paraId="2BF10CFA" w14:textId="6A8D6CA1" w:rsidR="00E93273" w:rsidRDefault="00E93273" w:rsidP="00E93273">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5.7</w:t>
            </w:r>
          </w:p>
        </w:tc>
        <w:tc>
          <w:tcPr>
            <w:tcW w:w="593" w:type="pct"/>
          </w:tcPr>
          <w:p w14:paraId="598B9C2D" w14:textId="77777777" w:rsidR="00E93273" w:rsidRPr="001F71AC" w:rsidRDefault="00E93273" w:rsidP="00E93273">
            <w:pPr>
              <w:spacing w:before="40" w:after="40" w:line="200" w:lineRule="atLeast"/>
              <w:ind w:left="567" w:hanging="567"/>
              <w:jc w:val="right"/>
              <w:rPr>
                <w:rFonts w:ascii="Calibri" w:eastAsia="Calibri" w:hAnsi="Calibri" w:cs="Times New Roman"/>
                <w:sz w:val="20"/>
                <w:szCs w:val="20"/>
              </w:rPr>
            </w:pPr>
          </w:p>
        </w:tc>
      </w:tr>
    </w:tbl>
    <w:p w14:paraId="1D8BE29F" w14:textId="77777777" w:rsidR="005631B0" w:rsidRDefault="005631B0" w:rsidP="005631B0">
      <w:r>
        <w:br w:type="page"/>
      </w:r>
    </w:p>
    <w:p w14:paraId="1A81B64B" w14:textId="77777777" w:rsidR="005631B0" w:rsidRPr="00FE33B6" w:rsidRDefault="005631B0" w:rsidP="005631B0">
      <w:pPr>
        <w:ind w:left="1276" w:hanging="1276"/>
        <w:rPr>
          <w:b/>
        </w:rPr>
      </w:pPr>
      <w:r w:rsidRPr="00FE33B6">
        <w:rPr>
          <w:b/>
          <w:noProof/>
          <w:sz w:val="22"/>
          <w:lang w:eastAsia="en-AU"/>
        </w:rPr>
        <w:lastRenderedPageBreak/>
        <mc:AlternateContent>
          <mc:Choice Requires="wps">
            <w:drawing>
              <wp:anchor distT="0" distB="0" distL="114300" distR="114300" simplePos="0" relativeHeight="251660288" behindDoc="0" locked="0" layoutInCell="1" allowOverlap="1" wp14:anchorId="21FA1A2B" wp14:editId="12CAB093">
                <wp:simplePos x="0" y="0"/>
                <wp:positionH relativeFrom="column">
                  <wp:posOffset>-581371</wp:posOffset>
                </wp:positionH>
                <wp:positionV relativeFrom="paragraph">
                  <wp:posOffset>272935</wp:posOffset>
                </wp:positionV>
                <wp:extent cx="430530" cy="4796270"/>
                <wp:effectExtent l="0" t="0" r="762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4796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31B4C" w14:textId="32E09B88" w:rsidR="000A1A57" w:rsidRPr="004C6DAD" w:rsidRDefault="000A1A57" w:rsidP="005631B0">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fldChar w:fldCharType="begin"/>
                            </w:r>
                            <w:r>
                              <w:instrText xml:space="preserve"> PAGE   \* MERGEFORMAT </w:instrText>
                            </w:r>
                            <w:r>
                              <w:fldChar w:fldCharType="separate"/>
                            </w:r>
                            <w:r w:rsidR="00D173AD">
                              <w:rPr>
                                <w:noProof/>
                              </w:rPr>
                              <w:t>5</w:t>
                            </w:r>
                            <w:r>
                              <w:rPr>
                                <w:noProof/>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A1A2B" id="Text Box 12" o:spid="_x0000_s1034" type="#_x0000_t202" style="position:absolute;left:0;text-align:left;margin-left:-45.8pt;margin-top:21.5pt;width:33.9pt;height:37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" stroked="f">
                <v:textbox style="layout-flow:vertical">
                  <w:txbxContent>
                    <w:p w14:paraId="44831B4C" w14:textId="32E09B88" w:rsidR="000A1A57" w:rsidRPr="004C6DAD" w:rsidRDefault="000A1A57" w:rsidP="005631B0">
                      <w:pPr>
                        <w:spacing w:after="0" w:line="240" w:lineRule="auto"/>
                        <w:rPr>
                          <w:sz w:val="20"/>
                          <w:szCs w:val="20"/>
                        </w:rPr>
                      </w:pPr>
                      <w:r w:rsidRPr="007B2893">
                        <w:t xml:space="preserve">Attachment </w:t>
                      </w:r>
                      <w:r>
                        <w:t>A</w:t>
                      </w:r>
                      <w:r w:rsidRPr="004C6DAD">
                        <w:rPr>
                          <w:sz w:val="20"/>
                          <w:szCs w:val="20"/>
                        </w:rPr>
                        <w:tab/>
                      </w:r>
                      <w:r w:rsidRPr="004C6DAD">
                        <w:rPr>
                          <w:sz w:val="20"/>
                          <w:szCs w:val="20"/>
                        </w:rPr>
                        <w:ptab w:relativeTo="margin" w:alignment="right" w:leader="none"/>
                      </w:r>
                      <w:r>
                        <w:fldChar w:fldCharType="begin"/>
                      </w:r>
                      <w:r>
                        <w:instrText xml:space="preserve"> PAGE   \* MERGEFORMAT </w:instrText>
                      </w:r>
                      <w:r>
                        <w:fldChar w:fldCharType="separate"/>
                      </w:r>
                      <w:r w:rsidR="00D173AD">
                        <w:rPr>
                          <w:noProof/>
                        </w:rPr>
                        <w:t>5</w:t>
                      </w:r>
                      <w:r>
                        <w:rPr>
                          <w:noProof/>
                        </w:rPr>
                        <w:fldChar w:fldCharType="end"/>
                      </w:r>
                    </w:p>
                  </w:txbxContent>
                </v:textbox>
              </v:shape>
            </w:pict>
          </mc:Fallback>
        </mc:AlternateContent>
      </w:r>
      <w:r w:rsidRPr="00FE33B6">
        <w:rPr>
          <w:b/>
          <w:sz w:val="22"/>
        </w:rPr>
        <w:t xml:space="preserve">Table A- 2 </w:t>
      </w:r>
      <w:r w:rsidRPr="00FE33B6">
        <w:rPr>
          <w:b/>
          <w:sz w:val="22"/>
        </w:rPr>
        <w:tab/>
        <w:t xml:space="preserve">Commonwealth payments commencing in 2019-20 or 2020-21, </w:t>
      </w:r>
      <w:r w:rsidRPr="00FE33B6">
        <w:rPr>
          <w:b/>
          <w:i/>
          <w:sz w:val="22"/>
        </w:rPr>
        <w:t>Federal Financial Relations, Budget Paper No. 3, 2019</w:t>
      </w:r>
      <w:r w:rsidRPr="00FE33B6">
        <w:rPr>
          <w:b/>
          <w:i/>
          <w:sz w:val="22"/>
        </w:rPr>
        <w:noBreakHyphen/>
        <w:t xml:space="preserve">20 </w:t>
      </w:r>
      <w:r w:rsidRPr="00FE33B6">
        <w:rPr>
          <w:rFonts w:ascii="Calibri" w:eastAsia="Calibri" w:hAnsi="Calibri" w:cs="Times New Roman"/>
          <w:b/>
          <w:i/>
          <w:sz w:val="22"/>
        </w:rPr>
        <w:t>(Continued)</w:t>
      </w:r>
    </w:p>
    <w:tbl>
      <w:tblPr>
        <w:tblStyle w:val="TableGrid1"/>
        <w:tblW w:w="4981" w:type="pct"/>
        <w:tblLook w:val="04A0" w:firstRow="1" w:lastRow="0" w:firstColumn="1" w:lastColumn="0" w:noHBand="0" w:noVBand="1"/>
      </w:tblPr>
      <w:tblGrid>
        <w:gridCol w:w="2831"/>
        <w:gridCol w:w="7372"/>
        <w:gridCol w:w="1586"/>
        <w:gridCol w:w="1586"/>
      </w:tblGrid>
      <w:tr w:rsidR="005631B0" w:rsidRPr="00567474" w14:paraId="03094AF9" w14:textId="77777777" w:rsidTr="00086947">
        <w:tc>
          <w:tcPr>
            <w:tcW w:w="1058" w:type="pct"/>
            <w:vAlign w:val="center"/>
          </w:tcPr>
          <w:p w14:paraId="7D3B2E7D" w14:textId="77777777" w:rsidR="005631B0" w:rsidRPr="00567474" w:rsidRDefault="005631B0" w:rsidP="00086947">
            <w:pPr>
              <w:spacing w:before="40" w:after="40" w:line="200" w:lineRule="atLeast"/>
              <w:ind w:left="567" w:hanging="567"/>
              <w:rPr>
                <w:rFonts w:ascii="Calibri" w:eastAsia="Calibri" w:hAnsi="Calibri" w:cs="Times New Roman"/>
                <w:sz w:val="20"/>
                <w:szCs w:val="20"/>
              </w:rPr>
            </w:pPr>
            <w:r w:rsidRPr="00567474">
              <w:rPr>
                <w:rFonts w:ascii="Calibri" w:eastAsia="Calibri" w:hAnsi="Calibri" w:cs="Times New Roman"/>
                <w:sz w:val="20"/>
                <w:szCs w:val="20"/>
              </w:rPr>
              <w:t>Commonwealth payment</w:t>
            </w:r>
          </w:p>
        </w:tc>
        <w:tc>
          <w:tcPr>
            <w:tcW w:w="2756" w:type="pct"/>
            <w:vAlign w:val="center"/>
          </w:tcPr>
          <w:p w14:paraId="62736A0B" w14:textId="77777777" w:rsidR="005631B0" w:rsidRPr="00567474" w:rsidRDefault="005631B0" w:rsidP="00086947">
            <w:pPr>
              <w:spacing w:before="40" w:after="40" w:line="200" w:lineRule="atLeast"/>
              <w:ind w:left="567" w:hanging="567"/>
              <w:rPr>
                <w:rFonts w:ascii="Calibri" w:eastAsia="Calibri" w:hAnsi="Calibri" w:cs="Times New Roman"/>
                <w:sz w:val="20"/>
                <w:szCs w:val="20"/>
              </w:rPr>
            </w:pPr>
            <w:r w:rsidRPr="00567474">
              <w:rPr>
                <w:rFonts w:ascii="Calibri" w:eastAsia="Calibri" w:hAnsi="Calibri" w:cs="Times New Roman"/>
                <w:sz w:val="20"/>
                <w:szCs w:val="20"/>
              </w:rPr>
              <w:t>Description</w:t>
            </w:r>
          </w:p>
        </w:tc>
        <w:tc>
          <w:tcPr>
            <w:tcW w:w="593" w:type="pct"/>
          </w:tcPr>
          <w:p w14:paraId="00B812EC" w14:textId="77777777" w:rsidR="005631B0" w:rsidRPr="00567474" w:rsidRDefault="005631B0" w:rsidP="00086947">
            <w:pPr>
              <w:spacing w:before="40" w:after="40" w:line="200" w:lineRule="atLeast"/>
              <w:jc w:val="right"/>
              <w:rPr>
                <w:rFonts w:ascii="Calibri" w:eastAsia="Calibri" w:hAnsi="Calibri" w:cs="Times New Roman"/>
                <w:sz w:val="20"/>
                <w:szCs w:val="20"/>
              </w:rPr>
            </w:pPr>
            <w:r w:rsidRPr="00567474">
              <w:rPr>
                <w:rFonts w:ascii="Calibri" w:eastAsia="Calibri" w:hAnsi="Calibri" w:cs="Times New Roman"/>
                <w:sz w:val="20"/>
                <w:szCs w:val="20"/>
              </w:rPr>
              <w:t>New in 201</w:t>
            </w:r>
            <w:r>
              <w:rPr>
                <w:rFonts w:ascii="Calibri" w:eastAsia="Calibri" w:hAnsi="Calibri" w:cs="Times New Roman"/>
                <w:sz w:val="20"/>
                <w:szCs w:val="20"/>
              </w:rPr>
              <w:t>9</w:t>
            </w:r>
            <w:r w:rsidRPr="00567474">
              <w:rPr>
                <w:rFonts w:ascii="Calibri" w:eastAsia="Calibri" w:hAnsi="Calibri" w:cs="Times New Roman"/>
                <w:sz w:val="20"/>
                <w:szCs w:val="20"/>
              </w:rPr>
              <w:t>-</w:t>
            </w:r>
            <w:r>
              <w:rPr>
                <w:rFonts w:ascii="Calibri" w:eastAsia="Calibri" w:hAnsi="Calibri" w:cs="Times New Roman"/>
                <w:sz w:val="20"/>
                <w:szCs w:val="20"/>
              </w:rPr>
              <w:t>20</w:t>
            </w:r>
            <w:r w:rsidRPr="00567474">
              <w:rPr>
                <w:rFonts w:ascii="Calibri" w:eastAsia="Calibri" w:hAnsi="Calibri" w:cs="Times New Roman"/>
                <w:sz w:val="20"/>
                <w:szCs w:val="20"/>
              </w:rPr>
              <w:t xml:space="preserve">   $m</w:t>
            </w:r>
          </w:p>
        </w:tc>
        <w:tc>
          <w:tcPr>
            <w:tcW w:w="593" w:type="pct"/>
          </w:tcPr>
          <w:p w14:paraId="30BAA2EE" w14:textId="77777777" w:rsidR="005631B0" w:rsidRPr="00567474" w:rsidRDefault="005631B0" w:rsidP="00086947">
            <w:pPr>
              <w:spacing w:before="40" w:after="40" w:line="200" w:lineRule="atLeast"/>
              <w:jc w:val="right"/>
              <w:rPr>
                <w:rFonts w:ascii="Calibri" w:eastAsia="Calibri" w:hAnsi="Calibri" w:cs="Times New Roman"/>
                <w:sz w:val="20"/>
                <w:szCs w:val="20"/>
              </w:rPr>
            </w:pPr>
            <w:r w:rsidRPr="00567474">
              <w:rPr>
                <w:rFonts w:ascii="Calibri" w:eastAsia="Calibri" w:hAnsi="Calibri" w:cs="Times New Roman"/>
                <w:sz w:val="20"/>
                <w:szCs w:val="20"/>
              </w:rPr>
              <w:t>New in 20</w:t>
            </w:r>
            <w:r>
              <w:rPr>
                <w:rFonts w:ascii="Calibri" w:eastAsia="Calibri" w:hAnsi="Calibri" w:cs="Times New Roman"/>
                <w:sz w:val="20"/>
                <w:szCs w:val="20"/>
              </w:rPr>
              <w:t>20</w:t>
            </w:r>
            <w:r w:rsidRPr="00567474">
              <w:rPr>
                <w:rFonts w:ascii="Calibri" w:eastAsia="Calibri" w:hAnsi="Calibri" w:cs="Times New Roman"/>
                <w:sz w:val="20"/>
                <w:szCs w:val="20"/>
              </w:rPr>
              <w:t>-2</w:t>
            </w:r>
            <w:r>
              <w:rPr>
                <w:rFonts w:ascii="Calibri" w:eastAsia="Calibri" w:hAnsi="Calibri" w:cs="Times New Roman"/>
                <w:sz w:val="20"/>
                <w:szCs w:val="20"/>
              </w:rPr>
              <w:t>1</w:t>
            </w:r>
            <w:r w:rsidRPr="00567474">
              <w:rPr>
                <w:rFonts w:ascii="Calibri" w:eastAsia="Calibri" w:hAnsi="Calibri" w:cs="Times New Roman"/>
                <w:sz w:val="20"/>
                <w:szCs w:val="20"/>
              </w:rPr>
              <w:t xml:space="preserve">  $m</w:t>
            </w:r>
          </w:p>
        </w:tc>
      </w:tr>
      <w:tr w:rsidR="00E93273" w:rsidRPr="00925326" w14:paraId="46CCAD5F" w14:textId="77777777" w:rsidTr="002C5FE2">
        <w:tc>
          <w:tcPr>
            <w:tcW w:w="1058" w:type="pct"/>
            <w:tcBorders>
              <w:top w:val="single" w:sz="4" w:space="0" w:color="auto"/>
              <w:bottom w:val="single" w:sz="4" w:space="0" w:color="auto"/>
            </w:tcBorders>
          </w:tcPr>
          <w:p w14:paraId="27D12F9F" w14:textId="24C4B924" w:rsidR="00E93273" w:rsidRPr="00925326" w:rsidRDefault="00E93273" w:rsidP="00E93273">
            <w:pPr>
              <w:spacing w:before="40" w:after="40" w:line="200" w:lineRule="atLeast"/>
              <w:rPr>
                <w:rFonts w:ascii="Calibri" w:hAnsi="Calibri"/>
                <w:sz w:val="20"/>
                <w:szCs w:val="20"/>
              </w:rPr>
            </w:pPr>
            <w:r>
              <w:rPr>
                <w:rFonts w:ascii="Calibri" w:hAnsi="Calibri"/>
                <w:sz w:val="20"/>
                <w:szCs w:val="20"/>
              </w:rPr>
              <w:t>Hinkler Regional Deal</w:t>
            </w:r>
          </w:p>
        </w:tc>
        <w:tc>
          <w:tcPr>
            <w:tcW w:w="2756" w:type="pct"/>
            <w:tcBorders>
              <w:top w:val="single" w:sz="4" w:space="0" w:color="auto"/>
              <w:bottom w:val="single" w:sz="4" w:space="0" w:color="auto"/>
            </w:tcBorders>
          </w:tcPr>
          <w:p w14:paraId="1F1CBA3C" w14:textId="29FF70FF" w:rsidR="00E93273" w:rsidRDefault="00E93273" w:rsidP="00E93273">
            <w:pPr>
              <w:spacing w:before="40" w:after="40" w:line="200" w:lineRule="atLeast"/>
              <w:rPr>
                <w:rFonts w:ascii="Calibri" w:hAnsi="Calibri"/>
                <w:sz w:val="20"/>
                <w:szCs w:val="20"/>
              </w:rPr>
            </w:pPr>
            <w:r>
              <w:rPr>
                <w:rFonts w:ascii="Calibri" w:hAnsi="Calibri"/>
                <w:sz w:val="20"/>
                <w:szCs w:val="20"/>
              </w:rPr>
              <w:t>Funding of $71 million over four years to support community and transport infrastructure projects that boost economic and social development in the Bundaberg and Hervey Bay regions.</w:t>
            </w:r>
          </w:p>
        </w:tc>
        <w:tc>
          <w:tcPr>
            <w:tcW w:w="593" w:type="pct"/>
            <w:tcBorders>
              <w:top w:val="single" w:sz="4" w:space="0" w:color="auto"/>
              <w:bottom w:val="single" w:sz="4" w:space="0" w:color="auto"/>
            </w:tcBorders>
          </w:tcPr>
          <w:p w14:paraId="2C21509D" w14:textId="479EB516" w:rsidR="00E93273" w:rsidRPr="00925326" w:rsidRDefault="00E93273" w:rsidP="00E93273">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11.0</w:t>
            </w:r>
          </w:p>
        </w:tc>
        <w:tc>
          <w:tcPr>
            <w:tcW w:w="593" w:type="pct"/>
            <w:tcBorders>
              <w:top w:val="single" w:sz="4" w:space="0" w:color="auto"/>
              <w:bottom w:val="single" w:sz="4" w:space="0" w:color="auto"/>
            </w:tcBorders>
          </w:tcPr>
          <w:p w14:paraId="151E4F16" w14:textId="77777777" w:rsidR="00E93273" w:rsidRPr="00925326" w:rsidRDefault="00E93273" w:rsidP="00E93273">
            <w:pPr>
              <w:spacing w:before="40" w:after="40" w:line="200" w:lineRule="atLeast"/>
              <w:jc w:val="right"/>
              <w:rPr>
                <w:rFonts w:ascii="Calibri" w:eastAsia="Calibri" w:hAnsi="Calibri" w:cs="Times New Roman"/>
                <w:sz w:val="20"/>
                <w:szCs w:val="20"/>
              </w:rPr>
            </w:pPr>
          </w:p>
        </w:tc>
      </w:tr>
      <w:tr w:rsidR="00E93273" w:rsidRPr="00925326" w14:paraId="1DF814BB" w14:textId="77777777" w:rsidTr="002C5FE2">
        <w:tc>
          <w:tcPr>
            <w:tcW w:w="1058" w:type="pct"/>
            <w:tcBorders>
              <w:top w:val="single" w:sz="4" w:space="0" w:color="auto"/>
              <w:bottom w:val="single" w:sz="4" w:space="0" w:color="auto"/>
            </w:tcBorders>
          </w:tcPr>
          <w:p w14:paraId="34287DAB" w14:textId="2E95EDA7" w:rsidR="00E93273" w:rsidRPr="00925326" w:rsidRDefault="00E93273" w:rsidP="00E93273">
            <w:pPr>
              <w:spacing w:before="40" w:after="40" w:line="200" w:lineRule="atLeast"/>
              <w:rPr>
                <w:rFonts w:ascii="Calibri" w:hAnsi="Calibri"/>
                <w:sz w:val="20"/>
                <w:szCs w:val="20"/>
              </w:rPr>
            </w:pPr>
            <w:r>
              <w:rPr>
                <w:rFonts w:ascii="Calibri" w:hAnsi="Calibri"/>
                <w:sz w:val="20"/>
                <w:szCs w:val="20"/>
              </w:rPr>
              <w:t>Launceston City Deal</w:t>
            </w:r>
          </w:p>
        </w:tc>
        <w:tc>
          <w:tcPr>
            <w:tcW w:w="2756" w:type="pct"/>
            <w:tcBorders>
              <w:top w:val="single" w:sz="4" w:space="0" w:color="auto"/>
              <w:bottom w:val="single" w:sz="4" w:space="0" w:color="auto"/>
            </w:tcBorders>
          </w:tcPr>
          <w:p w14:paraId="1069E0DE" w14:textId="48CADF48" w:rsidR="00E93273" w:rsidRDefault="00E93273" w:rsidP="00E93273">
            <w:pPr>
              <w:spacing w:before="40" w:after="40" w:line="200" w:lineRule="atLeast"/>
              <w:rPr>
                <w:rFonts w:ascii="Calibri" w:hAnsi="Calibri"/>
                <w:sz w:val="20"/>
                <w:szCs w:val="20"/>
              </w:rPr>
            </w:pPr>
            <w:r>
              <w:rPr>
                <w:rFonts w:ascii="Calibri" w:hAnsi="Calibri"/>
                <w:sz w:val="20"/>
                <w:szCs w:val="20"/>
              </w:rPr>
              <w:t>Funding of $47.5 million over five years towards 12 projects to reduce pollution and improve the health of the Tamar River in Tasmania.</w:t>
            </w:r>
          </w:p>
        </w:tc>
        <w:tc>
          <w:tcPr>
            <w:tcW w:w="593" w:type="pct"/>
            <w:tcBorders>
              <w:top w:val="single" w:sz="4" w:space="0" w:color="auto"/>
              <w:bottom w:val="single" w:sz="4" w:space="0" w:color="auto"/>
            </w:tcBorders>
          </w:tcPr>
          <w:p w14:paraId="48E44CA9" w14:textId="29E4AF2A" w:rsidR="00E93273" w:rsidRPr="00925326" w:rsidRDefault="00E93273" w:rsidP="00E93273">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8.8</w:t>
            </w:r>
          </w:p>
        </w:tc>
        <w:tc>
          <w:tcPr>
            <w:tcW w:w="593" w:type="pct"/>
            <w:tcBorders>
              <w:top w:val="single" w:sz="4" w:space="0" w:color="auto"/>
              <w:bottom w:val="single" w:sz="4" w:space="0" w:color="auto"/>
            </w:tcBorders>
          </w:tcPr>
          <w:p w14:paraId="795DC915" w14:textId="77777777" w:rsidR="00E93273" w:rsidRPr="00925326" w:rsidRDefault="00E93273" w:rsidP="00E93273">
            <w:pPr>
              <w:spacing w:before="40" w:after="40" w:line="200" w:lineRule="atLeast"/>
              <w:jc w:val="right"/>
              <w:rPr>
                <w:rFonts w:ascii="Calibri" w:eastAsia="Calibri" w:hAnsi="Calibri" w:cs="Times New Roman"/>
                <w:sz w:val="20"/>
                <w:szCs w:val="20"/>
              </w:rPr>
            </w:pPr>
          </w:p>
        </w:tc>
      </w:tr>
      <w:tr w:rsidR="00E93273" w:rsidRPr="00925326" w14:paraId="0B7F5661" w14:textId="77777777" w:rsidTr="002C5FE2">
        <w:tc>
          <w:tcPr>
            <w:tcW w:w="1058" w:type="pct"/>
            <w:tcBorders>
              <w:top w:val="single" w:sz="4" w:space="0" w:color="auto"/>
              <w:bottom w:val="single" w:sz="4" w:space="0" w:color="auto"/>
            </w:tcBorders>
          </w:tcPr>
          <w:p w14:paraId="55A4513A" w14:textId="4520A836" w:rsidR="00E93273" w:rsidRPr="00925326" w:rsidRDefault="00E93273" w:rsidP="00E93273">
            <w:pPr>
              <w:spacing w:before="40" w:after="40" w:line="200" w:lineRule="atLeast"/>
              <w:rPr>
                <w:rFonts w:ascii="Calibri" w:hAnsi="Calibri"/>
                <w:sz w:val="20"/>
                <w:szCs w:val="20"/>
              </w:rPr>
            </w:pPr>
            <w:r>
              <w:rPr>
                <w:rFonts w:ascii="Calibri" w:hAnsi="Calibri"/>
                <w:sz w:val="20"/>
                <w:szCs w:val="20"/>
              </w:rPr>
              <w:t>Disaster risk reduction</w:t>
            </w:r>
          </w:p>
        </w:tc>
        <w:tc>
          <w:tcPr>
            <w:tcW w:w="2756" w:type="pct"/>
            <w:tcBorders>
              <w:top w:val="single" w:sz="4" w:space="0" w:color="auto"/>
              <w:bottom w:val="single" w:sz="4" w:space="0" w:color="auto"/>
            </w:tcBorders>
          </w:tcPr>
          <w:p w14:paraId="1BCD13B6" w14:textId="10E2042D" w:rsidR="00E93273" w:rsidRDefault="00E93273" w:rsidP="00E93273">
            <w:pPr>
              <w:spacing w:before="40" w:after="40" w:line="200" w:lineRule="atLeast"/>
              <w:rPr>
                <w:rFonts w:ascii="Calibri" w:hAnsi="Calibri"/>
                <w:sz w:val="20"/>
                <w:szCs w:val="20"/>
              </w:rPr>
            </w:pPr>
            <w:r>
              <w:rPr>
                <w:rFonts w:ascii="Calibri" w:hAnsi="Calibri"/>
                <w:sz w:val="20"/>
                <w:szCs w:val="20"/>
              </w:rPr>
              <w:t>Funding to reduce the risk and impact of disasters on Australians in line with the priorities of the National Disaster Risk Reduction Framework. The funding forms part of a broader $130.5 million package over five years from 2019-20 to support resilience to disasters triggered by natural hazards.</w:t>
            </w:r>
          </w:p>
        </w:tc>
        <w:tc>
          <w:tcPr>
            <w:tcW w:w="593" w:type="pct"/>
            <w:tcBorders>
              <w:top w:val="single" w:sz="4" w:space="0" w:color="auto"/>
              <w:bottom w:val="single" w:sz="4" w:space="0" w:color="auto"/>
            </w:tcBorders>
          </w:tcPr>
          <w:p w14:paraId="2579E757" w14:textId="49C6DCAF" w:rsidR="00E93273" w:rsidRPr="00925326" w:rsidRDefault="00E93273" w:rsidP="00E93273">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20.9</w:t>
            </w:r>
          </w:p>
        </w:tc>
        <w:tc>
          <w:tcPr>
            <w:tcW w:w="593" w:type="pct"/>
            <w:tcBorders>
              <w:top w:val="single" w:sz="4" w:space="0" w:color="auto"/>
              <w:bottom w:val="single" w:sz="4" w:space="0" w:color="auto"/>
            </w:tcBorders>
          </w:tcPr>
          <w:p w14:paraId="50ACAD40" w14:textId="77777777" w:rsidR="00E93273" w:rsidRPr="00925326" w:rsidRDefault="00E93273" w:rsidP="00E93273">
            <w:pPr>
              <w:spacing w:before="40" w:after="40" w:line="200" w:lineRule="atLeast"/>
              <w:jc w:val="right"/>
              <w:rPr>
                <w:rFonts w:ascii="Calibri" w:eastAsia="Calibri" w:hAnsi="Calibri" w:cs="Times New Roman"/>
                <w:sz w:val="20"/>
                <w:szCs w:val="20"/>
              </w:rPr>
            </w:pPr>
          </w:p>
        </w:tc>
      </w:tr>
      <w:tr w:rsidR="005631B0" w:rsidRPr="00925326" w14:paraId="7472EFEF" w14:textId="77777777" w:rsidTr="00086947">
        <w:tc>
          <w:tcPr>
            <w:tcW w:w="1058" w:type="pct"/>
            <w:tcBorders>
              <w:top w:val="single" w:sz="4" w:space="0" w:color="auto"/>
              <w:bottom w:val="single" w:sz="4" w:space="0" w:color="auto"/>
            </w:tcBorders>
          </w:tcPr>
          <w:p w14:paraId="168DEE84" w14:textId="77777777" w:rsidR="005631B0" w:rsidRPr="00925326" w:rsidRDefault="005631B0" w:rsidP="00086947">
            <w:pPr>
              <w:spacing w:before="40" w:after="40" w:line="200" w:lineRule="atLeast"/>
              <w:rPr>
                <w:rFonts w:ascii="Calibri" w:hAnsi="Calibri"/>
                <w:sz w:val="20"/>
                <w:szCs w:val="20"/>
              </w:rPr>
            </w:pPr>
            <w:r w:rsidRPr="00925326">
              <w:rPr>
                <w:rFonts w:ascii="Calibri" w:hAnsi="Calibri"/>
                <w:sz w:val="20"/>
                <w:szCs w:val="20"/>
              </w:rPr>
              <w:t>National forestry industry plan</w:t>
            </w:r>
          </w:p>
        </w:tc>
        <w:tc>
          <w:tcPr>
            <w:tcW w:w="2756" w:type="pct"/>
            <w:tcBorders>
              <w:top w:val="single" w:sz="4" w:space="0" w:color="auto"/>
              <w:bottom w:val="single" w:sz="4" w:space="0" w:color="auto"/>
            </w:tcBorders>
            <w:vAlign w:val="center"/>
          </w:tcPr>
          <w:p w14:paraId="5E03F4B0" w14:textId="77777777" w:rsidR="005631B0" w:rsidRPr="00925326" w:rsidRDefault="005631B0" w:rsidP="00086947">
            <w:pPr>
              <w:spacing w:before="40" w:after="40" w:line="200" w:lineRule="atLeast"/>
              <w:rPr>
                <w:rFonts w:ascii="Calibri" w:hAnsi="Calibri"/>
                <w:sz w:val="20"/>
                <w:szCs w:val="20"/>
              </w:rPr>
            </w:pPr>
            <w:r>
              <w:rPr>
                <w:rFonts w:ascii="Calibri" w:hAnsi="Calibri"/>
                <w:sz w:val="20"/>
                <w:szCs w:val="20"/>
              </w:rPr>
              <w:t xml:space="preserve">Funding to </w:t>
            </w:r>
            <w:r w:rsidRPr="00925326">
              <w:rPr>
                <w:rFonts w:ascii="Calibri" w:hAnsi="Calibri"/>
                <w:sz w:val="20"/>
                <w:szCs w:val="20"/>
              </w:rPr>
              <w:t>support the States to offer advice on the establishment of new farm forestry assets, private native forestry and Indigenous forestry areas’ suitability for sustainable harvesting of forest products.</w:t>
            </w:r>
          </w:p>
        </w:tc>
        <w:tc>
          <w:tcPr>
            <w:tcW w:w="593" w:type="pct"/>
            <w:tcBorders>
              <w:top w:val="single" w:sz="4" w:space="0" w:color="auto"/>
              <w:bottom w:val="single" w:sz="4" w:space="0" w:color="auto"/>
            </w:tcBorders>
          </w:tcPr>
          <w:p w14:paraId="58CEFC02" w14:textId="77777777" w:rsidR="005631B0" w:rsidRPr="00925326" w:rsidRDefault="005631B0" w:rsidP="00086947">
            <w:pPr>
              <w:spacing w:before="40" w:after="40" w:line="200" w:lineRule="atLeast"/>
              <w:ind w:left="567" w:hanging="567"/>
              <w:jc w:val="right"/>
              <w:rPr>
                <w:rFonts w:ascii="Calibri" w:eastAsia="Calibri" w:hAnsi="Calibri" w:cs="Times New Roman"/>
                <w:sz w:val="20"/>
                <w:szCs w:val="20"/>
              </w:rPr>
            </w:pPr>
          </w:p>
        </w:tc>
        <w:tc>
          <w:tcPr>
            <w:tcW w:w="593" w:type="pct"/>
            <w:tcBorders>
              <w:top w:val="single" w:sz="4" w:space="0" w:color="auto"/>
              <w:bottom w:val="single" w:sz="4" w:space="0" w:color="auto"/>
            </w:tcBorders>
          </w:tcPr>
          <w:p w14:paraId="17A6C8D2" w14:textId="77777777" w:rsidR="005631B0" w:rsidRPr="00925326" w:rsidRDefault="005631B0" w:rsidP="00086947">
            <w:pPr>
              <w:spacing w:before="40" w:after="40" w:line="200" w:lineRule="atLeast"/>
              <w:jc w:val="right"/>
              <w:rPr>
                <w:rFonts w:ascii="Calibri" w:eastAsia="Calibri" w:hAnsi="Calibri" w:cs="Times New Roman"/>
                <w:sz w:val="20"/>
                <w:szCs w:val="20"/>
              </w:rPr>
            </w:pPr>
            <w:r w:rsidRPr="00925326">
              <w:rPr>
                <w:rFonts w:ascii="Calibri" w:eastAsia="Calibri" w:hAnsi="Calibri" w:cs="Times New Roman"/>
                <w:sz w:val="20"/>
                <w:szCs w:val="20"/>
              </w:rPr>
              <w:t>1.8</w:t>
            </w:r>
          </w:p>
        </w:tc>
      </w:tr>
      <w:tr w:rsidR="005631B0" w:rsidRPr="00197C91" w14:paraId="62F52F67" w14:textId="77777777" w:rsidTr="00086947">
        <w:tc>
          <w:tcPr>
            <w:tcW w:w="1058" w:type="pct"/>
            <w:tcBorders>
              <w:top w:val="single" w:sz="4" w:space="0" w:color="auto"/>
              <w:bottom w:val="single" w:sz="4" w:space="0" w:color="auto"/>
            </w:tcBorders>
          </w:tcPr>
          <w:p w14:paraId="786BA73F" w14:textId="77777777" w:rsidR="005631B0" w:rsidRPr="000A21E1" w:rsidRDefault="005631B0" w:rsidP="00086947">
            <w:pPr>
              <w:spacing w:before="40" w:after="40" w:line="200" w:lineRule="atLeast"/>
              <w:rPr>
                <w:rFonts w:ascii="Calibri" w:hAnsi="Calibri"/>
                <w:sz w:val="20"/>
                <w:szCs w:val="20"/>
              </w:rPr>
            </w:pPr>
            <w:r w:rsidRPr="000A21E1">
              <w:rPr>
                <w:rFonts w:ascii="Calibri" w:hAnsi="Calibri"/>
                <w:sz w:val="20"/>
                <w:szCs w:val="20"/>
              </w:rPr>
              <w:t>Yellow crazy ant control</w:t>
            </w:r>
          </w:p>
        </w:tc>
        <w:tc>
          <w:tcPr>
            <w:tcW w:w="2756" w:type="pct"/>
            <w:tcBorders>
              <w:top w:val="single" w:sz="4" w:space="0" w:color="auto"/>
              <w:bottom w:val="single" w:sz="4" w:space="0" w:color="auto"/>
            </w:tcBorders>
          </w:tcPr>
          <w:p w14:paraId="54FC0CCD" w14:textId="11C86C14" w:rsidR="005631B0" w:rsidRPr="000A21E1" w:rsidRDefault="005631B0" w:rsidP="006C2063">
            <w:pPr>
              <w:spacing w:before="40" w:after="40" w:line="200" w:lineRule="atLeast"/>
              <w:rPr>
                <w:rFonts w:ascii="Calibri" w:hAnsi="Calibri"/>
                <w:sz w:val="20"/>
                <w:szCs w:val="20"/>
              </w:rPr>
            </w:pPr>
            <w:r>
              <w:rPr>
                <w:rFonts w:ascii="Calibri" w:hAnsi="Calibri"/>
                <w:sz w:val="20"/>
                <w:szCs w:val="20"/>
              </w:rPr>
              <w:t xml:space="preserve">Funding to ensure a more concerted approach to yellow crazy ant control activities in and adjacent to the </w:t>
            </w:r>
            <w:r w:rsidR="006C2063">
              <w:rPr>
                <w:rFonts w:ascii="Calibri" w:hAnsi="Calibri"/>
                <w:sz w:val="20"/>
                <w:szCs w:val="20"/>
              </w:rPr>
              <w:t>w</w:t>
            </w:r>
            <w:r>
              <w:rPr>
                <w:rFonts w:ascii="Calibri" w:hAnsi="Calibri"/>
                <w:sz w:val="20"/>
                <w:szCs w:val="20"/>
              </w:rPr>
              <w:t>et tropics of Queensland World Heritage Area.</w:t>
            </w:r>
          </w:p>
        </w:tc>
        <w:tc>
          <w:tcPr>
            <w:tcW w:w="593" w:type="pct"/>
            <w:tcBorders>
              <w:top w:val="single" w:sz="4" w:space="0" w:color="auto"/>
              <w:bottom w:val="single" w:sz="4" w:space="0" w:color="auto"/>
            </w:tcBorders>
          </w:tcPr>
          <w:p w14:paraId="64840A7C" w14:textId="77777777" w:rsidR="005631B0" w:rsidRPr="007757F7" w:rsidRDefault="005631B0" w:rsidP="00086947">
            <w:pPr>
              <w:spacing w:before="40" w:after="40" w:line="200" w:lineRule="atLeast"/>
              <w:ind w:left="567" w:hanging="567"/>
              <w:jc w:val="right"/>
              <w:rPr>
                <w:rFonts w:ascii="Calibri" w:eastAsia="Calibri" w:hAnsi="Calibri" w:cs="Times New Roman"/>
                <w:sz w:val="20"/>
                <w:szCs w:val="20"/>
              </w:rPr>
            </w:pPr>
            <w:r w:rsidRPr="007757F7">
              <w:rPr>
                <w:rFonts w:ascii="Calibri" w:eastAsia="Calibri" w:hAnsi="Calibri" w:cs="Times New Roman"/>
                <w:sz w:val="20"/>
                <w:szCs w:val="20"/>
              </w:rPr>
              <w:t>3.0</w:t>
            </w:r>
          </w:p>
        </w:tc>
        <w:tc>
          <w:tcPr>
            <w:tcW w:w="593" w:type="pct"/>
            <w:tcBorders>
              <w:top w:val="single" w:sz="4" w:space="0" w:color="auto"/>
              <w:bottom w:val="single" w:sz="4" w:space="0" w:color="auto"/>
            </w:tcBorders>
          </w:tcPr>
          <w:p w14:paraId="3893141C" w14:textId="77777777" w:rsidR="005631B0" w:rsidRDefault="005631B0" w:rsidP="00086947">
            <w:pPr>
              <w:spacing w:before="40" w:after="40" w:line="200" w:lineRule="atLeast"/>
              <w:ind w:left="567" w:hanging="567"/>
              <w:jc w:val="right"/>
              <w:rPr>
                <w:rFonts w:ascii="Calibri" w:eastAsia="Calibri" w:hAnsi="Calibri" w:cs="Times New Roman"/>
                <w:sz w:val="20"/>
                <w:szCs w:val="20"/>
              </w:rPr>
            </w:pPr>
          </w:p>
          <w:p w14:paraId="7D774092" w14:textId="77777777" w:rsidR="005631B0" w:rsidRPr="000A21E1" w:rsidRDefault="005631B0" w:rsidP="00086947">
            <w:pPr>
              <w:spacing w:before="40" w:after="40" w:line="200" w:lineRule="atLeast"/>
              <w:ind w:left="567" w:hanging="567"/>
              <w:jc w:val="right"/>
              <w:rPr>
                <w:rFonts w:ascii="Calibri" w:eastAsia="Calibri" w:hAnsi="Calibri" w:cs="Times New Roman"/>
                <w:sz w:val="20"/>
                <w:szCs w:val="20"/>
              </w:rPr>
            </w:pPr>
          </w:p>
        </w:tc>
      </w:tr>
      <w:tr w:rsidR="005631B0" w:rsidRPr="00197C91" w14:paraId="012C8ECB" w14:textId="77777777" w:rsidTr="00086947">
        <w:tc>
          <w:tcPr>
            <w:tcW w:w="1058" w:type="pct"/>
            <w:tcBorders>
              <w:top w:val="single" w:sz="4" w:space="0" w:color="auto"/>
              <w:bottom w:val="single" w:sz="4" w:space="0" w:color="auto"/>
            </w:tcBorders>
          </w:tcPr>
          <w:p w14:paraId="732860C0" w14:textId="77777777" w:rsidR="005631B0" w:rsidRPr="000A21E1" w:rsidRDefault="005631B0" w:rsidP="00086947">
            <w:pPr>
              <w:spacing w:before="40" w:after="40" w:line="200" w:lineRule="atLeast"/>
              <w:rPr>
                <w:rFonts w:ascii="Calibri" w:hAnsi="Calibri"/>
                <w:sz w:val="20"/>
                <w:szCs w:val="20"/>
              </w:rPr>
            </w:pPr>
            <w:r w:rsidRPr="00567474">
              <w:rPr>
                <w:rFonts w:ascii="Calibri" w:eastAsia="Calibri" w:hAnsi="Calibri" w:cs="Times New Roman"/>
                <w:sz w:val="20"/>
                <w:szCs w:val="20"/>
              </w:rPr>
              <w:t>Family law information sharing</w:t>
            </w:r>
          </w:p>
        </w:tc>
        <w:tc>
          <w:tcPr>
            <w:tcW w:w="2756" w:type="pct"/>
            <w:tcBorders>
              <w:top w:val="single" w:sz="4" w:space="0" w:color="auto"/>
              <w:bottom w:val="single" w:sz="4" w:space="0" w:color="auto"/>
            </w:tcBorders>
            <w:vAlign w:val="center"/>
          </w:tcPr>
          <w:p w14:paraId="6F1499E3" w14:textId="77777777" w:rsidR="005631B0" w:rsidRPr="00093328" w:rsidRDefault="005631B0" w:rsidP="00086947">
            <w:pPr>
              <w:spacing w:before="40" w:after="40" w:line="200" w:lineRule="atLeast"/>
              <w:rPr>
                <w:rFonts w:ascii="Calibri" w:hAnsi="Calibri"/>
                <w:sz w:val="20"/>
                <w:szCs w:val="20"/>
              </w:rPr>
            </w:pPr>
            <w:r w:rsidRPr="00093328">
              <w:rPr>
                <w:rFonts w:ascii="Calibri" w:hAnsi="Calibri"/>
                <w:sz w:val="20"/>
                <w:szCs w:val="20"/>
              </w:rPr>
              <w:t xml:space="preserve">Funding </w:t>
            </w:r>
            <w:r>
              <w:rPr>
                <w:rFonts w:ascii="Calibri" w:hAnsi="Calibri"/>
                <w:sz w:val="20"/>
                <w:szCs w:val="20"/>
              </w:rPr>
              <w:t>to</w:t>
            </w:r>
            <w:r w:rsidRPr="00093328">
              <w:rPr>
                <w:rFonts w:ascii="Calibri" w:hAnsi="Calibri"/>
                <w:sz w:val="20"/>
                <w:szCs w:val="20"/>
              </w:rPr>
              <w:t xml:space="preserve"> support the placement of State family safety officials </w:t>
            </w:r>
            <w:r>
              <w:rPr>
                <w:rFonts w:ascii="Calibri" w:hAnsi="Calibri"/>
                <w:sz w:val="20"/>
                <w:szCs w:val="20"/>
              </w:rPr>
              <w:t xml:space="preserve">(such as child protection or policing officials) </w:t>
            </w:r>
            <w:r w:rsidRPr="00093328">
              <w:rPr>
                <w:rFonts w:ascii="Calibri" w:hAnsi="Calibri"/>
                <w:sz w:val="20"/>
                <w:szCs w:val="20"/>
              </w:rPr>
              <w:t>in the family law courts across Australia.</w:t>
            </w:r>
            <w:r>
              <w:rPr>
                <w:rFonts w:ascii="Calibri" w:hAnsi="Calibri"/>
                <w:sz w:val="20"/>
                <w:szCs w:val="20"/>
              </w:rPr>
              <w:t xml:space="preserve"> These co-located officials will facilitate information sharing between the family law, child protection and family violence legal systems. They will also foster a more coordinated response to safety issues, to promote the safety and wellbeing of families and children.</w:t>
            </w:r>
          </w:p>
        </w:tc>
        <w:tc>
          <w:tcPr>
            <w:tcW w:w="593" w:type="pct"/>
            <w:tcBorders>
              <w:top w:val="single" w:sz="4" w:space="0" w:color="auto"/>
              <w:bottom w:val="single" w:sz="4" w:space="0" w:color="auto"/>
            </w:tcBorders>
          </w:tcPr>
          <w:p w14:paraId="0460884A" w14:textId="77777777" w:rsidR="005631B0" w:rsidRPr="007757F7" w:rsidRDefault="005631B0" w:rsidP="00086947">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2.7</w:t>
            </w:r>
          </w:p>
        </w:tc>
        <w:tc>
          <w:tcPr>
            <w:tcW w:w="593" w:type="pct"/>
            <w:tcBorders>
              <w:top w:val="single" w:sz="4" w:space="0" w:color="auto"/>
              <w:bottom w:val="single" w:sz="4" w:space="0" w:color="auto"/>
            </w:tcBorders>
          </w:tcPr>
          <w:p w14:paraId="065924E0" w14:textId="77777777" w:rsidR="005631B0" w:rsidRDefault="005631B0" w:rsidP="00086947">
            <w:pPr>
              <w:spacing w:before="40" w:after="40" w:line="200" w:lineRule="atLeast"/>
              <w:ind w:left="567" w:hanging="567"/>
              <w:jc w:val="right"/>
              <w:rPr>
                <w:rFonts w:ascii="Calibri" w:eastAsia="Calibri" w:hAnsi="Calibri" w:cs="Times New Roman"/>
                <w:sz w:val="20"/>
                <w:szCs w:val="20"/>
              </w:rPr>
            </w:pPr>
          </w:p>
          <w:p w14:paraId="24E85C60" w14:textId="77777777" w:rsidR="005631B0" w:rsidRPr="000A21E1" w:rsidRDefault="005631B0" w:rsidP="00086947">
            <w:pPr>
              <w:spacing w:before="40" w:after="40" w:line="200" w:lineRule="atLeast"/>
              <w:ind w:left="567" w:hanging="567"/>
              <w:jc w:val="right"/>
              <w:rPr>
                <w:rFonts w:ascii="Calibri" w:eastAsia="Calibri" w:hAnsi="Calibri" w:cs="Times New Roman"/>
                <w:sz w:val="20"/>
                <w:szCs w:val="20"/>
              </w:rPr>
            </w:pPr>
          </w:p>
        </w:tc>
      </w:tr>
      <w:tr w:rsidR="005631B0" w:rsidRPr="00567474" w14:paraId="6D91E39A" w14:textId="77777777" w:rsidTr="00086947">
        <w:tc>
          <w:tcPr>
            <w:tcW w:w="1058" w:type="pct"/>
            <w:tcBorders>
              <w:top w:val="single" w:sz="4" w:space="0" w:color="auto"/>
              <w:bottom w:val="single" w:sz="4" w:space="0" w:color="auto"/>
            </w:tcBorders>
          </w:tcPr>
          <w:p w14:paraId="256EB2E7" w14:textId="77777777" w:rsidR="005631B0" w:rsidRPr="00567474" w:rsidRDefault="005631B0" w:rsidP="00086947">
            <w:pPr>
              <w:spacing w:before="40" w:after="40" w:line="200" w:lineRule="atLeast"/>
              <w:rPr>
                <w:rFonts w:ascii="Calibri" w:eastAsia="Calibri" w:hAnsi="Calibri" w:cs="Times New Roman"/>
                <w:sz w:val="20"/>
                <w:szCs w:val="20"/>
              </w:rPr>
            </w:pPr>
            <w:r>
              <w:rPr>
                <w:rFonts w:ascii="Calibri" w:eastAsia="Calibri" w:hAnsi="Calibri" w:cs="Times New Roman"/>
                <w:sz w:val="20"/>
                <w:szCs w:val="20"/>
              </w:rPr>
              <w:t>National Mechanism for Commonwealth legal assistance</w:t>
            </w:r>
          </w:p>
        </w:tc>
        <w:tc>
          <w:tcPr>
            <w:tcW w:w="2756" w:type="pct"/>
            <w:tcBorders>
              <w:top w:val="single" w:sz="4" w:space="0" w:color="auto"/>
              <w:bottom w:val="single" w:sz="4" w:space="0" w:color="auto"/>
            </w:tcBorders>
            <w:vAlign w:val="center"/>
          </w:tcPr>
          <w:p w14:paraId="22D20164" w14:textId="50E6E35A" w:rsidR="005631B0" w:rsidRDefault="005631B0" w:rsidP="00086947">
            <w:pPr>
              <w:spacing w:before="40" w:after="40" w:line="200" w:lineRule="atLeast"/>
              <w:rPr>
                <w:rFonts w:ascii="Calibri" w:eastAsia="Calibri" w:hAnsi="Calibri" w:cs="Times New Roman"/>
                <w:sz w:val="20"/>
                <w:szCs w:val="20"/>
              </w:rPr>
            </w:pPr>
            <w:r>
              <w:rPr>
                <w:rFonts w:ascii="Calibri" w:eastAsia="Calibri" w:hAnsi="Calibri" w:cs="Times New Roman"/>
                <w:sz w:val="20"/>
                <w:szCs w:val="20"/>
              </w:rPr>
              <w:t xml:space="preserve">Through the Legal Assistance Package, the Australian Government intends to create a new, single National Mechanism for Commonwealth Legal Assistance Funding from 1 July 2020. The National Mechanism will integrate new and existing Commonwealth legal assistance funding currently allocated across the Attorney General’s, Treasury and Social </w:t>
            </w:r>
            <w:r w:rsidR="006C2063">
              <w:rPr>
                <w:rFonts w:ascii="Calibri" w:eastAsia="Calibri" w:hAnsi="Calibri" w:cs="Times New Roman"/>
                <w:sz w:val="20"/>
                <w:szCs w:val="20"/>
              </w:rPr>
              <w:t>S</w:t>
            </w:r>
            <w:r>
              <w:rPr>
                <w:rFonts w:ascii="Calibri" w:eastAsia="Calibri" w:hAnsi="Calibri" w:cs="Times New Roman"/>
                <w:sz w:val="20"/>
                <w:szCs w:val="20"/>
              </w:rPr>
              <w:t>ervices portfolios.</w:t>
            </w:r>
          </w:p>
          <w:p w14:paraId="6D8C2484" w14:textId="77777777" w:rsidR="005631B0" w:rsidRPr="00E062F2" w:rsidRDefault="005631B0" w:rsidP="00086947">
            <w:pPr>
              <w:spacing w:before="40" w:after="40" w:line="200" w:lineRule="atLeast"/>
              <w:rPr>
                <w:rFonts w:ascii="Calibri" w:eastAsia="Calibri" w:hAnsi="Calibri" w:cs="Times New Roman"/>
                <w:sz w:val="20"/>
                <w:szCs w:val="20"/>
              </w:rPr>
            </w:pPr>
            <w:r>
              <w:rPr>
                <w:rFonts w:ascii="Calibri" w:eastAsia="Calibri" w:hAnsi="Calibri" w:cs="Times New Roman"/>
                <w:sz w:val="20"/>
                <w:szCs w:val="20"/>
              </w:rPr>
              <w:t>Subject to negotiations, the National Mechanism will be a unified administrative system that provides quarantined funding to legal aid commissions, community legal centres and Aboriginal and Torres Strait Islander Legal Services, delivered via the States and Territories.</w:t>
            </w:r>
          </w:p>
        </w:tc>
        <w:tc>
          <w:tcPr>
            <w:tcW w:w="593" w:type="pct"/>
            <w:tcBorders>
              <w:top w:val="single" w:sz="4" w:space="0" w:color="auto"/>
              <w:bottom w:val="single" w:sz="4" w:space="0" w:color="auto"/>
            </w:tcBorders>
          </w:tcPr>
          <w:p w14:paraId="3461D394" w14:textId="77777777" w:rsidR="005631B0" w:rsidRPr="00567474" w:rsidRDefault="005631B0" w:rsidP="00086947">
            <w:pPr>
              <w:spacing w:before="40" w:after="40" w:line="200" w:lineRule="atLeast"/>
              <w:ind w:left="567" w:hanging="567"/>
              <w:jc w:val="right"/>
              <w:rPr>
                <w:rFonts w:ascii="Calibri" w:eastAsia="Calibri" w:hAnsi="Calibri" w:cs="Times New Roman"/>
                <w:sz w:val="20"/>
                <w:szCs w:val="20"/>
              </w:rPr>
            </w:pPr>
          </w:p>
        </w:tc>
        <w:tc>
          <w:tcPr>
            <w:tcW w:w="593" w:type="pct"/>
            <w:tcBorders>
              <w:top w:val="single" w:sz="4" w:space="0" w:color="auto"/>
              <w:bottom w:val="single" w:sz="4" w:space="0" w:color="auto"/>
            </w:tcBorders>
          </w:tcPr>
          <w:p w14:paraId="27FE9B20" w14:textId="77777777" w:rsidR="005631B0" w:rsidRPr="00567474" w:rsidRDefault="005631B0" w:rsidP="00086947">
            <w:pPr>
              <w:spacing w:before="40" w:after="40" w:line="200" w:lineRule="atLeast"/>
              <w:ind w:left="567" w:hanging="567"/>
              <w:jc w:val="right"/>
              <w:rPr>
                <w:rFonts w:ascii="Calibri" w:eastAsia="Calibri" w:hAnsi="Calibri" w:cs="Times New Roman"/>
                <w:sz w:val="20"/>
                <w:szCs w:val="20"/>
              </w:rPr>
            </w:pPr>
            <w:r>
              <w:rPr>
                <w:rFonts w:ascii="Calibri" w:eastAsia="Calibri" w:hAnsi="Calibri" w:cs="Times New Roman"/>
                <w:sz w:val="20"/>
                <w:szCs w:val="20"/>
              </w:rPr>
              <w:t>397.5</w:t>
            </w:r>
          </w:p>
        </w:tc>
      </w:tr>
    </w:tbl>
    <w:p w14:paraId="10D58801" w14:textId="7DBCB6A3" w:rsidR="00DC0F02" w:rsidRPr="00C21EF9" w:rsidRDefault="00E93273" w:rsidP="00E93273">
      <w:pPr>
        <w:pStyle w:val="CGCTableFootnote"/>
      </w:pPr>
      <w:bookmarkStart w:id="42" w:name="Content"/>
      <w:bookmarkEnd w:id="42"/>
      <w:r>
        <w:t>(a)</w:t>
      </w:r>
      <w:r>
        <w:tab/>
        <w:t>Program expected to commence in 2018-19 but did appear in Final Budget Outcome 2018-19.</w:t>
      </w:r>
    </w:p>
    <w:sectPr w:rsidR="00DC0F02" w:rsidRPr="00C21EF9" w:rsidSect="00FA31A4">
      <w:footerReference w:type="default" r:id="rId30"/>
      <w:pgSz w:w="16838" w:h="11899" w:orient="landscape" w:code="9"/>
      <w:pgMar w:top="1474" w:right="1701" w:bottom="1474"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F8586" w14:textId="77777777" w:rsidR="000A1A57" w:rsidRDefault="000A1A57">
      <w:r>
        <w:separator/>
      </w:r>
    </w:p>
  </w:endnote>
  <w:endnote w:type="continuationSeparator" w:id="0">
    <w:p w14:paraId="722EF4D5" w14:textId="77777777" w:rsidR="000A1A57" w:rsidRDefault="000A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E7146" w14:textId="77777777" w:rsidR="00B54AB0" w:rsidRDefault="00B54AB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ACB1B" w14:textId="20D2ED89" w:rsidR="000A1A57" w:rsidRPr="0011178C" w:rsidRDefault="000A1A57" w:rsidP="003929D2">
    <w:pPr>
      <w:pStyle w:val="Footer"/>
      <w:jc w:val="right"/>
    </w:pPr>
    <w:r>
      <w:fldChar w:fldCharType="begin"/>
    </w:r>
    <w:r>
      <w:instrText xml:space="preserve"> PAGE  \* Arabic  \* MERGEFORMAT </w:instrText>
    </w:r>
    <w:r>
      <w:fldChar w:fldCharType="separate"/>
    </w:r>
    <w:r w:rsidR="00B54AB0">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D12A0" w14:textId="77777777" w:rsidR="000A1A57" w:rsidRPr="00875C0F" w:rsidRDefault="000A1A57" w:rsidP="0008694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807996343"/>
      <w:docPartObj>
        <w:docPartGallery w:val="Page Numbers (Bottom of Page)"/>
        <w:docPartUnique/>
      </w:docPartObj>
    </w:sdtPr>
    <w:sdtEndPr/>
    <w:sdtContent>
      <w:bookmarkStart w:id="6" w:name="_GoBack" w:displacedByCustomXml="prev"/>
      <w:bookmarkEnd w:id="6" w:displacedByCustomXml="prev"/>
      <w:p w14:paraId="0E064008" w14:textId="3434C3CB" w:rsidR="00B54AB0" w:rsidRDefault="00B54AB0" w:rsidP="00B54AB0">
        <w:pPr>
          <w:pStyle w:val="Footer"/>
        </w:pPr>
      </w:p>
      <w:p w14:paraId="20D3233D" w14:textId="32F8CFD2" w:rsidR="000A1A57" w:rsidRPr="00875C0F" w:rsidRDefault="00B54AB0" w:rsidP="00086947">
        <w:pPr>
          <w:pStyle w:val="Footer"/>
          <w:rPr>
            <w:sz w:val="20"/>
            <w:szCs w:val="20"/>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996344"/>
      <w:docPartObj>
        <w:docPartGallery w:val="Page Numbers (Bottom of Page)"/>
        <w:docPartUnique/>
      </w:docPartObj>
    </w:sdtPr>
    <w:sdtEndPr/>
    <w:sdtContent>
      <w:p w14:paraId="7804BD5B" w14:textId="77777777" w:rsidR="000A1A57" w:rsidRPr="00875C0F" w:rsidRDefault="00B54AB0" w:rsidP="00086947">
        <w:pPr>
          <w:pStyle w:val="Footer"/>
          <w:jc w:val="right"/>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996348"/>
      <w:docPartObj>
        <w:docPartGallery w:val="Page Numbers (Bottom of Page)"/>
        <w:docPartUnique/>
      </w:docPartObj>
    </w:sdtPr>
    <w:sdtEndPr/>
    <w:sdtContent>
      <w:p w14:paraId="5BDB6711" w14:textId="77777777" w:rsidR="000A1A57" w:rsidRPr="00875C0F" w:rsidRDefault="00B54AB0" w:rsidP="00086947">
        <w:pPr>
          <w:pStyle w:val="Footer"/>
          <w:jc w:val="right"/>
        </w:pP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84073839"/>
      <w:docPartObj>
        <w:docPartGallery w:val="Page Numbers (Bottom of Page)"/>
        <w:docPartUnique/>
      </w:docPartObj>
    </w:sdtPr>
    <w:sdtEndPr>
      <w:rPr>
        <w:b w:val="0"/>
      </w:rPr>
    </w:sdtEndPr>
    <w:sdtContent>
      <w:p w14:paraId="54D6A083" w14:textId="03F3225F" w:rsidR="000A1A57" w:rsidRPr="00E60CDC" w:rsidRDefault="000A1A57" w:rsidP="00086947">
        <w:pPr>
          <w:pStyle w:val="Footer"/>
          <w:jc w:val="right"/>
        </w:pPr>
        <w:r>
          <w:fldChar w:fldCharType="begin"/>
        </w:r>
        <w:r>
          <w:instrText xml:space="preserve"> PAGE  \* Arabic  \* MERGEFORMAT </w:instrText>
        </w:r>
        <w:r>
          <w:fldChar w:fldCharType="separate"/>
        </w:r>
        <w:r w:rsidR="00B54AB0">
          <w:rPr>
            <w:noProof/>
          </w:rPr>
          <w:t>3</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84073830"/>
      <w:docPartObj>
        <w:docPartGallery w:val="Page Numbers (Bottom of Page)"/>
        <w:docPartUnique/>
      </w:docPartObj>
    </w:sdtPr>
    <w:sdtEndPr>
      <w:rPr>
        <w:b w:val="0"/>
      </w:rPr>
    </w:sdtEndPr>
    <w:sdtContent>
      <w:p w14:paraId="342F9BAA" w14:textId="46CE0F91" w:rsidR="000A1A57" w:rsidRPr="00705CE4" w:rsidRDefault="000A1A57" w:rsidP="00086947">
        <w:pPr>
          <w:pStyle w:val="Footer"/>
          <w:jc w:val="right"/>
        </w:pPr>
        <w:r>
          <w:fldChar w:fldCharType="begin"/>
        </w:r>
        <w:r>
          <w:instrText xml:space="preserve"> PAGE  \* Arabic  \* MERGEFORMAT </w:instrText>
        </w:r>
        <w:r>
          <w:fldChar w:fldCharType="separate"/>
        </w:r>
        <w:r w:rsidR="00B54AB0">
          <w:rPr>
            <w:noProof/>
          </w:rPr>
          <w:t>1</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02A44" w14:textId="77777777" w:rsidR="000A1A57" w:rsidRPr="0011178C" w:rsidRDefault="000A1A57" w:rsidP="00086947">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733BE" w14:textId="77777777" w:rsidR="000A1A57" w:rsidRPr="00812D22" w:rsidRDefault="000A1A57" w:rsidP="00086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F0F57" w14:textId="77777777" w:rsidR="000A1A57" w:rsidRDefault="000A1A57">
      <w:r>
        <w:separator/>
      </w:r>
    </w:p>
  </w:footnote>
  <w:footnote w:type="continuationSeparator" w:id="0">
    <w:p w14:paraId="2780F350" w14:textId="77777777" w:rsidR="000A1A57" w:rsidRDefault="000A1A57">
      <w:r>
        <w:continuationSeparator/>
      </w:r>
    </w:p>
  </w:footnote>
  <w:footnote w:id="1">
    <w:p w14:paraId="2263F90B" w14:textId="4956CCD7" w:rsidR="008D259C" w:rsidRDefault="008D259C">
      <w:pPr>
        <w:pStyle w:val="FootnoteText"/>
      </w:pPr>
      <w:r>
        <w:rPr>
          <w:rStyle w:val="FootnoteReference"/>
        </w:rPr>
        <w:footnoteRef/>
      </w:r>
      <w:r>
        <w:t xml:space="preserve"> </w:t>
      </w:r>
      <w:r>
        <w:tab/>
        <w:t xml:space="preserve">Some expenses are assessed on an equal per capita (EPC) basis because population is considered the driver. This is referred to as a deliberative EPC assessment. In these cases, the Commission considers that needs are assessed.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E2991" w14:textId="77777777" w:rsidR="00B54AB0" w:rsidRDefault="00B54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E3281" w14:textId="77777777" w:rsidR="00B54AB0" w:rsidRDefault="00B54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0352F" w14:textId="77777777" w:rsidR="00B54AB0" w:rsidRDefault="00B54A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4AA69" w14:textId="77777777" w:rsidR="000A1A57" w:rsidRDefault="000A1A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0B543" w14:textId="77777777" w:rsidR="000A1A57" w:rsidRDefault="000A1A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BA3D2" w14:textId="77777777" w:rsidR="000A1A57" w:rsidRDefault="000A1A57" w:rsidP="000869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46E05" w14:textId="77777777" w:rsidR="000A1A57" w:rsidRDefault="000A1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1B"/>
    <w:rsid w:val="00016FE0"/>
    <w:rsid w:val="00021EA1"/>
    <w:rsid w:val="00022EA9"/>
    <w:rsid w:val="00024745"/>
    <w:rsid w:val="00032F41"/>
    <w:rsid w:val="0004123E"/>
    <w:rsid w:val="00041748"/>
    <w:rsid w:val="00041E84"/>
    <w:rsid w:val="000424EA"/>
    <w:rsid w:val="00047A3F"/>
    <w:rsid w:val="00056373"/>
    <w:rsid w:val="00061111"/>
    <w:rsid w:val="000624BB"/>
    <w:rsid w:val="000648E8"/>
    <w:rsid w:val="00067D0F"/>
    <w:rsid w:val="0007068D"/>
    <w:rsid w:val="00086947"/>
    <w:rsid w:val="00093796"/>
    <w:rsid w:val="000A1A57"/>
    <w:rsid w:val="000A3898"/>
    <w:rsid w:val="000A52A1"/>
    <w:rsid w:val="000A71A0"/>
    <w:rsid w:val="000B2942"/>
    <w:rsid w:val="000B3557"/>
    <w:rsid w:val="000B4BF1"/>
    <w:rsid w:val="000B64E3"/>
    <w:rsid w:val="000D1354"/>
    <w:rsid w:val="000D7C54"/>
    <w:rsid w:val="000E0210"/>
    <w:rsid w:val="000E6AA5"/>
    <w:rsid w:val="000E7F56"/>
    <w:rsid w:val="000F1CDA"/>
    <w:rsid w:val="001039C2"/>
    <w:rsid w:val="001040AD"/>
    <w:rsid w:val="0011178C"/>
    <w:rsid w:val="001126BE"/>
    <w:rsid w:val="00112CF0"/>
    <w:rsid w:val="001211AB"/>
    <w:rsid w:val="001218B8"/>
    <w:rsid w:val="00124ED1"/>
    <w:rsid w:val="00136497"/>
    <w:rsid w:val="00141BD1"/>
    <w:rsid w:val="001441DA"/>
    <w:rsid w:val="00147115"/>
    <w:rsid w:val="001477CE"/>
    <w:rsid w:val="0016723A"/>
    <w:rsid w:val="00170DC9"/>
    <w:rsid w:val="00171A05"/>
    <w:rsid w:val="00172F3A"/>
    <w:rsid w:val="001730FD"/>
    <w:rsid w:val="00173798"/>
    <w:rsid w:val="00173BE6"/>
    <w:rsid w:val="00173E72"/>
    <w:rsid w:val="001807C0"/>
    <w:rsid w:val="001811DE"/>
    <w:rsid w:val="00185741"/>
    <w:rsid w:val="00187145"/>
    <w:rsid w:val="001A2C1B"/>
    <w:rsid w:val="001A4336"/>
    <w:rsid w:val="001A7EEE"/>
    <w:rsid w:val="001B0110"/>
    <w:rsid w:val="001B3048"/>
    <w:rsid w:val="001B696E"/>
    <w:rsid w:val="001B6A56"/>
    <w:rsid w:val="001C3348"/>
    <w:rsid w:val="001C469B"/>
    <w:rsid w:val="001C6A71"/>
    <w:rsid w:val="001D638B"/>
    <w:rsid w:val="001D6DFA"/>
    <w:rsid w:val="001E171B"/>
    <w:rsid w:val="001E6180"/>
    <w:rsid w:val="001E674B"/>
    <w:rsid w:val="001E68FC"/>
    <w:rsid w:val="001E72B6"/>
    <w:rsid w:val="001F4F5A"/>
    <w:rsid w:val="00204026"/>
    <w:rsid w:val="00212948"/>
    <w:rsid w:val="00217839"/>
    <w:rsid w:val="002208D9"/>
    <w:rsid w:val="002211A5"/>
    <w:rsid w:val="00225A3B"/>
    <w:rsid w:val="0023081D"/>
    <w:rsid w:val="0023329C"/>
    <w:rsid w:val="00236DC0"/>
    <w:rsid w:val="00237306"/>
    <w:rsid w:val="002373A2"/>
    <w:rsid w:val="00242517"/>
    <w:rsid w:val="0024260B"/>
    <w:rsid w:val="0024401F"/>
    <w:rsid w:val="0024569B"/>
    <w:rsid w:val="00255B5A"/>
    <w:rsid w:val="002671A2"/>
    <w:rsid w:val="00267496"/>
    <w:rsid w:val="00275B68"/>
    <w:rsid w:val="002845EA"/>
    <w:rsid w:val="00286EBE"/>
    <w:rsid w:val="00291702"/>
    <w:rsid w:val="00295B70"/>
    <w:rsid w:val="002A2A08"/>
    <w:rsid w:val="002A2D93"/>
    <w:rsid w:val="002A4E42"/>
    <w:rsid w:val="002A77C3"/>
    <w:rsid w:val="002B10B0"/>
    <w:rsid w:val="002B169C"/>
    <w:rsid w:val="002B5D51"/>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7DEF"/>
    <w:rsid w:val="00311D33"/>
    <w:rsid w:val="00313664"/>
    <w:rsid w:val="00314F90"/>
    <w:rsid w:val="0033102E"/>
    <w:rsid w:val="00331401"/>
    <w:rsid w:val="00333234"/>
    <w:rsid w:val="00335ED1"/>
    <w:rsid w:val="00337EF8"/>
    <w:rsid w:val="00341AA8"/>
    <w:rsid w:val="00341EBB"/>
    <w:rsid w:val="00342A60"/>
    <w:rsid w:val="0034379D"/>
    <w:rsid w:val="0034646D"/>
    <w:rsid w:val="00347BE5"/>
    <w:rsid w:val="003522E0"/>
    <w:rsid w:val="0035267F"/>
    <w:rsid w:val="0035580D"/>
    <w:rsid w:val="00356FBF"/>
    <w:rsid w:val="003578CA"/>
    <w:rsid w:val="003639FB"/>
    <w:rsid w:val="00363BF7"/>
    <w:rsid w:val="00382AE5"/>
    <w:rsid w:val="003929D2"/>
    <w:rsid w:val="00393E3E"/>
    <w:rsid w:val="00393FA5"/>
    <w:rsid w:val="0039765D"/>
    <w:rsid w:val="003A27BB"/>
    <w:rsid w:val="003B5FAA"/>
    <w:rsid w:val="003B673D"/>
    <w:rsid w:val="003C2577"/>
    <w:rsid w:val="003C4448"/>
    <w:rsid w:val="003D22D2"/>
    <w:rsid w:val="003D3D91"/>
    <w:rsid w:val="003D4708"/>
    <w:rsid w:val="003D477A"/>
    <w:rsid w:val="003E6615"/>
    <w:rsid w:val="003E79F9"/>
    <w:rsid w:val="003F12E9"/>
    <w:rsid w:val="003F59F4"/>
    <w:rsid w:val="00404DCD"/>
    <w:rsid w:val="004077D6"/>
    <w:rsid w:val="004121E7"/>
    <w:rsid w:val="00414E51"/>
    <w:rsid w:val="00420F04"/>
    <w:rsid w:val="00423099"/>
    <w:rsid w:val="00424E79"/>
    <w:rsid w:val="00426028"/>
    <w:rsid w:val="0042661C"/>
    <w:rsid w:val="004274B3"/>
    <w:rsid w:val="00443EC1"/>
    <w:rsid w:val="004442D3"/>
    <w:rsid w:val="00446BB0"/>
    <w:rsid w:val="00452974"/>
    <w:rsid w:val="00453264"/>
    <w:rsid w:val="00461C23"/>
    <w:rsid w:val="00462B54"/>
    <w:rsid w:val="00463064"/>
    <w:rsid w:val="004663C5"/>
    <w:rsid w:val="00466783"/>
    <w:rsid w:val="00470746"/>
    <w:rsid w:val="00472461"/>
    <w:rsid w:val="004809B8"/>
    <w:rsid w:val="004821B9"/>
    <w:rsid w:val="00491D88"/>
    <w:rsid w:val="0049605C"/>
    <w:rsid w:val="004965F7"/>
    <w:rsid w:val="004A7048"/>
    <w:rsid w:val="004B0A0A"/>
    <w:rsid w:val="004B1C4B"/>
    <w:rsid w:val="004B60CB"/>
    <w:rsid w:val="004C1CB5"/>
    <w:rsid w:val="004D1741"/>
    <w:rsid w:val="004E2C1C"/>
    <w:rsid w:val="004E365A"/>
    <w:rsid w:val="004E769A"/>
    <w:rsid w:val="00500ACD"/>
    <w:rsid w:val="00504061"/>
    <w:rsid w:val="00505BAE"/>
    <w:rsid w:val="00506956"/>
    <w:rsid w:val="0051170F"/>
    <w:rsid w:val="00515380"/>
    <w:rsid w:val="005176CA"/>
    <w:rsid w:val="00532D10"/>
    <w:rsid w:val="00537A77"/>
    <w:rsid w:val="00541A14"/>
    <w:rsid w:val="00543F9C"/>
    <w:rsid w:val="00546D39"/>
    <w:rsid w:val="00550E84"/>
    <w:rsid w:val="00551368"/>
    <w:rsid w:val="005577B0"/>
    <w:rsid w:val="00562084"/>
    <w:rsid w:val="005631B0"/>
    <w:rsid w:val="00570EED"/>
    <w:rsid w:val="005716FC"/>
    <w:rsid w:val="00575DEF"/>
    <w:rsid w:val="0057636C"/>
    <w:rsid w:val="00583A33"/>
    <w:rsid w:val="005867D2"/>
    <w:rsid w:val="005909AF"/>
    <w:rsid w:val="00592B45"/>
    <w:rsid w:val="005963CC"/>
    <w:rsid w:val="00596E19"/>
    <w:rsid w:val="00596F4C"/>
    <w:rsid w:val="0059780D"/>
    <w:rsid w:val="005A241E"/>
    <w:rsid w:val="005A6FED"/>
    <w:rsid w:val="005B1BC4"/>
    <w:rsid w:val="005B21AB"/>
    <w:rsid w:val="005B6894"/>
    <w:rsid w:val="005B7121"/>
    <w:rsid w:val="005C13B2"/>
    <w:rsid w:val="005C27E3"/>
    <w:rsid w:val="005C37CB"/>
    <w:rsid w:val="005C459C"/>
    <w:rsid w:val="005D1A9F"/>
    <w:rsid w:val="005D52FA"/>
    <w:rsid w:val="005E266F"/>
    <w:rsid w:val="005E5734"/>
    <w:rsid w:val="005E73CE"/>
    <w:rsid w:val="005F07DC"/>
    <w:rsid w:val="005F64FB"/>
    <w:rsid w:val="0060251E"/>
    <w:rsid w:val="00602DDE"/>
    <w:rsid w:val="00611737"/>
    <w:rsid w:val="00612904"/>
    <w:rsid w:val="00614DE8"/>
    <w:rsid w:val="00622388"/>
    <w:rsid w:val="00622669"/>
    <w:rsid w:val="00622FE1"/>
    <w:rsid w:val="00625CE5"/>
    <w:rsid w:val="00635027"/>
    <w:rsid w:val="00644A7B"/>
    <w:rsid w:val="006556D9"/>
    <w:rsid w:val="00657FDB"/>
    <w:rsid w:val="00661C46"/>
    <w:rsid w:val="006652D3"/>
    <w:rsid w:val="00667CF3"/>
    <w:rsid w:val="006769C4"/>
    <w:rsid w:val="00677627"/>
    <w:rsid w:val="00677BD5"/>
    <w:rsid w:val="0068025E"/>
    <w:rsid w:val="0068578D"/>
    <w:rsid w:val="00685F9B"/>
    <w:rsid w:val="00693C87"/>
    <w:rsid w:val="006A05C7"/>
    <w:rsid w:val="006A607B"/>
    <w:rsid w:val="006A6E27"/>
    <w:rsid w:val="006A72B0"/>
    <w:rsid w:val="006B3E4D"/>
    <w:rsid w:val="006C2063"/>
    <w:rsid w:val="006C22CB"/>
    <w:rsid w:val="006C52B9"/>
    <w:rsid w:val="006D1DFE"/>
    <w:rsid w:val="006E6BC2"/>
    <w:rsid w:val="006E77BB"/>
    <w:rsid w:val="0070150E"/>
    <w:rsid w:val="0070496E"/>
    <w:rsid w:val="00705DB8"/>
    <w:rsid w:val="00713225"/>
    <w:rsid w:val="007247D7"/>
    <w:rsid w:val="0072512A"/>
    <w:rsid w:val="00731EE6"/>
    <w:rsid w:val="007355A6"/>
    <w:rsid w:val="00740A71"/>
    <w:rsid w:val="007477C5"/>
    <w:rsid w:val="00747938"/>
    <w:rsid w:val="00750B86"/>
    <w:rsid w:val="007528B9"/>
    <w:rsid w:val="00762AFB"/>
    <w:rsid w:val="00765BA8"/>
    <w:rsid w:val="00766007"/>
    <w:rsid w:val="00770A26"/>
    <w:rsid w:val="007A1364"/>
    <w:rsid w:val="007A24A0"/>
    <w:rsid w:val="007A4AB2"/>
    <w:rsid w:val="007A5E68"/>
    <w:rsid w:val="007B1BF7"/>
    <w:rsid w:val="007C404B"/>
    <w:rsid w:val="007C4BAE"/>
    <w:rsid w:val="007C6F2E"/>
    <w:rsid w:val="007D1D3B"/>
    <w:rsid w:val="007D5960"/>
    <w:rsid w:val="007E114E"/>
    <w:rsid w:val="007E487F"/>
    <w:rsid w:val="007E4B2D"/>
    <w:rsid w:val="007E587D"/>
    <w:rsid w:val="007E6757"/>
    <w:rsid w:val="007E71E9"/>
    <w:rsid w:val="007F1873"/>
    <w:rsid w:val="007F1D06"/>
    <w:rsid w:val="008010D7"/>
    <w:rsid w:val="00803443"/>
    <w:rsid w:val="0080680D"/>
    <w:rsid w:val="00812C05"/>
    <w:rsid w:val="0081322A"/>
    <w:rsid w:val="008162AB"/>
    <w:rsid w:val="00833889"/>
    <w:rsid w:val="0084098E"/>
    <w:rsid w:val="00843E6F"/>
    <w:rsid w:val="00846E4A"/>
    <w:rsid w:val="00851AF5"/>
    <w:rsid w:val="00851FB5"/>
    <w:rsid w:val="00854DAA"/>
    <w:rsid w:val="008647DE"/>
    <w:rsid w:val="00864B95"/>
    <w:rsid w:val="0087289D"/>
    <w:rsid w:val="008800D3"/>
    <w:rsid w:val="00886CDD"/>
    <w:rsid w:val="0089214D"/>
    <w:rsid w:val="00893C0D"/>
    <w:rsid w:val="008A20DA"/>
    <w:rsid w:val="008B5C8F"/>
    <w:rsid w:val="008B5F16"/>
    <w:rsid w:val="008B7722"/>
    <w:rsid w:val="008C0E5C"/>
    <w:rsid w:val="008D259C"/>
    <w:rsid w:val="008D348B"/>
    <w:rsid w:val="008E2BE4"/>
    <w:rsid w:val="008E6B4E"/>
    <w:rsid w:val="008E7970"/>
    <w:rsid w:val="008E7C34"/>
    <w:rsid w:val="008F0C36"/>
    <w:rsid w:val="008F377B"/>
    <w:rsid w:val="008F7F7B"/>
    <w:rsid w:val="00907DB5"/>
    <w:rsid w:val="009137A2"/>
    <w:rsid w:val="00915512"/>
    <w:rsid w:val="009233CC"/>
    <w:rsid w:val="009240D8"/>
    <w:rsid w:val="0092523D"/>
    <w:rsid w:val="009360D7"/>
    <w:rsid w:val="009362C9"/>
    <w:rsid w:val="00942387"/>
    <w:rsid w:val="0094626F"/>
    <w:rsid w:val="009462D2"/>
    <w:rsid w:val="009652D5"/>
    <w:rsid w:val="009662EC"/>
    <w:rsid w:val="009677F8"/>
    <w:rsid w:val="00971146"/>
    <w:rsid w:val="00972A9A"/>
    <w:rsid w:val="00991675"/>
    <w:rsid w:val="00992008"/>
    <w:rsid w:val="00996409"/>
    <w:rsid w:val="00996D00"/>
    <w:rsid w:val="009A03DC"/>
    <w:rsid w:val="009A6CF3"/>
    <w:rsid w:val="009B43BF"/>
    <w:rsid w:val="009B4A2D"/>
    <w:rsid w:val="009B5A07"/>
    <w:rsid w:val="009C1E0B"/>
    <w:rsid w:val="009C7F63"/>
    <w:rsid w:val="009D545A"/>
    <w:rsid w:val="009D6D44"/>
    <w:rsid w:val="009E06A9"/>
    <w:rsid w:val="009E0F50"/>
    <w:rsid w:val="009E22FA"/>
    <w:rsid w:val="009E4744"/>
    <w:rsid w:val="009E4EC9"/>
    <w:rsid w:val="009E5D5A"/>
    <w:rsid w:val="009F2262"/>
    <w:rsid w:val="009F4ADA"/>
    <w:rsid w:val="009F6A0D"/>
    <w:rsid w:val="00A07991"/>
    <w:rsid w:val="00A10CDE"/>
    <w:rsid w:val="00A1274D"/>
    <w:rsid w:val="00A1680D"/>
    <w:rsid w:val="00A23AB0"/>
    <w:rsid w:val="00A266C5"/>
    <w:rsid w:val="00A309C6"/>
    <w:rsid w:val="00A32E4E"/>
    <w:rsid w:val="00A41123"/>
    <w:rsid w:val="00A505DE"/>
    <w:rsid w:val="00A5327C"/>
    <w:rsid w:val="00A55248"/>
    <w:rsid w:val="00A5721C"/>
    <w:rsid w:val="00A67913"/>
    <w:rsid w:val="00A81A94"/>
    <w:rsid w:val="00A85D0F"/>
    <w:rsid w:val="00A9681E"/>
    <w:rsid w:val="00AA007A"/>
    <w:rsid w:val="00AA35B4"/>
    <w:rsid w:val="00AB073E"/>
    <w:rsid w:val="00AB1A13"/>
    <w:rsid w:val="00AB4E9F"/>
    <w:rsid w:val="00AC210F"/>
    <w:rsid w:val="00AC319E"/>
    <w:rsid w:val="00AE3A1E"/>
    <w:rsid w:val="00AE734F"/>
    <w:rsid w:val="00AF2656"/>
    <w:rsid w:val="00AF6110"/>
    <w:rsid w:val="00AF6AC6"/>
    <w:rsid w:val="00B00611"/>
    <w:rsid w:val="00B04354"/>
    <w:rsid w:val="00B249FC"/>
    <w:rsid w:val="00B317E7"/>
    <w:rsid w:val="00B33A57"/>
    <w:rsid w:val="00B34083"/>
    <w:rsid w:val="00B37728"/>
    <w:rsid w:val="00B45C64"/>
    <w:rsid w:val="00B46A32"/>
    <w:rsid w:val="00B46B29"/>
    <w:rsid w:val="00B53547"/>
    <w:rsid w:val="00B53597"/>
    <w:rsid w:val="00B54AB0"/>
    <w:rsid w:val="00B55D3E"/>
    <w:rsid w:val="00B62590"/>
    <w:rsid w:val="00B62DB5"/>
    <w:rsid w:val="00B6729F"/>
    <w:rsid w:val="00B706E2"/>
    <w:rsid w:val="00B73A5B"/>
    <w:rsid w:val="00B82627"/>
    <w:rsid w:val="00B90AA7"/>
    <w:rsid w:val="00B94335"/>
    <w:rsid w:val="00BA38F6"/>
    <w:rsid w:val="00BA65E5"/>
    <w:rsid w:val="00BA74EC"/>
    <w:rsid w:val="00BB09DF"/>
    <w:rsid w:val="00BB3FC5"/>
    <w:rsid w:val="00BC2B3B"/>
    <w:rsid w:val="00BC4579"/>
    <w:rsid w:val="00BD1F1D"/>
    <w:rsid w:val="00BD3D24"/>
    <w:rsid w:val="00C0018A"/>
    <w:rsid w:val="00C00905"/>
    <w:rsid w:val="00C035B5"/>
    <w:rsid w:val="00C11ABD"/>
    <w:rsid w:val="00C14FB2"/>
    <w:rsid w:val="00C176AC"/>
    <w:rsid w:val="00C21EF9"/>
    <w:rsid w:val="00C222F7"/>
    <w:rsid w:val="00C24839"/>
    <w:rsid w:val="00C27C23"/>
    <w:rsid w:val="00C36683"/>
    <w:rsid w:val="00C41C84"/>
    <w:rsid w:val="00C554D4"/>
    <w:rsid w:val="00C61B02"/>
    <w:rsid w:val="00C61F1C"/>
    <w:rsid w:val="00C62811"/>
    <w:rsid w:val="00C719A2"/>
    <w:rsid w:val="00C72165"/>
    <w:rsid w:val="00C83041"/>
    <w:rsid w:val="00C8661E"/>
    <w:rsid w:val="00C90B42"/>
    <w:rsid w:val="00C9475D"/>
    <w:rsid w:val="00C95056"/>
    <w:rsid w:val="00C951FD"/>
    <w:rsid w:val="00CA7F28"/>
    <w:rsid w:val="00CB0768"/>
    <w:rsid w:val="00CB131F"/>
    <w:rsid w:val="00CB4DCD"/>
    <w:rsid w:val="00CB4F2D"/>
    <w:rsid w:val="00CC1690"/>
    <w:rsid w:val="00CC665A"/>
    <w:rsid w:val="00CE04A0"/>
    <w:rsid w:val="00CE34DC"/>
    <w:rsid w:val="00D07FB4"/>
    <w:rsid w:val="00D173AD"/>
    <w:rsid w:val="00D21FA8"/>
    <w:rsid w:val="00D236B7"/>
    <w:rsid w:val="00D23E48"/>
    <w:rsid w:val="00D244BE"/>
    <w:rsid w:val="00D43096"/>
    <w:rsid w:val="00D46AB2"/>
    <w:rsid w:val="00D47815"/>
    <w:rsid w:val="00D656EB"/>
    <w:rsid w:val="00D74A30"/>
    <w:rsid w:val="00D771FD"/>
    <w:rsid w:val="00D7796D"/>
    <w:rsid w:val="00D81B18"/>
    <w:rsid w:val="00D83541"/>
    <w:rsid w:val="00D93A16"/>
    <w:rsid w:val="00D9496D"/>
    <w:rsid w:val="00DA0768"/>
    <w:rsid w:val="00DA161A"/>
    <w:rsid w:val="00DA5A94"/>
    <w:rsid w:val="00DB2355"/>
    <w:rsid w:val="00DB3BB4"/>
    <w:rsid w:val="00DC0F02"/>
    <w:rsid w:val="00DC0F8D"/>
    <w:rsid w:val="00DC2284"/>
    <w:rsid w:val="00DC3CA4"/>
    <w:rsid w:val="00DE1C0E"/>
    <w:rsid w:val="00DE4578"/>
    <w:rsid w:val="00DE6A51"/>
    <w:rsid w:val="00DF04EE"/>
    <w:rsid w:val="00DF3E35"/>
    <w:rsid w:val="00E03ED5"/>
    <w:rsid w:val="00E06243"/>
    <w:rsid w:val="00E07169"/>
    <w:rsid w:val="00E15347"/>
    <w:rsid w:val="00E162A4"/>
    <w:rsid w:val="00E1688C"/>
    <w:rsid w:val="00E22665"/>
    <w:rsid w:val="00E30499"/>
    <w:rsid w:val="00E30B51"/>
    <w:rsid w:val="00E324BB"/>
    <w:rsid w:val="00E377E8"/>
    <w:rsid w:val="00E43464"/>
    <w:rsid w:val="00E47A69"/>
    <w:rsid w:val="00E571BB"/>
    <w:rsid w:val="00E63E55"/>
    <w:rsid w:val="00E74435"/>
    <w:rsid w:val="00E758AD"/>
    <w:rsid w:val="00E77D4E"/>
    <w:rsid w:val="00E91860"/>
    <w:rsid w:val="00E93273"/>
    <w:rsid w:val="00E954B7"/>
    <w:rsid w:val="00E96FDB"/>
    <w:rsid w:val="00EA107B"/>
    <w:rsid w:val="00EB0DA2"/>
    <w:rsid w:val="00EB3AC3"/>
    <w:rsid w:val="00EB4A21"/>
    <w:rsid w:val="00EB6D31"/>
    <w:rsid w:val="00EC06CC"/>
    <w:rsid w:val="00EC16F1"/>
    <w:rsid w:val="00ED05D6"/>
    <w:rsid w:val="00ED0C6F"/>
    <w:rsid w:val="00ED2FCC"/>
    <w:rsid w:val="00EE39C5"/>
    <w:rsid w:val="00EE5F75"/>
    <w:rsid w:val="00EF2722"/>
    <w:rsid w:val="00EF6805"/>
    <w:rsid w:val="00F00508"/>
    <w:rsid w:val="00F01E52"/>
    <w:rsid w:val="00F042DC"/>
    <w:rsid w:val="00F04309"/>
    <w:rsid w:val="00F07099"/>
    <w:rsid w:val="00F105EA"/>
    <w:rsid w:val="00F11117"/>
    <w:rsid w:val="00F12541"/>
    <w:rsid w:val="00F22035"/>
    <w:rsid w:val="00F22D18"/>
    <w:rsid w:val="00F257EB"/>
    <w:rsid w:val="00F261FA"/>
    <w:rsid w:val="00F36C87"/>
    <w:rsid w:val="00F46927"/>
    <w:rsid w:val="00F53C4A"/>
    <w:rsid w:val="00F55854"/>
    <w:rsid w:val="00F56813"/>
    <w:rsid w:val="00F70110"/>
    <w:rsid w:val="00F711DA"/>
    <w:rsid w:val="00F72C93"/>
    <w:rsid w:val="00F80A88"/>
    <w:rsid w:val="00F823F5"/>
    <w:rsid w:val="00F9170D"/>
    <w:rsid w:val="00F94368"/>
    <w:rsid w:val="00F9494C"/>
    <w:rsid w:val="00FA15C8"/>
    <w:rsid w:val="00FA2D86"/>
    <w:rsid w:val="00FA31A4"/>
    <w:rsid w:val="00FA348C"/>
    <w:rsid w:val="00FA7349"/>
    <w:rsid w:val="00FB0AD8"/>
    <w:rsid w:val="00FB4DBB"/>
    <w:rsid w:val="00FD53A0"/>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689E32D"/>
  <w15:docId w15:val="{FB0BDD25-0945-459D-B448-A2775156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ParaNoChar">
    <w:name w:val="CGC Para No Char"/>
    <w:aliases w:val="CGC Numbered Para Char"/>
    <w:basedOn w:val="DefaultParagraphFont"/>
    <w:link w:val="CGCNumberedPara"/>
    <w:rsid w:val="005631B0"/>
    <w:rPr>
      <w:sz w:val="24"/>
      <w:szCs w:val="24"/>
    </w:rPr>
  </w:style>
  <w:style w:type="character" w:customStyle="1" w:styleId="CGCBulletlistChar">
    <w:name w:val="CGC Bullet list Char"/>
    <w:aliases w:val="CGC List 1 Char,CGC Bullet list Char1"/>
    <w:basedOn w:val="DefaultParagraphFont"/>
    <w:link w:val="CGCBulletlist"/>
    <w:locked/>
    <w:rsid w:val="005631B0"/>
    <w:rPr>
      <w:sz w:val="24"/>
      <w:szCs w:val="20"/>
    </w:rPr>
  </w:style>
  <w:style w:type="table" w:customStyle="1" w:styleId="TableGrid1">
    <w:name w:val="Table Grid1"/>
    <w:basedOn w:val="TableNormal"/>
    <w:next w:val="TableGrid"/>
    <w:uiPriority w:val="59"/>
    <w:rsid w:val="00563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4A30"/>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reativecommons.org/licenses/by/3.0"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cretary@cgc.gov.au" TargetMode="External"/><Relationship Id="rId23" Type="http://schemas.openxmlformats.org/officeDocument/2006/relationships/hyperlink" Target="mailto:priscilla.kan@cgc.gov.au" TargetMode="Externa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secretary@cgc.gov.au" TargetMode="External"/><Relationship Id="rId27" Type="http://schemas.openxmlformats.org/officeDocument/2006/relationships/footer" Target="footer7.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gcfs\ODrive\Word%20Templates\Official%20Template\Document%20Templates\Agenda%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E9A70-1F17-418E-982A-C5C52179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Paper.dotx</Template>
  <TotalTime>523</TotalTime>
  <Pages>13</Pages>
  <Words>3007</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Priscilla.Kan</dc:creator>
  <cp:lastModifiedBy>Alison Harper</cp:lastModifiedBy>
  <cp:revision>20</cp:revision>
  <cp:lastPrinted>2019-10-08T01:14:00Z</cp:lastPrinted>
  <dcterms:created xsi:type="dcterms:W3CDTF">2019-09-25T00:18:00Z</dcterms:created>
  <dcterms:modified xsi:type="dcterms:W3CDTF">2019-10-14T02:17:00Z</dcterms:modified>
</cp:coreProperties>
</file>