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497F1" w14:textId="16BCF42D" w:rsidR="002C25F2" w:rsidRPr="00D0309D" w:rsidRDefault="002F162A" w:rsidP="00D0309D">
      <w:pPr>
        <w:jc w:val="center"/>
        <w:rPr>
          <w:rFonts w:ascii="Montserrat Extra Bold" w:eastAsiaTheme="majorEastAsia" w:hAnsi="Montserrat Extra Bold" w:cstheme="majorBidi"/>
          <w:bCs/>
          <w:iCs/>
          <w:color w:val="004563"/>
          <w:sz w:val="40"/>
          <w:szCs w:val="28"/>
          <w:lang w:val="en-US"/>
        </w:rPr>
      </w:pPr>
      <w:r>
        <w:rPr>
          <w:rFonts w:ascii="Montserrat Extra Bold" w:eastAsiaTheme="majorEastAsia" w:hAnsi="Montserrat Extra Bold" w:cstheme="majorBidi"/>
          <w:bCs/>
          <w:iCs/>
          <w:color w:val="004563"/>
          <w:sz w:val="40"/>
          <w:szCs w:val="28"/>
          <w:lang w:val="en-US"/>
        </w:rPr>
        <w:t>Overview of</w:t>
      </w:r>
      <w:r w:rsidR="00642495">
        <w:rPr>
          <w:rFonts w:ascii="Montserrat Extra Bold" w:eastAsiaTheme="majorEastAsia" w:hAnsi="Montserrat Extra Bold" w:cstheme="majorBidi"/>
          <w:bCs/>
          <w:iCs/>
          <w:color w:val="004563"/>
          <w:sz w:val="40"/>
          <w:szCs w:val="28"/>
          <w:lang w:val="en-US"/>
        </w:rPr>
        <w:t xml:space="preserve"> the 2020 Review</w:t>
      </w:r>
    </w:p>
    <w:p w14:paraId="30FAA807" w14:textId="60B34080" w:rsidR="00642495" w:rsidRPr="00642495" w:rsidRDefault="00642495" w:rsidP="00642495">
      <w:r>
        <w:t xml:space="preserve">This fact sheet provides an overview of the 2020 Review, including a summary of the main changes to </w:t>
      </w:r>
      <w:r>
        <w:rPr>
          <w:lang w:val="en-US"/>
        </w:rPr>
        <w:t>the Commission’s assessment of State fiscal capacities.</w:t>
      </w:r>
      <w:r w:rsidR="00A80F46" w:rsidRPr="00A80F46">
        <w:t xml:space="preserve"> </w:t>
      </w:r>
    </w:p>
    <w:p w14:paraId="7CB420B9" w14:textId="382E51C3" w:rsidR="00642495" w:rsidRPr="002D032F" w:rsidRDefault="00642495" w:rsidP="00642495">
      <w:pPr>
        <w:keepNext/>
        <w:widowControl w:val="0"/>
        <w:spacing w:before="240" w:line="240" w:lineRule="auto"/>
        <w:outlineLvl w:val="3"/>
        <w:rPr>
          <w:rFonts w:ascii="Montserrat Semi Bold" w:eastAsiaTheme="majorEastAsia" w:hAnsi="Montserrat Semi Bold" w:cstheme="majorBidi"/>
          <w:bCs/>
          <w:iCs/>
          <w:color w:val="006991"/>
          <w:sz w:val="28"/>
          <w:lang w:val="en-US"/>
        </w:rPr>
      </w:pPr>
      <w:r w:rsidRPr="002D032F">
        <w:rPr>
          <w:rFonts w:ascii="Montserrat Semi Bold" w:eastAsiaTheme="majorEastAsia" w:hAnsi="Montserrat Semi Bold" w:cstheme="majorBidi"/>
          <w:bCs/>
          <w:iCs/>
          <w:color w:val="006991"/>
          <w:sz w:val="28"/>
          <w:lang w:val="en-US"/>
        </w:rPr>
        <w:t>2020 Review in context</w:t>
      </w:r>
    </w:p>
    <w:p w14:paraId="401A077B" w14:textId="44E136A1" w:rsidR="00CB0A80" w:rsidRPr="00CB0A80" w:rsidRDefault="00CB0A80" w:rsidP="007852EE">
      <w:r w:rsidRPr="00CB0A80">
        <w:t xml:space="preserve">The </w:t>
      </w:r>
      <w:r>
        <w:t>Commission</w:t>
      </w:r>
      <w:r w:rsidRPr="00CB0A80">
        <w:t xml:space="preserve">, in response to terms of reference, provides advice to the </w:t>
      </w:r>
      <w:r>
        <w:t xml:space="preserve">Commonwealth </w:t>
      </w:r>
      <w:r w:rsidRPr="00CB0A80">
        <w:t xml:space="preserve">Treasurer on a distribution of </w:t>
      </w:r>
      <w:r w:rsidR="00F71FAB" w:rsidRPr="00DE49EE">
        <w:rPr>
          <w:lang w:val="en-US"/>
        </w:rPr>
        <w:t xml:space="preserve">goods and services tax </w:t>
      </w:r>
      <w:r>
        <w:t>(</w:t>
      </w:r>
      <w:r w:rsidRPr="00CB0A80">
        <w:t>GST</w:t>
      </w:r>
      <w:r>
        <w:t>)</w:t>
      </w:r>
      <w:r w:rsidRPr="00CB0A80">
        <w:t xml:space="preserve"> revenue among the States and </w:t>
      </w:r>
      <w:r w:rsidR="0023707C">
        <w:t>T</w:t>
      </w:r>
      <w:r w:rsidRPr="00CB0A80">
        <w:t>erritories (the States), in accordance with the principle of horizontal fiscal equali</w:t>
      </w:r>
      <w:r>
        <w:t>s</w:t>
      </w:r>
      <w:r w:rsidRPr="00CB0A80">
        <w:t xml:space="preserve">ation (HFE). </w:t>
      </w:r>
    </w:p>
    <w:p w14:paraId="419DC07E" w14:textId="77777777" w:rsidR="00CB0A80" w:rsidRPr="00CB0A80" w:rsidRDefault="00CB0A80" w:rsidP="007852EE">
      <w:r w:rsidRPr="00CB0A80">
        <w:t>The transfer of fiscal resources under HFE aims to offset differences in fiscal capacities</w:t>
      </w:r>
      <w:r>
        <w:t xml:space="preserve">, </w:t>
      </w:r>
      <w:r w:rsidRPr="00CB0A80">
        <w:t xml:space="preserve">to allow Australia’s States to provide similar standards of public services at a similar tax burden.  </w:t>
      </w:r>
    </w:p>
    <w:p w14:paraId="25586686" w14:textId="0C6A1A6B" w:rsidR="00642495" w:rsidRDefault="00642495" w:rsidP="007852EE">
      <w:pPr>
        <w:rPr>
          <w:lang w:val="en-US"/>
        </w:rPr>
      </w:pPr>
      <w:r w:rsidRPr="002D032F">
        <w:rPr>
          <w:lang w:val="en-US"/>
        </w:rPr>
        <w:t xml:space="preserve">Since the introduction of the GST in 2000-01, the GST distribution methodology has been reviewed four times — 2004, 2010, 2015 and 2020. </w:t>
      </w:r>
      <w:r>
        <w:rPr>
          <w:lang w:val="en-US"/>
        </w:rPr>
        <w:t>These</w:t>
      </w:r>
      <w:r w:rsidRPr="002D032F">
        <w:rPr>
          <w:lang w:val="en-US"/>
        </w:rPr>
        <w:t xml:space="preserve"> reviews provide an opportunity for the Commission, in consultation with the States, to introduce changes to the data and </w:t>
      </w:r>
      <w:bookmarkStart w:id="0" w:name="_GoBack"/>
      <w:bookmarkEnd w:id="0"/>
      <w:r w:rsidRPr="002D032F">
        <w:rPr>
          <w:lang w:val="en-US"/>
        </w:rPr>
        <w:t xml:space="preserve">methods for measuring fiscal capacities. Changes have been adopted where State circumstances have changed, better data have become available, or where other evidence supported the need for a change. </w:t>
      </w:r>
    </w:p>
    <w:p w14:paraId="01FC3A3C" w14:textId="5D578C8A" w:rsidR="00642495" w:rsidRPr="00642495" w:rsidRDefault="00642495" w:rsidP="007852EE">
      <w:r w:rsidRPr="00642495">
        <w:rPr>
          <w:lang w:val="en-US"/>
        </w:rPr>
        <w:t>Th</w:t>
      </w:r>
      <w:r w:rsidR="00A32296">
        <w:rPr>
          <w:lang w:val="en-US"/>
        </w:rPr>
        <w:t>is</w:t>
      </w:r>
      <w:r w:rsidRPr="00642495">
        <w:rPr>
          <w:lang w:val="en-US"/>
        </w:rPr>
        <w:t xml:space="preserve"> review, which </w:t>
      </w:r>
      <w:r w:rsidR="00A32296">
        <w:rPr>
          <w:lang w:val="en-US"/>
        </w:rPr>
        <w:t>began</w:t>
      </w:r>
      <w:r w:rsidRPr="00642495">
        <w:rPr>
          <w:lang w:val="en-US"/>
        </w:rPr>
        <w:t xml:space="preserve"> in late 2016, will apply to the GST distribution from 2020-21.</w:t>
      </w:r>
      <w:r w:rsidR="00A32296">
        <w:rPr>
          <w:lang w:val="en-US"/>
        </w:rPr>
        <w:t xml:space="preserve"> </w:t>
      </w:r>
      <w:r w:rsidRPr="00642495">
        <w:t xml:space="preserve">The </w:t>
      </w:r>
      <w:r w:rsidR="00CC1A2E">
        <w:t>r</w:t>
      </w:r>
      <w:r w:rsidRPr="00642495">
        <w:t xml:space="preserve">eview report provides the </w:t>
      </w:r>
      <w:r>
        <w:t>Commission’s</w:t>
      </w:r>
      <w:r w:rsidRPr="00642495">
        <w:t xml:space="preserve"> recommended per capita relativities for distributing GST revenue in 2020-21 and describes revised method</w:t>
      </w:r>
      <w:r>
        <w:t>s</w:t>
      </w:r>
      <w:r w:rsidRPr="00642495">
        <w:t xml:space="preserve"> that will be used to calculate relativities </w:t>
      </w:r>
      <w:r>
        <w:t>in future</w:t>
      </w:r>
      <w:r w:rsidRPr="00642495">
        <w:t xml:space="preserve">. </w:t>
      </w:r>
    </w:p>
    <w:p w14:paraId="06B467ED" w14:textId="77777777" w:rsidR="00642495" w:rsidRPr="00D0309D" w:rsidRDefault="00642495" w:rsidP="00642495">
      <w:pPr>
        <w:pStyle w:val="Heading4"/>
        <w:rPr>
          <w:lang w:val="en-US"/>
        </w:rPr>
      </w:pPr>
      <w:r w:rsidRPr="00D0309D">
        <w:rPr>
          <w:lang w:val="en-US"/>
        </w:rPr>
        <w:t>Why fiscal capacities have changed</w:t>
      </w:r>
    </w:p>
    <w:p w14:paraId="2A15DE01" w14:textId="40D16F45" w:rsidR="002C25F2" w:rsidRPr="002C25F2" w:rsidRDefault="002C25F2" w:rsidP="002C25F2">
      <w:r w:rsidRPr="002C25F2">
        <w:t xml:space="preserve">The following table shows the relativities </w:t>
      </w:r>
      <w:r w:rsidR="00FC3F8C">
        <w:t xml:space="preserve">used to </w:t>
      </w:r>
      <w:r w:rsidR="00CC7952">
        <w:t xml:space="preserve">distribute GST in 2019-20 and those </w:t>
      </w:r>
      <w:r w:rsidRPr="002C25F2">
        <w:t xml:space="preserve">recommended by the </w:t>
      </w:r>
      <w:r w:rsidR="0062480A">
        <w:t>Commission</w:t>
      </w:r>
      <w:r w:rsidR="0062480A" w:rsidRPr="002C25F2">
        <w:t xml:space="preserve"> </w:t>
      </w:r>
      <w:r w:rsidRPr="002C25F2">
        <w:t>for 2020</w:t>
      </w:r>
      <w:r w:rsidR="00C246D4">
        <w:noBreakHyphen/>
      </w:r>
      <w:r w:rsidRPr="002C25F2">
        <w:t xml:space="preserve">21, </w:t>
      </w:r>
      <w:r w:rsidR="00137132">
        <w:t xml:space="preserve">with </w:t>
      </w:r>
      <w:r w:rsidRPr="002C25F2">
        <w:t xml:space="preserve">the resulting </w:t>
      </w:r>
      <w:r w:rsidR="004E7DCC">
        <w:t>change</w:t>
      </w:r>
      <w:r w:rsidR="00F21496">
        <w:t xml:space="preserve"> </w:t>
      </w:r>
      <w:r w:rsidR="004E7DCC">
        <w:t>i</w:t>
      </w:r>
      <w:r w:rsidR="00F230E4">
        <w:t xml:space="preserve">n </w:t>
      </w:r>
      <w:r w:rsidRPr="002C25F2">
        <w:t>the GST distribution ($1.5 billion).</w:t>
      </w:r>
      <w:r w:rsidR="00C246D4">
        <w:t xml:space="preserve"> </w:t>
      </w:r>
    </w:p>
    <w:p w14:paraId="23F2A3F5" w14:textId="3DA68C13" w:rsidR="002C25F2" w:rsidRPr="002C25F2" w:rsidRDefault="002C25F2" w:rsidP="003665DA">
      <w:pPr>
        <w:pStyle w:val="Caption"/>
      </w:pPr>
      <w:r w:rsidRPr="002C25F2">
        <w:t xml:space="preserve">Relativities and changes to the GST distribution due to changes in fiscal capacity </w:t>
      </w:r>
    </w:p>
    <w:tbl>
      <w:tblPr>
        <w:tblW w:w="9072" w:type="dxa"/>
        <w:tblInd w:w="28" w:type="dxa"/>
        <w:tblCellMar>
          <w:left w:w="28" w:type="dxa"/>
          <w:right w:w="28" w:type="dxa"/>
        </w:tblCellMar>
        <w:tblLook w:val="04A0" w:firstRow="1" w:lastRow="0" w:firstColumn="1" w:lastColumn="0" w:noHBand="0" w:noVBand="1"/>
      </w:tblPr>
      <w:tblGrid>
        <w:gridCol w:w="2271"/>
        <w:gridCol w:w="757"/>
        <w:gridCol w:w="757"/>
        <w:gridCol w:w="758"/>
        <w:gridCol w:w="758"/>
        <w:gridCol w:w="758"/>
        <w:gridCol w:w="758"/>
        <w:gridCol w:w="758"/>
        <w:gridCol w:w="758"/>
        <w:gridCol w:w="758"/>
      </w:tblGrid>
      <w:tr w:rsidR="002C25F2" w:rsidRPr="002C25F2" w14:paraId="6FB06D6C" w14:textId="77777777" w:rsidTr="009773F6">
        <w:trPr>
          <w:trHeight w:val="375"/>
        </w:trPr>
        <w:tc>
          <w:tcPr>
            <w:tcW w:w="2280" w:type="dxa"/>
            <w:tcBorders>
              <w:top w:val="nil"/>
              <w:left w:val="nil"/>
              <w:bottom w:val="nil"/>
              <w:right w:val="nil"/>
            </w:tcBorders>
            <w:shd w:val="clear" w:color="000000" w:fill="006991"/>
            <w:noWrap/>
            <w:vAlign w:val="center"/>
            <w:hideMark/>
          </w:tcPr>
          <w:p w14:paraId="2E88AE72"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 </w:t>
            </w:r>
          </w:p>
        </w:tc>
        <w:tc>
          <w:tcPr>
            <w:tcW w:w="760" w:type="dxa"/>
            <w:tcBorders>
              <w:top w:val="nil"/>
              <w:left w:val="nil"/>
              <w:bottom w:val="nil"/>
              <w:right w:val="nil"/>
            </w:tcBorders>
            <w:shd w:val="clear" w:color="000000" w:fill="006991"/>
            <w:noWrap/>
            <w:vAlign w:val="center"/>
            <w:hideMark/>
          </w:tcPr>
          <w:p w14:paraId="4C9906FB"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NSW</w:t>
            </w:r>
          </w:p>
        </w:tc>
        <w:tc>
          <w:tcPr>
            <w:tcW w:w="760" w:type="dxa"/>
            <w:tcBorders>
              <w:top w:val="nil"/>
              <w:left w:val="nil"/>
              <w:bottom w:val="nil"/>
              <w:right w:val="nil"/>
            </w:tcBorders>
            <w:shd w:val="clear" w:color="000000" w:fill="006991"/>
            <w:noWrap/>
            <w:vAlign w:val="center"/>
            <w:hideMark/>
          </w:tcPr>
          <w:p w14:paraId="25ADB489"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Vic</w:t>
            </w:r>
          </w:p>
        </w:tc>
        <w:tc>
          <w:tcPr>
            <w:tcW w:w="760" w:type="dxa"/>
            <w:tcBorders>
              <w:top w:val="nil"/>
              <w:left w:val="nil"/>
              <w:bottom w:val="nil"/>
              <w:right w:val="nil"/>
            </w:tcBorders>
            <w:shd w:val="clear" w:color="000000" w:fill="006991"/>
            <w:noWrap/>
            <w:vAlign w:val="center"/>
            <w:hideMark/>
          </w:tcPr>
          <w:p w14:paraId="13F3AE16"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Qld</w:t>
            </w:r>
          </w:p>
        </w:tc>
        <w:tc>
          <w:tcPr>
            <w:tcW w:w="760" w:type="dxa"/>
            <w:tcBorders>
              <w:top w:val="nil"/>
              <w:left w:val="nil"/>
              <w:bottom w:val="nil"/>
              <w:right w:val="nil"/>
            </w:tcBorders>
            <w:shd w:val="clear" w:color="000000" w:fill="006991"/>
            <w:noWrap/>
            <w:vAlign w:val="center"/>
            <w:hideMark/>
          </w:tcPr>
          <w:p w14:paraId="066A2BF5"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WA</w:t>
            </w:r>
          </w:p>
        </w:tc>
        <w:tc>
          <w:tcPr>
            <w:tcW w:w="760" w:type="dxa"/>
            <w:tcBorders>
              <w:top w:val="nil"/>
              <w:left w:val="nil"/>
              <w:bottom w:val="nil"/>
              <w:right w:val="nil"/>
            </w:tcBorders>
            <w:shd w:val="clear" w:color="000000" w:fill="006991"/>
            <w:noWrap/>
            <w:vAlign w:val="center"/>
            <w:hideMark/>
          </w:tcPr>
          <w:p w14:paraId="3224FEB1"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SA</w:t>
            </w:r>
          </w:p>
        </w:tc>
        <w:tc>
          <w:tcPr>
            <w:tcW w:w="760" w:type="dxa"/>
            <w:tcBorders>
              <w:top w:val="nil"/>
              <w:left w:val="nil"/>
              <w:bottom w:val="nil"/>
              <w:right w:val="nil"/>
            </w:tcBorders>
            <w:shd w:val="clear" w:color="000000" w:fill="006991"/>
            <w:noWrap/>
            <w:vAlign w:val="center"/>
            <w:hideMark/>
          </w:tcPr>
          <w:p w14:paraId="504B97FA"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Tas</w:t>
            </w:r>
          </w:p>
        </w:tc>
        <w:tc>
          <w:tcPr>
            <w:tcW w:w="760" w:type="dxa"/>
            <w:tcBorders>
              <w:top w:val="nil"/>
              <w:left w:val="nil"/>
              <w:bottom w:val="nil"/>
              <w:right w:val="nil"/>
            </w:tcBorders>
            <w:shd w:val="clear" w:color="000000" w:fill="006991"/>
            <w:noWrap/>
            <w:vAlign w:val="center"/>
            <w:hideMark/>
          </w:tcPr>
          <w:p w14:paraId="7F123D30"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ACT</w:t>
            </w:r>
          </w:p>
        </w:tc>
        <w:tc>
          <w:tcPr>
            <w:tcW w:w="760" w:type="dxa"/>
            <w:tcBorders>
              <w:top w:val="nil"/>
              <w:left w:val="nil"/>
              <w:bottom w:val="nil"/>
              <w:right w:val="nil"/>
            </w:tcBorders>
            <w:shd w:val="clear" w:color="000000" w:fill="006991"/>
            <w:noWrap/>
            <w:vAlign w:val="center"/>
            <w:hideMark/>
          </w:tcPr>
          <w:p w14:paraId="79C265CD"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NT</w:t>
            </w:r>
          </w:p>
        </w:tc>
        <w:tc>
          <w:tcPr>
            <w:tcW w:w="760" w:type="dxa"/>
            <w:tcBorders>
              <w:top w:val="nil"/>
              <w:left w:val="nil"/>
              <w:bottom w:val="nil"/>
              <w:right w:val="nil"/>
            </w:tcBorders>
            <w:shd w:val="clear" w:color="000000" w:fill="006991"/>
            <w:noWrap/>
            <w:vAlign w:val="center"/>
            <w:hideMark/>
          </w:tcPr>
          <w:p w14:paraId="31C863FB"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Total</w:t>
            </w:r>
          </w:p>
        </w:tc>
      </w:tr>
      <w:tr w:rsidR="002C25F2" w:rsidRPr="002C25F2" w14:paraId="7A3BDAA1" w14:textId="77777777" w:rsidTr="009773F6">
        <w:trPr>
          <w:trHeight w:val="315"/>
        </w:trPr>
        <w:tc>
          <w:tcPr>
            <w:tcW w:w="2280" w:type="dxa"/>
            <w:tcBorders>
              <w:top w:val="nil"/>
              <w:left w:val="nil"/>
              <w:bottom w:val="single" w:sz="8" w:space="0" w:color="ADD6EA"/>
              <w:right w:val="nil"/>
            </w:tcBorders>
            <w:shd w:val="clear" w:color="000000" w:fill="B6D5E4"/>
            <w:noWrap/>
            <w:vAlign w:val="center"/>
            <w:hideMark/>
          </w:tcPr>
          <w:p w14:paraId="5E62AEE2" w14:textId="77777777" w:rsidR="002C25F2" w:rsidRPr="002C25F2" w:rsidRDefault="002C25F2" w:rsidP="002C25F2">
            <w:pPr>
              <w:tabs>
                <w:tab w:val="clear" w:pos="567"/>
              </w:tabs>
              <w:spacing w:line="240" w:lineRule="auto"/>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Relativity</w:t>
            </w:r>
          </w:p>
        </w:tc>
        <w:tc>
          <w:tcPr>
            <w:tcW w:w="760" w:type="dxa"/>
            <w:tcBorders>
              <w:top w:val="nil"/>
              <w:left w:val="nil"/>
              <w:bottom w:val="single" w:sz="8" w:space="0" w:color="ADD6EA"/>
              <w:right w:val="nil"/>
            </w:tcBorders>
            <w:shd w:val="clear" w:color="000000" w:fill="B6D5E4"/>
            <w:noWrap/>
            <w:vAlign w:val="center"/>
            <w:hideMark/>
          </w:tcPr>
          <w:p w14:paraId="0ADC0E9D"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 </w:t>
            </w:r>
          </w:p>
        </w:tc>
        <w:tc>
          <w:tcPr>
            <w:tcW w:w="760" w:type="dxa"/>
            <w:tcBorders>
              <w:top w:val="nil"/>
              <w:left w:val="nil"/>
              <w:bottom w:val="single" w:sz="8" w:space="0" w:color="ADD6EA"/>
              <w:right w:val="nil"/>
            </w:tcBorders>
            <w:shd w:val="clear" w:color="000000" w:fill="B6D5E4"/>
            <w:noWrap/>
            <w:vAlign w:val="center"/>
            <w:hideMark/>
          </w:tcPr>
          <w:p w14:paraId="37294FD6"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 </w:t>
            </w:r>
          </w:p>
        </w:tc>
        <w:tc>
          <w:tcPr>
            <w:tcW w:w="760" w:type="dxa"/>
            <w:tcBorders>
              <w:top w:val="nil"/>
              <w:left w:val="nil"/>
              <w:bottom w:val="single" w:sz="8" w:space="0" w:color="ADD6EA"/>
              <w:right w:val="nil"/>
            </w:tcBorders>
            <w:shd w:val="clear" w:color="000000" w:fill="B6D5E4"/>
            <w:noWrap/>
            <w:vAlign w:val="center"/>
            <w:hideMark/>
          </w:tcPr>
          <w:p w14:paraId="46E8A46D"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 </w:t>
            </w:r>
          </w:p>
        </w:tc>
        <w:tc>
          <w:tcPr>
            <w:tcW w:w="760" w:type="dxa"/>
            <w:tcBorders>
              <w:top w:val="nil"/>
              <w:left w:val="nil"/>
              <w:bottom w:val="single" w:sz="8" w:space="0" w:color="ADD6EA"/>
              <w:right w:val="nil"/>
            </w:tcBorders>
            <w:shd w:val="clear" w:color="000000" w:fill="B6D5E4"/>
            <w:noWrap/>
            <w:vAlign w:val="center"/>
            <w:hideMark/>
          </w:tcPr>
          <w:p w14:paraId="65F8C1B6"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 </w:t>
            </w:r>
          </w:p>
        </w:tc>
        <w:tc>
          <w:tcPr>
            <w:tcW w:w="760" w:type="dxa"/>
            <w:tcBorders>
              <w:top w:val="nil"/>
              <w:left w:val="nil"/>
              <w:bottom w:val="single" w:sz="8" w:space="0" w:color="ADD6EA"/>
              <w:right w:val="nil"/>
            </w:tcBorders>
            <w:shd w:val="clear" w:color="000000" w:fill="B6D5E4"/>
            <w:noWrap/>
            <w:vAlign w:val="center"/>
            <w:hideMark/>
          </w:tcPr>
          <w:p w14:paraId="132C5456"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 </w:t>
            </w:r>
          </w:p>
        </w:tc>
        <w:tc>
          <w:tcPr>
            <w:tcW w:w="760" w:type="dxa"/>
            <w:tcBorders>
              <w:top w:val="nil"/>
              <w:left w:val="nil"/>
              <w:bottom w:val="single" w:sz="8" w:space="0" w:color="ADD6EA"/>
              <w:right w:val="nil"/>
            </w:tcBorders>
            <w:shd w:val="clear" w:color="000000" w:fill="B6D5E4"/>
            <w:noWrap/>
            <w:vAlign w:val="center"/>
            <w:hideMark/>
          </w:tcPr>
          <w:p w14:paraId="26AC2C54"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 </w:t>
            </w:r>
          </w:p>
        </w:tc>
        <w:tc>
          <w:tcPr>
            <w:tcW w:w="760" w:type="dxa"/>
            <w:tcBorders>
              <w:top w:val="nil"/>
              <w:left w:val="nil"/>
              <w:bottom w:val="single" w:sz="8" w:space="0" w:color="ADD6EA"/>
              <w:right w:val="nil"/>
            </w:tcBorders>
            <w:shd w:val="clear" w:color="000000" w:fill="B6D5E4"/>
            <w:noWrap/>
            <w:vAlign w:val="center"/>
            <w:hideMark/>
          </w:tcPr>
          <w:p w14:paraId="362D5820"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 </w:t>
            </w:r>
          </w:p>
        </w:tc>
        <w:tc>
          <w:tcPr>
            <w:tcW w:w="760" w:type="dxa"/>
            <w:tcBorders>
              <w:top w:val="nil"/>
              <w:left w:val="nil"/>
              <w:bottom w:val="single" w:sz="8" w:space="0" w:color="ADD6EA"/>
              <w:right w:val="nil"/>
            </w:tcBorders>
            <w:shd w:val="clear" w:color="000000" w:fill="B6D5E4"/>
            <w:noWrap/>
            <w:vAlign w:val="center"/>
            <w:hideMark/>
          </w:tcPr>
          <w:p w14:paraId="049A93A7"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 </w:t>
            </w:r>
          </w:p>
        </w:tc>
        <w:tc>
          <w:tcPr>
            <w:tcW w:w="760" w:type="dxa"/>
            <w:tcBorders>
              <w:top w:val="nil"/>
              <w:left w:val="nil"/>
              <w:bottom w:val="single" w:sz="8" w:space="0" w:color="ADD6EA"/>
              <w:right w:val="nil"/>
            </w:tcBorders>
            <w:shd w:val="clear" w:color="000000" w:fill="B6D5E4"/>
            <w:noWrap/>
            <w:vAlign w:val="center"/>
            <w:hideMark/>
          </w:tcPr>
          <w:p w14:paraId="391F20D8" w14:textId="77777777" w:rsidR="002C25F2" w:rsidRPr="002C25F2" w:rsidRDefault="002C25F2" w:rsidP="002C25F2">
            <w:pPr>
              <w:tabs>
                <w:tab w:val="clear" w:pos="567"/>
              </w:tabs>
              <w:spacing w:line="240" w:lineRule="auto"/>
              <w:jc w:val="right"/>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 </w:t>
            </w:r>
          </w:p>
        </w:tc>
      </w:tr>
      <w:tr w:rsidR="002C25F2" w:rsidRPr="002C25F2" w14:paraId="214E28D3" w14:textId="77777777" w:rsidTr="009773F6">
        <w:trPr>
          <w:trHeight w:val="300"/>
        </w:trPr>
        <w:tc>
          <w:tcPr>
            <w:tcW w:w="2280" w:type="dxa"/>
            <w:tcBorders>
              <w:top w:val="single" w:sz="4" w:space="0" w:color="ADD6EA"/>
              <w:left w:val="nil"/>
              <w:bottom w:val="single" w:sz="4" w:space="0" w:color="ADD6EA"/>
              <w:right w:val="nil"/>
            </w:tcBorders>
            <w:shd w:val="clear" w:color="auto" w:fill="auto"/>
            <w:vAlign w:val="bottom"/>
            <w:hideMark/>
          </w:tcPr>
          <w:p w14:paraId="653F3C5C" w14:textId="77777777" w:rsidR="002C25F2" w:rsidRPr="002C25F2" w:rsidRDefault="002C25F2" w:rsidP="002C25F2">
            <w:pPr>
              <w:tabs>
                <w:tab w:val="clear" w:pos="567"/>
              </w:tabs>
              <w:spacing w:line="240" w:lineRule="auto"/>
              <w:rPr>
                <w:rFonts w:eastAsia="Times New Roman" w:cs="Open Sans Light"/>
                <w:color w:val="000000"/>
                <w:sz w:val="16"/>
                <w:szCs w:val="16"/>
                <w:lang w:eastAsia="en-AU"/>
              </w:rPr>
            </w:pPr>
            <w:r w:rsidRPr="002C25F2">
              <w:rPr>
                <w:rFonts w:eastAsia="Times New Roman" w:cs="Open Sans Light"/>
                <w:color w:val="000000"/>
                <w:sz w:val="16"/>
                <w:szCs w:val="16"/>
                <w:lang w:eastAsia="en-AU"/>
              </w:rPr>
              <w:t>2019-20</w:t>
            </w:r>
          </w:p>
        </w:tc>
        <w:tc>
          <w:tcPr>
            <w:tcW w:w="760" w:type="dxa"/>
            <w:tcBorders>
              <w:top w:val="single" w:sz="4" w:space="0" w:color="ADD6EA"/>
              <w:left w:val="nil"/>
              <w:bottom w:val="single" w:sz="4" w:space="0" w:color="ADD6EA"/>
              <w:right w:val="nil"/>
            </w:tcBorders>
            <w:shd w:val="clear" w:color="auto" w:fill="auto"/>
            <w:vAlign w:val="bottom"/>
            <w:hideMark/>
          </w:tcPr>
          <w:p w14:paraId="45FB8896"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0.87013</w:t>
            </w:r>
          </w:p>
        </w:tc>
        <w:tc>
          <w:tcPr>
            <w:tcW w:w="760" w:type="dxa"/>
            <w:tcBorders>
              <w:top w:val="single" w:sz="4" w:space="0" w:color="ADD6EA"/>
              <w:left w:val="nil"/>
              <w:bottom w:val="single" w:sz="4" w:space="0" w:color="ADD6EA"/>
              <w:right w:val="nil"/>
            </w:tcBorders>
            <w:shd w:val="clear" w:color="auto" w:fill="auto"/>
            <w:vAlign w:val="bottom"/>
            <w:hideMark/>
          </w:tcPr>
          <w:p w14:paraId="5DB3C34C"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0.98273</w:t>
            </w:r>
          </w:p>
        </w:tc>
        <w:tc>
          <w:tcPr>
            <w:tcW w:w="760" w:type="dxa"/>
            <w:tcBorders>
              <w:top w:val="single" w:sz="4" w:space="0" w:color="ADD6EA"/>
              <w:left w:val="nil"/>
              <w:bottom w:val="single" w:sz="4" w:space="0" w:color="ADD6EA"/>
              <w:right w:val="nil"/>
            </w:tcBorders>
            <w:shd w:val="clear" w:color="auto" w:fill="auto"/>
            <w:vAlign w:val="bottom"/>
            <w:hideMark/>
          </w:tcPr>
          <w:p w14:paraId="54582E86"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1.05370</w:t>
            </w:r>
          </w:p>
        </w:tc>
        <w:tc>
          <w:tcPr>
            <w:tcW w:w="760" w:type="dxa"/>
            <w:tcBorders>
              <w:top w:val="single" w:sz="4" w:space="0" w:color="ADD6EA"/>
              <w:left w:val="nil"/>
              <w:bottom w:val="single" w:sz="4" w:space="0" w:color="ADD6EA"/>
              <w:right w:val="nil"/>
            </w:tcBorders>
            <w:shd w:val="clear" w:color="auto" w:fill="auto"/>
            <w:vAlign w:val="bottom"/>
            <w:hideMark/>
          </w:tcPr>
          <w:p w14:paraId="55FDA471"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0.51842</w:t>
            </w:r>
          </w:p>
        </w:tc>
        <w:tc>
          <w:tcPr>
            <w:tcW w:w="760" w:type="dxa"/>
            <w:tcBorders>
              <w:top w:val="single" w:sz="4" w:space="0" w:color="ADD6EA"/>
              <w:left w:val="nil"/>
              <w:bottom w:val="single" w:sz="4" w:space="0" w:color="ADD6EA"/>
              <w:right w:val="nil"/>
            </w:tcBorders>
            <w:shd w:val="clear" w:color="auto" w:fill="auto"/>
            <w:vAlign w:val="bottom"/>
            <w:hideMark/>
          </w:tcPr>
          <w:p w14:paraId="7E9A741D"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1.46552</w:t>
            </w:r>
          </w:p>
        </w:tc>
        <w:tc>
          <w:tcPr>
            <w:tcW w:w="760" w:type="dxa"/>
            <w:tcBorders>
              <w:top w:val="single" w:sz="4" w:space="0" w:color="ADD6EA"/>
              <w:left w:val="nil"/>
              <w:bottom w:val="single" w:sz="4" w:space="0" w:color="ADD6EA"/>
              <w:right w:val="nil"/>
            </w:tcBorders>
            <w:shd w:val="clear" w:color="auto" w:fill="auto"/>
            <w:vAlign w:val="bottom"/>
            <w:hideMark/>
          </w:tcPr>
          <w:p w14:paraId="0665806A"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1.75576</w:t>
            </w:r>
          </w:p>
        </w:tc>
        <w:tc>
          <w:tcPr>
            <w:tcW w:w="760" w:type="dxa"/>
            <w:tcBorders>
              <w:top w:val="single" w:sz="4" w:space="0" w:color="ADD6EA"/>
              <w:left w:val="nil"/>
              <w:bottom w:val="single" w:sz="4" w:space="0" w:color="ADD6EA"/>
              <w:right w:val="nil"/>
            </w:tcBorders>
            <w:shd w:val="clear" w:color="auto" w:fill="auto"/>
            <w:vAlign w:val="bottom"/>
            <w:hideMark/>
          </w:tcPr>
          <w:p w14:paraId="7EFC09FE"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1.23759</w:t>
            </w:r>
          </w:p>
        </w:tc>
        <w:tc>
          <w:tcPr>
            <w:tcW w:w="760" w:type="dxa"/>
            <w:tcBorders>
              <w:top w:val="single" w:sz="4" w:space="0" w:color="ADD6EA"/>
              <w:left w:val="nil"/>
              <w:bottom w:val="single" w:sz="4" w:space="0" w:color="ADD6EA"/>
              <w:right w:val="nil"/>
            </w:tcBorders>
            <w:shd w:val="clear" w:color="auto" w:fill="auto"/>
            <w:vAlign w:val="bottom"/>
            <w:hideMark/>
          </w:tcPr>
          <w:p w14:paraId="26184AEA"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4.26735</w:t>
            </w:r>
          </w:p>
        </w:tc>
        <w:tc>
          <w:tcPr>
            <w:tcW w:w="760" w:type="dxa"/>
            <w:tcBorders>
              <w:top w:val="single" w:sz="4" w:space="0" w:color="ADD6EA"/>
              <w:left w:val="nil"/>
              <w:bottom w:val="single" w:sz="4" w:space="0" w:color="ADD6EA"/>
              <w:right w:val="nil"/>
            </w:tcBorders>
            <w:shd w:val="clear" w:color="auto" w:fill="auto"/>
            <w:vAlign w:val="bottom"/>
            <w:hideMark/>
          </w:tcPr>
          <w:p w14:paraId="0CFEAD61"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1.00000</w:t>
            </w:r>
          </w:p>
        </w:tc>
      </w:tr>
      <w:tr w:rsidR="002C25F2" w:rsidRPr="002C25F2" w14:paraId="3DF6DBB4" w14:textId="77777777" w:rsidTr="009773F6">
        <w:trPr>
          <w:trHeight w:val="300"/>
        </w:trPr>
        <w:tc>
          <w:tcPr>
            <w:tcW w:w="2280" w:type="dxa"/>
            <w:tcBorders>
              <w:top w:val="nil"/>
              <w:left w:val="nil"/>
              <w:bottom w:val="single" w:sz="4" w:space="0" w:color="ADD6EA"/>
              <w:right w:val="nil"/>
            </w:tcBorders>
            <w:shd w:val="clear" w:color="auto" w:fill="auto"/>
            <w:vAlign w:val="bottom"/>
            <w:hideMark/>
          </w:tcPr>
          <w:p w14:paraId="4E80DE2C" w14:textId="77777777" w:rsidR="002C25F2" w:rsidRPr="002C25F2" w:rsidRDefault="002C25F2" w:rsidP="002C25F2">
            <w:pPr>
              <w:tabs>
                <w:tab w:val="clear" w:pos="567"/>
              </w:tabs>
              <w:spacing w:line="240" w:lineRule="auto"/>
              <w:rPr>
                <w:rFonts w:eastAsia="Times New Roman" w:cs="Open Sans Light"/>
                <w:color w:val="000000"/>
                <w:sz w:val="16"/>
                <w:szCs w:val="16"/>
                <w:lang w:eastAsia="en-AU"/>
              </w:rPr>
            </w:pPr>
            <w:r w:rsidRPr="002C25F2">
              <w:rPr>
                <w:rFonts w:eastAsia="Times New Roman" w:cs="Open Sans Light"/>
                <w:color w:val="000000"/>
                <w:sz w:val="16"/>
                <w:szCs w:val="16"/>
                <w:lang w:eastAsia="en-AU"/>
              </w:rPr>
              <w:t>2020-21</w:t>
            </w:r>
          </w:p>
        </w:tc>
        <w:tc>
          <w:tcPr>
            <w:tcW w:w="760" w:type="dxa"/>
            <w:tcBorders>
              <w:top w:val="nil"/>
              <w:left w:val="nil"/>
              <w:bottom w:val="single" w:sz="4" w:space="0" w:color="ADD6EA"/>
              <w:right w:val="nil"/>
            </w:tcBorders>
            <w:shd w:val="clear" w:color="auto" w:fill="auto"/>
            <w:vAlign w:val="bottom"/>
            <w:hideMark/>
          </w:tcPr>
          <w:p w14:paraId="40D82EAD"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0.91808</w:t>
            </w:r>
          </w:p>
        </w:tc>
        <w:tc>
          <w:tcPr>
            <w:tcW w:w="760" w:type="dxa"/>
            <w:tcBorders>
              <w:top w:val="nil"/>
              <w:left w:val="nil"/>
              <w:bottom w:val="single" w:sz="4" w:space="0" w:color="ADD6EA"/>
              <w:right w:val="nil"/>
            </w:tcBorders>
            <w:shd w:val="clear" w:color="auto" w:fill="auto"/>
            <w:vAlign w:val="bottom"/>
            <w:hideMark/>
          </w:tcPr>
          <w:p w14:paraId="408383E1"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0.95992</w:t>
            </w:r>
          </w:p>
        </w:tc>
        <w:tc>
          <w:tcPr>
            <w:tcW w:w="760" w:type="dxa"/>
            <w:tcBorders>
              <w:top w:val="nil"/>
              <w:left w:val="nil"/>
              <w:bottom w:val="single" w:sz="4" w:space="0" w:color="ADD6EA"/>
              <w:right w:val="nil"/>
            </w:tcBorders>
            <w:shd w:val="clear" w:color="auto" w:fill="auto"/>
            <w:vAlign w:val="bottom"/>
            <w:hideMark/>
          </w:tcPr>
          <w:p w14:paraId="10673133"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1.04907</w:t>
            </w:r>
          </w:p>
        </w:tc>
        <w:tc>
          <w:tcPr>
            <w:tcW w:w="760" w:type="dxa"/>
            <w:tcBorders>
              <w:top w:val="nil"/>
              <w:left w:val="nil"/>
              <w:bottom w:val="single" w:sz="4" w:space="0" w:color="ADD6EA"/>
              <w:right w:val="nil"/>
            </w:tcBorders>
            <w:shd w:val="clear" w:color="auto" w:fill="auto"/>
            <w:vAlign w:val="bottom"/>
            <w:hideMark/>
          </w:tcPr>
          <w:p w14:paraId="61D71890"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0.44970</w:t>
            </w:r>
          </w:p>
        </w:tc>
        <w:tc>
          <w:tcPr>
            <w:tcW w:w="760" w:type="dxa"/>
            <w:tcBorders>
              <w:top w:val="nil"/>
              <w:left w:val="nil"/>
              <w:bottom w:val="single" w:sz="4" w:space="0" w:color="ADD6EA"/>
              <w:right w:val="nil"/>
            </w:tcBorders>
            <w:shd w:val="clear" w:color="auto" w:fill="auto"/>
            <w:vAlign w:val="bottom"/>
            <w:hideMark/>
          </w:tcPr>
          <w:p w14:paraId="13D63E82"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1.35765</w:t>
            </w:r>
          </w:p>
        </w:tc>
        <w:tc>
          <w:tcPr>
            <w:tcW w:w="760" w:type="dxa"/>
            <w:tcBorders>
              <w:top w:val="nil"/>
              <w:left w:val="nil"/>
              <w:bottom w:val="single" w:sz="4" w:space="0" w:color="ADD6EA"/>
              <w:right w:val="nil"/>
            </w:tcBorders>
            <w:shd w:val="clear" w:color="auto" w:fill="auto"/>
            <w:vAlign w:val="bottom"/>
            <w:hideMark/>
          </w:tcPr>
          <w:p w14:paraId="1D28ADD0"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1.89742</w:t>
            </w:r>
          </w:p>
        </w:tc>
        <w:tc>
          <w:tcPr>
            <w:tcW w:w="760" w:type="dxa"/>
            <w:tcBorders>
              <w:top w:val="nil"/>
              <w:left w:val="nil"/>
              <w:bottom w:val="single" w:sz="4" w:space="0" w:color="ADD6EA"/>
              <w:right w:val="nil"/>
            </w:tcBorders>
            <w:shd w:val="clear" w:color="auto" w:fill="auto"/>
            <w:vAlign w:val="bottom"/>
            <w:hideMark/>
          </w:tcPr>
          <w:p w14:paraId="3CA0BAF6"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1.15112</w:t>
            </w:r>
          </w:p>
        </w:tc>
        <w:tc>
          <w:tcPr>
            <w:tcW w:w="760" w:type="dxa"/>
            <w:tcBorders>
              <w:top w:val="nil"/>
              <w:left w:val="nil"/>
              <w:bottom w:val="single" w:sz="4" w:space="0" w:color="ADD6EA"/>
              <w:right w:val="nil"/>
            </w:tcBorders>
            <w:shd w:val="clear" w:color="auto" w:fill="auto"/>
            <w:vAlign w:val="bottom"/>
            <w:hideMark/>
          </w:tcPr>
          <w:p w14:paraId="7D314442"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4.76893</w:t>
            </w:r>
          </w:p>
        </w:tc>
        <w:tc>
          <w:tcPr>
            <w:tcW w:w="760" w:type="dxa"/>
            <w:tcBorders>
              <w:top w:val="nil"/>
              <w:left w:val="nil"/>
              <w:bottom w:val="single" w:sz="4" w:space="0" w:color="ADD6EA"/>
              <w:right w:val="nil"/>
            </w:tcBorders>
            <w:shd w:val="clear" w:color="auto" w:fill="auto"/>
            <w:vAlign w:val="bottom"/>
            <w:hideMark/>
          </w:tcPr>
          <w:p w14:paraId="66149076"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1.00000</w:t>
            </w:r>
          </w:p>
        </w:tc>
      </w:tr>
      <w:tr w:rsidR="002C25F2" w:rsidRPr="002C25F2" w14:paraId="2DADDF9D" w14:textId="77777777" w:rsidTr="009773F6">
        <w:trPr>
          <w:trHeight w:val="315"/>
        </w:trPr>
        <w:tc>
          <w:tcPr>
            <w:tcW w:w="9120" w:type="dxa"/>
            <w:gridSpan w:val="10"/>
            <w:tcBorders>
              <w:top w:val="single" w:sz="4" w:space="0" w:color="ADD6EA"/>
              <w:left w:val="nil"/>
              <w:bottom w:val="single" w:sz="8" w:space="0" w:color="ADD6EA"/>
              <w:right w:val="nil"/>
            </w:tcBorders>
            <w:shd w:val="clear" w:color="000000" w:fill="B6D5E4"/>
            <w:noWrap/>
            <w:vAlign w:val="center"/>
            <w:hideMark/>
          </w:tcPr>
          <w:p w14:paraId="42576441" w14:textId="39587EDB" w:rsidR="002C25F2" w:rsidRPr="002C25F2" w:rsidRDefault="002C25F2" w:rsidP="002C25F2">
            <w:pPr>
              <w:tabs>
                <w:tab w:val="clear" w:pos="567"/>
              </w:tabs>
              <w:spacing w:line="240" w:lineRule="auto"/>
              <w:rPr>
                <w:rFonts w:ascii="Open Sans SemiBold" w:eastAsia="Times New Roman" w:hAnsi="Open Sans SemiBold" w:cs="Open Sans SemiBold"/>
                <w:color w:val="000000"/>
                <w:sz w:val="16"/>
                <w:szCs w:val="16"/>
                <w:lang w:eastAsia="en-AU"/>
              </w:rPr>
            </w:pPr>
            <w:r w:rsidRPr="002C25F2">
              <w:rPr>
                <w:rFonts w:ascii="Open Sans SemiBold" w:eastAsia="Times New Roman" w:hAnsi="Open Sans SemiBold" w:cs="Open Sans SemiBold"/>
                <w:color w:val="000000"/>
                <w:sz w:val="16"/>
                <w:szCs w:val="16"/>
                <w:lang w:eastAsia="en-AU"/>
              </w:rPr>
              <w:t xml:space="preserve">Change to GST </w:t>
            </w:r>
            <w:r w:rsidR="00A72379">
              <w:rPr>
                <w:rFonts w:ascii="Open Sans SemiBold" w:eastAsia="Times New Roman" w:hAnsi="Open Sans SemiBold" w:cs="Open Sans SemiBold"/>
                <w:color w:val="000000"/>
                <w:sz w:val="16"/>
                <w:szCs w:val="16"/>
                <w:lang w:eastAsia="en-AU"/>
              </w:rPr>
              <w:t>distribution</w:t>
            </w:r>
            <w:r w:rsidR="00A72379" w:rsidRPr="002C25F2">
              <w:rPr>
                <w:rFonts w:ascii="Open Sans SemiBold" w:eastAsia="Times New Roman" w:hAnsi="Open Sans SemiBold" w:cs="Open Sans SemiBold"/>
                <w:color w:val="000000"/>
                <w:sz w:val="16"/>
                <w:szCs w:val="16"/>
                <w:lang w:eastAsia="en-AU"/>
              </w:rPr>
              <w:t xml:space="preserve"> </w:t>
            </w:r>
            <w:r w:rsidRPr="002C25F2">
              <w:rPr>
                <w:rFonts w:ascii="Open Sans SemiBold" w:eastAsia="Times New Roman" w:hAnsi="Open Sans SemiBold" w:cs="Open Sans SemiBold"/>
                <w:color w:val="000000"/>
                <w:sz w:val="16"/>
                <w:szCs w:val="16"/>
                <w:lang w:eastAsia="en-AU"/>
              </w:rPr>
              <w:t>due to changes in fiscal capacity (a)</w:t>
            </w:r>
          </w:p>
        </w:tc>
      </w:tr>
      <w:tr w:rsidR="002C25F2" w:rsidRPr="002C25F2" w14:paraId="1024934F" w14:textId="77777777" w:rsidTr="009773F6">
        <w:trPr>
          <w:trHeight w:val="300"/>
        </w:trPr>
        <w:tc>
          <w:tcPr>
            <w:tcW w:w="2280" w:type="dxa"/>
            <w:tcBorders>
              <w:top w:val="single" w:sz="4" w:space="0" w:color="ADD6EA"/>
              <w:left w:val="nil"/>
              <w:bottom w:val="single" w:sz="4" w:space="0" w:color="ADD6EA"/>
              <w:right w:val="nil"/>
            </w:tcBorders>
            <w:shd w:val="clear" w:color="auto" w:fill="auto"/>
            <w:vAlign w:val="bottom"/>
            <w:hideMark/>
          </w:tcPr>
          <w:p w14:paraId="02686740" w14:textId="77777777" w:rsidR="002C25F2" w:rsidRPr="002C25F2" w:rsidRDefault="002C25F2" w:rsidP="002C25F2">
            <w:pPr>
              <w:tabs>
                <w:tab w:val="clear" w:pos="567"/>
              </w:tabs>
              <w:spacing w:line="240" w:lineRule="auto"/>
              <w:rPr>
                <w:rFonts w:eastAsia="Times New Roman" w:cs="Open Sans Light"/>
                <w:color w:val="000000"/>
                <w:sz w:val="16"/>
                <w:szCs w:val="16"/>
                <w:lang w:eastAsia="en-AU"/>
              </w:rPr>
            </w:pPr>
            <w:r w:rsidRPr="002C25F2">
              <w:rPr>
                <w:rFonts w:eastAsia="Times New Roman" w:cs="Open Sans Light"/>
                <w:color w:val="000000"/>
                <w:sz w:val="16"/>
                <w:szCs w:val="16"/>
                <w:lang w:eastAsia="en-AU"/>
              </w:rPr>
              <w:t>$million</w:t>
            </w:r>
          </w:p>
        </w:tc>
        <w:tc>
          <w:tcPr>
            <w:tcW w:w="760" w:type="dxa"/>
            <w:tcBorders>
              <w:top w:val="single" w:sz="4" w:space="0" w:color="ADD6EA"/>
              <w:left w:val="nil"/>
              <w:bottom w:val="single" w:sz="4" w:space="0" w:color="ADD6EA"/>
              <w:right w:val="nil"/>
            </w:tcBorders>
            <w:shd w:val="clear" w:color="auto" w:fill="auto"/>
            <w:vAlign w:val="bottom"/>
            <w:hideMark/>
          </w:tcPr>
          <w:p w14:paraId="7A4DB439"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1,031</w:t>
            </w:r>
          </w:p>
        </w:tc>
        <w:tc>
          <w:tcPr>
            <w:tcW w:w="760" w:type="dxa"/>
            <w:tcBorders>
              <w:top w:val="single" w:sz="4" w:space="0" w:color="ADD6EA"/>
              <w:left w:val="nil"/>
              <w:bottom w:val="single" w:sz="4" w:space="0" w:color="ADD6EA"/>
              <w:right w:val="nil"/>
            </w:tcBorders>
            <w:shd w:val="clear" w:color="auto" w:fill="auto"/>
            <w:vAlign w:val="bottom"/>
            <w:hideMark/>
          </w:tcPr>
          <w:p w14:paraId="1207F4D6"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-410</w:t>
            </w:r>
          </w:p>
        </w:tc>
        <w:tc>
          <w:tcPr>
            <w:tcW w:w="760" w:type="dxa"/>
            <w:tcBorders>
              <w:top w:val="single" w:sz="4" w:space="0" w:color="ADD6EA"/>
              <w:left w:val="nil"/>
              <w:bottom w:val="single" w:sz="4" w:space="0" w:color="ADD6EA"/>
              <w:right w:val="nil"/>
            </w:tcBorders>
            <w:shd w:val="clear" w:color="auto" w:fill="auto"/>
            <w:vAlign w:val="bottom"/>
            <w:hideMark/>
          </w:tcPr>
          <w:p w14:paraId="56485F2D"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-67</w:t>
            </w:r>
          </w:p>
        </w:tc>
        <w:tc>
          <w:tcPr>
            <w:tcW w:w="760" w:type="dxa"/>
            <w:tcBorders>
              <w:top w:val="single" w:sz="4" w:space="0" w:color="ADD6EA"/>
              <w:left w:val="nil"/>
              <w:bottom w:val="single" w:sz="4" w:space="0" w:color="ADD6EA"/>
              <w:right w:val="nil"/>
            </w:tcBorders>
            <w:shd w:val="clear" w:color="auto" w:fill="auto"/>
            <w:vAlign w:val="bottom"/>
            <w:hideMark/>
          </w:tcPr>
          <w:p w14:paraId="31782C59"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-475</w:t>
            </w:r>
          </w:p>
        </w:tc>
        <w:tc>
          <w:tcPr>
            <w:tcW w:w="760" w:type="dxa"/>
            <w:tcBorders>
              <w:top w:val="single" w:sz="4" w:space="0" w:color="ADD6EA"/>
              <w:left w:val="nil"/>
              <w:bottom w:val="single" w:sz="4" w:space="0" w:color="ADD6EA"/>
              <w:right w:val="nil"/>
            </w:tcBorders>
            <w:shd w:val="clear" w:color="auto" w:fill="auto"/>
            <w:vAlign w:val="bottom"/>
            <w:hideMark/>
          </w:tcPr>
          <w:p w14:paraId="6A4A147E"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-499</w:t>
            </w:r>
          </w:p>
        </w:tc>
        <w:tc>
          <w:tcPr>
            <w:tcW w:w="760" w:type="dxa"/>
            <w:tcBorders>
              <w:top w:val="single" w:sz="4" w:space="0" w:color="ADD6EA"/>
              <w:left w:val="nil"/>
              <w:bottom w:val="single" w:sz="4" w:space="0" w:color="ADD6EA"/>
              <w:right w:val="nil"/>
            </w:tcBorders>
            <w:shd w:val="clear" w:color="auto" w:fill="auto"/>
            <w:vAlign w:val="bottom"/>
            <w:hideMark/>
          </w:tcPr>
          <w:p w14:paraId="37010E86"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200</w:t>
            </w:r>
          </w:p>
        </w:tc>
        <w:tc>
          <w:tcPr>
            <w:tcW w:w="760" w:type="dxa"/>
            <w:tcBorders>
              <w:top w:val="single" w:sz="4" w:space="0" w:color="ADD6EA"/>
              <w:left w:val="nil"/>
              <w:bottom w:val="single" w:sz="4" w:space="0" w:color="ADD6EA"/>
              <w:right w:val="nil"/>
            </w:tcBorders>
            <w:shd w:val="clear" w:color="auto" w:fill="auto"/>
            <w:vAlign w:val="bottom"/>
            <w:hideMark/>
          </w:tcPr>
          <w:p w14:paraId="3E9701F9"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-99</w:t>
            </w:r>
          </w:p>
        </w:tc>
        <w:tc>
          <w:tcPr>
            <w:tcW w:w="760" w:type="dxa"/>
            <w:tcBorders>
              <w:top w:val="single" w:sz="4" w:space="0" w:color="ADD6EA"/>
              <w:left w:val="nil"/>
              <w:bottom w:val="single" w:sz="4" w:space="0" w:color="ADD6EA"/>
              <w:right w:val="nil"/>
            </w:tcBorders>
            <w:shd w:val="clear" w:color="auto" w:fill="auto"/>
            <w:vAlign w:val="bottom"/>
            <w:hideMark/>
          </w:tcPr>
          <w:p w14:paraId="42337863"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320</w:t>
            </w:r>
          </w:p>
        </w:tc>
        <w:tc>
          <w:tcPr>
            <w:tcW w:w="760" w:type="dxa"/>
            <w:tcBorders>
              <w:top w:val="single" w:sz="4" w:space="0" w:color="ADD6EA"/>
              <w:left w:val="nil"/>
              <w:bottom w:val="single" w:sz="4" w:space="0" w:color="ADD6EA"/>
              <w:right w:val="nil"/>
            </w:tcBorders>
            <w:shd w:val="clear" w:color="auto" w:fill="auto"/>
            <w:vAlign w:val="bottom"/>
            <w:hideMark/>
          </w:tcPr>
          <w:p w14:paraId="4B9E3A04" w14:textId="77777777" w:rsidR="002C25F2" w:rsidRPr="002C25F2" w:rsidRDefault="002C25F2" w:rsidP="002C25F2">
            <w:pPr>
              <w:tabs>
                <w:tab w:val="clear" w:pos="567"/>
              </w:tabs>
              <w:spacing w:line="240" w:lineRule="auto"/>
              <w:jc w:val="right"/>
              <w:rPr>
                <w:rFonts w:eastAsia="Times New Roman" w:cs="Open Sans Light"/>
                <w:color w:val="000000"/>
                <w:sz w:val="16"/>
                <w:szCs w:val="16"/>
                <w:lang w:eastAsia="en-AU"/>
              </w:rPr>
            </w:pPr>
            <w:r w:rsidRPr="002C25F2">
              <w:rPr>
                <w:rFonts w:eastAsia="Times New Roman" w:cs="Open Sans Light"/>
                <w:color w:val="000000"/>
                <w:sz w:val="16"/>
                <w:szCs w:val="16"/>
                <w:lang w:eastAsia="en-AU"/>
              </w:rPr>
              <w:t>1,551</w:t>
            </w:r>
          </w:p>
        </w:tc>
      </w:tr>
    </w:tbl>
    <w:p w14:paraId="6633E7BB" w14:textId="769819F0" w:rsidR="002C25F2" w:rsidRPr="002C25F2" w:rsidRDefault="00074110" w:rsidP="005E09CE">
      <w:pPr>
        <w:pStyle w:val="CGCTablenote"/>
      </w:pPr>
      <w:r>
        <w:t>(a)</w:t>
      </w:r>
      <w:r w:rsidR="002C25F2" w:rsidRPr="002C25F2">
        <w:tab/>
        <w:t xml:space="preserve">Changes to GST revenue and </w:t>
      </w:r>
      <w:r w:rsidR="00F650C2">
        <w:t>State</w:t>
      </w:r>
      <w:r w:rsidR="002C25F2" w:rsidRPr="002C25F2">
        <w:t xml:space="preserve"> populations also affect the GST distribution but the</w:t>
      </w:r>
      <w:r w:rsidR="00006A23">
        <w:t>se</w:t>
      </w:r>
      <w:r w:rsidR="002C25F2" w:rsidRPr="002C25F2">
        <w:t xml:space="preserve"> effects are not shown here.</w:t>
      </w:r>
      <w:r w:rsidR="00006A23">
        <w:t xml:space="preserve"> </w:t>
      </w:r>
      <w:r w:rsidR="00A81A39">
        <w:t xml:space="preserve">Table 1-2 </w:t>
      </w:r>
      <w:r w:rsidR="00FE30DC">
        <w:t xml:space="preserve">in Volume 1 of the report </w:t>
      </w:r>
      <w:r w:rsidR="00457BA1">
        <w:t>shows all three effects</w:t>
      </w:r>
      <w:r w:rsidR="002F3380">
        <w:t>.</w:t>
      </w:r>
      <w:r w:rsidR="000527AB">
        <w:t xml:space="preserve"> </w:t>
      </w:r>
      <w:r w:rsidR="009B6619">
        <w:t xml:space="preserve">The change in the </w:t>
      </w:r>
      <w:r w:rsidR="00C417BE">
        <w:t xml:space="preserve">GST </w:t>
      </w:r>
      <w:r w:rsidR="009B6619">
        <w:t xml:space="preserve">distribution </w:t>
      </w:r>
      <w:r w:rsidR="00B970A6">
        <w:t>is illustrative</w:t>
      </w:r>
      <w:r w:rsidR="00753D06">
        <w:t xml:space="preserve"> and</w:t>
      </w:r>
      <w:r w:rsidR="00C34BC1">
        <w:t xml:space="preserve"> is the difference between the estimated 2019-20 distribution and </w:t>
      </w:r>
      <w:r w:rsidR="009E65D2">
        <w:t>illustrative 20</w:t>
      </w:r>
      <w:r w:rsidR="004B0AA1">
        <w:t>20-21 distribution</w:t>
      </w:r>
      <w:r w:rsidR="00DB7836">
        <w:t xml:space="preserve"> </w:t>
      </w:r>
      <w:r w:rsidR="00287C1B">
        <w:t>that is attributed to changes in State circums</w:t>
      </w:r>
      <w:r w:rsidR="00F25C54">
        <w:t>tances</w:t>
      </w:r>
      <w:r w:rsidR="00B3178B">
        <w:t>.</w:t>
      </w:r>
    </w:p>
    <w:p w14:paraId="704DED50" w14:textId="4427FD67" w:rsidR="002C25F2" w:rsidRPr="002C25F2" w:rsidRDefault="002C25F2" w:rsidP="005E09CE">
      <w:pPr>
        <w:pStyle w:val="CGCTablenote"/>
      </w:pPr>
      <w:r w:rsidRPr="002C25F2">
        <w:t xml:space="preserve">Source: </w:t>
      </w:r>
      <w:r w:rsidRPr="002C25F2">
        <w:tab/>
        <w:t>Commission calculation</w:t>
      </w:r>
      <w:r w:rsidR="00B3178B">
        <w:t>.</w:t>
      </w:r>
    </w:p>
    <w:p w14:paraId="789603FB" w14:textId="02326CC1" w:rsidR="002C25F2" w:rsidRPr="002C25F2" w:rsidRDefault="002C25F2" w:rsidP="00846D1F">
      <w:pPr>
        <w:keepNext/>
        <w:keepLines/>
        <w:rPr>
          <w:lang w:val="en-US"/>
        </w:rPr>
      </w:pPr>
      <w:r w:rsidRPr="002C25F2">
        <w:rPr>
          <w:lang w:val="en-US"/>
        </w:rPr>
        <w:t xml:space="preserve">Changes to relativities reflect changes in the </w:t>
      </w:r>
      <w:r w:rsidR="004F2B5D">
        <w:rPr>
          <w:lang w:val="en-US"/>
        </w:rPr>
        <w:t>Commission’s</w:t>
      </w:r>
      <w:r w:rsidR="004F2B5D" w:rsidRPr="002C25F2">
        <w:rPr>
          <w:lang w:val="en-US"/>
        </w:rPr>
        <w:t xml:space="preserve"> </w:t>
      </w:r>
      <w:r w:rsidRPr="002C25F2">
        <w:rPr>
          <w:lang w:val="en-US"/>
        </w:rPr>
        <w:t>measures of relative fiscal capacity. Movements in the relativities (and fiscal capacities) between 2019-20 and 2020-21 were due to:</w:t>
      </w:r>
    </w:p>
    <w:p w14:paraId="2E23A002" w14:textId="3ACDC629" w:rsidR="002C25F2" w:rsidRPr="002C25F2" w:rsidRDefault="002C25F2" w:rsidP="00A92C2F">
      <w:pPr>
        <w:pStyle w:val="CGCBullet2"/>
        <w:rPr>
          <w:lang w:val="en-US"/>
        </w:rPr>
      </w:pPr>
      <w:r w:rsidRPr="00A92C2F">
        <w:t>changes</w:t>
      </w:r>
      <w:r w:rsidRPr="002C25F2">
        <w:rPr>
          <w:lang w:val="en-US"/>
        </w:rPr>
        <w:t xml:space="preserve"> to the methods used by the CGC for measuring </w:t>
      </w:r>
      <w:r w:rsidR="00F650C2">
        <w:rPr>
          <w:lang w:val="en-US"/>
        </w:rPr>
        <w:t>State</w:t>
      </w:r>
      <w:r w:rsidRPr="002C25F2">
        <w:rPr>
          <w:lang w:val="en-US"/>
        </w:rPr>
        <w:t xml:space="preserve"> fiscal capacities</w:t>
      </w:r>
    </w:p>
    <w:p w14:paraId="27BE2EE4" w14:textId="1B4E6CCD" w:rsidR="002C25F2" w:rsidRPr="002C25F2" w:rsidRDefault="002C25F2" w:rsidP="00846D1F">
      <w:pPr>
        <w:pStyle w:val="CGCBullet2"/>
        <w:keepNext/>
        <w:keepLines/>
        <w:rPr>
          <w:lang w:val="en-US"/>
        </w:rPr>
      </w:pPr>
      <w:r w:rsidRPr="002C25F2">
        <w:rPr>
          <w:lang w:val="en-US"/>
        </w:rPr>
        <w:t>revisions to data used to measure fiscal capacities</w:t>
      </w:r>
    </w:p>
    <w:p w14:paraId="41C63EEC" w14:textId="77777777" w:rsidR="005A537F" w:rsidRDefault="002C25F2" w:rsidP="005A537F">
      <w:pPr>
        <w:pStyle w:val="CGCBullet2"/>
        <w:keepNext/>
        <w:keepLines/>
        <w:rPr>
          <w:lang w:val="en-US"/>
        </w:rPr>
      </w:pPr>
      <w:r w:rsidRPr="002C25F2">
        <w:rPr>
          <w:lang w:val="en-US"/>
        </w:rPr>
        <w:t xml:space="preserve">changes </w:t>
      </w:r>
      <w:r w:rsidR="00C00009">
        <w:rPr>
          <w:lang w:val="en-US"/>
        </w:rPr>
        <w:t xml:space="preserve">in the </w:t>
      </w:r>
      <w:r w:rsidRPr="002C25F2">
        <w:rPr>
          <w:rFonts w:cs="Open Sans Light"/>
          <w:color w:val="000000"/>
          <w:szCs w:val="20"/>
          <w:shd w:val="clear" w:color="auto" w:fill="FFFFFF"/>
        </w:rPr>
        <w:t>economic and demographic circumstances</w:t>
      </w:r>
      <w:r w:rsidR="00C00009">
        <w:rPr>
          <w:rFonts w:cs="Open Sans Light"/>
          <w:color w:val="000000"/>
          <w:szCs w:val="20"/>
          <w:shd w:val="clear" w:color="auto" w:fill="FFFFFF"/>
        </w:rPr>
        <w:t xml:space="preserve"> of individual </w:t>
      </w:r>
      <w:r w:rsidR="00F650C2">
        <w:rPr>
          <w:rFonts w:cs="Open Sans Light"/>
          <w:color w:val="000000"/>
          <w:szCs w:val="20"/>
          <w:shd w:val="clear" w:color="auto" w:fill="FFFFFF"/>
        </w:rPr>
        <w:t>State</w:t>
      </w:r>
      <w:r w:rsidR="00C00009">
        <w:rPr>
          <w:rFonts w:cs="Open Sans Light"/>
          <w:color w:val="000000"/>
          <w:szCs w:val="20"/>
          <w:shd w:val="clear" w:color="auto" w:fill="FFFFFF"/>
        </w:rPr>
        <w:t>s</w:t>
      </w:r>
      <w:r w:rsidR="005A537F">
        <w:rPr>
          <w:rFonts w:cs="Open Sans Light"/>
          <w:color w:val="000000"/>
          <w:szCs w:val="20"/>
          <w:shd w:val="clear" w:color="auto" w:fill="FFFFFF"/>
        </w:rPr>
        <w:t>.</w:t>
      </w:r>
      <w:r w:rsidR="00680B26">
        <w:rPr>
          <w:rFonts w:cs="Open Sans Light"/>
          <w:color w:val="000000"/>
          <w:szCs w:val="20"/>
          <w:shd w:val="clear" w:color="auto" w:fill="FFFFFF"/>
        </w:rPr>
        <w:t xml:space="preserve"> </w:t>
      </w:r>
    </w:p>
    <w:p w14:paraId="4619A337" w14:textId="29C43BAD" w:rsidR="002C25F2" w:rsidRPr="005A537F" w:rsidRDefault="0004628D" w:rsidP="005A537F">
      <w:pPr>
        <w:rPr>
          <w:lang w:val="en-US"/>
        </w:rPr>
      </w:pPr>
      <w:r w:rsidRPr="0004628D">
        <w:rPr>
          <w:shd w:val="clear" w:color="auto" w:fill="FFFFFF"/>
        </w:rPr>
        <w:t xml:space="preserve">The Commission uses data for three assessment years to calculate </w:t>
      </w:r>
      <w:r w:rsidR="00890A84">
        <w:rPr>
          <w:shd w:val="clear" w:color="auto" w:fill="FFFFFF"/>
        </w:rPr>
        <w:t xml:space="preserve">the average </w:t>
      </w:r>
      <w:r w:rsidRPr="0004628D">
        <w:rPr>
          <w:shd w:val="clear" w:color="auto" w:fill="FFFFFF"/>
        </w:rPr>
        <w:t>relativities. For example, the relativities recommended in this review for 2020-21 are based on the relativities for 2016-17, 2017</w:t>
      </w:r>
      <w:r w:rsidR="00DD65FC">
        <w:rPr>
          <w:shd w:val="clear" w:color="auto" w:fill="FFFFFF"/>
        </w:rPr>
        <w:noBreakHyphen/>
      </w:r>
      <w:r w:rsidRPr="0004628D">
        <w:rPr>
          <w:shd w:val="clear" w:color="auto" w:fill="FFFFFF"/>
        </w:rPr>
        <w:t>18 and 2018-19.</w:t>
      </w:r>
      <w:r w:rsidR="000255B6" w:rsidRPr="000255B6">
        <w:rPr>
          <w:shd w:val="clear" w:color="auto" w:fill="FFFFFF"/>
        </w:rPr>
        <w:t xml:space="preserve"> Under th</w:t>
      </w:r>
      <w:r w:rsidR="00F834A2">
        <w:rPr>
          <w:shd w:val="clear" w:color="auto" w:fill="FFFFFF"/>
        </w:rPr>
        <w:t>is</w:t>
      </w:r>
      <w:r w:rsidR="000255B6" w:rsidRPr="000255B6">
        <w:rPr>
          <w:shd w:val="clear" w:color="auto" w:fill="FFFFFF"/>
        </w:rPr>
        <w:t xml:space="preserve"> </w:t>
      </w:r>
      <w:proofErr w:type="gramStart"/>
      <w:r w:rsidR="000255B6" w:rsidRPr="000255B6">
        <w:rPr>
          <w:shd w:val="clear" w:color="auto" w:fill="FFFFFF"/>
        </w:rPr>
        <w:t>three year</w:t>
      </w:r>
      <w:proofErr w:type="gramEnd"/>
      <w:r w:rsidR="000255B6" w:rsidRPr="000255B6">
        <w:rPr>
          <w:shd w:val="clear" w:color="auto" w:fill="FFFFFF"/>
        </w:rPr>
        <w:t xml:space="preserve"> averaging of data, changes </w:t>
      </w:r>
      <w:r w:rsidR="007C6508">
        <w:rPr>
          <w:shd w:val="clear" w:color="auto" w:fill="FFFFFF"/>
        </w:rPr>
        <w:t xml:space="preserve">in </w:t>
      </w:r>
      <w:r w:rsidR="009B0ED3">
        <w:rPr>
          <w:shd w:val="clear" w:color="auto" w:fill="FFFFFF"/>
        </w:rPr>
        <w:t xml:space="preserve">circumstances </w:t>
      </w:r>
      <w:r w:rsidR="007B19D5">
        <w:rPr>
          <w:shd w:val="clear" w:color="auto" w:fill="FFFFFF"/>
        </w:rPr>
        <w:t xml:space="preserve">of individual States </w:t>
      </w:r>
      <w:r w:rsidR="000255B6" w:rsidRPr="000255B6">
        <w:rPr>
          <w:shd w:val="clear" w:color="auto" w:fill="FFFFFF"/>
        </w:rPr>
        <w:t>arise when the latest year is incorporated and the oldest year is deleted.</w:t>
      </w:r>
      <w:r w:rsidR="00D42AD5">
        <w:rPr>
          <w:shd w:val="clear" w:color="auto" w:fill="FFFFFF"/>
        </w:rPr>
        <w:t xml:space="preserve"> </w:t>
      </w:r>
    </w:p>
    <w:p w14:paraId="0980003E" w14:textId="77777777" w:rsidR="002C25F2" w:rsidRPr="002C25F2" w:rsidRDefault="002C25F2" w:rsidP="00DD65FC">
      <w:pPr>
        <w:pStyle w:val="CGCTablenote"/>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CellMar>
          <w:left w:w="57" w:type="dxa"/>
          <w:right w:w="57" w:type="dxa"/>
        </w:tblCellMar>
        <w:tblLook w:val="04A0" w:firstRow="1" w:lastRow="0" w:firstColumn="1" w:lastColumn="0" w:noHBand="0" w:noVBand="1"/>
      </w:tblPr>
      <w:tblGrid>
        <w:gridCol w:w="9072"/>
      </w:tblGrid>
      <w:tr w:rsidR="00564C1D" w14:paraId="3D92458A" w14:textId="77777777" w:rsidTr="00782274">
        <w:tc>
          <w:tcPr>
            <w:tcW w:w="9072" w:type="dxa"/>
            <w:shd w:val="clear" w:color="auto" w:fill="EBF3F5"/>
          </w:tcPr>
          <w:p w14:paraId="2938AEF4" w14:textId="4BA03AD0" w:rsidR="00782274" w:rsidRDefault="006A5A04" w:rsidP="00782274">
            <w:pPr>
              <w:pStyle w:val="Caption"/>
              <w:rPr>
                <w:lang w:val="en-US"/>
              </w:rPr>
            </w:pPr>
            <w:r>
              <w:rPr>
                <w:lang w:val="en-US"/>
              </w:rPr>
              <w:t>Key factors</w:t>
            </w:r>
            <w:r w:rsidR="00564C1D" w:rsidRPr="002C25F2">
              <w:rPr>
                <w:lang w:val="en-US"/>
              </w:rPr>
              <w:t xml:space="preserve"> affecting the change in the distribution</w:t>
            </w:r>
            <w:r w:rsidR="00BF74F3">
              <w:rPr>
                <w:lang w:val="en-US"/>
              </w:rPr>
              <w:t xml:space="preserve"> </w:t>
            </w:r>
          </w:p>
          <w:p w14:paraId="623A92A6" w14:textId="3924CABB" w:rsidR="00AF3478" w:rsidRDefault="000A3F9E" w:rsidP="00C459B8">
            <w:pPr>
              <w:pStyle w:val="CGCBullet1"/>
              <w:ind w:left="357" w:hanging="357"/>
              <w:rPr>
                <w:lang w:val="en-US"/>
              </w:rPr>
            </w:pPr>
            <w:r>
              <w:rPr>
                <w:lang w:val="en-US"/>
              </w:rPr>
              <w:t>A range of</w:t>
            </w:r>
            <w:r w:rsidR="00AF3478" w:rsidRPr="00AF3478">
              <w:rPr>
                <w:lang w:val="en-US"/>
              </w:rPr>
              <w:t xml:space="preserve"> </w:t>
            </w:r>
            <w:r w:rsidR="00AF3478" w:rsidRPr="00AF3478">
              <w:rPr>
                <w:b/>
                <w:bCs/>
                <w:lang w:val="en-US"/>
              </w:rPr>
              <w:t>method changes</w:t>
            </w:r>
            <w:r w:rsidR="00AF3478" w:rsidRPr="00AF3478">
              <w:rPr>
                <w:lang w:val="en-US"/>
              </w:rPr>
              <w:t xml:space="preserve"> </w:t>
            </w:r>
            <w:r w:rsidR="002663B0">
              <w:rPr>
                <w:lang w:val="en-US"/>
              </w:rPr>
              <w:t>have had an impact on</w:t>
            </w:r>
            <w:r w:rsidR="00AF3478" w:rsidRPr="00AF3478">
              <w:rPr>
                <w:lang w:val="en-US"/>
              </w:rPr>
              <w:t xml:space="preserve"> the change in the distributio</w:t>
            </w:r>
            <w:r w:rsidR="006630A9">
              <w:rPr>
                <w:lang w:val="en-US"/>
              </w:rPr>
              <w:t>n.</w:t>
            </w:r>
          </w:p>
          <w:p w14:paraId="079EF369" w14:textId="26864184" w:rsidR="006C74B8" w:rsidRPr="006C74B8" w:rsidRDefault="006630A9" w:rsidP="006C74B8">
            <w:pPr>
              <w:pStyle w:val="CGCBullet2"/>
              <w:rPr>
                <w:lang w:val="en-US"/>
              </w:rPr>
            </w:pPr>
            <w:r>
              <w:rPr>
                <w:lang w:val="en-US"/>
              </w:rPr>
              <w:t>T</w:t>
            </w:r>
            <w:r w:rsidR="00564C1D" w:rsidRPr="002C25F2">
              <w:rPr>
                <w:lang w:val="en-US"/>
              </w:rPr>
              <w:t xml:space="preserve">he introduction of a new urban public transport assessment </w:t>
            </w:r>
            <w:r w:rsidR="00FB5EBD">
              <w:rPr>
                <w:lang w:val="en-US"/>
              </w:rPr>
              <w:t>that</w:t>
            </w:r>
            <w:r w:rsidR="00146E04">
              <w:rPr>
                <w:lang w:val="en-US"/>
              </w:rPr>
              <w:t xml:space="preserve"> </w:t>
            </w:r>
            <w:r w:rsidR="0084164F">
              <w:rPr>
                <w:lang w:val="en-US"/>
              </w:rPr>
              <w:t>measures</w:t>
            </w:r>
            <w:r w:rsidR="00146E04" w:rsidRPr="002D032F">
              <w:rPr>
                <w:lang w:val="en-US"/>
              </w:rPr>
              <w:t xml:space="preserve"> </w:t>
            </w:r>
            <w:r w:rsidR="00337129" w:rsidRPr="002D032F">
              <w:rPr>
                <w:lang w:val="en-US"/>
              </w:rPr>
              <w:t xml:space="preserve">the high costs associated with providing public transport </w:t>
            </w:r>
            <w:r w:rsidR="00596C78">
              <w:rPr>
                <w:lang w:val="en-US"/>
              </w:rPr>
              <w:t xml:space="preserve">services and infrastructure </w:t>
            </w:r>
            <w:r w:rsidR="00337129" w:rsidRPr="002D032F">
              <w:rPr>
                <w:lang w:val="en-US"/>
              </w:rPr>
              <w:t>in Australia’s large capital cities, particularly Sydney and Melbourne.</w:t>
            </w:r>
            <w:r w:rsidR="00337129">
              <w:rPr>
                <w:lang w:val="en-US"/>
              </w:rPr>
              <w:t xml:space="preserve"> The new assessment </w:t>
            </w:r>
            <w:proofErr w:type="spellStart"/>
            <w:r w:rsidR="001354C2">
              <w:rPr>
                <w:lang w:val="en-US"/>
              </w:rPr>
              <w:t>recognises</w:t>
            </w:r>
            <w:proofErr w:type="spellEnd"/>
            <w:r w:rsidR="00564C1D" w:rsidRPr="002C25F2">
              <w:rPr>
                <w:lang w:val="en-US"/>
              </w:rPr>
              <w:t xml:space="preserve"> the influence of population density, passenger numbers by mode (e.g. train, bus</w:t>
            </w:r>
            <w:r w:rsidR="00304280">
              <w:rPr>
                <w:lang w:val="en-US"/>
              </w:rPr>
              <w:t xml:space="preserve">, </w:t>
            </w:r>
            <w:r w:rsidR="00564C1D" w:rsidRPr="002C25F2">
              <w:rPr>
                <w:lang w:val="en-US"/>
              </w:rPr>
              <w:t xml:space="preserve">light rail) and other urban </w:t>
            </w:r>
            <w:proofErr w:type="spellStart"/>
            <w:r w:rsidR="00564C1D" w:rsidRPr="002C25F2">
              <w:rPr>
                <w:lang w:val="en-US"/>
              </w:rPr>
              <w:t>centre</w:t>
            </w:r>
            <w:proofErr w:type="spellEnd"/>
            <w:r w:rsidR="00564C1D" w:rsidRPr="002C25F2">
              <w:rPr>
                <w:lang w:val="en-US"/>
              </w:rPr>
              <w:t xml:space="preserve"> characteristics on urban </w:t>
            </w:r>
            <w:r w:rsidR="002B3718">
              <w:rPr>
                <w:lang w:val="en-US"/>
              </w:rPr>
              <w:t xml:space="preserve">public </w:t>
            </w:r>
            <w:r w:rsidR="00564C1D" w:rsidRPr="002C25F2">
              <w:rPr>
                <w:lang w:val="en-US"/>
              </w:rPr>
              <w:t>transport</w:t>
            </w:r>
            <w:r w:rsidR="002B3718">
              <w:rPr>
                <w:lang w:val="en-US"/>
              </w:rPr>
              <w:t xml:space="preserve"> expenditure</w:t>
            </w:r>
            <w:r>
              <w:rPr>
                <w:lang w:val="en-US"/>
              </w:rPr>
              <w:t>.</w:t>
            </w:r>
          </w:p>
          <w:p w14:paraId="36682A1A" w14:textId="65F556C4" w:rsidR="00564C1D" w:rsidRPr="009837EC" w:rsidRDefault="000A3F9E" w:rsidP="004A4058">
            <w:pPr>
              <w:pStyle w:val="CGCBullet2"/>
              <w:rPr>
                <w:lang w:val="en-US"/>
              </w:rPr>
            </w:pPr>
            <w:r>
              <w:t>C</w:t>
            </w:r>
            <w:r w:rsidR="00564C1D" w:rsidRPr="00926075">
              <w:t>hanges</w:t>
            </w:r>
            <w:r w:rsidR="00564C1D" w:rsidRPr="002C25F2">
              <w:t xml:space="preserve"> to the </w:t>
            </w:r>
            <w:r w:rsidR="00782274">
              <w:t xml:space="preserve">assessment of </w:t>
            </w:r>
            <w:r w:rsidR="00564C1D" w:rsidRPr="002C25F2">
              <w:t>rural roads, including the measurement of rural road length</w:t>
            </w:r>
            <w:r w:rsidR="00D36756">
              <w:t xml:space="preserve"> using</w:t>
            </w:r>
            <w:r w:rsidR="009837EC" w:rsidRPr="002D032F">
              <w:rPr>
                <w:lang w:val="en-US"/>
              </w:rPr>
              <w:t xml:space="preserve"> new geospatial data to remap rural road networks</w:t>
            </w:r>
            <w:r w:rsidR="009837EC">
              <w:rPr>
                <w:lang w:val="en-US"/>
              </w:rPr>
              <w:t xml:space="preserve">. </w:t>
            </w:r>
          </w:p>
          <w:p w14:paraId="59498FB4" w14:textId="7E33A88C" w:rsidR="00B2202E" w:rsidRPr="004A4058" w:rsidRDefault="004A4058" w:rsidP="004A4058">
            <w:pPr>
              <w:pStyle w:val="CGCBullet2"/>
              <w:rPr>
                <w:lang w:val="en-US"/>
              </w:rPr>
            </w:pPr>
            <w:r>
              <w:rPr>
                <w:lang w:val="en-US"/>
              </w:rPr>
              <w:t>U</w:t>
            </w:r>
            <w:r w:rsidR="00B2202E" w:rsidRPr="002D032F">
              <w:rPr>
                <w:lang w:val="en-US"/>
              </w:rPr>
              <w:t xml:space="preserve">pdated information on the minimum costs faced by </w:t>
            </w:r>
            <w:r>
              <w:rPr>
                <w:lang w:val="en-US"/>
              </w:rPr>
              <w:t>S</w:t>
            </w:r>
            <w:r w:rsidR="00B2202E" w:rsidRPr="002D032F">
              <w:rPr>
                <w:lang w:val="en-US"/>
              </w:rPr>
              <w:t xml:space="preserve">tates in preparing to deliver </w:t>
            </w:r>
            <w:r w:rsidR="00B2202E" w:rsidRPr="004A4058">
              <w:t>services</w:t>
            </w:r>
            <w:r w:rsidR="00B2202E" w:rsidRPr="002D032F">
              <w:rPr>
                <w:lang w:val="en-US"/>
              </w:rPr>
              <w:t xml:space="preserve"> </w:t>
            </w:r>
            <w:r w:rsidR="00B2202E">
              <w:rPr>
                <w:lang w:val="en-US"/>
              </w:rPr>
              <w:t xml:space="preserve">(referred to as </w:t>
            </w:r>
            <w:r>
              <w:rPr>
                <w:lang w:val="en-US"/>
              </w:rPr>
              <w:t>A</w:t>
            </w:r>
            <w:r w:rsidR="00B2202E">
              <w:rPr>
                <w:lang w:val="en-US"/>
              </w:rPr>
              <w:t xml:space="preserve">dministrative scale costs) </w:t>
            </w:r>
            <w:r w:rsidR="00B2202E" w:rsidRPr="002D032F">
              <w:rPr>
                <w:lang w:val="en-US"/>
              </w:rPr>
              <w:t>provided a new benchmark estimate of the minimum costs per State</w:t>
            </w:r>
            <w:r>
              <w:rPr>
                <w:lang w:val="en-US"/>
              </w:rPr>
              <w:t>.</w:t>
            </w:r>
          </w:p>
          <w:p w14:paraId="5523F020" w14:textId="0AE9C93E" w:rsidR="00564C1D" w:rsidRPr="00586983" w:rsidRDefault="000A3F9E" w:rsidP="004A4058">
            <w:pPr>
              <w:pStyle w:val="CGCBullet2"/>
            </w:pPr>
            <w:r>
              <w:t>C</w:t>
            </w:r>
            <w:r w:rsidR="00564C1D" w:rsidRPr="002C25F2">
              <w:t xml:space="preserve">hanges in the </w:t>
            </w:r>
            <w:r w:rsidR="00782274">
              <w:t xml:space="preserve">assessment of stamp duty </w:t>
            </w:r>
            <w:r w:rsidR="00A92191">
              <w:t>due to</w:t>
            </w:r>
            <w:r w:rsidR="00782274">
              <w:t xml:space="preserve"> changes in the </w:t>
            </w:r>
            <w:r w:rsidR="00564C1D" w:rsidRPr="002C25F2">
              <w:t xml:space="preserve">activity taxed by </w:t>
            </w:r>
            <w:r w:rsidR="00F650C2">
              <w:t>State</w:t>
            </w:r>
            <w:r w:rsidR="00564C1D" w:rsidRPr="002C25F2">
              <w:t>s.</w:t>
            </w:r>
          </w:p>
          <w:p w14:paraId="5EBFDCCE" w14:textId="00940C1C" w:rsidR="00564C1D" w:rsidRPr="0003471E" w:rsidRDefault="00564C1D" w:rsidP="0003471E">
            <w:pPr>
              <w:pStyle w:val="CGCBullet1"/>
              <w:ind w:left="357" w:hanging="357"/>
              <w:rPr>
                <w:lang w:val="en-US"/>
              </w:rPr>
            </w:pPr>
            <w:r w:rsidRPr="002C25F2">
              <w:t xml:space="preserve">The main </w:t>
            </w:r>
            <w:r w:rsidRPr="002C25F2">
              <w:rPr>
                <w:b/>
                <w:bCs/>
              </w:rPr>
              <w:t>data revisions</w:t>
            </w:r>
            <w:r w:rsidRPr="002C25F2">
              <w:t xml:space="preserve"> related to a change to the scope of eligible </w:t>
            </w:r>
            <w:r w:rsidR="00F650C2">
              <w:t>State</w:t>
            </w:r>
            <w:r w:rsidRPr="002C25F2">
              <w:t xml:space="preserve"> natural disaster relief expenses and revised </w:t>
            </w:r>
            <w:r w:rsidR="00F650C2">
              <w:t>State</w:t>
            </w:r>
            <w:r w:rsidRPr="002C25F2">
              <w:t xml:space="preserve"> data on the value of property sales and taxable land.</w:t>
            </w:r>
            <w:r w:rsidR="00906730">
              <w:t xml:space="preserve"> </w:t>
            </w:r>
            <w:r w:rsidR="0003471E">
              <w:t>N</w:t>
            </w:r>
            <w:proofErr w:type="spellStart"/>
            <w:r w:rsidR="0003471E" w:rsidRPr="0003471E">
              <w:rPr>
                <w:lang w:val="en-US"/>
              </w:rPr>
              <w:t>ew</w:t>
            </w:r>
            <w:proofErr w:type="spellEnd"/>
            <w:r w:rsidR="0003471E" w:rsidRPr="0003471E">
              <w:rPr>
                <w:lang w:val="en-US"/>
              </w:rPr>
              <w:t xml:space="preserve"> data on the effects of remoteness on service delivery costs </w:t>
            </w:r>
            <w:r w:rsidR="006B36A1">
              <w:rPr>
                <w:lang w:val="en-US"/>
              </w:rPr>
              <w:t>were</w:t>
            </w:r>
            <w:r w:rsidR="0003471E" w:rsidRPr="0003471E">
              <w:rPr>
                <w:lang w:val="en-US"/>
              </w:rPr>
              <w:t xml:space="preserve"> incorporated into several assessments</w:t>
            </w:r>
            <w:r w:rsidR="0003471E">
              <w:rPr>
                <w:lang w:val="en-US"/>
              </w:rPr>
              <w:t xml:space="preserve">. </w:t>
            </w:r>
          </w:p>
          <w:p w14:paraId="431CA928" w14:textId="6799466A" w:rsidR="00564C1D" w:rsidRDefault="00564C1D" w:rsidP="00C459B8">
            <w:pPr>
              <w:pStyle w:val="CGCBullet1"/>
              <w:spacing w:after="120"/>
              <w:ind w:left="357" w:hanging="357"/>
            </w:pPr>
            <w:r w:rsidRPr="002C25F2">
              <w:t xml:space="preserve">The main change in </w:t>
            </w:r>
            <w:r w:rsidR="00F650C2">
              <w:rPr>
                <w:b/>
                <w:bCs/>
              </w:rPr>
              <w:t>State</w:t>
            </w:r>
            <w:r w:rsidRPr="002C25F2">
              <w:rPr>
                <w:b/>
                <w:bCs/>
              </w:rPr>
              <w:t xml:space="preserve"> circumstances</w:t>
            </w:r>
            <w:r w:rsidRPr="002C25F2">
              <w:t xml:space="preserve"> related to changes in the value of coal and iron ore production in Queensland and Western Australia respectively, which increased their revenue </w:t>
            </w:r>
            <w:r w:rsidRPr="00C459B8">
              <w:rPr>
                <w:lang w:val="en-US"/>
              </w:rPr>
              <w:t>raising</w:t>
            </w:r>
            <w:r w:rsidRPr="002C25F2">
              <w:t xml:space="preserve"> capacity and reduced their GST requirement.</w:t>
            </w:r>
          </w:p>
        </w:tc>
      </w:tr>
    </w:tbl>
    <w:p w14:paraId="25C4A027" w14:textId="742C2A6F" w:rsidR="005D64DC" w:rsidRDefault="00530006" w:rsidP="00FC1D73">
      <w:pPr>
        <w:rPr>
          <w:lang w:val="en-US"/>
        </w:rPr>
      </w:pPr>
      <w:r w:rsidRPr="00530006">
        <w:rPr>
          <w:lang w:val="en-US"/>
        </w:rPr>
        <w:t xml:space="preserve">Changes to the assessment of urban transport expenditure tended to increase the GST distribution for the two most populous States. The effects of these changes tended to be offset by changes to the assessments of remoteness costs, rural roads and State minimum costs, which increased the GST distribution of the less populous, more dispersed States. </w:t>
      </w:r>
    </w:p>
    <w:p w14:paraId="639E6148" w14:textId="078C1B48" w:rsidR="00FC1D73" w:rsidRPr="00530006" w:rsidRDefault="005F4DD7" w:rsidP="00FC1D73">
      <w:pPr>
        <w:rPr>
          <w:lang w:val="en-US"/>
        </w:rPr>
      </w:pPr>
      <w:r>
        <w:rPr>
          <w:lang w:val="en-US"/>
        </w:rPr>
        <w:t>I</w:t>
      </w:r>
      <w:r w:rsidR="004C21D0">
        <w:rPr>
          <w:lang w:val="en-US"/>
        </w:rPr>
        <w:t xml:space="preserve">n this review, the Commission </w:t>
      </w:r>
      <w:r w:rsidR="002F2C55">
        <w:rPr>
          <w:lang w:val="en-US"/>
        </w:rPr>
        <w:t xml:space="preserve">also </w:t>
      </w:r>
      <w:r w:rsidR="004C21D0">
        <w:rPr>
          <w:lang w:val="en-US"/>
        </w:rPr>
        <w:t xml:space="preserve">reverted to the pre-2019 Update practice of </w:t>
      </w:r>
      <w:proofErr w:type="spellStart"/>
      <w:r w:rsidR="004C21D0">
        <w:rPr>
          <w:lang w:val="en-US"/>
        </w:rPr>
        <w:t>recognising</w:t>
      </w:r>
      <w:proofErr w:type="spellEnd"/>
      <w:r w:rsidR="004C21D0">
        <w:rPr>
          <w:lang w:val="en-US"/>
        </w:rPr>
        <w:t xml:space="preserve"> </w:t>
      </w:r>
      <w:r w:rsidR="002F2C55">
        <w:rPr>
          <w:lang w:val="en-US"/>
        </w:rPr>
        <w:t>the</w:t>
      </w:r>
      <w:r w:rsidR="004C21D0">
        <w:rPr>
          <w:lang w:val="en-US"/>
        </w:rPr>
        <w:t xml:space="preserve"> part of local government natural disaster expenses </w:t>
      </w:r>
      <w:r w:rsidR="005D64DC">
        <w:rPr>
          <w:lang w:val="en-US"/>
        </w:rPr>
        <w:t xml:space="preserve">that is </w:t>
      </w:r>
      <w:r w:rsidR="004C21D0">
        <w:rPr>
          <w:lang w:val="en-US"/>
        </w:rPr>
        <w:t>funded by States.</w:t>
      </w:r>
    </w:p>
    <w:p w14:paraId="717095FD" w14:textId="275C154B" w:rsidR="00FC1D73" w:rsidRPr="002C25F2" w:rsidRDefault="00FC1D73" w:rsidP="00FC1D73">
      <w:r w:rsidRPr="002C25F2">
        <w:t xml:space="preserve">The </w:t>
      </w:r>
      <w:r>
        <w:t xml:space="preserve">table </w:t>
      </w:r>
      <w:r w:rsidR="00154481">
        <w:t>below</w:t>
      </w:r>
      <w:r w:rsidRPr="002C25F2">
        <w:t xml:space="preserve"> shows the contribution of the</w:t>
      </w:r>
      <w:r w:rsidR="005A2285">
        <w:t xml:space="preserve"> three</w:t>
      </w:r>
      <w:r w:rsidR="00AE488B">
        <w:t xml:space="preserve"> </w:t>
      </w:r>
      <w:r w:rsidR="00743600">
        <w:t>key</w:t>
      </w:r>
      <w:r w:rsidRPr="002C25F2">
        <w:t xml:space="preserve"> factors to the change in the GST distribution between 2019-20 and 2020-21. </w:t>
      </w:r>
    </w:p>
    <w:p w14:paraId="2382A4D3" w14:textId="24FF40B8" w:rsidR="00F41003" w:rsidRPr="002C25F2" w:rsidRDefault="00F41003" w:rsidP="00642495">
      <w:pPr>
        <w:pStyle w:val="Caption"/>
      </w:pPr>
      <w:r w:rsidRPr="002C25F2">
        <w:t xml:space="preserve">Change in the GST distribution </w:t>
      </w:r>
      <w:r w:rsidR="00BD4BE4">
        <w:t xml:space="preserve">due to changes in </w:t>
      </w:r>
      <w:r w:rsidR="001072D5">
        <w:t xml:space="preserve">fiscal capacity </w:t>
      </w:r>
      <w:r w:rsidRPr="002C25F2">
        <w:t>by source, 2020</w:t>
      </w:r>
      <w:r w:rsidRPr="002C25F2">
        <w:noBreakHyphen/>
        <w:t>21</w:t>
      </w:r>
    </w:p>
    <w:tbl>
      <w:tblPr>
        <w:tblW w:w="9072" w:type="dxa"/>
        <w:tblCellMar>
          <w:left w:w="28" w:type="dxa"/>
          <w:right w:w="28" w:type="dxa"/>
        </w:tblCellMar>
        <w:tblLook w:val="04A0" w:firstRow="1" w:lastRow="0" w:firstColumn="1" w:lastColumn="0" w:noHBand="0" w:noVBand="1"/>
      </w:tblPr>
      <w:tblGrid>
        <w:gridCol w:w="2372"/>
        <w:gridCol w:w="748"/>
        <w:gridCol w:w="744"/>
        <w:gridCol w:w="743"/>
        <w:gridCol w:w="743"/>
        <w:gridCol w:w="743"/>
        <w:gridCol w:w="743"/>
        <w:gridCol w:w="744"/>
        <w:gridCol w:w="743"/>
        <w:gridCol w:w="749"/>
      </w:tblGrid>
      <w:tr w:rsidR="00F41003" w:rsidRPr="002C25F2" w14:paraId="424A958E" w14:textId="77777777" w:rsidTr="009773F6">
        <w:trPr>
          <w:trHeight w:val="375"/>
        </w:trPr>
        <w:tc>
          <w:tcPr>
            <w:tcW w:w="2410" w:type="dxa"/>
            <w:tcBorders>
              <w:top w:val="single" w:sz="4" w:space="0" w:color="ADD6EA"/>
              <w:left w:val="nil"/>
              <w:bottom w:val="single" w:sz="4" w:space="0" w:color="ADD6EA"/>
              <w:right w:val="nil"/>
            </w:tcBorders>
            <w:shd w:val="clear" w:color="000000" w:fill="006991"/>
            <w:vAlign w:val="center"/>
            <w:hideMark/>
          </w:tcPr>
          <w:p w14:paraId="65F9F5B6"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 </w:t>
            </w:r>
          </w:p>
        </w:tc>
        <w:tc>
          <w:tcPr>
            <w:tcW w:w="756" w:type="dxa"/>
            <w:tcBorders>
              <w:top w:val="single" w:sz="4" w:space="0" w:color="ADD6EA"/>
              <w:left w:val="nil"/>
              <w:bottom w:val="single" w:sz="4" w:space="0" w:color="ADD6EA"/>
              <w:right w:val="nil"/>
            </w:tcBorders>
            <w:shd w:val="clear" w:color="000000" w:fill="006991"/>
            <w:vAlign w:val="center"/>
            <w:hideMark/>
          </w:tcPr>
          <w:p w14:paraId="415436C3"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NSW</w:t>
            </w:r>
          </w:p>
        </w:tc>
        <w:tc>
          <w:tcPr>
            <w:tcW w:w="756" w:type="dxa"/>
            <w:tcBorders>
              <w:top w:val="single" w:sz="4" w:space="0" w:color="ADD6EA"/>
              <w:left w:val="nil"/>
              <w:bottom w:val="single" w:sz="4" w:space="0" w:color="ADD6EA"/>
              <w:right w:val="nil"/>
            </w:tcBorders>
            <w:shd w:val="clear" w:color="000000" w:fill="006991"/>
            <w:vAlign w:val="center"/>
            <w:hideMark/>
          </w:tcPr>
          <w:p w14:paraId="56C5A30A"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Vic</w:t>
            </w:r>
          </w:p>
        </w:tc>
        <w:tc>
          <w:tcPr>
            <w:tcW w:w="756" w:type="dxa"/>
            <w:tcBorders>
              <w:top w:val="single" w:sz="4" w:space="0" w:color="ADD6EA"/>
              <w:left w:val="nil"/>
              <w:bottom w:val="single" w:sz="4" w:space="0" w:color="ADD6EA"/>
              <w:right w:val="nil"/>
            </w:tcBorders>
            <w:shd w:val="clear" w:color="000000" w:fill="006991"/>
            <w:vAlign w:val="center"/>
            <w:hideMark/>
          </w:tcPr>
          <w:p w14:paraId="770CAC6B"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Qld</w:t>
            </w:r>
          </w:p>
        </w:tc>
        <w:tc>
          <w:tcPr>
            <w:tcW w:w="756" w:type="dxa"/>
            <w:tcBorders>
              <w:top w:val="single" w:sz="4" w:space="0" w:color="ADD6EA"/>
              <w:left w:val="nil"/>
              <w:bottom w:val="single" w:sz="4" w:space="0" w:color="ADD6EA"/>
              <w:right w:val="nil"/>
            </w:tcBorders>
            <w:shd w:val="clear" w:color="000000" w:fill="006991"/>
            <w:vAlign w:val="center"/>
            <w:hideMark/>
          </w:tcPr>
          <w:p w14:paraId="3C3F7364"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WA</w:t>
            </w:r>
          </w:p>
        </w:tc>
        <w:tc>
          <w:tcPr>
            <w:tcW w:w="756" w:type="dxa"/>
            <w:tcBorders>
              <w:top w:val="single" w:sz="4" w:space="0" w:color="ADD6EA"/>
              <w:left w:val="nil"/>
              <w:bottom w:val="single" w:sz="4" w:space="0" w:color="ADD6EA"/>
              <w:right w:val="nil"/>
            </w:tcBorders>
            <w:shd w:val="clear" w:color="000000" w:fill="006991"/>
            <w:vAlign w:val="center"/>
            <w:hideMark/>
          </w:tcPr>
          <w:p w14:paraId="693A9A2B"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SA</w:t>
            </w:r>
          </w:p>
        </w:tc>
        <w:tc>
          <w:tcPr>
            <w:tcW w:w="756" w:type="dxa"/>
            <w:tcBorders>
              <w:top w:val="single" w:sz="4" w:space="0" w:color="ADD6EA"/>
              <w:left w:val="nil"/>
              <w:bottom w:val="single" w:sz="4" w:space="0" w:color="ADD6EA"/>
              <w:right w:val="nil"/>
            </w:tcBorders>
            <w:shd w:val="clear" w:color="000000" w:fill="006991"/>
            <w:vAlign w:val="center"/>
            <w:hideMark/>
          </w:tcPr>
          <w:p w14:paraId="08395178"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Tas</w:t>
            </w:r>
          </w:p>
        </w:tc>
        <w:tc>
          <w:tcPr>
            <w:tcW w:w="756" w:type="dxa"/>
            <w:tcBorders>
              <w:top w:val="single" w:sz="4" w:space="0" w:color="ADD6EA"/>
              <w:left w:val="nil"/>
              <w:bottom w:val="single" w:sz="4" w:space="0" w:color="ADD6EA"/>
              <w:right w:val="nil"/>
            </w:tcBorders>
            <w:shd w:val="clear" w:color="000000" w:fill="006991"/>
            <w:vAlign w:val="center"/>
            <w:hideMark/>
          </w:tcPr>
          <w:p w14:paraId="19F72703"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ACT</w:t>
            </w:r>
          </w:p>
        </w:tc>
        <w:tc>
          <w:tcPr>
            <w:tcW w:w="756" w:type="dxa"/>
            <w:tcBorders>
              <w:top w:val="single" w:sz="4" w:space="0" w:color="ADD6EA"/>
              <w:left w:val="nil"/>
              <w:bottom w:val="single" w:sz="4" w:space="0" w:color="ADD6EA"/>
              <w:right w:val="nil"/>
            </w:tcBorders>
            <w:shd w:val="clear" w:color="000000" w:fill="006991"/>
            <w:vAlign w:val="center"/>
            <w:hideMark/>
          </w:tcPr>
          <w:p w14:paraId="39A05D54"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color w:val="FFFFFF"/>
                <w:sz w:val="16"/>
                <w:szCs w:val="16"/>
                <w:lang w:eastAsia="en-AU"/>
              </w:rPr>
            </w:pPr>
            <w:r w:rsidRPr="002C25F2">
              <w:rPr>
                <w:rFonts w:ascii="Open Sans SemiBold" w:eastAsia="Times New Roman" w:hAnsi="Open Sans SemiBold" w:cs="Open Sans SemiBold"/>
                <w:color w:val="FFFFFF"/>
                <w:sz w:val="16"/>
                <w:szCs w:val="16"/>
                <w:lang w:eastAsia="en-AU"/>
              </w:rPr>
              <w:t>NT</w:t>
            </w:r>
          </w:p>
        </w:tc>
        <w:tc>
          <w:tcPr>
            <w:tcW w:w="756" w:type="dxa"/>
            <w:tcBorders>
              <w:top w:val="single" w:sz="4" w:space="0" w:color="ADD6EA"/>
              <w:left w:val="nil"/>
              <w:bottom w:val="single" w:sz="4" w:space="0" w:color="ADD6EA"/>
              <w:right w:val="nil"/>
            </w:tcBorders>
            <w:shd w:val="clear" w:color="000000" w:fill="006991"/>
            <w:vAlign w:val="center"/>
            <w:hideMark/>
          </w:tcPr>
          <w:p w14:paraId="5829450B"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color w:val="FFFFFF"/>
                <w:sz w:val="16"/>
                <w:szCs w:val="16"/>
                <w:lang w:eastAsia="en-AU"/>
              </w:rPr>
            </w:pPr>
            <w:proofErr w:type="spellStart"/>
            <w:r w:rsidRPr="002C25F2">
              <w:rPr>
                <w:rFonts w:ascii="Open Sans SemiBold" w:eastAsia="Times New Roman" w:hAnsi="Open Sans SemiBold" w:cs="Open Sans SemiBold"/>
                <w:color w:val="FFFFFF"/>
                <w:sz w:val="16"/>
                <w:szCs w:val="16"/>
                <w:lang w:eastAsia="en-AU"/>
              </w:rPr>
              <w:t>Redist</w:t>
            </w:r>
            <w:proofErr w:type="spellEnd"/>
          </w:p>
        </w:tc>
      </w:tr>
      <w:tr w:rsidR="00F41003" w:rsidRPr="002C25F2" w14:paraId="7DF3B410" w14:textId="77777777" w:rsidTr="009773F6">
        <w:trPr>
          <w:trHeight w:val="258"/>
        </w:trPr>
        <w:tc>
          <w:tcPr>
            <w:tcW w:w="2410" w:type="dxa"/>
            <w:tcBorders>
              <w:top w:val="nil"/>
              <w:left w:val="nil"/>
              <w:bottom w:val="single" w:sz="4" w:space="0" w:color="ADD6EA"/>
              <w:right w:val="nil"/>
            </w:tcBorders>
            <w:shd w:val="clear" w:color="000000" w:fill="B6D5E4"/>
            <w:vAlign w:val="bottom"/>
            <w:hideMark/>
          </w:tcPr>
          <w:p w14:paraId="42584B44" w14:textId="77777777" w:rsidR="00F41003" w:rsidRPr="002C25F2" w:rsidRDefault="00F41003" w:rsidP="00952322">
            <w:pPr>
              <w:tabs>
                <w:tab w:val="clear" w:pos="567"/>
              </w:tabs>
              <w:spacing w:line="240" w:lineRule="auto"/>
              <w:rPr>
                <w:rFonts w:eastAsia="Times New Roman" w:cs="Open Sans Light"/>
                <w:sz w:val="16"/>
                <w:szCs w:val="16"/>
                <w:lang w:eastAsia="en-AU"/>
              </w:rPr>
            </w:pPr>
            <w:r w:rsidRPr="002C25F2">
              <w:rPr>
                <w:rFonts w:eastAsia="Times New Roman" w:cs="Open Sans Light"/>
                <w:sz w:val="16"/>
                <w:szCs w:val="16"/>
                <w:lang w:eastAsia="en-AU"/>
              </w:rPr>
              <w:t> </w:t>
            </w:r>
          </w:p>
        </w:tc>
        <w:tc>
          <w:tcPr>
            <w:tcW w:w="756" w:type="dxa"/>
            <w:tcBorders>
              <w:top w:val="nil"/>
              <w:left w:val="nil"/>
              <w:bottom w:val="single" w:sz="4" w:space="0" w:color="ADD6EA"/>
              <w:right w:val="nil"/>
            </w:tcBorders>
            <w:shd w:val="clear" w:color="000000" w:fill="B6D5E4"/>
            <w:vAlign w:val="center"/>
            <w:hideMark/>
          </w:tcPr>
          <w:p w14:paraId="504C5202"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$m</w:t>
            </w:r>
          </w:p>
        </w:tc>
        <w:tc>
          <w:tcPr>
            <w:tcW w:w="756" w:type="dxa"/>
            <w:tcBorders>
              <w:top w:val="nil"/>
              <w:left w:val="nil"/>
              <w:bottom w:val="single" w:sz="4" w:space="0" w:color="ADD6EA"/>
              <w:right w:val="nil"/>
            </w:tcBorders>
            <w:shd w:val="clear" w:color="000000" w:fill="B6D5E4"/>
            <w:vAlign w:val="center"/>
            <w:hideMark/>
          </w:tcPr>
          <w:p w14:paraId="1AF2FC8F"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$m</w:t>
            </w:r>
          </w:p>
        </w:tc>
        <w:tc>
          <w:tcPr>
            <w:tcW w:w="756" w:type="dxa"/>
            <w:tcBorders>
              <w:top w:val="nil"/>
              <w:left w:val="nil"/>
              <w:bottom w:val="single" w:sz="4" w:space="0" w:color="ADD6EA"/>
              <w:right w:val="nil"/>
            </w:tcBorders>
            <w:shd w:val="clear" w:color="000000" w:fill="B6D5E4"/>
            <w:vAlign w:val="center"/>
            <w:hideMark/>
          </w:tcPr>
          <w:p w14:paraId="76CFA7A7"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$m</w:t>
            </w:r>
          </w:p>
        </w:tc>
        <w:tc>
          <w:tcPr>
            <w:tcW w:w="756" w:type="dxa"/>
            <w:tcBorders>
              <w:top w:val="nil"/>
              <w:left w:val="nil"/>
              <w:bottom w:val="single" w:sz="4" w:space="0" w:color="ADD6EA"/>
              <w:right w:val="nil"/>
            </w:tcBorders>
            <w:shd w:val="clear" w:color="000000" w:fill="B6D5E4"/>
            <w:vAlign w:val="center"/>
            <w:hideMark/>
          </w:tcPr>
          <w:p w14:paraId="175FAA3B"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$m</w:t>
            </w:r>
          </w:p>
        </w:tc>
        <w:tc>
          <w:tcPr>
            <w:tcW w:w="756" w:type="dxa"/>
            <w:tcBorders>
              <w:top w:val="nil"/>
              <w:left w:val="nil"/>
              <w:bottom w:val="single" w:sz="4" w:space="0" w:color="ADD6EA"/>
              <w:right w:val="nil"/>
            </w:tcBorders>
            <w:shd w:val="clear" w:color="000000" w:fill="B6D5E4"/>
            <w:vAlign w:val="center"/>
            <w:hideMark/>
          </w:tcPr>
          <w:p w14:paraId="4C1256F3"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$m</w:t>
            </w:r>
          </w:p>
        </w:tc>
        <w:tc>
          <w:tcPr>
            <w:tcW w:w="756" w:type="dxa"/>
            <w:tcBorders>
              <w:top w:val="nil"/>
              <w:left w:val="nil"/>
              <w:bottom w:val="single" w:sz="4" w:space="0" w:color="ADD6EA"/>
              <w:right w:val="nil"/>
            </w:tcBorders>
            <w:shd w:val="clear" w:color="000000" w:fill="B6D5E4"/>
            <w:vAlign w:val="center"/>
            <w:hideMark/>
          </w:tcPr>
          <w:p w14:paraId="769E86FC"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$m</w:t>
            </w:r>
          </w:p>
        </w:tc>
        <w:tc>
          <w:tcPr>
            <w:tcW w:w="756" w:type="dxa"/>
            <w:tcBorders>
              <w:top w:val="nil"/>
              <w:left w:val="nil"/>
              <w:bottom w:val="single" w:sz="4" w:space="0" w:color="ADD6EA"/>
              <w:right w:val="nil"/>
            </w:tcBorders>
            <w:shd w:val="clear" w:color="000000" w:fill="B6D5E4"/>
            <w:vAlign w:val="center"/>
            <w:hideMark/>
          </w:tcPr>
          <w:p w14:paraId="3AAD622A"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$m</w:t>
            </w:r>
          </w:p>
        </w:tc>
        <w:tc>
          <w:tcPr>
            <w:tcW w:w="756" w:type="dxa"/>
            <w:tcBorders>
              <w:top w:val="nil"/>
              <w:left w:val="nil"/>
              <w:bottom w:val="single" w:sz="4" w:space="0" w:color="ADD6EA"/>
              <w:right w:val="nil"/>
            </w:tcBorders>
            <w:shd w:val="clear" w:color="000000" w:fill="B6D5E4"/>
            <w:vAlign w:val="center"/>
            <w:hideMark/>
          </w:tcPr>
          <w:p w14:paraId="289BBF66"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$m</w:t>
            </w:r>
          </w:p>
        </w:tc>
        <w:tc>
          <w:tcPr>
            <w:tcW w:w="756" w:type="dxa"/>
            <w:tcBorders>
              <w:top w:val="nil"/>
              <w:left w:val="nil"/>
              <w:bottom w:val="single" w:sz="4" w:space="0" w:color="ADD6EA"/>
              <w:right w:val="nil"/>
            </w:tcBorders>
            <w:shd w:val="clear" w:color="000000" w:fill="B6D5E4"/>
            <w:vAlign w:val="center"/>
            <w:hideMark/>
          </w:tcPr>
          <w:p w14:paraId="7A0A733C"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$m</w:t>
            </w:r>
          </w:p>
        </w:tc>
      </w:tr>
      <w:tr w:rsidR="00F41003" w:rsidRPr="002C25F2" w14:paraId="533A64A5" w14:textId="77777777" w:rsidTr="009773F6">
        <w:trPr>
          <w:trHeight w:val="315"/>
        </w:trPr>
        <w:tc>
          <w:tcPr>
            <w:tcW w:w="2410" w:type="dxa"/>
            <w:tcBorders>
              <w:top w:val="nil"/>
              <w:left w:val="nil"/>
              <w:bottom w:val="single" w:sz="4" w:space="0" w:color="ADD6EA"/>
              <w:right w:val="nil"/>
            </w:tcBorders>
            <w:shd w:val="clear" w:color="auto" w:fill="auto"/>
            <w:vAlign w:val="bottom"/>
            <w:hideMark/>
          </w:tcPr>
          <w:p w14:paraId="094FBFFA" w14:textId="77777777" w:rsidR="00F41003" w:rsidRPr="002C25F2" w:rsidRDefault="00F41003" w:rsidP="00952322">
            <w:pPr>
              <w:tabs>
                <w:tab w:val="clear" w:pos="567"/>
              </w:tabs>
              <w:spacing w:line="240" w:lineRule="auto"/>
              <w:rPr>
                <w:rFonts w:eastAsia="Times New Roman" w:cs="Open Sans Light"/>
                <w:sz w:val="16"/>
                <w:szCs w:val="16"/>
                <w:lang w:eastAsia="en-AU"/>
              </w:rPr>
            </w:pPr>
            <w:r w:rsidRPr="002C25F2">
              <w:rPr>
                <w:rFonts w:eastAsia="Times New Roman" w:cs="Open Sans Light"/>
                <w:sz w:val="16"/>
                <w:szCs w:val="16"/>
                <w:lang w:eastAsia="en-AU"/>
              </w:rPr>
              <w:t>Method changes</w:t>
            </w:r>
          </w:p>
        </w:tc>
        <w:tc>
          <w:tcPr>
            <w:tcW w:w="756" w:type="dxa"/>
            <w:tcBorders>
              <w:top w:val="nil"/>
              <w:left w:val="nil"/>
              <w:bottom w:val="single" w:sz="4" w:space="0" w:color="ADD6EA"/>
              <w:right w:val="nil"/>
            </w:tcBorders>
            <w:shd w:val="clear" w:color="auto" w:fill="auto"/>
            <w:vAlign w:val="bottom"/>
            <w:hideMark/>
          </w:tcPr>
          <w:p w14:paraId="53849E87"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711</w:t>
            </w:r>
          </w:p>
        </w:tc>
        <w:tc>
          <w:tcPr>
            <w:tcW w:w="756" w:type="dxa"/>
            <w:tcBorders>
              <w:top w:val="nil"/>
              <w:left w:val="nil"/>
              <w:bottom w:val="single" w:sz="4" w:space="0" w:color="ADD6EA"/>
              <w:right w:val="nil"/>
            </w:tcBorders>
            <w:shd w:val="clear" w:color="auto" w:fill="auto"/>
            <w:vAlign w:val="bottom"/>
            <w:hideMark/>
          </w:tcPr>
          <w:p w14:paraId="21C2908A"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-802</w:t>
            </w:r>
          </w:p>
        </w:tc>
        <w:tc>
          <w:tcPr>
            <w:tcW w:w="756" w:type="dxa"/>
            <w:tcBorders>
              <w:top w:val="nil"/>
              <w:left w:val="nil"/>
              <w:bottom w:val="single" w:sz="4" w:space="0" w:color="ADD6EA"/>
              <w:right w:val="nil"/>
            </w:tcBorders>
            <w:shd w:val="clear" w:color="auto" w:fill="auto"/>
            <w:vAlign w:val="bottom"/>
            <w:hideMark/>
          </w:tcPr>
          <w:p w14:paraId="402FBC66"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139</w:t>
            </w:r>
          </w:p>
        </w:tc>
        <w:tc>
          <w:tcPr>
            <w:tcW w:w="756" w:type="dxa"/>
            <w:tcBorders>
              <w:top w:val="nil"/>
              <w:left w:val="nil"/>
              <w:bottom w:val="single" w:sz="4" w:space="0" w:color="ADD6EA"/>
              <w:right w:val="nil"/>
            </w:tcBorders>
            <w:shd w:val="clear" w:color="auto" w:fill="auto"/>
            <w:vAlign w:val="bottom"/>
            <w:hideMark/>
          </w:tcPr>
          <w:p w14:paraId="025B6CBA"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-114</w:t>
            </w:r>
          </w:p>
        </w:tc>
        <w:tc>
          <w:tcPr>
            <w:tcW w:w="756" w:type="dxa"/>
            <w:tcBorders>
              <w:top w:val="nil"/>
              <w:left w:val="nil"/>
              <w:bottom w:val="single" w:sz="4" w:space="0" w:color="ADD6EA"/>
              <w:right w:val="nil"/>
            </w:tcBorders>
            <w:shd w:val="clear" w:color="auto" w:fill="auto"/>
            <w:vAlign w:val="bottom"/>
            <w:hideMark/>
          </w:tcPr>
          <w:p w14:paraId="0866BC9E"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-274</w:t>
            </w:r>
          </w:p>
        </w:tc>
        <w:tc>
          <w:tcPr>
            <w:tcW w:w="756" w:type="dxa"/>
            <w:tcBorders>
              <w:top w:val="nil"/>
              <w:left w:val="nil"/>
              <w:bottom w:val="single" w:sz="4" w:space="0" w:color="ADD6EA"/>
              <w:right w:val="nil"/>
            </w:tcBorders>
            <w:shd w:val="clear" w:color="auto" w:fill="auto"/>
            <w:vAlign w:val="bottom"/>
            <w:hideMark/>
          </w:tcPr>
          <w:p w14:paraId="685EB0D8"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141</w:t>
            </w:r>
          </w:p>
        </w:tc>
        <w:tc>
          <w:tcPr>
            <w:tcW w:w="756" w:type="dxa"/>
            <w:tcBorders>
              <w:top w:val="nil"/>
              <w:left w:val="nil"/>
              <w:bottom w:val="single" w:sz="4" w:space="0" w:color="ADD6EA"/>
              <w:right w:val="nil"/>
            </w:tcBorders>
            <w:shd w:val="clear" w:color="auto" w:fill="auto"/>
            <w:vAlign w:val="bottom"/>
            <w:hideMark/>
          </w:tcPr>
          <w:p w14:paraId="13B34F30"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-74</w:t>
            </w:r>
          </w:p>
        </w:tc>
        <w:tc>
          <w:tcPr>
            <w:tcW w:w="756" w:type="dxa"/>
            <w:tcBorders>
              <w:top w:val="nil"/>
              <w:left w:val="nil"/>
              <w:bottom w:val="single" w:sz="4" w:space="0" w:color="ADD6EA"/>
              <w:right w:val="nil"/>
            </w:tcBorders>
            <w:shd w:val="clear" w:color="auto" w:fill="auto"/>
            <w:vAlign w:val="bottom"/>
            <w:hideMark/>
          </w:tcPr>
          <w:p w14:paraId="60F1B13D"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272</w:t>
            </w:r>
          </w:p>
        </w:tc>
        <w:tc>
          <w:tcPr>
            <w:tcW w:w="756" w:type="dxa"/>
            <w:tcBorders>
              <w:top w:val="nil"/>
              <w:left w:val="nil"/>
              <w:bottom w:val="single" w:sz="4" w:space="0" w:color="ADD6EA"/>
              <w:right w:val="nil"/>
            </w:tcBorders>
            <w:shd w:val="clear" w:color="auto" w:fill="auto"/>
            <w:vAlign w:val="bottom"/>
            <w:hideMark/>
          </w:tcPr>
          <w:p w14:paraId="332951F8"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1,264</w:t>
            </w:r>
          </w:p>
        </w:tc>
      </w:tr>
      <w:tr w:rsidR="00F41003" w:rsidRPr="002C25F2" w14:paraId="7C493A40" w14:textId="77777777" w:rsidTr="009773F6">
        <w:trPr>
          <w:trHeight w:val="315"/>
        </w:trPr>
        <w:tc>
          <w:tcPr>
            <w:tcW w:w="2410" w:type="dxa"/>
            <w:tcBorders>
              <w:top w:val="nil"/>
              <w:left w:val="nil"/>
              <w:bottom w:val="single" w:sz="4" w:space="0" w:color="ADD6EA"/>
              <w:right w:val="nil"/>
            </w:tcBorders>
            <w:shd w:val="clear" w:color="auto" w:fill="auto"/>
            <w:vAlign w:val="bottom"/>
            <w:hideMark/>
          </w:tcPr>
          <w:p w14:paraId="0233E7B6" w14:textId="77777777" w:rsidR="00F41003" w:rsidRPr="002C25F2" w:rsidRDefault="00F41003" w:rsidP="00952322">
            <w:pPr>
              <w:tabs>
                <w:tab w:val="clear" w:pos="567"/>
              </w:tabs>
              <w:spacing w:line="240" w:lineRule="auto"/>
              <w:rPr>
                <w:rFonts w:eastAsia="Times New Roman" w:cs="Open Sans Light"/>
                <w:sz w:val="16"/>
                <w:szCs w:val="16"/>
                <w:lang w:eastAsia="en-AU"/>
              </w:rPr>
            </w:pPr>
            <w:r w:rsidRPr="002C25F2">
              <w:rPr>
                <w:rFonts w:eastAsia="Times New Roman" w:cs="Open Sans Light"/>
                <w:sz w:val="16"/>
                <w:szCs w:val="16"/>
                <w:lang w:eastAsia="en-AU"/>
              </w:rPr>
              <w:t>Data revisions</w:t>
            </w:r>
          </w:p>
        </w:tc>
        <w:tc>
          <w:tcPr>
            <w:tcW w:w="756" w:type="dxa"/>
            <w:tcBorders>
              <w:top w:val="nil"/>
              <w:left w:val="nil"/>
              <w:bottom w:val="single" w:sz="4" w:space="0" w:color="ADD6EA"/>
              <w:right w:val="nil"/>
            </w:tcBorders>
            <w:shd w:val="clear" w:color="auto" w:fill="auto"/>
            <w:vAlign w:val="bottom"/>
            <w:hideMark/>
          </w:tcPr>
          <w:p w14:paraId="1C4CD576"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-275</w:t>
            </w:r>
          </w:p>
        </w:tc>
        <w:tc>
          <w:tcPr>
            <w:tcW w:w="756" w:type="dxa"/>
            <w:tcBorders>
              <w:top w:val="nil"/>
              <w:left w:val="nil"/>
              <w:bottom w:val="single" w:sz="4" w:space="0" w:color="ADD6EA"/>
              <w:right w:val="nil"/>
            </w:tcBorders>
            <w:shd w:val="clear" w:color="auto" w:fill="auto"/>
            <w:vAlign w:val="bottom"/>
            <w:hideMark/>
          </w:tcPr>
          <w:p w14:paraId="4AA5C704"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113</w:t>
            </w:r>
          </w:p>
        </w:tc>
        <w:tc>
          <w:tcPr>
            <w:tcW w:w="756" w:type="dxa"/>
            <w:tcBorders>
              <w:top w:val="nil"/>
              <w:left w:val="nil"/>
              <w:bottom w:val="single" w:sz="4" w:space="0" w:color="ADD6EA"/>
              <w:right w:val="nil"/>
            </w:tcBorders>
            <w:shd w:val="clear" w:color="auto" w:fill="auto"/>
            <w:vAlign w:val="bottom"/>
            <w:hideMark/>
          </w:tcPr>
          <w:p w14:paraId="54D0C94E"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271</w:t>
            </w:r>
          </w:p>
        </w:tc>
        <w:tc>
          <w:tcPr>
            <w:tcW w:w="756" w:type="dxa"/>
            <w:tcBorders>
              <w:top w:val="nil"/>
              <w:left w:val="nil"/>
              <w:bottom w:val="single" w:sz="4" w:space="0" w:color="ADD6EA"/>
              <w:right w:val="nil"/>
            </w:tcBorders>
            <w:shd w:val="clear" w:color="auto" w:fill="auto"/>
            <w:vAlign w:val="bottom"/>
            <w:hideMark/>
          </w:tcPr>
          <w:p w14:paraId="68C7A1E8"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-31</w:t>
            </w:r>
          </w:p>
        </w:tc>
        <w:tc>
          <w:tcPr>
            <w:tcW w:w="756" w:type="dxa"/>
            <w:tcBorders>
              <w:top w:val="nil"/>
              <w:left w:val="nil"/>
              <w:bottom w:val="single" w:sz="4" w:space="0" w:color="ADD6EA"/>
              <w:right w:val="nil"/>
            </w:tcBorders>
            <w:shd w:val="clear" w:color="auto" w:fill="auto"/>
            <w:vAlign w:val="bottom"/>
            <w:hideMark/>
          </w:tcPr>
          <w:p w14:paraId="4D9B22B0"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-53</w:t>
            </w:r>
          </w:p>
        </w:tc>
        <w:tc>
          <w:tcPr>
            <w:tcW w:w="756" w:type="dxa"/>
            <w:tcBorders>
              <w:top w:val="nil"/>
              <w:left w:val="nil"/>
              <w:bottom w:val="single" w:sz="4" w:space="0" w:color="ADD6EA"/>
              <w:right w:val="nil"/>
            </w:tcBorders>
            <w:shd w:val="clear" w:color="auto" w:fill="auto"/>
            <w:vAlign w:val="bottom"/>
            <w:hideMark/>
          </w:tcPr>
          <w:p w14:paraId="538E98DF"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14</w:t>
            </w:r>
          </w:p>
        </w:tc>
        <w:tc>
          <w:tcPr>
            <w:tcW w:w="756" w:type="dxa"/>
            <w:tcBorders>
              <w:top w:val="nil"/>
              <w:left w:val="nil"/>
              <w:bottom w:val="single" w:sz="4" w:space="0" w:color="ADD6EA"/>
              <w:right w:val="nil"/>
            </w:tcBorders>
            <w:shd w:val="clear" w:color="auto" w:fill="auto"/>
            <w:vAlign w:val="bottom"/>
            <w:hideMark/>
          </w:tcPr>
          <w:p w14:paraId="208B822C"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-19</w:t>
            </w:r>
          </w:p>
        </w:tc>
        <w:tc>
          <w:tcPr>
            <w:tcW w:w="756" w:type="dxa"/>
            <w:tcBorders>
              <w:top w:val="nil"/>
              <w:left w:val="nil"/>
              <w:bottom w:val="single" w:sz="4" w:space="0" w:color="ADD6EA"/>
              <w:right w:val="nil"/>
            </w:tcBorders>
            <w:shd w:val="clear" w:color="auto" w:fill="auto"/>
            <w:vAlign w:val="bottom"/>
            <w:hideMark/>
          </w:tcPr>
          <w:p w14:paraId="230D9FB0"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-18</w:t>
            </w:r>
          </w:p>
        </w:tc>
        <w:tc>
          <w:tcPr>
            <w:tcW w:w="756" w:type="dxa"/>
            <w:tcBorders>
              <w:top w:val="nil"/>
              <w:left w:val="nil"/>
              <w:bottom w:val="single" w:sz="4" w:space="0" w:color="ADD6EA"/>
              <w:right w:val="nil"/>
            </w:tcBorders>
            <w:shd w:val="clear" w:color="auto" w:fill="auto"/>
            <w:vAlign w:val="bottom"/>
            <w:hideMark/>
          </w:tcPr>
          <w:p w14:paraId="5CB3E446"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397</w:t>
            </w:r>
          </w:p>
        </w:tc>
      </w:tr>
      <w:tr w:rsidR="00F41003" w:rsidRPr="002C25F2" w14:paraId="40F3A422" w14:textId="77777777" w:rsidTr="009773F6">
        <w:trPr>
          <w:trHeight w:val="315"/>
        </w:trPr>
        <w:tc>
          <w:tcPr>
            <w:tcW w:w="2410" w:type="dxa"/>
            <w:tcBorders>
              <w:top w:val="nil"/>
              <w:left w:val="nil"/>
              <w:bottom w:val="single" w:sz="4" w:space="0" w:color="ADD6EA"/>
              <w:right w:val="nil"/>
            </w:tcBorders>
            <w:shd w:val="clear" w:color="auto" w:fill="auto"/>
            <w:vAlign w:val="bottom"/>
            <w:hideMark/>
          </w:tcPr>
          <w:p w14:paraId="204CADE0" w14:textId="7E2F4B76" w:rsidR="00F41003" w:rsidRPr="002C25F2" w:rsidRDefault="00F650C2" w:rsidP="00952322">
            <w:pPr>
              <w:tabs>
                <w:tab w:val="clear" w:pos="567"/>
              </w:tabs>
              <w:spacing w:line="240" w:lineRule="auto"/>
              <w:rPr>
                <w:rFonts w:eastAsia="Times New Roman" w:cs="Open Sans Light"/>
                <w:sz w:val="16"/>
                <w:szCs w:val="16"/>
                <w:lang w:eastAsia="en-AU"/>
              </w:rPr>
            </w:pPr>
            <w:r>
              <w:rPr>
                <w:rFonts w:eastAsia="Times New Roman" w:cs="Open Sans Light"/>
                <w:sz w:val="16"/>
                <w:szCs w:val="16"/>
                <w:lang w:eastAsia="en-AU"/>
              </w:rPr>
              <w:t>State</w:t>
            </w:r>
            <w:r w:rsidR="00F41003" w:rsidRPr="002C25F2">
              <w:rPr>
                <w:rFonts w:eastAsia="Times New Roman" w:cs="Open Sans Light"/>
                <w:sz w:val="16"/>
                <w:szCs w:val="16"/>
                <w:lang w:eastAsia="en-AU"/>
              </w:rPr>
              <w:t xml:space="preserve"> circumstances</w:t>
            </w:r>
          </w:p>
        </w:tc>
        <w:tc>
          <w:tcPr>
            <w:tcW w:w="756" w:type="dxa"/>
            <w:tcBorders>
              <w:top w:val="nil"/>
              <w:left w:val="nil"/>
              <w:bottom w:val="single" w:sz="4" w:space="0" w:color="ADD6EA"/>
              <w:right w:val="nil"/>
            </w:tcBorders>
            <w:shd w:val="clear" w:color="auto" w:fill="auto"/>
            <w:vAlign w:val="bottom"/>
            <w:hideMark/>
          </w:tcPr>
          <w:p w14:paraId="38B73155"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595</w:t>
            </w:r>
          </w:p>
        </w:tc>
        <w:tc>
          <w:tcPr>
            <w:tcW w:w="756" w:type="dxa"/>
            <w:tcBorders>
              <w:top w:val="nil"/>
              <w:left w:val="nil"/>
              <w:bottom w:val="single" w:sz="4" w:space="0" w:color="ADD6EA"/>
              <w:right w:val="nil"/>
            </w:tcBorders>
            <w:shd w:val="clear" w:color="auto" w:fill="auto"/>
            <w:vAlign w:val="bottom"/>
            <w:hideMark/>
          </w:tcPr>
          <w:p w14:paraId="66EC643E"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279</w:t>
            </w:r>
          </w:p>
        </w:tc>
        <w:tc>
          <w:tcPr>
            <w:tcW w:w="756" w:type="dxa"/>
            <w:tcBorders>
              <w:top w:val="nil"/>
              <w:left w:val="nil"/>
              <w:bottom w:val="single" w:sz="4" w:space="0" w:color="ADD6EA"/>
              <w:right w:val="nil"/>
            </w:tcBorders>
            <w:shd w:val="clear" w:color="auto" w:fill="auto"/>
            <w:vAlign w:val="bottom"/>
            <w:hideMark/>
          </w:tcPr>
          <w:p w14:paraId="15CE7A9D"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-477</w:t>
            </w:r>
          </w:p>
        </w:tc>
        <w:tc>
          <w:tcPr>
            <w:tcW w:w="756" w:type="dxa"/>
            <w:tcBorders>
              <w:top w:val="nil"/>
              <w:left w:val="nil"/>
              <w:bottom w:val="single" w:sz="4" w:space="0" w:color="ADD6EA"/>
              <w:right w:val="nil"/>
            </w:tcBorders>
            <w:shd w:val="clear" w:color="auto" w:fill="auto"/>
            <w:vAlign w:val="bottom"/>
            <w:hideMark/>
          </w:tcPr>
          <w:p w14:paraId="2D429594"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-330</w:t>
            </w:r>
          </w:p>
        </w:tc>
        <w:tc>
          <w:tcPr>
            <w:tcW w:w="756" w:type="dxa"/>
            <w:tcBorders>
              <w:top w:val="nil"/>
              <w:left w:val="nil"/>
              <w:bottom w:val="single" w:sz="4" w:space="0" w:color="ADD6EA"/>
              <w:right w:val="nil"/>
            </w:tcBorders>
            <w:shd w:val="clear" w:color="auto" w:fill="auto"/>
            <w:vAlign w:val="bottom"/>
            <w:hideMark/>
          </w:tcPr>
          <w:p w14:paraId="6E711F9C"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-172</w:t>
            </w:r>
          </w:p>
        </w:tc>
        <w:tc>
          <w:tcPr>
            <w:tcW w:w="756" w:type="dxa"/>
            <w:tcBorders>
              <w:top w:val="nil"/>
              <w:left w:val="nil"/>
              <w:bottom w:val="single" w:sz="4" w:space="0" w:color="ADD6EA"/>
              <w:right w:val="nil"/>
            </w:tcBorders>
            <w:shd w:val="clear" w:color="auto" w:fill="auto"/>
            <w:vAlign w:val="bottom"/>
            <w:hideMark/>
          </w:tcPr>
          <w:p w14:paraId="04D6A381"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45</w:t>
            </w:r>
          </w:p>
        </w:tc>
        <w:tc>
          <w:tcPr>
            <w:tcW w:w="756" w:type="dxa"/>
            <w:tcBorders>
              <w:top w:val="nil"/>
              <w:left w:val="nil"/>
              <w:bottom w:val="single" w:sz="4" w:space="0" w:color="ADD6EA"/>
              <w:right w:val="nil"/>
            </w:tcBorders>
            <w:shd w:val="clear" w:color="auto" w:fill="auto"/>
            <w:vAlign w:val="bottom"/>
            <w:hideMark/>
          </w:tcPr>
          <w:p w14:paraId="394B3AD8"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-6</w:t>
            </w:r>
          </w:p>
        </w:tc>
        <w:tc>
          <w:tcPr>
            <w:tcW w:w="756" w:type="dxa"/>
            <w:tcBorders>
              <w:top w:val="nil"/>
              <w:left w:val="nil"/>
              <w:bottom w:val="single" w:sz="4" w:space="0" w:color="ADD6EA"/>
              <w:right w:val="nil"/>
            </w:tcBorders>
            <w:shd w:val="clear" w:color="auto" w:fill="auto"/>
            <w:vAlign w:val="bottom"/>
            <w:hideMark/>
          </w:tcPr>
          <w:p w14:paraId="161D460A"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66</w:t>
            </w:r>
          </w:p>
        </w:tc>
        <w:tc>
          <w:tcPr>
            <w:tcW w:w="756" w:type="dxa"/>
            <w:tcBorders>
              <w:top w:val="nil"/>
              <w:left w:val="nil"/>
              <w:bottom w:val="single" w:sz="4" w:space="0" w:color="ADD6EA"/>
              <w:right w:val="nil"/>
            </w:tcBorders>
            <w:shd w:val="clear" w:color="auto" w:fill="auto"/>
            <w:vAlign w:val="bottom"/>
            <w:hideMark/>
          </w:tcPr>
          <w:p w14:paraId="7C14B1BD" w14:textId="77777777" w:rsidR="00F41003" w:rsidRPr="002C25F2" w:rsidRDefault="00F41003" w:rsidP="00952322">
            <w:pPr>
              <w:tabs>
                <w:tab w:val="clear" w:pos="567"/>
              </w:tabs>
              <w:spacing w:line="240" w:lineRule="auto"/>
              <w:jc w:val="right"/>
              <w:rPr>
                <w:rFonts w:eastAsia="Times New Roman" w:cs="Open Sans Light"/>
                <w:sz w:val="16"/>
                <w:szCs w:val="16"/>
                <w:lang w:eastAsia="en-AU"/>
              </w:rPr>
            </w:pPr>
            <w:r w:rsidRPr="002C25F2">
              <w:rPr>
                <w:rFonts w:eastAsia="Times New Roman" w:cs="Open Sans Light"/>
                <w:sz w:val="16"/>
                <w:szCs w:val="16"/>
                <w:lang w:eastAsia="en-AU"/>
              </w:rPr>
              <w:t>985</w:t>
            </w:r>
          </w:p>
        </w:tc>
      </w:tr>
      <w:tr w:rsidR="00F41003" w:rsidRPr="002C25F2" w14:paraId="208FE061" w14:textId="77777777" w:rsidTr="009773F6">
        <w:trPr>
          <w:trHeight w:val="315"/>
        </w:trPr>
        <w:tc>
          <w:tcPr>
            <w:tcW w:w="2410" w:type="dxa"/>
            <w:tcBorders>
              <w:top w:val="nil"/>
              <w:left w:val="nil"/>
              <w:bottom w:val="single" w:sz="4" w:space="0" w:color="ADD6EA"/>
              <w:right w:val="nil"/>
            </w:tcBorders>
            <w:shd w:val="clear" w:color="000000" w:fill="D6E7F0"/>
            <w:vAlign w:val="bottom"/>
            <w:hideMark/>
          </w:tcPr>
          <w:p w14:paraId="5DEC8B95" w14:textId="77777777" w:rsidR="00F41003" w:rsidRPr="002C25F2" w:rsidRDefault="00F41003" w:rsidP="00952322">
            <w:pPr>
              <w:tabs>
                <w:tab w:val="clear" w:pos="567"/>
              </w:tabs>
              <w:spacing w:line="240" w:lineRule="auto"/>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Total fiscal capacity changes</w:t>
            </w:r>
          </w:p>
        </w:tc>
        <w:tc>
          <w:tcPr>
            <w:tcW w:w="756" w:type="dxa"/>
            <w:tcBorders>
              <w:top w:val="nil"/>
              <w:left w:val="nil"/>
              <w:bottom w:val="single" w:sz="4" w:space="0" w:color="ADD6EA"/>
              <w:right w:val="nil"/>
            </w:tcBorders>
            <w:shd w:val="clear" w:color="000000" w:fill="D6E7F0"/>
            <w:vAlign w:val="bottom"/>
            <w:hideMark/>
          </w:tcPr>
          <w:p w14:paraId="56B3CE29"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1,031</w:t>
            </w:r>
          </w:p>
        </w:tc>
        <w:tc>
          <w:tcPr>
            <w:tcW w:w="756" w:type="dxa"/>
            <w:tcBorders>
              <w:top w:val="nil"/>
              <w:left w:val="nil"/>
              <w:bottom w:val="single" w:sz="4" w:space="0" w:color="ADD6EA"/>
              <w:right w:val="nil"/>
            </w:tcBorders>
            <w:shd w:val="clear" w:color="000000" w:fill="D6E7F0"/>
            <w:vAlign w:val="bottom"/>
            <w:hideMark/>
          </w:tcPr>
          <w:p w14:paraId="4AF8DE79"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-410</w:t>
            </w:r>
          </w:p>
        </w:tc>
        <w:tc>
          <w:tcPr>
            <w:tcW w:w="756" w:type="dxa"/>
            <w:tcBorders>
              <w:top w:val="nil"/>
              <w:left w:val="nil"/>
              <w:bottom w:val="single" w:sz="4" w:space="0" w:color="ADD6EA"/>
              <w:right w:val="nil"/>
            </w:tcBorders>
            <w:shd w:val="clear" w:color="000000" w:fill="D6E7F0"/>
            <w:vAlign w:val="bottom"/>
            <w:hideMark/>
          </w:tcPr>
          <w:p w14:paraId="487BB128"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-67</w:t>
            </w:r>
          </w:p>
        </w:tc>
        <w:tc>
          <w:tcPr>
            <w:tcW w:w="756" w:type="dxa"/>
            <w:tcBorders>
              <w:top w:val="nil"/>
              <w:left w:val="nil"/>
              <w:bottom w:val="single" w:sz="4" w:space="0" w:color="ADD6EA"/>
              <w:right w:val="nil"/>
            </w:tcBorders>
            <w:shd w:val="clear" w:color="000000" w:fill="D6E7F0"/>
            <w:vAlign w:val="bottom"/>
            <w:hideMark/>
          </w:tcPr>
          <w:p w14:paraId="4C482645"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-475</w:t>
            </w:r>
          </w:p>
        </w:tc>
        <w:tc>
          <w:tcPr>
            <w:tcW w:w="756" w:type="dxa"/>
            <w:tcBorders>
              <w:top w:val="nil"/>
              <w:left w:val="nil"/>
              <w:bottom w:val="single" w:sz="4" w:space="0" w:color="ADD6EA"/>
              <w:right w:val="nil"/>
            </w:tcBorders>
            <w:shd w:val="clear" w:color="000000" w:fill="D6E7F0"/>
            <w:vAlign w:val="bottom"/>
            <w:hideMark/>
          </w:tcPr>
          <w:p w14:paraId="06F0FDA3"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-499</w:t>
            </w:r>
          </w:p>
        </w:tc>
        <w:tc>
          <w:tcPr>
            <w:tcW w:w="756" w:type="dxa"/>
            <w:tcBorders>
              <w:top w:val="nil"/>
              <w:left w:val="nil"/>
              <w:bottom w:val="single" w:sz="4" w:space="0" w:color="ADD6EA"/>
              <w:right w:val="nil"/>
            </w:tcBorders>
            <w:shd w:val="clear" w:color="000000" w:fill="D6E7F0"/>
            <w:vAlign w:val="bottom"/>
            <w:hideMark/>
          </w:tcPr>
          <w:p w14:paraId="663EFE26"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200</w:t>
            </w:r>
          </w:p>
        </w:tc>
        <w:tc>
          <w:tcPr>
            <w:tcW w:w="756" w:type="dxa"/>
            <w:tcBorders>
              <w:top w:val="nil"/>
              <w:left w:val="nil"/>
              <w:bottom w:val="single" w:sz="4" w:space="0" w:color="ADD6EA"/>
              <w:right w:val="nil"/>
            </w:tcBorders>
            <w:shd w:val="clear" w:color="000000" w:fill="D6E7F0"/>
            <w:vAlign w:val="bottom"/>
            <w:hideMark/>
          </w:tcPr>
          <w:p w14:paraId="19A8F0E4"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-99</w:t>
            </w:r>
          </w:p>
        </w:tc>
        <w:tc>
          <w:tcPr>
            <w:tcW w:w="756" w:type="dxa"/>
            <w:tcBorders>
              <w:top w:val="nil"/>
              <w:left w:val="nil"/>
              <w:bottom w:val="single" w:sz="4" w:space="0" w:color="ADD6EA"/>
              <w:right w:val="nil"/>
            </w:tcBorders>
            <w:shd w:val="clear" w:color="000000" w:fill="D6E7F0"/>
            <w:vAlign w:val="bottom"/>
            <w:hideMark/>
          </w:tcPr>
          <w:p w14:paraId="012E22B0"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320</w:t>
            </w:r>
          </w:p>
        </w:tc>
        <w:tc>
          <w:tcPr>
            <w:tcW w:w="756" w:type="dxa"/>
            <w:tcBorders>
              <w:top w:val="nil"/>
              <w:left w:val="nil"/>
              <w:bottom w:val="single" w:sz="4" w:space="0" w:color="ADD6EA"/>
              <w:right w:val="nil"/>
            </w:tcBorders>
            <w:shd w:val="clear" w:color="000000" w:fill="D6E7F0"/>
            <w:vAlign w:val="bottom"/>
            <w:hideMark/>
          </w:tcPr>
          <w:p w14:paraId="61F574D4" w14:textId="77777777" w:rsidR="00F41003" w:rsidRPr="002C25F2" w:rsidRDefault="00F41003" w:rsidP="00952322">
            <w:pPr>
              <w:tabs>
                <w:tab w:val="clear" w:pos="567"/>
              </w:tabs>
              <w:spacing w:line="240" w:lineRule="auto"/>
              <w:jc w:val="right"/>
              <w:rPr>
                <w:rFonts w:ascii="Open Sans SemiBold" w:eastAsia="Times New Roman" w:hAnsi="Open Sans SemiBold" w:cs="Open Sans SemiBold"/>
                <w:sz w:val="16"/>
                <w:szCs w:val="16"/>
                <w:lang w:eastAsia="en-AU"/>
              </w:rPr>
            </w:pPr>
            <w:r w:rsidRPr="002C25F2">
              <w:rPr>
                <w:rFonts w:ascii="Open Sans SemiBold" w:eastAsia="Times New Roman" w:hAnsi="Open Sans SemiBold" w:cs="Open Sans SemiBold"/>
                <w:sz w:val="16"/>
                <w:szCs w:val="16"/>
                <w:lang w:eastAsia="en-AU"/>
              </w:rPr>
              <w:t>1,551</w:t>
            </w:r>
          </w:p>
        </w:tc>
      </w:tr>
    </w:tbl>
    <w:p w14:paraId="4A9FB5BD" w14:textId="77777777" w:rsidR="00F41003" w:rsidRPr="002C25F2" w:rsidRDefault="00F41003" w:rsidP="00F41003">
      <w:pPr>
        <w:pStyle w:val="CGCTablenote"/>
      </w:pPr>
      <w:r w:rsidRPr="002C25F2">
        <w:t>Source:</w:t>
      </w:r>
      <w:r>
        <w:tab/>
      </w:r>
      <w:r w:rsidRPr="002C25F2">
        <w:t>Commission calculation</w:t>
      </w:r>
    </w:p>
    <w:p w14:paraId="2B2F1DA0" w14:textId="1BA788D7" w:rsidR="002D032F" w:rsidRDefault="002D032F" w:rsidP="002D032F">
      <w:r>
        <w:rPr>
          <w:lang w:val="en-US"/>
        </w:rPr>
        <w:t>Further information about</w:t>
      </w:r>
      <w:r w:rsidRPr="001D498E">
        <w:rPr>
          <w:lang w:val="en-US"/>
        </w:rPr>
        <w:t xml:space="preserve"> why </w:t>
      </w:r>
      <w:r>
        <w:rPr>
          <w:lang w:val="en-US"/>
        </w:rPr>
        <w:t>State</w:t>
      </w:r>
      <w:r w:rsidRPr="001D498E">
        <w:rPr>
          <w:lang w:val="en-US"/>
        </w:rPr>
        <w:t xml:space="preserve"> fiscal capacities differ and how they have changed in the most recent </w:t>
      </w:r>
      <w:r>
        <w:rPr>
          <w:lang w:val="en-US"/>
        </w:rPr>
        <w:t>review</w:t>
      </w:r>
      <w:r w:rsidRPr="001D498E">
        <w:rPr>
          <w:lang w:val="en-US"/>
        </w:rPr>
        <w:t xml:space="preserve"> </w:t>
      </w:r>
      <w:r>
        <w:rPr>
          <w:lang w:val="en-US"/>
        </w:rPr>
        <w:t>is available</w:t>
      </w:r>
      <w:r w:rsidRPr="001D498E">
        <w:rPr>
          <w:lang w:val="en-US"/>
        </w:rPr>
        <w:t xml:space="preserve"> in </w:t>
      </w:r>
      <w:r w:rsidR="004831B5">
        <w:rPr>
          <w:lang w:val="en-US"/>
        </w:rPr>
        <w:t>separate</w:t>
      </w:r>
      <w:r>
        <w:rPr>
          <w:lang w:val="en-US"/>
        </w:rPr>
        <w:t xml:space="preserve"> fact sheets</w:t>
      </w:r>
      <w:r w:rsidR="004831B5">
        <w:rPr>
          <w:lang w:val="en-US"/>
        </w:rPr>
        <w:t>, including summaries for each State.</w:t>
      </w:r>
      <w:r w:rsidR="00642495">
        <w:rPr>
          <w:lang w:val="en-US"/>
        </w:rPr>
        <w:t xml:space="preserve"> </w:t>
      </w:r>
      <w:r>
        <w:t xml:space="preserve">Detailed analysis is included in Volume 1 of the 2020 Review final report. </w:t>
      </w:r>
    </w:p>
    <w:p w14:paraId="0539504A" w14:textId="77777777" w:rsidR="003F6525" w:rsidRDefault="003F6525" w:rsidP="002D032F"/>
    <w:p w14:paraId="53552034" w14:textId="6A9F6CDB" w:rsidR="00255390" w:rsidRPr="00255390" w:rsidRDefault="00255390" w:rsidP="00A92191">
      <w:pPr>
        <w:pStyle w:val="Caption"/>
        <w:jc w:val="center"/>
      </w:pPr>
      <w:r w:rsidRPr="00D97B7C">
        <w:t xml:space="preserve">For more information about </w:t>
      </w:r>
      <w:r>
        <w:t xml:space="preserve">the </w:t>
      </w:r>
      <w:r w:rsidRPr="00D97B7C">
        <w:t>2020 Review</w:t>
      </w:r>
      <w:r>
        <w:t>, see the Commission website</w:t>
      </w:r>
      <w:r w:rsidRPr="00D97B7C">
        <w:t>.</w:t>
      </w:r>
    </w:p>
    <w:sectPr w:rsidR="00255390" w:rsidRPr="00255390" w:rsidSect="00782274">
      <w:headerReference w:type="default" r:id="rId11"/>
      <w:footerReference w:type="default" r:id="rId12"/>
      <w:headerReference w:type="first" r:id="rId13"/>
      <w:footerReference w:type="first" r:id="rId14"/>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92BAD" w14:textId="77777777" w:rsidR="00D26C65" w:rsidRDefault="00D26C65">
      <w:r>
        <w:separator/>
      </w:r>
    </w:p>
  </w:endnote>
  <w:endnote w:type="continuationSeparator" w:id="0">
    <w:p w14:paraId="6199A582" w14:textId="77777777" w:rsidR="00D26C65" w:rsidRDefault="00D2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F8C7" w14:textId="5A228AEC" w:rsidR="00AB1A13" w:rsidRPr="002478F7" w:rsidRDefault="002478F7" w:rsidP="00782274">
    <w:pPr>
      <w:pStyle w:val="Footer"/>
      <w:pBdr>
        <w:top w:val="single" w:sz="24" w:space="1" w:color="004563"/>
      </w:pBdr>
      <w:tabs>
        <w:tab w:val="clear" w:pos="567"/>
        <w:tab w:val="clear" w:pos="4513"/>
        <w:tab w:val="clear" w:pos="9026"/>
        <w:tab w:val="right" w:pos="851"/>
      </w:tabs>
      <w:ind w:left="0" w:right="0"/>
      <w:jc w:val="both"/>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2F162A">
      <w:rPr>
        <w:rFonts w:ascii="Montserrat Semi Bold" w:hAnsi="Montserrat Semi Bold"/>
        <w:b w:val="0"/>
        <w:bCs/>
        <w:sz w:val="22"/>
        <w:szCs w:val="24"/>
        <w:lang w:val="en-US"/>
      </w:rPr>
      <w:t>Overview of the 2020 Review</w:t>
    </w:r>
    <w:r>
      <w:rPr>
        <w:rFonts w:ascii="Montserrat Semi Bold" w:hAnsi="Montserrat Semi Bold"/>
        <w:b w:val="0"/>
        <w:bCs/>
        <w:sz w:val="22"/>
        <w:szCs w:val="24"/>
        <w:lang w:val="en-US"/>
      </w:rPr>
      <w:tab/>
    </w:r>
    <w:r w:rsidR="00042431">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D62325">
      <w:rPr>
        <w:rFonts w:ascii="Montserrat Semi Bold" w:hAnsi="Montserrat Semi Bold"/>
        <w:b w:val="0"/>
        <w:bCs/>
        <w:sz w:val="22"/>
        <w:szCs w:val="24"/>
        <w:lang w:val="en-US"/>
      </w:rPr>
      <w:tab/>
    </w:r>
    <w:r w:rsidR="00782274">
      <w:rPr>
        <w:rFonts w:ascii="Montserrat Semi Bold" w:hAnsi="Montserrat Semi Bold"/>
        <w:b w:val="0"/>
        <w:bCs/>
        <w:sz w:val="22"/>
        <w:szCs w:val="24"/>
        <w:lang w:val="en-US"/>
      </w:rPr>
      <w:t xml:space="preserve">             </w:t>
    </w:r>
    <w:r w:rsidR="00852075">
      <w:rPr>
        <w:rFonts w:ascii="Montserrat Semi Bold" w:hAnsi="Montserrat Semi Bold"/>
        <w:b w:val="0"/>
        <w:bCs/>
        <w:sz w:val="22"/>
        <w:szCs w:val="24"/>
        <w:lang w:val="en-US"/>
      </w:rPr>
      <w:t>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D8BF6" w14:textId="614DBEFA" w:rsidR="002F2AE2" w:rsidRPr="008E13F6" w:rsidRDefault="00046F77" w:rsidP="004C12B4">
    <w:pPr>
      <w:pStyle w:val="Footer"/>
      <w:pBdr>
        <w:top w:val="single" w:sz="24" w:space="1" w:color="004563"/>
      </w:pBdr>
      <w:tabs>
        <w:tab w:val="clear" w:pos="567"/>
        <w:tab w:val="clear" w:pos="4513"/>
        <w:tab w:val="clear" w:pos="9026"/>
        <w:tab w:val="right" w:pos="851"/>
      </w:tabs>
      <w:ind w:left="0" w:right="0"/>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E954B0">
      <w:rPr>
        <w:rFonts w:ascii="Montserrat Semi Bold" w:hAnsi="Montserrat Semi Bold"/>
        <w:b w:val="0"/>
        <w:bCs/>
        <w:sz w:val="22"/>
        <w:szCs w:val="24"/>
        <w:lang w:val="en-US"/>
      </w:rPr>
      <w:t>Why</w:t>
    </w:r>
    <w:r w:rsidR="00650F3A">
      <w:rPr>
        <w:rFonts w:ascii="Montserrat Semi Bold" w:hAnsi="Montserrat Semi Bold"/>
        <w:b w:val="0"/>
        <w:bCs/>
        <w:sz w:val="22"/>
        <w:szCs w:val="24"/>
        <w:lang w:val="en-US"/>
      </w:rPr>
      <w:t xml:space="preserve"> f</w:t>
    </w:r>
    <w:r w:rsidR="002B47D4">
      <w:rPr>
        <w:rFonts w:ascii="Montserrat Semi Bold" w:hAnsi="Montserrat Semi Bold"/>
        <w:b w:val="0"/>
        <w:bCs/>
        <w:sz w:val="22"/>
        <w:szCs w:val="24"/>
        <w:lang w:val="en-US"/>
      </w:rPr>
      <w:t>iscal capacities</w:t>
    </w:r>
    <w:r w:rsidR="00E954B0">
      <w:rPr>
        <w:rFonts w:ascii="Montserrat Semi Bold" w:hAnsi="Montserrat Semi Bold"/>
        <w:b w:val="0"/>
        <w:bCs/>
        <w:sz w:val="22"/>
        <w:szCs w:val="24"/>
        <w:lang w:val="en-US"/>
      </w:rPr>
      <w:t xml:space="preserve"> have changed</w:t>
    </w:r>
    <w:r w:rsidR="002C7FB1">
      <w:rPr>
        <w:rFonts w:ascii="Montserrat Semi Bold" w:hAnsi="Montserrat Semi Bold"/>
        <w:b w:val="0"/>
        <w:bCs/>
        <w:sz w:val="22"/>
        <w:szCs w:val="24"/>
        <w:lang w:val="en-US"/>
      </w:rPr>
      <w:tab/>
    </w:r>
    <w:r w:rsidR="005C215D">
      <w:rPr>
        <w:rFonts w:ascii="Montserrat Semi Bold" w:hAnsi="Montserrat Semi Bold"/>
        <w:b w:val="0"/>
        <w:bCs/>
        <w:sz w:val="22"/>
        <w:szCs w:val="24"/>
        <w:lang w:val="en-US"/>
      </w:rPr>
      <w:tab/>
    </w:r>
    <w:r w:rsidR="005C215D">
      <w:rPr>
        <w:rFonts w:ascii="Montserrat Semi Bold" w:hAnsi="Montserrat Semi Bold"/>
        <w:b w:val="0"/>
        <w:bCs/>
        <w:sz w:val="22"/>
        <w:szCs w:val="24"/>
        <w:lang w:val="en-US"/>
      </w:rPr>
      <w:tab/>
    </w:r>
    <w:r w:rsidR="008200B9">
      <w:rPr>
        <w:rFonts w:ascii="Montserrat Semi Bold" w:hAnsi="Montserrat Semi Bold"/>
        <w:b w:val="0"/>
        <w:bCs/>
        <w:sz w:val="22"/>
        <w:szCs w:val="24"/>
        <w:lang w:val="en-US"/>
      </w:rPr>
      <w:t>cgc.gov.au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B90AF" w14:textId="77777777" w:rsidR="00D26C65" w:rsidRPr="00201B3A" w:rsidRDefault="00D26C65">
      <w:pPr>
        <w:rPr>
          <w:color w:val="ADD6EA"/>
        </w:rPr>
      </w:pPr>
      <w:r w:rsidRPr="00201B3A">
        <w:rPr>
          <w:color w:val="ADD6EA"/>
        </w:rPr>
        <w:separator/>
      </w:r>
    </w:p>
  </w:footnote>
  <w:footnote w:type="continuationSeparator" w:id="0">
    <w:p w14:paraId="01F9619D" w14:textId="77777777" w:rsidR="00D26C65" w:rsidRDefault="00D2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D4DF" w14:textId="7BC18CF1" w:rsidR="001C2352" w:rsidRDefault="00782274" w:rsidP="00782274">
    <w:pPr>
      <w:pStyle w:val="Header"/>
      <w:pBdr>
        <w:bottom w:val="single" w:sz="24" w:space="1" w:color="004563"/>
      </w:pBdr>
      <w:spacing w:before="200"/>
      <w:jc w:val="center"/>
    </w:pPr>
    <w:r>
      <w:rPr>
        <w:noProof/>
        <w:lang w:eastAsia="en-AU"/>
      </w:rPr>
      <w:drawing>
        <wp:anchor distT="0" distB="0" distL="114300" distR="114300" simplePos="0" relativeHeight="251659264" behindDoc="1" locked="0" layoutInCell="1" allowOverlap="1" wp14:anchorId="1F73D91C" wp14:editId="7DA1E7E1">
          <wp:simplePos x="0" y="0"/>
          <wp:positionH relativeFrom="column">
            <wp:posOffset>1116330</wp:posOffset>
          </wp:positionH>
          <wp:positionV relativeFrom="topMargin">
            <wp:posOffset>252095</wp:posOffset>
          </wp:positionV>
          <wp:extent cx="3427200" cy="6516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7200" cy="651600"/>
                  </a:xfrm>
                  <a:prstGeom prst="rect">
                    <a:avLst/>
                  </a:prstGeom>
                  <a:noFill/>
                </pic:spPr>
              </pic:pic>
            </a:graphicData>
          </a:graphic>
          <wp14:sizeRelH relativeFrom="margin">
            <wp14:pctWidth>0</wp14:pctWidth>
          </wp14:sizeRelH>
          <wp14:sizeRelV relativeFrom="margin">
            <wp14:pctHeight>0</wp14:pctHeight>
          </wp14:sizeRelV>
        </wp:anchor>
      </w:drawing>
    </w:r>
  </w:p>
  <w:p w14:paraId="6F486B04" w14:textId="77777777" w:rsidR="00782274" w:rsidRPr="00782274" w:rsidRDefault="00782274" w:rsidP="00782274">
    <w:pPr>
      <w:pStyle w:val="Header"/>
      <w:pBdr>
        <w:bottom w:val="single" w:sz="24" w:space="1" w:color="004563"/>
      </w:pBdr>
      <w:spacing w:before="2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FE50" w14:textId="77777777" w:rsidR="00782274" w:rsidRDefault="00782274" w:rsidP="000349FF">
    <w:pPr>
      <w:pStyle w:val="Header"/>
      <w:pBdr>
        <w:bottom w:val="single" w:sz="24" w:space="1" w:color="004563"/>
      </w:pBdr>
      <w:spacing w:before="200"/>
      <w:jc w:val="center"/>
    </w:pPr>
  </w:p>
  <w:p w14:paraId="481C3F99" w14:textId="68C55B1B" w:rsidR="002F2AE2" w:rsidRDefault="001B6448" w:rsidP="000349FF">
    <w:pPr>
      <w:pStyle w:val="Header"/>
      <w:pBdr>
        <w:bottom w:val="single" w:sz="24" w:space="1" w:color="004563"/>
      </w:pBdr>
      <w:spacing w:before="200"/>
      <w:jc w:val="center"/>
    </w:pPr>
    <w:r>
      <w:rPr>
        <w:noProof/>
        <w:lang w:eastAsia="en-AU"/>
      </w:rPr>
      <w:drawing>
        <wp:anchor distT="0" distB="0" distL="114300" distR="114300" simplePos="0" relativeHeight="251658240" behindDoc="1" locked="0" layoutInCell="1" allowOverlap="1" wp14:anchorId="4D8D66DF" wp14:editId="703C7E95">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2939A1"/>
    <w:multiLevelType w:val="hybridMultilevel"/>
    <w:tmpl w:val="7E0644A6"/>
    <w:lvl w:ilvl="0" w:tplc="A72CF2B4">
      <w:start w:val="1"/>
      <w:numFmt w:val="lowerLetter"/>
      <w:lvlText w:val="(%1)"/>
      <w:lvlJc w:val="left"/>
      <w:pPr>
        <w:ind w:left="2379" w:hanging="450"/>
      </w:pPr>
      <w:rPr>
        <w:rFonts w:hint="default"/>
      </w:rPr>
    </w:lvl>
    <w:lvl w:ilvl="1" w:tplc="0C090019" w:tentative="1">
      <w:start w:val="1"/>
      <w:numFmt w:val="lowerLetter"/>
      <w:lvlText w:val="%2."/>
      <w:lvlJc w:val="left"/>
      <w:pPr>
        <w:ind w:left="3009" w:hanging="360"/>
      </w:pPr>
    </w:lvl>
    <w:lvl w:ilvl="2" w:tplc="0C09001B" w:tentative="1">
      <w:start w:val="1"/>
      <w:numFmt w:val="lowerRoman"/>
      <w:lvlText w:val="%3."/>
      <w:lvlJc w:val="right"/>
      <w:pPr>
        <w:ind w:left="3729" w:hanging="180"/>
      </w:pPr>
    </w:lvl>
    <w:lvl w:ilvl="3" w:tplc="0C09000F" w:tentative="1">
      <w:start w:val="1"/>
      <w:numFmt w:val="decimal"/>
      <w:lvlText w:val="%4."/>
      <w:lvlJc w:val="left"/>
      <w:pPr>
        <w:ind w:left="4449" w:hanging="360"/>
      </w:pPr>
    </w:lvl>
    <w:lvl w:ilvl="4" w:tplc="0C090019" w:tentative="1">
      <w:start w:val="1"/>
      <w:numFmt w:val="lowerLetter"/>
      <w:lvlText w:val="%5."/>
      <w:lvlJc w:val="left"/>
      <w:pPr>
        <w:ind w:left="5169" w:hanging="360"/>
      </w:pPr>
    </w:lvl>
    <w:lvl w:ilvl="5" w:tplc="0C09001B" w:tentative="1">
      <w:start w:val="1"/>
      <w:numFmt w:val="lowerRoman"/>
      <w:lvlText w:val="%6."/>
      <w:lvlJc w:val="right"/>
      <w:pPr>
        <w:ind w:left="5889" w:hanging="180"/>
      </w:pPr>
    </w:lvl>
    <w:lvl w:ilvl="6" w:tplc="0C09000F" w:tentative="1">
      <w:start w:val="1"/>
      <w:numFmt w:val="decimal"/>
      <w:lvlText w:val="%7."/>
      <w:lvlJc w:val="left"/>
      <w:pPr>
        <w:ind w:left="6609" w:hanging="360"/>
      </w:pPr>
    </w:lvl>
    <w:lvl w:ilvl="7" w:tplc="0C090019" w:tentative="1">
      <w:start w:val="1"/>
      <w:numFmt w:val="lowerLetter"/>
      <w:lvlText w:val="%8."/>
      <w:lvlJc w:val="left"/>
      <w:pPr>
        <w:ind w:left="7329" w:hanging="360"/>
      </w:pPr>
    </w:lvl>
    <w:lvl w:ilvl="8" w:tplc="0C09001B" w:tentative="1">
      <w:start w:val="1"/>
      <w:numFmt w:val="lowerRoman"/>
      <w:lvlText w:val="%9."/>
      <w:lvlJc w:val="right"/>
      <w:pPr>
        <w:ind w:left="8049" w:hanging="180"/>
      </w:pPr>
    </w:lvl>
  </w:abstractNum>
  <w:abstractNum w:abstractNumId="18"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1"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0"/>
  </w:num>
  <w:num w:numId="4">
    <w:abstractNumId w:val="16"/>
  </w:num>
  <w:num w:numId="5">
    <w:abstractNumId w:val="21"/>
  </w:num>
  <w:num w:numId="6">
    <w:abstractNumId w:val="15"/>
  </w:num>
  <w:num w:numId="7">
    <w:abstractNumId w:val="13"/>
  </w:num>
  <w:num w:numId="8">
    <w:abstractNumId w:val="12"/>
  </w:num>
  <w:num w:numId="9">
    <w:abstractNumId w:val="10"/>
  </w:num>
  <w:num w:numId="10">
    <w:abstractNumId w:val="19"/>
  </w:num>
  <w:num w:numId="11">
    <w:abstractNumId w:val="15"/>
  </w:num>
  <w:num w:numId="12">
    <w:abstractNumId w:val="13"/>
  </w:num>
  <w:num w:numId="13">
    <w:abstractNumId w:val="12"/>
  </w:num>
  <w:num w:numId="14">
    <w:abstractNumId w:val="10"/>
  </w:num>
  <w:num w:numId="15">
    <w:abstractNumId w:val="19"/>
  </w:num>
  <w:num w:numId="16">
    <w:abstractNumId w:val="15"/>
  </w:num>
  <w:num w:numId="17">
    <w:abstractNumId w:val="13"/>
  </w:num>
  <w:num w:numId="18">
    <w:abstractNumId w:val="12"/>
  </w:num>
  <w:num w:numId="19">
    <w:abstractNumId w:val="10"/>
  </w:num>
  <w:num w:numId="20">
    <w:abstractNumId w:val="19"/>
  </w:num>
  <w:num w:numId="21">
    <w:abstractNumId w:val="15"/>
  </w:num>
  <w:num w:numId="22">
    <w:abstractNumId w:val="13"/>
  </w:num>
  <w:num w:numId="23">
    <w:abstractNumId w:val="12"/>
  </w:num>
  <w:num w:numId="24">
    <w:abstractNumId w:val="10"/>
  </w:num>
  <w:num w:numId="25">
    <w:abstractNumId w:val="1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8"/>
  </w:num>
  <w:num w:numId="38">
    <w:abstractNumId w:val="15"/>
    <w:lvlOverride w:ilvl="0">
      <w:startOverride w:val="1"/>
    </w:lvlOverride>
  </w:num>
  <w:num w:numId="39">
    <w:abstractNumId w:val="17"/>
  </w:num>
  <w:num w:numId="40">
    <w:abstractNumId w:val="12"/>
  </w:num>
  <w:num w:numId="41">
    <w:abstractNumId w:val="12"/>
  </w:num>
  <w:num w:numId="42">
    <w:abstractNumId w:val="12"/>
  </w:num>
  <w:num w:numId="43">
    <w:abstractNumId w:val="13"/>
  </w:num>
  <w:num w:numId="44">
    <w:abstractNumId w:val="13"/>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D7D"/>
    <w:rsid w:val="00006A23"/>
    <w:rsid w:val="00011803"/>
    <w:rsid w:val="000151FD"/>
    <w:rsid w:val="00016FE0"/>
    <w:rsid w:val="00022EA9"/>
    <w:rsid w:val="00024129"/>
    <w:rsid w:val="00024745"/>
    <w:rsid w:val="000255B6"/>
    <w:rsid w:val="00032F41"/>
    <w:rsid w:val="00033274"/>
    <w:rsid w:val="0003471E"/>
    <w:rsid w:val="000347E9"/>
    <w:rsid w:val="000349FF"/>
    <w:rsid w:val="00034D47"/>
    <w:rsid w:val="00035107"/>
    <w:rsid w:val="0004123E"/>
    <w:rsid w:val="00041748"/>
    <w:rsid w:val="00041E84"/>
    <w:rsid w:val="00042431"/>
    <w:rsid w:val="000424EA"/>
    <w:rsid w:val="00042BC8"/>
    <w:rsid w:val="0004628D"/>
    <w:rsid w:val="00046F77"/>
    <w:rsid w:val="000512CF"/>
    <w:rsid w:val="000527AB"/>
    <w:rsid w:val="00056373"/>
    <w:rsid w:val="00057CBF"/>
    <w:rsid w:val="00061111"/>
    <w:rsid w:val="000624BB"/>
    <w:rsid w:val="000648E8"/>
    <w:rsid w:val="00074110"/>
    <w:rsid w:val="00077E84"/>
    <w:rsid w:val="00090AEF"/>
    <w:rsid w:val="00090CF6"/>
    <w:rsid w:val="00093796"/>
    <w:rsid w:val="000A3898"/>
    <w:rsid w:val="000A3F9E"/>
    <w:rsid w:val="000A52A1"/>
    <w:rsid w:val="000B2942"/>
    <w:rsid w:val="000B3557"/>
    <w:rsid w:val="000B64E3"/>
    <w:rsid w:val="000B67BC"/>
    <w:rsid w:val="000B7BE2"/>
    <w:rsid w:val="000C5126"/>
    <w:rsid w:val="000C6238"/>
    <w:rsid w:val="000D1354"/>
    <w:rsid w:val="000D7085"/>
    <w:rsid w:val="000D7C54"/>
    <w:rsid w:val="000E0085"/>
    <w:rsid w:val="000E0210"/>
    <w:rsid w:val="000E4EE3"/>
    <w:rsid w:val="000E50BE"/>
    <w:rsid w:val="000E53E0"/>
    <w:rsid w:val="000E6AA5"/>
    <w:rsid w:val="000E7F56"/>
    <w:rsid w:val="000F11E8"/>
    <w:rsid w:val="000F1CDA"/>
    <w:rsid w:val="000F36F9"/>
    <w:rsid w:val="000F5283"/>
    <w:rsid w:val="000F5C6F"/>
    <w:rsid w:val="000F71D8"/>
    <w:rsid w:val="001039C2"/>
    <w:rsid w:val="001040AD"/>
    <w:rsid w:val="001072D5"/>
    <w:rsid w:val="0011178C"/>
    <w:rsid w:val="001128CA"/>
    <w:rsid w:val="00112CF0"/>
    <w:rsid w:val="00113110"/>
    <w:rsid w:val="001155FA"/>
    <w:rsid w:val="00120B57"/>
    <w:rsid w:val="001211AB"/>
    <w:rsid w:val="001218B8"/>
    <w:rsid w:val="00124C6E"/>
    <w:rsid w:val="00124ED1"/>
    <w:rsid w:val="001353FD"/>
    <w:rsid w:val="001354C2"/>
    <w:rsid w:val="00136497"/>
    <w:rsid w:val="00137132"/>
    <w:rsid w:val="00141BD1"/>
    <w:rsid w:val="00146A68"/>
    <w:rsid w:val="00146E04"/>
    <w:rsid w:val="00147115"/>
    <w:rsid w:val="001477CE"/>
    <w:rsid w:val="00150B97"/>
    <w:rsid w:val="00154481"/>
    <w:rsid w:val="00157DD4"/>
    <w:rsid w:val="00161EFB"/>
    <w:rsid w:val="0016313D"/>
    <w:rsid w:val="0016373E"/>
    <w:rsid w:val="00165472"/>
    <w:rsid w:val="0016723A"/>
    <w:rsid w:val="00171A05"/>
    <w:rsid w:val="00172F3A"/>
    <w:rsid w:val="001730FD"/>
    <w:rsid w:val="00173798"/>
    <w:rsid w:val="00173BE6"/>
    <w:rsid w:val="00173D6D"/>
    <w:rsid w:val="00173E72"/>
    <w:rsid w:val="00174ED4"/>
    <w:rsid w:val="001760BE"/>
    <w:rsid w:val="001765AF"/>
    <w:rsid w:val="001807C0"/>
    <w:rsid w:val="001811DE"/>
    <w:rsid w:val="00186733"/>
    <w:rsid w:val="00187145"/>
    <w:rsid w:val="001A2D44"/>
    <w:rsid w:val="001A3F59"/>
    <w:rsid w:val="001B0110"/>
    <w:rsid w:val="001B3048"/>
    <w:rsid w:val="001B6448"/>
    <w:rsid w:val="001B696E"/>
    <w:rsid w:val="001B6A56"/>
    <w:rsid w:val="001C2352"/>
    <w:rsid w:val="001C469B"/>
    <w:rsid w:val="001C6A71"/>
    <w:rsid w:val="001C7D06"/>
    <w:rsid w:val="001D498E"/>
    <w:rsid w:val="001D638B"/>
    <w:rsid w:val="001D6DFA"/>
    <w:rsid w:val="001E3BBB"/>
    <w:rsid w:val="001E492F"/>
    <w:rsid w:val="001E4FDB"/>
    <w:rsid w:val="001E4FEB"/>
    <w:rsid w:val="001E5C89"/>
    <w:rsid w:val="001E6180"/>
    <w:rsid w:val="001E674B"/>
    <w:rsid w:val="001E68FC"/>
    <w:rsid w:val="001F1CD6"/>
    <w:rsid w:val="001F45CA"/>
    <w:rsid w:val="001F50A2"/>
    <w:rsid w:val="00201B3A"/>
    <w:rsid w:val="00202339"/>
    <w:rsid w:val="00204026"/>
    <w:rsid w:val="0020557F"/>
    <w:rsid w:val="00212948"/>
    <w:rsid w:val="00212A03"/>
    <w:rsid w:val="00215461"/>
    <w:rsid w:val="00217839"/>
    <w:rsid w:val="00225A3B"/>
    <w:rsid w:val="00226EE9"/>
    <w:rsid w:val="0023081D"/>
    <w:rsid w:val="00230F10"/>
    <w:rsid w:val="0023329C"/>
    <w:rsid w:val="00236DC0"/>
    <w:rsid w:val="0023707C"/>
    <w:rsid w:val="002373A2"/>
    <w:rsid w:val="00242517"/>
    <w:rsid w:val="0024260B"/>
    <w:rsid w:val="0024401F"/>
    <w:rsid w:val="0024569B"/>
    <w:rsid w:val="002478F7"/>
    <w:rsid w:val="00253E9A"/>
    <w:rsid w:val="00255390"/>
    <w:rsid w:val="00255B5A"/>
    <w:rsid w:val="002569F6"/>
    <w:rsid w:val="002663B0"/>
    <w:rsid w:val="002671A2"/>
    <w:rsid w:val="00267496"/>
    <w:rsid w:val="00270B61"/>
    <w:rsid w:val="002736AB"/>
    <w:rsid w:val="00275B68"/>
    <w:rsid w:val="00277EF8"/>
    <w:rsid w:val="002845EA"/>
    <w:rsid w:val="0028648C"/>
    <w:rsid w:val="00286EBE"/>
    <w:rsid w:val="00287C1B"/>
    <w:rsid w:val="0029317F"/>
    <w:rsid w:val="00295B70"/>
    <w:rsid w:val="002A2A08"/>
    <w:rsid w:val="002A2D93"/>
    <w:rsid w:val="002A4E42"/>
    <w:rsid w:val="002A77C3"/>
    <w:rsid w:val="002B10B0"/>
    <w:rsid w:val="002B169C"/>
    <w:rsid w:val="002B2F05"/>
    <w:rsid w:val="002B3718"/>
    <w:rsid w:val="002B42AD"/>
    <w:rsid w:val="002B47D4"/>
    <w:rsid w:val="002B6EFD"/>
    <w:rsid w:val="002B6F33"/>
    <w:rsid w:val="002B79F0"/>
    <w:rsid w:val="002B7F3E"/>
    <w:rsid w:val="002C1D9C"/>
    <w:rsid w:val="002C25F2"/>
    <w:rsid w:val="002C366F"/>
    <w:rsid w:val="002C4625"/>
    <w:rsid w:val="002C4CA9"/>
    <w:rsid w:val="002C7FB1"/>
    <w:rsid w:val="002D032F"/>
    <w:rsid w:val="002D2270"/>
    <w:rsid w:val="002E25A8"/>
    <w:rsid w:val="002E762E"/>
    <w:rsid w:val="002F04DE"/>
    <w:rsid w:val="002F162A"/>
    <w:rsid w:val="002F1880"/>
    <w:rsid w:val="002F1CD3"/>
    <w:rsid w:val="002F2AE2"/>
    <w:rsid w:val="002F2C55"/>
    <w:rsid w:val="002F3380"/>
    <w:rsid w:val="002F48C0"/>
    <w:rsid w:val="002F6E28"/>
    <w:rsid w:val="002F7E68"/>
    <w:rsid w:val="003022D4"/>
    <w:rsid w:val="00302E5E"/>
    <w:rsid w:val="00304280"/>
    <w:rsid w:val="00307400"/>
    <w:rsid w:val="00307DEF"/>
    <w:rsid w:val="00311D33"/>
    <w:rsid w:val="003125C3"/>
    <w:rsid w:val="00313584"/>
    <w:rsid w:val="00313664"/>
    <w:rsid w:val="00314F90"/>
    <w:rsid w:val="0032344D"/>
    <w:rsid w:val="00323FBE"/>
    <w:rsid w:val="0033102E"/>
    <w:rsid w:val="00331401"/>
    <w:rsid w:val="00333234"/>
    <w:rsid w:val="00335ED1"/>
    <w:rsid w:val="00336293"/>
    <w:rsid w:val="00337129"/>
    <w:rsid w:val="00337EF8"/>
    <w:rsid w:val="00342A60"/>
    <w:rsid w:val="0034379D"/>
    <w:rsid w:val="0034646D"/>
    <w:rsid w:val="00346EE2"/>
    <w:rsid w:val="00347BE5"/>
    <w:rsid w:val="0035057B"/>
    <w:rsid w:val="003522E0"/>
    <w:rsid w:val="0035267F"/>
    <w:rsid w:val="0035580D"/>
    <w:rsid w:val="003639B3"/>
    <w:rsid w:val="003639FB"/>
    <w:rsid w:val="00363BF7"/>
    <w:rsid w:val="00364DB3"/>
    <w:rsid w:val="00365746"/>
    <w:rsid w:val="003665DA"/>
    <w:rsid w:val="0037043F"/>
    <w:rsid w:val="00380B72"/>
    <w:rsid w:val="00382AE5"/>
    <w:rsid w:val="00384DED"/>
    <w:rsid w:val="00391611"/>
    <w:rsid w:val="0039170F"/>
    <w:rsid w:val="003929D2"/>
    <w:rsid w:val="00393FA5"/>
    <w:rsid w:val="003A27BB"/>
    <w:rsid w:val="003A2E4F"/>
    <w:rsid w:val="003A392E"/>
    <w:rsid w:val="003B0EDE"/>
    <w:rsid w:val="003B15C1"/>
    <w:rsid w:val="003B3811"/>
    <w:rsid w:val="003B673D"/>
    <w:rsid w:val="003C2257"/>
    <w:rsid w:val="003C2577"/>
    <w:rsid w:val="003C36F3"/>
    <w:rsid w:val="003C4448"/>
    <w:rsid w:val="003D2521"/>
    <w:rsid w:val="003D3D91"/>
    <w:rsid w:val="003D4708"/>
    <w:rsid w:val="003D477A"/>
    <w:rsid w:val="003D5BD7"/>
    <w:rsid w:val="003E6615"/>
    <w:rsid w:val="003E662B"/>
    <w:rsid w:val="003E74B4"/>
    <w:rsid w:val="003E79F9"/>
    <w:rsid w:val="003F06A1"/>
    <w:rsid w:val="003F12E9"/>
    <w:rsid w:val="003F59F4"/>
    <w:rsid w:val="003F6525"/>
    <w:rsid w:val="003F79BF"/>
    <w:rsid w:val="00401575"/>
    <w:rsid w:val="00403A0F"/>
    <w:rsid w:val="00404AA9"/>
    <w:rsid w:val="00404DCD"/>
    <w:rsid w:val="004077D6"/>
    <w:rsid w:val="004121E7"/>
    <w:rsid w:val="00414E51"/>
    <w:rsid w:val="00417C55"/>
    <w:rsid w:val="00420F04"/>
    <w:rsid w:val="00423099"/>
    <w:rsid w:val="004233A9"/>
    <w:rsid w:val="00424E79"/>
    <w:rsid w:val="0042661C"/>
    <w:rsid w:val="004274B3"/>
    <w:rsid w:val="00436C0F"/>
    <w:rsid w:val="0044001B"/>
    <w:rsid w:val="00443EC1"/>
    <w:rsid w:val="00453264"/>
    <w:rsid w:val="004532AD"/>
    <w:rsid w:val="00457BA1"/>
    <w:rsid w:val="004613A4"/>
    <w:rsid w:val="0046225D"/>
    <w:rsid w:val="00462B54"/>
    <w:rsid w:val="00463064"/>
    <w:rsid w:val="004703D1"/>
    <w:rsid w:val="00470C5C"/>
    <w:rsid w:val="00472461"/>
    <w:rsid w:val="0047540E"/>
    <w:rsid w:val="00475FEB"/>
    <w:rsid w:val="004761A6"/>
    <w:rsid w:val="004772E3"/>
    <w:rsid w:val="004809B8"/>
    <w:rsid w:val="004821B9"/>
    <w:rsid w:val="00482563"/>
    <w:rsid w:val="004831B5"/>
    <w:rsid w:val="0048571B"/>
    <w:rsid w:val="00485D35"/>
    <w:rsid w:val="00491D88"/>
    <w:rsid w:val="00492060"/>
    <w:rsid w:val="0049605C"/>
    <w:rsid w:val="004965F7"/>
    <w:rsid w:val="004A4058"/>
    <w:rsid w:val="004A5A40"/>
    <w:rsid w:val="004A6E06"/>
    <w:rsid w:val="004A7048"/>
    <w:rsid w:val="004A7569"/>
    <w:rsid w:val="004B0A0A"/>
    <w:rsid w:val="004B0AA1"/>
    <w:rsid w:val="004B1C4B"/>
    <w:rsid w:val="004B2249"/>
    <w:rsid w:val="004B5C1B"/>
    <w:rsid w:val="004B60CB"/>
    <w:rsid w:val="004B621B"/>
    <w:rsid w:val="004B69A4"/>
    <w:rsid w:val="004B7501"/>
    <w:rsid w:val="004C12B4"/>
    <w:rsid w:val="004C1CB5"/>
    <w:rsid w:val="004C21D0"/>
    <w:rsid w:val="004D192D"/>
    <w:rsid w:val="004E087C"/>
    <w:rsid w:val="004E581E"/>
    <w:rsid w:val="004E769A"/>
    <w:rsid w:val="004E7B88"/>
    <w:rsid w:val="004E7DCC"/>
    <w:rsid w:val="004F129E"/>
    <w:rsid w:val="004F2B5D"/>
    <w:rsid w:val="004F408C"/>
    <w:rsid w:val="004F40BA"/>
    <w:rsid w:val="00500ACD"/>
    <w:rsid w:val="00504061"/>
    <w:rsid w:val="00505BAE"/>
    <w:rsid w:val="00506956"/>
    <w:rsid w:val="00511A04"/>
    <w:rsid w:val="00515380"/>
    <w:rsid w:val="005176CA"/>
    <w:rsid w:val="005177E7"/>
    <w:rsid w:val="00522CEB"/>
    <w:rsid w:val="0052601F"/>
    <w:rsid w:val="00526462"/>
    <w:rsid w:val="00526613"/>
    <w:rsid w:val="00530006"/>
    <w:rsid w:val="00537A77"/>
    <w:rsid w:val="00541A14"/>
    <w:rsid w:val="00543F9C"/>
    <w:rsid w:val="00546D39"/>
    <w:rsid w:val="00550D01"/>
    <w:rsid w:val="00550E84"/>
    <w:rsid w:val="00551368"/>
    <w:rsid w:val="005577B0"/>
    <w:rsid w:val="00561895"/>
    <w:rsid w:val="00562084"/>
    <w:rsid w:val="00564C1D"/>
    <w:rsid w:val="00564DF4"/>
    <w:rsid w:val="00564E7F"/>
    <w:rsid w:val="00570EED"/>
    <w:rsid w:val="005716FC"/>
    <w:rsid w:val="005721A4"/>
    <w:rsid w:val="0057368F"/>
    <w:rsid w:val="00575DEF"/>
    <w:rsid w:val="0057640A"/>
    <w:rsid w:val="00577BD0"/>
    <w:rsid w:val="00581586"/>
    <w:rsid w:val="00583A33"/>
    <w:rsid w:val="005867D2"/>
    <w:rsid w:val="00586983"/>
    <w:rsid w:val="00592669"/>
    <w:rsid w:val="005963CC"/>
    <w:rsid w:val="00596C78"/>
    <w:rsid w:val="00596E19"/>
    <w:rsid w:val="005A0B2E"/>
    <w:rsid w:val="005A2285"/>
    <w:rsid w:val="005A241E"/>
    <w:rsid w:val="005A4ED4"/>
    <w:rsid w:val="005A537F"/>
    <w:rsid w:val="005A6FED"/>
    <w:rsid w:val="005B1BC4"/>
    <w:rsid w:val="005B6894"/>
    <w:rsid w:val="005C13B2"/>
    <w:rsid w:val="005C215D"/>
    <w:rsid w:val="005C27E3"/>
    <w:rsid w:val="005C37CB"/>
    <w:rsid w:val="005C459C"/>
    <w:rsid w:val="005C7076"/>
    <w:rsid w:val="005D1A9F"/>
    <w:rsid w:val="005D52FA"/>
    <w:rsid w:val="005D64DC"/>
    <w:rsid w:val="005D7746"/>
    <w:rsid w:val="005E09CE"/>
    <w:rsid w:val="005E266F"/>
    <w:rsid w:val="005E5734"/>
    <w:rsid w:val="005E73CE"/>
    <w:rsid w:val="005F00BD"/>
    <w:rsid w:val="005F07DC"/>
    <w:rsid w:val="005F0838"/>
    <w:rsid w:val="005F1C77"/>
    <w:rsid w:val="005F3022"/>
    <w:rsid w:val="005F4D63"/>
    <w:rsid w:val="005F4DD7"/>
    <w:rsid w:val="005F64FB"/>
    <w:rsid w:val="00601482"/>
    <w:rsid w:val="0060251E"/>
    <w:rsid w:val="00602DDE"/>
    <w:rsid w:val="00607B48"/>
    <w:rsid w:val="00611737"/>
    <w:rsid w:val="006136FD"/>
    <w:rsid w:val="0061425B"/>
    <w:rsid w:val="00614DE8"/>
    <w:rsid w:val="00622669"/>
    <w:rsid w:val="00622FE1"/>
    <w:rsid w:val="0062480A"/>
    <w:rsid w:val="00625CE5"/>
    <w:rsid w:val="00635027"/>
    <w:rsid w:val="00636FF7"/>
    <w:rsid w:val="006374FC"/>
    <w:rsid w:val="00642495"/>
    <w:rsid w:val="00644A7B"/>
    <w:rsid w:val="00650F3A"/>
    <w:rsid w:val="00652A8C"/>
    <w:rsid w:val="006556D9"/>
    <w:rsid w:val="00661C46"/>
    <w:rsid w:val="00662819"/>
    <w:rsid w:val="006630A9"/>
    <w:rsid w:val="00664078"/>
    <w:rsid w:val="006652D3"/>
    <w:rsid w:val="006658B3"/>
    <w:rsid w:val="00667CF3"/>
    <w:rsid w:val="006723C0"/>
    <w:rsid w:val="006769C4"/>
    <w:rsid w:val="0067724A"/>
    <w:rsid w:val="00677627"/>
    <w:rsid w:val="00677BD5"/>
    <w:rsid w:val="0068025E"/>
    <w:rsid w:val="00680B26"/>
    <w:rsid w:val="006867BE"/>
    <w:rsid w:val="006917B2"/>
    <w:rsid w:val="00693C87"/>
    <w:rsid w:val="006A05C7"/>
    <w:rsid w:val="006A1A19"/>
    <w:rsid w:val="006A2E6F"/>
    <w:rsid w:val="006A5A04"/>
    <w:rsid w:val="006A607B"/>
    <w:rsid w:val="006A6E27"/>
    <w:rsid w:val="006A72B0"/>
    <w:rsid w:val="006B36A1"/>
    <w:rsid w:val="006B3E4D"/>
    <w:rsid w:val="006C0E1E"/>
    <w:rsid w:val="006C3A84"/>
    <w:rsid w:val="006C52B9"/>
    <w:rsid w:val="006C74B8"/>
    <w:rsid w:val="006D1A3D"/>
    <w:rsid w:val="006D1DFE"/>
    <w:rsid w:val="006D2670"/>
    <w:rsid w:val="006D6420"/>
    <w:rsid w:val="006E1B81"/>
    <w:rsid w:val="006E6BC2"/>
    <w:rsid w:val="006E77BB"/>
    <w:rsid w:val="0070150E"/>
    <w:rsid w:val="00705DB8"/>
    <w:rsid w:val="00713225"/>
    <w:rsid w:val="0071605E"/>
    <w:rsid w:val="0072512A"/>
    <w:rsid w:val="00731EE6"/>
    <w:rsid w:val="00732CA9"/>
    <w:rsid w:val="007355A6"/>
    <w:rsid w:val="00735976"/>
    <w:rsid w:val="00740A71"/>
    <w:rsid w:val="007429F3"/>
    <w:rsid w:val="00743600"/>
    <w:rsid w:val="007477C5"/>
    <w:rsid w:val="00747938"/>
    <w:rsid w:val="00753D06"/>
    <w:rsid w:val="00760479"/>
    <w:rsid w:val="00762AFB"/>
    <w:rsid w:val="00765BA8"/>
    <w:rsid w:val="00766007"/>
    <w:rsid w:val="00770A26"/>
    <w:rsid w:val="007719FF"/>
    <w:rsid w:val="007745E9"/>
    <w:rsid w:val="00782274"/>
    <w:rsid w:val="007852EE"/>
    <w:rsid w:val="00785AD5"/>
    <w:rsid w:val="007A1364"/>
    <w:rsid w:val="007A1C1A"/>
    <w:rsid w:val="007A24A0"/>
    <w:rsid w:val="007A4AB2"/>
    <w:rsid w:val="007A5209"/>
    <w:rsid w:val="007A5E68"/>
    <w:rsid w:val="007B1571"/>
    <w:rsid w:val="007B19D5"/>
    <w:rsid w:val="007B1BF7"/>
    <w:rsid w:val="007B5783"/>
    <w:rsid w:val="007B6E41"/>
    <w:rsid w:val="007C0142"/>
    <w:rsid w:val="007C3577"/>
    <w:rsid w:val="007C3625"/>
    <w:rsid w:val="007C3B23"/>
    <w:rsid w:val="007C404B"/>
    <w:rsid w:val="007C4A45"/>
    <w:rsid w:val="007C4BAE"/>
    <w:rsid w:val="007C6508"/>
    <w:rsid w:val="007D1C8E"/>
    <w:rsid w:val="007D1D3B"/>
    <w:rsid w:val="007D21B8"/>
    <w:rsid w:val="007D3C7B"/>
    <w:rsid w:val="007D5960"/>
    <w:rsid w:val="007E114E"/>
    <w:rsid w:val="007E487F"/>
    <w:rsid w:val="007E4B2D"/>
    <w:rsid w:val="007E587D"/>
    <w:rsid w:val="007E71E9"/>
    <w:rsid w:val="007F1D06"/>
    <w:rsid w:val="007F1F2B"/>
    <w:rsid w:val="007F3B52"/>
    <w:rsid w:val="008010D7"/>
    <w:rsid w:val="008018B9"/>
    <w:rsid w:val="00803443"/>
    <w:rsid w:val="0080680D"/>
    <w:rsid w:val="00812C05"/>
    <w:rsid w:val="0081322A"/>
    <w:rsid w:val="008162AB"/>
    <w:rsid w:val="008200B9"/>
    <w:rsid w:val="0082288E"/>
    <w:rsid w:val="008248F7"/>
    <w:rsid w:val="0083557A"/>
    <w:rsid w:val="0084164F"/>
    <w:rsid w:val="00843E6F"/>
    <w:rsid w:val="00843E90"/>
    <w:rsid w:val="00844C15"/>
    <w:rsid w:val="00846D1F"/>
    <w:rsid w:val="00846E4A"/>
    <w:rsid w:val="00851AF5"/>
    <w:rsid w:val="00851FB5"/>
    <w:rsid w:val="00852075"/>
    <w:rsid w:val="00853160"/>
    <w:rsid w:val="008647DE"/>
    <w:rsid w:val="00864B95"/>
    <w:rsid w:val="008655F6"/>
    <w:rsid w:val="00870EC3"/>
    <w:rsid w:val="008712AF"/>
    <w:rsid w:val="00872607"/>
    <w:rsid w:val="00874828"/>
    <w:rsid w:val="008800D3"/>
    <w:rsid w:val="00881642"/>
    <w:rsid w:val="00886CDD"/>
    <w:rsid w:val="00890A84"/>
    <w:rsid w:val="00890EB4"/>
    <w:rsid w:val="0089214D"/>
    <w:rsid w:val="0089393B"/>
    <w:rsid w:val="00893C0D"/>
    <w:rsid w:val="0089713E"/>
    <w:rsid w:val="008A20DA"/>
    <w:rsid w:val="008B5C8F"/>
    <w:rsid w:val="008B5F16"/>
    <w:rsid w:val="008B7722"/>
    <w:rsid w:val="008C0577"/>
    <w:rsid w:val="008C0E5C"/>
    <w:rsid w:val="008D348B"/>
    <w:rsid w:val="008D4DFF"/>
    <w:rsid w:val="008D646E"/>
    <w:rsid w:val="008D6852"/>
    <w:rsid w:val="008E13F6"/>
    <w:rsid w:val="008E2B98"/>
    <w:rsid w:val="008E2BE4"/>
    <w:rsid w:val="008E3EAE"/>
    <w:rsid w:val="008E6B4E"/>
    <w:rsid w:val="008E7970"/>
    <w:rsid w:val="008E7C34"/>
    <w:rsid w:val="008F0C36"/>
    <w:rsid w:val="008F11B5"/>
    <w:rsid w:val="008F2E6F"/>
    <w:rsid w:val="008F36A1"/>
    <w:rsid w:val="008F377B"/>
    <w:rsid w:val="008F6240"/>
    <w:rsid w:val="008F7C48"/>
    <w:rsid w:val="00906730"/>
    <w:rsid w:val="009076A2"/>
    <w:rsid w:val="00914E22"/>
    <w:rsid w:val="00915512"/>
    <w:rsid w:val="009233CC"/>
    <w:rsid w:val="009240D8"/>
    <w:rsid w:val="00926075"/>
    <w:rsid w:val="009360D7"/>
    <w:rsid w:val="009362C9"/>
    <w:rsid w:val="00942387"/>
    <w:rsid w:val="009458F6"/>
    <w:rsid w:val="00945E62"/>
    <w:rsid w:val="0094626F"/>
    <w:rsid w:val="009462D2"/>
    <w:rsid w:val="00952A7D"/>
    <w:rsid w:val="00953247"/>
    <w:rsid w:val="00956E5D"/>
    <w:rsid w:val="009630F9"/>
    <w:rsid w:val="009652D5"/>
    <w:rsid w:val="009677F8"/>
    <w:rsid w:val="00967DFF"/>
    <w:rsid w:val="00971146"/>
    <w:rsid w:val="00972A9A"/>
    <w:rsid w:val="009773F6"/>
    <w:rsid w:val="009837EC"/>
    <w:rsid w:val="00984B47"/>
    <w:rsid w:val="00991675"/>
    <w:rsid w:val="00991AE1"/>
    <w:rsid w:val="00992008"/>
    <w:rsid w:val="00992060"/>
    <w:rsid w:val="00996409"/>
    <w:rsid w:val="00996D00"/>
    <w:rsid w:val="009A03DC"/>
    <w:rsid w:val="009A3455"/>
    <w:rsid w:val="009A6CF3"/>
    <w:rsid w:val="009B0ED3"/>
    <w:rsid w:val="009B1184"/>
    <w:rsid w:val="009B303E"/>
    <w:rsid w:val="009B43BF"/>
    <w:rsid w:val="009B4A2D"/>
    <w:rsid w:val="009B6619"/>
    <w:rsid w:val="009C0C81"/>
    <w:rsid w:val="009C1E0B"/>
    <w:rsid w:val="009D545A"/>
    <w:rsid w:val="009D6D44"/>
    <w:rsid w:val="009E22FA"/>
    <w:rsid w:val="009E4744"/>
    <w:rsid w:val="009E4EC9"/>
    <w:rsid w:val="009E5D5A"/>
    <w:rsid w:val="009E65D2"/>
    <w:rsid w:val="009F2017"/>
    <w:rsid w:val="009F2262"/>
    <w:rsid w:val="009F449D"/>
    <w:rsid w:val="009F4ADA"/>
    <w:rsid w:val="009F6157"/>
    <w:rsid w:val="009F6A0D"/>
    <w:rsid w:val="00A07991"/>
    <w:rsid w:val="00A10CDE"/>
    <w:rsid w:val="00A11BEA"/>
    <w:rsid w:val="00A13522"/>
    <w:rsid w:val="00A1680D"/>
    <w:rsid w:val="00A23AB0"/>
    <w:rsid w:val="00A255B3"/>
    <w:rsid w:val="00A266C5"/>
    <w:rsid w:val="00A2736E"/>
    <w:rsid w:val="00A309C6"/>
    <w:rsid w:val="00A31297"/>
    <w:rsid w:val="00A32296"/>
    <w:rsid w:val="00A32E4E"/>
    <w:rsid w:val="00A3656A"/>
    <w:rsid w:val="00A42348"/>
    <w:rsid w:val="00A436E9"/>
    <w:rsid w:val="00A505DE"/>
    <w:rsid w:val="00A5327C"/>
    <w:rsid w:val="00A5721C"/>
    <w:rsid w:val="00A57316"/>
    <w:rsid w:val="00A61361"/>
    <w:rsid w:val="00A65534"/>
    <w:rsid w:val="00A65EAD"/>
    <w:rsid w:val="00A67913"/>
    <w:rsid w:val="00A72379"/>
    <w:rsid w:val="00A80F46"/>
    <w:rsid w:val="00A81A39"/>
    <w:rsid w:val="00A81A94"/>
    <w:rsid w:val="00A86F2E"/>
    <w:rsid w:val="00A92191"/>
    <w:rsid w:val="00A92C2F"/>
    <w:rsid w:val="00A9681E"/>
    <w:rsid w:val="00AA007A"/>
    <w:rsid w:val="00AB073E"/>
    <w:rsid w:val="00AB1A13"/>
    <w:rsid w:val="00AB4E9F"/>
    <w:rsid w:val="00AC210F"/>
    <w:rsid w:val="00AC319E"/>
    <w:rsid w:val="00AC4003"/>
    <w:rsid w:val="00AC4BC7"/>
    <w:rsid w:val="00AC7C35"/>
    <w:rsid w:val="00AE3A1E"/>
    <w:rsid w:val="00AE488B"/>
    <w:rsid w:val="00AE734F"/>
    <w:rsid w:val="00AF0557"/>
    <w:rsid w:val="00AF18D3"/>
    <w:rsid w:val="00AF2656"/>
    <w:rsid w:val="00AF3478"/>
    <w:rsid w:val="00AF5CD2"/>
    <w:rsid w:val="00AF6110"/>
    <w:rsid w:val="00AF6AC6"/>
    <w:rsid w:val="00B00611"/>
    <w:rsid w:val="00B04354"/>
    <w:rsid w:val="00B2202E"/>
    <w:rsid w:val="00B24694"/>
    <w:rsid w:val="00B249FC"/>
    <w:rsid w:val="00B3178B"/>
    <w:rsid w:val="00B317E7"/>
    <w:rsid w:val="00B33A57"/>
    <w:rsid w:val="00B34083"/>
    <w:rsid w:val="00B37728"/>
    <w:rsid w:val="00B45C64"/>
    <w:rsid w:val="00B46A32"/>
    <w:rsid w:val="00B46B29"/>
    <w:rsid w:val="00B503F3"/>
    <w:rsid w:val="00B53547"/>
    <w:rsid w:val="00B53597"/>
    <w:rsid w:val="00B552AB"/>
    <w:rsid w:val="00B55D3E"/>
    <w:rsid w:val="00B57239"/>
    <w:rsid w:val="00B6097D"/>
    <w:rsid w:val="00B61484"/>
    <w:rsid w:val="00B62590"/>
    <w:rsid w:val="00B6729F"/>
    <w:rsid w:val="00B717CD"/>
    <w:rsid w:val="00B82136"/>
    <w:rsid w:val="00B82627"/>
    <w:rsid w:val="00B82CCF"/>
    <w:rsid w:val="00B87A21"/>
    <w:rsid w:val="00B90AA7"/>
    <w:rsid w:val="00B920F7"/>
    <w:rsid w:val="00B94335"/>
    <w:rsid w:val="00B94D55"/>
    <w:rsid w:val="00B970A6"/>
    <w:rsid w:val="00BA27FC"/>
    <w:rsid w:val="00BA2D1D"/>
    <w:rsid w:val="00BA3395"/>
    <w:rsid w:val="00BA65E5"/>
    <w:rsid w:val="00BB09DF"/>
    <w:rsid w:val="00BB3FC5"/>
    <w:rsid w:val="00BB472B"/>
    <w:rsid w:val="00BC2B3B"/>
    <w:rsid w:val="00BC4579"/>
    <w:rsid w:val="00BC5418"/>
    <w:rsid w:val="00BC76B9"/>
    <w:rsid w:val="00BD3D24"/>
    <w:rsid w:val="00BD4BE4"/>
    <w:rsid w:val="00BE4F68"/>
    <w:rsid w:val="00BE6EBA"/>
    <w:rsid w:val="00BF74F3"/>
    <w:rsid w:val="00C00009"/>
    <w:rsid w:val="00C0018A"/>
    <w:rsid w:val="00C00905"/>
    <w:rsid w:val="00C01C15"/>
    <w:rsid w:val="00C035B5"/>
    <w:rsid w:val="00C07A50"/>
    <w:rsid w:val="00C116EC"/>
    <w:rsid w:val="00C11ABD"/>
    <w:rsid w:val="00C14FB2"/>
    <w:rsid w:val="00C15891"/>
    <w:rsid w:val="00C176AC"/>
    <w:rsid w:val="00C17D0C"/>
    <w:rsid w:val="00C21EF9"/>
    <w:rsid w:val="00C222F7"/>
    <w:rsid w:val="00C246D4"/>
    <w:rsid w:val="00C24743"/>
    <w:rsid w:val="00C24839"/>
    <w:rsid w:val="00C27C23"/>
    <w:rsid w:val="00C32851"/>
    <w:rsid w:val="00C3477C"/>
    <w:rsid w:val="00C34BC1"/>
    <w:rsid w:val="00C417BE"/>
    <w:rsid w:val="00C41C84"/>
    <w:rsid w:val="00C43ACF"/>
    <w:rsid w:val="00C448F0"/>
    <w:rsid w:val="00C459B8"/>
    <w:rsid w:val="00C45F2C"/>
    <w:rsid w:val="00C46D55"/>
    <w:rsid w:val="00C554D4"/>
    <w:rsid w:val="00C56A9E"/>
    <w:rsid w:val="00C61B02"/>
    <w:rsid w:val="00C61D02"/>
    <w:rsid w:val="00C719A2"/>
    <w:rsid w:val="00C72165"/>
    <w:rsid w:val="00C733CA"/>
    <w:rsid w:val="00C766C4"/>
    <w:rsid w:val="00C76EE7"/>
    <w:rsid w:val="00C80117"/>
    <w:rsid w:val="00C83041"/>
    <w:rsid w:val="00C84FAA"/>
    <w:rsid w:val="00C90B42"/>
    <w:rsid w:val="00C9475D"/>
    <w:rsid w:val="00C94A72"/>
    <w:rsid w:val="00C95056"/>
    <w:rsid w:val="00C951FD"/>
    <w:rsid w:val="00CA1209"/>
    <w:rsid w:val="00CA1F07"/>
    <w:rsid w:val="00CA33B3"/>
    <w:rsid w:val="00CA7F28"/>
    <w:rsid w:val="00CB0768"/>
    <w:rsid w:val="00CB0A80"/>
    <w:rsid w:val="00CB131F"/>
    <w:rsid w:val="00CB4DCD"/>
    <w:rsid w:val="00CB4F2D"/>
    <w:rsid w:val="00CC1690"/>
    <w:rsid w:val="00CC1A2E"/>
    <w:rsid w:val="00CC4110"/>
    <w:rsid w:val="00CC472B"/>
    <w:rsid w:val="00CC665A"/>
    <w:rsid w:val="00CC6A6B"/>
    <w:rsid w:val="00CC7952"/>
    <w:rsid w:val="00CD3F50"/>
    <w:rsid w:val="00CE04A0"/>
    <w:rsid w:val="00CE34DC"/>
    <w:rsid w:val="00CF0E93"/>
    <w:rsid w:val="00CF6A55"/>
    <w:rsid w:val="00D0309D"/>
    <w:rsid w:val="00D05E64"/>
    <w:rsid w:val="00D07FB4"/>
    <w:rsid w:val="00D1509E"/>
    <w:rsid w:val="00D20C70"/>
    <w:rsid w:val="00D21FA8"/>
    <w:rsid w:val="00D236B7"/>
    <w:rsid w:val="00D23E48"/>
    <w:rsid w:val="00D244BE"/>
    <w:rsid w:val="00D26C65"/>
    <w:rsid w:val="00D27A48"/>
    <w:rsid w:val="00D3126A"/>
    <w:rsid w:val="00D32A13"/>
    <w:rsid w:val="00D36756"/>
    <w:rsid w:val="00D42AD5"/>
    <w:rsid w:val="00D43096"/>
    <w:rsid w:val="00D46AB2"/>
    <w:rsid w:val="00D46F93"/>
    <w:rsid w:val="00D47815"/>
    <w:rsid w:val="00D5009D"/>
    <w:rsid w:val="00D520FA"/>
    <w:rsid w:val="00D544FE"/>
    <w:rsid w:val="00D54582"/>
    <w:rsid w:val="00D62325"/>
    <w:rsid w:val="00D645D7"/>
    <w:rsid w:val="00D656EB"/>
    <w:rsid w:val="00D70758"/>
    <w:rsid w:val="00D76BAC"/>
    <w:rsid w:val="00D771FD"/>
    <w:rsid w:val="00D7796D"/>
    <w:rsid w:val="00D81B18"/>
    <w:rsid w:val="00D81C9F"/>
    <w:rsid w:val="00D83541"/>
    <w:rsid w:val="00D93A16"/>
    <w:rsid w:val="00D9496D"/>
    <w:rsid w:val="00D97B7C"/>
    <w:rsid w:val="00DA0768"/>
    <w:rsid w:val="00DA161A"/>
    <w:rsid w:val="00DA3A19"/>
    <w:rsid w:val="00DA5A94"/>
    <w:rsid w:val="00DA7928"/>
    <w:rsid w:val="00DB2355"/>
    <w:rsid w:val="00DB3BB4"/>
    <w:rsid w:val="00DB6554"/>
    <w:rsid w:val="00DB7836"/>
    <w:rsid w:val="00DC0517"/>
    <w:rsid w:val="00DC0F02"/>
    <w:rsid w:val="00DC0F8D"/>
    <w:rsid w:val="00DC1E0A"/>
    <w:rsid w:val="00DC2284"/>
    <w:rsid w:val="00DC3CA4"/>
    <w:rsid w:val="00DC7F1B"/>
    <w:rsid w:val="00DD65FC"/>
    <w:rsid w:val="00DE0CAD"/>
    <w:rsid w:val="00DE4578"/>
    <w:rsid w:val="00DF04EE"/>
    <w:rsid w:val="00DF24FB"/>
    <w:rsid w:val="00DF3E35"/>
    <w:rsid w:val="00DF4F1A"/>
    <w:rsid w:val="00E009CA"/>
    <w:rsid w:val="00E03ED5"/>
    <w:rsid w:val="00E06243"/>
    <w:rsid w:val="00E07169"/>
    <w:rsid w:val="00E16441"/>
    <w:rsid w:val="00E1688C"/>
    <w:rsid w:val="00E22665"/>
    <w:rsid w:val="00E27542"/>
    <w:rsid w:val="00E30499"/>
    <w:rsid w:val="00E30B51"/>
    <w:rsid w:val="00E30C7A"/>
    <w:rsid w:val="00E324BB"/>
    <w:rsid w:val="00E377E8"/>
    <w:rsid w:val="00E41ADB"/>
    <w:rsid w:val="00E43464"/>
    <w:rsid w:val="00E45206"/>
    <w:rsid w:val="00E47A69"/>
    <w:rsid w:val="00E50471"/>
    <w:rsid w:val="00E571BB"/>
    <w:rsid w:val="00E616F0"/>
    <w:rsid w:val="00E66C7F"/>
    <w:rsid w:val="00E700C0"/>
    <w:rsid w:val="00E728DD"/>
    <w:rsid w:val="00E74435"/>
    <w:rsid w:val="00E758AD"/>
    <w:rsid w:val="00E77193"/>
    <w:rsid w:val="00E77D4E"/>
    <w:rsid w:val="00E87D7D"/>
    <w:rsid w:val="00E916A3"/>
    <w:rsid w:val="00E91860"/>
    <w:rsid w:val="00E92B03"/>
    <w:rsid w:val="00E93E9B"/>
    <w:rsid w:val="00E954B0"/>
    <w:rsid w:val="00E954B7"/>
    <w:rsid w:val="00E96FDB"/>
    <w:rsid w:val="00EA107B"/>
    <w:rsid w:val="00EA258C"/>
    <w:rsid w:val="00EA6B35"/>
    <w:rsid w:val="00EB3972"/>
    <w:rsid w:val="00EC16F1"/>
    <w:rsid w:val="00EC3B67"/>
    <w:rsid w:val="00ED05D6"/>
    <w:rsid w:val="00ED0C6F"/>
    <w:rsid w:val="00ED2FCC"/>
    <w:rsid w:val="00ED41CE"/>
    <w:rsid w:val="00ED6D47"/>
    <w:rsid w:val="00EE3625"/>
    <w:rsid w:val="00EE4E01"/>
    <w:rsid w:val="00EE5F75"/>
    <w:rsid w:val="00EE6427"/>
    <w:rsid w:val="00EF23C8"/>
    <w:rsid w:val="00EF2722"/>
    <w:rsid w:val="00EF6805"/>
    <w:rsid w:val="00EF7176"/>
    <w:rsid w:val="00F00508"/>
    <w:rsid w:val="00F01E52"/>
    <w:rsid w:val="00F0348A"/>
    <w:rsid w:val="00F042DC"/>
    <w:rsid w:val="00F05170"/>
    <w:rsid w:val="00F07099"/>
    <w:rsid w:val="00F105EA"/>
    <w:rsid w:val="00F11117"/>
    <w:rsid w:val="00F12541"/>
    <w:rsid w:val="00F15BC9"/>
    <w:rsid w:val="00F21496"/>
    <w:rsid w:val="00F22035"/>
    <w:rsid w:val="00F22D18"/>
    <w:rsid w:val="00F230E4"/>
    <w:rsid w:val="00F25C54"/>
    <w:rsid w:val="00F264CD"/>
    <w:rsid w:val="00F26545"/>
    <w:rsid w:val="00F3399C"/>
    <w:rsid w:val="00F36C87"/>
    <w:rsid w:val="00F40F2A"/>
    <w:rsid w:val="00F41003"/>
    <w:rsid w:val="00F46927"/>
    <w:rsid w:val="00F53CCD"/>
    <w:rsid w:val="00F55854"/>
    <w:rsid w:val="00F56813"/>
    <w:rsid w:val="00F650C2"/>
    <w:rsid w:val="00F66AB7"/>
    <w:rsid w:val="00F70110"/>
    <w:rsid w:val="00F7027B"/>
    <w:rsid w:val="00F71FAB"/>
    <w:rsid w:val="00F72C93"/>
    <w:rsid w:val="00F7328C"/>
    <w:rsid w:val="00F80A88"/>
    <w:rsid w:val="00F81C47"/>
    <w:rsid w:val="00F81C6A"/>
    <w:rsid w:val="00F823F5"/>
    <w:rsid w:val="00F834A2"/>
    <w:rsid w:val="00F9170D"/>
    <w:rsid w:val="00F91AFE"/>
    <w:rsid w:val="00F942D3"/>
    <w:rsid w:val="00F94368"/>
    <w:rsid w:val="00F944F5"/>
    <w:rsid w:val="00F9494C"/>
    <w:rsid w:val="00FA11A1"/>
    <w:rsid w:val="00FA15C8"/>
    <w:rsid w:val="00FA2A0B"/>
    <w:rsid w:val="00FA2D86"/>
    <w:rsid w:val="00FA348C"/>
    <w:rsid w:val="00FB0AD8"/>
    <w:rsid w:val="00FB4DBB"/>
    <w:rsid w:val="00FB5EBD"/>
    <w:rsid w:val="00FC1D73"/>
    <w:rsid w:val="00FC3F8C"/>
    <w:rsid w:val="00FC725D"/>
    <w:rsid w:val="00FD171C"/>
    <w:rsid w:val="00FE0EDC"/>
    <w:rsid w:val="00FE2C17"/>
    <w:rsid w:val="00FE30DC"/>
    <w:rsid w:val="00FE70A2"/>
    <w:rsid w:val="00FF072F"/>
    <w:rsid w:val="00FF20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AD06A5"/>
  <w15:chartTrackingRefBased/>
  <w15:docId w15:val="{9F1C46BB-7A57-4C82-A069-D4888F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495"/>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D46F93"/>
    <w:pPr>
      <w:keepNext/>
      <w:widowControl w:val="0"/>
      <w:spacing w:before="24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CB0A80"/>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qFormat/>
    <w:rsid w:val="00D46F93"/>
    <w:rPr>
      <w:vertAlign w:val="superscript"/>
    </w:rPr>
  </w:style>
  <w:style w:type="paragraph" w:customStyle="1" w:styleId="CGCTablesubhead1">
    <w:name w:val="CGC Table subhead1"/>
    <w:basedOn w:val="Normal"/>
    <w:rsid w:val="00011803"/>
    <w:pPr>
      <w:spacing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D46F93"/>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CB0A80"/>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C46D55"/>
    <w:pPr>
      <w:numPr>
        <w:numId w:val="22"/>
      </w:numPr>
    </w:pPr>
  </w:style>
  <w:style w:type="paragraph" w:customStyle="1" w:styleId="CGCBullet2">
    <w:name w:val="CGC Bullet 2"/>
    <w:basedOn w:val="Normal"/>
    <w:autoRedefine/>
    <w:qFormat/>
    <w:rsid w:val="000151FD"/>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line="240" w:lineRule="auto"/>
    </w:pPr>
    <w:rPr>
      <w:sz w:val="16"/>
    </w:rPr>
  </w:style>
  <w:style w:type="paragraph" w:customStyle="1" w:styleId="CGCTablenote">
    <w:name w:val="CGC Table note"/>
    <w:basedOn w:val="Normal"/>
    <w:next w:val="Normal"/>
    <w:qFormat/>
    <w:rsid w:val="00E700C0"/>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paragraph" w:styleId="Revision">
    <w:name w:val="Revision"/>
    <w:hidden/>
    <w:uiPriority w:val="99"/>
    <w:semiHidden/>
    <w:rsid w:val="00846D1F"/>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2712-1B19-45FB-ADF0-BCE91516FF55}">
  <ds:schemaRefs>
    <ds:schemaRef ds:uri="http://schemas.microsoft.com/sharepoint/v3/contenttype/forms"/>
  </ds:schemaRefs>
</ds:datastoreItem>
</file>

<file path=customXml/itemProps2.xml><?xml version="1.0" encoding="utf-8"?>
<ds:datastoreItem xmlns:ds="http://schemas.openxmlformats.org/officeDocument/2006/customXml" ds:itemID="{38EDB58D-7CA3-49B9-9043-A7149A30B84A}">
  <ds:schemaRef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3b147965-d003-4c9e-9913-90f0d9e77379"/>
    <ds:schemaRef ds:uri="fddab0a8-5dcd-452e-8920-feabfc03300f"/>
    <ds:schemaRef ds:uri="http://purl.org/dc/terms/"/>
  </ds:schemaRefs>
</ds:datastoreItem>
</file>

<file path=customXml/itemProps3.xml><?xml version="1.0" encoding="utf-8"?>
<ds:datastoreItem xmlns:ds="http://schemas.openxmlformats.org/officeDocument/2006/customXml" ds:itemID="{B71EA88E-C586-4FD6-AA6C-5E42DEE45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ADDC3-5CB8-4B48-85A7-8668302D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2</cp:revision>
  <cp:lastPrinted>2020-03-13T03:58:00Z</cp:lastPrinted>
  <dcterms:created xsi:type="dcterms:W3CDTF">2020-03-13T05:33:00Z</dcterms:created>
  <dcterms:modified xsi:type="dcterms:W3CDTF">2020-03-13T05:33:00Z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