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43DA64" w14:textId="6C0FF127" w:rsidR="00D0309D" w:rsidRPr="00D0309D" w:rsidRDefault="00AC4B1E" w:rsidP="00D0309D">
      <w:pPr>
        <w:spacing w:before="120"/>
        <w:jc w:val="center"/>
        <w:rPr>
          <w:rFonts w:ascii="Montserrat Extra Bold" w:eastAsiaTheme="majorEastAsia" w:hAnsi="Montserrat Extra Bold" w:cstheme="majorBidi"/>
          <w:bCs/>
          <w:iCs/>
          <w:color w:val="004563"/>
          <w:sz w:val="40"/>
          <w:szCs w:val="28"/>
          <w:lang w:val="en-US"/>
        </w:rPr>
      </w:pPr>
      <w:r>
        <w:rPr>
          <w:rFonts w:ascii="Montserrat Extra Bold" w:eastAsiaTheme="majorEastAsia" w:hAnsi="Montserrat Extra Bold" w:cstheme="majorBidi"/>
          <w:bCs/>
          <w:iCs/>
          <w:color w:val="004563"/>
          <w:sz w:val="40"/>
          <w:szCs w:val="28"/>
          <w:lang w:val="en-US"/>
        </w:rPr>
        <w:t>Differences in</w:t>
      </w:r>
      <w:r w:rsidR="00D0309D" w:rsidRPr="00D0309D">
        <w:rPr>
          <w:rFonts w:ascii="Montserrat Extra Bold" w:eastAsiaTheme="majorEastAsia" w:hAnsi="Montserrat Extra Bold" w:cstheme="majorBidi"/>
          <w:bCs/>
          <w:iCs/>
          <w:color w:val="004563"/>
          <w:sz w:val="40"/>
          <w:szCs w:val="28"/>
          <w:lang w:val="en-US"/>
        </w:rPr>
        <w:t xml:space="preserve"> fiscal capacities</w:t>
      </w:r>
    </w:p>
    <w:p w14:paraId="2C58DA25" w14:textId="2DE5C374" w:rsidR="001D498E" w:rsidRDefault="004A5A40" w:rsidP="0029317F">
      <w:pPr>
        <w:spacing w:before="120"/>
      </w:pPr>
      <w:r>
        <w:t xml:space="preserve">This fact sheet </w:t>
      </w:r>
      <w:r w:rsidR="00ED6D47">
        <w:t>summarises</w:t>
      </w:r>
      <w:r w:rsidR="00B552AB">
        <w:t xml:space="preserve"> </w:t>
      </w:r>
      <w:r w:rsidR="00D0309D" w:rsidRPr="002C25F2">
        <w:rPr>
          <w:lang w:val="en-US"/>
        </w:rPr>
        <w:t xml:space="preserve">the main economic and demographic factors </w:t>
      </w:r>
      <w:r w:rsidR="00D0309D">
        <w:rPr>
          <w:lang w:val="en-US"/>
        </w:rPr>
        <w:t xml:space="preserve">that cause </w:t>
      </w:r>
      <w:r w:rsidR="00D0309D" w:rsidRPr="002C25F2">
        <w:rPr>
          <w:lang w:val="en-US"/>
        </w:rPr>
        <w:t xml:space="preserve">differences </w:t>
      </w:r>
      <w:r w:rsidR="00D70758">
        <w:rPr>
          <w:lang w:val="en-US"/>
        </w:rPr>
        <w:t>between</w:t>
      </w:r>
      <w:r w:rsidR="00D0309D" w:rsidRPr="002C25F2">
        <w:rPr>
          <w:lang w:val="en-US"/>
        </w:rPr>
        <w:t xml:space="preserve"> </w:t>
      </w:r>
      <w:r w:rsidR="00B82CCF">
        <w:rPr>
          <w:lang w:val="en-US"/>
        </w:rPr>
        <w:t>States</w:t>
      </w:r>
      <w:r w:rsidR="00D0309D" w:rsidRPr="002C25F2">
        <w:rPr>
          <w:lang w:val="en-US"/>
        </w:rPr>
        <w:t xml:space="preserve">. </w:t>
      </w:r>
    </w:p>
    <w:p w14:paraId="48A018A8" w14:textId="0AA7A74B" w:rsidR="002C25F2" w:rsidRPr="002C25F2" w:rsidRDefault="002C25F2" w:rsidP="002C25F2">
      <w:pPr>
        <w:spacing w:before="120"/>
        <w:rPr>
          <w:lang w:val="en-US"/>
        </w:rPr>
      </w:pPr>
      <w:r w:rsidRPr="002C25F2">
        <w:rPr>
          <w:lang w:val="en-US"/>
        </w:rPr>
        <w:t xml:space="preserve">The following table shows </w:t>
      </w:r>
      <w:bookmarkStart w:id="0" w:name="_Hlk34215532"/>
      <w:r w:rsidRPr="002C25F2">
        <w:rPr>
          <w:lang w:val="en-US"/>
        </w:rPr>
        <w:t>the</w:t>
      </w:r>
      <w:bookmarkEnd w:id="0"/>
      <w:r w:rsidRPr="002C25F2">
        <w:rPr>
          <w:lang w:val="en-US"/>
        </w:rPr>
        <w:t xml:space="preserve"> differences </w:t>
      </w:r>
      <w:r w:rsidR="003D2521">
        <w:rPr>
          <w:lang w:val="en-US"/>
        </w:rPr>
        <w:t>in fiscal capacity</w:t>
      </w:r>
      <w:r w:rsidR="00D1509E">
        <w:rPr>
          <w:lang w:val="en-US"/>
        </w:rPr>
        <w:t xml:space="preserve">, </w:t>
      </w:r>
      <w:r w:rsidRPr="002C25F2">
        <w:rPr>
          <w:lang w:val="en-US"/>
        </w:rPr>
        <w:t xml:space="preserve">expressed as the amount of </w:t>
      </w:r>
      <w:r w:rsidR="008260B0" w:rsidRPr="00DE49EE">
        <w:rPr>
          <w:lang w:val="en-US"/>
        </w:rPr>
        <w:t xml:space="preserve">goods and services tax </w:t>
      </w:r>
      <w:r w:rsidR="00AF18D3">
        <w:rPr>
          <w:lang w:val="en-US"/>
        </w:rPr>
        <w:t>(</w:t>
      </w:r>
      <w:r w:rsidRPr="002C25F2">
        <w:rPr>
          <w:lang w:val="en-US"/>
        </w:rPr>
        <w:t>GST</w:t>
      </w:r>
      <w:r w:rsidR="00AF18D3">
        <w:rPr>
          <w:lang w:val="en-US"/>
        </w:rPr>
        <w:t>)</w:t>
      </w:r>
      <w:r w:rsidRPr="002C25F2">
        <w:rPr>
          <w:lang w:val="en-US"/>
        </w:rPr>
        <w:t xml:space="preserve"> revenue redistributed away from an equal per capita distribution. In 2020-21, the amount of GST revenue redistributed from an equal per capita distribution </w:t>
      </w:r>
      <w:r w:rsidR="007F4A43">
        <w:rPr>
          <w:lang w:val="en-US"/>
        </w:rPr>
        <w:t>will be</w:t>
      </w:r>
      <w:r w:rsidR="007F4A43" w:rsidRPr="002C25F2">
        <w:rPr>
          <w:lang w:val="en-US"/>
        </w:rPr>
        <w:t xml:space="preserve"> </w:t>
      </w:r>
      <w:r w:rsidRPr="002C25F2">
        <w:rPr>
          <w:lang w:val="en-US"/>
        </w:rPr>
        <w:t>$6,208 </w:t>
      </w:r>
      <w:r w:rsidR="007E35D9">
        <w:rPr>
          <w:lang w:val="en-US"/>
        </w:rPr>
        <w:t>m</w:t>
      </w:r>
      <w:r w:rsidRPr="002C25F2">
        <w:rPr>
          <w:lang w:val="en-US"/>
        </w:rPr>
        <w:t>illion, or 9.2% of the estimated GST revenue in that year.</w:t>
      </w:r>
    </w:p>
    <w:p w14:paraId="3E91E88F" w14:textId="77777777" w:rsidR="002C25F2" w:rsidRPr="002C25F2" w:rsidRDefault="002C25F2" w:rsidP="00874828">
      <w:pPr>
        <w:pStyle w:val="Caption"/>
      </w:pPr>
      <w:r w:rsidRPr="002C25F2">
        <w:t>Drivers of difference from an equal per capita distribution of GST, 2020</w:t>
      </w:r>
      <w:r w:rsidRPr="002C25F2">
        <w:noBreakHyphen/>
        <w:t>21</w:t>
      </w:r>
    </w:p>
    <w:tbl>
      <w:tblPr>
        <w:tblW w:w="9015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655"/>
        <w:gridCol w:w="719"/>
        <w:gridCol w:w="719"/>
        <w:gridCol w:w="718"/>
        <w:gridCol w:w="718"/>
        <w:gridCol w:w="718"/>
        <w:gridCol w:w="718"/>
        <w:gridCol w:w="718"/>
        <w:gridCol w:w="718"/>
        <w:gridCol w:w="718"/>
      </w:tblGrid>
      <w:tr w:rsidR="002C25F2" w:rsidRPr="002C25F2" w14:paraId="54DB75EE" w14:textId="77777777" w:rsidTr="001B5072">
        <w:trPr>
          <w:trHeight w:val="375"/>
        </w:trPr>
        <w:tc>
          <w:tcPr>
            <w:tcW w:w="2660" w:type="dxa"/>
            <w:tcBorders>
              <w:top w:val="single" w:sz="4" w:space="0" w:color="ADD6EA"/>
              <w:left w:val="nil"/>
              <w:bottom w:val="single" w:sz="4" w:space="0" w:color="ADD6EA"/>
              <w:right w:val="nil"/>
            </w:tcBorders>
            <w:shd w:val="clear" w:color="000000" w:fill="006991"/>
            <w:noWrap/>
            <w:vAlign w:val="center"/>
            <w:hideMark/>
          </w:tcPr>
          <w:p w14:paraId="7E939AE0" w14:textId="77777777" w:rsidR="002C25F2" w:rsidRPr="002C25F2" w:rsidRDefault="002C25F2" w:rsidP="002C25F2">
            <w:pPr>
              <w:keepNext/>
              <w:tabs>
                <w:tab w:val="clear" w:pos="567"/>
              </w:tabs>
              <w:spacing w:line="240" w:lineRule="auto"/>
              <w:rPr>
                <w:rFonts w:ascii="Open Sans" w:eastAsia="Times New Roman" w:hAnsi="Open Sans" w:cs="Open Sans"/>
                <w:b/>
                <w:bCs/>
                <w:color w:val="FFFFFF"/>
                <w:sz w:val="16"/>
                <w:szCs w:val="16"/>
                <w:lang w:eastAsia="en-AU"/>
              </w:rPr>
            </w:pPr>
            <w:r w:rsidRPr="002C25F2">
              <w:rPr>
                <w:rFonts w:ascii="Open Sans" w:eastAsia="Times New Roman" w:hAnsi="Open Sans" w:cs="Open Sans"/>
                <w:b/>
                <w:bCs/>
                <w:color w:val="FFFFFF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720" w:type="dxa"/>
            <w:tcBorders>
              <w:top w:val="single" w:sz="4" w:space="0" w:color="ADD6EA"/>
              <w:left w:val="nil"/>
              <w:bottom w:val="single" w:sz="4" w:space="0" w:color="ADD6EA"/>
              <w:right w:val="nil"/>
            </w:tcBorders>
            <w:shd w:val="clear" w:color="000000" w:fill="006991"/>
            <w:noWrap/>
            <w:vAlign w:val="center"/>
            <w:hideMark/>
          </w:tcPr>
          <w:p w14:paraId="7FA976E9" w14:textId="77777777" w:rsidR="002C25F2" w:rsidRPr="002C25F2" w:rsidRDefault="002C25F2" w:rsidP="002C25F2">
            <w:pPr>
              <w:keepNext/>
              <w:tabs>
                <w:tab w:val="clear" w:pos="567"/>
              </w:tabs>
              <w:spacing w:line="240" w:lineRule="auto"/>
              <w:jc w:val="right"/>
              <w:rPr>
                <w:rFonts w:ascii="Open Sans" w:eastAsia="Times New Roman" w:hAnsi="Open Sans" w:cs="Open Sans"/>
                <w:b/>
                <w:bCs/>
                <w:color w:val="FFFFFF"/>
                <w:sz w:val="16"/>
                <w:szCs w:val="16"/>
                <w:lang w:eastAsia="en-AU"/>
              </w:rPr>
            </w:pPr>
            <w:r w:rsidRPr="002C25F2">
              <w:rPr>
                <w:rFonts w:ascii="Open Sans" w:eastAsia="Times New Roman" w:hAnsi="Open Sans" w:cs="Open Sans"/>
                <w:b/>
                <w:bCs/>
                <w:color w:val="FFFFFF"/>
                <w:sz w:val="16"/>
                <w:szCs w:val="16"/>
                <w:lang w:eastAsia="en-AU"/>
              </w:rPr>
              <w:t>NSW</w:t>
            </w:r>
          </w:p>
        </w:tc>
        <w:tc>
          <w:tcPr>
            <w:tcW w:w="720" w:type="dxa"/>
            <w:tcBorders>
              <w:top w:val="single" w:sz="4" w:space="0" w:color="ADD6EA"/>
              <w:left w:val="nil"/>
              <w:bottom w:val="single" w:sz="4" w:space="0" w:color="ADD6EA"/>
              <w:right w:val="nil"/>
            </w:tcBorders>
            <w:shd w:val="clear" w:color="000000" w:fill="006991"/>
            <w:noWrap/>
            <w:vAlign w:val="center"/>
            <w:hideMark/>
          </w:tcPr>
          <w:p w14:paraId="2343CC72" w14:textId="77777777" w:rsidR="002C25F2" w:rsidRPr="002C25F2" w:rsidRDefault="002C25F2" w:rsidP="002C25F2">
            <w:pPr>
              <w:keepNext/>
              <w:tabs>
                <w:tab w:val="clear" w:pos="567"/>
              </w:tabs>
              <w:spacing w:line="240" w:lineRule="auto"/>
              <w:jc w:val="right"/>
              <w:rPr>
                <w:rFonts w:ascii="Open Sans" w:eastAsia="Times New Roman" w:hAnsi="Open Sans" w:cs="Open Sans"/>
                <w:b/>
                <w:bCs/>
                <w:color w:val="FFFFFF"/>
                <w:sz w:val="16"/>
                <w:szCs w:val="16"/>
                <w:lang w:eastAsia="en-AU"/>
              </w:rPr>
            </w:pPr>
            <w:r w:rsidRPr="002C25F2">
              <w:rPr>
                <w:rFonts w:ascii="Open Sans" w:eastAsia="Times New Roman" w:hAnsi="Open Sans" w:cs="Open Sans"/>
                <w:b/>
                <w:bCs/>
                <w:color w:val="FFFFFF"/>
                <w:sz w:val="16"/>
                <w:szCs w:val="16"/>
                <w:lang w:eastAsia="en-AU"/>
              </w:rPr>
              <w:t>Vic</w:t>
            </w:r>
          </w:p>
        </w:tc>
        <w:tc>
          <w:tcPr>
            <w:tcW w:w="720" w:type="dxa"/>
            <w:tcBorders>
              <w:top w:val="single" w:sz="4" w:space="0" w:color="ADD6EA"/>
              <w:left w:val="nil"/>
              <w:bottom w:val="single" w:sz="4" w:space="0" w:color="ADD6EA"/>
              <w:right w:val="nil"/>
            </w:tcBorders>
            <w:shd w:val="clear" w:color="000000" w:fill="006991"/>
            <w:noWrap/>
            <w:vAlign w:val="center"/>
            <w:hideMark/>
          </w:tcPr>
          <w:p w14:paraId="7B06F85E" w14:textId="77777777" w:rsidR="002C25F2" w:rsidRPr="002C25F2" w:rsidRDefault="002C25F2" w:rsidP="002C25F2">
            <w:pPr>
              <w:keepNext/>
              <w:tabs>
                <w:tab w:val="clear" w:pos="567"/>
              </w:tabs>
              <w:spacing w:line="240" w:lineRule="auto"/>
              <w:jc w:val="right"/>
              <w:rPr>
                <w:rFonts w:ascii="Open Sans" w:eastAsia="Times New Roman" w:hAnsi="Open Sans" w:cs="Open Sans"/>
                <w:b/>
                <w:bCs/>
                <w:color w:val="FFFFFF"/>
                <w:sz w:val="16"/>
                <w:szCs w:val="16"/>
                <w:lang w:eastAsia="en-AU"/>
              </w:rPr>
            </w:pPr>
            <w:r w:rsidRPr="002C25F2">
              <w:rPr>
                <w:rFonts w:ascii="Open Sans" w:eastAsia="Times New Roman" w:hAnsi="Open Sans" w:cs="Open Sans"/>
                <w:b/>
                <w:bCs/>
                <w:color w:val="FFFFFF"/>
                <w:sz w:val="16"/>
                <w:szCs w:val="16"/>
                <w:lang w:eastAsia="en-AU"/>
              </w:rPr>
              <w:t>Qld</w:t>
            </w:r>
          </w:p>
        </w:tc>
        <w:tc>
          <w:tcPr>
            <w:tcW w:w="720" w:type="dxa"/>
            <w:tcBorders>
              <w:top w:val="single" w:sz="4" w:space="0" w:color="ADD6EA"/>
              <w:left w:val="nil"/>
              <w:bottom w:val="single" w:sz="4" w:space="0" w:color="ADD6EA"/>
              <w:right w:val="nil"/>
            </w:tcBorders>
            <w:shd w:val="clear" w:color="000000" w:fill="006991"/>
            <w:noWrap/>
            <w:vAlign w:val="center"/>
            <w:hideMark/>
          </w:tcPr>
          <w:p w14:paraId="55732EE0" w14:textId="77777777" w:rsidR="002C25F2" w:rsidRPr="002C25F2" w:rsidRDefault="002C25F2" w:rsidP="002C25F2">
            <w:pPr>
              <w:keepNext/>
              <w:tabs>
                <w:tab w:val="clear" w:pos="567"/>
              </w:tabs>
              <w:spacing w:line="240" w:lineRule="auto"/>
              <w:jc w:val="right"/>
              <w:rPr>
                <w:rFonts w:ascii="Open Sans" w:eastAsia="Times New Roman" w:hAnsi="Open Sans" w:cs="Open Sans"/>
                <w:b/>
                <w:bCs/>
                <w:color w:val="FFFFFF"/>
                <w:sz w:val="16"/>
                <w:szCs w:val="16"/>
                <w:lang w:eastAsia="en-AU"/>
              </w:rPr>
            </w:pPr>
            <w:r w:rsidRPr="002C25F2">
              <w:rPr>
                <w:rFonts w:ascii="Open Sans" w:eastAsia="Times New Roman" w:hAnsi="Open Sans" w:cs="Open Sans"/>
                <w:b/>
                <w:bCs/>
                <w:color w:val="FFFFFF"/>
                <w:sz w:val="16"/>
                <w:szCs w:val="16"/>
                <w:lang w:eastAsia="en-AU"/>
              </w:rPr>
              <w:t>WA</w:t>
            </w:r>
          </w:p>
        </w:tc>
        <w:tc>
          <w:tcPr>
            <w:tcW w:w="720" w:type="dxa"/>
            <w:tcBorders>
              <w:top w:val="single" w:sz="4" w:space="0" w:color="ADD6EA"/>
              <w:left w:val="nil"/>
              <w:bottom w:val="single" w:sz="4" w:space="0" w:color="ADD6EA"/>
              <w:right w:val="nil"/>
            </w:tcBorders>
            <w:shd w:val="clear" w:color="000000" w:fill="006991"/>
            <w:noWrap/>
            <w:vAlign w:val="center"/>
            <w:hideMark/>
          </w:tcPr>
          <w:p w14:paraId="3EDA239D" w14:textId="77777777" w:rsidR="002C25F2" w:rsidRPr="002C25F2" w:rsidRDefault="002C25F2" w:rsidP="002C25F2">
            <w:pPr>
              <w:keepNext/>
              <w:tabs>
                <w:tab w:val="clear" w:pos="567"/>
              </w:tabs>
              <w:spacing w:line="240" w:lineRule="auto"/>
              <w:jc w:val="right"/>
              <w:rPr>
                <w:rFonts w:ascii="Open Sans" w:eastAsia="Times New Roman" w:hAnsi="Open Sans" w:cs="Open Sans"/>
                <w:b/>
                <w:bCs/>
                <w:color w:val="FFFFFF"/>
                <w:sz w:val="16"/>
                <w:szCs w:val="16"/>
                <w:lang w:eastAsia="en-AU"/>
              </w:rPr>
            </w:pPr>
            <w:r w:rsidRPr="002C25F2">
              <w:rPr>
                <w:rFonts w:ascii="Open Sans" w:eastAsia="Times New Roman" w:hAnsi="Open Sans" w:cs="Open Sans"/>
                <w:b/>
                <w:bCs/>
                <w:color w:val="FFFFFF"/>
                <w:sz w:val="16"/>
                <w:szCs w:val="16"/>
                <w:lang w:eastAsia="en-AU"/>
              </w:rPr>
              <w:t>SA</w:t>
            </w:r>
          </w:p>
        </w:tc>
        <w:tc>
          <w:tcPr>
            <w:tcW w:w="720" w:type="dxa"/>
            <w:tcBorders>
              <w:top w:val="single" w:sz="4" w:space="0" w:color="ADD6EA"/>
              <w:left w:val="nil"/>
              <w:bottom w:val="single" w:sz="4" w:space="0" w:color="ADD6EA"/>
              <w:right w:val="nil"/>
            </w:tcBorders>
            <w:shd w:val="clear" w:color="000000" w:fill="006991"/>
            <w:noWrap/>
            <w:vAlign w:val="center"/>
            <w:hideMark/>
          </w:tcPr>
          <w:p w14:paraId="51950883" w14:textId="77777777" w:rsidR="002C25F2" w:rsidRPr="002C25F2" w:rsidRDefault="002C25F2" w:rsidP="002C25F2">
            <w:pPr>
              <w:keepNext/>
              <w:tabs>
                <w:tab w:val="clear" w:pos="567"/>
              </w:tabs>
              <w:spacing w:line="240" w:lineRule="auto"/>
              <w:jc w:val="right"/>
              <w:rPr>
                <w:rFonts w:ascii="Open Sans" w:eastAsia="Times New Roman" w:hAnsi="Open Sans" w:cs="Open Sans"/>
                <w:b/>
                <w:bCs/>
                <w:color w:val="FFFFFF"/>
                <w:sz w:val="16"/>
                <w:szCs w:val="16"/>
                <w:lang w:eastAsia="en-AU"/>
              </w:rPr>
            </w:pPr>
            <w:r w:rsidRPr="002C25F2">
              <w:rPr>
                <w:rFonts w:ascii="Open Sans" w:eastAsia="Times New Roman" w:hAnsi="Open Sans" w:cs="Open Sans"/>
                <w:b/>
                <w:bCs/>
                <w:color w:val="FFFFFF"/>
                <w:sz w:val="16"/>
                <w:szCs w:val="16"/>
                <w:lang w:eastAsia="en-AU"/>
              </w:rPr>
              <w:t>Tas</w:t>
            </w:r>
          </w:p>
        </w:tc>
        <w:tc>
          <w:tcPr>
            <w:tcW w:w="720" w:type="dxa"/>
            <w:tcBorders>
              <w:top w:val="single" w:sz="4" w:space="0" w:color="ADD6EA"/>
              <w:left w:val="nil"/>
              <w:bottom w:val="single" w:sz="4" w:space="0" w:color="ADD6EA"/>
              <w:right w:val="nil"/>
            </w:tcBorders>
            <w:shd w:val="clear" w:color="000000" w:fill="006991"/>
            <w:noWrap/>
            <w:vAlign w:val="center"/>
            <w:hideMark/>
          </w:tcPr>
          <w:p w14:paraId="5D74788F" w14:textId="77777777" w:rsidR="002C25F2" w:rsidRPr="002C25F2" w:rsidRDefault="002C25F2" w:rsidP="002C25F2">
            <w:pPr>
              <w:keepNext/>
              <w:tabs>
                <w:tab w:val="clear" w:pos="567"/>
              </w:tabs>
              <w:spacing w:line="240" w:lineRule="auto"/>
              <w:jc w:val="right"/>
              <w:rPr>
                <w:rFonts w:ascii="Open Sans" w:eastAsia="Times New Roman" w:hAnsi="Open Sans" w:cs="Open Sans"/>
                <w:b/>
                <w:bCs/>
                <w:color w:val="FFFFFF"/>
                <w:sz w:val="16"/>
                <w:szCs w:val="16"/>
                <w:lang w:eastAsia="en-AU"/>
              </w:rPr>
            </w:pPr>
            <w:r w:rsidRPr="002C25F2">
              <w:rPr>
                <w:rFonts w:ascii="Open Sans" w:eastAsia="Times New Roman" w:hAnsi="Open Sans" w:cs="Open Sans"/>
                <w:b/>
                <w:bCs/>
                <w:color w:val="FFFFFF"/>
                <w:sz w:val="16"/>
                <w:szCs w:val="16"/>
                <w:lang w:eastAsia="en-AU"/>
              </w:rPr>
              <w:t>ACT</w:t>
            </w:r>
          </w:p>
        </w:tc>
        <w:tc>
          <w:tcPr>
            <w:tcW w:w="720" w:type="dxa"/>
            <w:tcBorders>
              <w:top w:val="single" w:sz="4" w:space="0" w:color="ADD6EA"/>
              <w:left w:val="nil"/>
              <w:bottom w:val="single" w:sz="4" w:space="0" w:color="ADD6EA"/>
              <w:right w:val="nil"/>
            </w:tcBorders>
            <w:shd w:val="clear" w:color="000000" w:fill="006991"/>
            <w:noWrap/>
            <w:vAlign w:val="center"/>
            <w:hideMark/>
          </w:tcPr>
          <w:p w14:paraId="5841E029" w14:textId="77777777" w:rsidR="002C25F2" w:rsidRPr="002C25F2" w:rsidRDefault="002C25F2" w:rsidP="002C25F2">
            <w:pPr>
              <w:keepNext/>
              <w:tabs>
                <w:tab w:val="clear" w:pos="567"/>
              </w:tabs>
              <w:spacing w:line="240" w:lineRule="auto"/>
              <w:jc w:val="right"/>
              <w:rPr>
                <w:rFonts w:ascii="Open Sans" w:eastAsia="Times New Roman" w:hAnsi="Open Sans" w:cs="Open Sans"/>
                <w:b/>
                <w:bCs/>
                <w:color w:val="FFFFFF"/>
                <w:sz w:val="16"/>
                <w:szCs w:val="16"/>
                <w:lang w:eastAsia="en-AU"/>
              </w:rPr>
            </w:pPr>
            <w:r w:rsidRPr="002C25F2">
              <w:rPr>
                <w:rFonts w:ascii="Open Sans" w:eastAsia="Times New Roman" w:hAnsi="Open Sans" w:cs="Open Sans"/>
                <w:b/>
                <w:bCs/>
                <w:color w:val="FFFFFF"/>
                <w:sz w:val="16"/>
                <w:szCs w:val="16"/>
                <w:lang w:eastAsia="en-AU"/>
              </w:rPr>
              <w:t>NT</w:t>
            </w:r>
          </w:p>
        </w:tc>
        <w:tc>
          <w:tcPr>
            <w:tcW w:w="720" w:type="dxa"/>
            <w:tcBorders>
              <w:top w:val="single" w:sz="4" w:space="0" w:color="ADD6EA"/>
              <w:left w:val="nil"/>
              <w:bottom w:val="single" w:sz="4" w:space="0" w:color="ADD6EA"/>
              <w:right w:val="nil"/>
            </w:tcBorders>
            <w:shd w:val="clear" w:color="000000" w:fill="006991"/>
            <w:noWrap/>
            <w:vAlign w:val="center"/>
            <w:hideMark/>
          </w:tcPr>
          <w:p w14:paraId="72417968" w14:textId="77777777" w:rsidR="002C25F2" w:rsidRPr="002C25F2" w:rsidRDefault="002C25F2" w:rsidP="002C25F2">
            <w:pPr>
              <w:keepNext/>
              <w:tabs>
                <w:tab w:val="clear" w:pos="567"/>
              </w:tabs>
              <w:spacing w:line="240" w:lineRule="auto"/>
              <w:jc w:val="right"/>
              <w:rPr>
                <w:rFonts w:ascii="Open Sans" w:eastAsia="Times New Roman" w:hAnsi="Open Sans" w:cs="Open Sans"/>
                <w:b/>
                <w:bCs/>
                <w:color w:val="FFFFFF"/>
                <w:sz w:val="16"/>
                <w:szCs w:val="16"/>
                <w:lang w:eastAsia="en-AU"/>
              </w:rPr>
            </w:pPr>
            <w:r w:rsidRPr="002C25F2">
              <w:rPr>
                <w:rFonts w:ascii="Open Sans" w:eastAsia="Times New Roman" w:hAnsi="Open Sans" w:cs="Open Sans"/>
                <w:b/>
                <w:bCs/>
                <w:color w:val="FFFFFF"/>
                <w:sz w:val="16"/>
                <w:szCs w:val="16"/>
                <w:lang w:eastAsia="en-AU"/>
              </w:rPr>
              <w:t>Redist</w:t>
            </w:r>
          </w:p>
        </w:tc>
      </w:tr>
      <w:tr w:rsidR="002C25F2" w:rsidRPr="002C25F2" w14:paraId="43205CBB" w14:textId="77777777" w:rsidTr="001B5072">
        <w:trPr>
          <w:trHeight w:val="258"/>
        </w:trPr>
        <w:tc>
          <w:tcPr>
            <w:tcW w:w="2660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000000" w:fill="B6D5E4"/>
            <w:noWrap/>
            <w:vAlign w:val="bottom"/>
            <w:hideMark/>
          </w:tcPr>
          <w:p w14:paraId="0247FBB7" w14:textId="77777777" w:rsidR="002C25F2" w:rsidRPr="002C25F2" w:rsidRDefault="002C25F2" w:rsidP="002C25F2">
            <w:pPr>
              <w:keepNext/>
              <w:tabs>
                <w:tab w:val="clear" w:pos="567"/>
              </w:tabs>
              <w:spacing w:line="240" w:lineRule="auto"/>
              <w:rPr>
                <w:rFonts w:ascii="Calibri" w:eastAsia="Times New Roman" w:hAnsi="Calibri" w:cs="Calibri"/>
                <w:sz w:val="22"/>
                <w:lang w:eastAsia="en-AU"/>
              </w:rPr>
            </w:pPr>
            <w:r w:rsidRPr="002C25F2">
              <w:rPr>
                <w:rFonts w:ascii="Calibri" w:eastAsia="Times New Roman" w:hAnsi="Calibri" w:cs="Calibri"/>
                <w:sz w:val="22"/>
                <w:lang w:eastAsia="en-A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000000" w:fill="B6D5E4"/>
            <w:noWrap/>
            <w:vAlign w:val="center"/>
            <w:hideMark/>
          </w:tcPr>
          <w:p w14:paraId="1E903D33" w14:textId="77777777" w:rsidR="002C25F2" w:rsidRPr="002C25F2" w:rsidRDefault="002C25F2" w:rsidP="002C25F2">
            <w:pPr>
              <w:keepNext/>
              <w:tabs>
                <w:tab w:val="clear" w:pos="567"/>
              </w:tabs>
              <w:spacing w:line="240" w:lineRule="auto"/>
              <w:jc w:val="right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2C25F2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$m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000000" w:fill="B6D5E4"/>
            <w:noWrap/>
            <w:vAlign w:val="center"/>
            <w:hideMark/>
          </w:tcPr>
          <w:p w14:paraId="1E889D55" w14:textId="77777777" w:rsidR="002C25F2" w:rsidRPr="002C25F2" w:rsidRDefault="002C25F2" w:rsidP="002C25F2">
            <w:pPr>
              <w:keepNext/>
              <w:tabs>
                <w:tab w:val="clear" w:pos="567"/>
              </w:tabs>
              <w:spacing w:line="240" w:lineRule="auto"/>
              <w:jc w:val="right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2C25F2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$m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000000" w:fill="B6D5E4"/>
            <w:noWrap/>
            <w:vAlign w:val="center"/>
            <w:hideMark/>
          </w:tcPr>
          <w:p w14:paraId="7A087B26" w14:textId="77777777" w:rsidR="002C25F2" w:rsidRPr="002C25F2" w:rsidRDefault="002C25F2" w:rsidP="002C25F2">
            <w:pPr>
              <w:keepNext/>
              <w:tabs>
                <w:tab w:val="clear" w:pos="567"/>
              </w:tabs>
              <w:spacing w:line="240" w:lineRule="auto"/>
              <w:jc w:val="right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2C25F2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$m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000000" w:fill="B6D5E4"/>
            <w:noWrap/>
            <w:vAlign w:val="center"/>
            <w:hideMark/>
          </w:tcPr>
          <w:p w14:paraId="326966A1" w14:textId="77777777" w:rsidR="002C25F2" w:rsidRPr="002C25F2" w:rsidRDefault="002C25F2" w:rsidP="002C25F2">
            <w:pPr>
              <w:keepNext/>
              <w:tabs>
                <w:tab w:val="clear" w:pos="567"/>
              </w:tabs>
              <w:spacing w:line="240" w:lineRule="auto"/>
              <w:jc w:val="right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2C25F2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$m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000000" w:fill="B6D5E4"/>
            <w:noWrap/>
            <w:vAlign w:val="center"/>
            <w:hideMark/>
          </w:tcPr>
          <w:p w14:paraId="1092F1DA" w14:textId="77777777" w:rsidR="002C25F2" w:rsidRPr="002C25F2" w:rsidRDefault="002C25F2" w:rsidP="002C25F2">
            <w:pPr>
              <w:keepNext/>
              <w:tabs>
                <w:tab w:val="clear" w:pos="567"/>
              </w:tabs>
              <w:spacing w:line="240" w:lineRule="auto"/>
              <w:jc w:val="right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2C25F2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$m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000000" w:fill="B6D5E4"/>
            <w:noWrap/>
            <w:vAlign w:val="center"/>
            <w:hideMark/>
          </w:tcPr>
          <w:p w14:paraId="7054F6FC" w14:textId="77777777" w:rsidR="002C25F2" w:rsidRPr="002C25F2" w:rsidRDefault="002C25F2" w:rsidP="002C25F2">
            <w:pPr>
              <w:keepNext/>
              <w:tabs>
                <w:tab w:val="clear" w:pos="567"/>
              </w:tabs>
              <w:spacing w:line="240" w:lineRule="auto"/>
              <w:jc w:val="right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2C25F2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$m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000000" w:fill="B6D5E4"/>
            <w:noWrap/>
            <w:vAlign w:val="center"/>
            <w:hideMark/>
          </w:tcPr>
          <w:p w14:paraId="069403A2" w14:textId="77777777" w:rsidR="002C25F2" w:rsidRPr="002C25F2" w:rsidRDefault="002C25F2" w:rsidP="002C25F2">
            <w:pPr>
              <w:keepNext/>
              <w:tabs>
                <w:tab w:val="clear" w:pos="567"/>
              </w:tabs>
              <w:spacing w:line="240" w:lineRule="auto"/>
              <w:jc w:val="right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2C25F2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$m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000000" w:fill="B6D5E4"/>
            <w:noWrap/>
            <w:vAlign w:val="center"/>
            <w:hideMark/>
          </w:tcPr>
          <w:p w14:paraId="775C087C" w14:textId="77777777" w:rsidR="002C25F2" w:rsidRPr="002C25F2" w:rsidRDefault="002C25F2" w:rsidP="002C25F2">
            <w:pPr>
              <w:keepNext/>
              <w:tabs>
                <w:tab w:val="clear" w:pos="567"/>
              </w:tabs>
              <w:spacing w:line="240" w:lineRule="auto"/>
              <w:jc w:val="right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2C25F2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$m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000000" w:fill="B6D5E4"/>
            <w:noWrap/>
            <w:vAlign w:val="center"/>
            <w:hideMark/>
          </w:tcPr>
          <w:p w14:paraId="20BE6473" w14:textId="77777777" w:rsidR="002C25F2" w:rsidRPr="002C25F2" w:rsidRDefault="002C25F2" w:rsidP="002C25F2">
            <w:pPr>
              <w:keepNext/>
              <w:tabs>
                <w:tab w:val="clear" w:pos="567"/>
              </w:tabs>
              <w:spacing w:line="240" w:lineRule="auto"/>
              <w:jc w:val="right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2C25F2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$m</w:t>
            </w:r>
          </w:p>
        </w:tc>
      </w:tr>
      <w:tr w:rsidR="002C25F2" w:rsidRPr="002C25F2" w14:paraId="43D3FABC" w14:textId="77777777" w:rsidTr="001B5072">
        <w:trPr>
          <w:trHeight w:val="315"/>
        </w:trPr>
        <w:tc>
          <w:tcPr>
            <w:tcW w:w="9140" w:type="dxa"/>
            <w:gridSpan w:val="10"/>
            <w:tcBorders>
              <w:top w:val="single" w:sz="4" w:space="0" w:color="ADD6EA"/>
              <w:left w:val="nil"/>
              <w:bottom w:val="single" w:sz="4" w:space="0" w:color="ADD6EA"/>
              <w:right w:val="nil"/>
            </w:tcBorders>
            <w:shd w:val="clear" w:color="auto" w:fill="auto"/>
            <w:vAlign w:val="bottom"/>
            <w:hideMark/>
          </w:tcPr>
          <w:p w14:paraId="4B923A50" w14:textId="77777777" w:rsidR="002C25F2" w:rsidRPr="002C25F2" w:rsidRDefault="002C25F2" w:rsidP="002C25F2">
            <w:pPr>
              <w:keepNext/>
              <w:tabs>
                <w:tab w:val="clear" w:pos="567"/>
              </w:tabs>
              <w:spacing w:line="240" w:lineRule="auto"/>
              <w:rPr>
                <w:rFonts w:ascii="Open Sans SemiBold" w:eastAsia="Times New Roman" w:hAnsi="Open Sans SemiBold" w:cs="Open Sans SemiBold"/>
                <w:sz w:val="16"/>
                <w:szCs w:val="16"/>
                <w:lang w:eastAsia="en-AU"/>
              </w:rPr>
            </w:pPr>
            <w:r w:rsidRPr="002C25F2">
              <w:rPr>
                <w:rFonts w:ascii="Open Sans SemiBold" w:eastAsia="Times New Roman" w:hAnsi="Open Sans SemiBold" w:cs="Open Sans SemiBold"/>
                <w:sz w:val="16"/>
                <w:szCs w:val="16"/>
                <w:lang w:eastAsia="en-AU"/>
              </w:rPr>
              <w:t>EFFECTS OF REVENUE RAISING CAPACITY</w:t>
            </w:r>
          </w:p>
        </w:tc>
      </w:tr>
      <w:tr w:rsidR="002C25F2" w:rsidRPr="002C25F2" w14:paraId="200FAB65" w14:textId="77777777" w:rsidTr="001B5072">
        <w:trPr>
          <w:trHeight w:val="315"/>
        </w:trPr>
        <w:tc>
          <w:tcPr>
            <w:tcW w:w="2660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auto" w:fill="auto"/>
            <w:vAlign w:val="bottom"/>
            <w:hideMark/>
          </w:tcPr>
          <w:p w14:paraId="3646D8D0" w14:textId="77777777" w:rsidR="002C25F2" w:rsidRPr="002C25F2" w:rsidRDefault="002C25F2" w:rsidP="002C25F2">
            <w:pPr>
              <w:keepNext/>
              <w:tabs>
                <w:tab w:val="clear" w:pos="567"/>
              </w:tabs>
              <w:spacing w:line="240" w:lineRule="auto"/>
              <w:rPr>
                <w:rFonts w:eastAsia="Times New Roman" w:cs="Open Sans Light"/>
                <w:sz w:val="16"/>
                <w:szCs w:val="16"/>
                <w:lang w:eastAsia="en-AU"/>
              </w:rPr>
            </w:pPr>
            <w:r w:rsidRPr="002C25F2">
              <w:rPr>
                <w:rFonts w:eastAsia="Times New Roman" w:cs="Open Sans Light"/>
                <w:sz w:val="16"/>
                <w:szCs w:val="16"/>
                <w:lang w:eastAsia="en-AU"/>
              </w:rPr>
              <w:t>Mining production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auto" w:fill="auto"/>
            <w:vAlign w:val="bottom"/>
            <w:hideMark/>
          </w:tcPr>
          <w:p w14:paraId="56F86739" w14:textId="77777777" w:rsidR="002C25F2" w:rsidRPr="002C25F2" w:rsidRDefault="002C25F2" w:rsidP="002C25F2">
            <w:pPr>
              <w:keepNext/>
              <w:tabs>
                <w:tab w:val="clear" w:pos="567"/>
              </w:tabs>
              <w:spacing w:line="240" w:lineRule="auto"/>
              <w:jc w:val="right"/>
              <w:rPr>
                <w:rFonts w:eastAsia="Times New Roman" w:cs="Open Sans Light"/>
                <w:sz w:val="16"/>
                <w:szCs w:val="16"/>
                <w:lang w:eastAsia="en-AU"/>
              </w:rPr>
            </w:pPr>
            <w:r w:rsidRPr="002C25F2">
              <w:rPr>
                <w:rFonts w:eastAsia="Times New Roman" w:cs="Open Sans Light"/>
                <w:sz w:val="16"/>
                <w:szCs w:val="16"/>
                <w:lang w:eastAsia="en-AU"/>
              </w:rPr>
              <w:t>2,346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auto" w:fill="auto"/>
            <w:vAlign w:val="bottom"/>
            <w:hideMark/>
          </w:tcPr>
          <w:p w14:paraId="129CD060" w14:textId="77777777" w:rsidR="002C25F2" w:rsidRPr="002C25F2" w:rsidRDefault="002C25F2" w:rsidP="002C25F2">
            <w:pPr>
              <w:keepNext/>
              <w:tabs>
                <w:tab w:val="clear" w:pos="567"/>
              </w:tabs>
              <w:spacing w:line="240" w:lineRule="auto"/>
              <w:jc w:val="right"/>
              <w:rPr>
                <w:rFonts w:eastAsia="Times New Roman" w:cs="Open Sans Light"/>
                <w:sz w:val="16"/>
                <w:szCs w:val="16"/>
                <w:lang w:eastAsia="en-AU"/>
              </w:rPr>
            </w:pPr>
            <w:r w:rsidRPr="002C25F2">
              <w:rPr>
                <w:rFonts w:eastAsia="Times New Roman" w:cs="Open Sans Light"/>
                <w:sz w:val="16"/>
                <w:szCs w:val="16"/>
                <w:lang w:eastAsia="en-AU"/>
              </w:rPr>
              <w:t>3,531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auto" w:fill="auto"/>
            <w:vAlign w:val="bottom"/>
            <w:hideMark/>
          </w:tcPr>
          <w:p w14:paraId="24F29E1C" w14:textId="77777777" w:rsidR="002C25F2" w:rsidRPr="002C25F2" w:rsidRDefault="002C25F2" w:rsidP="002C25F2">
            <w:pPr>
              <w:keepNext/>
              <w:tabs>
                <w:tab w:val="clear" w:pos="567"/>
              </w:tabs>
              <w:spacing w:line="240" w:lineRule="auto"/>
              <w:jc w:val="right"/>
              <w:rPr>
                <w:rFonts w:eastAsia="Times New Roman" w:cs="Open Sans Light"/>
                <w:sz w:val="16"/>
                <w:szCs w:val="16"/>
                <w:lang w:eastAsia="en-AU"/>
              </w:rPr>
            </w:pPr>
            <w:r w:rsidRPr="002C25F2">
              <w:rPr>
                <w:rFonts w:eastAsia="Times New Roman" w:cs="Open Sans Light"/>
                <w:sz w:val="16"/>
                <w:szCs w:val="16"/>
                <w:lang w:eastAsia="en-AU"/>
              </w:rPr>
              <w:t>-1,629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auto" w:fill="auto"/>
            <w:vAlign w:val="bottom"/>
            <w:hideMark/>
          </w:tcPr>
          <w:p w14:paraId="0AA86A99" w14:textId="77777777" w:rsidR="002C25F2" w:rsidRPr="002C25F2" w:rsidRDefault="002C25F2" w:rsidP="002C25F2">
            <w:pPr>
              <w:keepNext/>
              <w:tabs>
                <w:tab w:val="clear" w:pos="567"/>
              </w:tabs>
              <w:spacing w:line="240" w:lineRule="auto"/>
              <w:jc w:val="right"/>
              <w:rPr>
                <w:rFonts w:eastAsia="Times New Roman" w:cs="Open Sans Light"/>
                <w:sz w:val="16"/>
                <w:szCs w:val="16"/>
                <w:lang w:eastAsia="en-AU"/>
              </w:rPr>
            </w:pPr>
            <w:r w:rsidRPr="002C25F2">
              <w:rPr>
                <w:rFonts w:eastAsia="Times New Roman" w:cs="Open Sans Light"/>
                <w:sz w:val="16"/>
                <w:szCs w:val="16"/>
                <w:lang w:eastAsia="en-AU"/>
              </w:rPr>
              <w:t>-5,319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auto" w:fill="auto"/>
            <w:vAlign w:val="bottom"/>
            <w:hideMark/>
          </w:tcPr>
          <w:p w14:paraId="7A0E1B90" w14:textId="77777777" w:rsidR="002C25F2" w:rsidRPr="002C25F2" w:rsidRDefault="002C25F2" w:rsidP="002C25F2">
            <w:pPr>
              <w:keepNext/>
              <w:tabs>
                <w:tab w:val="clear" w:pos="567"/>
              </w:tabs>
              <w:spacing w:line="240" w:lineRule="auto"/>
              <w:jc w:val="right"/>
              <w:rPr>
                <w:rFonts w:eastAsia="Times New Roman" w:cs="Open Sans Light"/>
                <w:sz w:val="16"/>
                <w:szCs w:val="16"/>
                <w:lang w:eastAsia="en-AU"/>
              </w:rPr>
            </w:pPr>
            <w:r w:rsidRPr="002C25F2">
              <w:rPr>
                <w:rFonts w:eastAsia="Times New Roman" w:cs="Open Sans Light"/>
                <w:sz w:val="16"/>
                <w:szCs w:val="16"/>
                <w:lang w:eastAsia="en-AU"/>
              </w:rPr>
              <w:t>675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auto" w:fill="auto"/>
            <w:vAlign w:val="bottom"/>
            <w:hideMark/>
          </w:tcPr>
          <w:p w14:paraId="0A44550F" w14:textId="77777777" w:rsidR="002C25F2" w:rsidRPr="002C25F2" w:rsidRDefault="002C25F2" w:rsidP="002C25F2">
            <w:pPr>
              <w:keepNext/>
              <w:tabs>
                <w:tab w:val="clear" w:pos="567"/>
              </w:tabs>
              <w:spacing w:line="240" w:lineRule="auto"/>
              <w:jc w:val="right"/>
              <w:rPr>
                <w:rFonts w:eastAsia="Times New Roman" w:cs="Open Sans Light"/>
                <w:sz w:val="16"/>
                <w:szCs w:val="16"/>
                <w:lang w:eastAsia="en-AU"/>
              </w:rPr>
            </w:pPr>
            <w:r w:rsidRPr="002C25F2">
              <w:rPr>
                <w:rFonts w:eastAsia="Times New Roman" w:cs="Open Sans Light"/>
                <w:sz w:val="16"/>
                <w:szCs w:val="16"/>
                <w:lang w:eastAsia="en-AU"/>
              </w:rPr>
              <w:t>224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auto" w:fill="auto"/>
            <w:vAlign w:val="bottom"/>
            <w:hideMark/>
          </w:tcPr>
          <w:p w14:paraId="7A7FC9BB" w14:textId="77777777" w:rsidR="002C25F2" w:rsidRPr="002C25F2" w:rsidRDefault="002C25F2" w:rsidP="002C25F2">
            <w:pPr>
              <w:keepNext/>
              <w:tabs>
                <w:tab w:val="clear" w:pos="567"/>
              </w:tabs>
              <w:spacing w:line="240" w:lineRule="auto"/>
              <w:jc w:val="right"/>
              <w:rPr>
                <w:rFonts w:eastAsia="Times New Roman" w:cs="Open Sans Light"/>
                <w:sz w:val="16"/>
                <w:szCs w:val="16"/>
                <w:lang w:eastAsia="en-AU"/>
              </w:rPr>
            </w:pPr>
            <w:r w:rsidRPr="002C25F2">
              <w:rPr>
                <w:rFonts w:eastAsia="Times New Roman" w:cs="Open Sans Light"/>
                <w:sz w:val="16"/>
                <w:szCs w:val="16"/>
                <w:lang w:eastAsia="en-AU"/>
              </w:rPr>
              <w:t>241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auto" w:fill="auto"/>
            <w:vAlign w:val="bottom"/>
            <w:hideMark/>
          </w:tcPr>
          <w:p w14:paraId="136B0E5C" w14:textId="77777777" w:rsidR="002C25F2" w:rsidRPr="002C25F2" w:rsidRDefault="002C25F2" w:rsidP="002C25F2">
            <w:pPr>
              <w:keepNext/>
              <w:tabs>
                <w:tab w:val="clear" w:pos="567"/>
              </w:tabs>
              <w:spacing w:line="240" w:lineRule="auto"/>
              <w:jc w:val="right"/>
              <w:rPr>
                <w:rFonts w:eastAsia="Times New Roman" w:cs="Open Sans Light"/>
                <w:sz w:val="16"/>
                <w:szCs w:val="16"/>
                <w:lang w:eastAsia="en-AU"/>
              </w:rPr>
            </w:pPr>
            <w:r w:rsidRPr="002C25F2">
              <w:rPr>
                <w:rFonts w:eastAsia="Times New Roman" w:cs="Open Sans Light"/>
                <w:sz w:val="16"/>
                <w:szCs w:val="16"/>
                <w:lang w:eastAsia="en-AU"/>
              </w:rPr>
              <w:t>-69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auto" w:fill="auto"/>
            <w:vAlign w:val="bottom"/>
            <w:hideMark/>
          </w:tcPr>
          <w:p w14:paraId="0D12A9FB" w14:textId="77777777" w:rsidR="002C25F2" w:rsidRPr="002C25F2" w:rsidRDefault="002C25F2" w:rsidP="002C25F2">
            <w:pPr>
              <w:keepNext/>
              <w:tabs>
                <w:tab w:val="clear" w:pos="567"/>
              </w:tabs>
              <w:spacing w:line="240" w:lineRule="auto"/>
              <w:jc w:val="right"/>
              <w:rPr>
                <w:rFonts w:eastAsia="Times New Roman" w:cs="Open Sans Light"/>
                <w:sz w:val="16"/>
                <w:szCs w:val="16"/>
                <w:lang w:eastAsia="en-AU"/>
              </w:rPr>
            </w:pPr>
            <w:r w:rsidRPr="002C25F2">
              <w:rPr>
                <w:rFonts w:eastAsia="Times New Roman" w:cs="Open Sans Light"/>
                <w:sz w:val="16"/>
                <w:szCs w:val="16"/>
                <w:lang w:eastAsia="en-AU"/>
              </w:rPr>
              <w:t>7,017</w:t>
            </w:r>
          </w:p>
        </w:tc>
      </w:tr>
      <w:tr w:rsidR="002C25F2" w:rsidRPr="002C25F2" w14:paraId="1FAC7E20" w14:textId="77777777" w:rsidTr="001B5072">
        <w:trPr>
          <w:trHeight w:val="315"/>
        </w:trPr>
        <w:tc>
          <w:tcPr>
            <w:tcW w:w="2660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auto" w:fill="auto"/>
            <w:vAlign w:val="bottom"/>
            <w:hideMark/>
          </w:tcPr>
          <w:p w14:paraId="142F17C9" w14:textId="77777777" w:rsidR="002C25F2" w:rsidRPr="002C25F2" w:rsidRDefault="002C25F2" w:rsidP="002C25F2">
            <w:pPr>
              <w:keepNext/>
              <w:tabs>
                <w:tab w:val="clear" w:pos="567"/>
              </w:tabs>
              <w:spacing w:line="240" w:lineRule="auto"/>
              <w:rPr>
                <w:rFonts w:eastAsia="Times New Roman" w:cs="Open Sans Light"/>
                <w:sz w:val="16"/>
                <w:szCs w:val="16"/>
                <w:lang w:eastAsia="en-AU"/>
              </w:rPr>
            </w:pPr>
            <w:r w:rsidRPr="002C25F2">
              <w:rPr>
                <w:rFonts w:eastAsia="Times New Roman" w:cs="Open Sans Light"/>
                <w:sz w:val="16"/>
                <w:szCs w:val="16"/>
                <w:lang w:eastAsia="en-AU"/>
              </w:rPr>
              <w:t>Property sales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auto" w:fill="auto"/>
            <w:vAlign w:val="bottom"/>
            <w:hideMark/>
          </w:tcPr>
          <w:p w14:paraId="6DB0488B" w14:textId="77777777" w:rsidR="002C25F2" w:rsidRPr="002C25F2" w:rsidRDefault="002C25F2" w:rsidP="002C25F2">
            <w:pPr>
              <w:keepNext/>
              <w:tabs>
                <w:tab w:val="clear" w:pos="567"/>
              </w:tabs>
              <w:spacing w:line="240" w:lineRule="auto"/>
              <w:jc w:val="right"/>
              <w:rPr>
                <w:rFonts w:eastAsia="Times New Roman" w:cs="Open Sans Light"/>
                <w:sz w:val="16"/>
                <w:szCs w:val="16"/>
                <w:lang w:eastAsia="en-AU"/>
              </w:rPr>
            </w:pPr>
            <w:r w:rsidRPr="002C25F2">
              <w:rPr>
                <w:rFonts w:eastAsia="Times New Roman" w:cs="Open Sans Light"/>
                <w:sz w:val="16"/>
                <w:szCs w:val="16"/>
                <w:lang w:eastAsia="en-AU"/>
              </w:rPr>
              <w:t>-1,926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auto" w:fill="auto"/>
            <w:vAlign w:val="bottom"/>
            <w:hideMark/>
          </w:tcPr>
          <w:p w14:paraId="1EDBE420" w14:textId="77777777" w:rsidR="002C25F2" w:rsidRPr="002C25F2" w:rsidRDefault="002C25F2" w:rsidP="002C25F2">
            <w:pPr>
              <w:keepNext/>
              <w:tabs>
                <w:tab w:val="clear" w:pos="567"/>
              </w:tabs>
              <w:spacing w:line="240" w:lineRule="auto"/>
              <w:jc w:val="right"/>
              <w:rPr>
                <w:rFonts w:eastAsia="Times New Roman" w:cs="Open Sans Light"/>
                <w:sz w:val="16"/>
                <w:szCs w:val="16"/>
                <w:lang w:eastAsia="en-AU"/>
              </w:rPr>
            </w:pPr>
            <w:r w:rsidRPr="002C25F2">
              <w:rPr>
                <w:rFonts w:eastAsia="Times New Roman" w:cs="Open Sans Light"/>
                <w:sz w:val="16"/>
                <w:szCs w:val="16"/>
                <w:lang w:eastAsia="en-AU"/>
              </w:rPr>
              <w:t>-730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auto" w:fill="auto"/>
            <w:vAlign w:val="bottom"/>
            <w:hideMark/>
          </w:tcPr>
          <w:p w14:paraId="74CB5B31" w14:textId="77777777" w:rsidR="002C25F2" w:rsidRPr="002C25F2" w:rsidRDefault="002C25F2" w:rsidP="002C25F2">
            <w:pPr>
              <w:keepNext/>
              <w:tabs>
                <w:tab w:val="clear" w:pos="567"/>
              </w:tabs>
              <w:spacing w:line="240" w:lineRule="auto"/>
              <w:jc w:val="right"/>
              <w:rPr>
                <w:rFonts w:eastAsia="Times New Roman" w:cs="Open Sans Light"/>
                <w:sz w:val="16"/>
                <w:szCs w:val="16"/>
                <w:lang w:eastAsia="en-AU"/>
              </w:rPr>
            </w:pPr>
            <w:r w:rsidRPr="002C25F2">
              <w:rPr>
                <w:rFonts w:eastAsia="Times New Roman" w:cs="Open Sans Light"/>
                <w:sz w:val="16"/>
                <w:szCs w:val="16"/>
                <w:lang w:eastAsia="en-AU"/>
              </w:rPr>
              <w:t>749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auto" w:fill="auto"/>
            <w:vAlign w:val="bottom"/>
            <w:hideMark/>
          </w:tcPr>
          <w:p w14:paraId="38765027" w14:textId="77777777" w:rsidR="002C25F2" w:rsidRPr="002C25F2" w:rsidRDefault="002C25F2" w:rsidP="002C25F2">
            <w:pPr>
              <w:keepNext/>
              <w:tabs>
                <w:tab w:val="clear" w:pos="567"/>
              </w:tabs>
              <w:spacing w:line="240" w:lineRule="auto"/>
              <w:jc w:val="right"/>
              <w:rPr>
                <w:rFonts w:eastAsia="Times New Roman" w:cs="Open Sans Light"/>
                <w:sz w:val="16"/>
                <w:szCs w:val="16"/>
                <w:lang w:eastAsia="en-AU"/>
              </w:rPr>
            </w:pPr>
            <w:r w:rsidRPr="002C25F2">
              <w:rPr>
                <w:rFonts w:eastAsia="Times New Roman" w:cs="Open Sans Light"/>
                <w:sz w:val="16"/>
                <w:szCs w:val="16"/>
                <w:lang w:eastAsia="en-AU"/>
              </w:rPr>
              <w:t>934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auto" w:fill="auto"/>
            <w:vAlign w:val="bottom"/>
            <w:hideMark/>
          </w:tcPr>
          <w:p w14:paraId="2DEDAAA1" w14:textId="77777777" w:rsidR="002C25F2" w:rsidRPr="002C25F2" w:rsidRDefault="002C25F2" w:rsidP="002C25F2">
            <w:pPr>
              <w:keepNext/>
              <w:tabs>
                <w:tab w:val="clear" w:pos="567"/>
              </w:tabs>
              <w:spacing w:line="240" w:lineRule="auto"/>
              <w:jc w:val="right"/>
              <w:rPr>
                <w:rFonts w:eastAsia="Times New Roman" w:cs="Open Sans Light"/>
                <w:sz w:val="16"/>
                <w:szCs w:val="16"/>
                <w:lang w:eastAsia="en-AU"/>
              </w:rPr>
            </w:pPr>
            <w:r w:rsidRPr="002C25F2">
              <w:rPr>
                <w:rFonts w:eastAsia="Times New Roman" w:cs="Open Sans Light"/>
                <w:sz w:val="16"/>
                <w:szCs w:val="16"/>
                <w:lang w:eastAsia="en-AU"/>
              </w:rPr>
              <w:t>665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auto" w:fill="auto"/>
            <w:vAlign w:val="bottom"/>
            <w:hideMark/>
          </w:tcPr>
          <w:p w14:paraId="11B7C0C0" w14:textId="77777777" w:rsidR="002C25F2" w:rsidRPr="002C25F2" w:rsidRDefault="002C25F2" w:rsidP="002C25F2">
            <w:pPr>
              <w:keepNext/>
              <w:tabs>
                <w:tab w:val="clear" w:pos="567"/>
              </w:tabs>
              <w:spacing w:line="240" w:lineRule="auto"/>
              <w:jc w:val="right"/>
              <w:rPr>
                <w:rFonts w:eastAsia="Times New Roman" w:cs="Open Sans Light"/>
                <w:sz w:val="16"/>
                <w:szCs w:val="16"/>
                <w:lang w:eastAsia="en-AU"/>
              </w:rPr>
            </w:pPr>
            <w:r w:rsidRPr="002C25F2">
              <w:rPr>
                <w:rFonts w:eastAsia="Times New Roman" w:cs="Open Sans Light"/>
                <w:sz w:val="16"/>
                <w:szCs w:val="16"/>
                <w:lang w:eastAsia="en-AU"/>
              </w:rPr>
              <w:t>206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auto" w:fill="auto"/>
            <w:vAlign w:val="bottom"/>
            <w:hideMark/>
          </w:tcPr>
          <w:p w14:paraId="516A4C8E" w14:textId="77777777" w:rsidR="002C25F2" w:rsidRPr="002C25F2" w:rsidRDefault="002C25F2" w:rsidP="002C25F2">
            <w:pPr>
              <w:keepNext/>
              <w:tabs>
                <w:tab w:val="clear" w:pos="567"/>
              </w:tabs>
              <w:spacing w:line="240" w:lineRule="auto"/>
              <w:jc w:val="right"/>
              <w:rPr>
                <w:rFonts w:eastAsia="Times New Roman" w:cs="Open Sans Light"/>
                <w:sz w:val="16"/>
                <w:szCs w:val="16"/>
                <w:lang w:eastAsia="en-AU"/>
              </w:rPr>
            </w:pPr>
            <w:r w:rsidRPr="002C25F2">
              <w:rPr>
                <w:rFonts w:eastAsia="Times New Roman" w:cs="Open Sans Light"/>
                <w:sz w:val="16"/>
                <w:szCs w:val="16"/>
                <w:lang w:eastAsia="en-AU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auto" w:fill="auto"/>
            <w:vAlign w:val="bottom"/>
            <w:hideMark/>
          </w:tcPr>
          <w:p w14:paraId="7607D660" w14:textId="77777777" w:rsidR="002C25F2" w:rsidRPr="002C25F2" w:rsidRDefault="002C25F2" w:rsidP="002C25F2">
            <w:pPr>
              <w:keepNext/>
              <w:tabs>
                <w:tab w:val="clear" w:pos="567"/>
              </w:tabs>
              <w:spacing w:line="240" w:lineRule="auto"/>
              <w:jc w:val="right"/>
              <w:rPr>
                <w:rFonts w:eastAsia="Times New Roman" w:cs="Open Sans Light"/>
                <w:sz w:val="16"/>
                <w:szCs w:val="16"/>
                <w:lang w:eastAsia="en-AU"/>
              </w:rPr>
            </w:pPr>
            <w:r w:rsidRPr="002C25F2">
              <w:rPr>
                <w:rFonts w:eastAsia="Times New Roman" w:cs="Open Sans Light"/>
                <w:sz w:val="16"/>
                <w:szCs w:val="16"/>
                <w:lang w:eastAsia="en-AU"/>
              </w:rPr>
              <w:t>98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auto" w:fill="auto"/>
            <w:vAlign w:val="bottom"/>
            <w:hideMark/>
          </w:tcPr>
          <w:p w14:paraId="25B80535" w14:textId="77777777" w:rsidR="002C25F2" w:rsidRPr="002C25F2" w:rsidRDefault="002C25F2" w:rsidP="002C25F2">
            <w:pPr>
              <w:keepNext/>
              <w:tabs>
                <w:tab w:val="clear" w:pos="567"/>
              </w:tabs>
              <w:spacing w:line="240" w:lineRule="auto"/>
              <w:jc w:val="right"/>
              <w:rPr>
                <w:rFonts w:eastAsia="Times New Roman" w:cs="Open Sans Light"/>
                <w:sz w:val="16"/>
                <w:szCs w:val="16"/>
                <w:lang w:eastAsia="en-AU"/>
              </w:rPr>
            </w:pPr>
            <w:r w:rsidRPr="002C25F2">
              <w:rPr>
                <w:rFonts w:eastAsia="Times New Roman" w:cs="Open Sans Light"/>
                <w:sz w:val="16"/>
                <w:szCs w:val="16"/>
                <w:lang w:eastAsia="en-AU"/>
              </w:rPr>
              <w:t>2,656</w:t>
            </w:r>
          </w:p>
        </w:tc>
      </w:tr>
      <w:tr w:rsidR="002C25F2" w:rsidRPr="002C25F2" w14:paraId="07578A52" w14:textId="77777777" w:rsidTr="001B5072">
        <w:trPr>
          <w:trHeight w:val="315"/>
        </w:trPr>
        <w:tc>
          <w:tcPr>
            <w:tcW w:w="2660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auto" w:fill="auto"/>
            <w:vAlign w:val="bottom"/>
            <w:hideMark/>
          </w:tcPr>
          <w:p w14:paraId="376F4A1F" w14:textId="77777777" w:rsidR="002C25F2" w:rsidRPr="002C25F2" w:rsidRDefault="002C25F2" w:rsidP="002C25F2">
            <w:pPr>
              <w:keepNext/>
              <w:tabs>
                <w:tab w:val="clear" w:pos="567"/>
              </w:tabs>
              <w:spacing w:line="240" w:lineRule="auto"/>
              <w:rPr>
                <w:rFonts w:eastAsia="Times New Roman" w:cs="Open Sans Light"/>
                <w:sz w:val="16"/>
                <w:szCs w:val="16"/>
                <w:lang w:eastAsia="en-AU"/>
              </w:rPr>
            </w:pPr>
            <w:r w:rsidRPr="002C25F2">
              <w:rPr>
                <w:rFonts w:eastAsia="Times New Roman" w:cs="Open Sans Light"/>
                <w:sz w:val="16"/>
                <w:szCs w:val="16"/>
                <w:lang w:eastAsia="en-AU"/>
              </w:rPr>
              <w:t>Taxable payrolls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auto" w:fill="auto"/>
            <w:vAlign w:val="bottom"/>
            <w:hideMark/>
          </w:tcPr>
          <w:p w14:paraId="437B5F74" w14:textId="77777777" w:rsidR="002C25F2" w:rsidRPr="002C25F2" w:rsidRDefault="002C25F2" w:rsidP="002C25F2">
            <w:pPr>
              <w:keepNext/>
              <w:tabs>
                <w:tab w:val="clear" w:pos="567"/>
              </w:tabs>
              <w:spacing w:line="240" w:lineRule="auto"/>
              <w:jc w:val="right"/>
              <w:rPr>
                <w:rFonts w:eastAsia="Times New Roman" w:cs="Open Sans Light"/>
                <w:sz w:val="16"/>
                <w:szCs w:val="16"/>
                <w:lang w:eastAsia="en-AU"/>
              </w:rPr>
            </w:pPr>
            <w:r w:rsidRPr="002C25F2">
              <w:rPr>
                <w:rFonts w:eastAsia="Times New Roman" w:cs="Open Sans Light"/>
                <w:sz w:val="16"/>
                <w:szCs w:val="16"/>
                <w:lang w:eastAsia="en-AU"/>
              </w:rPr>
              <w:t>-705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auto" w:fill="auto"/>
            <w:vAlign w:val="bottom"/>
            <w:hideMark/>
          </w:tcPr>
          <w:p w14:paraId="6F09B6F6" w14:textId="77777777" w:rsidR="002C25F2" w:rsidRPr="002C25F2" w:rsidRDefault="002C25F2" w:rsidP="002C25F2">
            <w:pPr>
              <w:keepNext/>
              <w:tabs>
                <w:tab w:val="clear" w:pos="567"/>
              </w:tabs>
              <w:spacing w:line="240" w:lineRule="auto"/>
              <w:jc w:val="right"/>
              <w:rPr>
                <w:rFonts w:eastAsia="Times New Roman" w:cs="Open Sans Light"/>
                <w:sz w:val="16"/>
                <w:szCs w:val="16"/>
                <w:lang w:eastAsia="en-AU"/>
              </w:rPr>
            </w:pPr>
            <w:r w:rsidRPr="002C25F2">
              <w:rPr>
                <w:rFonts w:eastAsia="Times New Roman" w:cs="Open Sans Light"/>
                <w:sz w:val="16"/>
                <w:szCs w:val="16"/>
                <w:lang w:eastAsia="en-AU"/>
              </w:rPr>
              <w:t>334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auto" w:fill="auto"/>
            <w:vAlign w:val="bottom"/>
            <w:hideMark/>
          </w:tcPr>
          <w:p w14:paraId="62BCE2B1" w14:textId="77777777" w:rsidR="002C25F2" w:rsidRPr="002C25F2" w:rsidRDefault="002C25F2" w:rsidP="002C25F2">
            <w:pPr>
              <w:keepNext/>
              <w:tabs>
                <w:tab w:val="clear" w:pos="567"/>
              </w:tabs>
              <w:spacing w:line="240" w:lineRule="auto"/>
              <w:jc w:val="right"/>
              <w:rPr>
                <w:rFonts w:eastAsia="Times New Roman" w:cs="Open Sans Light"/>
                <w:sz w:val="16"/>
                <w:szCs w:val="16"/>
                <w:lang w:eastAsia="en-AU"/>
              </w:rPr>
            </w:pPr>
            <w:r w:rsidRPr="002C25F2">
              <w:rPr>
                <w:rFonts w:eastAsia="Times New Roman" w:cs="Open Sans Light"/>
                <w:sz w:val="16"/>
                <w:szCs w:val="16"/>
                <w:lang w:eastAsia="en-AU"/>
              </w:rPr>
              <w:t>501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auto" w:fill="auto"/>
            <w:vAlign w:val="bottom"/>
            <w:hideMark/>
          </w:tcPr>
          <w:p w14:paraId="03518CBA" w14:textId="77777777" w:rsidR="002C25F2" w:rsidRPr="002C25F2" w:rsidRDefault="002C25F2" w:rsidP="002C25F2">
            <w:pPr>
              <w:keepNext/>
              <w:tabs>
                <w:tab w:val="clear" w:pos="567"/>
              </w:tabs>
              <w:spacing w:line="240" w:lineRule="auto"/>
              <w:jc w:val="right"/>
              <w:rPr>
                <w:rFonts w:eastAsia="Times New Roman" w:cs="Open Sans Light"/>
                <w:sz w:val="16"/>
                <w:szCs w:val="16"/>
                <w:lang w:eastAsia="en-AU"/>
              </w:rPr>
            </w:pPr>
            <w:r w:rsidRPr="002C25F2">
              <w:rPr>
                <w:rFonts w:eastAsia="Times New Roman" w:cs="Open Sans Light"/>
                <w:sz w:val="16"/>
                <w:szCs w:val="16"/>
                <w:lang w:eastAsia="en-AU"/>
              </w:rPr>
              <w:t>-710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auto" w:fill="auto"/>
            <w:vAlign w:val="bottom"/>
            <w:hideMark/>
          </w:tcPr>
          <w:p w14:paraId="6A9068AD" w14:textId="77777777" w:rsidR="002C25F2" w:rsidRPr="002C25F2" w:rsidRDefault="002C25F2" w:rsidP="002C25F2">
            <w:pPr>
              <w:keepNext/>
              <w:tabs>
                <w:tab w:val="clear" w:pos="567"/>
              </w:tabs>
              <w:spacing w:line="240" w:lineRule="auto"/>
              <w:jc w:val="right"/>
              <w:rPr>
                <w:rFonts w:eastAsia="Times New Roman" w:cs="Open Sans Light"/>
                <w:sz w:val="16"/>
                <w:szCs w:val="16"/>
                <w:lang w:eastAsia="en-AU"/>
              </w:rPr>
            </w:pPr>
            <w:r w:rsidRPr="002C25F2">
              <w:rPr>
                <w:rFonts w:eastAsia="Times New Roman" w:cs="Open Sans Light"/>
                <w:sz w:val="16"/>
                <w:szCs w:val="16"/>
                <w:lang w:eastAsia="en-AU"/>
              </w:rPr>
              <w:t>434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auto" w:fill="auto"/>
            <w:vAlign w:val="bottom"/>
            <w:hideMark/>
          </w:tcPr>
          <w:p w14:paraId="410C9C07" w14:textId="77777777" w:rsidR="002C25F2" w:rsidRPr="002C25F2" w:rsidRDefault="002C25F2" w:rsidP="002C25F2">
            <w:pPr>
              <w:keepNext/>
              <w:tabs>
                <w:tab w:val="clear" w:pos="567"/>
              </w:tabs>
              <w:spacing w:line="240" w:lineRule="auto"/>
              <w:jc w:val="right"/>
              <w:rPr>
                <w:rFonts w:eastAsia="Times New Roman" w:cs="Open Sans Light"/>
                <w:sz w:val="16"/>
                <w:szCs w:val="16"/>
                <w:lang w:eastAsia="en-AU"/>
              </w:rPr>
            </w:pPr>
            <w:r w:rsidRPr="002C25F2">
              <w:rPr>
                <w:rFonts w:eastAsia="Times New Roman" w:cs="Open Sans Light"/>
                <w:sz w:val="16"/>
                <w:szCs w:val="16"/>
                <w:lang w:eastAsia="en-AU"/>
              </w:rPr>
              <w:t>193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auto" w:fill="auto"/>
            <w:vAlign w:val="bottom"/>
            <w:hideMark/>
          </w:tcPr>
          <w:p w14:paraId="1BCA8798" w14:textId="77777777" w:rsidR="002C25F2" w:rsidRPr="002C25F2" w:rsidRDefault="002C25F2" w:rsidP="002C25F2">
            <w:pPr>
              <w:keepNext/>
              <w:tabs>
                <w:tab w:val="clear" w:pos="567"/>
              </w:tabs>
              <w:spacing w:line="240" w:lineRule="auto"/>
              <w:jc w:val="right"/>
              <w:rPr>
                <w:rFonts w:eastAsia="Times New Roman" w:cs="Open Sans Light"/>
                <w:sz w:val="16"/>
                <w:szCs w:val="16"/>
                <w:lang w:eastAsia="en-AU"/>
              </w:rPr>
            </w:pPr>
            <w:r w:rsidRPr="002C25F2">
              <w:rPr>
                <w:rFonts w:eastAsia="Times New Roman" w:cs="Open Sans Light"/>
                <w:sz w:val="16"/>
                <w:szCs w:val="16"/>
                <w:lang w:eastAsia="en-AU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auto" w:fill="auto"/>
            <w:vAlign w:val="bottom"/>
            <w:hideMark/>
          </w:tcPr>
          <w:p w14:paraId="43C09DE5" w14:textId="77777777" w:rsidR="002C25F2" w:rsidRPr="002C25F2" w:rsidRDefault="002C25F2" w:rsidP="002C25F2">
            <w:pPr>
              <w:keepNext/>
              <w:tabs>
                <w:tab w:val="clear" w:pos="567"/>
              </w:tabs>
              <w:spacing w:line="240" w:lineRule="auto"/>
              <w:jc w:val="right"/>
              <w:rPr>
                <w:rFonts w:eastAsia="Times New Roman" w:cs="Open Sans Light"/>
                <w:sz w:val="16"/>
                <w:szCs w:val="16"/>
                <w:lang w:eastAsia="en-AU"/>
              </w:rPr>
            </w:pPr>
            <w:r w:rsidRPr="002C25F2">
              <w:rPr>
                <w:rFonts w:eastAsia="Times New Roman" w:cs="Open Sans Light"/>
                <w:sz w:val="16"/>
                <w:szCs w:val="16"/>
                <w:lang w:eastAsia="en-AU"/>
              </w:rPr>
              <w:t>-49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auto" w:fill="auto"/>
            <w:vAlign w:val="bottom"/>
            <w:hideMark/>
          </w:tcPr>
          <w:p w14:paraId="4F764590" w14:textId="77777777" w:rsidR="002C25F2" w:rsidRPr="002C25F2" w:rsidRDefault="002C25F2" w:rsidP="002C25F2">
            <w:pPr>
              <w:keepNext/>
              <w:tabs>
                <w:tab w:val="clear" w:pos="567"/>
              </w:tabs>
              <w:spacing w:line="240" w:lineRule="auto"/>
              <w:jc w:val="right"/>
              <w:rPr>
                <w:rFonts w:eastAsia="Times New Roman" w:cs="Open Sans Light"/>
                <w:sz w:val="16"/>
                <w:szCs w:val="16"/>
                <w:lang w:eastAsia="en-AU"/>
              </w:rPr>
            </w:pPr>
            <w:r w:rsidRPr="002C25F2">
              <w:rPr>
                <w:rFonts w:eastAsia="Times New Roman" w:cs="Open Sans Light"/>
                <w:sz w:val="16"/>
                <w:szCs w:val="16"/>
                <w:lang w:eastAsia="en-AU"/>
              </w:rPr>
              <w:t>1,464</w:t>
            </w:r>
          </w:p>
        </w:tc>
      </w:tr>
      <w:tr w:rsidR="002C25F2" w:rsidRPr="002C25F2" w14:paraId="2F996C6C" w14:textId="77777777" w:rsidTr="001B5072">
        <w:trPr>
          <w:trHeight w:val="315"/>
        </w:trPr>
        <w:tc>
          <w:tcPr>
            <w:tcW w:w="2660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auto" w:fill="auto"/>
            <w:vAlign w:val="bottom"/>
            <w:hideMark/>
          </w:tcPr>
          <w:p w14:paraId="44621992" w14:textId="77777777" w:rsidR="002C25F2" w:rsidRPr="002C25F2" w:rsidRDefault="002C25F2" w:rsidP="002C25F2">
            <w:pPr>
              <w:keepNext/>
              <w:tabs>
                <w:tab w:val="clear" w:pos="567"/>
              </w:tabs>
              <w:spacing w:line="240" w:lineRule="auto"/>
              <w:rPr>
                <w:rFonts w:eastAsia="Times New Roman" w:cs="Open Sans Light"/>
                <w:sz w:val="16"/>
                <w:szCs w:val="16"/>
                <w:lang w:eastAsia="en-AU"/>
              </w:rPr>
            </w:pPr>
            <w:r w:rsidRPr="002C25F2">
              <w:rPr>
                <w:rFonts w:eastAsia="Times New Roman" w:cs="Open Sans Light"/>
                <w:sz w:val="16"/>
                <w:szCs w:val="16"/>
                <w:lang w:eastAsia="en-AU"/>
              </w:rPr>
              <w:t>Taxable land values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auto" w:fill="auto"/>
            <w:vAlign w:val="bottom"/>
            <w:hideMark/>
          </w:tcPr>
          <w:p w14:paraId="027BCF35" w14:textId="77777777" w:rsidR="002C25F2" w:rsidRPr="002C25F2" w:rsidRDefault="002C25F2" w:rsidP="002C25F2">
            <w:pPr>
              <w:keepNext/>
              <w:tabs>
                <w:tab w:val="clear" w:pos="567"/>
              </w:tabs>
              <w:spacing w:line="240" w:lineRule="auto"/>
              <w:jc w:val="right"/>
              <w:rPr>
                <w:rFonts w:eastAsia="Times New Roman" w:cs="Open Sans Light"/>
                <w:sz w:val="16"/>
                <w:szCs w:val="16"/>
                <w:lang w:eastAsia="en-AU"/>
              </w:rPr>
            </w:pPr>
            <w:r w:rsidRPr="002C25F2">
              <w:rPr>
                <w:rFonts w:eastAsia="Times New Roman" w:cs="Open Sans Light"/>
                <w:sz w:val="16"/>
                <w:szCs w:val="16"/>
                <w:lang w:eastAsia="en-AU"/>
              </w:rPr>
              <w:t>-919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auto" w:fill="auto"/>
            <w:vAlign w:val="bottom"/>
            <w:hideMark/>
          </w:tcPr>
          <w:p w14:paraId="62C8DD92" w14:textId="77777777" w:rsidR="002C25F2" w:rsidRPr="002C25F2" w:rsidRDefault="002C25F2" w:rsidP="002C25F2">
            <w:pPr>
              <w:keepNext/>
              <w:tabs>
                <w:tab w:val="clear" w:pos="567"/>
              </w:tabs>
              <w:spacing w:line="240" w:lineRule="auto"/>
              <w:jc w:val="right"/>
              <w:rPr>
                <w:rFonts w:eastAsia="Times New Roman" w:cs="Open Sans Light"/>
                <w:sz w:val="16"/>
                <w:szCs w:val="16"/>
                <w:lang w:eastAsia="en-AU"/>
              </w:rPr>
            </w:pPr>
            <w:r w:rsidRPr="002C25F2">
              <w:rPr>
                <w:rFonts w:eastAsia="Times New Roman" w:cs="Open Sans Light"/>
                <w:sz w:val="16"/>
                <w:szCs w:val="16"/>
                <w:lang w:eastAsia="en-AU"/>
              </w:rPr>
              <w:t>-493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auto" w:fill="auto"/>
            <w:vAlign w:val="bottom"/>
            <w:hideMark/>
          </w:tcPr>
          <w:p w14:paraId="4EE92885" w14:textId="77777777" w:rsidR="002C25F2" w:rsidRPr="002C25F2" w:rsidRDefault="002C25F2" w:rsidP="002C25F2">
            <w:pPr>
              <w:keepNext/>
              <w:tabs>
                <w:tab w:val="clear" w:pos="567"/>
              </w:tabs>
              <w:spacing w:line="240" w:lineRule="auto"/>
              <w:jc w:val="right"/>
              <w:rPr>
                <w:rFonts w:eastAsia="Times New Roman" w:cs="Open Sans Light"/>
                <w:sz w:val="16"/>
                <w:szCs w:val="16"/>
                <w:lang w:eastAsia="en-AU"/>
              </w:rPr>
            </w:pPr>
            <w:r w:rsidRPr="002C25F2">
              <w:rPr>
                <w:rFonts w:eastAsia="Times New Roman" w:cs="Open Sans Light"/>
                <w:sz w:val="16"/>
                <w:szCs w:val="16"/>
                <w:lang w:eastAsia="en-AU"/>
              </w:rPr>
              <w:t>718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auto" w:fill="auto"/>
            <w:vAlign w:val="bottom"/>
            <w:hideMark/>
          </w:tcPr>
          <w:p w14:paraId="61C4582C" w14:textId="77777777" w:rsidR="002C25F2" w:rsidRPr="002C25F2" w:rsidRDefault="002C25F2" w:rsidP="002C25F2">
            <w:pPr>
              <w:keepNext/>
              <w:tabs>
                <w:tab w:val="clear" w:pos="567"/>
              </w:tabs>
              <w:spacing w:line="240" w:lineRule="auto"/>
              <w:jc w:val="right"/>
              <w:rPr>
                <w:rFonts w:eastAsia="Times New Roman" w:cs="Open Sans Light"/>
                <w:sz w:val="16"/>
                <w:szCs w:val="16"/>
                <w:lang w:eastAsia="en-AU"/>
              </w:rPr>
            </w:pPr>
            <w:r w:rsidRPr="002C25F2">
              <w:rPr>
                <w:rFonts w:eastAsia="Times New Roman" w:cs="Open Sans Light"/>
                <w:sz w:val="16"/>
                <w:szCs w:val="16"/>
                <w:lang w:eastAsia="en-AU"/>
              </w:rPr>
              <w:t>65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auto" w:fill="auto"/>
            <w:vAlign w:val="bottom"/>
            <w:hideMark/>
          </w:tcPr>
          <w:p w14:paraId="4477725E" w14:textId="77777777" w:rsidR="002C25F2" w:rsidRPr="002C25F2" w:rsidRDefault="002C25F2" w:rsidP="002C25F2">
            <w:pPr>
              <w:keepNext/>
              <w:tabs>
                <w:tab w:val="clear" w:pos="567"/>
              </w:tabs>
              <w:spacing w:line="240" w:lineRule="auto"/>
              <w:jc w:val="right"/>
              <w:rPr>
                <w:rFonts w:eastAsia="Times New Roman" w:cs="Open Sans Light"/>
                <w:sz w:val="16"/>
                <w:szCs w:val="16"/>
                <w:lang w:eastAsia="en-AU"/>
              </w:rPr>
            </w:pPr>
            <w:r w:rsidRPr="002C25F2">
              <w:rPr>
                <w:rFonts w:eastAsia="Times New Roman" w:cs="Open Sans Light"/>
                <w:sz w:val="16"/>
                <w:szCs w:val="16"/>
                <w:lang w:eastAsia="en-AU"/>
              </w:rPr>
              <w:t>378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auto" w:fill="auto"/>
            <w:vAlign w:val="bottom"/>
            <w:hideMark/>
          </w:tcPr>
          <w:p w14:paraId="356B4695" w14:textId="77777777" w:rsidR="002C25F2" w:rsidRPr="002C25F2" w:rsidRDefault="002C25F2" w:rsidP="002C25F2">
            <w:pPr>
              <w:keepNext/>
              <w:tabs>
                <w:tab w:val="clear" w:pos="567"/>
              </w:tabs>
              <w:spacing w:line="240" w:lineRule="auto"/>
              <w:jc w:val="right"/>
              <w:rPr>
                <w:rFonts w:eastAsia="Times New Roman" w:cs="Open Sans Light"/>
                <w:sz w:val="16"/>
                <w:szCs w:val="16"/>
                <w:lang w:eastAsia="en-AU"/>
              </w:rPr>
            </w:pPr>
            <w:r w:rsidRPr="002C25F2">
              <w:rPr>
                <w:rFonts w:eastAsia="Times New Roman" w:cs="Open Sans Light"/>
                <w:sz w:val="16"/>
                <w:szCs w:val="16"/>
                <w:lang w:eastAsia="en-AU"/>
              </w:rPr>
              <w:t>140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auto" w:fill="auto"/>
            <w:vAlign w:val="bottom"/>
            <w:hideMark/>
          </w:tcPr>
          <w:p w14:paraId="6F7F9213" w14:textId="77777777" w:rsidR="002C25F2" w:rsidRPr="002C25F2" w:rsidRDefault="002C25F2" w:rsidP="002C25F2">
            <w:pPr>
              <w:keepNext/>
              <w:tabs>
                <w:tab w:val="clear" w:pos="567"/>
              </w:tabs>
              <w:spacing w:line="240" w:lineRule="auto"/>
              <w:jc w:val="right"/>
              <w:rPr>
                <w:rFonts w:eastAsia="Times New Roman" w:cs="Open Sans Light"/>
                <w:sz w:val="16"/>
                <w:szCs w:val="16"/>
                <w:lang w:eastAsia="en-AU"/>
              </w:rPr>
            </w:pPr>
            <w:r w:rsidRPr="002C25F2">
              <w:rPr>
                <w:rFonts w:eastAsia="Times New Roman" w:cs="Open Sans Light"/>
                <w:sz w:val="16"/>
                <w:szCs w:val="16"/>
                <w:lang w:eastAsia="en-AU"/>
              </w:rPr>
              <w:t>94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auto" w:fill="auto"/>
            <w:vAlign w:val="bottom"/>
            <w:hideMark/>
          </w:tcPr>
          <w:p w14:paraId="0C13DBD7" w14:textId="77777777" w:rsidR="002C25F2" w:rsidRPr="002C25F2" w:rsidRDefault="002C25F2" w:rsidP="002C25F2">
            <w:pPr>
              <w:keepNext/>
              <w:tabs>
                <w:tab w:val="clear" w:pos="567"/>
              </w:tabs>
              <w:spacing w:line="240" w:lineRule="auto"/>
              <w:jc w:val="right"/>
              <w:rPr>
                <w:rFonts w:eastAsia="Times New Roman" w:cs="Open Sans Light"/>
                <w:sz w:val="16"/>
                <w:szCs w:val="16"/>
                <w:lang w:eastAsia="en-AU"/>
              </w:rPr>
            </w:pPr>
            <w:r w:rsidRPr="002C25F2">
              <w:rPr>
                <w:rFonts w:eastAsia="Times New Roman" w:cs="Open Sans Light"/>
                <w:sz w:val="16"/>
                <w:szCs w:val="16"/>
                <w:lang w:eastAsia="en-AU"/>
              </w:rPr>
              <w:t>16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auto" w:fill="auto"/>
            <w:vAlign w:val="bottom"/>
            <w:hideMark/>
          </w:tcPr>
          <w:p w14:paraId="70E5812C" w14:textId="77777777" w:rsidR="002C25F2" w:rsidRPr="002C25F2" w:rsidRDefault="002C25F2" w:rsidP="002C25F2">
            <w:pPr>
              <w:keepNext/>
              <w:tabs>
                <w:tab w:val="clear" w:pos="567"/>
              </w:tabs>
              <w:spacing w:line="240" w:lineRule="auto"/>
              <w:jc w:val="right"/>
              <w:rPr>
                <w:rFonts w:eastAsia="Times New Roman" w:cs="Open Sans Light"/>
                <w:sz w:val="16"/>
                <w:szCs w:val="16"/>
                <w:lang w:eastAsia="en-AU"/>
              </w:rPr>
            </w:pPr>
            <w:r w:rsidRPr="002C25F2">
              <w:rPr>
                <w:rFonts w:eastAsia="Times New Roman" w:cs="Open Sans Light"/>
                <w:sz w:val="16"/>
                <w:szCs w:val="16"/>
                <w:lang w:eastAsia="en-AU"/>
              </w:rPr>
              <w:t>1,412</w:t>
            </w:r>
          </w:p>
        </w:tc>
      </w:tr>
      <w:tr w:rsidR="002C25F2" w:rsidRPr="002C25F2" w14:paraId="773C1F78" w14:textId="77777777" w:rsidTr="001B5072">
        <w:trPr>
          <w:trHeight w:val="315"/>
        </w:trPr>
        <w:tc>
          <w:tcPr>
            <w:tcW w:w="2660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auto" w:fill="auto"/>
            <w:vAlign w:val="bottom"/>
            <w:hideMark/>
          </w:tcPr>
          <w:p w14:paraId="2BE13364" w14:textId="77777777" w:rsidR="002C25F2" w:rsidRPr="002C25F2" w:rsidRDefault="002C25F2" w:rsidP="002C25F2">
            <w:pPr>
              <w:keepNext/>
              <w:tabs>
                <w:tab w:val="clear" w:pos="567"/>
              </w:tabs>
              <w:spacing w:line="240" w:lineRule="auto"/>
              <w:rPr>
                <w:rFonts w:eastAsia="Times New Roman" w:cs="Open Sans Light"/>
                <w:sz w:val="16"/>
                <w:szCs w:val="16"/>
                <w:lang w:eastAsia="en-AU"/>
              </w:rPr>
            </w:pPr>
            <w:r w:rsidRPr="002C25F2">
              <w:rPr>
                <w:rFonts w:eastAsia="Times New Roman" w:cs="Open Sans Light"/>
                <w:sz w:val="16"/>
                <w:szCs w:val="16"/>
                <w:lang w:eastAsia="en-AU"/>
              </w:rPr>
              <w:t>Other revenue effects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auto" w:fill="auto"/>
            <w:vAlign w:val="bottom"/>
            <w:hideMark/>
          </w:tcPr>
          <w:p w14:paraId="797D5A18" w14:textId="77777777" w:rsidR="002C25F2" w:rsidRPr="002C25F2" w:rsidRDefault="002C25F2" w:rsidP="002C25F2">
            <w:pPr>
              <w:keepNext/>
              <w:tabs>
                <w:tab w:val="clear" w:pos="567"/>
              </w:tabs>
              <w:spacing w:line="240" w:lineRule="auto"/>
              <w:jc w:val="right"/>
              <w:rPr>
                <w:rFonts w:eastAsia="Times New Roman" w:cs="Open Sans Light"/>
                <w:sz w:val="16"/>
                <w:szCs w:val="16"/>
                <w:lang w:eastAsia="en-AU"/>
              </w:rPr>
            </w:pPr>
            <w:r w:rsidRPr="002C25F2">
              <w:rPr>
                <w:rFonts w:eastAsia="Times New Roman" w:cs="Open Sans Light"/>
                <w:sz w:val="16"/>
                <w:szCs w:val="16"/>
                <w:lang w:eastAsia="en-AU"/>
              </w:rPr>
              <w:t>125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auto" w:fill="auto"/>
            <w:vAlign w:val="bottom"/>
            <w:hideMark/>
          </w:tcPr>
          <w:p w14:paraId="58F63198" w14:textId="77777777" w:rsidR="002C25F2" w:rsidRPr="002C25F2" w:rsidRDefault="002C25F2" w:rsidP="002C25F2">
            <w:pPr>
              <w:keepNext/>
              <w:tabs>
                <w:tab w:val="clear" w:pos="567"/>
              </w:tabs>
              <w:spacing w:line="240" w:lineRule="auto"/>
              <w:jc w:val="right"/>
              <w:rPr>
                <w:rFonts w:eastAsia="Times New Roman" w:cs="Open Sans Light"/>
                <w:sz w:val="16"/>
                <w:szCs w:val="16"/>
                <w:lang w:eastAsia="en-AU"/>
              </w:rPr>
            </w:pPr>
            <w:r w:rsidRPr="002C25F2">
              <w:rPr>
                <w:rFonts w:eastAsia="Times New Roman" w:cs="Open Sans Light"/>
                <w:sz w:val="16"/>
                <w:szCs w:val="16"/>
                <w:lang w:eastAsia="en-AU"/>
              </w:rPr>
              <w:t>121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auto" w:fill="auto"/>
            <w:vAlign w:val="bottom"/>
            <w:hideMark/>
          </w:tcPr>
          <w:p w14:paraId="77D97D31" w14:textId="77777777" w:rsidR="002C25F2" w:rsidRPr="002C25F2" w:rsidRDefault="002C25F2" w:rsidP="002C25F2">
            <w:pPr>
              <w:keepNext/>
              <w:tabs>
                <w:tab w:val="clear" w:pos="567"/>
              </w:tabs>
              <w:spacing w:line="240" w:lineRule="auto"/>
              <w:jc w:val="right"/>
              <w:rPr>
                <w:rFonts w:eastAsia="Times New Roman" w:cs="Open Sans Light"/>
                <w:sz w:val="16"/>
                <w:szCs w:val="16"/>
                <w:lang w:eastAsia="en-AU"/>
              </w:rPr>
            </w:pPr>
            <w:r w:rsidRPr="002C25F2">
              <w:rPr>
                <w:rFonts w:eastAsia="Times New Roman" w:cs="Open Sans Light"/>
                <w:sz w:val="16"/>
                <w:szCs w:val="16"/>
                <w:lang w:eastAsia="en-AU"/>
              </w:rPr>
              <w:t>-64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auto" w:fill="auto"/>
            <w:vAlign w:val="bottom"/>
            <w:hideMark/>
          </w:tcPr>
          <w:p w14:paraId="6DA4ACFF" w14:textId="77777777" w:rsidR="002C25F2" w:rsidRPr="002C25F2" w:rsidRDefault="002C25F2" w:rsidP="002C25F2">
            <w:pPr>
              <w:keepNext/>
              <w:tabs>
                <w:tab w:val="clear" w:pos="567"/>
              </w:tabs>
              <w:spacing w:line="240" w:lineRule="auto"/>
              <w:jc w:val="right"/>
              <w:rPr>
                <w:rFonts w:eastAsia="Times New Roman" w:cs="Open Sans Light"/>
                <w:sz w:val="16"/>
                <w:szCs w:val="16"/>
                <w:lang w:eastAsia="en-AU"/>
              </w:rPr>
            </w:pPr>
            <w:r w:rsidRPr="002C25F2">
              <w:rPr>
                <w:rFonts w:eastAsia="Times New Roman" w:cs="Open Sans Light"/>
                <w:sz w:val="16"/>
                <w:szCs w:val="16"/>
                <w:lang w:eastAsia="en-AU"/>
              </w:rPr>
              <w:t>-119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auto" w:fill="auto"/>
            <w:vAlign w:val="bottom"/>
            <w:hideMark/>
          </w:tcPr>
          <w:p w14:paraId="618D9790" w14:textId="77777777" w:rsidR="002C25F2" w:rsidRPr="002C25F2" w:rsidRDefault="002C25F2" w:rsidP="002C25F2">
            <w:pPr>
              <w:keepNext/>
              <w:tabs>
                <w:tab w:val="clear" w:pos="567"/>
              </w:tabs>
              <w:spacing w:line="240" w:lineRule="auto"/>
              <w:jc w:val="right"/>
              <w:rPr>
                <w:rFonts w:eastAsia="Times New Roman" w:cs="Open Sans Light"/>
                <w:sz w:val="16"/>
                <w:szCs w:val="16"/>
                <w:lang w:eastAsia="en-AU"/>
              </w:rPr>
            </w:pPr>
            <w:r w:rsidRPr="002C25F2">
              <w:rPr>
                <w:rFonts w:eastAsia="Times New Roman" w:cs="Open Sans Light"/>
                <w:sz w:val="16"/>
                <w:szCs w:val="16"/>
                <w:lang w:eastAsia="en-AU"/>
              </w:rPr>
              <w:t>-96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auto" w:fill="auto"/>
            <w:vAlign w:val="bottom"/>
            <w:hideMark/>
          </w:tcPr>
          <w:p w14:paraId="0FFC62EE" w14:textId="77777777" w:rsidR="002C25F2" w:rsidRPr="002C25F2" w:rsidRDefault="002C25F2" w:rsidP="002C25F2">
            <w:pPr>
              <w:keepNext/>
              <w:tabs>
                <w:tab w:val="clear" w:pos="567"/>
              </w:tabs>
              <w:spacing w:line="240" w:lineRule="auto"/>
              <w:jc w:val="right"/>
              <w:rPr>
                <w:rFonts w:eastAsia="Times New Roman" w:cs="Open Sans Light"/>
                <w:sz w:val="16"/>
                <w:szCs w:val="16"/>
                <w:lang w:eastAsia="en-AU"/>
              </w:rPr>
            </w:pPr>
            <w:r w:rsidRPr="002C25F2">
              <w:rPr>
                <w:rFonts w:eastAsia="Times New Roman" w:cs="Open Sans Light"/>
                <w:sz w:val="16"/>
                <w:szCs w:val="16"/>
                <w:lang w:eastAsia="en-AU"/>
              </w:rPr>
              <w:t>-8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auto" w:fill="auto"/>
            <w:vAlign w:val="bottom"/>
            <w:hideMark/>
          </w:tcPr>
          <w:p w14:paraId="606C025A" w14:textId="77777777" w:rsidR="002C25F2" w:rsidRPr="002C25F2" w:rsidRDefault="002C25F2" w:rsidP="002C25F2">
            <w:pPr>
              <w:keepNext/>
              <w:tabs>
                <w:tab w:val="clear" w:pos="567"/>
              </w:tabs>
              <w:spacing w:line="240" w:lineRule="auto"/>
              <w:jc w:val="right"/>
              <w:rPr>
                <w:rFonts w:eastAsia="Times New Roman" w:cs="Open Sans Light"/>
                <w:sz w:val="16"/>
                <w:szCs w:val="16"/>
                <w:lang w:eastAsia="en-AU"/>
              </w:rPr>
            </w:pPr>
            <w:r w:rsidRPr="002C25F2">
              <w:rPr>
                <w:rFonts w:eastAsia="Times New Roman" w:cs="Open Sans Light"/>
                <w:sz w:val="16"/>
                <w:szCs w:val="16"/>
                <w:lang w:eastAsia="en-AU"/>
              </w:rPr>
              <w:t>35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auto" w:fill="auto"/>
            <w:vAlign w:val="bottom"/>
            <w:hideMark/>
          </w:tcPr>
          <w:p w14:paraId="2AA311E2" w14:textId="77777777" w:rsidR="002C25F2" w:rsidRPr="002C25F2" w:rsidRDefault="002C25F2" w:rsidP="002C25F2">
            <w:pPr>
              <w:keepNext/>
              <w:tabs>
                <w:tab w:val="clear" w:pos="567"/>
              </w:tabs>
              <w:spacing w:line="240" w:lineRule="auto"/>
              <w:jc w:val="right"/>
              <w:rPr>
                <w:rFonts w:eastAsia="Times New Roman" w:cs="Open Sans Light"/>
                <w:sz w:val="16"/>
                <w:szCs w:val="16"/>
                <w:lang w:eastAsia="en-AU"/>
              </w:rPr>
            </w:pPr>
            <w:r w:rsidRPr="002C25F2">
              <w:rPr>
                <w:rFonts w:eastAsia="Times New Roman" w:cs="Open Sans Light"/>
                <w:sz w:val="16"/>
                <w:szCs w:val="16"/>
                <w:lang w:eastAsia="en-AU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auto" w:fill="auto"/>
            <w:vAlign w:val="bottom"/>
            <w:hideMark/>
          </w:tcPr>
          <w:p w14:paraId="4CF1E71D" w14:textId="77777777" w:rsidR="002C25F2" w:rsidRPr="002C25F2" w:rsidRDefault="002C25F2" w:rsidP="002C25F2">
            <w:pPr>
              <w:keepNext/>
              <w:tabs>
                <w:tab w:val="clear" w:pos="567"/>
              </w:tabs>
              <w:spacing w:line="240" w:lineRule="auto"/>
              <w:jc w:val="right"/>
              <w:rPr>
                <w:rFonts w:eastAsia="Times New Roman" w:cs="Open Sans Light"/>
                <w:sz w:val="16"/>
                <w:szCs w:val="16"/>
                <w:lang w:eastAsia="en-AU"/>
              </w:rPr>
            </w:pPr>
            <w:r w:rsidRPr="002C25F2">
              <w:rPr>
                <w:rFonts w:eastAsia="Times New Roman" w:cs="Open Sans Light"/>
                <w:sz w:val="16"/>
                <w:szCs w:val="16"/>
                <w:lang w:eastAsia="en-AU"/>
              </w:rPr>
              <w:t>287</w:t>
            </w:r>
          </w:p>
        </w:tc>
      </w:tr>
      <w:tr w:rsidR="002C25F2" w:rsidRPr="002C25F2" w14:paraId="12CF5078" w14:textId="77777777" w:rsidTr="001B5072">
        <w:trPr>
          <w:trHeight w:val="315"/>
        </w:trPr>
        <w:tc>
          <w:tcPr>
            <w:tcW w:w="2660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000000" w:fill="D6E7F0"/>
            <w:vAlign w:val="bottom"/>
            <w:hideMark/>
          </w:tcPr>
          <w:p w14:paraId="589039ED" w14:textId="77777777" w:rsidR="002C25F2" w:rsidRPr="002C25F2" w:rsidRDefault="002C25F2" w:rsidP="002C25F2">
            <w:pPr>
              <w:keepNext/>
              <w:tabs>
                <w:tab w:val="clear" w:pos="567"/>
              </w:tabs>
              <w:spacing w:line="240" w:lineRule="auto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2C25F2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TOTAL REVENUE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000000" w:fill="D6E7F0"/>
            <w:vAlign w:val="bottom"/>
            <w:hideMark/>
          </w:tcPr>
          <w:p w14:paraId="300B1257" w14:textId="77777777" w:rsidR="002C25F2" w:rsidRPr="002C25F2" w:rsidRDefault="002C25F2" w:rsidP="002C25F2">
            <w:pPr>
              <w:keepNext/>
              <w:tabs>
                <w:tab w:val="clear" w:pos="567"/>
              </w:tabs>
              <w:spacing w:line="240" w:lineRule="auto"/>
              <w:jc w:val="right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2C25F2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-1,079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000000" w:fill="D6E7F0"/>
            <w:vAlign w:val="bottom"/>
            <w:hideMark/>
          </w:tcPr>
          <w:p w14:paraId="33CB53E5" w14:textId="77777777" w:rsidR="002C25F2" w:rsidRPr="002C25F2" w:rsidRDefault="002C25F2" w:rsidP="002C25F2">
            <w:pPr>
              <w:keepNext/>
              <w:tabs>
                <w:tab w:val="clear" w:pos="567"/>
              </w:tabs>
              <w:spacing w:line="240" w:lineRule="auto"/>
              <w:jc w:val="right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2C25F2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2,763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000000" w:fill="D6E7F0"/>
            <w:vAlign w:val="bottom"/>
            <w:hideMark/>
          </w:tcPr>
          <w:p w14:paraId="1A5E4C30" w14:textId="77777777" w:rsidR="002C25F2" w:rsidRPr="002C25F2" w:rsidRDefault="002C25F2" w:rsidP="002C25F2">
            <w:pPr>
              <w:keepNext/>
              <w:tabs>
                <w:tab w:val="clear" w:pos="567"/>
              </w:tabs>
              <w:spacing w:line="240" w:lineRule="auto"/>
              <w:jc w:val="right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2C25F2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276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000000" w:fill="D6E7F0"/>
            <w:vAlign w:val="bottom"/>
            <w:hideMark/>
          </w:tcPr>
          <w:p w14:paraId="2E9D98AB" w14:textId="77777777" w:rsidR="002C25F2" w:rsidRPr="002C25F2" w:rsidRDefault="002C25F2" w:rsidP="002C25F2">
            <w:pPr>
              <w:keepNext/>
              <w:tabs>
                <w:tab w:val="clear" w:pos="567"/>
              </w:tabs>
              <w:spacing w:line="240" w:lineRule="auto"/>
              <w:jc w:val="right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2C25F2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-5,149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000000" w:fill="D6E7F0"/>
            <w:vAlign w:val="bottom"/>
            <w:hideMark/>
          </w:tcPr>
          <w:p w14:paraId="6EF699AE" w14:textId="77777777" w:rsidR="002C25F2" w:rsidRPr="002C25F2" w:rsidRDefault="002C25F2" w:rsidP="002C25F2">
            <w:pPr>
              <w:keepNext/>
              <w:tabs>
                <w:tab w:val="clear" w:pos="567"/>
              </w:tabs>
              <w:spacing w:line="240" w:lineRule="auto"/>
              <w:jc w:val="right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2C25F2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2,057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000000" w:fill="D6E7F0"/>
            <w:vAlign w:val="bottom"/>
            <w:hideMark/>
          </w:tcPr>
          <w:p w14:paraId="0572A5F2" w14:textId="77777777" w:rsidR="002C25F2" w:rsidRPr="002C25F2" w:rsidRDefault="002C25F2" w:rsidP="002C25F2">
            <w:pPr>
              <w:keepNext/>
              <w:tabs>
                <w:tab w:val="clear" w:pos="567"/>
              </w:tabs>
              <w:spacing w:line="240" w:lineRule="auto"/>
              <w:jc w:val="right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2C25F2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755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000000" w:fill="D6E7F0"/>
            <w:vAlign w:val="bottom"/>
            <w:hideMark/>
          </w:tcPr>
          <w:p w14:paraId="1A54E09A" w14:textId="77777777" w:rsidR="002C25F2" w:rsidRPr="002C25F2" w:rsidRDefault="002C25F2" w:rsidP="002C25F2">
            <w:pPr>
              <w:keepNext/>
              <w:tabs>
                <w:tab w:val="clear" w:pos="567"/>
              </w:tabs>
              <w:spacing w:line="240" w:lineRule="auto"/>
              <w:jc w:val="right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2C25F2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376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000000" w:fill="D6E7F0"/>
            <w:vAlign w:val="bottom"/>
            <w:hideMark/>
          </w:tcPr>
          <w:p w14:paraId="45392373" w14:textId="77777777" w:rsidR="002C25F2" w:rsidRPr="002C25F2" w:rsidRDefault="002C25F2" w:rsidP="002C25F2">
            <w:pPr>
              <w:keepNext/>
              <w:tabs>
                <w:tab w:val="clear" w:pos="567"/>
              </w:tabs>
              <w:spacing w:line="240" w:lineRule="auto"/>
              <w:jc w:val="right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2C25F2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000000" w:fill="D6E7F0"/>
            <w:vAlign w:val="bottom"/>
            <w:hideMark/>
          </w:tcPr>
          <w:p w14:paraId="3C11D2C3" w14:textId="77777777" w:rsidR="002C25F2" w:rsidRPr="002C25F2" w:rsidRDefault="002C25F2" w:rsidP="002C25F2">
            <w:pPr>
              <w:keepNext/>
              <w:tabs>
                <w:tab w:val="clear" w:pos="567"/>
              </w:tabs>
              <w:spacing w:line="240" w:lineRule="auto"/>
              <w:jc w:val="right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2C25F2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6,229</w:t>
            </w:r>
          </w:p>
        </w:tc>
      </w:tr>
      <w:tr w:rsidR="002C25F2" w:rsidRPr="002C25F2" w14:paraId="070D5B51" w14:textId="77777777" w:rsidTr="001B5072">
        <w:trPr>
          <w:trHeight w:val="315"/>
        </w:trPr>
        <w:tc>
          <w:tcPr>
            <w:tcW w:w="9140" w:type="dxa"/>
            <w:gridSpan w:val="10"/>
            <w:tcBorders>
              <w:top w:val="single" w:sz="4" w:space="0" w:color="ADD6EA"/>
              <w:left w:val="nil"/>
              <w:bottom w:val="single" w:sz="4" w:space="0" w:color="ADD6EA"/>
              <w:right w:val="nil"/>
            </w:tcBorders>
            <w:shd w:val="clear" w:color="auto" w:fill="auto"/>
            <w:vAlign w:val="bottom"/>
            <w:hideMark/>
          </w:tcPr>
          <w:p w14:paraId="364EC5F7" w14:textId="77777777" w:rsidR="002C25F2" w:rsidRPr="002C25F2" w:rsidRDefault="002C25F2" w:rsidP="002C25F2">
            <w:pPr>
              <w:keepNext/>
              <w:tabs>
                <w:tab w:val="clear" w:pos="567"/>
              </w:tabs>
              <w:spacing w:line="240" w:lineRule="auto"/>
              <w:rPr>
                <w:rFonts w:ascii="Open Sans SemiBold" w:eastAsia="Times New Roman" w:hAnsi="Open Sans SemiBold" w:cs="Open Sans SemiBold"/>
                <w:sz w:val="16"/>
                <w:szCs w:val="16"/>
                <w:lang w:eastAsia="en-AU"/>
              </w:rPr>
            </w:pPr>
            <w:r w:rsidRPr="002C25F2">
              <w:rPr>
                <w:rFonts w:ascii="Open Sans SemiBold" w:eastAsia="Times New Roman" w:hAnsi="Open Sans SemiBold" w:cs="Open Sans SemiBold"/>
                <w:sz w:val="16"/>
                <w:szCs w:val="16"/>
                <w:lang w:eastAsia="en-AU"/>
              </w:rPr>
              <w:t>EFFECTS OF EXPENSE REQUIREMENTS</w:t>
            </w:r>
          </w:p>
        </w:tc>
      </w:tr>
      <w:tr w:rsidR="002C25F2" w:rsidRPr="002C25F2" w14:paraId="6241750E" w14:textId="77777777" w:rsidTr="001B5072">
        <w:trPr>
          <w:trHeight w:val="315"/>
        </w:trPr>
        <w:tc>
          <w:tcPr>
            <w:tcW w:w="2660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auto" w:fill="auto"/>
            <w:noWrap/>
            <w:vAlign w:val="bottom"/>
            <w:hideMark/>
          </w:tcPr>
          <w:p w14:paraId="2674E9F3" w14:textId="77777777" w:rsidR="002C25F2" w:rsidRPr="002C25F2" w:rsidRDefault="002C25F2" w:rsidP="002C25F2">
            <w:pPr>
              <w:keepNext/>
              <w:tabs>
                <w:tab w:val="clear" w:pos="567"/>
              </w:tabs>
              <w:spacing w:line="240" w:lineRule="auto"/>
              <w:rPr>
                <w:rFonts w:eastAsia="Times New Roman" w:cs="Open Sans Light"/>
                <w:sz w:val="16"/>
                <w:szCs w:val="16"/>
                <w:lang w:eastAsia="en-AU"/>
              </w:rPr>
            </w:pPr>
            <w:r w:rsidRPr="002C25F2">
              <w:rPr>
                <w:rFonts w:eastAsia="Times New Roman" w:cs="Open Sans Light"/>
                <w:sz w:val="16"/>
                <w:szCs w:val="16"/>
                <w:lang w:eastAsia="en-AU"/>
              </w:rPr>
              <w:t>Socio-demographic characteristics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auto" w:fill="auto"/>
            <w:noWrap/>
            <w:vAlign w:val="bottom"/>
            <w:hideMark/>
          </w:tcPr>
          <w:p w14:paraId="6E3FD99B" w14:textId="77777777" w:rsidR="002C25F2" w:rsidRPr="002C25F2" w:rsidRDefault="002C25F2" w:rsidP="002C25F2">
            <w:pPr>
              <w:keepNext/>
              <w:tabs>
                <w:tab w:val="clear" w:pos="567"/>
              </w:tabs>
              <w:spacing w:line="240" w:lineRule="auto"/>
              <w:rPr>
                <w:rFonts w:eastAsia="Times New Roman" w:cs="Open Sans Light"/>
                <w:sz w:val="16"/>
                <w:szCs w:val="16"/>
                <w:lang w:eastAsia="en-AU"/>
              </w:rPr>
            </w:pPr>
            <w:r w:rsidRPr="002C25F2">
              <w:rPr>
                <w:rFonts w:eastAsia="Times New Roman" w:cs="Open Sans Light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auto" w:fill="auto"/>
            <w:noWrap/>
            <w:vAlign w:val="bottom"/>
            <w:hideMark/>
          </w:tcPr>
          <w:p w14:paraId="228BF058" w14:textId="77777777" w:rsidR="002C25F2" w:rsidRPr="002C25F2" w:rsidRDefault="002C25F2" w:rsidP="002C25F2">
            <w:pPr>
              <w:keepNext/>
              <w:tabs>
                <w:tab w:val="clear" w:pos="567"/>
              </w:tabs>
              <w:spacing w:line="240" w:lineRule="auto"/>
              <w:rPr>
                <w:rFonts w:eastAsia="Times New Roman" w:cs="Open Sans Light"/>
                <w:sz w:val="16"/>
                <w:szCs w:val="16"/>
                <w:lang w:eastAsia="en-AU"/>
              </w:rPr>
            </w:pPr>
            <w:r w:rsidRPr="002C25F2">
              <w:rPr>
                <w:rFonts w:eastAsia="Times New Roman" w:cs="Open Sans Light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auto" w:fill="auto"/>
            <w:noWrap/>
            <w:vAlign w:val="bottom"/>
            <w:hideMark/>
          </w:tcPr>
          <w:p w14:paraId="6D901C22" w14:textId="77777777" w:rsidR="002C25F2" w:rsidRPr="002C25F2" w:rsidRDefault="002C25F2" w:rsidP="002C25F2">
            <w:pPr>
              <w:keepNext/>
              <w:tabs>
                <w:tab w:val="clear" w:pos="567"/>
              </w:tabs>
              <w:spacing w:line="240" w:lineRule="auto"/>
              <w:rPr>
                <w:rFonts w:eastAsia="Times New Roman" w:cs="Open Sans Light"/>
                <w:sz w:val="16"/>
                <w:szCs w:val="16"/>
                <w:lang w:eastAsia="en-AU"/>
              </w:rPr>
            </w:pPr>
            <w:r w:rsidRPr="002C25F2">
              <w:rPr>
                <w:rFonts w:eastAsia="Times New Roman" w:cs="Open Sans Light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auto" w:fill="auto"/>
            <w:noWrap/>
            <w:vAlign w:val="bottom"/>
            <w:hideMark/>
          </w:tcPr>
          <w:p w14:paraId="4C943F15" w14:textId="77777777" w:rsidR="002C25F2" w:rsidRPr="002C25F2" w:rsidRDefault="002C25F2" w:rsidP="002C25F2">
            <w:pPr>
              <w:keepNext/>
              <w:tabs>
                <w:tab w:val="clear" w:pos="567"/>
              </w:tabs>
              <w:spacing w:line="240" w:lineRule="auto"/>
              <w:rPr>
                <w:rFonts w:eastAsia="Times New Roman" w:cs="Open Sans Light"/>
                <w:sz w:val="16"/>
                <w:szCs w:val="16"/>
                <w:lang w:eastAsia="en-AU"/>
              </w:rPr>
            </w:pPr>
            <w:r w:rsidRPr="002C25F2">
              <w:rPr>
                <w:rFonts w:eastAsia="Times New Roman" w:cs="Open Sans Light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auto" w:fill="auto"/>
            <w:noWrap/>
            <w:vAlign w:val="bottom"/>
            <w:hideMark/>
          </w:tcPr>
          <w:p w14:paraId="6E44F6D9" w14:textId="77777777" w:rsidR="002C25F2" w:rsidRPr="002C25F2" w:rsidRDefault="002C25F2" w:rsidP="002C25F2">
            <w:pPr>
              <w:keepNext/>
              <w:tabs>
                <w:tab w:val="clear" w:pos="567"/>
              </w:tabs>
              <w:spacing w:line="240" w:lineRule="auto"/>
              <w:rPr>
                <w:rFonts w:eastAsia="Times New Roman" w:cs="Open Sans Light"/>
                <w:sz w:val="16"/>
                <w:szCs w:val="16"/>
                <w:lang w:eastAsia="en-AU"/>
              </w:rPr>
            </w:pPr>
            <w:r w:rsidRPr="002C25F2">
              <w:rPr>
                <w:rFonts w:eastAsia="Times New Roman" w:cs="Open Sans Light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auto" w:fill="auto"/>
            <w:noWrap/>
            <w:vAlign w:val="bottom"/>
            <w:hideMark/>
          </w:tcPr>
          <w:p w14:paraId="66BEC416" w14:textId="77777777" w:rsidR="002C25F2" w:rsidRPr="002C25F2" w:rsidRDefault="002C25F2" w:rsidP="002C25F2">
            <w:pPr>
              <w:keepNext/>
              <w:tabs>
                <w:tab w:val="clear" w:pos="567"/>
              </w:tabs>
              <w:spacing w:line="240" w:lineRule="auto"/>
              <w:rPr>
                <w:rFonts w:eastAsia="Times New Roman" w:cs="Open Sans Light"/>
                <w:sz w:val="16"/>
                <w:szCs w:val="16"/>
                <w:lang w:eastAsia="en-AU"/>
              </w:rPr>
            </w:pPr>
            <w:r w:rsidRPr="002C25F2">
              <w:rPr>
                <w:rFonts w:eastAsia="Times New Roman" w:cs="Open Sans Light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auto" w:fill="auto"/>
            <w:noWrap/>
            <w:vAlign w:val="bottom"/>
            <w:hideMark/>
          </w:tcPr>
          <w:p w14:paraId="3F757781" w14:textId="77777777" w:rsidR="002C25F2" w:rsidRPr="002C25F2" w:rsidRDefault="002C25F2" w:rsidP="002C25F2">
            <w:pPr>
              <w:keepNext/>
              <w:tabs>
                <w:tab w:val="clear" w:pos="567"/>
              </w:tabs>
              <w:spacing w:line="240" w:lineRule="auto"/>
              <w:rPr>
                <w:rFonts w:eastAsia="Times New Roman" w:cs="Open Sans Light"/>
                <w:sz w:val="16"/>
                <w:szCs w:val="16"/>
                <w:lang w:eastAsia="en-AU"/>
              </w:rPr>
            </w:pPr>
            <w:r w:rsidRPr="002C25F2">
              <w:rPr>
                <w:rFonts w:eastAsia="Times New Roman" w:cs="Open Sans Light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auto" w:fill="auto"/>
            <w:noWrap/>
            <w:vAlign w:val="bottom"/>
            <w:hideMark/>
          </w:tcPr>
          <w:p w14:paraId="18765ED7" w14:textId="77777777" w:rsidR="002C25F2" w:rsidRPr="002C25F2" w:rsidRDefault="002C25F2" w:rsidP="002C25F2">
            <w:pPr>
              <w:keepNext/>
              <w:tabs>
                <w:tab w:val="clear" w:pos="567"/>
              </w:tabs>
              <w:spacing w:line="240" w:lineRule="auto"/>
              <w:rPr>
                <w:rFonts w:eastAsia="Times New Roman" w:cs="Open Sans Light"/>
                <w:sz w:val="16"/>
                <w:szCs w:val="16"/>
                <w:lang w:eastAsia="en-AU"/>
              </w:rPr>
            </w:pPr>
            <w:r w:rsidRPr="002C25F2">
              <w:rPr>
                <w:rFonts w:eastAsia="Times New Roman" w:cs="Open Sans Light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auto" w:fill="auto"/>
            <w:noWrap/>
            <w:vAlign w:val="bottom"/>
            <w:hideMark/>
          </w:tcPr>
          <w:p w14:paraId="102122D1" w14:textId="77777777" w:rsidR="002C25F2" w:rsidRPr="002C25F2" w:rsidRDefault="002C25F2" w:rsidP="002C25F2">
            <w:pPr>
              <w:keepNext/>
              <w:tabs>
                <w:tab w:val="clear" w:pos="567"/>
              </w:tabs>
              <w:spacing w:line="240" w:lineRule="auto"/>
              <w:rPr>
                <w:rFonts w:eastAsia="Times New Roman" w:cs="Open Sans Light"/>
                <w:sz w:val="16"/>
                <w:szCs w:val="16"/>
                <w:lang w:eastAsia="en-AU"/>
              </w:rPr>
            </w:pPr>
            <w:r w:rsidRPr="002C25F2">
              <w:rPr>
                <w:rFonts w:eastAsia="Times New Roman" w:cs="Open Sans Light"/>
                <w:sz w:val="16"/>
                <w:szCs w:val="16"/>
                <w:lang w:eastAsia="en-AU"/>
              </w:rPr>
              <w:t> </w:t>
            </w:r>
          </w:p>
        </w:tc>
      </w:tr>
      <w:tr w:rsidR="002C25F2" w:rsidRPr="002C25F2" w14:paraId="4A7CC821" w14:textId="77777777" w:rsidTr="001B5072">
        <w:trPr>
          <w:trHeight w:val="315"/>
        </w:trPr>
        <w:tc>
          <w:tcPr>
            <w:tcW w:w="2660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auto" w:fill="auto"/>
            <w:vAlign w:val="bottom"/>
            <w:hideMark/>
          </w:tcPr>
          <w:p w14:paraId="04347EB8" w14:textId="77777777" w:rsidR="002C25F2" w:rsidRPr="002C25F2" w:rsidRDefault="002C25F2" w:rsidP="002C25F2">
            <w:pPr>
              <w:keepNext/>
              <w:tabs>
                <w:tab w:val="clear" w:pos="567"/>
              </w:tabs>
              <w:spacing w:line="240" w:lineRule="auto"/>
              <w:rPr>
                <w:rFonts w:eastAsia="Times New Roman" w:cs="Open Sans Light"/>
                <w:sz w:val="16"/>
                <w:szCs w:val="16"/>
                <w:lang w:eastAsia="en-AU"/>
              </w:rPr>
            </w:pPr>
            <w:r w:rsidRPr="002C25F2">
              <w:rPr>
                <w:rFonts w:eastAsia="Times New Roman" w:cs="Open Sans Light"/>
                <w:sz w:val="16"/>
                <w:szCs w:val="16"/>
                <w:lang w:eastAsia="en-AU"/>
              </w:rPr>
              <w:t>Population dispersion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auto" w:fill="auto"/>
            <w:vAlign w:val="bottom"/>
            <w:hideMark/>
          </w:tcPr>
          <w:p w14:paraId="6CEE0A25" w14:textId="77777777" w:rsidR="002C25F2" w:rsidRPr="002C25F2" w:rsidRDefault="002C25F2" w:rsidP="002C25F2">
            <w:pPr>
              <w:keepNext/>
              <w:tabs>
                <w:tab w:val="clear" w:pos="567"/>
              </w:tabs>
              <w:spacing w:line="240" w:lineRule="auto"/>
              <w:jc w:val="right"/>
              <w:rPr>
                <w:rFonts w:eastAsia="Times New Roman" w:cs="Open Sans Light"/>
                <w:sz w:val="16"/>
                <w:szCs w:val="16"/>
                <w:lang w:eastAsia="en-AU"/>
              </w:rPr>
            </w:pPr>
            <w:r w:rsidRPr="002C25F2">
              <w:rPr>
                <w:rFonts w:eastAsia="Times New Roman" w:cs="Open Sans Light"/>
                <w:sz w:val="16"/>
                <w:szCs w:val="16"/>
                <w:lang w:eastAsia="en-AU"/>
              </w:rPr>
              <w:t>-1,559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auto" w:fill="auto"/>
            <w:vAlign w:val="bottom"/>
            <w:hideMark/>
          </w:tcPr>
          <w:p w14:paraId="03081B37" w14:textId="77777777" w:rsidR="002C25F2" w:rsidRPr="002C25F2" w:rsidRDefault="002C25F2" w:rsidP="002C25F2">
            <w:pPr>
              <w:keepNext/>
              <w:tabs>
                <w:tab w:val="clear" w:pos="567"/>
              </w:tabs>
              <w:spacing w:line="240" w:lineRule="auto"/>
              <w:jc w:val="right"/>
              <w:rPr>
                <w:rFonts w:eastAsia="Times New Roman" w:cs="Open Sans Light"/>
                <w:sz w:val="16"/>
                <w:szCs w:val="16"/>
                <w:lang w:eastAsia="en-AU"/>
              </w:rPr>
            </w:pPr>
            <w:r w:rsidRPr="002C25F2">
              <w:rPr>
                <w:rFonts w:eastAsia="Times New Roman" w:cs="Open Sans Light"/>
                <w:sz w:val="16"/>
                <w:szCs w:val="16"/>
                <w:lang w:eastAsia="en-AU"/>
              </w:rPr>
              <w:t>-1,339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auto" w:fill="auto"/>
            <w:vAlign w:val="bottom"/>
            <w:hideMark/>
          </w:tcPr>
          <w:p w14:paraId="6908C480" w14:textId="77777777" w:rsidR="002C25F2" w:rsidRPr="002C25F2" w:rsidRDefault="002C25F2" w:rsidP="002C25F2">
            <w:pPr>
              <w:keepNext/>
              <w:tabs>
                <w:tab w:val="clear" w:pos="567"/>
              </w:tabs>
              <w:spacing w:line="240" w:lineRule="auto"/>
              <w:jc w:val="right"/>
              <w:rPr>
                <w:rFonts w:eastAsia="Times New Roman" w:cs="Open Sans Light"/>
                <w:sz w:val="16"/>
                <w:szCs w:val="16"/>
                <w:lang w:eastAsia="en-AU"/>
              </w:rPr>
            </w:pPr>
            <w:r w:rsidRPr="002C25F2">
              <w:rPr>
                <w:rFonts w:eastAsia="Times New Roman" w:cs="Open Sans Light"/>
                <w:sz w:val="16"/>
                <w:szCs w:val="16"/>
                <w:lang w:eastAsia="en-AU"/>
              </w:rPr>
              <w:t>824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auto" w:fill="auto"/>
            <w:vAlign w:val="bottom"/>
            <w:hideMark/>
          </w:tcPr>
          <w:p w14:paraId="10675333" w14:textId="77777777" w:rsidR="002C25F2" w:rsidRPr="002C25F2" w:rsidRDefault="002C25F2" w:rsidP="002C25F2">
            <w:pPr>
              <w:keepNext/>
              <w:tabs>
                <w:tab w:val="clear" w:pos="567"/>
              </w:tabs>
              <w:spacing w:line="240" w:lineRule="auto"/>
              <w:jc w:val="right"/>
              <w:rPr>
                <w:rFonts w:eastAsia="Times New Roman" w:cs="Open Sans Light"/>
                <w:sz w:val="16"/>
                <w:szCs w:val="16"/>
                <w:lang w:eastAsia="en-AU"/>
              </w:rPr>
            </w:pPr>
            <w:r w:rsidRPr="002C25F2">
              <w:rPr>
                <w:rFonts w:eastAsia="Times New Roman" w:cs="Open Sans Light"/>
                <w:sz w:val="16"/>
                <w:szCs w:val="16"/>
                <w:lang w:eastAsia="en-AU"/>
              </w:rPr>
              <w:t>547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auto" w:fill="auto"/>
            <w:vAlign w:val="bottom"/>
            <w:hideMark/>
          </w:tcPr>
          <w:p w14:paraId="66EF76D5" w14:textId="77777777" w:rsidR="002C25F2" w:rsidRPr="002C25F2" w:rsidRDefault="002C25F2" w:rsidP="002C25F2">
            <w:pPr>
              <w:keepNext/>
              <w:tabs>
                <w:tab w:val="clear" w:pos="567"/>
              </w:tabs>
              <w:spacing w:line="240" w:lineRule="auto"/>
              <w:jc w:val="right"/>
              <w:rPr>
                <w:rFonts w:eastAsia="Times New Roman" w:cs="Open Sans Light"/>
                <w:sz w:val="16"/>
                <w:szCs w:val="16"/>
                <w:lang w:eastAsia="en-AU"/>
              </w:rPr>
            </w:pPr>
            <w:r w:rsidRPr="002C25F2">
              <w:rPr>
                <w:rFonts w:eastAsia="Times New Roman" w:cs="Open Sans Light"/>
                <w:sz w:val="16"/>
                <w:szCs w:val="16"/>
                <w:lang w:eastAsia="en-AU"/>
              </w:rPr>
              <w:t>86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auto" w:fill="auto"/>
            <w:vAlign w:val="bottom"/>
            <w:hideMark/>
          </w:tcPr>
          <w:p w14:paraId="0BAEC923" w14:textId="77777777" w:rsidR="002C25F2" w:rsidRPr="002C25F2" w:rsidRDefault="002C25F2" w:rsidP="002C25F2">
            <w:pPr>
              <w:keepNext/>
              <w:tabs>
                <w:tab w:val="clear" w:pos="567"/>
              </w:tabs>
              <w:spacing w:line="240" w:lineRule="auto"/>
              <w:jc w:val="right"/>
              <w:rPr>
                <w:rFonts w:eastAsia="Times New Roman" w:cs="Open Sans Light"/>
                <w:sz w:val="16"/>
                <w:szCs w:val="16"/>
                <w:lang w:eastAsia="en-AU"/>
              </w:rPr>
            </w:pPr>
            <w:r w:rsidRPr="002C25F2">
              <w:rPr>
                <w:rFonts w:eastAsia="Times New Roman" w:cs="Open Sans Light"/>
                <w:sz w:val="16"/>
                <w:szCs w:val="16"/>
                <w:lang w:eastAsia="en-AU"/>
              </w:rPr>
              <w:t>452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auto" w:fill="auto"/>
            <w:vAlign w:val="bottom"/>
            <w:hideMark/>
          </w:tcPr>
          <w:p w14:paraId="4B66EB94" w14:textId="77777777" w:rsidR="002C25F2" w:rsidRPr="002C25F2" w:rsidRDefault="002C25F2" w:rsidP="002C25F2">
            <w:pPr>
              <w:keepNext/>
              <w:tabs>
                <w:tab w:val="clear" w:pos="567"/>
              </w:tabs>
              <w:spacing w:line="240" w:lineRule="auto"/>
              <w:jc w:val="right"/>
              <w:rPr>
                <w:rFonts w:eastAsia="Times New Roman" w:cs="Open Sans Light"/>
                <w:sz w:val="16"/>
                <w:szCs w:val="16"/>
                <w:lang w:eastAsia="en-AU"/>
              </w:rPr>
            </w:pPr>
            <w:r w:rsidRPr="002C25F2">
              <w:rPr>
                <w:rFonts w:eastAsia="Times New Roman" w:cs="Open Sans Light"/>
                <w:sz w:val="16"/>
                <w:szCs w:val="16"/>
                <w:lang w:eastAsia="en-AU"/>
              </w:rPr>
              <w:t>-211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auto" w:fill="auto"/>
            <w:vAlign w:val="bottom"/>
            <w:hideMark/>
          </w:tcPr>
          <w:p w14:paraId="46685885" w14:textId="77777777" w:rsidR="002C25F2" w:rsidRPr="002C25F2" w:rsidRDefault="002C25F2" w:rsidP="002C25F2">
            <w:pPr>
              <w:keepNext/>
              <w:tabs>
                <w:tab w:val="clear" w:pos="567"/>
              </w:tabs>
              <w:spacing w:line="240" w:lineRule="auto"/>
              <w:jc w:val="right"/>
              <w:rPr>
                <w:rFonts w:eastAsia="Times New Roman" w:cs="Open Sans Light"/>
                <w:sz w:val="16"/>
                <w:szCs w:val="16"/>
                <w:lang w:eastAsia="en-AU"/>
              </w:rPr>
            </w:pPr>
            <w:r w:rsidRPr="002C25F2">
              <w:rPr>
                <w:rFonts w:eastAsia="Times New Roman" w:cs="Open Sans Light"/>
                <w:sz w:val="16"/>
                <w:szCs w:val="16"/>
                <w:lang w:eastAsia="en-AU"/>
              </w:rPr>
              <w:t>1,199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auto" w:fill="auto"/>
            <w:vAlign w:val="bottom"/>
            <w:hideMark/>
          </w:tcPr>
          <w:p w14:paraId="2C18B24C" w14:textId="77777777" w:rsidR="002C25F2" w:rsidRPr="002C25F2" w:rsidRDefault="002C25F2" w:rsidP="002C25F2">
            <w:pPr>
              <w:keepNext/>
              <w:tabs>
                <w:tab w:val="clear" w:pos="567"/>
              </w:tabs>
              <w:spacing w:line="240" w:lineRule="auto"/>
              <w:jc w:val="right"/>
              <w:rPr>
                <w:rFonts w:eastAsia="Times New Roman" w:cs="Open Sans Light"/>
                <w:sz w:val="16"/>
                <w:szCs w:val="16"/>
                <w:lang w:eastAsia="en-AU"/>
              </w:rPr>
            </w:pPr>
            <w:r w:rsidRPr="002C25F2">
              <w:rPr>
                <w:rFonts w:eastAsia="Times New Roman" w:cs="Open Sans Light"/>
                <w:sz w:val="16"/>
                <w:szCs w:val="16"/>
                <w:lang w:eastAsia="en-AU"/>
              </w:rPr>
              <w:t>3,108</w:t>
            </w:r>
          </w:p>
        </w:tc>
      </w:tr>
      <w:tr w:rsidR="002C25F2" w:rsidRPr="002C25F2" w14:paraId="586D595A" w14:textId="77777777" w:rsidTr="001B5072">
        <w:trPr>
          <w:trHeight w:val="315"/>
        </w:trPr>
        <w:tc>
          <w:tcPr>
            <w:tcW w:w="2660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auto" w:fill="auto"/>
            <w:vAlign w:val="bottom"/>
            <w:hideMark/>
          </w:tcPr>
          <w:p w14:paraId="30166E82" w14:textId="77777777" w:rsidR="002C25F2" w:rsidRPr="002C25F2" w:rsidRDefault="002C25F2" w:rsidP="002C25F2">
            <w:pPr>
              <w:keepNext/>
              <w:tabs>
                <w:tab w:val="clear" w:pos="567"/>
              </w:tabs>
              <w:spacing w:line="240" w:lineRule="auto"/>
              <w:rPr>
                <w:rFonts w:eastAsia="Times New Roman" w:cs="Open Sans Light"/>
                <w:sz w:val="16"/>
                <w:szCs w:val="16"/>
                <w:lang w:eastAsia="en-AU"/>
              </w:rPr>
            </w:pPr>
            <w:r w:rsidRPr="002C25F2">
              <w:rPr>
                <w:rFonts w:eastAsia="Times New Roman" w:cs="Open Sans Light"/>
                <w:sz w:val="16"/>
                <w:szCs w:val="16"/>
                <w:lang w:eastAsia="en-AU"/>
              </w:rPr>
              <w:t>Indigenous status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auto" w:fill="auto"/>
            <w:vAlign w:val="bottom"/>
            <w:hideMark/>
          </w:tcPr>
          <w:p w14:paraId="679A46DE" w14:textId="77777777" w:rsidR="002C25F2" w:rsidRPr="002C25F2" w:rsidRDefault="002C25F2" w:rsidP="002C25F2">
            <w:pPr>
              <w:keepNext/>
              <w:tabs>
                <w:tab w:val="clear" w:pos="567"/>
              </w:tabs>
              <w:spacing w:line="240" w:lineRule="auto"/>
              <w:jc w:val="right"/>
              <w:rPr>
                <w:rFonts w:eastAsia="Times New Roman" w:cs="Open Sans Light"/>
                <w:sz w:val="16"/>
                <w:szCs w:val="16"/>
                <w:lang w:eastAsia="en-AU"/>
              </w:rPr>
            </w:pPr>
            <w:r w:rsidRPr="002C25F2">
              <w:rPr>
                <w:rFonts w:eastAsia="Times New Roman" w:cs="Open Sans Light"/>
                <w:sz w:val="16"/>
                <w:szCs w:val="16"/>
                <w:lang w:eastAsia="en-AU"/>
              </w:rPr>
              <w:t>114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auto" w:fill="auto"/>
            <w:vAlign w:val="bottom"/>
            <w:hideMark/>
          </w:tcPr>
          <w:p w14:paraId="249DA418" w14:textId="77777777" w:rsidR="002C25F2" w:rsidRPr="002C25F2" w:rsidRDefault="002C25F2" w:rsidP="002C25F2">
            <w:pPr>
              <w:keepNext/>
              <w:tabs>
                <w:tab w:val="clear" w:pos="567"/>
              </w:tabs>
              <w:spacing w:line="240" w:lineRule="auto"/>
              <w:jc w:val="right"/>
              <w:rPr>
                <w:rFonts w:eastAsia="Times New Roman" w:cs="Open Sans Light"/>
                <w:sz w:val="16"/>
                <w:szCs w:val="16"/>
                <w:lang w:eastAsia="en-AU"/>
              </w:rPr>
            </w:pPr>
            <w:r w:rsidRPr="002C25F2">
              <w:rPr>
                <w:rFonts w:eastAsia="Times New Roman" w:cs="Open Sans Light"/>
                <w:sz w:val="16"/>
                <w:szCs w:val="16"/>
                <w:lang w:eastAsia="en-AU"/>
              </w:rPr>
              <w:t>-1,802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auto" w:fill="auto"/>
            <w:vAlign w:val="bottom"/>
            <w:hideMark/>
          </w:tcPr>
          <w:p w14:paraId="4EACE058" w14:textId="77777777" w:rsidR="002C25F2" w:rsidRPr="002C25F2" w:rsidRDefault="002C25F2" w:rsidP="002C25F2">
            <w:pPr>
              <w:keepNext/>
              <w:tabs>
                <w:tab w:val="clear" w:pos="567"/>
              </w:tabs>
              <w:spacing w:line="240" w:lineRule="auto"/>
              <w:jc w:val="right"/>
              <w:rPr>
                <w:rFonts w:eastAsia="Times New Roman" w:cs="Open Sans Light"/>
                <w:sz w:val="16"/>
                <w:szCs w:val="16"/>
                <w:lang w:eastAsia="en-AU"/>
              </w:rPr>
            </w:pPr>
            <w:r w:rsidRPr="002C25F2">
              <w:rPr>
                <w:rFonts w:eastAsia="Times New Roman" w:cs="Open Sans Light"/>
                <w:sz w:val="16"/>
                <w:szCs w:val="16"/>
                <w:lang w:eastAsia="en-AU"/>
              </w:rPr>
              <w:t>782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auto" w:fill="auto"/>
            <w:vAlign w:val="bottom"/>
            <w:hideMark/>
          </w:tcPr>
          <w:p w14:paraId="59276F93" w14:textId="77777777" w:rsidR="002C25F2" w:rsidRPr="002C25F2" w:rsidRDefault="002C25F2" w:rsidP="002C25F2">
            <w:pPr>
              <w:keepNext/>
              <w:tabs>
                <w:tab w:val="clear" w:pos="567"/>
              </w:tabs>
              <w:spacing w:line="240" w:lineRule="auto"/>
              <w:jc w:val="right"/>
              <w:rPr>
                <w:rFonts w:eastAsia="Times New Roman" w:cs="Open Sans Light"/>
                <w:sz w:val="16"/>
                <w:szCs w:val="16"/>
                <w:lang w:eastAsia="en-AU"/>
              </w:rPr>
            </w:pPr>
            <w:r w:rsidRPr="002C25F2">
              <w:rPr>
                <w:rFonts w:eastAsia="Times New Roman" w:cs="Open Sans Light"/>
                <w:sz w:val="16"/>
                <w:szCs w:val="16"/>
                <w:lang w:eastAsia="en-AU"/>
              </w:rPr>
              <w:t>208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auto" w:fill="auto"/>
            <w:vAlign w:val="bottom"/>
            <w:hideMark/>
          </w:tcPr>
          <w:p w14:paraId="58F051E9" w14:textId="77777777" w:rsidR="002C25F2" w:rsidRPr="002C25F2" w:rsidRDefault="002C25F2" w:rsidP="002C25F2">
            <w:pPr>
              <w:keepNext/>
              <w:tabs>
                <w:tab w:val="clear" w:pos="567"/>
              </w:tabs>
              <w:spacing w:line="240" w:lineRule="auto"/>
              <w:jc w:val="right"/>
              <w:rPr>
                <w:rFonts w:eastAsia="Times New Roman" w:cs="Open Sans Light"/>
                <w:sz w:val="16"/>
                <w:szCs w:val="16"/>
                <w:lang w:eastAsia="en-AU"/>
              </w:rPr>
            </w:pPr>
            <w:r w:rsidRPr="002C25F2">
              <w:rPr>
                <w:rFonts w:eastAsia="Times New Roman" w:cs="Open Sans Light"/>
                <w:sz w:val="16"/>
                <w:szCs w:val="16"/>
                <w:lang w:eastAsia="en-AU"/>
              </w:rPr>
              <w:t>-155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auto" w:fill="auto"/>
            <w:vAlign w:val="bottom"/>
            <w:hideMark/>
          </w:tcPr>
          <w:p w14:paraId="16834CFC" w14:textId="77777777" w:rsidR="002C25F2" w:rsidRPr="002C25F2" w:rsidRDefault="002C25F2" w:rsidP="002C25F2">
            <w:pPr>
              <w:keepNext/>
              <w:tabs>
                <w:tab w:val="clear" w:pos="567"/>
              </w:tabs>
              <w:spacing w:line="240" w:lineRule="auto"/>
              <w:jc w:val="right"/>
              <w:rPr>
                <w:rFonts w:eastAsia="Times New Roman" w:cs="Open Sans Light"/>
                <w:sz w:val="16"/>
                <w:szCs w:val="16"/>
                <w:lang w:eastAsia="en-AU"/>
              </w:rPr>
            </w:pPr>
            <w:r w:rsidRPr="002C25F2">
              <w:rPr>
                <w:rFonts w:eastAsia="Times New Roman" w:cs="Open Sans Light"/>
                <w:sz w:val="16"/>
                <w:szCs w:val="16"/>
                <w:lang w:eastAsia="en-AU"/>
              </w:rPr>
              <w:t>131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auto" w:fill="auto"/>
            <w:vAlign w:val="bottom"/>
            <w:hideMark/>
          </w:tcPr>
          <w:p w14:paraId="462D2442" w14:textId="77777777" w:rsidR="002C25F2" w:rsidRPr="002C25F2" w:rsidRDefault="002C25F2" w:rsidP="002C25F2">
            <w:pPr>
              <w:keepNext/>
              <w:tabs>
                <w:tab w:val="clear" w:pos="567"/>
              </w:tabs>
              <w:spacing w:line="240" w:lineRule="auto"/>
              <w:jc w:val="right"/>
              <w:rPr>
                <w:rFonts w:eastAsia="Times New Roman" w:cs="Open Sans Light"/>
                <w:sz w:val="16"/>
                <w:szCs w:val="16"/>
                <w:lang w:eastAsia="en-AU"/>
              </w:rPr>
            </w:pPr>
            <w:r w:rsidRPr="002C25F2">
              <w:rPr>
                <w:rFonts w:eastAsia="Times New Roman" w:cs="Open Sans Light"/>
                <w:sz w:val="16"/>
                <w:szCs w:val="16"/>
                <w:lang w:eastAsia="en-AU"/>
              </w:rPr>
              <w:t>-71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auto" w:fill="auto"/>
            <w:vAlign w:val="bottom"/>
            <w:hideMark/>
          </w:tcPr>
          <w:p w14:paraId="4CD4C11B" w14:textId="77777777" w:rsidR="002C25F2" w:rsidRPr="002C25F2" w:rsidRDefault="002C25F2" w:rsidP="002C25F2">
            <w:pPr>
              <w:keepNext/>
              <w:tabs>
                <w:tab w:val="clear" w:pos="567"/>
              </w:tabs>
              <w:spacing w:line="240" w:lineRule="auto"/>
              <w:jc w:val="right"/>
              <w:rPr>
                <w:rFonts w:eastAsia="Times New Roman" w:cs="Open Sans Light"/>
                <w:sz w:val="16"/>
                <w:szCs w:val="16"/>
                <w:lang w:eastAsia="en-AU"/>
              </w:rPr>
            </w:pPr>
            <w:r w:rsidRPr="002C25F2">
              <w:rPr>
                <w:rFonts w:eastAsia="Times New Roman" w:cs="Open Sans Light"/>
                <w:sz w:val="16"/>
                <w:szCs w:val="16"/>
                <w:lang w:eastAsia="en-AU"/>
              </w:rPr>
              <w:t>792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auto" w:fill="auto"/>
            <w:vAlign w:val="bottom"/>
            <w:hideMark/>
          </w:tcPr>
          <w:p w14:paraId="19010D71" w14:textId="77777777" w:rsidR="002C25F2" w:rsidRPr="002C25F2" w:rsidRDefault="002C25F2" w:rsidP="002C25F2">
            <w:pPr>
              <w:keepNext/>
              <w:tabs>
                <w:tab w:val="clear" w:pos="567"/>
              </w:tabs>
              <w:spacing w:line="240" w:lineRule="auto"/>
              <w:jc w:val="right"/>
              <w:rPr>
                <w:rFonts w:eastAsia="Times New Roman" w:cs="Open Sans Light"/>
                <w:sz w:val="16"/>
                <w:szCs w:val="16"/>
                <w:lang w:eastAsia="en-AU"/>
              </w:rPr>
            </w:pPr>
            <w:r w:rsidRPr="002C25F2">
              <w:rPr>
                <w:rFonts w:eastAsia="Times New Roman" w:cs="Open Sans Light"/>
                <w:sz w:val="16"/>
                <w:szCs w:val="16"/>
                <w:lang w:eastAsia="en-AU"/>
              </w:rPr>
              <w:t>2,028</w:t>
            </w:r>
          </w:p>
        </w:tc>
      </w:tr>
      <w:tr w:rsidR="002C25F2" w:rsidRPr="002C25F2" w14:paraId="53FC5F66" w14:textId="77777777" w:rsidTr="001B5072">
        <w:trPr>
          <w:trHeight w:val="315"/>
        </w:trPr>
        <w:tc>
          <w:tcPr>
            <w:tcW w:w="2660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auto" w:fill="auto"/>
            <w:vAlign w:val="bottom"/>
            <w:hideMark/>
          </w:tcPr>
          <w:p w14:paraId="7609BF76" w14:textId="77777777" w:rsidR="002C25F2" w:rsidRPr="002C25F2" w:rsidRDefault="002C25F2" w:rsidP="002C25F2">
            <w:pPr>
              <w:keepNext/>
              <w:tabs>
                <w:tab w:val="clear" w:pos="567"/>
              </w:tabs>
              <w:spacing w:line="240" w:lineRule="auto"/>
              <w:rPr>
                <w:rFonts w:eastAsia="Times New Roman" w:cs="Open Sans Light"/>
                <w:sz w:val="16"/>
                <w:szCs w:val="16"/>
                <w:lang w:eastAsia="en-AU"/>
              </w:rPr>
            </w:pPr>
            <w:r w:rsidRPr="002C25F2">
              <w:rPr>
                <w:rFonts w:eastAsia="Times New Roman" w:cs="Open Sans Light"/>
                <w:sz w:val="16"/>
                <w:szCs w:val="16"/>
                <w:lang w:eastAsia="en-AU"/>
              </w:rPr>
              <w:t>Non-Indigenous disadvantage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auto" w:fill="auto"/>
            <w:vAlign w:val="bottom"/>
            <w:hideMark/>
          </w:tcPr>
          <w:p w14:paraId="6F03160A" w14:textId="77777777" w:rsidR="002C25F2" w:rsidRPr="002C25F2" w:rsidRDefault="002C25F2" w:rsidP="002C25F2">
            <w:pPr>
              <w:keepNext/>
              <w:tabs>
                <w:tab w:val="clear" w:pos="567"/>
              </w:tabs>
              <w:spacing w:line="240" w:lineRule="auto"/>
              <w:jc w:val="right"/>
              <w:rPr>
                <w:rFonts w:eastAsia="Times New Roman" w:cs="Open Sans Light"/>
                <w:sz w:val="16"/>
                <w:szCs w:val="16"/>
                <w:lang w:eastAsia="en-AU"/>
              </w:rPr>
            </w:pPr>
            <w:r w:rsidRPr="002C25F2">
              <w:rPr>
                <w:rFonts w:eastAsia="Times New Roman" w:cs="Open Sans Light"/>
                <w:sz w:val="16"/>
                <w:szCs w:val="16"/>
                <w:lang w:eastAsia="en-AU"/>
              </w:rPr>
              <w:t>24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auto" w:fill="auto"/>
            <w:vAlign w:val="bottom"/>
            <w:hideMark/>
          </w:tcPr>
          <w:p w14:paraId="6471675B" w14:textId="77777777" w:rsidR="002C25F2" w:rsidRPr="002C25F2" w:rsidRDefault="002C25F2" w:rsidP="002C25F2">
            <w:pPr>
              <w:keepNext/>
              <w:tabs>
                <w:tab w:val="clear" w:pos="567"/>
              </w:tabs>
              <w:spacing w:line="240" w:lineRule="auto"/>
              <w:jc w:val="right"/>
              <w:rPr>
                <w:rFonts w:eastAsia="Times New Roman" w:cs="Open Sans Light"/>
                <w:sz w:val="16"/>
                <w:szCs w:val="16"/>
                <w:lang w:eastAsia="en-AU"/>
              </w:rPr>
            </w:pPr>
            <w:r w:rsidRPr="002C25F2">
              <w:rPr>
                <w:rFonts w:eastAsia="Times New Roman" w:cs="Open Sans Light"/>
                <w:sz w:val="16"/>
                <w:szCs w:val="16"/>
                <w:lang w:eastAsia="en-AU"/>
              </w:rPr>
              <w:t>-172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auto" w:fill="auto"/>
            <w:vAlign w:val="bottom"/>
            <w:hideMark/>
          </w:tcPr>
          <w:p w14:paraId="6D96F349" w14:textId="77777777" w:rsidR="002C25F2" w:rsidRPr="002C25F2" w:rsidRDefault="002C25F2" w:rsidP="002C25F2">
            <w:pPr>
              <w:keepNext/>
              <w:tabs>
                <w:tab w:val="clear" w:pos="567"/>
              </w:tabs>
              <w:spacing w:line="240" w:lineRule="auto"/>
              <w:jc w:val="right"/>
              <w:rPr>
                <w:rFonts w:eastAsia="Times New Roman" w:cs="Open Sans Light"/>
                <w:sz w:val="16"/>
                <w:szCs w:val="16"/>
                <w:lang w:eastAsia="en-AU"/>
              </w:rPr>
            </w:pPr>
            <w:r w:rsidRPr="002C25F2">
              <w:rPr>
                <w:rFonts w:eastAsia="Times New Roman" w:cs="Open Sans Light"/>
                <w:sz w:val="16"/>
                <w:szCs w:val="16"/>
                <w:lang w:eastAsia="en-AU"/>
              </w:rPr>
              <w:t>196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auto" w:fill="auto"/>
            <w:vAlign w:val="bottom"/>
            <w:hideMark/>
          </w:tcPr>
          <w:p w14:paraId="53002091" w14:textId="77777777" w:rsidR="002C25F2" w:rsidRPr="002C25F2" w:rsidRDefault="002C25F2" w:rsidP="002C25F2">
            <w:pPr>
              <w:keepNext/>
              <w:tabs>
                <w:tab w:val="clear" w:pos="567"/>
              </w:tabs>
              <w:spacing w:line="240" w:lineRule="auto"/>
              <w:jc w:val="right"/>
              <w:rPr>
                <w:rFonts w:eastAsia="Times New Roman" w:cs="Open Sans Light"/>
                <w:sz w:val="16"/>
                <w:szCs w:val="16"/>
                <w:lang w:eastAsia="en-AU"/>
              </w:rPr>
            </w:pPr>
            <w:r w:rsidRPr="002C25F2">
              <w:rPr>
                <w:rFonts w:eastAsia="Times New Roman" w:cs="Open Sans Light"/>
                <w:sz w:val="16"/>
                <w:szCs w:val="16"/>
                <w:lang w:eastAsia="en-AU"/>
              </w:rPr>
              <w:t>-188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auto" w:fill="auto"/>
            <w:vAlign w:val="bottom"/>
            <w:hideMark/>
          </w:tcPr>
          <w:p w14:paraId="46EE4DFE" w14:textId="77777777" w:rsidR="002C25F2" w:rsidRPr="002C25F2" w:rsidRDefault="002C25F2" w:rsidP="002C25F2">
            <w:pPr>
              <w:keepNext/>
              <w:tabs>
                <w:tab w:val="clear" w:pos="567"/>
              </w:tabs>
              <w:spacing w:line="240" w:lineRule="auto"/>
              <w:jc w:val="right"/>
              <w:rPr>
                <w:rFonts w:eastAsia="Times New Roman" w:cs="Open Sans Light"/>
                <w:sz w:val="16"/>
                <w:szCs w:val="16"/>
                <w:lang w:eastAsia="en-AU"/>
              </w:rPr>
            </w:pPr>
            <w:r w:rsidRPr="002C25F2">
              <w:rPr>
                <w:rFonts w:eastAsia="Times New Roman" w:cs="Open Sans Light"/>
                <w:sz w:val="16"/>
                <w:szCs w:val="16"/>
                <w:lang w:eastAsia="en-AU"/>
              </w:rPr>
              <w:t>360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auto" w:fill="auto"/>
            <w:vAlign w:val="bottom"/>
            <w:hideMark/>
          </w:tcPr>
          <w:p w14:paraId="3F32D1A8" w14:textId="77777777" w:rsidR="002C25F2" w:rsidRPr="002C25F2" w:rsidRDefault="002C25F2" w:rsidP="002C25F2">
            <w:pPr>
              <w:keepNext/>
              <w:tabs>
                <w:tab w:val="clear" w:pos="567"/>
              </w:tabs>
              <w:spacing w:line="240" w:lineRule="auto"/>
              <w:jc w:val="right"/>
              <w:rPr>
                <w:rFonts w:eastAsia="Times New Roman" w:cs="Open Sans Light"/>
                <w:sz w:val="16"/>
                <w:szCs w:val="16"/>
                <w:lang w:eastAsia="en-AU"/>
              </w:rPr>
            </w:pPr>
            <w:r w:rsidRPr="002C25F2">
              <w:rPr>
                <w:rFonts w:eastAsia="Times New Roman" w:cs="Open Sans Light"/>
                <w:sz w:val="16"/>
                <w:szCs w:val="16"/>
                <w:lang w:eastAsia="en-AU"/>
              </w:rPr>
              <w:t>134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auto" w:fill="auto"/>
            <w:vAlign w:val="bottom"/>
            <w:hideMark/>
          </w:tcPr>
          <w:p w14:paraId="1BA1DF58" w14:textId="77777777" w:rsidR="002C25F2" w:rsidRPr="002C25F2" w:rsidRDefault="002C25F2" w:rsidP="002C25F2">
            <w:pPr>
              <w:keepNext/>
              <w:tabs>
                <w:tab w:val="clear" w:pos="567"/>
              </w:tabs>
              <w:spacing w:line="240" w:lineRule="auto"/>
              <w:jc w:val="right"/>
              <w:rPr>
                <w:rFonts w:eastAsia="Times New Roman" w:cs="Open Sans Light"/>
                <w:sz w:val="16"/>
                <w:szCs w:val="16"/>
                <w:lang w:eastAsia="en-AU"/>
              </w:rPr>
            </w:pPr>
            <w:r w:rsidRPr="002C25F2">
              <w:rPr>
                <w:rFonts w:eastAsia="Times New Roman" w:cs="Open Sans Light"/>
                <w:sz w:val="16"/>
                <w:szCs w:val="16"/>
                <w:lang w:eastAsia="en-AU"/>
              </w:rPr>
              <w:t>-247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auto" w:fill="auto"/>
            <w:vAlign w:val="bottom"/>
            <w:hideMark/>
          </w:tcPr>
          <w:p w14:paraId="2C01E71F" w14:textId="77777777" w:rsidR="002C25F2" w:rsidRPr="002C25F2" w:rsidRDefault="002C25F2" w:rsidP="002C25F2">
            <w:pPr>
              <w:keepNext/>
              <w:tabs>
                <w:tab w:val="clear" w:pos="567"/>
              </w:tabs>
              <w:spacing w:line="240" w:lineRule="auto"/>
              <w:jc w:val="right"/>
              <w:rPr>
                <w:rFonts w:eastAsia="Times New Roman" w:cs="Open Sans Light"/>
                <w:sz w:val="16"/>
                <w:szCs w:val="16"/>
                <w:lang w:eastAsia="en-AU"/>
              </w:rPr>
            </w:pPr>
            <w:r w:rsidRPr="002C25F2">
              <w:rPr>
                <w:rFonts w:eastAsia="Times New Roman" w:cs="Open Sans Light"/>
                <w:sz w:val="16"/>
                <w:szCs w:val="16"/>
                <w:lang w:eastAsia="en-AU"/>
              </w:rPr>
              <w:t>-107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auto" w:fill="auto"/>
            <w:vAlign w:val="bottom"/>
            <w:hideMark/>
          </w:tcPr>
          <w:p w14:paraId="600C53EC" w14:textId="77777777" w:rsidR="002C25F2" w:rsidRPr="002C25F2" w:rsidRDefault="002C25F2" w:rsidP="002C25F2">
            <w:pPr>
              <w:keepNext/>
              <w:tabs>
                <w:tab w:val="clear" w:pos="567"/>
              </w:tabs>
              <w:spacing w:line="240" w:lineRule="auto"/>
              <w:jc w:val="right"/>
              <w:rPr>
                <w:rFonts w:eastAsia="Times New Roman" w:cs="Open Sans Light"/>
                <w:sz w:val="16"/>
                <w:szCs w:val="16"/>
                <w:lang w:eastAsia="en-AU"/>
              </w:rPr>
            </w:pPr>
            <w:r w:rsidRPr="002C25F2">
              <w:rPr>
                <w:rFonts w:eastAsia="Times New Roman" w:cs="Open Sans Light"/>
                <w:sz w:val="16"/>
                <w:szCs w:val="16"/>
                <w:lang w:eastAsia="en-AU"/>
              </w:rPr>
              <w:t>714</w:t>
            </w:r>
          </w:p>
        </w:tc>
      </w:tr>
      <w:tr w:rsidR="002C25F2" w:rsidRPr="002C25F2" w14:paraId="6D17C649" w14:textId="77777777" w:rsidTr="001B5072">
        <w:trPr>
          <w:trHeight w:val="315"/>
        </w:trPr>
        <w:tc>
          <w:tcPr>
            <w:tcW w:w="2660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auto" w:fill="auto"/>
            <w:vAlign w:val="bottom"/>
            <w:hideMark/>
          </w:tcPr>
          <w:p w14:paraId="13E49DA8" w14:textId="77777777" w:rsidR="002C25F2" w:rsidRPr="002C25F2" w:rsidRDefault="002C25F2" w:rsidP="002C25F2">
            <w:pPr>
              <w:tabs>
                <w:tab w:val="clear" w:pos="567"/>
              </w:tabs>
              <w:spacing w:line="240" w:lineRule="auto"/>
              <w:rPr>
                <w:rFonts w:eastAsia="Times New Roman" w:cs="Open Sans Light"/>
                <w:sz w:val="16"/>
                <w:szCs w:val="16"/>
                <w:lang w:eastAsia="en-AU"/>
              </w:rPr>
            </w:pPr>
            <w:r w:rsidRPr="002C25F2">
              <w:rPr>
                <w:rFonts w:eastAsia="Times New Roman" w:cs="Open Sans Light"/>
                <w:sz w:val="16"/>
                <w:szCs w:val="16"/>
                <w:lang w:eastAsia="en-AU"/>
              </w:rPr>
              <w:t>Other SDC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auto" w:fill="auto"/>
            <w:vAlign w:val="bottom"/>
            <w:hideMark/>
          </w:tcPr>
          <w:p w14:paraId="4480E217" w14:textId="77777777" w:rsidR="002C25F2" w:rsidRPr="002C25F2" w:rsidRDefault="002C25F2" w:rsidP="002C25F2">
            <w:pPr>
              <w:tabs>
                <w:tab w:val="clear" w:pos="567"/>
              </w:tabs>
              <w:spacing w:line="240" w:lineRule="auto"/>
              <w:jc w:val="right"/>
              <w:rPr>
                <w:rFonts w:eastAsia="Times New Roman" w:cs="Open Sans Light"/>
                <w:sz w:val="16"/>
                <w:szCs w:val="16"/>
                <w:lang w:eastAsia="en-AU"/>
              </w:rPr>
            </w:pPr>
            <w:r w:rsidRPr="002C25F2">
              <w:rPr>
                <w:rFonts w:eastAsia="Times New Roman" w:cs="Open Sans Light"/>
                <w:sz w:val="16"/>
                <w:szCs w:val="16"/>
                <w:lang w:eastAsia="en-AU"/>
              </w:rPr>
              <w:t>184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auto" w:fill="auto"/>
            <w:vAlign w:val="bottom"/>
            <w:hideMark/>
          </w:tcPr>
          <w:p w14:paraId="1F6E5EB4" w14:textId="77777777" w:rsidR="002C25F2" w:rsidRPr="002C25F2" w:rsidRDefault="002C25F2" w:rsidP="002C25F2">
            <w:pPr>
              <w:tabs>
                <w:tab w:val="clear" w:pos="567"/>
              </w:tabs>
              <w:spacing w:line="240" w:lineRule="auto"/>
              <w:jc w:val="right"/>
              <w:rPr>
                <w:rFonts w:eastAsia="Times New Roman" w:cs="Open Sans Light"/>
                <w:sz w:val="16"/>
                <w:szCs w:val="16"/>
                <w:lang w:eastAsia="en-AU"/>
              </w:rPr>
            </w:pPr>
            <w:r w:rsidRPr="002C25F2">
              <w:rPr>
                <w:rFonts w:eastAsia="Times New Roman" w:cs="Open Sans Light"/>
                <w:sz w:val="16"/>
                <w:szCs w:val="16"/>
                <w:lang w:eastAsia="en-AU"/>
              </w:rPr>
              <w:t>-378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auto" w:fill="auto"/>
            <w:vAlign w:val="bottom"/>
            <w:hideMark/>
          </w:tcPr>
          <w:p w14:paraId="6833EAC4" w14:textId="77777777" w:rsidR="002C25F2" w:rsidRPr="002C25F2" w:rsidRDefault="002C25F2" w:rsidP="002C25F2">
            <w:pPr>
              <w:tabs>
                <w:tab w:val="clear" w:pos="567"/>
              </w:tabs>
              <w:spacing w:line="240" w:lineRule="auto"/>
              <w:jc w:val="right"/>
              <w:rPr>
                <w:rFonts w:eastAsia="Times New Roman" w:cs="Open Sans Light"/>
                <w:sz w:val="16"/>
                <w:szCs w:val="16"/>
                <w:lang w:eastAsia="en-AU"/>
              </w:rPr>
            </w:pPr>
            <w:r w:rsidRPr="002C25F2">
              <w:rPr>
                <w:rFonts w:eastAsia="Times New Roman" w:cs="Open Sans Light"/>
                <w:sz w:val="16"/>
                <w:szCs w:val="16"/>
                <w:lang w:eastAsia="en-AU"/>
              </w:rPr>
              <w:t>-41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auto" w:fill="auto"/>
            <w:vAlign w:val="bottom"/>
            <w:hideMark/>
          </w:tcPr>
          <w:p w14:paraId="2AC25711" w14:textId="77777777" w:rsidR="002C25F2" w:rsidRPr="002C25F2" w:rsidRDefault="002C25F2" w:rsidP="002C25F2">
            <w:pPr>
              <w:tabs>
                <w:tab w:val="clear" w:pos="567"/>
              </w:tabs>
              <w:spacing w:line="240" w:lineRule="auto"/>
              <w:jc w:val="right"/>
              <w:rPr>
                <w:rFonts w:eastAsia="Times New Roman" w:cs="Open Sans Light"/>
                <w:sz w:val="16"/>
                <w:szCs w:val="16"/>
                <w:lang w:eastAsia="en-AU"/>
              </w:rPr>
            </w:pPr>
            <w:r w:rsidRPr="002C25F2">
              <w:rPr>
                <w:rFonts w:eastAsia="Times New Roman" w:cs="Open Sans Light"/>
                <w:sz w:val="16"/>
                <w:szCs w:val="16"/>
                <w:lang w:eastAsia="en-AU"/>
              </w:rPr>
              <w:t>46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auto" w:fill="auto"/>
            <w:vAlign w:val="bottom"/>
            <w:hideMark/>
          </w:tcPr>
          <w:p w14:paraId="7C92F64C" w14:textId="77777777" w:rsidR="002C25F2" w:rsidRPr="002C25F2" w:rsidRDefault="002C25F2" w:rsidP="002C25F2">
            <w:pPr>
              <w:tabs>
                <w:tab w:val="clear" w:pos="567"/>
              </w:tabs>
              <w:spacing w:line="240" w:lineRule="auto"/>
              <w:jc w:val="right"/>
              <w:rPr>
                <w:rFonts w:eastAsia="Times New Roman" w:cs="Open Sans Light"/>
                <w:sz w:val="16"/>
                <w:szCs w:val="16"/>
                <w:lang w:eastAsia="en-AU"/>
              </w:rPr>
            </w:pPr>
            <w:r w:rsidRPr="002C25F2">
              <w:rPr>
                <w:rFonts w:eastAsia="Times New Roman" w:cs="Open Sans Light"/>
                <w:sz w:val="16"/>
                <w:szCs w:val="16"/>
                <w:lang w:eastAsia="en-AU"/>
              </w:rPr>
              <w:t>247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auto" w:fill="auto"/>
            <w:vAlign w:val="bottom"/>
            <w:hideMark/>
          </w:tcPr>
          <w:p w14:paraId="2CFFBA9F" w14:textId="77777777" w:rsidR="002C25F2" w:rsidRPr="002C25F2" w:rsidRDefault="002C25F2" w:rsidP="002C25F2">
            <w:pPr>
              <w:tabs>
                <w:tab w:val="clear" w:pos="567"/>
              </w:tabs>
              <w:spacing w:line="240" w:lineRule="auto"/>
              <w:jc w:val="right"/>
              <w:rPr>
                <w:rFonts w:eastAsia="Times New Roman" w:cs="Open Sans Light"/>
                <w:sz w:val="16"/>
                <w:szCs w:val="16"/>
                <w:lang w:eastAsia="en-AU"/>
              </w:rPr>
            </w:pPr>
            <w:r w:rsidRPr="002C25F2">
              <w:rPr>
                <w:rFonts w:eastAsia="Times New Roman" w:cs="Open Sans Light"/>
                <w:sz w:val="16"/>
                <w:szCs w:val="16"/>
                <w:lang w:eastAsia="en-AU"/>
              </w:rPr>
              <w:t>-15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auto" w:fill="auto"/>
            <w:vAlign w:val="bottom"/>
            <w:hideMark/>
          </w:tcPr>
          <w:p w14:paraId="69A726B9" w14:textId="77777777" w:rsidR="002C25F2" w:rsidRPr="002C25F2" w:rsidRDefault="002C25F2" w:rsidP="002C25F2">
            <w:pPr>
              <w:tabs>
                <w:tab w:val="clear" w:pos="567"/>
              </w:tabs>
              <w:spacing w:line="240" w:lineRule="auto"/>
              <w:jc w:val="right"/>
              <w:rPr>
                <w:rFonts w:eastAsia="Times New Roman" w:cs="Open Sans Light"/>
                <w:sz w:val="16"/>
                <w:szCs w:val="16"/>
                <w:lang w:eastAsia="en-AU"/>
              </w:rPr>
            </w:pPr>
            <w:r w:rsidRPr="002C25F2">
              <w:rPr>
                <w:rFonts w:eastAsia="Times New Roman" w:cs="Open Sans Light"/>
                <w:sz w:val="16"/>
                <w:szCs w:val="16"/>
                <w:lang w:eastAsia="en-AU"/>
              </w:rPr>
              <w:t>-46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auto" w:fill="auto"/>
            <w:vAlign w:val="bottom"/>
            <w:hideMark/>
          </w:tcPr>
          <w:p w14:paraId="4C85738E" w14:textId="77777777" w:rsidR="002C25F2" w:rsidRPr="002C25F2" w:rsidRDefault="002C25F2" w:rsidP="002C25F2">
            <w:pPr>
              <w:tabs>
                <w:tab w:val="clear" w:pos="567"/>
              </w:tabs>
              <w:spacing w:line="240" w:lineRule="auto"/>
              <w:jc w:val="right"/>
              <w:rPr>
                <w:rFonts w:eastAsia="Times New Roman" w:cs="Open Sans Light"/>
                <w:sz w:val="16"/>
                <w:szCs w:val="16"/>
                <w:lang w:eastAsia="en-AU"/>
              </w:rPr>
            </w:pPr>
            <w:r w:rsidRPr="002C25F2">
              <w:rPr>
                <w:rFonts w:eastAsia="Times New Roman" w:cs="Open Sans Light"/>
                <w:sz w:val="16"/>
                <w:szCs w:val="16"/>
                <w:lang w:eastAsia="en-AU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auto" w:fill="auto"/>
            <w:vAlign w:val="bottom"/>
            <w:hideMark/>
          </w:tcPr>
          <w:p w14:paraId="36AEDB17" w14:textId="77777777" w:rsidR="002C25F2" w:rsidRPr="002C25F2" w:rsidRDefault="002C25F2" w:rsidP="002C25F2">
            <w:pPr>
              <w:tabs>
                <w:tab w:val="clear" w:pos="567"/>
              </w:tabs>
              <w:spacing w:line="240" w:lineRule="auto"/>
              <w:jc w:val="right"/>
              <w:rPr>
                <w:rFonts w:eastAsia="Times New Roman" w:cs="Open Sans Light"/>
                <w:sz w:val="16"/>
                <w:szCs w:val="16"/>
                <w:lang w:eastAsia="en-AU"/>
              </w:rPr>
            </w:pPr>
            <w:r w:rsidRPr="002C25F2">
              <w:rPr>
                <w:rFonts w:eastAsia="Times New Roman" w:cs="Open Sans Light"/>
                <w:sz w:val="16"/>
                <w:szCs w:val="16"/>
                <w:lang w:eastAsia="en-AU"/>
              </w:rPr>
              <w:t>480</w:t>
            </w:r>
          </w:p>
        </w:tc>
      </w:tr>
      <w:tr w:rsidR="002C25F2" w:rsidRPr="002C25F2" w14:paraId="64C4DE61" w14:textId="77777777" w:rsidTr="001B5072">
        <w:trPr>
          <w:trHeight w:val="315"/>
        </w:trPr>
        <w:tc>
          <w:tcPr>
            <w:tcW w:w="2660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000000" w:fill="D6E7F0"/>
            <w:vAlign w:val="bottom"/>
            <w:hideMark/>
          </w:tcPr>
          <w:p w14:paraId="441EE2EB" w14:textId="77777777" w:rsidR="002C25F2" w:rsidRPr="002C25F2" w:rsidRDefault="002C25F2" w:rsidP="002C25F2">
            <w:pPr>
              <w:tabs>
                <w:tab w:val="clear" w:pos="567"/>
              </w:tabs>
              <w:spacing w:line="240" w:lineRule="auto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2C25F2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Total SDC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000000" w:fill="D6E7F0"/>
            <w:vAlign w:val="bottom"/>
            <w:hideMark/>
          </w:tcPr>
          <w:p w14:paraId="6FF429B5" w14:textId="77777777" w:rsidR="002C25F2" w:rsidRPr="002C25F2" w:rsidRDefault="002C25F2" w:rsidP="002C25F2">
            <w:pPr>
              <w:tabs>
                <w:tab w:val="clear" w:pos="567"/>
              </w:tabs>
              <w:spacing w:line="240" w:lineRule="auto"/>
              <w:jc w:val="right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2C25F2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-1,237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000000" w:fill="D6E7F0"/>
            <w:vAlign w:val="bottom"/>
            <w:hideMark/>
          </w:tcPr>
          <w:p w14:paraId="04F10AE1" w14:textId="77777777" w:rsidR="002C25F2" w:rsidRPr="002C25F2" w:rsidRDefault="002C25F2" w:rsidP="002C25F2">
            <w:pPr>
              <w:tabs>
                <w:tab w:val="clear" w:pos="567"/>
              </w:tabs>
              <w:spacing w:line="240" w:lineRule="auto"/>
              <w:jc w:val="right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2C25F2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-3,691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000000" w:fill="D6E7F0"/>
            <w:vAlign w:val="bottom"/>
            <w:hideMark/>
          </w:tcPr>
          <w:p w14:paraId="2E3B129C" w14:textId="77777777" w:rsidR="002C25F2" w:rsidRPr="002C25F2" w:rsidRDefault="002C25F2" w:rsidP="002C25F2">
            <w:pPr>
              <w:tabs>
                <w:tab w:val="clear" w:pos="567"/>
              </w:tabs>
              <w:spacing w:line="240" w:lineRule="auto"/>
              <w:jc w:val="right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2C25F2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1,761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000000" w:fill="D6E7F0"/>
            <w:vAlign w:val="bottom"/>
            <w:hideMark/>
          </w:tcPr>
          <w:p w14:paraId="2B45BF58" w14:textId="77777777" w:rsidR="002C25F2" w:rsidRPr="002C25F2" w:rsidRDefault="002C25F2" w:rsidP="002C25F2">
            <w:pPr>
              <w:tabs>
                <w:tab w:val="clear" w:pos="567"/>
              </w:tabs>
              <w:spacing w:line="240" w:lineRule="auto"/>
              <w:jc w:val="right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2C25F2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613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000000" w:fill="D6E7F0"/>
            <w:vAlign w:val="bottom"/>
            <w:hideMark/>
          </w:tcPr>
          <w:p w14:paraId="2DCA5030" w14:textId="77777777" w:rsidR="002C25F2" w:rsidRPr="002C25F2" w:rsidRDefault="002C25F2" w:rsidP="002C25F2">
            <w:pPr>
              <w:tabs>
                <w:tab w:val="clear" w:pos="567"/>
              </w:tabs>
              <w:spacing w:line="240" w:lineRule="auto"/>
              <w:jc w:val="right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2C25F2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538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000000" w:fill="D6E7F0"/>
            <w:vAlign w:val="bottom"/>
            <w:hideMark/>
          </w:tcPr>
          <w:p w14:paraId="45730446" w14:textId="77777777" w:rsidR="002C25F2" w:rsidRPr="002C25F2" w:rsidRDefault="002C25F2" w:rsidP="002C25F2">
            <w:pPr>
              <w:tabs>
                <w:tab w:val="clear" w:pos="567"/>
              </w:tabs>
              <w:spacing w:line="240" w:lineRule="auto"/>
              <w:jc w:val="right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2C25F2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703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000000" w:fill="D6E7F0"/>
            <w:vAlign w:val="bottom"/>
            <w:hideMark/>
          </w:tcPr>
          <w:p w14:paraId="6877CC2A" w14:textId="77777777" w:rsidR="002C25F2" w:rsidRPr="002C25F2" w:rsidRDefault="002C25F2" w:rsidP="002C25F2">
            <w:pPr>
              <w:tabs>
                <w:tab w:val="clear" w:pos="567"/>
              </w:tabs>
              <w:spacing w:line="240" w:lineRule="auto"/>
              <w:jc w:val="right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2C25F2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-574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000000" w:fill="D6E7F0"/>
            <w:vAlign w:val="bottom"/>
            <w:hideMark/>
          </w:tcPr>
          <w:p w14:paraId="56E0662F" w14:textId="77777777" w:rsidR="002C25F2" w:rsidRPr="002C25F2" w:rsidRDefault="002C25F2" w:rsidP="002C25F2">
            <w:pPr>
              <w:tabs>
                <w:tab w:val="clear" w:pos="567"/>
              </w:tabs>
              <w:spacing w:line="240" w:lineRule="auto"/>
              <w:jc w:val="right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2C25F2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1,888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000000" w:fill="D6E7F0"/>
            <w:vAlign w:val="bottom"/>
            <w:hideMark/>
          </w:tcPr>
          <w:p w14:paraId="79BD0DBC" w14:textId="77777777" w:rsidR="002C25F2" w:rsidRPr="002C25F2" w:rsidRDefault="002C25F2" w:rsidP="002C25F2">
            <w:pPr>
              <w:tabs>
                <w:tab w:val="clear" w:pos="567"/>
              </w:tabs>
              <w:spacing w:line="240" w:lineRule="auto"/>
              <w:jc w:val="right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2C25F2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5,503</w:t>
            </w:r>
          </w:p>
        </w:tc>
      </w:tr>
      <w:tr w:rsidR="002C25F2" w:rsidRPr="002C25F2" w14:paraId="2C215D4F" w14:textId="77777777" w:rsidTr="001B5072">
        <w:trPr>
          <w:trHeight w:val="315"/>
        </w:trPr>
        <w:tc>
          <w:tcPr>
            <w:tcW w:w="2660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auto" w:fill="auto"/>
            <w:vAlign w:val="bottom"/>
            <w:hideMark/>
          </w:tcPr>
          <w:p w14:paraId="6F941D75" w14:textId="77777777" w:rsidR="002C25F2" w:rsidRPr="002C25F2" w:rsidRDefault="002C25F2" w:rsidP="002C25F2">
            <w:pPr>
              <w:tabs>
                <w:tab w:val="clear" w:pos="567"/>
              </w:tabs>
              <w:spacing w:line="240" w:lineRule="auto"/>
              <w:rPr>
                <w:rFonts w:eastAsia="Times New Roman" w:cs="Open Sans Light"/>
                <w:sz w:val="16"/>
                <w:szCs w:val="16"/>
                <w:lang w:eastAsia="en-AU"/>
              </w:rPr>
            </w:pPr>
            <w:r w:rsidRPr="002C25F2">
              <w:rPr>
                <w:rFonts w:eastAsia="Times New Roman" w:cs="Open Sans Light"/>
                <w:sz w:val="16"/>
                <w:szCs w:val="16"/>
                <w:lang w:eastAsia="en-AU"/>
              </w:rPr>
              <w:t>Urban centre characteristics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auto" w:fill="auto"/>
            <w:vAlign w:val="bottom"/>
            <w:hideMark/>
          </w:tcPr>
          <w:p w14:paraId="203AF2C3" w14:textId="77777777" w:rsidR="002C25F2" w:rsidRPr="002C25F2" w:rsidRDefault="002C25F2" w:rsidP="002C25F2">
            <w:pPr>
              <w:tabs>
                <w:tab w:val="clear" w:pos="567"/>
              </w:tabs>
              <w:spacing w:line="240" w:lineRule="auto"/>
              <w:jc w:val="right"/>
              <w:rPr>
                <w:rFonts w:eastAsia="Times New Roman" w:cs="Open Sans Light"/>
                <w:sz w:val="16"/>
                <w:szCs w:val="16"/>
                <w:lang w:eastAsia="en-AU"/>
              </w:rPr>
            </w:pPr>
            <w:r w:rsidRPr="002C25F2">
              <w:rPr>
                <w:rFonts w:eastAsia="Times New Roman" w:cs="Open Sans Light"/>
                <w:sz w:val="16"/>
                <w:szCs w:val="16"/>
                <w:lang w:eastAsia="en-AU"/>
              </w:rPr>
              <w:t>1,217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auto" w:fill="auto"/>
            <w:vAlign w:val="bottom"/>
            <w:hideMark/>
          </w:tcPr>
          <w:p w14:paraId="107FF3FE" w14:textId="77777777" w:rsidR="002C25F2" w:rsidRPr="002C25F2" w:rsidRDefault="002C25F2" w:rsidP="002C25F2">
            <w:pPr>
              <w:tabs>
                <w:tab w:val="clear" w:pos="567"/>
              </w:tabs>
              <w:spacing w:line="240" w:lineRule="auto"/>
              <w:jc w:val="right"/>
              <w:rPr>
                <w:rFonts w:eastAsia="Times New Roman" w:cs="Open Sans Light"/>
                <w:sz w:val="16"/>
                <w:szCs w:val="16"/>
                <w:lang w:eastAsia="en-AU"/>
              </w:rPr>
            </w:pPr>
            <w:r w:rsidRPr="002C25F2">
              <w:rPr>
                <w:rFonts w:eastAsia="Times New Roman" w:cs="Open Sans Light"/>
                <w:sz w:val="16"/>
                <w:szCs w:val="16"/>
                <w:lang w:eastAsia="en-AU"/>
              </w:rPr>
              <w:t>393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auto" w:fill="auto"/>
            <w:vAlign w:val="bottom"/>
            <w:hideMark/>
          </w:tcPr>
          <w:p w14:paraId="17BFFFE3" w14:textId="77777777" w:rsidR="002C25F2" w:rsidRPr="002C25F2" w:rsidRDefault="002C25F2" w:rsidP="002C25F2">
            <w:pPr>
              <w:tabs>
                <w:tab w:val="clear" w:pos="567"/>
              </w:tabs>
              <w:spacing w:line="240" w:lineRule="auto"/>
              <w:jc w:val="right"/>
              <w:rPr>
                <w:rFonts w:eastAsia="Times New Roman" w:cs="Open Sans Light"/>
                <w:sz w:val="16"/>
                <w:szCs w:val="16"/>
                <w:lang w:eastAsia="en-AU"/>
              </w:rPr>
            </w:pPr>
            <w:r w:rsidRPr="002C25F2">
              <w:rPr>
                <w:rFonts w:eastAsia="Times New Roman" w:cs="Open Sans Light"/>
                <w:sz w:val="16"/>
                <w:szCs w:val="16"/>
                <w:lang w:eastAsia="en-AU"/>
              </w:rPr>
              <w:t>-720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auto" w:fill="auto"/>
            <w:vAlign w:val="bottom"/>
            <w:hideMark/>
          </w:tcPr>
          <w:p w14:paraId="3BC86C2D" w14:textId="77777777" w:rsidR="002C25F2" w:rsidRPr="002C25F2" w:rsidRDefault="002C25F2" w:rsidP="002C25F2">
            <w:pPr>
              <w:tabs>
                <w:tab w:val="clear" w:pos="567"/>
              </w:tabs>
              <w:spacing w:line="240" w:lineRule="auto"/>
              <w:jc w:val="right"/>
              <w:rPr>
                <w:rFonts w:eastAsia="Times New Roman" w:cs="Open Sans Light"/>
                <w:sz w:val="16"/>
                <w:szCs w:val="16"/>
                <w:lang w:eastAsia="en-AU"/>
              </w:rPr>
            </w:pPr>
            <w:r w:rsidRPr="002C25F2">
              <w:rPr>
                <w:rFonts w:eastAsia="Times New Roman" w:cs="Open Sans Light"/>
                <w:sz w:val="16"/>
                <w:szCs w:val="16"/>
                <w:lang w:eastAsia="en-AU"/>
              </w:rPr>
              <w:t>-284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auto" w:fill="auto"/>
            <w:vAlign w:val="bottom"/>
            <w:hideMark/>
          </w:tcPr>
          <w:p w14:paraId="12EAC37B" w14:textId="77777777" w:rsidR="002C25F2" w:rsidRPr="002C25F2" w:rsidRDefault="002C25F2" w:rsidP="002C25F2">
            <w:pPr>
              <w:tabs>
                <w:tab w:val="clear" w:pos="567"/>
              </w:tabs>
              <w:spacing w:line="240" w:lineRule="auto"/>
              <w:jc w:val="right"/>
              <w:rPr>
                <w:rFonts w:eastAsia="Times New Roman" w:cs="Open Sans Light"/>
                <w:sz w:val="16"/>
                <w:szCs w:val="16"/>
                <w:lang w:eastAsia="en-AU"/>
              </w:rPr>
            </w:pPr>
            <w:r w:rsidRPr="002C25F2">
              <w:rPr>
                <w:rFonts w:eastAsia="Times New Roman" w:cs="Open Sans Light"/>
                <w:sz w:val="16"/>
                <w:szCs w:val="16"/>
                <w:lang w:eastAsia="en-AU"/>
              </w:rPr>
              <w:t>-270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auto" w:fill="auto"/>
            <w:vAlign w:val="bottom"/>
            <w:hideMark/>
          </w:tcPr>
          <w:p w14:paraId="535A03F3" w14:textId="77777777" w:rsidR="002C25F2" w:rsidRPr="002C25F2" w:rsidRDefault="002C25F2" w:rsidP="002C25F2">
            <w:pPr>
              <w:tabs>
                <w:tab w:val="clear" w:pos="567"/>
              </w:tabs>
              <w:spacing w:line="240" w:lineRule="auto"/>
              <w:jc w:val="right"/>
              <w:rPr>
                <w:rFonts w:eastAsia="Times New Roman" w:cs="Open Sans Light"/>
                <w:sz w:val="16"/>
                <w:szCs w:val="16"/>
                <w:lang w:eastAsia="en-AU"/>
              </w:rPr>
            </w:pPr>
            <w:r w:rsidRPr="002C25F2">
              <w:rPr>
                <w:rFonts w:eastAsia="Times New Roman" w:cs="Open Sans Light"/>
                <w:sz w:val="16"/>
                <w:szCs w:val="16"/>
                <w:lang w:eastAsia="en-AU"/>
              </w:rPr>
              <w:t>-193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auto" w:fill="auto"/>
            <w:vAlign w:val="bottom"/>
            <w:hideMark/>
          </w:tcPr>
          <w:p w14:paraId="3F5658F2" w14:textId="77777777" w:rsidR="002C25F2" w:rsidRPr="002C25F2" w:rsidRDefault="002C25F2" w:rsidP="002C25F2">
            <w:pPr>
              <w:tabs>
                <w:tab w:val="clear" w:pos="567"/>
              </w:tabs>
              <w:spacing w:line="240" w:lineRule="auto"/>
              <w:jc w:val="right"/>
              <w:rPr>
                <w:rFonts w:eastAsia="Times New Roman" w:cs="Open Sans Light"/>
                <w:sz w:val="16"/>
                <w:szCs w:val="16"/>
                <w:lang w:eastAsia="en-AU"/>
              </w:rPr>
            </w:pPr>
            <w:r w:rsidRPr="002C25F2">
              <w:rPr>
                <w:rFonts w:eastAsia="Times New Roman" w:cs="Open Sans Light"/>
                <w:sz w:val="16"/>
                <w:szCs w:val="16"/>
                <w:lang w:eastAsia="en-AU"/>
              </w:rPr>
              <w:t>-64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auto" w:fill="auto"/>
            <w:vAlign w:val="bottom"/>
            <w:hideMark/>
          </w:tcPr>
          <w:p w14:paraId="6E9F0351" w14:textId="77777777" w:rsidR="002C25F2" w:rsidRPr="002C25F2" w:rsidRDefault="002C25F2" w:rsidP="002C25F2">
            <w:pPr>
              <w:tabs>
                <w:tab w:val="clear" w:pos="567"/>
              </w:tabs>
              <w:spacing w:line="240" w:lineRule="auto"/>
              <w:jc w:val="right"/>
              <w:rPr>
                <w:rFonts w:eastAsia="Times New Roman" w:cs="Open Sans Light"/>
                <w:sz w:val="16"/>
                <w:szCs w:val="16"/>
                <w:lang w:eastAsia="en-AU"/>
              </w:rPr>
            </w:pPr>
            <w:r w:rsidRPr="002C25F2">
              <w:rPr>
                <w:rFonts w:eastAsia="Times New Roman" w:cs="Open Sans Light"/>
                <w:sz w:val="16"/>
                <w:szCs w:val="16"/>
                <w:lang w:eastAsia="en-AU"/>
              </w:rPr>
              <w:t>-81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auto" w:fill="auto"/>
            <w:vAlign w:val="bottom"/>
            <w:hideMark/>
          </w:tcPr>
          <w:p w14:paraId="654F3E99" w14:textId="77777777" w:rsidR="002C25F2" w:rsidRPr="002C25F2" w:rsidRDefault="002C25F2" w:rsidP="002C25F2">
            <w:pPr>
              <w:tabs>
                <w:tab w:val="clear" w:pos="567"/>
              </w:tabs>
              <w:spacing w:line="240" w:lineRule="auto"/>
              <w:jc w:val="right"/>
              <w:rPr>
                <w:rFonts w:eastAsia="Times New Roman" w:cs="Open Sans Light"/>
                <w:sz w:val="16"/>
                <w:szCs w:val="16"/>
                <w:lang w:eastAsia="en-AU"/>
              </w:rPr>
            </w:pPr>
            <w:r w:rsidRPr="002C25F2">
              <w:rPr>
                <w:rFonts w:eastAsia="Times New Roman" w:cs="Open Sans Light"/>
                <w:sz w:val="16"/>
                <w:szCs w:val="16"/>
                <w:lang w:eastAsia="en-AU"/>
              </w:rPr>
              <w:t>1,611</w:t>
            </w:r>
          </w:p>
        </w:tc>
      </w:tr>
      <w:tr w:rsidR="002C25F2" w:rsidRPr="002C25F2" w14:paraId="08CD5EF7" w14:textId="77777777" w:rsidTr="001B5072">
        <w:trPr>
          <w:trHeight w:val="315"/>
        </w:trPr>
        <w:tc>
          <w:tcPr>
            <w:tcW w:w="2660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auto" w:fill="auto"/>
            <w:vAlign w:val="bottom"/>
            <w:hideMark/>
          </w:tcPr>
          <w:p w14:paraId="17055E7E" w14:textId="77777777" w:rsidR="002C25F2" w:rsidRPr="002C25F2" w:rsidRDefault="002C25F2" w:rsidP="002C25F2">
            <w:pPr>
              <w:tabs>
                <w:tab w:val="clear" w:pos="567"/>
              </w:tabs>
              <w:spacing w:line="240" w:lineRule="auto"/>
              <w:rPr>
                <w:rFonts w:eastAsia="Times New Roman" w:cs="Open Sans Light"/>
                <w:sz w:val="16"/>
                <w:szCs w:val="16"/>
                <w:lang w:eastAsia="en-AU"/>
              </w:rPr>
            </w:pPr>
            <w:r w:rsidRPr="002C25F2">
              <w:rPr>
                <w:rFonts w:eastAsia="Times New Roman" w:cs="Open Sans Light"/>
                <w:sz w:val="16"/>
                <w:szCs w:val="16"/>
                <w:lang w:eastAsia="en-AU"/>
              </w:rPr>
              <w:t>Administrative scale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auto" w:fill="auto"/>
            <w:vAlign w:val="bottom"/>
            <w:hideMark/>
          </w:tcPr>
          <w:p w14:paraId="4406C37E" w14:textId="77777777" w:rsidR="002C25F2" w:rsidRPr="002C25F2" w:rsidRDefault="002C25F2" w:rsidP="002C25F2">
            <w:pPr>
              <w:tabs>
                <w:tab w:val="clear" w:pos="567"/>
              </w:tabs>
              <w:spacing w:line="240" w:lineRule="auto"/>
              <w:jc w:val="right"/>
              <w:rPr>
                <w:rFonts w:eastAsia="Times New Roman" w:cs="Open Sans Light"/>
                <w:sz w:val="16"/>
                <w:szCs w:val="16"/>
                <w:lang w:eastAsia="en-AU"/>
              </w:rPr>
            </w:pPr>
            <w:r w:rsidRPr="002C25F2">
              <w:rPr>
                <w:rFonts w:eastAsia="Times New Roman" w:cs="Open Sans Light"/>
                <w:sz w:val="16"/>
                <w:szCs w:val="16"/>
                <w:lang w:eastAsia="en-AU"/>
              </w:rPr>
              <w:t>-565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auto" w:fill="auto"/>
            <w:vAlign w:val="bottom"/>
            <w:hideMark/>
          </w:tcPr>
          <w:p w14:paraId="528689B2" w14:textId="77777777" w:rsidR="002C25F2" w:rsidRPr="002C25F2" w:rsidRDefault="002C25F2" w:rsidP="002C25F2">
            <w:pPr>
              <w:tabs>
                <w:tab w:val="clear" w:pos="567"/>
              </w:tabs>
              <w:spacing w:line="240" w:lineRule="auto"/>
              <w:jc w:val="right"/>
              <w:rPr>
                <w:rFonts w:eastAsia="Times New Roman" w:cs="Open Sans Light"/>
                <w:sz w:val="16"/>
                <w:szCs w:val="16"/>
                <w:lang w:eastAsia="en-AU"/>
              </w:rPr>
            </w:pPr>
            <w:r w:rsidRPr="002C25F2">
              <w:rPr>
                <w:rFonts w:eastAsia="Times New Roman" w:cs="Open Sans Light"/>
                <w:sz w:val="16"/>
                <w:szCs w:val="16"/>
                <w:lang w:eastAsia="en-AU"/>
              </w:rPr>
              <w:t>-391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auto" w:fill="auto"/>
            <w:vAlign w:val="bottom"/>
            <w:hideMark/>
          </w:tcPr>
          <w:p w14:paraId="0E5D521A" w14:textId="77777777" w:rsidR="002C25F2" w:rsidRPr="002C25F2" w:rsidRDefault="002C25F2" w:rsidP="002C25F2">
            <w:pPr>
              <w:tabs>
                <w:tab w:val="clear" w:pos="567"/>
              </w:tabs>
              <w:spacing w:line="240" w:lineRule="auto"/>
              <w:jc w:val="right"/>
              <w:rPr>
                <w:rFonts w:eastAsia="Times New Roman" w:cs="Open Sans Light"/>
                <w:sz w:val="16"/>
                <w:szCs w:val="16"/>
                <w:lang w:eastAsia="en-AU"/>
              </w:rPr>
            </w:pPr>
            <w:r w:rsidRPr="002C25F2">
              <w:rPr>
                <w:rFonts w:eastAsia="Times New Roman" w:cs="Open Sans Light"/>
                <w:sz w:val="16"/>
                <w:szCs w:val="16"/>
                <w:lang w:eastAsia="en-AU"/>
              </w:rPr>
              <w:t>-217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auto" w:fill="auto"/>
            <w:vAlign w:val="bottom"/>
            <w:hideMark/>
          </w:tcPr>
          <w:p w14:paraId="2D235A28" w14:textId="77777777" w:rsidR="002C25F2" w:rsidRPr="002C25F2" w:rsidRDefault="002C25F2" w:rsidP="002C25F2">
            <w:pPr>
              <w:tabs>
                <w:tab w:val="clear" w:pos="567"/>
              </w:tabs>
              <w:spacing w:line="240" w:lineRule="auto"/>
              <w:jc w:val="right"/>
              <w:rPr>
                <w:rFonts w:eastAsia="Times New Roman" w:cs="Open Sans Light"/>
                <w:sz w:val="16"/>
                <w:szCs w:val="16"/>
                <w:lang w:eastAsia="en-AU"/>
              </w:rPr>
            </w:pPr>
            <w:r w:rsidRPr="002C25F2">
              <w:rPr>
                <w:rFonts w:eastAsia="Times New Roman" w:cs="Open Sans Light"/>
                <w:sz w:val="16"/>
                <w:szCs w:val="16"/>
                <w:lang w:eastAsia="en-AU"/>
              </w:rPr>
              <w:t>64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auto" w:fill="auto"/>
            <w:vAlign w:val="bottom"/>
            <w:hideMark/>
          </w:tcPr>
          <w:p w14:paraId="4046788A" w14:textId="77777777" w:rsidR="002C25F2" w:rsidRPr="002C25F2" w:rsidRDefault="002C25F2" w:rsidP="002C25F2">
            <w:pPr>
              <w:tabs>
                <w:tab w:val="clear" w:pos="567"/>
              </w:tabs>
              <w:spacing w:line="240" w:lineRule="auto"/>
              <w:jc w:val="right"/>
              <w:rPr>
                <w:rFonts w:eastAsia="Times New Roman" w:cs="Open Sans Light"/>
                <w:sz w:val="16"/>
                <w:szCs w:val="16"/>
                <w:lang w:eastAsia="en-AU"/>
              </w:rPr>
            </w:pPr>
            <w:r w:rsidRPr="002C25F2">
              <w:rPr>
                <w:rFonts w:eastAsia="Times New Roman" w:cs="Open Sans Light"/>
                <w:sz w:val="16"/>
                <w:szCs w:val="16"/>
                <w:lang w:eastAsia="en-AU"/>
              </w:rPr>
              <w:t>163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auto" w:fill="auto"/>
            <w:vAlign w:val="bottom"/>
            <w:hideMark/>
          </w:tcPr>
          <w:p w14:paraId="6A8B0EF6" w14:textId="77777777" w:rsidR="002C25F2" w:rsidRPr="002C25F2" w:rsidRDefault="002C25F2" w:rsidP="002C25F2">
            <w:pPr>
              <w:tabs>
                <w:tab w:val="clear" w:pos="567"/>
              </w:tabs>
              <w:spacing w:line="240" w:lineRule="auto"/>
              <w:jc w:val="right"/>
              <w:rPr>
                <w:rFonts w:eastAsia="Times New Roman" w:cs="Open Sans Light"/>
                <w:sz w:val="16"/>
                <w:szCs w:val="16"/>
                <w:lang w:eastAsia="en-AU"/>
              </w:rPr>
            </w:pPr>
            <w:r w:rsidRPr="002C25F2">
              <w:rPr>
                <w:rFonts w:eastAsia="Times New Roman" w:cs="Open Sans Light"/>
                <w:sz w:val="16"/>
                <w:szCs w:val="16"/>
                <w:lang w:eastAsia="en-AU"/>
              </w:rPr>
              <w:t>305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auto" w:fill="auto"/>
            <w:vAlign w:val="bottom"/>
            <w:hideMark/>
          </w:tcPr>
          <w:p w14:paraId="73C9E27C" w14:textId="77777777" w:rsidR="002C25F2" w:rsidRPr="002C25F2" w:rsidRDefault="002C25F2" w:rsidP="002C25F2">
            <w:pPr>
              <w:tabs>
                <w:tab w:val="clear" w:pos="567"/>
              </w:tabs>
              <w:spacing w:line="240" w:lineRule="auto"/>
              <w:jc w:val="right"/>
              <w:rPr>
                <w:rFonts w:eastAsia="Times New Roman" w:cs="Open Sans Light"/>
                <w:sz w:val="16"/>
                <w:szCs w:val="16"/>
                <w:lang w:eastAsia="en-AU"/>
              </w:rPr>
            </w:pPr>
            <w:r w:rsidRPr="002C25F2">
              <w:rPr>
                <w:rFonts w:eastAsia="Times New Roman" w:cs="Open Sans Light"/>
                <w:sz w:val="16"/>
                <w:szCs w:val="16"/>
                <w:lang w:eastAsia="en-AU"/>
              </w:rPr>
              <w:t>313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auto" w:fill="auto"/>
            <w:vAlign w:val="bottom"/>
            <w:hideMark/>
          </w:tcPr>
          <w:p w14:paraId="23029733" w14:textId="77777777" w:rsidR="002C25F2" w:rsidRPr="002C25F2" w:rsidRDefault="002C25F2" w:rsidP="002C25F2">
            <w:pPr>
              <w:tabs>
                <w:tab w:val="clear" w:pos="567"/>
              </w:tabs>
              <w:spacing w:line="240" w:lineRule="auto"/>
              <w:jc w:val="right"/>
              <w:rPr>
                <w:rFonts w:eastAsia="Times New Roman" w:cs="Open Sans Light"/>
                <w:sz w:val="16"/>
                <w:szCs w:val="16"/>
                <w:lang w:eastAsia="en-AU"/>
              </w:rPr>
            </w:pPr>
            <w:r w:rsidRPr="002C25F2">
              <w:rPr>
                <w:rFonts w:eastAsia="Times New Roman" w:cs="Open Sans Light"/>
                <w:sz w:val="16"/>
                <w:szCs w:val="16"/>
                <w:lang w:eastAsia="en-AU"/>
              </w:rPr>
              <w:t>328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auto" w:fill="auto"/>
            <w:vAlign w:val="bottom"/>
            <w:hideMark/>
          </w:tcPr>
          <w:p w14:paraId="356F4596" w14:textId="77777777" w:rsidR="002C25F2" w:rsidRPr="002C25F2" w:rsidRDefault="002C25F2" w:rsidP="002C25F2">
            <w:pPr>
              <w:tabs>
                <w:tab w:val="clear" w:pos="567"/>
              </w:tabs>
              <w:spacing w:line="240" w:lineRule="auto"/>
              <w:jc w:val="right"/>
              <w:rPr>
                <w:rFonts w:eastAsia="Times New Roman" w:cs="Open Sans Light"/>
                <w:sz w:val="16"/>
                <w:szCs w:val="16"/>
                <w:lang w:eastAsia="en-AU"/>
              </w:rPr>
            </w:pPr>
            <w:r w:rsidRPr="002C25F2">
              <w:rPr>
                <w:rFonts w:eastAsia="Times New Roman" w:cs="Open Sans Light"/>
                <w:sz w:val="16"/>
                <w:szCs w:val="16"/>
                <w:lang w:eastAsia="en-AU"/>
              </w:rPr>
              <w:t>1,173</w:t>
            </w:r>
          </w:p>
        </w:tc>
      </w:tr>
      <w:tr w:rsidR="002C25F2" w:rsidRPr="002C25F2" w14:paraId="2E2F87DF" w14:textId="77777777" w:rsidTr="001B5072">
        <w:trPr>
          <w:trHeight w:val="315"/>
        </w:trPr>
        <w:tc>
          <w:tcPr>
            <w:tcW w:w="2660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auto" w:fill="auto"/>
            <w:vAlign w:val="bottom"/>
            <w:hideMark/>
          </w:tcPr>
          <w:p w14:paraId="49C0EA8B" w14:textId="77777777" w:rsidR="002C25F2" w:rsidRPr="002C25F2" w:rsidRDefault="002C25F2" w:rsidP="002C25F2">
            <w:pPr>
              <w:tabs>
                <w:tab w:val="clear" w:pos="567"/>
              </w:tabs>
              <w:spacing w:line="240" w:lineRule="auto"/>
              <w:rPr>
                <w:rFonts w:eastAsia="Times New Roman" w:cs="Open Sans Light"/>
                <w:sz w:val="16"/>
                <w:szCs w:val="16"/>
                <w:lang w:eastAsia="en-AU"/>
              </w:rPr>
            </w:pPr>
            <w:r w:rsidRPr="002C25F2">
              <w:rPr>
                <w:rFonts w:eastAsia="Times New Roman" w:cs="Open Sans Light"/>
                <w:sz w:val="16"/>
                <w:szCs w:val="16"/>
                <w:lang w:eastAsia="en-AU"/>
              </w:rPr>
              <w:t>Wage costs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auto" w:fill="auto"/>
            <w:vAlign w:val="bottom"/>
            <w:hideMark/>
          </w:tcPr>
          <w:p w14:paraId="08F2B4E9" w14:textId="77777777" w:rsidR="002C25F2" w:rsidRPr="002C25F2" w:rsidRDefault="002C25F2" w:rsidP="002C25F2">
            <w:pPr>
              <w:tabs>
                <w:tab w:val="clear" w:pos="567"/>
              </w:tabs>
              <w:spacing w:line="240" w:lineRule="auto"/>
              <w:jc w:val="right"/>
              <w:rPr>
                <w:rFonts w:eastAsia="Times New Roman" w:cs="Open Sans Light"/>
                <w:sz w:val="16"/>
                <w:szCs w:val="16"/>
                <w:lang w:eastAsia="en-AU"/>
              </w:rPr>
            </w:pPr>
            <w:r w:rsidRPr="002C25F2">
              <w:rPr>
                <w:rFonts w:eastAsia="Times New Roman" w:cs="Open Sans Light"/>
                <w:sz w:val="16"/>
                <w:szCs w:val="16"/>
                <w:lang w:eastAsia="en-AU"/>
              </w:rPr>
              <w:t>293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auto" w:fill="auto"/>
            <w:vAlign w:val="bottom"/>
            <w:hideMark/>
          </w:tcPr>
          <w:p w14:paraId="6212FD06" w14:textId="77777777" w:rsidR="002C25F2" w:rsidRPr="002C25F2" w:rsidRDefault="002C25F2" w:rsidP="002C25F2">
            <w:pPr>
              <w:tabs>
                <w:tab w:val="clear" w:pos="567"/>
              </w:tabs>
              <w:spacing w:line="240" w:lineRule="auto"/>
              <w:jc w:val="right"/>
              <w:rPr>
                <w:rFonts w:eastAsia="Times New Roman" w:cs="Open Sans Light"/>
                <w:sz w:val="16"/>
                <w:szCs w:val="16"/>
                <w:lang w:eastAsia="en-AU"/>
              </w:rPr>
            </w:pPr>
            <w:r w:rsidRPr="002C25F2">
              <w:rPr>
                <w:rFonts w:eastAsia="Times New Roman" w:cs="Open Sans Light"/>
                <w:sz w:val="16"/>
                <w:szCs w:val="16"/>
                <w:lang w:eastAsia="en-AU"/>
              </w:rPr>
              <w:t>-152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auto" w:fill="auto"/>
            <w:vAlign w:val="bottom"/>
            <w:hideMark/>
          </w:tcPr>
          <w:p w14:paraId="0D81B9BB" w14:textId="77777777" w:rsidR="002C25F2" w:rsidRPr="002C25F2" w:rsidRDefault="002C25F2" w:rsidP="002C25F2">
            <w:pPr>
              <w:tabs>
                <w:tab w:val="clear" w:pos="567"/>
              </w:tabs>
              <w:spacing w:line="240" w:lineRule="auto"/>
              <w:jc w:val="right"/>
              <w:rPr>
                <w:rFonts w:eastAsia="Times New Roman" w:cs="Open Sans Light"/>
                <w:sz w:val="16"/>
                <w:szCs w:val="16"/>
                <w:lang w:eastAsia="en-AU"/>
              </w:rPr>
            </w:pPr>
            <w:r w:rsidRPr="002C25F2">
              <w:rPr>
                <w:rFonts w:eastAsia="Times New Roman" w:cs="Open Sans Light"/>
                <w:sz w:val="16"/>
                <w:szCs w:val="16"/>
                <w:lang w:eastAsia="en-AU"/>
              </w:rPr>
              <w:t>-217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auto" w:fill="auto"/>
            <w:vAlign w:val="bottom"/>
            <w:hideMark/>
          </w:tcPr>
          <w:p w14:paraId="44BEF9A6" w14:textId="77777777" w:rsidR="002C25F2" w:rsidRPr="002C25F2" w:rsidRDefault="002C25F2" w:rsidP="002C25F2">
            <w:pPr>
              <w:tabs>
                <w:tab w:val="clear" w:pos="567"/>
              </w:tabs>
              <w:spacing w:line="240" w:lineRule="auto"/>
              <w:jc w:val="right"/>
              <w:rPr>
                <w:rFonts w:eastAsia="Times New Roman" w:cs="Open Sans Light"/>
                <w:sz w:val="16"/>
                <w:szCs w:val="16"/>
                <w:lang w:eastAsia="en-AU"/>
              </w:rPr>
            </w:pPr>
            <w:r w:rsidRPr="002C25F2">
              <w:rPr>
                <w:rFonts w:eastAsia="Times New Roman" w:cs="Open Sans Light"/>
                <w:sz w:val="16"/>
                <w:szCs w:val="16"/>
                <w:lang w:eastAsia="en-AU"/>
              </w:rPr>
              <w:t>304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auto" w:fill="auto"/>
            <w:vAlign w:val="bottom"/>
            <w:hideMark/>
          </w:tcPr>
          <w:p w14:paraId="6D7C306A" w14:textId="77777777" w:rsidR="002C25F2" w:rsidRPr="002C25F2" w:rsidRDefault="002C25F2" w:rsidP="002C25F2">
            <w:pPr>
              <w:tabs>
                <w:tab w:val="clear" w:pos="567"/>
              </w:tabs>
              <w:spacing w:line="240" w:lineRule="auto"/>
              <w:jc w:val="right"/>
              <w:rPr>
                <w:rFonts w:eastAsia="Times New Roman" w:cs="Open Sans Light"/>
                <w:sz w:val="16"/>
                <w:szCs w:val="16"/>
                <w:lang w:eastAsia="en-AU"/>
              </w:rPr>
            </w:pPr>
            <w:r w:rsidRPr="002C25F2">
              <w:rPr>
                <w:rFonts w:eastAsia="Times New Roman" w:cs="Open Sans Light"/>
                <w:sz w:val="16"/>
                <w:szCs w:val="16"/>
                <w:lang w:eastAsia="en-AU"/>
              </w:rPr>
              <w:t>-295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auto" w:fill="auto"/>
            <w:vAlign w:val="bottom"/>
            <w:hideMark/>
          </w:tcPr>
          <w:p w14:paraId="505A4DEA" w14:textId="77777777" w:rsidR="002C25F2" w:rsidRPr="002C25F2" w:rsidRDefault="002C25F2" w:rsidP="002C25F2">
            <w:pPr>
              <w:tabs>
                <w:tab w:val="clear" w:pos="567"/>
              </w:tabs>
              <w:spacing w:line="240" w:lineRule="auto"/>
              <w:jc w:val="right"/>
              <w:rPr>
                <w:rFonts w:eastAsia="Times New Roman" w:cs="Open Sans Light"/>
                <w:sz w:val="16"/>
                <w:szCs w:val="16"/>
                <w:lang w:eastAsia="en-AU"/>
              </w:rPr>
            </w:pPr>
            <w:r w:rsidRPr="002C25F2">
              <w:rPr>
                <w:rFonts w:eastAsia="Times New Roman" w:cs="Open Sans Light"/>
                <w:sz w:val="16"/>
                <w:szCs w:val="16"/>
                <w:lang w:eastAsia="en-AU"/>
              </w:rPr>
              <w:t>-186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auto" w:fill="auto"/>
            <w:vAlign w:val="bottom"/>
            <w:hideMark/>
          </w:tcPr>
          <w:p w14:paraId="336BEA24" w14:textId="77777777" w:rsidR="002C25F2" w:rsidRPr="002C25F2" w:rsidRDefault="002C25F2" w:rsidP="002C25F2">
            <w:pPr>
              <w:tabs>
                <w:tab w:val="clear" w:pos="567"/>
              </w:tabs>
              <w:spacing w:line="240" w:lineRule="auto"/>
              <w:jc w:val="right"/>
              <w:rPr>
                <w:rFonts w:eastAsia="Times New Roman" w:cs="Open Sans Light"/>
                <w:sz w:val="16"/>
                <w:szCs w:val="16"/>
                <w:lang w:eastAsia="en-AU"/>
              </w:rPr>
            </w:pPr>
            <w:r w:rsidRPr="002C25F2">
              <w:rPr>
                <w:rFonts w:eastAsia="Times New Roman" w:cs="Open Sans Light"/>
                <w:sz w:val="16"/>
                <w:szCs w:val="16"/>
                <w:lang w:eastAsia="en-AU"/>
              </w:rPr>
              <w:t>115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auto" w:fill="auto"/>
            <w:vAlign w:val="bottom"/>
            <w:hideMark/>
          </w:tcPr>
          <w:p w14:paraId="4E0242A4" w14:textId="77777777" w:rsidR="002C25F2" w:rsidRPr="002C25F2" w:rsidRDefault="002C25F2" w:rsidP="002C25F2">
            <w:pPr>
              <w:tabs>
                <w:tab w:val="clear" w:pos="567"/>
              </w:tabs>
              <w:spacing w:line="240" w:lineRule="auto"/>
              <w:jc w:val="right"/>
              <w:rPr>
                <w:rFonts w:eastAsia="Times New Roman" w:cs="Open Sans Light"/>
                <w:sz w:val="16"/>
                <w:szCs w:val="16"/>
                <w:lang w:eastAsia="en-AU"/>
              </w:rPr>
            </w:pPr>
            <w:r w:rsidRPr="002C25F2">
              <w:rPr>
                <w:rFonts w:eastAsia="Times New Roman" w:cs="Open Sans Light"/>
                <w:sz w:val="16"/>
                <w:szCs w:val="16"/>
                <w:lang w:eastAsia="en-AU"/>
              </w:rPr>
              <w:t>137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auto" w:fill="auto"/>
            <w:vAlign w:val="bottom"/>
            <w:hideMark/>
          </w:tcPr>
          <w:p w14:paraId="47C36611" w14:textId="77777777" w:rsidR="002C25F2" w:rsidRPr="002C25F2" w:rsidRDefault="002C25F2" w:rsidP="002C25F2">
            <w:pPr>
              <w:tabs>
                <w:tab w:val="clear" w:pos="567"/>
              </w:tabs>
              <w:spacing w:line="240" w:lineRule="auto"/>
              <w:jc w:val="right"/>
              <w:rPr>
                <w:rFonts w:eastAsia="Times New Roman" w:cs="Open Sans Light"/>
                <w:sz w:val="16"/>
                <w:szCs w:val="16"/>
                <w:lang w:eastAsia="en-AU"/>
              </w:rPr>
            </w:pPr>
            <w:r w:rsidRPr="002C25F2">
              <w:rPr>
                <w:rFonts w:eastAsia="Times New Roman" w:cs="Open Sans Light"/>
                <w:sz w:val="16"/>
                <w:szCs w:val="16"/>
                <w:lang w:eastAsia="en-AU"/>
              </w:rPr>
              <w:t>849</w:t>
            </w:r>
          </w:p>
        </w:tc>
      </w:tr>
      <w:tr w:rsidR="002C25F2" w:rsidRPr="002C25F2" w14:paraId="1A9F8987" w14:textId="77777777" w:rsidTr="001B5072">
        <w:trPr>
          <w:trHeight w:val="315"/>
        </w:trPr>
        <w:tc>
          <w:tcPr>
            <w:tcW w:w="2660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auto" w:fill="auto"/>
            <w:vAlign w:val="bottom"/>
            <w:hideMark/>
          </w:tcPr>
          <w:p w14:paraId="707C4CDA" w14:textId="77777777" w:rsidR="002C25F2" w:rsidRPr="002C25F2" w:rsidRDefault="002C25F2" w:rsidP="002C25F2">
            <w:pPr>
              <w:tabs>
                <w:tab w:val="clear" w:pos="567"/>
              </w:tabs>
              <w:spacing w:line="240" w:lineRule="auto"/>
              <w:rPr>
                <w:rFonts w:eastAsia="Times New Roman" w:cs="Open Sans Light"/>
                <w:sz w:val="16"/>
                <w:szCs w:val="16"/>
                <w:lang w:eastAsia="en-AU"/>
              </w:rPr>
            </w:pPr>
            <w:r w:rsidRPr="002C25F2">
              <w:rPr>
                <w:rFonts w:eastAsia="Times New Roman" w:cs="Open Sans Light"/>
                <w:sz w:val="16"/>
                <w:szCs w:val="16"/>
                <w:lang w:eastAsia="en-AU"/>
              </w:rPr>
              <w:t>Non-State sector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auto" w:fill="auto"/>
            <w:vAlign w:val="bottom"/>
            <w:hideMark/>
          </w:tcPr>
          <w:p w14:paraId="6B9D350A" w14:textId="77777777" w:rsidR="002C25F2" w:rsidRPr="002C25F2" w:rsidRDefault="002C25F2" w:rsidP="002C25F2">
            <w:pPr>
              <w:tabs>
                <w:tab w:val="clear" w:pos="567"/>
              </w:tabs>
              <w:spacing w:line="240" w:lineRule="auto"/>
              <w:jc w:val="right"/>
              <w:rPr>
                <w:rFonts w:eastAsia="Times New Roman" w:cs="Open Sans Light"/>
                <w:sz w:val="16"/>
                <w:szCs w:val="16"/>
                <w:lang w:eastAsia="en-AU"/>
              </w:rPr>
            </w:pPr>
            <w:r w:rsidRPr="002C25F2">
              <w:rPr>
                <w:rFonts w:eastAsia="Times New Roman" w:cs="Open Sans Light"/>
                <w:sz w:val="16"/>
                <w:szCs w:val="16"/>
                <w:lang w:eastAsia="en-AU"/>
              </w:rPr>
              <w:t>-341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auto" w:fill="auto"/>
            <w:vAlign w:val="bottom"/>
            <w:hideMark/>
          </w:tcPr>
          <w:p w14:paraId="0908A591" w14:textId="77777777" w:rsidR="002C25F2" w:rsidRPr="002C25F2" w:rsidRDefault="002C25F2" w:rsidP="002C25F2">
            <w:pPr>
              <w:tabs>
                <w:tab w:val="clear" w:pos="567"/>
              </w:tabs>
              <w:spacing w:line="240" w:lineRule="auto"/>
              <w:jc w:val="right"/>
              <w:rPr>
                <w:rFonts w:eastAsia="Times New Roman" w:cs="Open Sans Light"/>
                <w:sz w:val="16"/>
                <w:szCs w:val="16"/>
                <w:lang w:eastAsia="en-AU"/>
              </w:rPr>
            </w:pPr>
            <w:r w:rsidRPr="002C25F2">
              <w:rPr>
                <w:rFonts w:eastAsia="Times New Roman" w:cs="Open Sans Light"/>
                <w:sz w:val="16"/>
                <w:szCs w:val="16"/>
                <w:lang w:eastAsia="en-AU"/>
              </w:rPr>
              <w:t>-218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auto" w:fill="auto"/>
            <w:vAlign w:val="bottom"/>
            <w:hideMark/>
          </w:tcPr>
          <w:p w14:paraId="2BC45291" w14:textId="77777777" w:rsidR="002C25F2" w:rsidRPr="002C25F2" w:rsidRDefault="002C25F2" w:rsidP="002C25F2">
            <w:pPr>
              <w:tabs>
                <w:tab w:val="clear" w:pos="567"/>
              </w:tabs>
              <w:spacing w:line="240" w:lineRule="auto"/>
              <w:jc w:val="right"/>
              <w:rPr>
                <w:rFonts w:eastAsia="Times New Roman" w:cs="Open Sans Light"/>
                <w:sz w:val="16"/>
                <w:szCs w:val="16"/>
                <w:lang w:eastAsia="en-AU"/>
              </w:rPr>
            </w:pPr>
            <w:r w:rsidRPr="002C25F2">
              <w:rPr>
                <w:rFonts w:eastAsia="Times New Roman" w:cs="Open Sans Light"/>
                <w:sz w:val="16"/>
                <w:szCs w:val="16"/>
                <w:lang w:eastAsia="en-AU"/>
              </w:rPr>
              <w:t>171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auto" w:fill="auto"/>
            <w:vAlign w:val="bottom"/>
            <w:hideMark/>
          </w:tcPr>
          <w:p w14:paraId="25A04292" w14:textId="77777777" w:rsidR="002C25F2" w:rsidRPr="002C25F2" w:rsidRDefault="002C25F2" w:rsidP="002C25F2">
            <w:pPr>
              <w:tabs>
                <w:tab w:val="clear" w:pos="567"/>
              </w:tabs>
              <w:spacing w:line="240" w:lineRule="auto"/>
              <w:jc w:val="right"/>
              <w:rPr>
                <w:rFonts w:eastAsia="Times New Roman" w:cs="Open Sans Light"/>
                <w:sz w:val="16"/>
                <w:szCs w:val="16"/>
                <w:lang w:eastAsia="en-AU"/>
              </w:rPr>
            </w:pPr>
            <w:r w:rsidRPr="002C25F2">
              <w:rPr>
                <w:rFonts w:eastAsia="Times New Roman" w:cs="Open Sans Light"/>
                <w:sz w:val="16"/>
                <w:szCs w:val="16"/>
                <w:lang w:eastAsia="en-AU"/>
              </w:rPr>
              <w:t>279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auto" w:fill="auto"/>
            <w:vAlign w:val="bottom"/>
            <w:hideMark/>
          </w:tcPr>
          <w:p w14:paraId="10268FDE" w14:textId="77777777" w:rsidR="002C25F2" w:rsidRPr="002C25F2" w:rsidRDefault="002C25F2" w:rsidP="002C25F2">
            <w:pPr>
              <w:tabs>
                <w:tab w:val="clear" w:pos="567"/>
              </w:tabs>
              <w:spacing w:line="240" w:lineRule="auto"/>
              <w:jc w:val="right"/>
              <w:rPr>
                <w:rFonts w:eastAsia="Times New Roman" w:cs="Open Sans Light"/>
                <w:sz w:val="16"/>
                <w:szCs w:val="16"/>
                <w:lang w:eastAsia="en-AU"/>
              </w:rPr>
            </w:pPr>
            <w:r w:rsidRPr="002C25F2">
              <w:rPr>
                <w:rFonts w:eastAsia="Times New Roman" w:cs="Open Sans Light"/>
                <w:sz w:val="16"/>
                <w:szCs w:val="16"/>
                <w:lang w:eastAsia="en-AU"/>
              </w:rPr>
              <w:t>-17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auto" w:fill="auto"/>
            <w:vAlign w:val="bottom"/>
            <w:hideMark/>
          </w:tcPr>
          <w:p w14:paraId="3269ED4C" w14:textId="77777777" w:rsidR="002C25F2" w:rsidRPr="002C25F2" w:rsidRDefault="002C25F2" w:rsidP="002C25F2">
            <w:pPr>
              <w:tabs>
                <w:tab w:val="clear" w:pos="567"/>
              </w:tabs>
              <w:spacing w:line="240" w:lineRule="auto"/>
              <w:jc w:val="right"/>
              <w:rPr>
                <w:rFonts w:eastAsia="Times New Roman" w:cs="Open Sans Light"/>
                <w:sz w:val="16"/>
                <w:szCs w:val="16"/>
                <w:lang w:eastAsia="en-AU"/>
              </w:rPr>
            </w:pPr>
            <w:r w:rsidRPr="002C25F2">
              <w:rPr>
                <w:rFonts w:eastAsia="Times New Roman" w:cs="Open Sans Light"/>
                <w:sz w:val="16"/>
                <w:szCs w:val="16"/>
                <w:lang w:eastAsia="en-AU"/>
              </w:rPr>
              <w:t>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auto" w:fill="auto"/>
            <w:vAlign w:val="bottom"/>
            <w:hideMark/>
          </w:tcPr>
          <w:p w14:paraId="24C1588C" w14:textId="77777777" w:rsidR="002C25F2" w:rsidRPr="002C25F2" w:rsidRDefault="002C25F2" w:rsidP="002C25F2">
            <w:pPr>
              <w:tabs>
                <w:tab w:val="clear" w:pos="567"/>
              </w:tabs>
              <w:spacing w:line="240" w:lineRule="auto"/>
              <w:jc w:val="right"/>
              <w:rPr>
                <w:rFonts w:eastAsia="Times New Roman" w:cs="Open Sans Light"/>
                <w:sz w:val="16"/>
                <w:szCs w:val="16"/>
                <w:lang w:eastAsia="en-AU"/>
              </w:rPr>
            </w:pPr>
            <w:r w:rsidRPr="002C25F2">
              <w:rPr>
                <w:rFonts w:eastAsia="Times New Roman" w:cs="Open Sans Light"/>
                <w:sz w:val="16"/>
                <w:szCs w:val="16"/>
                <w:lang w:eastAsia="en-AU"/>
              </w:rPr>
              <w:t>95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auto" w:fill="auto"/>
            <w:vAlign w:val="bottom"/>
            <w:hideMark/>
          </w:tcPr>
          <w:p w14:paraId="286EC7D4" w14:textId="77777777" w:rsidR="002C25F2" w:rsidRPr="002C25F2" w:rsidRDefault="002C25F2" w:rsidP="002C25F2">
            <w:pPr>
              <w:tabs>
                <w:tab w:val="clear" w:pos="567"/>
              </w:tabs>
              <w:spacing w:line="240" w:lineRule="auto"/>
              <w:jc w:val="right"/>
              <w:rPr>
                <w:rFonts w:eastAsia="Times New Roman" w:cs="Open Sans Light"/>
                <w:sz w:val="16"/>
                <w:szCs w:val="16"/>
                <w:lang w:eastAsia="en-AU"/>
              </w:rPr>
            </w:pPr>
            <w:r w:rsidRPr="002C25F2">
              <w:rPr>
                <w:rFonts w:eastAsia="Times New Roman" w:cs="Open Sans Light"/>
                <w:sz w:val="16"/>
                <w:szCs w:val="16"/>
                <w:lang w:eastAsia="en-AU"/>
              </w:rPr>
              <w:t>-8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auto" w:fill="auto"/>
            <w:vAlign w:val="bottom"/>
            <w:hideMark/>
          </w:tcPr>
          <w:p w14:paraId="3CF4E91B" w14:textId="77777777" w:rsidR="002C25F2" w:rsidRPr="002C25F2" w:rsidRDefault="002C25F2" w:rsidP="002C25F2">
            <w:pPr>
              <w:tabs>
                <w:tab w:val="clear" w:pos="567"/>
              </w:tabs>
              <w:spacing w:line="240" w:lineRule="auto"/>
              <w:jc w:val="right"/>
              <w:rPr>
                <w:rFonts w:eastAsia="Times New Roman" w:cs="Open Sans Light"/>
                <w:sz w:val="16"/>
                <w:szCs w:val="16"/>
                <w:lang w:eastAsia="en-AU"/>
              </w:rPr>
            </w:pPr>
            <w:r w:rsidRPr="002C25F2">
              <w:rPr>
                <w:rFonts w:eastAsia="Times New Roman" w:cs="Open Sans Light"/>
                <w:sz w:val="16"/>
                <w:szCs w:val="16"/>
                <w:lang w:eastAsia="en-AU"/>
              </w:rPr>
              <w:t>585</w:t>
            </w:r>
          </w:p>
        </w:tc>
      </w:tr>
      <w:tr w:rsidR="002C25F2" w:rsidRPr="002C25F2" w14:paraId="0254172F" w14:textId="77777777" w:rsidTr="001B5072">
        <w:trPr>
          <w:trHeight w:val="315"/>
        </w:trPr>
        <w:tc>
          <w:tcPr>
            <w:tcW w:w="2660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auto" w:fill="auto"/>
            <w:vAlign w:val="bottom"/>
            <w:hideMark/>
          </w:tcPr>
          <w:p w14:paraId="756BB5EA" w14:textId="77777777" w:rsidR="002C25F2" w:rsidRPr="002C25F2" w:rsidRDefault="002C25F2" w:rsidP="002C25F2">
            <w:pPr>
              <w:tabs>
                <w:tab w:val="clear" w:pos="567"/>
              </w:tabs>
              <w:spacing w:line="240" w:lineRule="auto"/>
              <w:rPr>
                <w:rFonts w:eastAsia="Times New Roman" w:cs="Open Sans Light"/>
                <w:sz w:val="16"/>
                <w:szCs w:val="16"/>
                <w:lang w:eastAsia="en-AU"/>
              </w:rPr>
            </w:pPr>
            <w:r w:rsidRPr="002C25F2">
              <w:rPr>
                <w:rFonts w:eastAsia="Times New Roman" w:cs="Open Sans Light"/>
                <w:sz w:val="16"/>
                <w:szCs w:val="16"/>
                <w:lang w:eastAsia="en-AU"/>
              </w:rPr>
              <w:t>Other expenses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auto" w:fill="auto"/>
            <w:vAlign w:val="bottom"/>
            <w:hideMark/>
          </w:tcPr>
          <w:p w14:paraId="402EC2DA" w14:textId="77777777" w:rsidR="002C25F2" w:rsidRPr="002C25F2" w:rsidRDefault="002C25F2" w:rsidP="002C25F2">
            <w:pPr>
              <w:tabs>
                <w:tab w:val="clear" w:pos="567"/>
              </w:tabs>
              <w:spacing w:line="240" w:lineRule="auto"/>
              <w:jc w:val="right"/>
              <w:rPr>
                <w:rFonts w:eastAsia="Times New Roman" w:cs="Open Sans Light"/>
                <w:sz w:val="16"/>
                <w:szCs w:val="16"/>
                <w:lang w:eastAsia="en-AU"/>
              </w:rPr>
            </w:pPr>
            <w:r w:rsidRPr="002C25F2">
              <w:rPr>
                <w:rFonts w:eastAsia="Times New Roman" w:cs="Open Sans Light"/>
                <w:sz w:val="16"/>
                <w:szCs w:val="16"/>
                <w:lang w:eastAsia="en-AU"/>
              </w:rPr>
              <w:t>-512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auto" w:fill="auto"/>
            <w:vAlign w:val="bottom"/>
            <w:hideMark/>
          </w:tcPr>
          <w:p w14:paraId="5CF5EDF3" w14:textId="77777777" w:rsidR="002C25F2" w:rsidRPr="002C25F2" w:rsidRDefault="002C25F2" w:rsidP="002C25F2">
            <w:pPr>
              <w:tabs>
                <w:tab w:val="clear" w:pos="567"/>
              </w:tabs>
              <w:spacing w:line="240" w:lineRule="auto"/>
              <w:jc w:val="right"/>
              <w:rPr>
                <w:rFonts w:eastAsia="Times New Roman" w:cs="Open Sans Light"/>
                <w:sz w:val="16"/>
                <w:szCs w:val="16"/>
                <w:lang w:eastAsia="en-AU"/>
              </w:rPr>
            </w:pPr>
            <w:r w:rsidRPr="002C25F2">
              <w:rPr>
                <w:rFonts w:eastAsia="Times New Roman" w:cs="Open Sans Light"/>
                <w:sz w:val="16"/>
                <w:szCs w:val="16"/>
                <w:lang w:eastAsia="en-AU"/>
              </w:rPr>
              <w:t>-630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auto" w:fill="auto"/>
            <w:vAlign w:val="bottom"/>
            <w:hideMark/>
          </w:tcPr>
          <w:p w14:paraId="61B66B6D" w14:textId="77777777" w:rsidR="002C25F2" w:rsidRPr="002C25F2" w:rsidRDefault="002C25F2" w:rsidP="002C25F2">
            <w:pPr>
              <w:tabs>
                <w:tab w:val="clear" w:pos="567"/>
              </w:tabs>
              <w:spacing w:line="240" w:lineRule="auto"/>
              <w:jc w:val="right"/>
              <w:rPr>
                <w:rFonts w:eastAsia="Times New Roman" w:cs="Open Sans Light"/>
                <w:sz w:val="16"/>
                <w:szCs w:val="16"/>
                <w:lang w:eastAsia="en-AU"/>
              </w:rPr>
            </w:pPr>
            <w:r w:rsidRPr="002C25F2">
              <w:rPr>
                <w:rFonts w:eastAsia="Times New Roman" w:cs="Open Sans Light"/>
                <w:sz w:val="16"/>
                <w:szCs w:val="16"/>
                <w:lang w:eastAsia="en-AU"/>
              </w:rPr>
              <w:t>517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auto" w:fill="auto"/>
            <w:vAlign w:val="bottom"/>
            <w:hideMark/>
          </w:tcPr>
          <w:p w14:paraId="2E4420DF" w14:textId="77777777" w:rsidR="002C25F2" w:rsidRPr="002C25F2" w:rsidRDefault="002C25F2" w:rsidP="002C25F2">
            <w:pPr>
              <w:tabs>
                <w:tab w:val="clear" w:pos="567"/>
              </w:tabs>
              <w:spacing w:line="240" w:lineRule="auto"/>
              <w:jc w:val="right"/>
              <w:rPr>
                <w:rFonts w:eastAsia="Times New Roman" w:cs="Open Sans Light"/>
                <w:sz w:val="16"/>
                <w:szCs w:val="16"/>
                <w:lang w:eastAsia="en-AU"/>
              </w:rPr>
            </w:pPr>
            <w:r w:rsidRPr="002C25F2">
              <w:rPr>
                <w:rFonts w:eastAsia="Times New Roman" w:cs="Open Sans Light"/>
                <w:sz w:val="16"/>
                <w:szCs w:val="16"/>
                <w:lang w:eastAsia="en-AU"/>
              </w:rPr>
              <w:t>435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auto" w:fill="auto"/>
            <w:vAlign w:val="bottom"/>
            <w:hideMark/>
          </w:tcPr>
          <w:p w14:paraId="06ADD08D" w14:textId="77777777" w:rsidR="002C25F2" w:rsidRPr="002C25F2" w:rsidRDefault="002C25F2" w:rsidP="002C25F2">
            <w:pPr>
              <w:tabs>
                <w:tab w:val="clear" w:pos="567"/>
              </w:tabs>
              <w:spacing w:line="240" w:lineRule="auto"/>
              <w:jc w:val="right"/>
              <w:rPr>
                <w:rFonts w:eastAsia="Times New Roman" w:cs="Open Sans Light"/>
                <w:sz w:val="16"/>
                <w:szCs w:val="16"/>
                <w:lang w:eastAsia="en-AU"/>
              </w:rPr>
            </w:pPr>
            <w:r w:rsidRPr="002C25F2">
              <w:rPr>
                <w:rFonts w:eastAsia="Times New Roman" w:cs="Open Sans Light"/>
                <w:sz w:val="16"/>
                <w:szCs w:val="16"/>
                <w:lang w:eastAsia="en-AU"/>
              </w:rPr>
              <w:t>62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auto" w:fill="auto"/>
            <w:vAlign w:val="bottom"/>
            <w:hideMark/>
          </w:tcPr>
          <w:p w14:paraId="552653EA" w14:textId="77777777" w:rsidR="002C25F2" w:rsidRPr="002C25F2" w:rsidRDefault="002C25F2" w:rsidP="002C25F2">
            <w:pPr>
              <w:tabs>
                <w:tab w:val="clear" w:pos="567"/>
              </w:tabs>
              <w:spacing w:line="240" w:lineRule="auto"/>
              <w:jc w:val="right"/>
              <w:rPr>
                <w:rFonts w:eastAsia="Times New Roman" w:cs="Open Sans Light"/>
                <w:sz w:val="16"/>
                <w:szCs w:val="16"/>
                <w:lang w:eastAsia="en-AU"/>
              </w:rPr>
            </w:pPr>
            <w:r w:rsidRPr="002C25F2">
              <w:rPr>
                <w:rFonts w:eastAsia="Times New Roman" w:cs="Open Sans Light"/>
                <w:sz w:val="16"/>
                <w:szCs w:val="16"/>
                <w:lang w:eastAsia="en-AU"/>
              </w:rPr>
              <w:t>57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auto" w:fill="auto"/>
            <w:vAlign w:val="bottom"/>
            <w:hideMark/>
          </w:tcPr>
          <w:p w14:paraId="3A6E15AB" w14:textId="77777777" w:rsidR="002C25F2" w:rsidRPr="002C25F2" w:rsidRDefault="002C25F2" w:rsidP="002C25F2">
            <w:pPr>
              <w:tabs>
                <w:tab w:val="clear" w:pos="567"/>
              </w:tabs>
              <w:spacing w:line="240" w:lineRule="auto"/>
              <w:jc w:val="right"/>
              <w:rPr>
                <w:rFonts w:eastAsia="Times New Roman" w:cs="Open Sans Light"/>
                <w:sz w:val="16"/>
                <w:szCs w:val="16"/>
                <w:lang w:eastAsia="en-AU"/>
              </w:rPr>
            </w:pPr>
            <w:r w:rsidRPr="002C25F2">
              <w:rPr>
                <w:rFonts w:eastAsia="Times New Roman" w:cs="Open Sans Light"/>
                <w:sz w:val="16"/>
                <w:szCs w:val="16"/>
                <w:lang w:eastAsia="en-AU"/>
              </w:rPr>
              <w:t>-80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auto" w:fill="auto"/>
            <w:vAlign w:val="bottom"/>
            <w:hideMark/>
          </w:tcPr>
          <w:p w14:paraId="2C421CE9" w14:textId="77777777" w:rsidR="002C25F2" w:rsidRPr="002C25F2" w:rsidRDefault="002C25F2" w:rsidP="002C25F2">
            <w:pPr>
              <w:tabs>
                <w:tab w:val="clear" w:pos="567"/>
              </w:tabs>
              <w:spacing w:line="240" w:lineRule="auto"/>
              <w:jc w:val="right"/>
              <w:rPr>
                <w:rFonts w:eastAsia="Times New Roman" w:cs="Open Sans Light"/>
                <w:sz w:val="16"/>
                <w:szCs w:val="16"/>
                <w:lang w:eastAsia="en-AU"/>
              </w:rPr>
            </w:pPr>
            <w:r w:rsidRPr="002C25F2">
              <w:rPr>
                <w:rFonts w:eastAsia="Times New Roman" w:cs="Open Sans Light"/>
                <w:sz w:val="16"/>
                <w:szCs w:val="16"/>
                <w:lang w:eastAsia="en-AU"/>
              </w:rPr>
              <w:t>151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auto" w:fill="auto"/>
            <w:vAlign w:val="bottom"/>
            <w:hideMark/>
          </w:tcPr>
          <w:p w14:paraId="7F5BDDAC" w14:textId="77777777" w:rsidR="002C25F2" w:rsidRPr="002C25F2" w:rsidRDefault="002C25F2" w:rsidP="002C25F2">
            <w:pPr>
              <w:tabs>
                <w:tab w:val="clear" w:pos="567"/>
              </w:tabs>
              <w:spacing w:line="240" w:lineRule="auto"/>
              <w:jc w:val="right"/>
              <w:rPr>
                <w:rFonts w:eastAsia="Times New Roman" w:cs="Open Sans Light"/>
                <w:sz w:val="16"/>
                <w:szCs w:val="16"/>
                <w:lang w:eastAsia="en-AU"/>
              </w:rPr>
            </w:pPr>
            <w:r w:rsidRPr="002C25F2">
              <w:rPr>
                <w:rFonts w:eastAsia="Times New Roman" w:cs="Open Sans Light"/>
                <w:sz w:val="16"/>
                <w:szCs w:val="16"/>
                <w:lang w:eastAsia="en-AU"/>
              </w:rPr>
              <w:t>1,222</w:t>
            </w:r>
          </w:p>
        </w:tc>
      </w:tr>
      <w:tr w:rsidR="002C25F2" w:rsidRPr="002C25F2" w14:paraId="5DD92B54" w14:textId="77777777" w:rsidTr="001B5072">
        <w:trPr>
          <w:trHeight w:val="315"/>
        </w:trPr>
        <w:tc>
          <w:tcPr>
            <w:tcW w:w="2660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000000" w:fill="D6E7F0"/>
            <w:vAlign w:val="bottom"/>
            <w:hideMark/>
          </w:tcPr>
          <w:p w14:paraId="6F0A17C0" w14:textId="77777777" w:rsidR="002C25F2" w:rsidRPr="002C25F2" w:rsidRDefault="002C25F2" w:rsidP="002C25F2">
            <w:pPr>
              <w:tabs>
                <w:tab w:val="clear" w:pos="567"/>
              </w:tabs>
              <w:spacing w:line="240" w:lineRule="auto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2C25F2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TOTAL EXPENSES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000000" w:fill="D6E7F0"/>
            <w:vAlign w:val="bottom"/>
            <w:hideMark/>
          </w:tcPr>
          <w:p w14:paraId="713E0AFF" w14:textId="77777777" w:rsidR="002C25F2" w:rsidRPr="002C25F2" w:rsidRDefault="002C25F2" w:rsidP="002C25F2">
            <w:pPr>
              <w:tabs>
                <w:tab w:val="clear" w:pos="567"/>
              </w:tabs>
              <w:spacing w:line="240" w:lineRule="auto"/>
              <w:jc w:val="right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2C25F2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-1,144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000000" w:fill="D6E7F0"/>
            <w:vAlign w:val="bottom"/>
            <w:hideMark/>
          </w:tcPr>
          <w:p w14:paraId="7438DF48" w14:textId="77777777" w:rsidR="002C25F2" w:rsidRPr="002C25F2" w:rsidRDefault="002C25F2" w:rsidP="002C25F2">
            <w:pPr>
              <w:tabs>
                <w:tab w:val="clear" w:pos="567"/>
              </w:tabs>
              <w:spacing w:line="240" w:lineRule="auto"/>
              <w:jc w:val="right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2C25F2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-4,689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000000" w:fill="D6E7F0"/>
            <w:vAlign w:val="bottom"/>
            <w:hideMark/>
          </w:tcPr>
          <w:p w14:paraId="44DAB6BB" w14:textId="77777777" w:rsidR="002C25F2" w:rsidRPr="002C25F2" w:rsidRDefault="002C25F2" w:rsidP="002C25F2">
            <w:pPr>
              <w:tabs>
                <w:tab w:val="clear" w:pos="567"/>
              </w:tabs>
              <w:spacing w:line="240" w:lineRule="auto"/>
              <w:jc w:val="right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2C25F2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1,295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000000" w:fill="D6E7F0"/>
            <w:vAlign w:val="bottom"/>
            <w:hideMark/>
          </w:tcPr>
          <w:p w14:paraId="15A0FB3A" w14:textId="77777777" w:rsidR="002C25F2" w:rsidRPr="002C25F2" w:rsidRDefault="002C25F2" w:rsidP="002C25F2">
            <w:pPr>
              <w:tabs>
                <w:tab w:val="clear" w:pos="567"/>
              </w:tabs>
              <w:spacing w:line="240" w:lineRule="auto"/>
              <w:jc w:val="right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2C25F2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1,412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000000" w:fill="D6E7F0"/>
            <w:vAlign w:val="bottom"/>
            <w:hideMark/>
          </w:tcPr>
          <w:p w14:paraId="5BD2AAFF" w14:textId="77777777" w:rsidR="002C25F2" w:rsidRPr="002C25F2" w:rsidRDefault="002C25F2" w:rsidP="002C25F2">
            <w:pPr>
              <w:tabs>
                <w:tab w:val="clear" w:pos="567"/>
              </w:tabs>
              <w:spacing w:line="240" w:lineRule="auto"/>
              <w:jc w:val="right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2C25F2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181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000000" w:fill="D6E7F0"/>
            <w:vAlign w:val="bottom"/>
            <w:hideMark/>
          </w:tcPr>
          <w:p w14:paraId="3BF6EB0E" w14:textId="77777777" w:rsidR="002C25F2" w:rsidRPr="002C25F2" w:rsidRDefault="002C25F2" w:rsidP="002C25F2">
            <w:pPr>
              <w:tabs>
                <w:tab w:val="clear" w:pos="567"/>
              </w:tabs>
              <w:spacing w:line="240" w:lineRule="auto"/>
              <w:jc w:val="right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2C25F2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725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000000" w:fill="D6E7F0"/>
            <w:vAlign w:val="bottom"/>
            <w:hideMark/>
          </w:tcPr>
          <w:p w14:paraId="0AA43994" w14:textId="77777777" w:rsidR="002C25F2" w:rsidRPr="002C25F2" w:rsidRDefault="002C25F2" w:rsidP="002C25F2">
            <w:pPr>
              <w:tabs>
                <w:tab w:val="clear" w:pos="567"/>
              </w:tabs>
              <w:spacing w:line="240" w:lineRule="auto"/>
              <w:jc w:val="right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2C25F2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-195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000000" w:fill="D6E7F0"/>
            <w:vAlign w:val="bottom"/>
            <w:hideMark/>
          </w:tcPr>
          <w:p w14:paraId="59418CCD" w14:textId="77777777" w:rsidR="002C25F2" w:rsidRPr="002C25F2" w:rsidRDefault="002C25F2" w:rsidP="002C25F2">
            <w:pPr>
              <w:tabs>
                <w:tab w:val="clear" w:pos="567"/>
              </w:tabs>
              <w:spacing w:line="240" w:lineRule="auto"/>
              <w:jc w:val="right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2C25F2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2,415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000000" w:fill="D6E7F0"/>
            <w:vAlign w:val="bottom"/>
            <w:hideMark/>
          </w:tcPr>
          <w:p w14:paraId="42C36A7E" w14:textId="77777777" w:rsidR="002C25F2" w:rsidRPr="002C25F2" w:rsidRDefault="002C25F2" w:rsidP="002C25F2">
            <w:pPr>
              <w:tabs>
                <w:tab w:val="clear" w:pos="567"/>
              </w:tabs>
              <w:spacing w:line="240" w:lineRule="auto"/>
              <w:jc w:val="right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2C25F2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6,028</w:t>
            </w:r>
          </w:p>
        </w:tc>
      </w:tr>
      <w:tr w:rsidR="002C25F2" w:rsidRPr="002C25F2" w14:paraId="55E8E8D2" w14:textId="77777777" w:rsidTr="001B5072">
        <w:trPr>
          <w:trHeight w:val="315"/>
        </w:trPr>
        <w:tc>
          <w:tcPr>
            <w:tcW w:w="9140" w:type="dxa"/>
            <w:gridSpan w:val="10"/>
            <w:tcBorders>
              <w:top w:val="single" w:sz="4" w:space="0" w:color="ADD6EA"/>
              <w:left w:val="nil"/>
              <w:bottom w:val="single" w:sz="4" w:space="0" w:color="ADD6EA"/>
              <w:right w:val="nil"/>
            </w:tcBorders>
            <w:shd w:val="clear" w:color="auto" w:fill="auto"/>
            <w:vAlign w:val="bottom"/>
            <w:hideMark/>
          </w:tcPr>
          <w:p w14:paraId="6F602143" w14:textId="77777777" w:rsidR="002C25F2" w:rsidRPr="002C25F2" w:rsidRDefault="002C25F2" w:rsidP="002C25F2">
            <w:pPr>
              <w:tabs>
                <w:tab w:val="clear" w:pos="567"/>
              </w:tabs>
              <w:spacing w:line="240" w:lineRule="auto"/>
              <w:rPr>
                <w:rFonts w:ascii="Open Sans SemiBold" w:eastAsia="Times New Roman" w:hAnsi="Open Sans SemiBold" w:cs="Open Sans SemiBold"/>
                <w:sz w:val="16"/>
                <w:szCs w:val="16"/>
                <w:lang w:eastAsia="en-AU"/>
              </w:rPr>
            </w:pPr>
            <w:r w:rsidRPr="002C25F2">
              <w:rPr>
                <w:rFonts w:ascii="Open Sans SemiBold" w:eastAsia="Times New Roman" w:hAnsi="Open Sans SemiBold" w:cs="Open Sans SemiBold"/>
                <w:sz w:val="16"/>
                <w:szCs w:val="16"/>
                <w:lang w:eastAsia="en-AU"/>
              </w:rPr>
              <w:t>INVESTMENT</w:t>
            </w:r>
          </w:p>
        </w:tc>
      </w:tr>
      <w:tr w:rsidR="002C25F2" w:rsidRPr="002C25F2" w14:paraId="2867A8AD" w14:textId="77777777" w:rsidTr="001B5072">
        <w:trPr>
          <w:trHeight w:val="315"/>
        </w:trPr>
        <w:tc>
          <w:tcPr>
            <w:tcW w:w="2660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auto" w:fill="auto"/>
            <w:vAlign w:val="bottom"/>
            <w:hideMark/>
          </w:tcPr>
          <w:p w14:paraId="6338A644" w14:textId="77777777" w:rsidR="002C25F2" w:rsidRPr="002C25F2" w:rsidRDefault="002C25F2" w:rsidP="002C25F2">
            <w:pPr>
              <w:tabs>
                <w:tab w:val="clear" w:pos="567"/>
              </w:tabs>
              <w:spacing w:line="240" w:lineRule="auto"/>
              <w:rPr>
                <w:rFonts w:eastAsia="Times New Roman" w:cs="Open Sans Light"/>
                <w:sz w:val="16"/>
                <w:szCs w:val="16"/>
                <w:lang w:eastAsia="en-AU"/>
              </w:rPr>
            </w:pPr>
            <w:r w:rsidRPr="002C25F2">
              <w:rPr>
                <w:rFonts w:eastAsia="Times New Roman" w:cs="Open Sans Light"/>
                <w:sz w:val="16"/>
                <w:szCs w:val="16"/>
                <w:lang w:eastAsia="en-AU"/>
              </w:rPr>
              <w:t>Capital requirement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auto" w:fill="auto"/>
            <w:vAlign w:val="bottom"/>
            <w:hideMark/>
          </w:tcPr>
          <w:p w14:paraId="0F4F60B6" w14:textId="77777777" w:rsidR="002C25F2" w:rsidRPr="002C25F2" w:rsidRDefault="002C25F2" w:rsidP="002C25F2">
            <w:pPr>
              <w:tabs>
                <w:tab w:val="clear" w:pos="567"/>
              </w:tabs>
              <w:spacing w:line="240" w:lineRule="auto"/>
              <w:jc w:val="right"/>
              <w:rPr>
                <w:rFonts w:eastAsia="Times New Roman" w:cs="Open Sans Light"/>
                <w:sz w:val="16"/>
                <w:szCs w:val="16"/>
                <w:lang w:eastAsia="en-AU"/>
              </w:rPr>
            </w:pPr>
            <w:r w:rsidRPr="002C25F2">
              <w:rPr>
                <w:rFonts w:eastAsia="Times New Roman" w:cs="Open Sans Light"/>
                <w:sz w:val="16"/>
                <w:szCs w:val="16"/>
                <w:lang w:eastAsia="en-AU"/>
              </w:rPr>
              <w:t>-45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auto" w:fill="auto"/>
            <w:vAlign w:val="bottom"/>
            <w:hideMark/>
          </w:tcPr>
          <w:p w14:paraId="733DF012" w14:textId="77777777" w:rsidR="002C25F2" w:rsidRPr="002C25F2" w:rsidRDefault="002C25F2" w:rsidP="002C25F2">
            <w:pPr>
              <w:tabs>
                <w:tab w:val="clear" w:pos="567"/>
              </w:tabs>
              <w:spacing w:line="240" w:lineRule="auto"/>
              <w:jc w:val="right"/>
              <w:rPr>
                <w:rFonts w:eastAsia="Times New Roman" w:cs="Open Sans Light"/>
                <w:sz w:val="16"/>
                <w:szCs w:val="16"/>
                <w:lang w:eastAsia="en-AU"/>
              </w:rPr>
            </w:pPr>
            <w:r w:rsidRPr="002C25F2">
              <w:rPr>
                <w:rFonts w:eastAsia="Times New Roman" w:cs="Open Sans Light"/>
                <w:sz w:val="16"/>
                <w:szCs w:val="16"/>
                <w:lang w:eastAsia="en-AU"/>
              </w:rPr>
              <w:t>956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auto" w:fill="auto"/>
            <w:vAlign w:val="bottom"/>
            <w:hideMark/>
          </w:tcPr>
          <w:p w14:paraId="2A2FC718" w14:textId="77777777" w:rsidR="002C25F2" w:rsidRPr="002C25F2" w:rsidRDefault="002C25F2" w:rsidP="002C25F2">
            <w:pPr>
              <w:tabs>
                <w:tab w:val="clear" w:pos="567"/>
              </w:tabs>
              <w:spacing w:line="240" w:lineRule="auto"/>
              <w:jc w:val="right"/>
              <w:rPr>
                <w:rFonts w:eastAsia="Times New Roman" w:cs="Open Sans Light"/>
                <w:sz w:val="16"/>
                <w:szCs w:val="16"/>
                <w:lang w:eastAsia="en-AU"/>
              </w:rPr>
            </w:pPr>
            <w:r w:rsidRPr="002C25F2">
              <w:rPr>
                <w:rFonts w:eastAsia="Times New Roman" w:cs="Open Sans Light"/>
                <w:sz w:val="16"/>
                <w:szCs w:val="16"/>
                <w:lang w:eastAsia="en-AU"/>
              </w:rPr>
              <w:t>-58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auto" w:fill="auto"/>
            <w:vAlign w:val="bottom"/>
            <w:hideMark/>
          </w:tcPr>
          <w:p w14:paraId="05F5B492" w14:textId="77777777" w:rsidR="002C25F2" w:rsidRPr="002C25F2" w:rsidRDefault="002C25F2" w:rsidP="002C25F2">
            <w:pPr>
              <w:tabs>
                <w:tab w:val="clear" w:pos="567"/>
              </w:tabs>
              <w:spacing w:line="240" w:lineRule="auto"/>
              <w:jc w:val="right"/>
              <w:rPr>
                <w:rFonts w:eastAsia="Times New Roman" w:cs="Open Sans Light"/>
                <w:sz w:val="16"/>
                <w:szCs w:val="16"/>
                <w:lang w:eastAsia="en-AU"/>
              </w:rPr>
            </w:pPr>
            <w:r w:rsidRPr="002C25F2">
              <w:rPr>
                <w:rFonts w:eastAsia="Times New Roman" w:cs="Open Sans Light"/>
                <w:sz w:val="16"/>
                <w:szCs w:val="16"/>
                <w:lang w:eastAsia="en-AU"/>
              </w:rPr>
              <w:t>-487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auto" w:fill="auto"/>
            <w:vAlign w:val="bottom"/>
            <w:hideMark/>
          </w:tcPr>
          <w:p w14:paraId="3E1CF824" w14:textId="77777777" w:rsidR="002C25F2" w:rsidRPr="002C25F2" w:rsidRDefault="002C25F2" w:rsidP="002C25F2">
            <w:pPr>
              <w:tabs>
                <w:tab w:val="clear" w:pos="567"/>
              </w:tabs>
              <w:spacing w:line="240" w:lineRule="auto"/>
              <w:jc w:val="right"/>
              <w:rPr>
                <w:rFonts w:eastAsia="Times New Roman" w:cs="Open Sans Light"/>
                <w:sz w:val="16"/>
                <w:szCs w:val="16"/>
                <w:lang w:eastAsia="en-AU"/>
              </w:rPr>
            </w:pPr>
            <w:r w:rsidRPr="002C25F2">
              <w:rPr>
                <w:rFonts w:eastAsia="Times New Roman" w:cs="Open Sans Light"/>
                <w:sz w:val="16"/>
                <w:szCs w:val="16"/>
                <w:lang w:eastAsia="en-AU"/>
              </w:rPr>
              <w:t>-298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auto" w:fill="auto"/>
            <w:vAlign w:val="bottom"/>
            <w:hideMark/>
          </w:tcPr>
          <w:p w14:paraId="78685245" w14:textId="77777777" w:rsidR="002C25F2" w:rsidRPr="002C25F2" w:rsidRDefault="002C25F2" w:rsidP="002C25F2">
            <w:pPr>
              <w:tabs>
                <w:tab w:val="clear" w:pos="567"/>
              </w:tabs>
              <w:spacing w:line="240" w:lineRule="auto"/>
              <w:jc w:val="right"/>
              <w:rPr>
                <w:rFonts w:eastAsia="Times New Roman" w:cs="Open Sans Light"/>
                <w:sz w:val="16"/>
                <w:szCs w:val="16"/>
                <w:lang w:eastAsia="en-AU"/>
              </w:rPr>
            </w:pPr>
            <w:r w:rsidRPr="002C25F2">
              <w:rPr>
                <w:rFonts w:eastAsia="Times New Roman" w:cs="Open Sans Light"/>
                <w:sz w:val="16"/>
                <w:szCs w:val="16"/>
                <w:lang w:eastAsia="en-AU"/>
              </w:rPr>
              <w:t>-47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auto" w:fill="auto"/>
            <w:vAlign w:val="bottom"/>
            <w:hideMark/>
          </w:tcPr>
          <w:p w14:paraId="55290F0F" w14:textId="77777777" w:rsidR="002C25F2" w:rsidRPr="002C25F2" w:rsidRDefault="002C25F2" w:rsidP="002C25F2">
            <w:pPr>
              <w:tabs>
                <w:tab w:val="clear" w:pos="567"/>
              </w:tabs>
              <w:spacing w:line="240" w:lineRule="auto"/>
              <w:jc w:val="right"/>
              <w:rPr>
                <w:rFonts w:eastAsia="Times New Roman" w:cs="Open Sans Light"/>
                <w:sz w:val="16"/>
                <w:szCs w:val="16"/>
                <w:lang w:eastAsia="en-AU"/>
              </w:rPr>
            </w:pPr>
            <w:r w:rsidRPr="002C25F2">
              <w:rPr>
                <w:rFonts w:eastAsia="Times New Roman" w:cs="Open Sans Light"/>
                <w:sz w:val="16"/>
                <w:szCs w:val="16"/>
                <w:lang w:eastAsia="en-AU"/>
              </w:rPr>
              <w:t>16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auto" w:fill="auto"/>
            <w:vAlign w:val="bottom"/>
            <w:hideMark/>
          </w:tcPr>
          <w:p w14:paraId="2333A52B" w14:textId="77777777" w:rsidR="002C25F2" w:rsidRPr="002C25F2" w:rsidRDefault="002C25F2" w:rsidP="002C25F2">
            <w:pPr>
              <w:tabs>
                <w:tab w:val="clear" w:pos="567"/>
              </w:tabs>
              <w:spacing w:line="240" w:lineRule="auto"/>
              <w:jc w:val="right"/>
              <w:rPr>
                <w:rFonts w:eastAsia="Times New Roman" w:cs="Open Sans Light"/>
                <w:sz w:val="16"/>
                <w:szCs w:val="16"/>
                <w:lang w:eastAsia="en-AU"/>
              </w:rPr>
            </w:pPr>
            <w:r w:rsidRPr="002C25F2">
              <w:rPr>
                <w:rFonts w:eastAsia="Times New Roman" w:cs="Open Sans Light"/>
                <w:sz w:val="16"/>
                <w:szCs w:val="16"/>
                <w:lang w:eastAsia="en-AU"/>
              </w:rPr>
              <w:t>-36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auto" w:fill="auto"/>
            <w:vAlign w:val="bottom"/>
            <w:hideMark/>
          </w:tcPr>
          <w:p w14:paraId="0F54199F" w14:textId="77777777" w:rsidR="002C25F2" w:rsidRPr="002C25F2" w:rsidRDefault="002C25F2" w:rsidP="002C25F2">
            <w:pPr>
              <w:tabs>
                <w:tab w:val="clear" w:pos="567"/>
              </w:tabs>
              <w:spacing w:line="240" w:lineRule="auto"/>
              <w:jc w:val="right"/>
              <w:rPr>
                <w:rFonts w:eastAsia="Times New Roman" w:cs="Open Sans Light"/>
                <w:sz w:val="16"/>
                <w:szCs w:val="16"/>
                <w:lang w:eastAsia="en-AU"/>
              </w:rPr>
            </w:pPr>
            <w:r w:rsidRPr="002C25F2">
              <w:rPr>
                <w:rFonts w:eastAsia="Times New Roman" w:cs="Open Sans Light"/>
                <w:sz w:val="16"/>
                <w:szCs w:val="16"/>
                <w:lang w:eastAsia="en-AU"/>
              </w:rPr>
              <w:t>972</w:t>
            </w:r>
          </w:p>
        </w:tc>
      </w:tr>
      <w:tr w:rsidR="002C25F2" w:rsidRPr="002C25F2" w14:paraId="3C003134" w14:textId="77777777" w:rsidTr="001B5072">
        <w:trPr>
          <w:trHeight w:val="315"/>
        </w:trPr>
        <w:tc>
          <w:tcPr>
            <w:tcW w:w="2660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auto" w:fill="auto"/>
            <w:vAlign w:val="bottom"/>
            <w:hideMark/>
          </w:tcPr>
          <w:p w14:paraId="2BBECC5E" w14:textId="77777777" w:rsidR="002C25F2" w:rsidRPr="002C25F2" w:rsidRDefault="002C25F2" w:rsidP="002C25F2">
            <w:pPr>
              <w:tabs>
                <w:tab w:val="clear" w:pos="567"/>
              </w:tabs>
              <w:spacing w:line="240" w:lineRule="auto"/>
              <w:rPr>
                <w:rFonts w:eastAsia="Times New Roman" w:cs="Open Sans Light"/>
                <w:sz w:val="16"/>
                <w:szCs w:val="16"/>
                <w:lang w:eastAsia="en-AU"/>
              </w:rPr>
            </w:pPr>
            <w:r w:rsidRPr="002C25F2">
              <w:rPr>
                <w:rFonts w:eastAsia="Times New Roman" w:cs="Open Sans Light"/>
                <w:sz w:val="16"/>
                <w:szCs w:val="16"/>
                <w:lang w:eastAsia="en-AU"/>
              </w:rPr>
              <w:t>Capital improvements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auto" w:fill="auto"/>
            <w:vAlign w:val="bottom"/>
            <w:hideMark/>
          </w:tcPr>
          <w:p w14:paraId="51B2EB9E" w14:textId="77777777" w:rsidR="002C25F2" w:rsidRPr="002C25F2" w:rsidRDefault="002C25F2" w:rsidP="002C25F2">
            <w:pPr>
              <w:tabs>
                <w:tab w:val="clear" w:pos="567"/>
              </w:tabs>
              <w:spacing w:line="240" w:lineRule="auto"/>
              <w:jc w:val="right"/>
              <w:rPr>
                <w:rFonts w:eastAsia="Times New Roman" w:cs="Open Sans Light"/>
                <w:sz w:val="16"/>
                <w:szCs w:val="16"/>
                <w:lang w:eastAsia="en-AU"/>
              </w:rPr>
            </w:pPr>
            <w:r w:rsidRPr="002C25F2">
              <w:rPr>
                <w:rFonts w:eastAsia="Times New Roman" w:cs="Open Sans Light"/>
                <w:sz w:val="16"/>
                <w:szCs w:val="16"/>
                <w:lang w:eastAsia="en-AU"/>
              </w:rPr>
              <w:t>101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auto" w:fill="auto"/>
            <w:vAlign w:val="bottom"/>
            <w:hideMark/>
          </w:tcPr>
          <w:p w14:paraId="5805F273" w14:textId="77777777" w:rsidR="002C25F2" w:rsidRPr="002C25F2" w:rsidRDefault="002C25F2" w:rsidP="002C25F2">
            <w:pPr>
              <w:tabs>
                <w:tab w:val="clear" w:pos="567"/>
              </w:tabs>
              <w:spacing w:line="240" w:lineRule="auto"/>
              <w:jc w:val="right"/>
              <w:rPr>
                <w:rFonts w:eastAsia="Times New Roman" w:cs="Open Sans Light"/>
                <w:sz w:val="16"/>
                <w:szCs w:val="16"/>
                <w:lang w:eastAsia="en-AU"/>
              </w:rPr>
            </w:pPr>
            <w:r w:rsidRPr="002C25F2">
              <w:rPr>
                <w:rFonts w:eastAsia="Times New Roman" w:cs="Open Sans Light"/>
                <w:sz w:val="16"/>
                <w:szCs w:val="16"/>
                <w:lang w:eastAsia="en-AU"/>
              </w:rPr>
              <w:t>-430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auto" w:fill="auto"/>
            <w:vAlign w:val="bottom"/>
            <w:hideMark/>
          </w:tcPr>
          <w:p w14:paraId="77330EC0" w14:textId="77777777" w:rsidR="002C25F2" w:rsidRPr="002C25F2" w:rsidRDefault="002C25F2" w:rsidP="002C25F2">
            <w:pPr>
              <w:tabs>
                <w:tab w:val="clear" w:pos="567"/>
              </w:tabs>
              <w:spacing w:line="240" w:lineRule="auto"/>
              <w:jc w:val="right"/>
              <w:rPr>
                <w:rFonts w:eastAsia="Times New Roman" w:cs="Open Sans Light"/>
                <w:sz w:val="16"/>
                <w:szCs w:val="16"/>
                <w:lang w:eastAsia="en-AU"/>
              </w:rPr>
            </w:pPr>
            <w:r w:rsidRPr="002C25F2">
              <w:rPr>
                <w:rFonts w:eastAsia="Times New Roman" w:cs="Open Sans Light"/>
                <w:sz w:val="16"/>
                <w:szCs w:val="16"/>
                <w:lang w:eastAsia="en-AU"/>
              </w:rPr>
              <w:t>49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auto" w:fill="auto"/>
            <w:vAlign w:val="bottom"/>
            <w:hideMark/>
          </w:tcPr>
          <w:p w14:paraId="7CC9C7F1" w14:textId="77777777" w:rsidR="002C25F2" w:rsidRPr="002C25F2" w:rsidRDefault="002C25F2" w:rsidP="002C25F2">
            <w:pPr>
              <w:tabs>
                <w:tab w:val="clear" w:pos="567"/>
              </w:tabs>
              <w:spacing w:line="240" w:lineRule="auto"/>
              <w:jc w:val="right"/>
              <w:rPr>
                <w:rFonts w:eastAsia="Times New Roman" w:cs="Open Sans Light"/>
                <w:sz w:val="16"/>
                <w:szCs w:val="16"/>
                <w:lang w:eastAsia="en-AU"/>
              </w:rPr>
            </w:pPr>
            <w:r w:rsidRPr="002C25F2">
              <w:rPr>
                <w:rFonts w:eastAsia="Times New Roman" w:cs="Open Sans Light"/>
                <w:sz w:val="16"/>
                <w:szCs w:val="16"/>
                <w:lang w:eastAsia="en-AU"/>
              </w:rPr>
              <w:t>150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auto" w:fill="auto"/>
            <w:vAlign w:val="bottom"/>
            <w:hideMark/>
          </w:tcPr>
          <w:p w14:paraId="640873D7" w14:textId="77777777" w:rsidR="002C25F2" w:rsidRPr="002C25F2" w:rsidRDefault="002C25F2" w:rsidP="002C25F2">
            <w:pPr>
              <w:tabs>
                <w:tab w:val="clear" w:pos="567"/>
              </w:tabs>
              <w:spacing w:line="240" w:lineRule="auto"/>
              <w:jc w:val="right"/>
              <w:rPr>
                <w:rFonts w:eastAsia="Times New Roman" w:cs="Open Sans Light"/>
                <w:sz w:val="16"/>
                <w:szCs w:val="16"/>
                <w:lang w:eastAsia="en-AU"/>
              </w:rPr>
            </w:pPr>
            <w:r w:rsidRPr="002C25F2">
              <w:rPr>
                <w:rFonts w:eastAsia="Times New Roman" w:cs="Open Sans Light"/>
                <w:sz w:val="16"/>
                <w:szCs w:val="16"/>
                <w:lang w:eastAsia="en-AU"/>
              </w:rPr>
              <w:t>-24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auto" w:fill="auto"/>
            <w:vAlign w:val="bottom"/>
            <w:hideMark/>
          </w:tcPr>
          <w:p w14:paraId="3350F2B9" w14:textId="77777777" w:rsidR="002C25F2" w:rsidRPr="002C25F2" w:rsidRDefault="002C25F2" w:rsidP="002C25F2">
            <w:pPr>
              <w:tabs>
                <w:tab w:val="clear" w:pos="567"/>
              </w:tabs>
              <w:spacing w:line="240" w:lineRule="auto"/>
              <w:jc w:val="right"/>
              <w:rPr>
                <w:rFonts w:eastAsia="Times New Roman" w:cs="Open Sans Light"/>
                <w:sz w:val="16"/>
                <w:szCs w:val="16"/>
                <w:lang w:eastAsia="en-AU"/>
              </w:rPr>
            </w:pPr>
            <w:r w:rsidRPr="002C25F2">
              <w:rPr>
                <w:rFonts w:eastAsia="Times New Roman" w:cs="Open Sans Light"/>
                <w:sz w:val="16"/>
                <w:szCs w:val="16"/>
                <w:lang w:eastAsia="en-AU"/>
              </w:rPr>
              <w:t>-31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auto" w:fill="auto"/>
            <w:vAlign w:val="bottom"/>
            <w:hideMark/>
          </w:tcPr>
          <w:p w14:paraId="437C6119" w14:textId="77777777" w:rsidR="002C25F2" w:rsidRPr="002C25F2" w:rsidRDefault="002C25F2" w:rsidP="002C25F2">
            <w:pPr>
              <w:tabs>
                <w:tab w:val="clear" w:pos="567"/>
              </w:tabs>
              <w:spacing w:line="240" w:lineRule="auto"/>
              <w:jc w:val="right"/>
              <w:rPr>
                <w:rFonts w:eastAsia="Times New Roman" w:cs="Open Sans Light"/>
                <w:sz w:val="16"/>
                <w:szCs w:val="16"/>
                <w:lang w:eastAsia="en-AU"/>
              </w:rPr>
            </w:pPr>
            <w:r w:rsidRPr="002C25F2">
              <w:rPr>
                <w:rFonts w:eastAsia="Times New Roman" w:cs="Open Sans Light"/>
                <w:sz w:val="16"/>
                <w:szCs w:val="16"/>
                <w:lang w:eastAsia="en-AU"/>
              </w:rPr>
              <w:t>-125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auto" w:fill="auto"/>
            <w:vAlign w:val="bottom"/>
            <w:hideMark/>
          </w:tcPr>
          <w:p w14:paraId="15A5D746" w14:textId="77777777" w:rsidR="002C25F2" w:rsidRPr="002C25F2" w:rsidRDefault="002C25F2" w:rsidP="002C25F2">
            <w:pPr>
              <w:tabs>
                <w:tab w:val="clear" w:pos="567"/>
              </w:tabs>
              <w:spacing w:line="240" w:lineRule="auto"/>
              <w:jc w:val="right"/>
              <w:rPr>
                <w:rFonts w:eastAsia="Times New Roman" w:cs="Open Sans Light"/>
                <w:sz w:val="16"/>
                <w:szCs w:val="16"/>
                <w:lang w:eastAsia="en-AU"/>
              </w:rPr>
            </w:pPr>
            <w:r w:rsidRPr="002C25F2">
              <w:rPr>
                <w:rFonts w:eastAsia="Times New Roman" w:cs="Open Sans Light"/>
                <w:sz w:val="16"/>
                <w:szCs w:val="16"/>
                <w:lang w:eastAsia="en-AU"/>
              </w:rPr>
              <w:t>310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auto" w:fill="auto"/>
            <w:vAlign w:val="bottom"/>
            <w:hideMark/>
          </w:tcPr>
          <w:p w14:paraId="16404E15" w14:textId="77777777" w:rsidR="002C25F2" w:rsidRPr="002C25F2" w:rsidRDefault="002C25F2" w:rsidP="002C25F2">
            <w:pPr>
              <w:tabs>
                <w:tab w:val="clear" w:pos="567"/>
              </w:tabs>
              <w:spacing w:line="240" w:lineRule="auto"/>
              <w:jc w:val="right"/>
              <w:rPr>
                <w:rFonts w:eastAsia="Times New Roman" w:cs="Open Sans Light"/>
                <w:sz w:val="16"/>
                <w:szCs w:val="16"/>
                <w:lang w:eastAsia="en-AU"/>
              </w:rPr>
            </w:pPr>
            <w:r w:rsidRPr="002C25F2">
              <w:rPr>
                <w:rFonts w:eastAsia="Times New Roman" w:cs="Open Sans Light"/>
                <w:sz w:val="16"/>
                <w:szCs w:val="16"/>
                <w:lang w:eastAsia="en-AU"/>
              </w:rPr>
              <w:t>610</w:t>
            </w:r>
          </w:p>
        </w:tc>
      </w:tr>
      <w:tr w:rsidR="002C25F2" w:rsidRPr="002C25F2" w14:paraId="6F6DBDEF" w14:textId="77777777" w:rsidTr="001B5072">
        <w:trPr>
          <w:trHeight w:val="315"/>
        </w:trPr>
        <w:tc>
          <w:tcPr>
            <w:tcW w:w="2660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auto" w:fill="auto"/>
            <w:vAlign w:val="bottom"/>
            <w:hideMark/>
          </w:tcPr>
          <w:p w14:paraId="6E6C6CDB" w14:textId="77777777" w:rsidR="002C25F2" w:rsidRPr="002C25F2" w:rsidRDefault="002C25F2" w:rsidP="002C25F2">
            <w:pPr>
              <w:tabs>
                <w:tab w:val="clear" w:pos="567"/>
              </w:tabs>
              <w:spacing w:line="240" w:lineRule="auto"/>
              <w:rPr>
                <w:rFonts w:eastAsia="Times New Roman" w:cs="Open Sans Light"/>
                <w:sz w:val="16"/>
                <w:szCs w:val="16"/>
                <w:lang w:eastAsia="en-AU"/>
              </w:rPr>
            </w:pPr>
            <w:r w:rsidRPr="002C25F2">
              <w:rPr>
                <w:rFonts w:eastAsia="Times New Roman" w:cs="Open Sans Light"/>
                <w:sz w:val="16"/>
                <w:szCs w:val="16"/>
                <w:lang w:eastAsia="en-AU"/>
              </w:rPr>
              <w:t>Cost of construction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auto" w:fill="auto"/>
            <w:vAlign w:val="bottom"/>
            <w:hideMark/>
          </w:tcPr>
          <w:p w14:paraId="50990D03" w14:textId="77777777" w:rsidR="002C25F2" w:rsidRPr="002C25F2" w:rsidRDefault="002C25F2" w:rsidP="002C25F2">
            <w:pPr>
              <w:tabs>
                <w:tab w:val="clear" w:pos="567"/>
              </w:tabs>
              <w:spacing w:line="240" w:lineRule="auto"/>
              <w:jc w:val="right"/>
              <w:rPr>
                <w:rFonts w:eastAsia="Times New Roman" w:cs="Open Sans Light"/>
                <w:sz w:val="16"/>
                <w:szCs w:val="16"/>
                <w:lang w:eastAsia="en-AU"/>
              </w:rPr>
            </w:pPr>
            <w:r w:rsidRPr="002C25F2">
              <w:rPr>
                <w:rFonts w:eastAsia="Times New Roman" w:cs="Open Sans Light"/>
                <w:sz w:val="16"/>
                <w:szCs w:val="16"/>
                <w:lang w:eastAsia="en-AU"/>
              </w:rPr>
              <w:t>55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auto" w:fill="auto"/>
            <w:vAlign w:val="bottom"/>
            <w:hideMark/>
          </w:tcPr>
          <w:p w14:paraId="1A9504E2" w14:textId="77777777" w:rsidR="002C25F2" w:rsidRPr="002C25F2" w:rsidRDefault="002C25F2" w:rsidP="002C25F2">
            <w:pPr>
              <w:tabs>
                <w:tab w:val="clear" w:pos="567"/>
              </w:tabs>
              <w:spacing w:line="240" w:lineRule="auto"/>
              <w:jc w:val="right"/>
              <w:rPr>
                <w:rFonts w:eastAsia="Times New Roman" w:cs="Open Sans Light"/>
                <w:sz w:val="16"/>
                <w:szCs w:val="16"/>
                <w:lang w:eastAsia="en-AU"/>
              </w:rPr>
            </w:pPr>
            <w:r w:rsidRPr="002C25F2">
              <w:rPr>
                <w:rFonts w:eastAsia="Times New Roman" w:cs="Open Sans Light"/>
                <w:sz w:val="16"/>
                <w:szCs w:val="16"/>
                <w:lang w:eastAsia="en-AU"/>
              </w:rPr>
              <w:t>-437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auto" w:fill="auto"/>
            <w:vAlign w:val="bottom"/>
            <w:hideMark/>
          </w:tcPr>
          <w:p w14:paraId="61E90EF1" w14:textId="77777777" w:rsidR="002C25F2" w:rsidRPr="002C25F2" w:rsidRDefault="002C25F2" w:rsidP="002C25F2">
            <w:pPr>
              <w:tabs>
                <w:tab w:val="clear" w:pos="567"/>
              </w:tabs>
              <w:spacing w:line="240" w:lineRule="auto"/>
              <w:jc w:val="right"/>
              <w:rPr>
                <w:rFonts w:eastAsia="Times New Roman" w:cs="Open Sans Light"/>
                <w:sz w:val="16"/>
                <w:szCs w:val="16"/>
                <w:lang w:eastAsia="en-AU"/>
              </w:rPr>
            </w:pPr>
            <w:r w:rsidRPr="002C25F2">
              <w:rPr>
                <w:rFonts w:eastAsia="Times New Roman" w:cs="Open Sans Light"/>
                <w:sz w:val="16"/>
                <w:szCs w:val="16"/>
                <w:lang w:eastAsia="en-AU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auto" w:fill="auto"/>
            <w:vAlign w:val="bottom"/>
            <w:hideMark/>
          </w:tcPr>
          <w:p w14:paraId="44EF2046" w14:textId="77777777" w:rsidR="002C25F2" w:rsidRPr="002C25F2" w:rsidRDefault="002C25F2" w:rsidP="002C25F2">
            <w:pPr>
              <w:tabs>
                <w:tab w:val="clear" w:pos="567"/>
              </w:tabs>
              <w:spacing w:line="240" w:lineRule="auto"/>
              <w:jc w:val="right"/>
              <w:rPr>
                <w:rFonts w:eastAsia="Times New Roman" w:cs="Open Sans Light"/>
                <w:sz w:val="16"/>
                <w:szCs w:val="16"/>
                <w:lang w:eastAsia="en-AU"/>
              </w:rPr>
            </w:pPr>
            <w:r w:rsidRPr="002C25F2">
              <w:rPr>
                <w:rFonts w:eastAsia="Times New Roman" w:cs="Open Sans Light"/>
                <w:sz w:val="16"/>
                <w:szCs w:val="16"/>
                <w:lang w:eastAsia="en-AU"/>
              </w:rPr>
              <w:t>287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auto" w:fill="auto"/>
            <w:vAlign w:val="bottom"/>
            <w:hideMark/>
          </w:tcPr>
          <w:p w14:paraId="24B5E669" w14:textId="77777777" w:rsidR="002C25F2" w:rsidRPr="002C25F2" w:rsidRDefault="002C25F2" w:rsidP="002C25F2">
            <w:pPr>
              <w:tabs>
                <w:tab w:val="clear" w:pos="567"/>
              </w:tabs>
              <w:spacing w:line="240" w:lineRule="auto"/>
              <w:jc w:val="right"/>
              <w:rPr>
                <w:rFonts w:eastAsia="Times New Roman" w:cs="Open Sans Light"/>
                <w:sz w:val="16"/>
                <w:szCs w:val="16"/>
                <w:lang w:eastAsia="en-AU"/>
              </w:rPr>
            </w:pPr>
            <w:r w:rsidRPr="002C25F2">
              <w:rPr>
                <w:rFonts w:eastAsia="Times New Roman" w:cs="Open Sans Light"/>
                <w:sz w:val="16"/>
                <w:szCs w:val="16"/>
                <w:lang w:eastAsia="en-AU"/>
              </w:rPr>
              <w:t>-23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auto" w:fill="auto"/>
            <w:vAlign w:val="bottom"/>
            <w:hideMark/>
          </w:tcPr>
          <w:p w14:paraId="715520D5" w14:textId="77777777" w:rsidR="002C25F2" w:rsidRPr="002C25F2" w:rsidRDefault="002C25F2" w:rsidP="002C25F2">
            <w:pPr>
              <w:tabs>
                <w:tab w:val="clear" w:pos="567"/>
              </w:tabs>
              <w:spacing w:line="240" w:lineRule="auto"/>
              <w:jc w:val="right"/>
              <w:rPr>
                <w:rFonts w:eastAsia="Times New Roman" w:cs="Open Sans Light"/>
                <w:sz w:val="16"/>
                <w:szCs w:val="16"/>
                <w:lang w:eastAsia="en-AU"/>
              </w:rPr>
            </w:pPr>
            <w:r w:rsidRPr="002C25F2">
              <w:rPr>
                <w:rFonts w:eastAsia="Times New Roman" w:cs="Open Sans Light"/>
                <w:sz w:val="16"/>
                <w:szCs w:val="16"/>
                <w:lang w:eastAsia="en-AU"/>
              </w:rPr>
              <w:t>-39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auto" w:fill="auto"/>
            <w:vAlign w:val="bottom"/>
            <w:hideMark/>
          </w:tcPr>
          <w:p w14:paraId="69D991A6" w14:textId="77777777" w:rsidR="002C25F2" w:rsidRPr="002C25F2" w:rsidRDefault="002C25F2" w:rsidP="002C25F2">
            <w:pPr>
              <w:tabs>
                <w:tab w:val="clear" w:pos="567"/>
              </w:tabs>
              <w:spacing w:line="240" w:lineRule="auto"/>
              <w:jc w:val="right"/>
              <w:rPr>
                <w:rFonts w:eastAsia="Times New Roman" w:cs="Open Sans Light"/>
                <w:sz w:val="16"/>
                <w:szCs w:val="16"/>
                <w:lang w:eastAsia="en-AU"/>
              </w:rPr>
            </w:pPr>
            <w:r w:rsidRPr="002C25F2">
              <w:rPr>
                <w:rFonts w:eastAsia="Times New Roman" w:cs="Open Sans Light"/>
                <w:sz w:val="16"/>
                <w:szCs w:val="16"/>
                <w:lang w:eastAsia="en-AU"/>
              </w:rPr>
              <w:t>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auto" w:fill="auto"/>
            <w:vAlign w:val="bottom"/>
            <w:hideMark/>
          </w:tcPr>
          <w:p w14:paraId="5AB57A53" w14:textId="77777777" w:rsidR="002C25F2" w:rsidRPr="002C25F2" w:rsidRDefault="002C25F2" w:rsidP="002C25F2">
            <w:pPr>
              <w:tabs>
                <w:tab w:val="clear" w:pos="567"/>
              </w:tabs>
              <w:spacing w:line="240" w:lineRule="auto"/>
              <w:jc w:val="right"/>
              <w:rPr>
                <w:rFonts w:eastAsia="Times New Roman" w:cs="Open Sans Light"/>
                <w:sz w:val="16"/>
                <w:szCs w:val="16"/>
                <w:lang w:eastAsia="en-AU"/>
              </w:rPr>
            </w:pPr>
            <w:r w:rsidRPr="002C25F2">
              <w:rPr>
                <w:rFonts w:eastAsia="Times New Roman" w:cs="Open Sans Light"/>
                <w:sz w:val="16"/>
                <w:szCs w:val="16"/>
                <w:lang w:eastAsia="en-AU"/>
              </w:rPr>
              <w:t>135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auto" w:fill="auto"/>
            <w:vAlign w:val="bottom"/>
            <w:hideMark/>
          </w:tcPr>
          <w:p w14:paraId="7F22A701" w14:textId="77777777" w:rsidR="002C25F2" w:rsidRPr="002C25F2" w:rsidRDefault="002C25F2" w:rsidP="002C25F2">
            <w:pPr>
              <w:tabs>
                <w:tab w:val="clear" w:pos="567"/>
              </w:tabs>
              <w:spacing w:line="240" w:lineRule="auto"/>
              <w:jc w:val="right"/>
              <w:rPr>
                <w:rFonts w:eastAsia="Times New Roman" w:cs="Open Sans Light"/>
                <w:sz w:val="16"/>
                <w:szCs w:val="16"/>
                <w:lang w:eastAsia="en-AU"/>
              </w:rPr>
            </w:pPr>
            <w:r w:rsidRPr="002C25F2">
              <w:rPr>
                <w:rFonts w:eastAsia="Times New Roman" w:cs="Open Sans Light"/>
                <w:sz w:val="16"/>
                <w:szCs w:val="16"/>
                <w:lang w:eastAsia="en-AU"/>
              </w:rPr>
              <w:t>500</w:t>
            </w:r>
          </w:p>
        </w:tc>
      </w:tr>
      <w:tr w:rsidR="002C25F2" w:rsidRPr="002C25F2" w14:paraId="20F2FC7C" w14:textId="77777777" w:rsidTr="001B5072">
        <w:trPr>
          <w:trHeight w:val="315"/>
        </w:trPr>
        <w:tc>
          <w:tcPr>
            <w:tcW w:w="2660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000000" w:fill="D6E7F0"/>
            <w:vAlign w:val="bottom"/>
            <w:hideMark/>
          </w:tcPr>
          <w:p w14:paraId="601C5B4E" w14:textId="77777777" w:rsidR="002C25F2" w:rsidRPr="002C25F2" w:rsidRDefault="002C25F2" w:rsidP="002C25F2">
            <w:pPr>
              <w:tabs>
                <w:tab w:val="clear" w:pos="567"/>
              </w:tabs>
              <w:spacing w:line="240" w:lineRule="auto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2C25F2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TOTAL INVESTMENT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000000" w:fill="D6E7F0"/>
            <w:vAlign w:val="bottom"/>
            <w:hideMark/>
          </w:tcPr>
          <w:p w14:paraId="3AE7A550" w14:textId="77777777" w:rsidR="002C25F2" w:rsidRPr="002C25F2" w:rsidRDefault="002C25F2" w:rsidP="002C25F2">
            <w:pPr>
              <w:tabs>
                <w:tab w:val="clear" w:pos="567"/>
              </w:tabs>
              <w:spacing w:line="240" w:lineRule="auto"/>
              <w:jc w:val="right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2C25F2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111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000000" w:fill="D6E7F0"/>
            <w:vAlign w:val="bottom"/>
            <w:hideMark/>
          </w:tcPr>
          <w:p w14:paraId="63BDD011" w14:textId="77777777" w:rsidR="002C25F2" w:rsidRPr="002C25F2" w:rsidRDefault="002C25F2" w:rsidP="002C25F2">
            <w:pPr>
              <w:tabs>
                <w:tab w:val="clear" w:pos="567"/>
              </w:tabs>
              <w:spacing w:line="240" w:lineRule="auto"/>
              <w:jc w:val="right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2C25F2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89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000000" w:fill="D6E7F0"/>
            <w:vAlign w:val="bottom"/>
            <w:hideMark/>
          </w:tcPr>
          <w:p w14:paraId="03E40C7F" w14:textId="77777777" w:rsidR="002C25F2" w:rsidRPr="002C25F2" w:rsidRDefault="002C25F2" w:rsidP="002C25F2">
            <w:pPr>
              <w:tabs>
                <w:tab w:val="clear" w:pos="567"/>
              </w:tabs>
              <w:spacing w:line="240" w:lineRule="auto"/>
              <w:jc w:val="right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2C25F2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000000" w:fill="D6E7F0"/>
            <w:vAlign w:val="bottom"/>
            <w:hideMark/>
          </w:tcPr>
          <w:p w14:paraId="5EC02253" w14:textId="77777777" w:rsidR="002C25F2" w:rsidRPr="002C25F2" w:rsidRDefault="002C25F2" w:rsidP="002C25F2">
            <w:pPr>
              <w:tabs>
                <w:tab w:val="clear" w:pos="567"/>
              </w:tabs>
              <w:spacing w:line="240" w:lineRule="auto"/>
              <w:jc w:val="right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2C25F2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-50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000000" w:fill="D6E7F0"/>
            <w:vAlign w:val="bottom"/>
            <w:hideMark/>
          </w:tcPr>
          <w:p w14:paraId="0BF1C138" w14:textId="77777777" w:rsidR="002C25F2" w:rsidRPr="002C25F2" w:rsidRDefault="002C25F2" w:rsidP="002C25F2">
            <w:pPr>
              <w:tabs>
                <w:tab w:val="clear" w:pos="567"/>
              </w:tabs>
              <w:spacing w:line="240" w:lineRule="auto"/>
              <w:jc w:val="right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2C25F2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-345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000000" w:fill="D6E7F0"/>
            <w:vAlign w:val="bottom"/>
            <w:hideMark/>
          </w:tcPr>
          <w:p w14:paraId="548E2682" w14:textId="77777777" w:rsidR="002C25F2" w:rsidRPr="002C25F2" w:rsidRDefault="002C25F2" w:rsidP="002C25F2">
            <w:pPr>
              <w:tabs>
                <w:tab w:val="clear" w:pos="567"/>
              </w:tabs>
              <w:spacing w:line="240" w:lineRule="auto"/>
              <w:jc w:val="right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2C25F2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-118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000000" w:fill="D6E7F0"/>
            <w:vAlign w:val="bottom"/>
            <w:hideMark/>
          </w:tcPr>
          <w:p w14:paraId="6C6826A9" w14:textId="77777777" w:rsidR="002C25F2" w:rsidRPr="002C25F2" w:rsidRDefault="002C25F2" w:rsidP="002C25F2">
            <w:pPr>
              <w:tabs>
                <w:tab w:val="clear" w:pos="567"/>
              </w:tabs>
              <w:spacing w:line="240" w:lineRule="auto"/>
              <w:jc w:val="right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2C25F2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-97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000000" w:fill="D6E7F0"/>
            <w:vAlign w:val="bottom"/>
            <w:hideMark/>
          </w:tcPr>
          <w:p w14:paraId="72A00EA3" w14:textId="77777777" w:rsidR="002C25F2" w:rsidRPr="002C25F2" w:rsidRDefault="002C25F2" w:rsidP="002C25F2">
            <w:pPr>
              <w:tabs>
                <w:tab w:val="clear" w:pos="567"/>
              </w:tabs>
              <w:spacing w:line="240" w:lineRule="auto"/>
              <w:jc w:val="right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2C25F2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409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000000" w:fill="D6E7F0"/>
            <w:vAlign w:val="bottom"/>
            <w:hideMark/>
          </w:tcPr>
          <w:p w14:paraId="015E7D21" w14:textId="77777777" w:rsidR="002C25F2" w:rsidRPr="002C25F2" w:rsidRDefault="002C25F2" w:rsidP="002C25F2">
            <w:pPr>
              <w:tabs>
                <w:tab w:val="clear" w:pos="567"/>
              </w:tabs>
              <w:spacing w:line="240" w:lineRule="auto"/>
              <w:jc w:val="right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2C25F2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610</w:t>
            </w:r>
          </w:p>
        </w:tc>
      </w:tr>
      <w:tr w:rsidR="002C25F2" w:rsidRPr="002C25F2" w14:paraId="27F69AD4" w14:textId="77777777" w:rsidTr="001B5072">
        <w:trPr>
          <w:trHeight w:val="555"/>
        </w:trPr>
        <w:tc>
          <w:tcPr>
            <w:tcW w:w="2660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000000" w:fill="D6E7F0"/>
            <w:vAlign w:val="center"/>
            <w:hideMark/>
          </w:tcPr>
          <w:p w14:paraId="24CCDBF2" w14:textId="77777777" w:rsidR="002C25F2" w:rsidRPr="002C25F2" w:rsidRDefault="002C25F2" w:rsidP="002C25F2">
            <w:pPr>
              <w:tabs>
                <w:tab w:val="clear" w:pos="567"/>
              </w:tabs>
              <w:spacing w:line="240" w:lineRule="auto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2C25F2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TOTAL EXPENSE AND INVESTMENT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000000" w:fill="D6E7F0"/>
            <w:vAlign w:val="center"/>
            <w:hideMark/>
          </w:tcPr>
          <w:p w14:paraId="621E890C" w14:textId="77777777" w:rsidR="002C25F2" w:rsidRPr="002C25F2" w:rsidRDefault="002C25F2" w:rsidP="002C25F2">
            <w:pPr>
              <w:tabs>
                <w:tab w:val="clear" w:pos="567"/>
              </w:tabs>
              <w:spacing w:line="240" w:lineRule="auto"/>
              <w:jc w:val="right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2C25F2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-1,033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000000" w:fill="D6E7F0"/>
            <w:vAlign w:val="center"/>
            <w:hideMark/>
          </w:tcPr>
          <w:p w14:paraId="487C8769" w14:textId="77777777" w:rsidR="002C25F2" w:rsidRPr="002C25F2" w:rsidRDefault="002C25F2" w:rsidP="002C25F2">
            <w:pPr>
              <w:tabs>
                <w:tab w:val="clear" w:pos="567"/>
              </w:tabs>
              <w:spacing w:line="240" w:lineRule="auto"/>
              <w:jc w:val="right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2C25F2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-4,600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000000" w:fill="D6E7F0"/>
            <w:vAlign w:val="center"/>
            <w:hideMark/>
          </w:tcPr>
          <w:p w14:paraId="6C639478" w14:textId="77777777" w:rsidR="002C25F2" w:rsidRPr="002C25F2" w:rsidRDefault="002C25F2" w:rsidP="002C25F2">
            <w:pPr>
              <w:tabs>
                <w:tab w:val="clear" w:pos="567"/>
              </w:tabs>
              <w:spacing w:line="240" w:lineRule="auto"/>
              <w:jc w:val="right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2C25F2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1,295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000000" w:fill="D6E7F0"/>
            <w:vAlign w:val="center"/>
            <w:hideMark/>
          </w:tcPr>
          <w:p w14:paraId="4343AAD1" w14:textId="77777777" w:rsidR="002C25F2" w:rsidRPr="002C25F2" w:rsidRDefault="002C25F2" w:rsidP="002C25F2">
            <w:pPr>
              <w:tabs>
                <w:tab w:val="clear" w:pos="567"/>
              </w:tabs>
              <w:spacing w:line="240" w:lineRule="auto"/>
              <w:jc w:val="right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2C25F2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1,361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000000" w:fill="D6E7F0"/>
            <w:vAlign w:val="center"/>
            <w:hideMark/>
          </w:tcPr>
          <w:p w14:paraId="15FCEB12" w14:textId="77777777" w:rsidR="002C25F2" w:rsidRPr="002C25F2" w:rsidRDefault="002C25F2" w:rsidP="002C25F2">
            <w:pPr>
              <w:tabs>
                <w:tab w:val="clear" w:pos="567"/>
              </w:tabs>
              <w:spacing w:line="240" w:lineRule="auto"/>
              <w:jc w:val="right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2C25F2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-164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000000" w:fill="D6E7F0"/>
            <w:vAlign w:val="center"/>
            <w:hideMark/>
          </w:tcPr>
          <w:p w14:paraId="22D2CE88" w14:textId="77777777" w:rsidR="002C25F2" w:rsidRPr="002C25F2" w:rsidRDefault="002C25F2" w:rsidP="002C25F2">
            <w:pPr>
              <w:tabs>
                <w:tab w:val="clear" w:pos="567"/>
              </w:tabs>
              <w:spacing w:line="240" w:lineRule="auto"/>
              <w:jc w:val="right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2C25F2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608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000000" w:fill="D6E7F0"/>
            <w:vAlign w:val="center"/>
            <w:hideMark/>
          </w:tcPr>
          <w:p w14:paraId="0C4A0BB4" w14:textId="77777777" w:rsidR="002C25F2" w:rsidRPr="002C25F2" w:rsidRDefault="002C25F2" w:rsidP="002C25F2">
            <w:pPr>
              <w:tabs>
                <w:tab w:val="clear" w:pos="567"/>
              </w:tabs>
              <w:spacing w:line="240" w:lineRule="auto"/>
              <w:jc w:val="right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2C25F2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-292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000000" w:fill="D6E7F0"/>
            <w:vAlign w:val="center"/>
            <w:hideMark/>
          </w:tcPr>
          <w:p w14:paraId="0FAFB922" w14:textId="77777777" w:rsidR="002C25F2" w:rsidRPr="002C25F2" w:rsidRDefault="002C25F2" w:rsidP="002C25F2">
            <w:pPr>
              <w:tabs>
                <w:tab w:val="clear" w:pos="567"/>
              </w:tabs>
              <w:spacing w:line="240" w:lineRule="auto"/>
              <w:jc w:val="right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2C25F2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2,825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000000" w:fill="D6E7F0"/>
            <w:vAlign w:val="center"/>
            <w:hideMark/>
          </w:tcPr>
          <w:p w14:paraId="635DFE6E" w14:textId="77777777" w:rsidR="002C25F2" w:rsidRPr="002C25F2" w:rsidRDefault="002C25F2" w:rsidP="002C25F2">
            <w:pPr>
              <w:tabs>
                <w:tab w:val="clear" w:pos="567"/>
              </w:tabs>
              <w:spacing w:line="240" w:lineRule="auto"/>
              <w:jc w:val="right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2C25F2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6,089</w:t>
            </w:r>
          </w:p>
        </w:tc>
      </w:tr>
      <w:tr w:rsidR="002C25F2" w:rsidRPr="002C25F2" w14:paraId="4051CA85" w14:textId="77777777" w:rsidTr="001B5072">
        <w:trPr>
          <w:trHeight w:val="315"/>
        </w:trPr>
        <w:tc>
          <w:tcPr>
            <w:tcW w:w="2660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auto" w:fill="auto"/>
            <w:vAlign w:val="bottom"/>
            <w:hideMark/>
          </w:tcPr>
          <w:p w14:paraId="3A9E7AD4" w14:textId="77777777" w:rsidR="002C25F2" w:rsidRPr="002C25F2" w:rsidRDefault="002C25F2" w:rsidP="002C25F2">
            <w:pPr>
              <w:tabs>
                <w:tab w:val="clear" w:pos="567"/>
              </w:tabs>
              <w:spacing w:line="240" w:lineRule="auto"/>
              <w:rPr>
                <w:rFonts w:eastAsia="Times New Roman" w:cs="Open Sans Light"/>
                <w:sz w:val="16"/>
                <w:szCs w:val="16"/>
                <w:lang w:eastAsia="en-AU"/>
              </w:rPr>
            </w:pPr>
            <w:r w:rsidRPr="002C25F2">
              <w:rPr>
                <w:rFonts w:eastAsia="Times New Roman" w:cs="Open Sans Light"/>
                <w:sz w:val="16"/>
                <w:szCs w:val="16"/>
                <w:lang w:eastAsia="en-AU"/>
              </w:rPr>
              <w:t>Commonwealth payments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auto" w:fill="auto"/>
            <w:vAlign w:val="bottom"/>
            <w:hideMark/>
          </w:tcPr>
          <w:p w14:paraId="6CDAD940" w14:textId="77777777" w:rsidR="002C25F2" w:rsidRPr="002C25F2" w:rsidRDefault="002C25F2" w:rsidP="002C25F2">
            <w:pPr>
              <w:tabs>
                <w:tab w:val="clear" w:pos="567"/>
              </w:tabs>
              <w:spacing w:line="240" w:lineRule="auto"/>
              <w:jc w:val="right"/>
              <w:rPr>
                <w:rFonts w:eastAsia="Times New Roman" w:cs="Open Sans Light"/>
                <w:sz w:val="16"/>
                <w:szCs w:val="16"/>
                <w:lang w:eastAsia="en-AU"/>
              </w:rPr>
            </w:pPr>
            <w:r w:rsidRPr="002C25F2">
              <w:rPr>
                <w:rFonts w:eastAsia="Times New Roman" w:cs="Open Sans Light"/>
                <w:sz w:val="16"/>
                <w:szCs w:val="16"/>
                <w:lang w:eastAsia="en-AU"/>
              </w:rPr>
              <w:t>376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auto" w:fill="auto"/>
            <w:vAlign w:val="bottom"/>
            <w:hideMark/>
          </w:tcPr>
          <w:p w14:paraId="22CD5BF8" w14:textId="77777777" w:rsidR="002C25F2" w:rsidRPr="002C25F2" w:rsidRDefault="002C25F2" w:rsidP="002C25F2">
            <w:pPr>
              <w:tabs>
                <w:tab w:val="clear" w:pos="567"/>
              </w:tabs>
              <w:spacing w:line="240" w:lineRule="auto"/>
              <w:jc w:val="right"/>
              <w:rPr>
                <w:rFonts w:eastAsia="Times New Roman" w:cs="Open Sans Light"/>
                <w:sz w:val="16"/>
                <w:szCs w:val="16"/>
                <w:lang w:eastAsia="en-AU"/>
              </w:rPr>
            </w:pPr>
            <w:r w:rsidRPr="002C25F2">
              <w:rPr>
                <w:rFonts w:eastAsia="Times New Roman" w:cs="Open Sans Light"/>
                <w:sz w:val="16"/>
                <w:szCs w:val="16"/>
                <w:lang w:eastAsia="en-AU"/>
              </w:rPr>
              <w:t>1,152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auto" w:fill="auto"/>
            <w:vAlign w:val="bottom"/>
            <w:hideMark/>
          </w:tcPr>
          <w:p w14:paraId="3B4E0C57" w14:textId="77777777" w:rsidR="002C25F2" w:rsidRPr="002C25F2" w:rsidRDefault="002C25F2" w:rsidP="002C25F2">
            <w:pPr>
              <w:tabs>
                <w:tab w:val="clear" w:pos="567"/>
              </w:tabs>
              <w:spacing w:line="240" w:lineRule="auto"/>
              <w:jc w:val="right"/>
              <w:rPr>
                <w:rFonts w:eastAsia="Times New Roman" w:cs="Open Sans Light"/>
                <w:sz w:val="16"/>
                <w:szCs w:val="16"/>
                <w:lang w:eastAsia="en-AU"/>
              </w:rPr>
            </w:pPr>
            <w:r w:rsidRPr="002C25F2">
              <w:rPr>
                <w:rFonts w:eastAsia="Times New Roman" w:cs="Open Sans Light"/>
                <w:sz w:val="16"/>
                <w:szCs w:val="16"/>
                <w:lang w:eastAsia="en-AU"/>
              </w:rPr>
              <w:t>-882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auto" w:fill="auto"/>
            <w:vAlign w:val="bottom"/>
            <w:hideMark/>
          </w:tcPr>
          <w:p w14:paraId="3C3C37E1" w14:textId="77777777" w:rsidR="002C25F2" w:rsidRPr="002C25F2" w:rsidRDefault="002C25F2" w:rsidP="002C25F2">
            <w:pPr>
              <w:tabs>
                <w:tab w:val="clear" w:pos="567"/>
              </w:tabs>
              <w:spacing w:line="240" w:lineRule="auto"/>
              <w:jc w:val="right"/>
              <w:rPr>
                <w:rFonts w:eastAsia="Times New Roman" w:cs="Open Sans Light"/>
                <w:sz w:val="16"/>
                <w:szCs w:val="16"/>
                <w:lang w:eastAsia="en-AU"/>
              </w:rPr>
            </w:pPr>
            <w:r w:rsidRPr="002C25F2">
              <w:rPr>
                <w:rFonts w:eastAsia="Times New Roman" w:cs="Open Sans Light"/>
                <w:sz w:val="16"/>
                <w:szCs w:val="16"/>
                <w:lang w:eastAsia="en-A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auto" w:fill="auto"/>
            <w:vAlign w:val="bottom"/>
            <w:hideMark/>
          </w:tcPr>
          <w:p w14:paraId="6D387725" w14:textId="77777777" w:rsidR="002C25F2" w:rsidRPr="002C25F2" w:rsidRDefault="002C25F2" w:rsidP="002C25F2">
            <w:pPr>
              <w:tabs>
                <w:tab w:val="clear" w:pos="567"/>
              </w:tabs>
              <w:spacing w:line="240" w:lineRule="auto"/>
              <w:jc w:val="right"/>
              <w:rPr>
                <w:rFonts w:eastAsia="Times New Roman" w:cs="Open Sans Light"/>
                <w:sz w:val="16"/>
                <w:szCs w:val="16"/>
                <w:lang w:eastAsia="en-AU"/>
              </w:rPr>
            </w:pPr>
            <w:r w:rsidRPr="002C25F2">
              <w:rPr>
                <w:rFonts w:eastAsia="Times New Roman" w:cs="Open Sans Light"/>
                <w:sz w:val="16"/>
                <w:szCs w:val="16"/>
                <w:lang w:eastAsia="en-AU"/>
              </w:rPr>
              <w:t>-236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auto" w:fill="auto"/>
            <w:vAlign w:val="bottom"/>
            <w:hideMark/>
          </w:tcPr>
          <w:p w14:paraId="2A3FC06D" w14:textId="77777777" w:rsidR="002C25F2" w:rsidRPr="002C25F2" w:rsidRDefault="002C25F2" w:rsidP="002C25F2">
            <w:pPr>
              <w:tabs>
                <w:tab w:val="clear" w:pos="567"/>
              </w:tabs>
              <w:spacing w:line="240" w:lineRule="auto"/>
              <w:jc w:val="right"/>
              <w:rPr>
                <w:rFonts w:eastAsia="Times New Roman" w:cs="Open Sans Light"/>
                <w:sz w:val="16"/>
                <w:szCs w:val="16"/>
                <w:lang w:eastAsia="en-AU"/>
              </w:rPr>
            </w:pPr>
            <w:r w:rsidRPr="002C25F2">
              <w:rPr>
                <w:rFonts w:eastAsia="Times New Roman" w:cs="Open Sans Light"/>
                <w:sz w:val="16"/>
                <w:szCs w:val="16"/>
                <w:lang w:eastAsia="en-AU"/>
              </w:rPr>
              <w:t>-89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auto" w:fill="auto"/>
            <w:vAlign w:val="bottom"/>
            <w:hideMark/>
          </w:tcPr>
          <w:p w14:paraId="6AC5E458" w14:textId="77777777" w:rsidR="002C25F2" w:rsidRPr="002C25F2" w:rsidRDefault="002C25F2" w:rsidP="002C25F2">
            <w:pPr>
              <w:tabs>
                <w:tab w:val="clear" w:pos="567"/>
              </w:tabs>
              <w:spacing w:line="240" w:lineRule="auto"/>
              <w:jc w:val="right"/>
              <w:rPr>
                <w:rFonts w:eastAsia="Times New Roman" w:cs="Open Sans Light"/>
                <w:sz w:val="16"/>
                <w:szCs w:val="16"/>
                <w:lang w:eastAsia="en-AU"/>
              </w:rPr>
            </w:pPr>
            <w:r w:rsidRPr="002C25F2">
              <w:rPr>
                <w:rFonts w:eastAsia="Times New Roman" w:cs="Open Sans Light"/>
                <w:sz w:val="16"/>
                <w:szCs w:val="16"/>
                <w:lang w:eastAsia="en-AU"/>
              </w:rPr>
              <w:t>91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auto" w:fill="auto"/>
            <w:vAlign w:val="bottom"/>
            <w:hideMark/>
          </w:tcPr>
          <w:p w14:paraId="44D60080" w14:textId="77777777" w:rsidR="002C25F2" w:rsidRPr="002C25F2" w:rsidRDefault="002C25F2" w:rsidP="002C25F2">
            <w:pPr>
              <w:tabs>
                <w:tab w:val="clear" w:pos="567"/>
              </w:tabs>
              <w:spacing w:line="240" w:lineRule="auto"/>
              <w:jc w:val="right"/>
              <w:rPr>
                <w:rFonts w:eastAsia="Times New Roman" w:cs="Open Sans Light"/>
                <w:sz w:val="16"/>
                <w:szCs w:val="16"/>
                <w:lang w:eastAsia="en-AU"/>
              </w:rPr>
            </w:pPr>
            <w:r w:rsidRPr="002C25F2">
              <w:rPr>
                <w:rFonts w:eastAsia="Times New Roman" w:cs="Open Sans Light"/>
                <w:sz w:val="16"/>
                <w:szCs w:val="16"/>
                <w:lang w:eastAsia="en-AU"/>
              </w:rPr>
              <w:t>-412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auto" w:fill="auto"/>
            <w:vAlign w:val="bottom"/>
            <w:hideMark/>
          </w:tcPr>
          <w:p w14:paraId="60DE0424" w14:textId="77777777" w:rsidR="002C25F2" w:rsidRPr="002C25F2" w:rsidRDefault="002C25F2" w:rsidP="002C25F2">
            <w:pPr>
              <w:tabs>
                <w:tab w:val="clear" w:pos="567"/>
              </w:tabs>
              <w:spacing w:line="240" w:lineRule="auto"/>
              <w:jc w:val="right"/>
              <w:rPr>
                <w:rFonts w:eastAsia="Times New Roman" w:cs="Open Sans Light"/>
                <w:sz w:val="16"/>
                <w:szCs w:val="16"/>
                <w:lang w:eastAsia="en-AU"/>
              </w:rPr>
            </w:pPr>
            <w:r w:rsidRPr="002C25F2">
              <w:rPr>
                <w:rFonts w:eastAsia="Times New Roman" w:cs="Open Sans Light"/>
                <w:sz w:val="16"/>
                <w:szCs w:val="16"/>
                <w:lang w:eastAsia="en-AU"/>
              </w:rPr>
              <w:t>1,619</w:t>
            </w:r>
          </w:p>
        </w:tc>
      </w:tr>
      <w:tr w:rsidR="002C25F2" w:rsidRPr="002C25F2" w14:paraId="57DAFC89" w14:textId="77777777" w:rsidTr="001B5072">
        <w:trPr>
          <w:trHeight w:val="315"/>
        </w:trPr>
        <w:tc>
          <w:tcPr>
            <w:tcW w:w="2660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000000" w:fill="D6E7F0"/>
            <w:vAlign w:val="bottom"/>
            <w:hideMark/>
          </w:tcPr>
          <w:p w14:paraId="1CD32A4F" w14:textId="77777777" w:rsidR="002C25F2" w:rsidRPr="002C25F2" w:rsidRDefault="002C25F2" w:rsidP="002C25F2">
            <w:pPr>
              <w:tabs>
                <w:tab w:val="clear" w:pos="567"/>
              </w:tabs>
              <w:spacing w:line="240" w:lineRule="auto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2C25F2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TOTAL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000000" w:fill="D6E7F0"/>
            <w:vAlign w:val="bottom"/>
            <w:hideMark/>
          </w:tcPr>
          <w:p w14:paraId="6C0AD1F1" w14:textId="77777777" w:rsidR="002C25F2" w:rsidRPr="002C25F2" w:rsidRDefault="002C25F2" w:rsidP="002C25F2">
            <w:pPr>
              <w:tabs>
                <w:tab w:val="clear" w:pos="567"/>
              </w:tabs>
              <w:spacing w:line="240" w:lineRule="auto"/>
              <w:jc w:val="right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2C25F2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-1,736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000000" w:fill="D6E7F0"/>
            <w:vAlign w:val="bottom"/>
            <w:hideMark/>
          </w:tcPr>
          <w:p w14:paraId="7625020F" w14:textId="77777777" w:rsidR="002C25F2" w:rsidRPr="002C25F2" w:rsidRDefault="002C25F2" w:rsidP="002C25F2">
            <w:pPr>
              <w:tabs>
                <w:tab w:val="clear" w:pos="567"/>
              </w:tabs>
              <w:spacing w:line="240" w:lineRule="auto"/>
              <w:jc w:val="right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2C25F2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-685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000000" w:fill="D6E7F0"/>
            <w:vAlign w:val="bottom"/>
            <w:hideMark/>
          </w:tcPr>
          <w:p w14:paraId="04CCEEDE" w14:textId="77777777" w:rsidR="002C25F2" w:rsidRPr="002C25F2" w:rsidRDefault="002C25F2" w:rsidP="002C25F2">
            <w:pPr>
              <w:tabs>
                <w:tab w:val="clear" w:pos="567"/>
              </w:tabs>
              <w:spacing w:line="240" w:lineRule="auto"/>
              <w:jc w:val="right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2C25F2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690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000000" w:fill="D6E7F0"/>
            <w:vAlign w:val="bottom"/>
            <w:hideMark/>
          </w:tcPr>
          <w:p w14:paraId="44F4600A" w14:textId="77777777" w:rsidR="002C25F2" w:rsidRPr="002C25F2" w:rsidRDefault="002C25F2" w:rsidP="002C25F2">
            <w:pPr>
              <w:tabs>
                <w:tab w:val="clear" w:pos="567"/>
              </w:tabs>
              <w:spacing w:line="240" w:lineRule="auto"/>
              <w:jc w:val="right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2C25F2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-3,788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000000" w:fill="D6E7F0"/>
            <w:vAlign w:val="bottom"/>
            <w:hideMark/>
          </w:tcPr>
          <w:p w14:paraId="6E152B9C" w14:textId="77777777" w:rsidR="002C25F2" w:rsidRPr="002C25F2" w:rsidRDefault="002C25F2" w:rsidP="002C25F2">
            <w:pPr>
              <w:tabs>
                <w:tab w:val="clear" w:pos="567"/>
              </w:tabs>
              <w:spacing w:line="240" w:lineRule="auto"/>
              <w:jc w:val="right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2C25F2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1,656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000000" w:fill="D6E7F0"/>
            <w:vAlign w:val="bottom"/>
            <w:hideMark/>
          </w:tcPr>
          <w:p w14:paraId="3D36E08E" w14:textId="77777777" w:rsidR="002C25F2" w:rsidRPr="002C25F2" w:rsidRDefault="002C25F2" w:rsidP="002C25F2">
            <w:pPr>
              <w:tabs>
                <w:tab w:val="clear" w:pos="567"/>
              </w:tabs>
              <w:spacing w:line="240" w:lineRule="auto"/>
              <w:jc w:val="right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2C25F2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1,274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000000" w:fill="D6E7F0"/>
            <w:vAlign w:val="bottom"/>
            <w:hideMark/>
          </w:tcPr>
          <w:p w14:paraId="7D517C2D" w14:textId="77777777" w:rsidR="002C25F2" w:rsidRPr="002C25F2" w:rsidRDefault="002C25F2" w:rsidP="002C25F2">
            <w:pPr>
              <w:tabs>
                <w:tab w:val="clear" w:pos="567"/>
              </w:tabs>
              <w:spacing w:line="240" w:lineRule="auto"/>
              <w:jc w:val="right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2C25F2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175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000000" w:fill="D6E7F0"/>
            <w:vAlign w:val="bottom"/>
            <w:hideMark/>
          </w:tcPr>
          <w:p w14:paraId="3A15CD53" w14:textId="77777777" w:rsidR="002C25F2" w:rsidRPr="002C25F2" w:rsidRDefault="002C25F2" w:rsidP="002C25F2">
            <w:pPr>
              <w:tabs>
                <w:tab w:val="clear" w:pos="567"/>
              </w:tabs>
              <w:spacing w:line="240" w:lineRule="auto"/>
              <w:jc w:val="right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2C25F2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2,414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000000" w:fill="D6E7F0"/>
            <w:vAlign w:val="bottom"/>
            <w:hideMark/>
          </w:tcPr>
          <w:p w14:paraId="7172B01B" w14:textId="77777777" w:rsidR="002C25F2" w:rsidRPr="002C25F2" w:rsidRDefault="002C25F2" w:rsidP="002C25F2">
            <w:pPr>
              <w:tabs>
                <w:tab w:val="clear" w:pos="567"/>
              </w:tabs>
              <w:spacing w:line="240" w:lineRule="auto"/>
              <w:jc w:val="right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2C25F2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6,208</w:t>
            </w:r>
          </w:p>
        </w:tc>
      </w:tr>
    </w:tbl>
    <w:p w14:paraId="0716F003" w14:textId="2DEBF4F6" w:rsidR="002C25F2" w:rsidRPr="002C25F2" w:rsidRDefault="002C25F2" w:rsidP="005E09CE">
      <w:pPr>
        <w:pStyle w:val="CGCTablenote"/>
      </w:pPr>
      <w:r w:rsidRPr="002C25F2">
        <w:t xml:space="preserve">Note: </w:t>
      </w:r>
      <w:r w:rsidRPr="002C25F2">
        <w:tab/>
        <w:t xml:space="preserve">For further explanation of what each effect includes see </w:t>
      </w:r>
      <w:r w:rsidRPr="001D0966">
        <w:t>Volume 2 of the 2020 Review final report.</w:t>
      </w:r>
    </w:p>
    <w:p w14:paraId="16024735" w14:textId="77777777" w:rsidR="002C25F2" w:rsidRPr="002C25F2" w:rsidRDefault="002C25F2" w:rsidP="005E09CE">
      <w:pPr>
        <w:pStyle w:val="CGCTablenote"/>
      </w:pPr>
      <w:r w:rsidRPr="002C25F2">
        <w:t>Source:</w:t>
      </w:r>
      <w:r w:rsidRPr="002C25F2">
        <w:tab/>
        <w:t>Commission calculation.</w:t>
      </w:r>
    </w:p>
    <w:p w14:paraId="707284DB" w14:textId="31A2E73B" w:rsidR="002C25F2" w:rsidRPr="002C25F2" w:rsidRDefault="002C25F2" w:rsidP="002C25F2">
      <w:pPr>
        <w:spacing w:before="120"/>
        <w:rPr>
          <w:lang w:val="en-US"/>
        </w:rPr>
      </w:pPr>
      <w:r w:rsidRPr="002C25F2">
        <w:rPr>
          <w:lang w:val="en-US"/>
        </w:rPr>
        <w:lastRenderedPageBreak/>
        <w:t>For revenues, a negative redistribution indicates that a State</w:t>
      </w:r>
      <w:bookmarkStart w:id="1" w:name="_GoBack"/>
      <w:bookmarkEnd w:id="1"/>
      <w:r w:rsidRPr="002C25F2">
        <w:rPr>
          <w:lang w:val="en-US"/>
        </w:rPr>
        <w:t xml:space="preserve"> has an above average revenue raising capacity</w:t>
      </w:r>
      <w:r w:rsidR="00735976">
        <w:rPr>
          <w:lang w:val="en-US"/>
        </w:rPr>
        <w:t>,</w:t>
      </w:r>
      <w:r w:rsidRPr="002C25F2">
        <w:rPr>
          <w:lang w:val="en-US"/>
        </w:rPr>
        <w:t xml:space="preserve"> and a positive redistribution indicates a below average revenue raising capacity. </w:t>
      </w:r>
    </w:p>
    <w:p w14:paraId="745FC622" w14:textId="05062B09" w:rsidR="002C25F2" w:rsidRPr="002C25F2" w:rsidRDefault="002C25F2" w:rsidP="002C25F2">
      <w:pPr>
        <w:spacing w:before="120"/>
        <w:rPr>
          <w:lang w:val="en-US"/>
        </w:rPr>
      </w:pPr>
      <w:r w:rsidRPr="002C25F2">
        <w:rPr>
          <w:lang w:val="en-US"/>
        </w:rPr>
        <w:t>For expenses and investment, a negative redistribution indicates below average service delivery and infrastructure costs</w:t>
      </w:r>
      <w:r w:rsidR="007B6E41">
        <w:rPr>
          <w:lang w:val="en-US"/>
        </w:rPr>
        <w:t>,</w:t>
      </w:r>
      <w:r w:rsidRPr="002C25F2">
        <w:rPr>
          <w:lang w:val="en-US"/>
        </w:rPr>
        <w:t xml:space="preserve"> and a positive redistribution indicates above average costs.</w:t>
      </w:r>
    </w:p>
    <w:p w14:paraId="3CD5DB16" w14:textId="40EC14BB" w:rsidR="004B69A4" w:rsidRPr="004B69A4" w:rsidRDefault="004B69A4" w:rsidP="00AC15E4">
      <w:pPr>
        <w:pStyle w:val="CGCTablenote"/>
        <w:rPr>
          <w:lang w:val="en-US"/>
        </w:rPr>
      </w:pPr>
    </w:p>
    <w:tbl>
      <w:tblPr>
        <w:tblStyle w:val="TableGrid"/>
        <w:tblW w:w="0" w:type="auto"/>
        <w:tblInd w:w="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BF3F5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072"/>
      </w:tblGrid>
      <w:tr w:rsidR="00652A8C" w14:paraId="40EFF24B" w14:textId="77777777" w:rsidTr="00AB40C0">
        <w:tc>
          <w:tcPr>
            <w:tcW w:w="9072" w:type="dxa"/>
            <w:shd w:val="clear" w:color="auto" w:fill="EBF3F5"/>
          </w:tcPr>
          <w:p w14:paraId="591AA4BE" w14:textId="39A79782" w:rsidR="0057368F" w:rsidRPr="0057368F" w:rsidRDefault="0057368F" w:rsidP="0057368F">
            <w:pPr>
              <w:spacing w:before="120"/>
              <w:rPr>
                <w:rFonts w:ascii="Montserrat Ultra Light" w:hAnsi="Montserrat Ultra Light"/>
                <w:b/>
                <w:bCs/>
                <w:color w:val="004563"/>
                <w:lang w:val="en-US"/>
              </w:rPr>
            </w:pPr>
            <w:r w:rsidRPr="0057368F">
              <w:rPr>
                <w:rFonts w:ascii="Montserrat Ultra Light" w:hAnsi="Montserrat Ultra Light"/>
                <w:b/>
                <w:bCs/>
                <w:color w:val="004563"/>
                <w:lang w:val="en-US"/>
              </w:rPr>
              <w:t xml:space="preserve">Key reasons why fiscal capacities differ between </w:t>
            </w:r>
            <w:r w:rsidR="007925F0">
              <w:rPr>
                <w:rFonts w:ascii="Montserrat Ultra Light" w:hAnsi="Montserrat Ultra Light"/>
                <w:b/>
                <w:bCs/>
                <w:color w:val="004563"/>
                <w:lang w:val="en-US"/>
              </w:rPr>
              <w:t>States</w:t>
            </w:r>
          </w:p>
          <w:p w14:paraId="5DB24DC0" w14:textId="3CDBBC10" w:rsidR="00652A8C" w:rsidRPr="002C25F2" w:rsidRDefault="00956E5D" w:rsidP="00B778BD">
            <w:pPr>
              <w:numPr>
                <w:ilvl w:val="0"/>
                <w:numId w:val="7"/>
              </w:numPr>
              <w:spacing w:before="120"/>
              <w:ind w:left="357" w:hanging="357"/>
              <w:rPr>
                <w:lang w:val="en-US"/>
              </w:rPr>
            </w:pPr>
            <w:r>
              <w:rPr>
                <w:lang w:val="en-US"/>
              </w:rPr>
              <w:t>T</w:t>
            </w:r>
            <w:r w:rsidR="00652A8C" w:rsidRPr="002C25F2">
              <w:rPr>
                <w:lang w:val="en-US"/>
              </w:rPr>
              <w:t xml:space="preserve">he uneven distribution of mining activity and production </w:t>
            </w:r>
            <w:r w:rsidR="00C94A72">
              <w:rPr>
                <w:lang w:val="en-US"/>
              </w:rPr>
              <w:t xml:space="preserve">due to </w:t>
            </w:r>
            <w:r w:rsidR="00652A8C" w:rsidRPr="002C25F2">
              <w:rPr>
                <w:lang w:val="en-US"/>
              </w:rPr>
              <w:t>underlying differences in distribution of mineral reserves across Australia</w:t>
            </w:r>
            <w:r w:rsidR="003F06A1">
              <w:rPr>
                <w:lang w:val="en-US"/>
              </w:rPr>
              <w:t>.</w:t>
            </w:r>
            <w:r w:rsidR="00652A8C" w:rsidRPr="002C25F2">
              <w:rPr>
                <w:lang w:val="en-US"/>
              </w:rPr>
              <w:t xml:space="preserve"> </w:t>
            </w:r>
            <w:r w:rsidR="006658B3">
              <w:rPr>
                <w:lang w:val="en-US"/>
              </w:rPr>
              <w:t>T</w:t>
            </w:r>
            <w:r w:rsidR="00652A8C" w:rsidRPr="002C25F2">
              <w:rPr>
                <w:lang w:val="en-US"/>
              </w:rPr>
              <w:t>his is the main source of fiscal strength for Western Australia</w:t>
            </w:r>
            <w:r>
              <w:rPr>
                <w:lang w:val="en-US"/>
              </w:rPr>
              <w:t>.</w:t>
            </w:r>
          </w:p>
          <w:p w14:paraId="1C5DB85C" w14:textId="032C8F6B" w:rsidR="00652A8C" w:rsidRPr="002C25F2" w:rsidRDefault="000E0085" w:rsidP="00B778BD">
            <w:pPr>
              <w:numPr>
                <w:ilvl w:val="0"/>
                <w:numId w:val="7"/>
              </w:numPr>
              <w:spacing w:before="120"/>
              <w:ind w:left="357" w:hanging="357"/>
              <w:rPr>
                <w:lang w:val="en-US"/>
              </w:rPr>
            </w:pPr>
            <w:r>
              <w:rPr>
                <w:lang w:val="en-US"/>
              </w:rPr>
              <w:t>D</w:t>
            </w:r>
            <w:r w:rsidR="00652A8C" w:rsidRPr="002C25F2">
              <w:rPr>
                <w:lang w:val="en-US"/>
              </w:rPr>
              <w:t>ifferences in the spatial distribution (or dispersion) of their populations</w:t>
            </w:r>
            <w:r w:rsidR="003F06A1">
              <w:rPr>
                <w:lang w:val="en-US"/>
              </w:rPr>
              <w:t>.</w:t>
            </w:r>
            <w:r w:rsidR="00652A8C" w:rsidRPr="002C25F2">
              <w:rPr>
                <w:lang w:val="en-US"/>
              </w:rPr>
              <w:t xml:space="preserve"> States with a greater than average share of their population in less accessible regions face higher than average service delivery and infrastructure costs</w:t>
            </w:r>
            <w:r w:rsidR="00956E5D">
              <w:rPr>
                <w:lang w:val="en-US"/>
              </w:rPr>
              <w:t>.</w:t>
            </w:r>
          </w:p>
          <w:p w14:paraId="527673B1" w14:textId="5939513F" w:rsidR="00652A8C" w:rsidRPr="002C25F2" w:rsidRDefault="00C61D02" w:rsidP="00B778BD">
            <w:pPr>
              <w:numPr>
                <w:ilvl w:val="0"/>
                <w:numId w:val="7"/>
              </w:numPr>
              <w:spacing w:before="120"/>
              <w:ind w:left="357" w:hanging="357"/>
              <w:rPr>
                <w:lang w:val="en-US"/>
              </w:rPr>
            </w:pPr>
            <w:r>
              <w:rPr>
                <w:lang w:val="en-US"/>
              </w:rPr>
              <w:t xml:space="preserve">Variation </w:t>
            </w:r>
            <w:r w:rsidR="00652A8C" w:rsidRPr="002C25F2">
              <w:rPr>
                <w:lang w:val="en-US"/>
              </w:rPr>
              <w:t>in the value of property sales</w:t>
            </w:r>
            <w:r>
              <w:rPr>
                <w:lang w:val="en-US"/>
              </w:rPr>
              <w:t>.</w:t>
            </w:r>
            <w:r w:rsidR="00652A8C" w:rsidRPr="002C25F2">
              <w:rPr>
                <w:lang w:val="en-US"/>
              </w:rPr>
              <w:t xml:space="preserve"> States with higher property values and volume of turnover have a greater capacity to rais</w:t>
            </w:r>
            <w:r w:rsidR="008F2E6F">
              <w:rPr>
                <w:lang w:val="en-US"/>
              </w:rPr>
              <w:t>e</w:t>
            </w:r>
            <w:r w:rsidR="00652A8C" w:rsidRPr="002C25F2">
              <w:rPr>
                <w:lang w:val="en-US"/>
              </w:rPr>
              <w:t xml:space="preserve"> revenue from taxes imposed on the transfer of property</w:t>
            </w:r>
            <w:r w:rsidR="008F2E6F">
              <w:rPr>
                <w:lang w:val="en-US"/>
              </w:rPr>
              <w:t>.</w:t>
            </w:r>
            <w:r w:rsidR="00652A8C" w:rsidRPr="002C25F2">
              <w:rPr>
                <w:lang w:val="en-US"/>
              </w:rPr>
              <w:t xml:space="preserve"> New South Wales, Victoria and the </w:t>
            </w:r>
            <w:r w:rsidR="008F2E6F">
              <w:rPr>
                <w:lang w:val="en-US"/>
              </w:rPr>
              <w:t>Australian Capital Territory</w:t>
            </w:r>
            <w:r w:rsidR="008F2E6F" w:rsidRPr="002C25F2">
              <w:rPr>
                <w:lang w:val="en-US"/>
              </w:rPr>
              <w:t xml:space="preserve"> </w:t>
            </w:r>
            <w:r w:rsidR="00652A8C" w:rsidRPr="002C25F2">
              <w:rPr>
                <w:lang w:val="en-US"/>
              </w:rPr>
              <w:t>have above average capacity to raise revenue from this source</w:t>
            </w:r>
            <w:r w:rsidR="00956E5D">
              <w:rPr>
                <w:lang w:val="en-US"/>
              </w:rPr>
              <w:t>.</w:t>
            </w:r>
          </w:p>
          <w:p w14:paraId="61627DFF" w14:textId="77777777" w:rsidR="00652A8C" w:rsidRDefault="00323FBE" w:rsidP="00953247">
            <w:pPr>
              <w:numPr>
                <w:ilvl w:val="0"/>
                <w:numId w:val="7"/>
              </w:numPr>
              <w:spacing w:before="120" w:after="120"/>
              <w:ind w:left="357" w:hanging="357"/>
              <w:rPr>
                <w:lang w:val="en-US"/>
              </w:rPr>
            </w:pPr>
            <w:r>
              <w:rPr>
                <w:lang w:val="en-US"/>
              </w:rPr>
              <w:t>D</w:t>
            </w:r>
            <w:r w:rsidR="00652A8C" w:rsidRPr="002C25F2">
              <w:rPr>
                <w:lang w:val="en-US"/>
              </w:rPr>
              <w:t>ifferences in the number of Indigenous people in their population</w:t>
            </w:r>
            <w:r>
              <w:rPr>
                <w:lang w:val="en-US"/>
              </w:rPr>
              <w:t>s.</w:t>
            </w:r>
            <w:r w:rsidR="00652A8C" w:rsidRPr="002C25F2">
              <w:rPr>
                <w:lang w:val="en-US"/>
              </w:rPr>
              <w:t xml:space="preserve"> States</w:t>
            </w:r>
            <w:r w:rsidR="00846D1F">
              <w:rPr>
                <w:lang w:val="en-US"/>
              </w:rPr>
              <w:t xml:space="preserve"> </w:t>
            </w:r>
            <w:r w:rsidR="00652A8C" w:rsidRPr="002C25F2">
              <w:rPr>
                <w:lang w:val="en-US"/>
              </w:rPr>
              <w:t>with a greater than average share of Indigenous people in the population, particularly the Northern Territory where about 30% of the population is Indigenous, face higher than average service delivery costs.</w:t>
            </w:r>
            <w:r w:rsidR="00EE4E01">
              <w:rPr>
                <w:lang w:val="en-US"/>
              </w:rPr>
              <w:t xml:space="preserve"> </w:t>
            </w:r>
          </w:p>
          <w:p w14:paraId="3344F314" w14:textId="53DA9472" w:rsidR="0044321F" w:rsidRPr="0044321F" w:rsidRDefault="0044321F" w:rsidP="0044321F">
            <w:pPr>
              <w:pStyle w:val="CGCBullet1"/>
              <w:rPr>
                <w:lang w:val="en-US"/>
              </w:rPr>
            </w:pPr>
            <w:r w:rsidRPr="0044321F">
              <w:rPr>
                <w:lang w:val="en-US"/>
              </w:rPr>
              <w:t>The cost of providing public transport services and infrastructure in large, densely populated cities is significantly higher in Sydney and Melbourne compared with other large urban centres.</w:t>
            </w:r>
          </w:p>
          <w:p w14:paraId="4FC4835A" w14:textId="7EBF9CE7" w:rsidR="0044321F" w:rsidRPr="00953247" w:rsidRDefault="007963D8" w:rsidP="00AC15E4">
            <w:pPr>
              <w:pStyle w:val="CGCBullet1"/>
              <w:spacing w:after="120"/>
              <w:rPr>
                <w:lang w:val="en-US"/>
              </w:rPr>
            </w:pPr>
            <w:r>
              <w:rPr>
                <w:lang w:val="en-US"/>
              </w:rPr>
              <w:t xml:space="preserve">Differences in the </w:t>
            </w:r>
            <w:r w:rsidR="00673E14">
              <w:rPr>
                <w:lang w:val="en-US"/>
              </w:rPr>
              <w:t xml:space="preserve">distribution of </w:t>
            </w:r>
            <w:r w:rsidR="0044321F" w:rsidRPr="0044321F">
              <w:rPr>
                <w:lang w:val="en-US"/>
              </w:rPr>
              <w:t>Commonwealth payments to the States</w:t>
            </w:r>
            <w:r w:rsidR="00CC54EC">
              <w:rPr>
                <w:lang w:val="en-US"/>
              </w:rPr>
              <w:t xml:space="preserve"> </w:t>
            </w:r>
            <w:r w:rsidR="0044321F" w:rsidRPr="0044321F">
              <w:rPr>
                <w:lang w:val="en-US"/>
              </w:rPr>
              <w:t>to</w:t>
            </w:r>
            <w:r w:rsidR="00CC54EC">
              <w:rPr>
                <w:lang w:val="en-US"/>
              </w:rPr>
              <w:t> </w:t>
            </w:r>
            <w:r w:rsidR="0044321F" w:rsidRPr="0044321F">
              <w:rPr>
                <w:lang w:val="en-US"/>
              </w:rPr>
              <w:t>fund service delivery and infrastructure</w:t>
            </w:r>
            <w:r w:rsidR="0042633B">
              <w:rPr>
                <w:lang w:val="en-US"/>
              </w:rPr>
              <w:t xml:space="preserve">, </w:t>
            </w:r>
            <w:r w:rsidR="0042633B" w:rsidRPr="0044321F">
              <w:rPr>
                <w:lang w:val="en-US"/>
              </w:rPr>
              <w:t>apart from the GST</w:t>
            </w:r>
            <w:r w:rsidR="0044321F" w:rsidRPr="0044321F">
              <w:rPr>
                <w:lang w:val="en-US"/>
              </w:rPr>
              <w:t xml:space="preserve">. </w:t>
            </w:r>
          </w:p>
        </w:tc>
      </w:tr>
    </w:tbl>
    <w:p w14:paraId="2185FC6A" w14:textId="77777777" w:rsidR="003F4FC0" w:rsidRDefault="003F4FC0" w:rsidP="003F4FC0">
      <w:pPr>
        <w:pStyle w:val="CGCTablenote"/>
        <w:rPr>
          <w:lang w:val="en-US"/>
        </w:rPr>
      </w:pPr>
    </w:p>
    <w:p w14:paraId="40ECBDB1" w14:textId="6E13525A" w:rsidR="002C25F2" w:rsidRDefault="00150B97" w:rsidP="00304E32">
      <w:r>
        <w:rPr>
          <w:lang w:val="en-US"/>
        </w:rPr>
        <w:t>Further information about</w:t>
      </w:r>
      <w:r w:rsidRPr="001D498E">
        <w:rPr>
          <w:lang w:val="en-US"/>
        </w:rPr>
        <w:t xml:space="preserve"> why </w:t>
      </w:r>
      <w:r w:rsidR="00AD2075">
        <w:rPr>
          <w:lang w:val="en-US"/>
        </w:rPr>
        <w:t>S</w:t>
      </w:r>
      <w:r w:rsidRPr="001D498E">
        <w:rPr>
          <w:lang w:val="en-US"/>
        </w:rPr>
        <w:t xml:space="preserve">tate fiscal capacities differ </w:t>
      </w:r>
      <w:r>
        <w:rPr>
          <w:lang w:val="en-US"/>
        </w:rPr>
        <w:t>is available</w:t>
      </w:r>
      <w:r w:rsidRPr="001D498E">
        <w:rPr>
          <w:lang w:val="en-US"/>
        </w:rPr>
        <w:t xml:space="preserve"> in </w:t>
      </w:r>
      <w:r>
        <w:rPr>
          <w:lang w:val="en-US"/>
        </w:rPr>
        <w:t xml:space="preserve">individual </w:t>
      </w:r>
      <w:r w:rsidR="00210869">
        <w:rPr>
          <w:lang w:val="en-US"/>
        </w:rPr>
        <w:t>State</w:t>
      </w:r>
      <w:r>
        <w:rPr>
          <w:lang w:val="en-US"/>
        </w:rPr>
        <w:t xml:space="preserve"> </w:t>
      </w:r>
      <w:r w:rsidR="009C4A5C">
        <w:rPr>
          <w:lang w:val="en-US"/>
        </w:rPr>
        <w:t>summaries</w:t>
      </w:r>
      <w:r>
        <w:rPr>
          <w:lang w:val="en-US"/>
        </w:rPr>
        <w:t>.</w:t>
      </w:r>
      <w:r w:rsidR="00A858BB" w:rsidRPr="002C25F2" w:rsidDel="007F1F2B">
        <w:t xml:space="preserve"> </w:t>
      </w:r>
      <w:r w:rsidR="00A11BEA">
        <w:t xml:space="preserve">Detailed analysis is </w:t>
      </w:r>
      <w:r w:rsidR="001760BE">
        <w:t>included</w:t>
      </w:r>
      <w:r w:rsidR="00A11BEA">
        <w:t xml:space="preserve"> in </w:t>
      </w:r>
      <w:r w:rsidR="007C3625">
        <w:t xml:space="preserve">Volume 1 of the </w:t>
      </w:r>
      <w:r w:rsidR="0035057B">
        <w:t xml:space="preserve">2020 Review final report. </w:t>
      </w:r>
    </w:p>
    <w:p w14:paraId="781B57D3" w14:textId="77777777" w:rsidR="00176FC0" w:rsidRPr="002C25F2" w:rsidRDefault="00176FC0" w:rsidP="00710C30">
      <w:pPr>
        <w:pStyle w:val="CGCTablenote"/>
      </w:pPr>
    </w:p>
    <w:tbl>
      <w:tblPr>
        <w:tblStyle w:val="TableGrid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072"/>
      </w:tblGrid>
      <w:tr w:rsidR="002B0331" w:rsidRPr="00F41003" w14:paraId="1DEB6012" w14:textId="77777777" w:rsidTr="00445544">
        <w:tc>
          <w:tcPr>
            <w:tcW w:w="8959" w:type="dxa"/>
            <w:shd w:val="clear" w:color="auto" w:fill="006991"/>
          </w:tcPr>
          <w:p w14:paraId="5240E058" w14:textId="77777777" w:rsidR="002B0331" w:rsidRPr="00F41003" w:rsidRDefault="002B0331" w:rsidP="002116A4">
            <w:pPr>
              <w:spacing w:before="200" w:after="200"/>
              <w:ind w:left="227"/>
              <w:rPr>
                <w:rFonts w:ascii="Open Sans SemiBold" w:hAnsi="Open Sans SemiBold" w:cs="Open Sans SemiBold"/>
                <w:caps/>
                <w:color w:val="FFFFFF" w:themeColor="background1"/>
                <w:sz w:val="28"/>
                <w:szCs w:val="28"/>
              </w:rPr>
            </w:pPr>
            <w:r w:rsidRPr="00F41003">
              <w:rPr>
                <w:rFonts w:ascii="Open Sans SemiBold" w:hAnsi="Open Sans SemiBold" w:cs="Open Sans SemiBold"/>
                <w:caps/>
                <w:color w:val="FFFFFF" w:themeColor="background1"/>
                <w:sz w:val="28"/>
                <w:szCs w:val="28"/>
                <w:lang w:val="en-US"/>
              </w:rPr>
              <w:t>Drivers of differences between States’ fiscal capacity</w:t>
            </w:r>
          </w:p>
        </w:tc>
      </w:tr>
      <w:tr w:rsidR="002B0331" w:rsidRPr="00F41003" w14:paraId="4E5B8351" w14:textId="77777777" w:rsidTr="00891A3D">
        <w:trPr>
          <w:trHeight w:val="4254"/>
        </w:trPr>
        <w:tc>
          <w:tcPr>
            <w:tcW w:w="8959" w:type="dxa"/>
            <w:shd w:val="clear" w:color="auto" w:fill="D6E7F0"/>
          </w:tcPr>
          <w:p w14:paraId="69D14CAE" w14:textId="2D335FA2" w:rsidR="002B0331" w:rsidRPr="00F41003" w:rsidRDefault="002B0331" w:rsidP="002409E8">
            <w:pPr>
              <w:numPr>
                <w:ilvl w:val="0"/>
                <w:numId w:val="7"/>
              </w:numPr>
              <w:spacing w:before="120"/>
              <w:ind w:left="584" w:hanging="357"/>
            </w:pPr>
            <w:r w:rsidRPr="00F4100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7C98BE0" wp14:editId="5FE6E4F7">
                      <wp:simplePos x="0" y="0"/>
                      <wp:positionH relativeFrom="column">
                        <wp:posOffset>3427095</wp:posOffset>
                      </wp:positionH>
                      <wp:positionV relativeFrom="paragraph">
                        <wp:posOffset>62535</wp:posOffset>
                      </wp:positionV>
                      <wp:extent cx="1386000" cy="1245600"/>
                      <wp:effectExtent l="19050" t="19050" r="43180" b="12065"/>
                      <wp:wrapSquare wrapText="bothSides"/>
                      <wp:docPr id="6" name="Arrow: Up 6" descr="upward arrow - bigger impact on differneces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6000" cy="1245600"/>
                              </a:xfrm>
                              <a:prstGeom prst="upArrow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006991"/>
                                  </a:gs>
                                  <a:gs pos="74000">
                                    <a:srgbClr val="4F81BD">
                                      <a:lumMod val="45000"/>
                                      <a:lumOff val="55000"/>
                                    </a:srgbClr>
                                  </a:gs>
                                  <a:gs pos="83000">
                                    <a:srgbClr val="4F81BD">
                                      <a:lumMod val="45000"/>
                                      <a:lumOff val="55000"/>
                                    </a:srgbClr>
                                  </a:gs>
                                  <a:gs pos="100000">
                                    <a:srgbClr val="4F81BD">
                                      <a:lumMod val="30000"/>
                                      <a:lumOff val="70000"/>
                                    </a:srgbClr>
                                  </a:gs>
                                </a:gsLst>
                                <a:path path="circle">
                                  <a:fillToRect l="100000" t="100000"/>
                                </a:path>
                                <a:tileRect r="-100000" b="-100000"/>
                              </a:gradFill>
                              <a:ln w="25400" cap="flat" cmpd="sng" algn="ctr">
                                <a:gradFill flip="none" rotWithShape="1">
                                  <a:gsLst>
                                    <a:gs pos="0">
                                      <a:srgbClr val="006991"/>
                                    </a:gs>
                                    <a:gs pos="74000">
                                      <a:srgbClr val="4F81BD">
                                        <a:lumMod val="45000"/>
                                        <a:lumOff val="55000"/>
                                      </a:srgbClr>
                                    </a:gs>
                                    <a:gs pos="83000">
                                      <a:srgbClr val="4F81BD">
                                        <a:lumMod val="45000"/>
                                        <a:lumOff val="55000"/>
                                      </a:srgbClr>
                                    </a:gs>
                                    <a:gs pos="100000">
                                      <a:srgbClr val="4F81BD">
                                        <a:lumMod val="30000"/>
                                        <a:lumOff val="70000"/>
                                      </a:srgbClr>
                                    </a:gs>
                                  </a:gsLst>
                                  <a:path path="circle">
                                    <a:fillToRect l="100000" t="100000"/>
                                  </a:path>
                                  <a:tileRect r="-100000" b="-100000"/>
                                </a:gra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11E7F0CE" w14:textId="3C3A1F47" w:rsidR="002B0331" w:rsidRPr="00852C8F" w:rsidRDefault="002B0331" w:rsidP="002B0331">
                                  <w:pPr>
                                    <w:spacing w:line="240" w:lineRule="auto"/>
                                    <w:jc w:val="center"/>
                                    <w:rPr>
                                      <w:b/>
                                      <w:bCs/>
                                      <w:color w:val="004563"/>
                                      <w:sz w:val="22"/>
                                      <w:szCs w:val="24"/>
                                      <w:lang w:val="en-US"/>
                                    </w:rPr>
                                  </w:pPr>
                                  <w:r w:rsidRPr="00852C8F">
                                    <w:rPr>
                                      <w:b/>
                                      <w:bCs/>
                                      <w:color w:val="004563"/>
                                      <w:sz w:val="22"/>
                                      <w:szCs w:val="24"/>
                                      <w:lang w:val="en-US"/>
                                    </w:rPr>
                                    <w:t xml:space="preserve">Bigger impact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7C98BE0" id="_x0000_t68" coordsize="21600,21600" o:spt="68" adj="5400,5400" path="m0@0l@1@0@1,21600@2,21600@2@0,21600@0,10800,xe">
                      <v:stroke joinstyle="miter"/>
                      <v:formulas>
                        <v:f eqn="val #0"/>
                        <v:f eqn="val #1"/>
                        <v:f eqn="sum 21600 0 #1"/>
                        <v:f eqn="prod #0 #1 10800"/>
                        <v:f eqn="sum #0 0 @3"/>
                      </v:formulas>
                      <v:path o:connecttype="custom" o:connectlocs="10800,0;0,@0;10800,21600;21600,@0" o:connectangles="270,180,90,0" textboxrect="@1,@4,@2,21600"/>
                      <v:handles>
                        <v:h position="#1,#0" xrange="0,10800" yrange="0,21600"/>
                      </v:handles>
                    </v:shapetype>
                    <v:shape id="Arrow: Up 6" o:spid="_x0000_s1026" type="#_x0000_t68" alt="upward arrow - bigger impact on differneces" style="position:absolute;left:0;text-align:left;margin-left:269.85pt;margin-top:4.9pt;width:109.15pt;height:98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" adj="10800" fillcolor="#006991" strokeweight="2pt">
                      <v:fill color2="#cad9eb" rotate="t" focusposition="1,1" focussize="" colors="0 #006991;48497f #b0c6e1;54395f #b0c6e1;1 #cad9eb" focus="100%" type="gradientRadial"/>
                      <v:textbox inset="0,0,0,0">
                        <w:txbxContent>
                          <w:p w14:paraId="11E7F0CE" w14:textId="3C3A1F47" w:rsidR="002B0331" w:rsidRPr="00852C8F" w:rsidRDefault="002B0331" w:rsidP="002B0331">
                            <w:pPr>
                              <w:spacing w:line="240" w:lineRule="auto"/>
                              <w:jc w:val="center"/>
                              <w:rPr>
                                <w:b/>
                                <w:bCs/>
                                <w:color w:val="004563"/>
                                <w:sz w:val="22"/>
                                <w:szCs w:val="24"/>
                                <w:lang w:val="en-US"/>
                              </w:rPr>
                            </w:pPr>
                            <w:r w:rsidRPr="00852C8F">
                              <w:rPr>
                                <w:b/>
                                <w:bCs/>
                                <w:color w:val="004563"/>
                                <w:sz w:val="22"/>
                                <w:szCs w:val="24"/>
                                <w:lang w:val="en-US"/>
                              </w:rPr>
                              <w:t xml:space="preserve">Bigger impact 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F41003">
              <w:rPr>
                <w:lang w:val="en-US"/>
              </w:rPr>
              <w:t>Mining production</w:t>
            </w:r>
          </w:p>
          <w:p w14:paraId="1D77AD9E" w14:textId="60228A3C" w:rsidR="002B0331" w:rsidRPr="00F41003" w:rsidRDefault="002F2C40" w:rsidP="00952322">
            <w:pPr>
              <w:numPr>
                <w:ilvl w:val="0"/>
                <w:numId w:val="7"/>
              </w:numPr>
              <w:spacing w:before="120"/>
              <w:ind w:left="584" w:hanging="357"/>
            </w:pPr>
            <w:r>
              <w:rPr>
                <w:lang w:val="en-US"/>
              </w:rPr>
              <w:t>Population dispersion</w:t>
            </w:r>
          </w:p>
          <w:p w14:paraId="134C4A49" w14:textId="5F9DAEC7" w:rsidR="002B0331" w:rsidRPr="00F41003" w:rsidRDefault="002B0331" w:rsidP="00952322">
            <w:pPr>
              <w:numPr>
                <w:ilvl w:val="0"/>
                <w:numId w:val="7"/>
              </w:numPr>
              <w:spacing w:before="120"/>
              <w:ind w:left="584" w:hanging="357"/>
            </w:pPr>
            <w:r w:rsidRPr="00F41003">
              <w:rPr>
                <w:lang w:val="en-US"/>
              </w:rPr>
              <w:t>Property sales</w:t>
            </w:r>
          </w:p>
          <w:p w14:paraId="70CA9BB9" w14:textId="209B6B75" w:rsidR="002B0331" w:rsidRPr="005F6084" w:rsidRDefault="002B0331" w:rsidP="00952322">
            <w:pPr>
              <w:numPr>
                <w:ilvl w:val="0"/>
                <w:numId w:val="7"/>
              </w:numPr>
              <w:spacing w:before="120"/>
              <w:ind w:left="584" w:hanging="357"/>
            </w:pPr>
            <w:r w:rsidRPr="00F41003">
              <w:rPr>
                <w:lang w:val="en-US"/>
              </w:rPr>
              <w:t>Indigenous status</w:t>
            </w:r>
          </w:p>
          <w:p w14:paraId="353A9BFA" w14:textId="2FE4EEEA" w:rsidR="005F6084" w:rsidRPr="00F41003" w:rsidRDefault="005F6084" w:rsidP="00952322">
            <w:pPr>
              <w:numPr>
                <w:ilvl w:val="0"/>
                <w:numId w:val="7"/>
              </w:numPr>
              <w:spacing w:before="120"/>
              <w:ind w:left="584" w:hanging="357"/>
            </w:pPr>
            <w:r>
              <w:t>Urban centre characteristics</w:t>
            </w:r>
          </w:p>
          <w:p w14:paraId="27C4F3CE" w14:textId="7CAE608B" w:rsidR="002B0331" w:rsidRPr="0078644C" w:rsidRDefault="00321FD3" w:rsidP="00952322">
            <w:pPr>
              <w:numPr>
                <w:ilvl w:val="0"/>
                <w:numId w:val="7"/>
              </w:numPr>
              <w:spacing w:before="120"/>
              <w:ind w:left="584" w:hanging="357"/>
            </w:pPr>
            <w:r w:rsidRPr="00F4100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97DD683" wp14:editId="4F29A162">
                      <wp:simplePos x="0" y="0"/>
                      <wp:positionH relativeFrom="column">
                        <wp:posOffset>3423920</wp:posOffset>
                      </wp:positionH>
                      <wp:positionV relativeFrom="paragraph">
                        <wp:posOffset>103835</wp:posOffset>
                      </wp:positionV>
                      <wp:extent cx="1386000" cy="1238400"/>
                      <wp:effectExtent l="19050" t="0" r="43180" b="38100"/>
                      <wp:wrapSquare wrapText="bothSides"/>
                      <wp:docPr id="4" name="Arrow: Up 4" descr="downward arrow - smaller impact on differences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1386000" cy="1238400"/>
                              </a:xfrm>
                              <a:prstGeom prst="upArrow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006991"/>
                                  </a:gs>
                                  <a:gs pos="74000">
                                    <a:srgbClr val="4F81BD">
                                      <a:lumMod val="45000"/>
                                      <a:lumOff val="55000"/>
                                    </a:srgbClr>
                                  </a:gs>
                                  <a:gs pos="83000">
                                    <a:srgbClr val="4F81BD">
                                      <a:lumMod val="45000"/>
                                      <a:lumOff val="55000"/>
                                    </a:srgbClr>
                                  </a:gs>
                                  <a:gs pos="100000">
                                    <a:srgbClr val="4F81BD">
                                      <a:lumMod val="30000"/>
                                      <a:lumOff val="70000"/>
                                    </a:srgbClr>
                                  </a:gs>
                                </a:gsLst>
                                <a:path path="circle">
                                  <a:fillToRect l="100000" t="100000"/>
                                </a:path>
                                <a:tileRect r="-100000" b="-100000"/>
                              </a:gradFill>
                              <a:ln w="25400" cap="flat" cmpd="sng" algn="ctr">
                                <a:gradFill flip="none" rotWithShape="1">
                                  <a:gsLst>
                                    <a:gs pos="0">
                                      <a:srgbClr val="006991"/>
                                    </a:gs>
                                    <a:gs pos="74000">
                                      <a:srgbClr val="4F81BD">
                                        <a:lumMod val="45000"/>
                                        <a:lumOff val="55000"/>
                                      </a:srgbClr>
                                    </a:gs>
                                    <a:gs pos="83000">
                                      <a:srgbClr val="4F81BD">
                                        <a:lumMod val="45000"/>
                                        <a:lumOff val="55000"/>
                                      </a:srgbClr>
                                    </a:gs>
                                    <a:gs pos="100000">
                                      <a:srgbClr val="4F81BD">
                                        <a:lumMod val="30000"/>
                                        <a:lumOff val="70000"/>
                                      </a:srgbClr>
                                    </a:gs>
                                  </a:gsLst>
                                  <a:path path="circle">
                                    <a:fillToRect l="100000" t="100000"/>
                                  </a:path>
                                  <a:tileRect r="-100000" b="-100000"/>
                                </a:gra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500EE444" w14:textId="1CCEBB64" w:rsidR="002B0331" w:rsidRPr="00852C8F" w:rsidRDefault="002B0331" w:rsidP="002B0331">
                                  <w:pPr>
                                    <w:spacing w:line="240" w:lineRule="auto"/>
                                    <w:jc w:val="center"/>
                                    <w:rPr>
                                      <w:b/>
                                      <w:bCs/>
                                      <w:color w:val="004563"/>
                                      <w:sz w:val="22"/>
                                      <w:szCs w:val="24"/>
                                      <w:lang w:val="en-US"/>
                                    </w:rPr>
                                  </w:pPr>
                                  <w:r w:rsidRPr="00852C8F">
                                    <w:rPr>
                                      <w:b/>
                                      <w:bCs/>
                                      <w:color w:val="004563"/>
                                      <w:sz w:val="22"/>
                                      <w:szCs w:val="24"/>
                                      <w:lang w:val="en-US"/>
                                    </w:rPr>
                                    <w:t xml:space="preserve">Smaller impact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72000" numCol="1" spcCol="0" rtlCol="0" fromWordArt="0" anchor="ctr" anchorCtr="0" forceAA="0" upright="1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7DD683" id="Arrow: Up 4" o:spid="_x0000_s1027" type="#_x0000_t68" alt="downward arrow - smaller impact on differences" style="position:absolute;left:0;text-align:left;margin-left:269.6pt;margin-top:8.2pt;width:109.15pt;height:97.5pt;rotation:18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" adj="10800" fillcolor="#006991" strokeweight="2pt">
                      <v:fill color2="#cad9eb" rotate="t" focusposition="1,1" focussize="" colors="0 #006991;48497f #b0c6e1;54395f #b0c6e1;1 #cad9eb" focus="100%" type="gradientRadial"/>
                      <v:textbox inset="0,0,0,2mm">
                        <w:txbxContent>
                          <w:p w14:paraId="500EE444" w14:textId="1CCEBB64" w:rsidR="002B0331" w:rsidRPr="00852C8F" w:rsidRDefault="002B0331" w:rsidP="002B0331">
                            <w:pPr>
                              <w:spacing w:line="240" w:lineRule="auto"/>
                              <w:jc w:val="center"/>
                              <w:rPr>
                                <w:b/>
                                <w:bCs/>
                                <w:color w:val="004563"/>
                                <w:sz w:val="22"/>
                                <w:szCs w:val="24"/>
                                <w:lang w:val="en-US"/>
                              </w:rPr>
                            </w:pPr>
                            <w:r w:rsidRPr="00852C8F">
                              <w:rPr>
                                <w:b/>
                                <w:bCs/>
                                <w:color w:val="004563"/>
                                <w:sz w:val="22"/>
                                <w:szCs w:val="24"/>
                                <w:lang w:val="en-US"/>
                              </w:rPr>
                              <w:t xml:space="preserve">Smaller impact 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2B0331" w:rsidRPr="00F41003">
              <w:rPr>
                <w:lang w:val="en-US"/>
              </w:rPr>
              <w:t>Taxable payrolls</w:t>
            </w:r>
          </w:p>
          <w:p w14:paraId="25A953EA" w14:textId="410FE078" w:rsidR="0078644C" w:rsidRDefault="0078644C" w:rsidP="00952322">
            <w:pPr>
              <w:numPr>
                <w:ilvl w:val="0"/>
                <w:numId w:val="7"/>
              </w:numPr>
              <w:spacing w:before="120"/>
              <w:ind w:left="584" w:hanging="357"/>
            </w:pPr>
            <w:r>
              <w:t>Taxable la</w:t>
            </w:r>
            <w:r w:rsidR="008140F1">
              <w:t>nd values</w:t>
            </w:r>
          </w:p>
          <w:p w14:paraId="68E5AC69" w14:textId="6EE49F54" w:rsidR="005B0CDA" w:rsidRPr="00F41003" w:rsidRDefault="00A11E35" w:rsidP="00952322">
            <w:pPr>
              <w:numPr>
                <w:ilvl w:val="0"/>
                <w:numId w:val="7"/>
              </w:numPr>
              <w:spacing w:before="120"/>
              <w:ind w:left="584" w:hanging="357"/>
            </w:pPr>
            <w:r>
              <w:t>Administrative scale</w:t>
            </w:r>
          </w:p>
          <w:p w14:paraId="49C9F961" w14:textId="04F17C60" w:rsidR="002B0331" w:rsidRPr="00F41003" w:rsidRDefault="002B0331" w:rsidP="00952322">
            <w:pPr>
              <w:numPr>
                <w:ilvl w:val="0"/>
                <w:numId w:val="7"/>
              </w:numPr>
              <w:spacing w:before="120"/>
              <w:ind w:left="584" w:hanging="357"/>
            </w:pPr>
            <w:r w:rsidRPr="00F41003">
              <w:rPr>
                <w:lang w:val="en-US"/>
              </w:rPr>
              <w:t>Wage cost</w:t>
            </w:r>
            <w:r w:rsidR="00C94FC7">
              <w:rPr>
                <w:lang w:val="en-US"/>
              </w:rPr>
              <w:t>s</w:t>
            </w:r>
            <w:r w:rsidRPr="00F41003">
              <w:rPr>
                <w:lang w:val="en-US"/>
              </w:rPr>
              <w:t xml:space="preserve"> </w:t>
            </w:r>
          </w:p>
          <w:p w14:paraId="7828C005" w14:textId="560F5A96" w:rsidR="00321FD3" w:rsidRPr="00F41003" w:rsidRDefault="009B28F1" w:rsidP="002409E8">
            <w:pPr>
              <w:numPr>
                <w:ilvl w:val="0"/>
                <w:numId w:val="7"/>
              </w:numPr>
              <w:spacing w:before="120"/>
              <w:ind w:left="584" w:hanging="357"/>
            </w:pPr>
            <w:r>
              <w:rPr>
                <w:lang w:val="en-US"/>
              </w:rPr>
              <w:t>Non-</w:t>
            </w:r>
            <w:r w:rsidR="00CC4312">
              <w:rPr>
                <w:lang w:val="en-US"/>
              </w:rPr>
              <w:t>I</w:t>
            </w:r>
            <w:r>
              <w:rPr>
                <w:lang w:val="en-US"/>
              </w:rPr>
              <w:t>ndigenous disadvantage</w:t>
            </w:r>
          </w:p>
        </w:tc>
      </w:tr>
    </w:tbl>
    <w:p w14:paraId="53552034" w14:textId="6630642E" w:rsidR="00255390" w:rsidRPr="00255390" w:rsidRDefault="00255390" w:rsidP="00867535">
      <w:pPr>
        <w:tabs>
          <w:tab w:val="clear" w:pos="567"/>
          <w:tab w:val="left" w:pos="1947"/>
        </w:tabs>
        <w:spacing w:before="200"/>
        <w:jc w:val="center"/>
        <w:rPr>
          <w:rFonts w:ascii="Montserrat Ultra Light" w:hAnsi="Montserrat Ultra Light"/>
          <w:b/>
          <w:bCs/>
          <w:color w:val="004563"/>
        </w:rPr>
      </w:pPr>
      <w:r w:rsidRPr="00D97B7C">
        <w:rPr>
          <w:rFonts w:ascii="Montserrat Ultra Light" w:hAnsi="Montserrat Ultra Light"/>
          <w:b/>
          <w:bCs/>
          <w:color w:val="004563"/>
        </w:rPr>
        <w:t xml:space="preserve">For more information about </w:t>
      </w:r>
      <w:r>
        <w:rPr>
          <w:rFonts w:ascii="Montserrat Ultra Light" w:hAnsi="Montserrat Ultra Light"/>
          <w:b/>
          <w:bCs/>
          <w:color w:val="004563"/>
        </w:rPr>
        <w:t xml:space="preserve">the </w:t>
      </w:r>
      <w:r w:rsidRPr="00D97B7C">
        <w:rPr>
          <w:rFonts w:ascii="Montserrat Ultra Light" w:hAnsi="Montserrat Ultra Light"/>
          <w:b/>
          <w:bCs/>
          <w:color w:val="004563"/>
        </w:rPr>
        <w:t>2020 Review</w:t>
      </w:r>
      <w:r w:rsidR="003F4FC0">
        <w:rPr>
          <w:rFonts w:ascii="Montserrat Ultra Light" w:hAnsi="Montserrat Ultra Light"/>
          <w:b/>
          <w:bCs/>
          <w:color w:val="004563"/>
        </w:rPr>
        <w:t>,</w:t>
      </w:r>
      <w:r>
        <w:rPr>
          <w:rFonts w:ascii="Montserrat Ultra Light" w:hAnsi="Montserrat Ultra Light"/>
          <w:b/>
          <w:bCs/>
          <w:color w:val="004563"/>
        </w:rPr>
        <w:t xml:space="preserve"> see the Commission website</w:t>
      </w:r>
      <w:r w:rsidRPr="00D97B7C">
        <w:rPr>
          <w:rFonts w:ascii="Montserrat Ultra Light" w:hAnsi="Montserrat Ultra Light"/>
          <w:b/>
          <w:bCs/>
          <w:color w:val="004563"/>
        </w:rPr>
        <w:t>.</w:t>
      </w:r>
    </w:p>
    <w:sectPr w:rsidR="00255390" w:rsidRPr="00255390" w:rsidSect="008612D1">
      <w:headerReference w:type="default" r:id="rId11"/>
      <w:footerReference w:type="default" r:id="rId12"/>
      <w:headerReference w:type="first" r:id="rId13"/>
      <w:footerReference w:type="first" r:id="rId14"/>
      <w:pgSz w:w="11899" w:h="16838" w:code="9"/>
      <w:pgMar w:top="1474" w:right="1418" w:bottom="1134" w:left="1418" w:header="567" w:footer="56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F2880F" w14:textId="77777777" w:rsidR="00FA7DC5" w:rsidRDefault="00FA7DC5">
      <w:r>
        <w:separator/>
      </w:r>
    </w:p>
  </w:endnote>
  <w:endnote w:type="continuationSeparator" w:id="0">
    <w:p w14:paraId="313BDB48" w14:textId="77777777" w:rsidR="00FA7DC5" w:rsidRDefault="00FA7D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 Light">
    <w:altName w:val="Segoe UI"/>
    <w:panose1 w:val="020B03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 Ultra Light">
    <w:altName w:val="Calibri"/>
    <w:panose1 w:val="000003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Montserrat Extra Bold">
    <w:altName w:val="Calibri"/>
    <w:panose1 w:val="000009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Montserrat Semi Bold">
    <w:altName w:val="Calibri"/>
    <w:panose1 w:val="000007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 Light">
    <w:altName w:val="Calibri"/>
    <w:panose1 w:val="00000400000000000000"/>
    <w:charset w:val="00"/>
    <w:family w:val="auto"/>
    <w:pitch w:val="variable"/>
    <w:sig w:usb0="20000207" w:usb1="00000000" w:usb2="00000000" w:usb3="00000000" w:csb0="00000197" w:csb1="00000000"/>
  </w:font>
  <w:font w:name="Open Sans SemiBold">
    <w:altName w:val="Segoe UI"/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5EF8C7" w14:textId="6053C1BA" w:rsidR="00AB1A13" w:rsidRPr="002478F7" w:rsidRDefault="002478F7" w:rsidP="002478F7">
    <w:pPr>
      <w:pStyle w:val="Footer"/>
      <w:pBdr>
        <w:top w:val="single" w:sz="24" w:space="1" w:color="004563"/>
      </w:pBdr>
      <w:tabs>
        <w:tab w:val="clear" w:pos="567"/>
        <w:tab w:val="clear" w:pos="4513"/>
        <w:tab w:val="clear" w:pos="9026"/>
        <w:tab w:val="right" w:pos="851"/>
      </w:tabs>
      <w:ind w:left="0" w:right="0"/>
      <w:jc w:val="left"/>
      <w:rPr>
        <w:rFonts w:ascii="Montserrat Semi Bold" w:hAnsi="Montserrat Semi Bold"/>
        <w:b w:val="0"/>
        <w:bCs/>
        <w:sz w:val="22"/>
        <w:szCs w:val="24"/>
        <w:lang w:val="en-US"/>
      </w:rPr>
    </w:pPr>
    <w:r>
      <w:rPr>
        <w:rFonts w:ascii="Montserrat Semi Bold" w:hAnsi="Montserrat Semi Bold"/>
        <w:b w:val="0"/>
        <w:bCs/>
        <w:sz w:val="22"/>
        <w:szCs w:val="24"/>
        <w:lang w:val="en-US"/>
      </w:rPr>
      <w:t xml:space="preserve">2020 Review — </w:t>
    </w:r>
    <w:r w:rsidR="003A745D">
      <w:rPr>
        <w:rFonts w:ascii="Montserrat Semi Bold" w:hAnsi="Montserrat Semi Bold"/>
        <w:b w:val="0"/>
        <w:bCs/>
        <w:sz w:val="22"/>
        <w:szCs w:val="24"/>
        <w:lang w:val="en-US"/>
      </w:rPr>
      <w:t>Differences in</w:t>
    </w:r>
    <w:r w:rsidR="009B1184">
      <w:rPr>
        <w:rFonts w:ascii="Montserrat Semi Bold" w:hAnsi="Montserrat Semi Bold"/>
        <w:b w:val="0"/>
        <w:bCs/>
        <w:sz w:val="22"/>
        <w:szCs w:val="24"/>
        <w:lang w:val="en-US"/>
      </w:rPr>
      <w:t xml:space="preserve"> f</w:t>
    </w:r>
    <w:r w:rsidR="00843E90">
      <w:rPr>
        <w:rFonts w:ascii="Montserrat Semi Bold" w:hAnsi="Montserrat Semi Bold"/>
        <w:b w:val="0"/>
        <w:bCs/>
        <w:sz w:val="22"/>
        <w:szCs w:val="24"/>
        <w:lang w:val="en-US"/>
      </w:rPr>
      <w:t>iscal capacities</w:t>
    </w:r>
    <w:r>
      <w:rPr>
        <w:rFonts w:ascii="Montserrat Semi Bold" w:hAnsi="Montserrat Semi Bold"/>
        <w:b w:val="0"/>
        <w:bCs/>
        <w:sz w:val="22"/>
        <w:szCs w:val="24"/>
        <w:lang w:val="en-US"/>
      </w:rPr>
      <w:tab/>
    </w:r>
    <w:r>
      <w:rPr>
        <w:rFonts w:ascii="Montserrat Semi Bold" w:hAnsi="Montserrat Semi Bold"/>
        <w:b w:val="0"/>
        <w:bCs/>
        <w:sz w:val="22"/>
        <w:szCs w:val="24"/>
        <w:lang w:val="en-US"/>
      </w:rPr>
      <w:tab/>
    </w:r>
    <w:r w:rsidR="007A2297">
      <w:rPr>
        <w:rFonts w:ascii="Montserrat Semi Bold" w:hAnsi="Montserrat Semi Bold"/>
        <w:b w:val="0"/>
        <w:bCs/>
        <w:sz w:val="22"/>
        <w:szCs w:val="24"/>
        <w:lang w:val="en-US"/>
      </w:rPr>
      <w:tab/>
    </w:r>
    <w:r>
      <w:rPr>
        <w:rFonts w:ascii="Montserrat Semi Bold" w:hAnsi="Montserrat Semi Bold"/>
        <w:b w:val="0"/>
        <w:bCs/>
        <w:sz w:val="22"/>
        <w:szCs w:val="24"/>
        <w:lang w:val="en-US"/>
      </w:rPr>
      <w:tab/>
    </w:r>
    <w:r w:rsidR="007A2297">
      <w:rPr>
        <w:rFonts w:ascii="Montserrat Semi Bold" w:hAnsi="Montserrat Semi Bold"/>
        <w:b w:val="0"/>
        <w:bCs/>
        <w:sz w:val="22"/>
        <w:szCs w:val="24"/>
        <w:lang w:val="en-US"/>
      </w:rPr>
      <w:t xml:space="preserve">           </w:t>
    </w:r>
    <w:r w:rsidR="008612D1">
      <w:rPr>
        <w:rFonts w:ascii="Montserrat Semi Bold" w:hAnsi="Montserrat Semi Bold"/>
        <w:b w:val="0"/>
        <w:bCs/>
        <w:sz w:val="22"/>
        <w:szCs w:val="24"/>
        <w:lang w:val="en-US"/>
      </w:rPr>
      <w:t xml:space="preserve">  </w:t>
    </w:r>
    <w:r w:rsidR="007A2297">
      <w:rPr>
        <w:rFonts w:ascii="Montserrat Semi Bold" w:hAnsi="Montserrat Semi Bold"/>
        <w:b w:val="0"/>
        <w:bCs/>
        <w:sz w:val="22"/>
        <w:szCs w:val="24"/>
        <w:lang w:val="en-US"/>
      </w:rPr>
      <w:t>cgc.gov.au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8D8BF6" w14:textId="6329CA7B" w:rsidR="002F2AE2" w:rsidRPr="008E13F6" w:rsidRDefault="00046F77" w:rsidP="004C12B4">
    <w:pPr>
      <w:pStyle w:val="Footer"/>
      <w:pBdr>
        <w:top w:val="single" w:sz="24" w:space="1" w:color="004563"/>
      </w:pBdr>
      <w:tabs>
        <w:tab w:val="clear" w:pos="567"/>
        <w:tab w:val="clear" w:pos="4513"/>
        <w:tab w:val="clear" w:pos="9026"/>
        <w:tab w:val="right" w:pos="851"/>
      </w:tabs>
      <w:ind w:left="0" w:right="0"/>
      <w:rPr>
        <w:rFonts w:ascii="Montserrat Semi Bold" w:hAnsi="Montserrat Semi Bold"/>
        <w:b w:val="0"/>
        <w:bCs/>
        <w:sz w:val="22"/>
        <w:szCs w:val="24"/>
        <w:lang w:val="en-US"/>
      </w:rPr>
    </w:pPr>
    <w:r>
      <w:rPr>
        <w:rFonts w:ascii="Montserrat Semi Bold" w:hAnsi="Montserrat Semi Bold"/>
        <w:b w:val="0"/>
        <w:bCs/>
        <w:sz w:val="22"/>
        <w:szCs w:val="24"/>
        <w:lang w:val="en-US"/>
      </w:rPr>
      <w:t xml:space="preserve">2020 Review — </w:t>
    </w:r>
    <w:r w:rsidR="00650F3A">
      <w:rPr>
        <w:rFonts w:ascii="Montserrat Semi Bold" w:hAnsi="Montserrat Semi Bold"/>
        <w:b w:val="0"/>
        <w:bCs/>
        <w:sz w:val="22"/>
        <w:szCs w:val="24"/>
        <w:lang w:val="en-US"/>
      </w:rPr>
      <w:t>Differences in f</w:t>
    </w:r>
    <w:r w:rsidR="002B47D4">
      <w:rPr>
        <w:rFonts w:ascii="Montserrat Semi Bold" w:hAnsi="Montserrat Semi Bold"/>
        <w:b w:val="0"/>
        <w:bCs/>
        <w:sz w:val="22"/>
        <w:szCs w:val="24"/>
        <w:lang w:val="en-US"/>
      </w:rPr>
      <w:t>iscal capacities</w:t>
    </w:r>
    <w:r w:rsidR="002C7FB1">
      <w:rPr>
        <w:rFonts w:ascii="Montserrat Semi Bold" w:hAnsi="Montserrat Semi Bold"/>
        <w:b w:val="0"/>
        <w:bCs/>
        <w:sz w:val="22"/>
        <w:szCs w:val="24"/>
        <w:lang w:val="en-US"/>
      </w:rPr>
      <w:tab/>
    </w:r>
    <w:r w:rsidR="005C215D">
      <w:rPr>
        <w:rFonts w:ascii="Montserrat Semi Bold" w:hAnsi="Montserrat Semi Bold"/>
        <w:b w:val="0"/>
        <w:bCs/>
        <w:sz w:val="22"/>
        <w:szCs w:val="24"/>
        <w:lang w:val="en-US"/>
      </w:rPr>
      <w:tab/>
    </w:r>
    <w:r w:rsidR="005C215D">
      <w:rPr>
        <w:rFonts w:ascii="Montserrat Semi Bold" w:hAnsi="Montserrat Semi Bold"/>
        <w:b w:val="0"/>
        <w:bCs/>
        <w:sz w:val="22"/>
        <w:szCs w:val="24"/>
        <w:lang w:val="en-US"/>
      </w:rPr>
      <w:tab/>
    </w:r>
    <w:r w:rsidR="001F50A2">
      <w:rPr>
        <w:rFonts w:ascii="Montserrat Semi Bold" w:hAnsi="Montserrat Semi Bold"/>
        <w:b w:val="0"/>
        <w:bCs/>
        <w:sz w:val="22"/>
        <w:szCs w:val="24"/>
        <w:lang w:val="en-US"/>
      </w:rPr>
      <w:tab/>
    </w:r>
    <w:r w:rsidR="001F50A2">
      <w:rPr>
        <w:rFonts w:ascii="Montserrat Semi Bold" w:hAnsi="Montserrat Semi Bold"/>
        <w:b w:val="0"/>
        <w:bCs/>
        <w:sz w:val="22"/>
        <w:szCs w:val="24"/>
        <w:lang w:val="en-US"/>
      </w:rPr>
      <w:tab/>
    </w:r>
    <w:r w:rsidR="001F50A2">
      <w:rPr>
        <w:rFonts w:ascii="Montserrat Semi Bold" w:hAnsi="Montserrat Semi Bold"/>
        <w:b w:val="0"/>
        <w:bCs/>
        <w:sz w:val="22"/>
        <w:szCs w:val="24"/>
        <w:lang w:val="en-US"/>
      </w:rPr>
      <w:tab/>
    </w:r>
    <w:r w:rsidR="00174ED4">
      <w:rPr>
        <w:rFonts w:ascii="Montserrat Semi Bold" w:hAnsi="Montserrat Semi Bold"/>
        <w:b w:val="0"/>
        <w:bCs/>
        <w:sz w:val="22"/>
        <w:szCs w:val="24"/>
        <w:lang w:val="en-US"/>
      </w:rPr>
      <w:t xml:space="preserve">      </w:t>
    </w:r>
    <w:r w:rsidR="004C12B4" w:rsidRPr="004C12B4">
      <w:rPr>
        <w:rFonts w:ascii="Montserrat Semi Bold" w:hAnsi="Montserrat Semi Bold"/>
        <w:b w:val="0"/>
        <w:bCs/>
        <w:sz w:val="22"/>
        <w:szCs w:val="24"/>
        <w:lang w:val="en-US"/>
      </w:rPr>
      <w:fldChar w:fldCharType="begin"/>
    </w:r>
    <w:r w:rsidR="004C12B4" w:rsidRPr="004C12B4">
      <w:rPr>
        <w:rFonts w:ascii="Montserrat Semi Bold" w:hAnsi="Montserrat Semi Bold"/>
        <w:b w:val="0"/>
        <w:bCs/>
        <w:sz w:val="22"/>
        <w:szCs w:val="24"/>
        <w:lang w:val="en-US"/>
      </w:rPr>
      <w:instrText xml:space="preserve"> PAGE   \* MERGEFORMAT </w:instrText>
    </w:r>
    <w:r w:rsidR="004C12B4" w:rsidRPr="004C12B4">
      <w:rPr>
        <w:rFonts w:ascii="Montserrat Semi Bold" w:hAnsi="Montserrat Semi Bold"/>
        <w:b w:val="0"/>
        <w:bCs/>
        <w:sz w:val="22"/>
        <w:szCs w:val="24"/>
        <w:lang w:val="en-US"/>
      </w:rPr>
      <w:fldChar w:fldCharType="separate"/>
    </w:r>
    <w:r w:rsidR="004C12B4" w:rsidRPr="004C12B4">
      <w:rPr>
        <w:rFonts w:ascii="Montserrat Semi Bold" w:hAnsi="Montserrat Semi Bold"/>
        <w:b w:val="0"/>
        <w:bCs/>
        <w:noProof/>
        <w:sz w:val="22"/>
        <w:szCs w:val="24"/>
        <w:lang w:val="en-US"/>
      </w:rPr>
      <w:t>1</w:t>
    </w:r>
    <w:r w:rsidR="004C12B4" w:rsidRPr="004C12B4">
      <w:rPr>
        <w:rFonts w:ascii="Montserrat Semi Bold" w:hAnsi="Montserrat Semi Bold"/>
        <w:b w:val="0"/>
        <w:bCs/>
        <w:noProof/>
        <w:sz w:val="22"/>
        <w:szCs w:val="24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0BB2CE" w14:textId="77777777" w:rsidR="00FA7DC5" w:rsidRPr="00201B3A" w:rsidRDefault="00FA7DC5">
      <w:pPr>
        <w:rPr>
          <w:color w:val="ADD6EA"/>
        </w:rPr>
      </w:pPr>
      <w:r w:rsidRPr="00201B3A">
        <w:rPr>
          <w:color w:val="ADD6EA"/>
        </w:rPr>
        <w:separator/>
      </w:r>
    </w:p>
  </w:footnote>
  <w:footnote w:type="continuationSeparator" w:id="0">
    <w:p w14:paraId="4472DE36" w14:textId="77777777" w:rsidR="00FA7DC5" w:rsidRDefault="00FA7D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7F8E57" w14:textId="77777777" w:rsidR="008612D1" w:rsidRPr="008612D1" w:rsidRDefault="008612D1" w:rsidP="008612D1">
    <w:pPr>
      <w:tabs>
        <w:tab w:val="clear" w:pos="567"/>
        <w:tab w:val="left" w:pos="2028"/>
        <w:tab w:val="center" w:pos="4513"/>
        <w:tab w:val="right" w:pos="9026"/>
      </w:tabs>
      <w:spacing w:before="200" w:line="240" w:lineRule="auto"/>
      <w:rPr>
        <w:rFonts w:ascii="Montserrat Ultra Light" w:hAnsi="Montserrat Ultra Light"/>
        <w:color w:val="004563"/>
      </w:rPr>
    </w:pPr>
  </w:p>
  <w:p w14:paraId="1F05D4DF" w14:textId="1D5DEA30" w:rsidR="001C2352" w:rsidRPr="008612D1" w:rsidRDefault="008612D1" w:rsidP="008612D1">
    <w:pPr>
      <w:pBdr>
        <w:bottom w:val="single" w:sz="24" w:space="1" w:color="004563"/>
      </w:pBdr>
      <w:tabs>
        <w:tab w:val="clear" w:pos="567"/>
        <w:tab w:val="center" w:pos="4513"/>
        <w:tab w:val="right" w:pos="9026"/>
      </w:tabs>
      <w:spacing w:before="200" w:line="240" w:lineRule="auto"/>
      <w:jc w:val="center"/>
      <w:rPr>
        <w:rFonts w:ascii="Montserrat Ultra Light" w:hAnsi="Montserrat Ultra Light"/>
        <w:color w:val="004563"/>
      </w:rPr>
    </w:pPr>
    <w:r w:rsidRPr="008612D1">
      <w:rPr>
        <w:rFonts w:ascii="Montserrat Ultra Light" w:hAnsi="Montserrat Ultra Light"/>
        <w:noProof/>
        <w:color w:val="004563"/>
      </w:rPr>
      <w:drawing>
        <wp:anchor distT="0" distB="0" distL="114300" distR="114300" simplePos="0" relativeHeight="251657216" behindDoc="1" locked="0" layoutInCell="1" allowOverlap="1" wp14:anchorId="7C2D6E4D" wp14:editId="3FC6C87A">
          <wp:simplePos x="0" y="0"/>
          <wp:positionH relativeFrom="column">
            <wp:posOffset>1140511</wp:posOffset>
          </wp:positionH>
          <wp:positionV relativeFrom="topMargin">
            <wp:posOffset>252095</wp:posOffset>
          </wp:positionV>
          <wp:extent cx="3427200" cy="648000"/>
          <wp:effectExtent l="0" t="0" r="1905" b="0"/>
          <wp:wrapNone/>
          <wp:docPr id="1" name="Picture 1" descr="A screenshot of a cell phon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GC_Crest_Inline_CGC_Blue_1(200mm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27200" cy="64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9BE5E8" w14:textId="15D05562" w:rsidR="000349FF" w:rsidRDefault="000349FF" w:rsidP="009076A2">
    <w:pPr>
      <w:pStyle w:val="Header"/>
      <w:tabs>
        <w:tab w:val="left" w:pos="2028"/>
      </w:tabs>
      <w:spacing w:before="200"/>
    </w:pPr>
  </w:p>
  <w:p w14:paraId="481C3F99" w14:textId="6E00ED48" w:rsidR="002F2AE2" w:rsidRDefault="001B6448" w:rsidP="000349FF">
    <w:pPr>
      <w:pStyle w:val="Header"/>
      <w:pBdr>
        <w:bottom w:val="single" w:sz="24" w:space="1" w:color="004563"/>
      </w:pBdr>
      <w:spacing w:before="200"/>
      <w:jc w:val="cen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D8D66DF" wp14:editId="04319361">
          <wp:simplePos x="0" y="0"/>
          <wp:positionH relativeFrom="column">
            <wp:posOffset>1140511</wp:posOffset>
          </wp:positionH>
          <wp:positionV relativeFrom="topMargin">
            <wp:posOffset>252095</wp:posOffset>
          </wp:positionV>
          <wp:extent cx="3427200" cy="648000"/>
          <wp:effectExtent l="0" t="0" r="1905" b="0"/>
          <wp:wrapNone/>
          <wp:docPr id="2" name="Picture 2" descr="A screenshot of a cell phon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GC_Crest_Inline_CGC_Blue_1(200mm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27200" cy="64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8A7E6E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458F1C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354E82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4E2530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B66245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B1CD80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1FADDE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AF61ED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B6866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F8ED30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85161D"/>
    <w:multiLevelType w:val="hybridMultilevel"/>
    <w:tmpl w:val="522261EA"/>
    <w:lvl w:ilvl="0" w:tplc="2B7CBD9E">
      <w:start w:val="1"/>
      <w:numFmt w:val="lowerRoman"/>
      <w:pStyle w:val="CGCBullet3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3D7BB4"/>
    <w:multiLevelType w:val="multilevel"/>
    <w:tmpl w:val="410E2C24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15BF05D3"/>
    <w:multiLevelType w:val="hybridMultilevel"/>
    <w:tmpl w:val="BDDC239A"/>
    <w:lvl w:ilvl="0" w:tplc="51BAAD84">
      <w:start w:val="1"/>
      <w:numFmt w:val="bullet"/>
      <w:pStyle w:val="CGCBullet2"/>
      <w:lvlText w:val=""/>
      <w:lvlJc w:val="left"/>
      <w:pPr>
        <w:ind w:left="720" w:hanging="360"/>
      </w:pPr>
      <w:rPr>
        <w:rFonts w:ascii="Symbol" w:hAnsi="Symbol" w:hint="default"/>
        <w:b/>
        <w:color w:val="5CA5C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E71B9C"/>
    <w:multiLevelType w:val="hybridMultilevel"/>
    <w:tmpl w:val="46B88E1E"/>
    <w:lvl w:ilvl="0" w:tplc="CA885F44">
      <w:start w:val="1"/>
      <w:numFmt w:val="bullet"/>
      <w:pStyle w:val="CGCBullet1"/>
      <w:lvlText w:val=""/>
      <w:lvlJc w:val="left"/>
      <w:pPr>
        <w:ind w:left="720" w:hanging="360"/>
      </w:pPr>
      <w:rPr>
        <w:rFonts w:ascii="Symbol" w:hAnsi="Symbol" w:hint="default"/>
        <w:color w:val="5CA5C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AF3A2E"/>
    <w:multiLevelType w:val="multilevel"/>
    <w:tmpl w:val="CA8C0118"/>
    <w:lvl w:ilvl="0">
      <w:start w:val="1"/>
      <w:numFmt w:val="none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none"/>
      <w:lvlText w:val="%2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2">
      <w:start w:val="1"/>
      <w:numFmt w:val="none"/>
      <w:lvlText w:val="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none"/>
      <w:lvlText w:val="%4)"/>
      <w:lvlJc w:val="left"/>
      <w:pPr>
        <w:tabs>
          <w:tab w:val="num" w:pos="2160"/>
        </w:tabs>
        <w:ind w:left="2160" w:firstLine="0"/>
      </w:pPr>
      <w:rPr>
        <w:rFonts w:hint="default"/>
      </w:rPr>
    </w:lvl>
    <w:lvl w:ilvl="4">
      <w:start w:val="1"/>
      <w:numFmt w:val="none"/>
      <w:lvlText w:val="(%5)"/>
      <w:lvlJc w:val="left"/>
      <w:pPr>
        <w:tabs>
          <w:tab w:val="num" w:pos="288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15" w15:restartNumberingAfterBreak="0">
    <w:nsid w:val="305A2F29"/>
    <w:multiLevelType w:val="hybridMultilevel"/>
    <w:tmpl w:val="25EAF598"/>
    <w:lvl w:ilvl="0" w:tplc="245E7AAC">
      <w:start w:val="1"/>
      <w:numFmt w:val="decimal"/>
      <w:lvlText w:val="%1"/>
      <w:lvlJc w:val="left"/>
      <w:pPr>
        <w:ind w:left="720" w:hanging="360"/>
      </w:pPr>
      <w:rPr>
        <w:rFonts w:ascii="Open Sans Light" w:hAnsi="Open Sans Light" w:hint="default"/>
        <w:b w:val="0"/>
        <w:i w:val="0"/>
        <w:caps w:val="0"/>
        <w:strike w:val="0"/>
        <w:dstrike w:val="0"/>
        <w:vanish w:val="0"/>
        <w:color w:val="000000" w:themeColor="text1"/>
        <w:sz w:val="20"/>
        <w:vertAlign w:val="baseline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7A6023"/>
    <w:multiLevelType w:val="hybridMultilevel"/>
    <w:tmpl w:val="1262912E"/>
    <w:lvl w:ilvl="0" w:tplc="9B9083DC">
      <w:start w:val="1"/>
      <w:numFmt w:val="lowerRoman"/>
      <w:lvlText w:val="%1"/>
      <w:lvlJc w:val="left"/>
      <w:pPr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B2939A1"/>
    <w:multiLevelType w:val="hybridMultilevel"/>
    <w:tmpl w:val="7E0644A6"/>
    <w:lvl w:ilvl="0" w:tplc="A72CF2B4">
      <w:start w:val="1"/>
      <w:numFmt w:val="lowerLetter"/>
      <w:lvlText w:val="(%1)"/>
      <w:lvlJc w:val="left"/>
      <w:pPr>
        <w:ind w:left="2379" w:hanging="45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009" w:hanging="360"/>
      </w:pPr>
    </w:lvl>
    <w:lvl w:ilvl="2" w:tplc="0C09001B" w:tentative="1">
      <w:start w:val="1"/>
      <w:numFmt w:val="lowerRoman"/>
      <w:lvlText w:val="%3."/>
      <w:lvlJc w:val="right"/>
      <w:pPr>
        <w:ind w:left="3729" w:hanging="180"/>
      </w:pPr>
    </w:lvl>
    <w:lvl w:ilvl="3" w:tplc="0C09000F" w:tentative="1">
      <w:start w:val="1"/>
      <w:numFmt w:val="decimal"/>
      <w:lvlText w:val="%4."/>
      <w:lvlJc w:val="left"/>
      <w:pPr>
        <w:ind w:left="4449" w:hanging="360"/>
      </w:pPr>
    </w:lvl>
    <w:lvl w:ilvl="4" w:tplc="0C090019" w:tentative="1">
      <w:start w:val="1"/>
      <w:numFmt w:val="lowerLetter"/>
      <w:lvlText w:val="%5."/>
      <w:lvlJc w:val="left"/>
      <w:pPr>
        <w:ind w:left="5169" w:hanging="360"/>
      </w:pPr>
    </w:lvl>
    <w:lvl w:ilvl="5" w:tplc="0C09001B" w:tentative="1">
      <w:start w:val="1"/>
      <w:numFmt w:val="lowerRoman"/>
      <w:lvlText w:val="%6."/>
      <w:lvlJc w:val="right"/>
      <w:pPr>
        <w:ind w:left="5889" w:hanging="180"/>
      </w:pPr>
    </w:lvl>
    <w:lvl w:ilvl="6" w:tplc="0C09000F" w:tentative="1">
      <w:start w:val="1"/>
      <w:numFmt w:val="decimal"/>
      <w:lvlText w:val="%7."/>
      <w:lvlJc w:val="left"/>
      <w:pPr>
        <w:ind w:left="6609" w:hanging="360"/>
      </w:pPr>
    </w:lvl>
    <w:lvl w:ilvl="7" w:tplc="0C090019" w:tentative="1">
      <w:start w:val="1"/>
      <w:numFmt w:val="lowerLetter"/>
      <w:lvlText w:val="%8."/>
      <w:lvlJc w:val="left"/>
      <w:pPr>
        <w:ind w:left="7329" w:hanging="360"/>
      </w:pPr>
    </w:lvl>
    <w:lvl w:ilvl="8" w:tplc="0C09001B" w:tentative="1">
      <w:start w:val="1"/>
      <w:numFmt w:val="lowerRoman"/>
      <w:lvlText w:val="%9."/>
      <w:lvlJc w:val="right"/>
      <w:pPr>
        <w:ind w:left="8049" w:hanging="180"/>
      </w:pPr>
    </w:lvl>
  </w:abstractNum>
  <w:abstractNum w:abstractNumId="18" w15:restartNumberingAfterBreak="0">
    <w:nsid w:val="4DDF17EB"/>
    <w:multiLevelType w:val="hybridMultilevel"/>
    <w:tmpl w:val="85E628F8"/>
    <w:lvl w:ilvl="0" w:tplc="13B2E7F6">
      <w:start w:val="1"/>
      <w:numFmt w:val="decimal"/>
      <w:pStyle w:val="CGCParaNumber"/>
      <w:lvlText w:val="%1"/>
      <w:lvlJc w:val="left"/>
      <w:pPr>
        <w:ind w:left="360" w:hanging="360"/>
      </w:pPr>
      <w:rPr>
        <w:rFonts w:ascii="Open Sans Light" w:hAnsi="Open Sans Light" w:hint="default"/>
        <w:b w:val="0"/>
        <w:i w:val="0"/>
        <w:caps w:val="0"/>
        <w:strike w:val="0"/>
        <w:dstrike w:val="0"/>
        <w:vanish w:val="0"/>
        <w:color w:val="000000" w:themeColor="text1"/>
        <w:sz w:val="20"/>
        <w:vertAlign w:val="baseline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B56961"/>
    <w:multiLevelType w:val="hybridMultilevel"/>
    <w:tmpl w:val="EC0A00E0"/>
    <w:lvl w:ilvl="0" w:tplc="8A0205E8">
      <w:start w:val="1"/>
      <w:numFmt w:val="bullet"/>
      <w:pStyle w:val="CGCQuoteBullet"/>
      <w:lvlText w:val=""/>
      <w:lvlJc w:val="left"/>
      <w:pPr>
        <w:ind w:left="1741" w:hanging="360"/>
      </w:pPr>
      <w:rPr>
        <w:rFonts w:ascii="Symbol" w:hAnsi="Symbol" w:hint="default"/>
        <w:color w:val="5CA5C2"/>
      </w:rPr>
    </w:lvl>
    <w:lvl w:ilvl="1" w:tplc="0C090003" w:tentative="1">
      <w:start w:val="1"/>
      <w:numFmt w:val="bullet"/>
      <w:lvlText w:val="o"/>
      <w:lvlJc w:val="left"/>
      <w:pPr>
        <w:ind w:left="246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18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0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2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34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06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78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01" w:hanging="360"/>
      </w:pPr>
      <w:rPr>
        <w:rFonts w:ascii="Wingdings" w:hAnsi="Wingdings" w:hint="default"/>
      </w:rPr>
    </w:lvl>
  </w:abstractNum>
  <w:abstractNum w:abstractNumId="20" w15:restartNumberingAfterBreak="0">
    <w:nsid w:val="6D517EA6"/>
    <w:multiLevelType w:val="multilevel"/>
    <w:tmpl w:val="8CEE0058"/>
    <w:lvl w:ilvl="0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tabs>
          <w:tab w:val="num" w:pos="1593"/>
        </w:tabs>
        <w:ind w:left="1593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953"/>
        </w:tabs>
        <w:ind w:left="1953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313"/>
        </w:tabs>
        <w:ind w:left="2313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673"/>
        </w:tabs>
        <w:ind w:left="2673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033"/>
        </w:tabs>
        <w:ind w:left="3033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393"/>
        </w:tabs>
        <w:ind w:left="339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753"/>
        </w:tabs>
        <w:ind w:left="3753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113"/>
        </w:tabs>
        <w:ind w:left="4113" w:hanging="360"/>
      </w:pPr>
      <w:rPr>
        <w:rFonts w:hint="default"/>
      </w:rPr>
    </w:lvl>
  </w:abstractNum>
  <w:abstractNum w:abstractNumId="21" w15:restartNumberingAfterBreak="0">
    <w:nsid w:val="77D62F87"/>
    <w:multiLevelType w:val="hybridMultilevel"/>
    <w:tmpl w:val="E332B1EE"/>
    <w:lvl w:ilvl="0" w:tplc="7898E74C">
      <w:start w:val="1"/>
      <w:numFmt w:val="bullet"/>
      <w:lvlText w:val=""/>
      <w:lvlJc w:val="left"/>
      <w:pPr>
        <w:tabs>
          <w:tab w:val="num" w:pos="927"/>
        </w:tabs>
        <w:ind w:left="1134" w:firstLine="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4"/>
  </w:num>
  <w:num w:numId="3">
    <w:abstractNumId w:val="20"/>
  </w:num>
  <w:num w:numId="4">
    <w:abstractNumId w:val="16"/>
  </w:num>
  <w:num w:numId="5">
    <w:abstractNumId w:val="21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19"/>
  </w:num>
  <w:num w:numId="11">
    <w:abstractNumId w:val="15"/>
  </w:num>
  <w:num w:numId="12">
    <w:abstractNumId w:val="13"/>
  </w:num>
  <w:num w:numId="13">
    <w:abstractNumId w:val="12"/>
  </w:num>
  <w:num w:numId="14">
    <w:abstractNumId w:val="10"/>
  </w:num>
  <w:num w:numId="15">
    <w:abstractNumId w:val="19"/>
  </w:num>
  <w:num w:numId="16">
    <w:abstractNumId w:val="15"/>
  </w:num>
  <w:num w:numId="17">
    <w:abstractNumId w:val="13"/>
  </w:num>
  <w:num w:numId="18">
    <w:abstractNumId w:val="12"/>
  </w:num>
  <w:num w:numId="19">
    <w:abstractNumId w:val="10"/>
  </w:num>
  <w:num w:numId="20">
    <w:abstractNumId w:val="19"/>
  </w:num>
  <w:num w:numId="21">
    <w:abstractNumId w:val="15"/>
  </w:num>
  <w:num w:numId="22">
    <w:abstractNumId w:val="13"/>
  </w:num>
  <w:num w:numId="23">
    <w:abstractNumId w:val="12"/>
  </w:num>
  <w:num w:numId="24">
    <w:abstractNumId w:val="10"/>
  </w:num>
  <w:num w:numId="25">
    <w:abstractNumId w:val="19"/>
  </w:num>
  <w:num w:numId="26">
    <w:abstractNumId w:val="9"/>
  </w:num>
  <w:num w:numId="27">
    <w:abstractNumId w:val="7"/>
  </w:num>
  <w:num w:numId="28">
    <w:abstractNumId w:val="6"/>
  </w:num>
  <w:num w:numId="29">
    <w:abstractNumId w:val="5"/>
  </w:num>
  <w:num w:numId="30">
    <w:abstractNumId w:val="4"/>
  </w:num>
  <w:num w:numId="31">
    <w:abstractNumId w:val="8"/>
  </w:num>
  <w:num w:numId="32">
    <w:abstractNumId w:val="3"/>
  </w:num>
  <w:num w:numId="33">
    <w:abstractNumId w:val="2"/>
  </w:num>
  <w:num w:numId="34">
    <w:abstractNumId w:val="1"/>
  </w:num>
  <w:num w:numId="35">
    <w:abstractNumId w:val="0"/>
  </w:num>
  <w:num w:numId="36">
    <w:abstractNumId w:val="15"/>
  </w:num>
  <w:num w:numId="37">
    <w:abstractNumId w:val="18"/>
  </w:num>
  <w:num w:numId="38">
    <w:abstractNumId w:val="15"/>
    <w:lvlOverride w:ilvl="0">
      <w:startOverride w:val="1"/>
    </w:lvlOverride>
  </w:num>
  <w:num w:numId="39">
    <w:abstractNumId w:val="1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57"/>
  <w:drawingGridVerticalSpacing w:val="57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E87D7D"/>
    <w:rsid w:val="000036E8"/>
    <w:rsid w:val="00011803"/>
    <w:rsid w:val="00016FE0"/>
    <w:rsid w:val="00017A7E"/>
    <w:rsid w:val="00022EA9"/>
    <w:rsid w:val="00024129"/>
    <w:rsid w:val="00024745"/>
    <w:rsid w:val="00032F41"/>
    <w:rsid w:val="00033274"/>
    <w:rsid w:val="000347E9"/>
    <w:rsid w:val="000349FF"/>
    <w:rsid w:val="00034D47"/>
    <w:rsid w:val="00035107"/>
    <w:rsid w:val="0004123E"/>
    <w:rsid w:val="00041748"/>
    <w:rsid w:val="00041E84"/>
    <w:rsid w:val="000424EA"/>
    <w:rsid w:val="00042BC8"/>
    <w:rsid w:val="000433E1"/>
    <w:rsid w:val="00046F77"/>
    <w:rsid w:val="000512CF"/>
    <w:rsid w:val="00056373"/>
    <w:rsid w:val="00061111"/>
    <w:rsid w:val="000624BB"/>
    <w:rsid w:val="000648E8"/>
    <w:rsid w:val="00077E84"/>
    <w:rsid w:val="00090AEF"/>
    <w:rsid w:val="00090CF6"/>
    <w:rsid w:val="00093796"/>
    <w:rsid w:val="000A3898"/>
    <w:rsid w:val="000A52A1"/>
    <w:rsid w:val="000A5C16"/>
    <w:rsid w:val="000B2942"/>
    <w:rsid w:val="000B3557"/>
    <w:rsid w:val="000B64E3"/>
    <w:rsid w:val="000B67BC"/>
    <w:rsid w:val="000B7BE2"/>
    <w:rsid w:val="000C5126"/>
    <w:rsid w:val="000C6081"/>
    <w:rsid w:val="000C6238"/>
    <w:rsid w:val="000D1354"/>
    <w:rsid w:val="000D7085"/>
    <w:rsid w:val="000D7C54"/>
    <w:rsid w:val="000E0085"/>
    <w:rsid w:val="000E0210"/>
    <w:rsid w:val="000E4EE3"/>
    <w:rsid w:val="000E53E0"/>
    <w:rsid w:val="000E6AA5"/>
    <w:rsid w:val="000E7F56"/>
    <w:rsid w:val="000F11E8"/>
    <w:rsid w:val="000F1CDA"/>
    <w:rsid w:val="000F2333"/>
    <w:rsid w:val="000F36F9"/>
    <w:rsid w:val="000F5283"/>
    <w:rsid w:val="000F5C6F"/>
    <w:rsid w:val="000F71D8"/>
    <w:rsid w:val="001039C2"/>
    <w:rsid w:val="001040AD"/>
    <w:rsid w:val="0010414B"/>
    <w:rsid w:val="0011178C"/>
    <w:rsid w:val="001128CA"/>
    <w:rsid w:val="00112CF0"/>
    <w:rsid w:val="00113110"/>
    <w:rsid w:val="001155FA"/>
    <w:rsid w:val="00120B57"/>
    <w:rsid w:val="001211AB"/>
    <w:rsid w:val="001218B8"/>
    <w:rsid w:val="00124C6E"/>
    <w:rsid w:val="00124ED1"/>
    <w:rsid w:val="001251B1"/>
    <w:rsid w:val="001354C2"/>
    <w:rsid w:val="00136497"/>
    <w:rsid w:val="00141BD1"/>
    <w:rsid w:val="00143B44"/>
    <w:rsid w:val="00146A68"/>
    <w:rsid w:val="00147115"/>
    <w:rsid w:val="001477CE"/>
    <w:rsid w:val="00150B97"/>
    <w:rsid w:val="00157DD4"/>
    <w:rsid w:val="00161EFB"/>
    <w:rsid w:val="0016313D"/>
    <w:rsid w:val="0016373E"/>
    <w:rsid w:val="0016723A"/>
    <w:rsid w:val="00171A05"/>
    <w:rsid w:val="00172F3A"/>
    <w:rsid w:val="001730FD"/>
    <w:rsid w:val="00173798"/>
    <w:rsid w:val="00173BE6"/>
    <w:rsid w:val="00173E72"/>
    <w:rsid w:val="00174ED4"/>
    <w:rsid w:val="001760BE"/>
    <w:rsid w:val="001765AF"/>
    <w:rsid w:val="00176FC0"/>
    <w:rsid w:val="001807C0"/>
    <w:rsid w:val="001811DE"/>
    <w:rsid w:val="00186733"/>
    <w:rsid w:val="00187145"/>
    <w:rsid w:val="001A2D44"/>
    <w:rsid w:val="001A3F59"/>
    <w:rsid w:val="001B0110"/>
    <w:rsid w:val="001B3048"/>
    <w:rsid w:val="001B5072"/>
    <w:rsid w:val="001B6448"/>
    <w:rsid w:val="001B696E"/>
    <w:rsid w:val="001B6A56"/>
    <w:rsid w:val="001C2352"/>
    <w:rsid w:val="001C469B"/>
    <w:rsid w:val="001C6A71"/>
    <w:rsid w:val="001C6DE9"/>
    <w:rsid w:val="001C7D06"/>
    <w:rsid w:val="001D0966"/>
    <w:rsid w:val="001D498E"/>
    <w:rsid w:val="001D638B"/>
    <w:rsid w:val="001D6DFA"/>
    <w:rsid w:val="001E3BBB"/>
    <w:rsid w:val="001E492F"/>
    <w:rsid w:val="001E4FEB"/>
    <w:rsid w:val="001E5C89"/>
    <w:rsid w:val="001E6180"/>
    <w:rsid w:val="001E674B"/>
    <w:rsid w:val="001E68FC"/>
    <w:rsid w:val="001F1CD6"/>
    <w:rsid w:val="001F45CA"/>
    <w:rsid w:val="001F50A2"/>
    <w:rsid w:val="001F7F38"/>
    <w:rsid w:val="00201B3A"/>
    <w:rsid w:val="00204026"/>
    <w:rsid w:val="0020557F"/>
    <w:rsid w:val="00210869"/>
    <w:rsid w:val="002116A4"/>
    <w:rsid w:val="00212948"/>
    <w:rsid w:val="00215461"/>
    <w:rsid w:val="00217839"/>
    <w:rsid w:val="00225A3B"/>
    <w:rsid w:val="00226EE9"/>
    <w:rsid w:val="0023081D"/>
    <w:rsid w:val="00230F10"/>
    <w:rsid w:val="0023329C"/>
    <w:rsid w:val="00236DC0"/>
    <w:rsid w:val="002373A2"/>
    <w:rsid w:val="002409E8"/>
    <w:rsid w:val="00242517"/>
    <w:rsid w:val="0024260B"/>
    <w:rsid w:val="0024401F"/>
    <w:rsid w:val="0024569B"/>
    <w:rsid w:val="002478F7"/>
    <w:rsid w:val="00253E9A"/>
    <w:rsid w:val="00255390"/>
    <w:rsid w:val="00255B5A"/>
    <w:rsid w:val="002569F6"/>
    <w:rsid w:val="002671A2"/>
    <w:rsid w:val="00267496"/>
    <w:rsid w:val="00270B61"/>
    <w:rsid w:val="002736AB"/>
    <w:rsid w:val="00275B68"/>
    <w:rsid w:val="00277EF8"/>
    <w:rsid w:val="002845EA"/>
    <w:rsid w:val="00286EBE"/>
    <w:rsid w:val="0029317F"/>
    <w:rsid w:val="00295B70"/>
    <w:rsid w:val="002A2A08"/>
    <w:rsid w:val="002A2D93"/>
    <w:rsid w:val="002A4E42"/>
    <w:rsid w:val="002A77C3"/>
    <w:rsid w:val="002B0331"/>
    <w:rsid w:val="002B10B0"/>
    <w:rsid w:val="002B169C"/>
    <w:rsid w:val="002B42AD"/>
    <w:rsid w:val="002B47D4"/>
    <w:rsid w:val="002B6EFD"/>
    <w:rsid w:val="002B6F33"/>
    <w:rsid w:val="002B79F0"/>
    <w:rsid w:val="002B7F3E"/>
    <w:rsid w:val="002C1D9C"/>
    <w:rsid w:val="002C25F2"/>
    <w:rsid w:val="002C366F"/>
    <w:rsid w:val="002C4625"/>
    <w:rsid w:val="002C4CA9"/>
    <w:rsid w:val="002C7FB1"/>
    <w:rsid w:val="002D2270"/>
    <w:rsid w:val="002E0BCA"/>
    <w:rsid w:val="002E1AFC"/>
    <w:rsid w:val="002E25A8"/>
    <w:rsid w:val="002E762E"/>
    <w:rsid w:val="002F04DE"/>
    <w:rsid w:val="002F1880"/>
    <w:rsid w:val="002F1CD3"/>
    <w:rsid w:val="002F2AE2"/>
    <w:rsid w:val="002F2C40"/>
    <w:rsid w:val="002F48C0"/>
    <w:rsid w:val="002F6E28"/>
    <w:rsid w:val="002F7E68"/>
    <w:rsid w:val="003022D4"/>
    <w:rsid w:val="00302E5E"/>
    <w:rsid w:val="00304E32"/>
    <w:rsid w:val="00306C94"/>
    <w:rsid w:val="00307400"/>
    <w:rsid w:val="00307DEF"/>
    <w:rsid w:val="00311D33"/>
    <w:rsid w:val="00313584"/>
    <w:rsid w:val="00313664"/>
    <w:rsid w:val="00313E23"/>
    <w:rsid w:val="00314F90"/>
    <w:rsid w:val="00321FD3"/>
    <w:rsid w:val="0032344D"/>
    <w:rsid w:val="00323FBE"/>
    <w:rsid w:val="0033102E"/>
    <w:rsid w:val="00331401"/>
    <w:rsid w:val="00333234"/>
    <w:rsid w:val="00335ED1"/>
    <w:rsid w:val="00336293"/>
    <w:rsid w:val="00337EF8"/>
    <w:rsid w:val="00342A60"/>
    <w:rsid w:val="0034379D"/>
    <w:rsid w:val="0034646D"/>
    <w:rsid w:val="00346EE2"/>
    <w:rsid w:val="00347BE5"/>
    <w:rsid w:val="0035057B"/>
    <w:rsid w:val="003522E0"/>
    <w:rsid w:val="0035267F"/>
    <w:rsid w:val="0035580D"/>
    <w:rsid w:val="003639FB"/>
    <w:rsid w:val="00363BF7"/>
    <w:rsid w:val="00364DB3"/>
    <w:rsid w:val="00365746"/>
    <w:rsid w:val="003665DA"/>
    <w:rsid w:val="0037043F"/>
    <w:rsid w:val="00380B72"/>
    <w:rsid w:val="00382AE5"/>
    <w:rsid w:val="00384DED"/>
    <w:rsid w:val="003929D2"/>
    <w:rsid w:val="00393FA5"/>
    <w:rsid w:val="003A27BB"/>
    <w:rsid w:val="003A2E4F"/>
    <w:rsid w:val="003A392E"/>
    <w:rsid w:val="003A745D"/>
    <w:rsid w:val="003B15C1"/>
    <w:rsid w:val="003B3811"/>
    <w:rsid w:val="003B673D"/>
    <w:rsid w:val="003C2257"/>
    <w:rsid w:val="003C2577"/>
    <w:rsid w:val="003C36F3"/>
    <w:rsid w:val="003C4448"/>
    <w:rsid w:val="003D2521"/>
    <w:rsid w:val="003D3D91"/>
    <w:rsid w:val="003D4708"/>
    <w:rsid w:val="003D477A"/>
    <w:rsid w:val="003D5BD7"/>
    <w:rsid w:val="003E6615"/>
    <w:rsid w:val="003E662B"/>
    <w:rsid w:val="003E74B4"/>
    <w:rsid w:val="003E79F9"/>
    <w:rsid w:val="003F06A1"/>
    <w:rsid w:val="003F12E9"/>
    <w:rsid w:val="003F4FC0"/>
    <w:rsid w:val="003F59F4"/>
    <w:rsid w:val="003F79BF"/>
    <w:rsid w:val="004007D4"/>
    <w:rsid w:val="00401575"/>
    <w:rsid w:val="00403A0F"/>
    <w:rsid w:val="00404DCD"/>
    <w:rsid w:val="004077D6"/>
    <w:rsid w:val="004121E7"/>
    <w:rsid w:val="00414E51"/>
    <w:rsid w:val="00417C55"/>
    <w:rsid w:val="00420F04"/>
    <w:rsid w:val="00423099"/>
    <w:rsid w:val="00424E79"/>
    <w:rsid w:val="0042633B"/>
    <w:rsid w:val="0042661C"/>
    <w:rsid w:val="004274B3"/>
    <w:rsid w:val="00436C0F"/>
    <w:rsid w:val="004372F9"/>
    <w:rsid w:val="0044001B"/>
    <w:rsid w:val="0044321F"/>
    <w:rsid w:val="00443EC1"/>
    <w:rsid w:val="00445544"/>
    <w:rsid w:val="00453264"/>
    <w:rsid w:val="004532AD"/>
    <w:rsid w:val="004613A4"/>
    <w:rsid w:val="0046225D"/>
    <w:rsid w:val="00462B54"/>
    <w:rsid w:val="00463064"/>
    <w:rsid w:val="00472461"/>
    <w:rsid w:val="0047540E"/>
    <w:rsid w:val="00475FEB"/>
    <w:rsid w:val="004761A6"/>
    <w:rsid w:val="004772E3"/>
    <w:rsid w:val="004809B8"/>
    <w:rsid w:val="004821B9"/>
    <w:rsid w:val="00482563"/>
    <w:rsid w:val="00491562"/>
    <w:rsid w:val="00491D88"/>
    <w:rsid w:val="00492060"/>
    <w:rsid w:val="0049605C"/>
    <w:rsid w:val="004965F7"/>
    <w:rsid w:val="004A5A40"/>
    <w:rsid w:val="004A6E06"/>
    <w:rsid w:val="004A7048"/>
    <w:rsid w:val="004A7569"/>
    <w:rsid w:val="004B0A0A"/>
    <w:rsid w:val="004B1C4B"/>
    <w:rsid w:val="004B2249"/>
    <w:rsid w:val="004B60CB"/>
    <w:rsid w:val="004B69A4"/>
    <w:rsid w:val="004B7501"/>
    <w:rsid w:val="004B75F8"/>
    <w:rsid w:val="004C12B4"/>
    <w:rsid w:val="004C1CB5"/>
    <w:rsid w:val="004D192D"/>
    <w:rsid w:val="004E087C"/>
    <w:rsid w:val="004E581E"/>
    <w:rsid w:val="004E769A"/>
    <w:rsid w:val="004F129E"/>
    <w:rsid w:val="004F2B5D"/>
    <w:rsid w:val="004F40BA"/>
    <w:rsid w:val="00500ACD"/>
    <w:rsid w:val="00504061"/>
    <w:rsid w:val="00505BAE"/>
    <w:rsid w:val="00506956"/>
    <w:rsid w:val="00515380"/>
    <w:rsid w:val="005176CA"/>
    <w:rsid w:val="005177E7"/>
    <w:rsid w:val="0052601F"/>
    <w:rsid w:val="00526462"/>
    <w:rsid w:val="00526613"/>
    <w:rsid w:val="00537A77"/>
    <w:rsid w:val="00541A14"/>
    <w:rsid w:val="00543F9C"/>
    <w:rsid w:val="00546D39"/>
    <w:rsid w:val="00550D01"/>
    <w:rsid w:val="00550E84"/>
    <w:rsid w:val="00551368"/>
    <w:rsid w:val="005577B0"/>
    <w:rsid w:val="00561895"/>
    <w:rsid w:val="00562084"/>
    <w:rsid w:val="00562E7D"/>
    <w:rsid w:val="00563BE6"/>
    <w:rsid w:val="00564C1D"/>
    <w:rsid w:val="00564E7F"/>
    <w:rsid w:val="00570EED"/>
    <w:rsid w:val="005716FC"/>
    <w:rsid w:val="005721A4"/>
    <w:rsid w:val="0057368F"/>
    <w:rsid w:val="00575DEF"/>
    <w:rsid w:val="0057640A"/>
    <w:rsid w:val="00577BD0"/>
    <w:rsid w:val="00581586"/>
    <w:rsid w:val="00583A33"/>
    <w:rsid w:val="005867D2"/>
    <w:rsid w:val="00592669"/>
    <w:rsid w:val="005963CC"/>
    <w:rsid w:val="00596E19"/>
    <w:rsid w:val="00597C7D"/>
    <w:rsid w:val="005A2305"/>
    <w:rsid w:val="005A241E"/>
    <w:rsid w:val="005A4ED4"/>
    <w:rsid w:val="005A6FED"/>
    <w:rsid w:val="005B0CDA"/>
    <w:rsid w:val="005B1BC4"/>
    <w:rsid w:val="005B6894"/>
    <w:rsid w:val="005C13B2"/>
    <w:rsid w:val="005C215D"/>
    <w:rsid w:val="005C27E3"/>
    <w:rsid w:val="005C37CB"/>
    <w:rsid w:val="005C459C"/>
    <w:rsid w:val="005C7076"/>
    <w:rsid w:val="005D1A9F"/>
    <w:rsid w:val="005D52FA"/>
    <w:rsid w:val="005D7746"/>
    <w:rsid w:val="005E09CE"/>
    <w:rsid w:val="005E266F"/>
    <w:rsid w:val="005E5734"/>
    <w:rsid w:val="005E73CE"/>
    <w:rsid w:val="005F00BD"/>
    <w:rsid w:val="005F07DC"/>
    <w:rsid w:val="005F1C77"/>
    <w:rsid w:val="005F3022"/>
    <w:rsid w:val="005F4D63"/>
    <w:rsid w:val="005F6084"/>
    <w:rsid w:val="005F64FB"/>
    <w:rsid w:val="0060251E"/>
    <w:rsid w:val="00602D82"/>
    <w:rsid w:val="00602DDE"/>
    <w:rsid w:val="00605E39"/>
    <w:rsid w:val="00607D03"/>
    <w:rsid w:val="00611737"/>
    <w:rsid w:val="0061425B"/>
    <w:rsid w:val="00614DE8"/>
    <w:rsid w:val="00622669"/>
    <w:rsid w:val="00622FE1"/>
    <w:rsid w:val="0062480A"/>
    <w:rsid w:val="00625CE5"/>
    <w:rsid w:val="00631898"/>
    <w:rsid w:val="00635027"/>
    <w:rsid w:val="00636FF7"/>
    <w:rsid w:val="00644A7B"/>
    <w:rsid w:val="00650F3A"/>
    <w:rsid w:val="00652A8C"/>
    <w:rsid w:val="006556D9"/>
    <w:rsid w:val="00661C46"/>
    <w:rsid w:val="006652D3"/>
    <w:rsid w:val="006658B3"/>
    <w:rsid w:val="00667CF3"/>
    <w:rsid w:val="006723C0"/>
    <w:rsid w:val="00673E14"/>
    <w:rsid w:val="006769C4"/>
    <w:rsid w:val="0067724A"/>
    <w:rsid w:val="00677627"/>
    <w:rsid w:val="00677BD5"/>
    <w:rsid w:val="0068025E"/>
    <w:rsid w:val="00681770"/>
    <w:rsid w:val="006867BE"/>
    <w:rsid w:val="00693C87"/>
    <w:rsid w:val="006A05C7"/>
    <w:rsid w:val="006A2E6F"/>
    <w:rsid w:val="006A5A04"/>
    <w:rsid w:val="006A607B"/>
    <w:rsid w:val="006A6E27"/>
    <w:rsid w:val="006A72B0"/>
    <w:rsid w:val="006B3E4D"/>
    <w:rsid w:val="006C0E1E"/>
    <w:rsid w:val="006C3A84"/>
    <w:rsid w:val="006C52B9"/>
    <w:rsid w:val="006D1DFE"/>
    <w:rsid w:val="006D2670"/>
    <w:rsid w:val="006E1B81"/>
    <w:rsid w:val="006E6BC2"/>
    <w:rsid w:val="006E77BB"/>
    <w:rsid w:val="0070150E"/>
    <w:rsid w:val="007027B0"/>
    <w:rsid w:val="00705DB8"/>
    <w:rsid w:val="00710C30"/>
    <w:rsid w:val="00713225"/>
    <w:rsid w:val="0071605E"/>
    <w:rsid w:val="0072512A"/>
    <w:rsid w:val="00731EE6"/>
    <w:rsid w:val="00732CA9"/>
    <w:rsid w:val="007355A6"/>
    <w:rsid w:val="00735976"/>
    <w:rsid w:val="00740A71"/>
    <w:rsid w:val="007429F3"/>
    <w:rsid w:val="007477C5"/>
    <w:rsid w:val="00747938"/>
    <w:rsid w:val="00760479"/>
    <w:rsid w:val="00762AFB"/>
    <w:rsid w:val="00765BA8"/>
    <w:rsid w:val="00766007"/>
    <w:rsid w:val="00770A26"/>
    <w:rsid w:val="007719FF"/>
    <w:rsid w:val="00785AD5"/>
    <w:rsid w:val="0078644C"/>
    <w:rsid w:val="0079241F"/>
    <w:rsid w:val="007925F0"/>
    <w:rsid w:val="007963D8"/>
    <w:rsid w:val="007A1364"/>
    <w:rsid w:val="007A2297"/>
    <w:rsid w:val="007A24A0"/>
    <w:rsid w:val="007A4AB2"/>
    <w:rsid w:val="007A5E68"/>
    <w:rsid w:val="007B1BF7"/>
    <w:rsid w:val="007B5783"/>
    <w:rsid w:val="007B6E41"/>
    <w:rsid w:val="007C0142"/>
    <w:rsid w:val="007C3625"/>
    <w:rsid w:val="007C3B23"/>
    <w:rsid w:val="007C404B"/>
    <w:rsid w:val="007C4BAE"/>
    <w:rsid w:val="007D1C8E"/>
    <w:rsid w:val="007D1D3B"/>
    <w:rsid w:val="007D21B8"/>
    <w:rsid w:val="007D3C7B"/>
    <w:rsid w:val="007D5960"/>
    <w:rsid w:val="007E114E"/>
    <w:rsid w:val="007E35D9"/>
    <w:rsid w:val="007E487F"/>
    <w:rsid w:val="007E4B2D"/>
    <w:rsid w:val="007E587D"/>
    <w:rsid w:val="007E71E9"/>
    <w:rsid w:val="007F1D06"/>
    <w:rsid w:val="007F1F2B"/>
    <w:rsid w:val="007F3B52"/>
    <w:rsid w:val="007F4A43"/>
    <w:rsid w:val="008010D7"/>
    <w:rsid w:val="008018B9"/>
    <w:rsid w:val="00803443"/>
    <w:rsid w:val="0080680D"/>
    <w:rsid w:val="00812C05"/>
    <w:rsid w:val="0081322A"/>
    <w:rsid w:val="008140F1"/>
    <w:rsid w:val="008162AB"/>
    <w:rsid w:val="0082288E"/>
    <w:rsid w:val="008248F7"/>
    <w:rsid w:val="008260B0"/>
    <w:rsid w:val="0083557A"/>
    <w:rsid w:val="00843E6F"/>
    <w:rsid w:val="00843E90"/>
    <w:rsid w:val="00844C15"/>
    <w:rsid w:val="00846D1F"/>
    <w:rsid w:val="00846E4A"/>
    <w:rsid w:val="00851AF5"/>
    <w:rsid w:val="00851FB5"/>
    <w:rsid w:val="00852C8F"/>
    <w:rsid w:val="008612D1"/>
    <w:rsid w:val="008647DE"/>
    <w:rsid w:val="00864B95"/>
    <w:rsid w:val="008655F6"/>
    <w:rsid w:val="00867535"/>
    <w:rsid w:val="00870EC3"/>
    <w:rsid w:val="008712AF"/>
    <w:rsid w:val="00874828"/>
    <w:rsid w:val="008800D3"/>
    <w:rsid w:val="00881642"/>
    <w:rsid w:val="00886CDD"/>
    <w:rsid w:val="00891A3D"/>
    <w:rsid w:val="0089214D"/>
    <w:rsid w:val="0089393B"/>
    <w:rsid w:val="00893C0D"/>
    <w:rsid w:val="0089713E"/>
    <w:rsid w:val="008A20DA"/>
    <w:rsid w:val="008B5C8F"/>
    <w:rsid w:val="008B5F16"/>
    <w:rsid w:val="008B7722"/>
    <w:rsid w:val="008C0E5C"/>
    <w:rsid w:val="008D348B"/>
    <w:rsid w:val="008D4517"/>
    <w:rsid w:val="008D4DFF"/>
    <w:rsid w:val="008D646E"/>
    <w:rsid w:val="008E13F6"/>
    <w:rsid w:val="008E2BE4"/>
    <w:rsid w:val="008E3EAE"/>
    <w:rsid w:val="008E6B4E"/>
    <w:rsid w:val="008E7970"/>
    <w:rsid w:val="008E7C34"/>
    <w:rsid w:val="008F0C36"/>
    <w:rsid w:val="008F11B5"/>
    <w:rsid w:val="008F2E6F"/>
    <w:rsid w:val="008F377B"/>
    <w:rsid w:val="008F6240"/>
    <w:rsid w:val="008F7C48"/>
    <w:rsid w:val="009076A2"/>
    <w:rsid w:val="00915512"/>
    <w:rsid w:val="009233CC"/>
    <w:rsid w:val="009240D8"/>
    <w:rsid w:val="009360D7"/>
    <w:rsid w:val="009362C9"/>
    <w:rsid w:val="00942387"/>
    <w:rsid w:val="009458F6"/>
    <w:rsid w:val="00945E62"/>
    <w:rsid w:val="0094626F"/>
    <w:rsid w:val="009462D2"/>
    <w:rsid w:val="00952A7D"/>
    <w:rsid w:val="00953247"/>
    <w:rsid w:val="0095445D"/>
    <w:rsid w:val="00956E5D"/>
    <w:rsid w:val="009630F9"/>
    <w:rsid w:val="009652D5"/>
    <w:rsid w:val="009677F8"/>
    <w:rsid w:val="00971146"/>
    <w:rsid w:val="00972A9A"/>
    <w:rsid w:val="0098079B"/>
    <w:rsid w:val="00984B47"/>
    <w:rsid w:val="00991675"/>
    <w:rsid w:val="00991AE1"/>
    <w:rsid w:val="00992008"/>
    <w:rsid w:val="00992060"/>
    <w:rsid w:val="00996409"/>
    <w:rsid w:val="00996D00"/>
    <w:rsid w:val="009A03DC"/>
    <w:rsid w:val="009A3455"/>
    <w:rsid w:val="009A6CF3"/>
    <w:rsid w:val="009B1184"/>
    <w:rsid w:val="009B28F1"/>
    <w:rsid w:val="009B303E"/>
    <w:rsid w:val="009B43BF"/>
    <w:rsid w:val="009B4A2D"/>
    <w:rsid w:val="009C0C81"/>
    <w:rsid w:val="009C1E0B"/>
    <w:rsid w:val="009C4A5C"/>
    <w:rsid w:val="009D545A"/>
    <w:rsid w:val="009D6D44"/>
    <w:rsid w:val="009E22FA"/>
    <w:rsid w:val="009E4744"/>
    <w:rsid w:val="009E4EC9"/>
    <w:rsid w:val="009E5D5A"/>
    <w:rsid w:val="009F1EC6"/>
    <w:rsid w:val="009F2017"/>
    <w:rsid w:val="009F2262"/>
    <w:rsid w:val="009F3C5D"/>
    <w:rsid w:val="009F449D"/>
    <w:rsid w:val="009F4ADA"/>
    <w:rsid w:val="009F6157"/>
    <w:rsid w:val="009F6A0D"/>
    <w:rsid w:val="00A07991"/>
    <w:rsid w:val="00A10CDE"/>
    <w:rsid w:val="00A11BEA"/>
    <w:rsid w:val="00A11E35"/>
    <w:rsid w:val="00A13522"/>
    <w:rsid w:val="00A1680D"/>
    <w:rsid w:val="00A23AB0"/>
    <w:rsid w:val="00A255B3"/>
    <w:rsid w:val="00A266C5"/>
    <w:rsid w:val="00A2736E"/>
    <w:rsid w:val="00A309C6"/>
    <w:rsid w:val="00A31297"/>
    <w:rsid w:val="00A32E4E"/>
    <w:rsid w:val="00A3656A"/>
    <w:rsid w:val="00A42348"/>
    <w:rsid w:val="00A505DE"/>
    <w:rsid w:val="00A5327C"/>
    <w:rsid w:val="00A5721C"/>
    <w:rsid w:val="00A57316"/>
    <w:rsid w:val="00A65534"/>
    <w:rsid w:val="00A67913"/>
    <w:rsid w:val="00A81A94"/>
    <w:rsid w:val="00A858BB"/>
    <w:rsid w:val="00A86F2E"/>
    <w:rsid w:val="00A9681E"/>
    <w:rsid w:val="00AA007A"/>
    <w:rsid w:val="00AB073E"/>
    <w:rsid w:val="00AB1A13"/>
    <w:rsid w:val="00AB40C0"/>
    <w:rsid w:val="00AB4E9F"/>
    <w:rsid w:val="00AB73F5"/>
    <w:rsid w:val="00AC15E4"/>
    <w:rsid w:val="00AC210F"/>
    <w:rsid w:val="00AC319E"/>
    <w:rsid w:val="00AC4003"/>
    <w:rsid w:val="00AC4B1E"/>
    <w:rsid w:val="00AC4BC7"/>
    <w:rsid w:val="00AD2075"/>
    <w:rsid w:val="00AE3A1E"/>
    <w:rsid w:val="00AE734F"/>
    <w:rsid w:val="00AF0557"/>
    <w:rsid w:val="00AF18D3"/>
    <w:rsid w:val="00AF2656"/>
    <w:rsid w:val="00AF3478"/>
    <w:rsid w:val="00AF6110"/>
    <w:rsid w:val="00AF6AC6"/>
    <w:rsid w:val="00B00611"/>
    <w:rsid w:val="00B04354"/>
    <w:rsid w:val="00B249FC"/>
    <w:rsid w:val="00B317E7"/>
    <w:rsid w:val="00B326F8"/>
    <w:rsid w:val="00B33A57"/>
    <w:rsid w:val="00B34083"/>
    <w:rsid w:val="00B37728"/>
    <w:rsid w:val="00B45C64"/>
    <w:rsid w:val="00B46A32"/>
    <w:rsid w:val="00B46B29"/>
    <w:rsid w:val="00B53547"/>
    <w:rsid w:val="00B53597"/>
    <w:rsid w:val="00B552AB"/>
    <w:rsid w:val="00B55D3E"/>
    <w:rsid w:val="00B57239"/>
    <w:rsid w:val="00B61484"/>
    <w:rsid w:val="00B62590"/>
    <w:rsid w:val="00B6729F"/>
    <w:rsid w:val="00B778BD"/>
    <w:rsid w:val="00B82136"/>
    <w:rsid w:val="00B82627"/>
    <w:rsid w:val="00B82CCF"/>
    <w:rsid w:val="00B87A21"/>
    <w:rsid w:val="00B90AA7"/>
    <w:rsid w:val="00B920F7"/>
    <w:rsid w:val="00B94335"/>
    <w:rsid w:val="00B94D55"/>
    <w:rsid w:val="00BA27FC"/>
    <w:rsid w:val="00BA2D1D"/>
    <w:rsid w:val="00BA3395"/>
    <w:rsid w:val="00BA65E5"/>
    <w:rsid w:val="00BA719E"/>
    <w:rsid w:val="00BB09DF"/>
    <w:rsid w:val="00BB3FC5"/>
    <w:rsid w:val="00BB472B"/>
    <w:rsid w:val="00BC2B3B"/>
    <w:rsid w:val="00BC4579"/>
    <w:rsid w:val="00BC5418"/>
    <w:rsid w:val="00BC76B9"/>
    <w:rsid w:val="00BD3D24"/>
    <w:rsid w:val="00BE4F68"/>
    <w:rsid w:val="00BF74F3"/>
    <w:rsid w:val="00C00009"/>
    <w:rsid w:val="00C0018A"/>
    <w:rsid w:val="00C00905"/>
    <w:rsid w:val="00C01C15"/>
    <w:rsid w:val="00C035B5"/>
    <w:rsid w:val="00C07A50"/>
    <w:rsid w:val="00C10891"/>
    <w:rsid w:val="00C116EC"/>
    <w:rsid w:val="00C11ABD"/>
    <w:rsid w:val="00C14FB2"/>
    <w:rsid w:val="00C15891"/>
    <w:rsid w:val="00C176AC"/>
    <w:rsid w:val="00C17D0C"/>
    <w:rsid w:val="00C21EF9"/>
    <w:rsid w:val="00C222F7"/>
    <w:rsid w:val="00C24743"/>
    <w:rsid w:val="00C24839"/>
    <w:rsid w:val="00C27C23"/>
    <w:rsid w:val="00C32851"/>
    <w:rsid w:val="00C41C84"/>
    <w:rsid w:val="00C41EBF"/>
    <w:rsid w:val="00C43ACF"/>
    <w:rsid w:val="00C448F0"/>
    <w:rsid w:val="00C45F2C"/>
    <w:rsid w:val="00C46D55"/>
    <w:rsid w:val="00C46DA5"/>
    <w:rsid w:val="00C554D4"/>
    <w:rsid w:val="00C56A9E"/>
    <w:rsid w:val="00C61B02"/>
    <w:rsid w:val="00C61D02"/>
    <w:rsid w:val="00C719A2"/>
    <w:rsid w:val="00C72165"/>
    <w:rsid w:val="00C766C4"/>
    <w:rsid w:val="00C80117"/>
    <w:rsid w:val="00C83041"/>
    <w:rsid w:val="00C90B42"/>
    <w:rsid w:val="00C9475D"/>
    <w:rsid w:val="00C94A72"/>
    <w:rsid w:val="00C94FC7"/>
    <w:rsid w:val="00C95056"/>
    <w:rsid w:val="00C951FD"/>
    <w:rsid w:val="00CA2DFE"/>
    <w:rsid w:val="00CA2F1A"/>
    <w:rsid w:val="00CA33B3"/>
    <w:rsid w:val="00CA77B2"/>
    <w:rsid w:val="00CA7F28"/>
    <w:rsid w:val="00CB0768"/>
    <w:rsid w:val="00CB131F"/>
    <w:rsid w:val="00CB4DCD"/>
    <w:rsid w:val="00CB4F2D"/>
    <w:rsid w:val="00CC1690"/>
    <w:rsid w:val="00CC4110"/>
    <w:rsid w:val="00CC4312"/>
    <w:rsid w:val="00CC472B"/>
    <w:rsid w:val="00CC54EC"/>
    <w:rsid w:val="00CC665A"/>
    <w:rsid w:val="00CC6A6B"/>
    <w:rsid w:val="00CD3F50"/>
    <w:rsid w:val="00CE04A0"/>
    <w:rsid w:val="00CE34DC"/>
    <w:rsid w:val="00CF0E93"/>
    <w:rsid w:val="00CF6A55"/>
    <w:rsid w:val="00D0309D"/>
    <w:rsid w:val="00D05897"/>
    <w:rsid w:val="00D05E64"/>
    <w:rsid w:val="00D07FB4"/>
    <w:rsid w:val="00D1509E"/>
    <w:rsid w:val="00D20C70"/>
    <w:rsid w:val="00D21FA8"/>
    <w:rsid w:val="00D236B7"/>
    <w:rsid w:val="00D23E48"/>
    <w:rsid w:val="00D244BE"/>
    <w:rsid w:val="00D25204"/>
    <w:rsid w:val="00D27A48"/>
    <w:rsid w:val="00D32A13"/>
    <w:rsid w:val="00D43096"/>
    <w:rsid w:val="00D46AB2"/>
    <w:rsid w:val="00D46F93"/>
    <w:rsid w:val="00D47815"/>
    <w:rsid w:val="00D5009D"/>
    <w:rsid w:val="00D520FA"/>
    <w:rsid w:val="00D54582"/>
    <w:rsid w:val="00D62325"/>
    <w:rsid w:val="00D656EB"/>
    <w:rsid w:val="00D70758"/>
    <w:rsid w:val="00D76BAC"/>
    <w:rsid w:val="00D771FD"/>
    <w:rsid w:val="00D7796D"/>
    <w:rsid w:val="00D81B18"/>
    <w:rsid w:val="00D81C9F"/>
    <w:rsid w:val="00D83541"/>
    <w:rsid w:val="00D93A16"/>
    <w:rsid w:val="00D9496D"/>
    <w:rsid w:val="00D97B7C"/>
    <w:rsid w:val="00DA0768"/>
    <w:rsid w:val="00DA161A"/>
    <w:rsid w:val="00DA3A19"/>
    <w:rsid w:val="00DA5A94"/>
    <w:rsid w:val="00DA7928"/>
    <w:rsid w:val="00DB2355"/>
    <w:rsid w:val="00DB3BB4"/>
    <w:rsid w:val="00DB6554"/>
    <w:rsid w:val="00DC0517"/>
    <w:rsid w:val="00DC0F02"/>
    <w:rsid w:val="00DC0F8D"/>
    <w:rsid w:val="00DC1E0A"/>
    <w:rsid w:val="00DC2284"/>
    <w:rsid w:val="00DC3CA4"/>
    <w:rsid w:val="00DC7F1B"/>
    <w:rsid w:val="00DE0CAD"/>
    <w:rsid w:val="00DE4578"/>
    <w:rsid w:val="00DF04EE"/>
    <w:rsid w:val="00DF24FB"/>
    <w:rsid w:val="00DF3E35"/>
    <w:rsid w:val="00DF4F1A"/>
    <w:rsid w:val="00E03ED5"/>
    <w:rsid w:val="00E06243"/>
    <w:rsid w:val="00E07169"/>
    <w:rsid w:val="00E1688C"/>
    <w:rsid w:val="00E22665"/>
    <w:rsid w:val="00E27542"/>
    <w:rsid w:val="00E30499"/>
    <w:rsid w:val="00E30B51"/>
    <w:rsid w:val="00E30C7A"/>
    <w:rsid w:val="00E324BB"/>
    <w:rsid w:val="00E377E8"/>
    <w:rsid w:val="00E41ADB"/>
    <w:rsid w:val="00E43464"/>
    <w:rsid w:val="00E45206"/>
    <w:rsid w:val="00E47A69"/>
    <w:rsid w:val="00E50471"/>
    <w:rsid w:val="00E571BB"/>
    <w:rsid w:val="00E616F0"/>
    <w:rsid w:val="00E66C7F"/>
    <w:rsid w:val="00E700C0"/>
    <w:rsid w:val="00E728DD"/>
    <w:rsid w:val="00E74435"/>
    <w:rsid w:val="00E758AD"/>
    <w:rsid w:val="00E77193"/>
    <w:rsid w:val="00E77D4E"/>
    <w:rsid w:val="00E87C73"/>
    <w:rsid w:val="00E87D7D"/>
    <w:rsid w:val="00E916A3"/>
    <w:rsid w:val="00E91860"/>
    <w:rsid w:val="00E92B03"/>
    <w:rsid w:val="00E93E9B"/>
    <w:rsid w:val="00E954B7"/>
    <w:rsid w:val="00E96FDB"/>
    <w:rsid w:val="00EA107B"/>
    <w:rsid w:val="00EA258C"/>
    <w:rsid w:val="00EA6B35"/>
    <w:rsid w:val="00EB3972"/>
    <w:rsid w:val="00EC16F1"/>
    <w:rsid w:val="00EC3B67"/>
    <w:rsid w:val="00EC78F1"/>
    <w:rsid w:val="00ED05D6"/>
    <w:rsid w:val="00ED0C6F"/>
    <w:rsid w:val="00ED2FCC"/>
    <w:rsid w:val="00ED41CE"/>
    <w:rsid w:val="00ED6D47"/>
    <w:rsid w:val="00EE3625"/>
    <w:rsid w:val="00EE4E01"/>
    <w:rsid w:val="00EE5F75"/>
    <w:rsid w:val="00EE6427"/>
    <w:rsid w:val="00EF23C8"/>
    <w:rsid w:val="00EF2722"/>
    <w:rsid w:val="00EF6805"/>
    <w:rsid w:val="00F00508"/>
    <w:rsid w:val="00F01E52"/>
    <w:rsid w:val="00F042DC"/>
    <w:rsid w:val="00F05170"/>
    <w:rsid w:val="00F07099"/>
    <w:rsid w:val="00F105EA"/>
    <w:rsid w:val="00F11117"/>
    <w:rsid w:val="00F12541"/>
    <w:rsid w:val="00F15BC9"/>
    <w:rsid w:val="00F22035"/>
    <w:rsid w:val="00F22D18"/>
    <w:rsid w:val="00F26545"/>
    <w:rsid w:val="00F3399C"/>
    <w:rsid w:val="00F368AB"/>
    <w:rsid w:val="00F36C87"/>
    <w:rsid w:val="00F40F2A"/>
    <w:rsid w:val="00F425D0"/>
    <w:rsid w:val="00F46927"/>
    <w:rsid w:val="00F53CCD"/>
    <w:rsid w:val="00F55854"/>
    <w:rsid w:val="00F55929"/>
    <w:rsid w:val="00F56813"/>
    <w:rsid w:val="00F6183C"/>
    <w:rsid w:val="00F66AB7"/>
    <w:rsid w:val="00F70110"/>
    <w:rsid w:val="00F7027B"/>
    <w:rsid w:val="00F72C93"/>
    <w:rsid w:val="00F7328C"/>
    <w:rsid w:val="00F80A88"/>
    <w:rsid w:val="00F81C47"/>
    <w:rsid w:val="00F81C6A"/>
    <w:rsid w:val="00F823F5"/>
    <w:rsid w:val="00F8621B"/>
    <w:rsid w:val="00F9170D"/>
    <w:rsid w:val="00F942D3"/>
    <w:rsid w:val="00F94368"/>
    <w:rsid w:val="00F9494C"/>
    <w:rsid w:val="00FA15C8"/>
    <w:rsid w:val="00FA2A0B"/>
    <w:rsid w:val="00FA2D86"/>
    <w:rsid w:val="00FA348C"/>
    <w:rsid w:val="00FA7DC5"/>
    <w:rsid w:val="00FB0AD8"/>
    <w:rsid w:val="00FB4DBB"/>
    <w:rsid w:val="00FC725D"/>
    <w:rsid w:val="00FD171C"/>
    <w:rsid w:val="00FE0EDC"/>
    <w:rsid w:val="00FE2C17"/>
    <w:rsid w:val="00FF072F"/>
    <w:rsid w:val="00FF2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9AD06A5"/>
  <w15:chartTrackingRefBased/>
  <w15:docId w15:val="{9F1C46BB-7A57-4C82-A069-D4888F388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612D1"/>
    <w:pPr>
      <w:tabs>
        <w:tab w:val="left" w:pos="567"/>
      </w:tabs>
      <w:spacing w:after="0" w:line="254" w:lineRule="auto"/>
    </w:pPr>
    <w:rPr>
      <w:rFonts w:ascii="Open Sans Light" w:hAnsi="Open Sans Light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D46F93"/>
    <w:pPr>
      <w:keepNext/>
      <w:widowControl w:val="0"/>
      <w:spacing w:line="240" w:lineRule="auto"/>
      <w:outlineLvl w:val="0"/>
    </w:pPr>
    <w:rPr>
      <w:rFonts w:ascii="Montserrat Ultra Light" w:eastAsiaTheme="majorEastAsia" w:hAnsi="Montserrat Ultra Light" w:cstheme="majorBidi"/>
      <w:b/>
      <w:bCs/>
      <w:color w:val="004563"/>
      <w:sz w:val="56"/>
      <w:szCs w:val="28"/>
    </w:rPr>
  </w:style>
  <w:style w:type="paragraph" w:styleId="Heading2">
    <w:name w:val="heading 2"/>
    <w:basedOn w:val="Normal"/>
    <w:next w:val="Heading3"/>
    <w:link w:val="Heading2Char"/>
    <w:uiPriority w:val="9"/>
    <w:qFormat/>
    <w:rsid w:val="00D46F93"/>
    <w:pPr>
      <w:keepNext/>
      <w:widowControl w:val="0"/>
      <w:spacing w:after="120" w:line="240" w:lineRule="auto"/>
      <w:outlineLvl w:val="1"/>
    </w:pPr>
    <w:rPr>
      <w:rFonts w:ascii="Montserrat Ultra Light" w:eastAsiaTheme="majorEastAsia" w:hAnsi="Montserrat Ultra Light" w:cstheme="majorBidi"/>
      <w:b/>
      <w:bCs/>
      <w:color w:val="004563"/>
      <w:sz w:val="56"/>
      <w:szCs w:val="26"/>
    </w:rPr>
  </w:style>
  <w:style w:type="paragraph" w:styleId="Heading3">
    <w:name w:val="heading 3"/>
    <w:basedOn w:val="Normal"/>
    <w:next w:val="Heading4"/>
    <w:link w:val="Heading3Char"/>
    <w:uiPriority w:val="9"/>
    <w:qFormat/>
    <w:rsid w:val="00D46F93"/>
    <w:pPr>
      <w:keepNext/>
      <w:widowControl w:val="0"/>
      <w:spacing w:before="240" w:line="240" w:lineRule="auto"/>
      <w:outlineLvl w:val="2"/>
    </w:pPr>
    <w:rPr>
      <w:rFonts w:ascii="Montserrat Extra Bold" w:eastAsiaTheme="majorEastAsia" w:hAnsi="Montserrat Extra Bold" w:cstheme="majorBidi"/>
      <w:bCs/>
      <w:color w:val="004563"/>
      <w:sz w:val="32"/>
    </w:rPr>
  </w:style>
  <w:style w:type="paragraph" w:styleId="Heading4">
    <w:name w:val="heading 4"/>
    <w:basedOn w:val="Normal"/>
    <w:next w:val="Heading5"/>
    <w:link w:val="Heading4Char"/>
    <w:uiPriority w:val="9"/>
    <w:qFormat/>
    <w:rsid w:val="00D46F93"/>
    <w:pPr>
      <w:keepNext/>
      <w:widowControl w:val="0"/>
      <w:spacing w:before="240" w:line="240" w:lineRule="auto"/>
      <w:outlineLvl w:val="3"/>
    </w:pPr>
    <w:rPr>
      <w:rFonts w:ascii="Montserrat Semi Bold" w:eastAsiaTheme="majorEastAsia" w:hAnsi="Montserrat Semi Bold" w:cstheme="majorBidi"/>
      <w:bCs/>
      <w:iCs/>
      <w:color w:val="006991"/>
      <w:sz w:val="28"/>
    </w:rPr>
  </w:style>
  <w:style w:type="paragraph" w:styleId="Heading5">
    <w:name w:val="heading 5"/>
    <w:basedOn w:val="Normal"/>
    <w:next w:val="Heading6"/>
    <w:link w:val="Heading5Char"/>
    <w:uiPriority w:val="9"/>
    <w:qFormat/>
    <w:rsid w:val="00D46F93"/>
    <w:pPr>
      <w:keepNext/>
      <w:tabs>
        <w:tab w:val="clear" w:pos="567"/>
      </w:tabs>
      <w:outlineLvl w:val="4"/>
    </w:pPr>
    <w:rPr>
      <w:rFonts w:ascii="Montserrat Semi Bold" w:eastAsiaTheme="majorEastAsia" w:hAnsi="Montserrat Semi Bold" w:cstheme="majorBidi"/>
      <w:color w:val="636466"/>
      <w:sz w:val="24"/>
    </w:rPr>
  </w:style>
  <w:style w:type="paragraph" w:styleId="Heading6">
    <w:name w:val="heading 6"/>
    <w:basedOn w:val="Normal"/>
    <w:next w:val="Normal"/>
    <w:link w:val="Heading6Char"/>
    <w:uiPriority w:val="9"/>
    <w:qFormat/>
    <w:rsid w:val="00D46F93"/>
    <w:pPr>
      <w:keepNext/>
      <w:keepLines/>
      <w:outlineLvl w:val="5"/>
    </w:pPr>
    <w:rPr>
      <w:rFonts w:ascii="Montserrat Semi Bold" w:eastAsiaTheme="majorEastAsia" w:hAnsi="Montserrat Semi Bold" w:cstheme="majorBidi"/>
      <w:i/>
      <w:iCs/>
      <w:color w:val="636466"/>
    </w:rPr>
  </w:style>
  <w:style w:type="paragraph" w:styleId="Heading7">
    <w:name w:val="heading 7"/>
    <w:basedOn w:val="Heading5"/>
    <w:next w:val="Normal"/>
    <w:link w:val="Heading7Char"/>
    <w:uiPriority w:val="9"/>
    <w:semiHidden/>
    <w:rsid w:val="00201B3A"/>
    <w:pPr>
      <w:keepLines/>
      <w:spacing w:before="200"/>
      <w:outlineLvl w:val="6"/>
    </w:pPr>
    <w:rPr>
      <w:i/>
      <w:iCs/>
      <w:color w:val="939598"/>
      <w:sz w:val="20"/>
    </w:rPr>
  </w:style>
  <w:style w:type="paragraph" w:styleId="Heading8">
    <w:name w:val="heading 8"/>
    <w:aliases w:val="(Do not use),(Sub-section Nos)"/>
    <w:basedOn w:val="Normal"/>
    <w:next w:val="Normal"/>
    <w:semiHidden/>
    <w:rsid w:val="00765BA8"/>
    <w:pPr>
      <w:numPr>
        <w:ilvl w:val="7"/>
        <w:numId w:val="2"/>
      </w:numPr>
      <w:spacing w:before="240" w:after="60"/>
      <w:outlineLvl w:val="7"/>
    </w:pPr>
    <w:rPr>
      <w:rFonts w:ascii="Arial" w:hAnsi="Arial"/>
      <w:i/>
      <w:szCs w:val="20"/>
    </w:rPr>
  </w:style>
  <w:style w:type="paragraph" w:styleId="Heading9">
    <w:name w:val="heading 9"/>
    <w:aliases w:val="Heading 9 (Do not use),(Subsubsection Nos)"/>
    <w:basedOn w:val="Normal"/>
    <w:next w:val="Normal"/>
    <w:semiHidden/>
    <w:rsid w:val="00765BA8"/>
    <w:pPr>
      <w:numPr>
        <w:ilvl w:val="8"/>
        <w:numId w:val="2"/>
      </w:numPr>
      <w:spacing w:before="240" w:after="60"/>
      <w:outlineLvl w:val="8"/>
    </w:pPr>
    <w:rPr>
      <w:rFonts w:ascii="Arial" w:hAnsi="Arial"/>
      <w:b/>
      <w:i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ublicationtitle1">
    <w:name w:val="Publication title 1"/>
    <w:basedOn w:val="Normal"/>
    <w:next w:val="Normal"/>
    <w:rsid w:val="00D520FA"/>
    <w:pPr>
      <w:spacing w:line="240" w:lineRule="auto"/>
      <w:jc w:val="center"/>
    </w:pPr>
    <w:rPr>
      <w:rFonts w:ascii="Montserrat Extra Bold" w:hAnsi="Montserrat Extra Bold"/>
      <w:color w:val="004563"/>
      <w:sz w:val="60"/>
    </w:rPr>
  </w:style>
  <w:style w:type="paragraph" w:styleId="Caption">
    <w:name w:val="caption"/>
    <w:basedOn w:val="Normal"/>
    <w:next w:val="Normal"/>
    <w:link w:val="CaptionChar"/>
    <w:qFormat/>
    <w:rsid w:val="00E700C0"/>
    <w:pPr>
      <w:keepNext/>
      <w:keepLines/>
      <w:tabs>
        <w:tab w:val="clear" w:pos="567"/>
        <w:tab w:val="left" w:pos="1134"/>
        <w:tab w:val="left" w:pos="1418"/>
      </w:tabs>
      <w:spacing w:before="240" w:after="120" w:line="240" w:lineRule="auto"/>
      <w:ind w:left="1134" w:hanging="1134"/>
    </w:pPr>
    <w:rPr>
      <w:rFonts w:ascii="Montserrat Light" w:hAnsi="Montserrat Light"/>
      <w:b/>
      <w:bCs/>
      <w:color w:val="004563"/>
      <w:szCs w:val="20"/>
    </w:rPr>
  </w:style>
  <w:style w:type="paragraph" w:customStyle="1" w:styleId="Publicationtitle2">
    <w:name w:val="Publication title 2"/>
    <w:basedOn w:val="Publicationtitle1"/>
    <w:next w:val="Normal"/>
    <w:rsid w:val="00D520FA"/>
    <w:rPr>
      <w:rFonts w:ascii="Montserrat Ultra Light" w:hAnsi="Montserrat Ultra Light"/>
      <w:b/>
      <w:color w:val="60B5D7"/>
      <w:sz w:val="52"/>
    </w:rPr>
  </w:style>
  <w:style w:type="paragraph" w:customStyle="1" w:styleId="Publicationtitle3">
    <w:name w:val="Publication title 3"/>
    <w:basedOn w:val="Publicationtitle2"/>
    <w:next w:val="Normal"/>
    <w:rsid w:val="00D520FA"/>
    <w:rPr>
      <w:b w:val="0"/>
      <w:color w:val="004563"/>
    </w:rPr>
  </w:style>
  <w:style w:type="paragraph" w:customStyle="1" w:styleId="CGCTableFootnote">
    <w:name w:val="CGC Table Footnote"/>
    <w:basedOn w:val="Normal"/>
    <w:next w:val="Normal"/>
    <w:rsid w:val="00D46F93"/>
    <w:pPr>
      <w:tabs>
        <w:tab w:val="clear" w:pos="567"/>
        <w:tab w:val="left" w:pos="851"/>
      </w:tabs>
      <w:spacing w:line="240" w:lineRule="auto"/>
      <w:ind w:left="851" w:hanging="851"/>
    </w:pPr>
    <w:rPr>
      <w:szCs w:val="24"/>
    </w:rPr>
  </w:style>
  <w:style w:type="paragraph" w:customStyle="1" w:styleId="CGCTableHeading">
    <w:name w:val="CGC Table Heading"/>
    <w:basedOn w:val="Normal"/>
    <w:next w:val="Normal"/>
    <w:link w:val="CGCTableHeadingChar"/>
    <w:rsid w:val="00E616F0"/>
    <w:pPr>
      <w:keepNext/>
      <w:keepLines/>
      <w:tabs>
        <w:tab w:val="clear" w:pos="567"/>
        <w:tab w:val="left" w:pos="1134"/>
        <w:tab w:val="left" w:pos="1420"/>
      </w:tabs>
      <w:spacing w:before="240" w:after="120" w:line="240" w:lineRule="auto"/>
    </w:pPr>
    <w:rPr>
      <w:rFonts w:ascii="Montserrat Ultra Light" w:hAnsi="Montserrat Ultra Light"/>
      <w:b/>
      <w:szCs w:val="20"/>
    </w:rPr>
  </w:style>
  <w:style w:type="paragraph" w:customStyle="1" w:styleId="TableRowNormal">
    <w:name w:val="TableRowNormal"/>
    <w:basedOn w:val="Normal"/>
    <w:rsid w:val="00765BA8"/>
    <w:pPr>
      <w:keepNext/>
      <w:keepLines/>
      <w:tabs>
        <w:tab w:val="left" w:pos="475"/>
        <w:tab w:val="left" w:pos="1440"/>
        <w:tab w:val="left" w:pos="2160"/>
        <w:tab w:val="left" w:pos="2880"/>
      </w:tabs>
      <w:spacing w:before="60" w:after="60" w:line="200" w:lineRule="atLeast"/>
      <w:ind w:left="144" w:hanging="144"/>
      <w:jc w:val="right"/>
    </w:pPr>
    <w:rPr>
      <w:szCs w:val="20"/>
    </w:rPr>
  </w:style>
  <w:style w:type="paragraph" w:customStyle="1" w:styleId="CGCTableStub">
    <w:name w:val="CGC Table Stub"/>
    <w:basedOn w:val="Normal"/>
    <w:link w:val="CGCTableStubChar"/>
    <w:rsid w:val="00D46F93"/>
    <w:pPr>
      <w:keepNext/>
      <w:keepLines/>
      <w:tabs>
        <w:tab w:val="left" w:pos="284"/>
      </w:tabs>
      <w:spacing w:before="60" w:after="60" w:line="200" w:lineRule="atLeast"/>
    </w:pPr>
    <w:rPr>
      <w:rFonts w:asciiTheme="minorHAnsi" w:hAnsiTheme="minorHAnsi"/>
      <w:szCs w:val="20"/>
    </w:rPr>
  </w:style>
  <w:style w:type="paragraph" w:customStyle="1" w:styleId="CGCTableheader">
    <w:name w:val="CGC Table header"/>
    <w:basedOn w:val="CGCTablerow"/>
    <w:next w:val="Normal"/>
    <w:rsid w:val="00011803"/>
    <w:rPr>
      <w:rFonts w:ascii="Open Sans SemiBold" w:hAnsi="Open Sans SemiBold" w:cs="Open Sans SemiBold"/>
      <w:color w:val="FFFFFF" w:themeColor="background1"/>
      <w:lang w:val="en-US"/>
    </w:rPr>
  </w:style>
  <w:style w:type="character" w:styleId="FootnoteReference">
    <w:name w:val="footnote reference"/>
    <w:basedOn w:val="DefaultParagraphFont"/>
    <w:qFormat/>
    <w:rsid w:val="00D46F93"/>
    <w:rPr>
      <w:vertAlign w:val="superscript"/>
    </w:rPr>
  </w:style>
  <w:style w:type="paragraph" w:customStyle="1" w:styleId="CGCTablesubhead1">
    <w:name w:val="CGC Table subhead1"/>
    <w:basedOn w:val="Normal"/>
    <w:rsid w:val="00011803"/>
    <w:pPr>
      <w:spacing w:line="240" w:lineRule="auto"/>
    </w:pPr>
    <w:rPr>
      <w:rFonts w:ascii="Open Sans SemiBold" w:hAnsi="Open Sans SemiBold"/>
      <w:sz w:val="16"/>
      <w:lang w:val="en-US"/>
    </w:rPr>
  </w:style>
  <w:style w:type="paragraph" w:styleId="DocumentMap">
    <w:name w:val="Document Map"/>
    <w:basedOn w:val="Normal"/>
    <w:rsid w:val="00765BA8"/>
    <w:pPr>
      <w:shd w:val="clear" w:color="auto" w:fill="000080"/>
    </w:pPr>
    <w:rPr>
      <w:rFonts w:ascii="Tahoma" w:hAnsi="Tahoma" w:cs="Tahoma"/>
      <w:szCs w:val="20"/>
    </w:rPr>
  </w:style>
  <w:style w:type="paragraph" w:styleId="ListParagraph">
    <w:name w:val="List Paragraph"/>
    <w:basedOn w:val="Normal"/>
    <w:uiPriority w:val="34"/>
    <w:rsid w:val="006E1B81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011803"/>
    <w:pPr>
      <w:tabs>
        <w:tab w:val="center" w:pos="4513"/>
        <w:tab w:val="right" w:pos="9026"/>
      </w:tabs>
      <w:spacing w:line="240" w:lineRule="auto"/>
      <w:ind w:left="-284" w:right="-284"/>
      <w:jc w:val="right"/>
    </w:pPr>
    <w:rPr>
      <w:rFonts w:ascii="Montserrat Ultra Light" w:hAnsi="Montserrat Ultra Light"/>
      <w:b/>
      <w:color w:val="004563"/>
    </w:rPr>
  </w:style>
  <w:style w:type="paragraph" w:styleId="FootnoteText">
    <w:name w:val="footnote text"/>
    <w:basedOn w:val="Normal"/>
    <w:link w:val="FootnoteTextChar"/>
    <w:qFormat/>
    <w:rsid w:val="00F3399C"/>
    <w:pPr>
      <w:tabs>
        <w:tab w:val="left" w:pos="680"/>
      </w:tabs>
      <w:spacing w:before="40" w:line="240" w:lineRule="auto"/>
      <w:ind w:left="113" w:hanging="113"/>
    </w:pPr>
    <w:rPr>
      <w:sz w:val="14"/>
      <w:szCs w:val="20"/>
    </w:rPr>
  </w:style>
  <w:style w:type="paragraph" w:styleId="Header">
    <w:name w:val="header"/>
    <w:basedOn w:val="Normal"/>
    <w:link w:val="HeaderChar"/>
    <w:uiPriority w:val="99"/>
    <w:unhideWhenUsed/>
    <w:rsid w:val="00F3399C"/>
    <w:pPr>
      <w:tabs>
        <w:tab w:val="clear" w:pos="567"/>
        <w:tab w:val="center" w:pos="4513"/>
        <w:tab w:val="right" w:pos="9026"/>
      </w:tabs>
      <w:spacing w:line="240" w:lineRule="auto"/>
    </w:pPr>
    <w:rPr>
      <w:rFonts w:ascii="Montserrat Ultra Light" w:hAnsi="Montserrat Ultra Light"/>
      <w:color w:val="004563"/>
    </w:rPr>
  </w:style>
  <w:style w:type="character" w:styleId="Hyperlink">
    <w:name w:val="Hyperlink"/>
    <w:basedOn w:val="DefaultParagraphFont"/>
    <w:uiPriority w:val="99"/>
    <w:unhideWhenUsed/>
    <w:qFormat/>
    <w:rsid w:val="00D46F93"/>
    <w:rPr>
      <w:color w:val="006991"/>
      <w:u w:val="single"/>
    </w:rPr>
  </w:style>
  <w:style w:type="paragraph" w:styleId="List">
    <w:name w:val="List"/>
    <w:basedOn w:val="Normal"/>
    <w:rsid w:val="003A27BB"/>
    <w:pPr>
      <w:spacing w:line="300" w:lineRule="atLeast"/>
    </w:pPr>
  </w:style>
  <w:style w:type="paragraph" w:styleId="MacroText">
    <w:name w:val="macro"/>
    <w:rsid w:val="00765BA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80" w:line="320" w:lineRule="atLeast"/>
    </w:pPr>
    <w:rPr>
      <w:rFonts w:ascii="Courier New" w:hAnsi="Courier New" w:cs="Courier New"/>
    </w:rPr>
  </w:style>
  <w:style w:type="character" w:styleId="PageNumber">
    <w:name w:val="page number"/>
    <w:basedOn w:val="DefaultParagraphFont"/>
    <w:rsid w:val="00F3399C"/>
    <w:rPr>
      <w:rFonts w:ascii="Montserrat Ultra Light" w:hAnsi="Montserrat Ultra Light"/>
      <w:color w:val="004563"/>
      <w:sz w:val="20"/>
    </w:rPr>
  </w:style>
  <w:style w:type="paragraph" w:customStyle="1" w:styleId="Single">
    <w:name w:val="Single"/>
    <w:basedOn w:val="Normal"/>
    <w:next w:val="Normal"/>
    <w:rsid w:val="00765BA8"/>
    <w:pPr>
      <w:spacing w:line="240" w:lineRule="auto"/>
    </w:pPr>
  </w:style>
  <w:style w:type="table" w:styleId="TableGrid">
    <w:name w:val="Table Grid"/>
    <w:basedOn w:val="TableNormal"/>
    <w:uiPriority w:val="39"/>
    <w:rsid w:val="006226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GCTablesubhead2">
    <w:name w:val="CGC Table subhead2"/>
    <w:basedOn w:val="Normal"/>
    <w:rsid w:val="00011803"/>
    <w:pPr>
      <w:spacing w:line="240" w:lineRule="auto"/>
    </w:pPr>
    <w:rPr>
      <w:rFonts w:ascii="Open Sans SemiBold" w:hAnsi="Open Sans SemiBold"/>
      <w:sz w:val="16"/>
      <w:lang w:val="en-US"/>
    </w:rPr>
  </w:style>
  <w:style w:type="paragraph" w:customStyle="1" w:styleId="TableRowUnits">
    <w:name w:val="TableRowUnits"/>
    <w:basedOn w:val="Normal"/>
    <w:rsid w:val="00765BA8"/>
    <w:pPr>
      <w:keepNext/>
      <w:keepLines/>
      <w:tabs>
        <w:tab w:val="left" w:pos="475"/>
        <w:tab w:val="left" w:pos="1440"/>
        <w:tab w:val="left" w:pos="2160"/>
        <w:tab w:val="left" w:pos="2880"/>
      </w:tabs>
      <w:spacing w:line="240" w:lineRule="auto"/>
      <w:jc w:val="right"/>
    </w:pPr>
    <w:rPr>
      <w:szCs w:val="20"/>
    </w:rPr>
  </w:style>
  <w:style w:type="paragraph" w:styleId="TOAHeading">
    <w:name w:val="toa heading"/>
    <w:basedOn w:val="Normal"/>
    <w:next w:val="Normal"/>
    <w:rsid w:val="00581586"/>
    <w:rPr>
      <w:rFonts w:cs="Arial"/>
      <w:b/>
      <w:bCs/>
    </w:rPr>
  </w:style>
  <w:style w:type="paragraph" w:styleId="TOC1">
    <w:name w:val="toc 1"/>
    <w:basedOn w:val="Normal"/>
    <w:next w:val="Normal"/>
    <w:uiPriority w:val="39"/>
    <w:rsid w:val="00581586"/>
    <w:pPr>
      <w:tabs>
        <w:tab w:val="clear" w:pos="567"/>
        <w:tab w:val="right" w:pos="8942"/>
      </w:tabs>
      <w:ind w:left="113"/>
    </w:pPr>
    <w:rPr>
      <w:rFonts w:ascii="Open Sans" w:hAnsi="Open Sans"/>
      <w:b/>
      <w:bCs/>
      <w:color w:val="636466"/>
      <w:szCs w:val="20"/>
    </w:rPr>
  </w:style>
  <w:style w:type="paragraph" w:styleId="TOC2">
    <w:name w:val="toc 2"/>
    <w:basedOn w:val="Normal"/>
    <w:next w:val="Normal"/>
    <w:rsid w:val="00581586"/>
    <w:pPr>
      <w:tabs>
        <w:tab w:val="clear" w:pos="567"/>
        <w:tab w:val="right" w:pos="8942"/>
      </w:tabs>
      <w:ind w:left="113"/>
    </w:pPr>
    <w:rPr>
      <w:rFonts w:ascii="Open Sans" w:hAnsi="Open Sans"/>
      <w:color w:val="636466"/>
      <w:szCs w:val="20"/>
    </w:rPr>
  </w:style>
  <w:style w:type="paragraph" w:styleId="TOC3">
    <w:name w:val="toc 3"/>
    <w:basedOn w:val="Normal"/>
    <w:next w:val="Normal"/>
    <w:uiPriority w:val="39"/>
    <w:rsid w:val="00581586"/>
    <w:pPr>
      <w:tabs>
        <w:tab w:val="clear" w:pos="567"/>
        <w:tab w:val="right" w:pos="8942"/>
      </w:tabs>
      <w:spacing w:before="40"/>
      <w:ind w:left="397"/>
    </w:pPr>
    <w:rPr>
      <w:iCs/>
      <w:color w:val="636466"/>
    </w:rPr>
  </w:style>
  <w:style w:type="paragraph" w:styleId="TOC4">
    <w:name w:val="toc 4"/>
    <w:basedOn w:val="Normal"/>
    <w:next w:val="Normal"/>
    <w:uiPriority w:val="39"/>
    <w:rsid w:val="00581586"/>
    <w:pPr>
      <w:tabs>
        <w:tab w:val="clear" w:pos="567"/>
        <w:tab w:val="right" w:pos="8942"/>
      </w:tabs>
      <w:spacing w:before="40" w:line="276" w:lineRule="auto"/>
      <w:ind w:left="680"/>
    </w:pPr>
    <w:rPr>
      <w:i/>
      <w:color w:val="636466"/>
    </w:rPr>
  </w:style>
  <w:style w:type="paragraph" w:styleId="TOC5">
    <w:name w:val="toc 5"/>
    <w:basedOn w:val="Normal"/>
    <w:next w:val="Normal"/>
    <w:autoRedefine/>
    <w:unhideWhenUsed/>
    <w:rsid w:val="00581586"/>
    <w:pPr>
      <w:tabs>
        <w:tab w:val="clear" w:pos="567"/>
      </w:tabs>
      <w:ind w:left="799"/>
    </w:pPr>
    <w:rPr>
      <w:lang w:val="en-US"/>
    </w:rPr>
  </w:style>
  <w:style w:type="paragraph" w:styleId="TOC6">
    <w:name w:val="toc 6"/>
    <w:basedOn w:val="Normal"/>
    <w:next w:val="Normal"/>
    <w:autoRedefine/>
    <w:unhideWhenUsed/>
    <w:rsid w:val="00581586"/>
    <w:pPr>
      <w:tabs>
        <w:tab w:val="clear" w:pos="567"/>
      </w:tabs>
      <w:ind w:left="998"/>
    </w:pPr>
    <w:rPr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D46F93"/>
    <w:rPr>
      <w:rFonts w:ascii="Montserrat Ultra Light" w:eastAsiaTheme="majorEastAsia" w:hAnsi="Montserrat Ultra Light" w:cstheme="majorBidi"/>
      <w:b/>
      <w:bCs/>
      <w:color w:val="004563"/>
      <w:sz w:val="5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46F93"/>
    <w:rPr>
      <w:rFonts w:ascii="Montserrat Ultra Light" w:eastAsiaTheme="majorEastAsia" w:hAnsi="Montserrat Ultra Light" w:cstheme="majorBidi"/>
      <w:b/>
      <w:bCs/>
      <w:color w:val="004563"/>
      <w:sz w:val="5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46F93"/>
    <w:rPr>
      <w:rFonts w:ascii="Montserrat Extra Bold" w:eastAsiaTheme="majorEastAsia" w:hAnsi="Montserrat Extra Bold" w:cstheme="majorBidi"/>
      <w:bCs/>
      <w:color w:val="004563"/>
      <w:sz w:val="32"/>
    </w:rPr>
  </w:style>
  <w:style w:type="character" w:customStyle="1" w:styleId="Heading4Char">
    <w:name w:val="Heading 4 Char"/>
    <w:basedOn w:val="DefaultParagraphFont"/>
    <w:link w:val="Heading4"/>
    <w:uiPriority w:val="9"/>
    <w:rsid w:val="00D46F93"/>
    <w:rPr>
      <w:rFonts w:ascii="Montserrat Semi Bold" w:eastAsiaTheme="majorEastAsia" w:hAnsi="Montserrat Semi Bold" w:cstheme="majorBidi"/>
      <w:bCs/>
      <w:iCs/>
      <w:color w:val="00699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D46F93"/>
    <w:rPr>
      <w:rFonts w:ascii="Montserrat Semi Bold" w:eastAsiaTheme="majorEastAsia" w:hAnsi="Montserrat Semi Bold" w:cstheme="majorBidi"/>
      <w:color w:val="636466"/>
      <w:sz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46F93"/>
    <w:pPr>
      <w:keepLines/>
      <w:spacing w:before="480" w:line="320" w:lineRule="atLeast"/>
      <w:outlineLvl w:val="9"/>
    </w:pPr>
    <w:rPr>
      <w:rFonts w:asciiTheme="majorHAnsi" w:hAnsiTheme="majorHAnsi"/>
      <w:caps/>
      <w:color w:val="365F91" w:themeColor="accent1" w:themeShade="BF"/>
      <w:sz w:val="28"/>
    </w:rPr>
  </w:style>
  <w:style w:type="character" w:customStyle="1" w:styleId="FooterChar">
    <w:name w:val="Footer Char"/>
    <w:basedOn w:val="DefaultParagraphFont"/>
    <w:link w:val="Footer"/>
    <w:uiPriority w:val="99"/>
    <w:rsid w:val="00011803"/>
    <w:rPr>
      <w:rFonts w:ascii="Montserrat Ultra Light" w:hAnsi="Montserrat Ultra Light"/>
      <w:b/>
      <w:color w:val="004563"/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F3399C"/>
    <w:rPr>
      <w:rFonts w:ascii="Montserrat Ultra Light" w:hAnsi="Montserrat Ultra Light"/>
      <w:color w:val="004563"/>
      <w:sz w:val="20"/>
      <w:lang w:val="en-US"/>
    </w:rPr>
  </w:style>
  <w:style w:type="paragraph" w:customStyle="1" w:styleId="CGCDataCaption">
    <w:name w:val="CGC Data Caption"/>
    <w:basedOn w:val="CGCTableFootnote"/>
    <w:next w:val="Normal"/>
    <w:link w:val="DataCaptionChar"/>
    <w:rsid w:val="00622669"/>
  </w:style>
  <w:style w:type="character" w:customStyle="1" w:styleId="CaptionChar">
    <w:name w:val="Caption Char"/>
    <w:basedOn w:val="DefaultParagraphFont"/>
    <w:link w:val="Caption"/>
    <w:rsid w:val="00E700C0"/>
    <w:rPr>
      <w:rFonts w:ascii="Montserrat Light" w:hAnsi="Montserrat Light"/>
      <w:b/>
      <w:bCs/>
      <w:color w:val="004563"/>
      <w:sz w:val="20"/>
      <w:szCs w:val="20"/>
    </w:rPr>
  </w:style>
  <w:style w:type="character" w:customStyle="1" w:styleId="DataCaptionChar">
    <w:name w:val="Data Caption Char"/>
    <w:basedOn w:val="DefaultParagraphFont"/>
    <w:link w:val="CGCDataCaption"/>
    <w:rsid w:val="00622669"/>
    <w:rPr>
      <w:sz w:val="20"/>
      <w:szCs w:val="24"/>
    </w:rPr>
  </w:style>
  <w:style w:type="character" w:customStyle="1" w:styleId="FootnoteTextChar">
    <w:name w:val="Footnote Text Char"/>
    <w:basedOn w:val="DefaultParagraphFont"/>
    <w:link w:val="FootnoteText"/>
    <w:rsid w:val="00F3399C"/>
    <w:rPr>
      <w:rFonts w:ascii="Open Sans Light" w:hAnsi="Open Sans Light"/>
      <w:sz w:val="14"/>
      <w:szCs w:val="20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rsid w:val="00D46F93"/>
    <w:rPr>
      <w:rFonts w:ascii="Montserrat Semi Bold" w:eastAsiaTheme="majorEastAsia" w:hAnsi="Montserrat Semi Bold" w:cstheme="majorBidi"/>
      <w:i/>
      <w:iCs/>
      <w:color w:val="636466"/>
      <w:sz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01B3A"/>
    <w:rPr>
      <w:rFonts w:ascii="Montserrat Semi Bold" w:eastAsiaTheme="majorEastAsia" w:hAnsi="Montserrat Semi Bold" w:cstheme="majorBidi"/>
      <w:i/>
      <w:iCs/>
      <w:color w:val="939598"/>
      <w:sz w:val="20"/>
    </w:rPr>
  </w:style>
  <w:style w:type="paragraph" w:customStyle="1" w:styleId="CGCParaNumber">
    <w:name w:val="CGC Para Number"/>
    <w:basedOn w:val="Normal"/>
    <w:autoRedefine/>
    <w:qFormat/>
    <w:rsid w:val="00581586"/>
    <w:pPr>
      <w:numPr>
        <w:numId w:val="37"/>
      </w:numPr>
    </w:pPr>
  </w:style>
  <w:style w:type="paragraph" w:customStyle="1" w:styleId="CGCBullet1">
    <w:name w:val="CGC Bullet 1"/>
    <w:basedOn w:val="Normal"/>
    <w:qFormat/>
    <w:rsid w:val="00C46D55"/>
    <w:pPr>
      <w:numPr>
        <w:numId w:val="22"/>
      </w:numPr>
      <w:spacing w:before="120"/>
      <w:ind w:left="357" w:hanging="357"/>
    </w:pPr>
  </w:style>
  <w:style w:type="paragraph" w:customStyle="1" w:styleId="CGCBullet2">
    <w:name w:val="CGC Bullet 2"/>
    <w:basedOn w:val="Normal"/>
    <w:autoRedefine/>
    <w:qFormat/>
    <w:rsid w:val="005F4D63"/>
    <w:pPr>
      <w:numPr>
        <w:numId w:val="23"/>
      </w:numPr>
      <w:spacing w:before="120"/>
      <w:ind w:left="924" w:hanging="357"/>
    </w:pPr>
  </w:style>
  <w:style w:type="paragraph" w:customStyle="1" w:styleId="CGCBullet3">
    <w:name w:val="CGC Bullet 3"/>
    <w:basedOn w:val="Normal"/>
    <w:qFormat/>
    <w:rsid w:val="00401575"/>
    <w:pPr>
      <w:numPr>
        <w:numId w:val="24"/>
      </w:numPr>
      <w:ind w:left="1491" w:hanging="357"/>
    </w:pPr>
  </w:style>
  <w:style w:type="paragraph" w:customStyle="1" w:styleId="CGCQuoteText">
    <w:name w:val="CGC Quote Text"/>
    <w:basedOn w:val="Normal"/>
    <w:next w:val="Normal"/>
    <w:rsid w:val="00F3399C"/>
    <w:pPr>
      <w:spacing w:after="120"/>
      <w:ind w:left="1418" w:right="1134"/>
    </w:pPr>
  </w:style>
  <w:style w:type="paragraph" w:customStyle="1" w:styleId="CGCQuoteBullet">
    <w:name w:val="CGC Quote Bullet"/>
    <w:basedOn w:val="CGCQuoteText"/>
    <w:next w:val="Normal"/>
    <w:rsid w:val="00F3399C"/>
    <w:pPr>
      <w:numPr>
        <w:numId w:val="25"/>
      </w:numPr>
      <w:spacing w:after="0"/>
      <w:ind w:left="1775" w:right="1418" w:hanging="357"/>
    </w:pPr>
  </w:style>
  <w:style w:type="paragraph" w:customStyle="1" w:styleId="CGCTablerow">
    <w:name w:val="CGC Table row"/>
    <w:basedOn w:val="Normal"/>
    <w:rsid w:val="00D46F93"/>
    <w:pPr>
      <w:spacing w:line="240" w:lineRule="auto"/>
    </w:pPr>
    <w:rPr>
      <w:sz w:val="16"/>
    </w:rPr>
  </w:style>
  <w:style w:type="paragraph" w:customStyle="1" w:styleId="CGCTablenote">
    <w:name w:val="CGC Table note"/>
    <w:basedOn w:val="Normal"/>
    <w:next w:val="Normal"/>
    <w:qFormat/>
    <w:rsid w:val="00E700C0"/>
    <w:pPr>
      <w:tabs>
        <w:tab w:val="left" w:pos="680"/>
      </w:tabs>
      <w:spacing w:before="40" w:line="240" w:lineRule="auto"/>
      <w:ind w:left="567" w:hanging="567"/>
    </w:pPr>
    <w:rPr>
      <w:sz w:val="14"/>
    </w:rPr>
  </w:style>
  <w:style w:type="character" w:customStyle="1" w:styleId="CGCTableHeadingChar">
    <w:name w:val="CGC Table Heading Char"/>
    <w:basedOn w:val="DefaultParagraphFont"/>
    <w:link w:val="CGCTableHeading"/>
    <w:rsid w:val="00E616F0"/>
    <w:rPr>
      <w:rFonts w:ascii="Montserrat Ultra Light" w:hAnsi="Montserrat Ultra Light"/>
      <w:b/>
      <w:sz w:val="20"/>
      <w:szCs w:val="20"/>
      <w:lang w:val="en-US"/>
    </w:rPr>
  </w:style>
  <w:style w:type="character" w:customStyle="1" w:styleId="CGCTableStubChar">
    <w:name w:val="CGC Table Stub Char"/>
    <w:basedOn w:val="DefaultParagraphFont"/>
    <w:link w:val="CGCTableStub"/>
    <w:rsid w:val="00D46F93"/>
    <w:rPr>
      <w:sz w:val="20"/>
      <w:szCs w:val="20"/>
    </w:rPr>
  </w:style>
  <w:style w:type="paragraph" w:styleId="NoSpacing">
    <w:name w:val="No Spacing"/>
    <w:link w:val="NoSpacingChar"/>
    <w:uiPriority w:val="1"/>
    <w:rsid w:val="00D46F93"/>
    <w:pPr>
      <w:tabs>
        <w:tab w:val="left" w:pos="567"/>
      </w:tabs>
      <w:spacing w:after="0" w:line="240" w:lineRule="auto"/>
    </w:pPr>
    <w:rPr>
      <w:sz w:val="24"/>
    </w:rPr>
  </w:style>
  <w:style w:type="character" w:customStyle="1" w:styleId="NoSpacingChar">
    <w:name w:val="No Spacing Char"/>
    <w:basedOn w:val="DefaultParagraphFont"/>
    <w:link w:val="NoSpacing"/>
    <w:uiPriority w:val="1"/>
    <w:rsid w:val="00D46F93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7D7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7D7D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semiHidden/>
    <w:unhideWhenUsed/>
    <w:rsid w:val="00124C6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124C6E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124C6E"/>
    <w:rPr>
      <w:rFonts w:ascii="Open Sans Light" w:hAnsi="Open Sans Light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24C6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24C6E"/>
    <w:rPr>
      <w:rFonts w:ascii="Open Sans Light" w:hAnsi="Open Sans Light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46D1F"/>
    <w:pPr>
      <w:spacing w:after="0" w:line="240" w:lineRule="auto"/>
    </w:pPr>
    <w:rPr>
      <w:rFonts w:ascii="Open Sans Light" w:hAnsi="Open Sans Light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725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EA9839F97DA84EAC43A7FB852BABF8" ma:contentTypeVersion="12" ma:contentTypeDescription="Create a new document." ma:contentTypeScope="" ma:versionID="26f4eaebbbf5eea6eea98917bd7a920a">
  <xsd:schema xmlns:xsd="http://www.w3.org/2001/XMLSchema" xmlns:xs="http://www.w3.org/2001/XMLSchema" xmlns:p="http://schemas.microsoft.com/office/2006/metadata/properties" xmlns:ns2="fddab0a8-5dcd-452e-8920-feabfc03300f" xmlns:ns3="3b147965-d003-4c9e-9913-90f0d9e77379" targetNamespace="http://schemas.microsoft.com/office/2006/metadata/properties" ma:root="true" ma:fieldsID="72ec95277f14174cd63dc65a16bd5d7a" ns2:_="" ns3:_="">
    <xsd:import namespace="fddab0a8-5dcd-452e-8920-feabfc03300f"/>
    <xsd:import namespace="3b147965-d003-4c9e-9913-90f0d9e773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dab0a8-5dcd-452e-8920-feabfc0330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147965-d003-4c9e-9913-90f0d9e77379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EDB58D-7CA3-49B9-9043-A7149A30B84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3D72712-1B19-45FB-ADF0-BCE91516FF5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71EA88E-C586-4FD6-AA6C-5E42DEE459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dab0a8-5dcd-452e-8920-feabfc03300f"/>
    <ds:schemaRef ds:uri="3b147965-d003-4c9e-9913-90f0d9e773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AB5D410-5044-44A5-9A90-D1233FEF18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697</Words>
  <Characters>3977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•</vt:lpstr>
    </vt:vector>
  </TitlesOfParts>
  <Company>The Commonwealth Grants Commission</Company>
  <LinksUpToDate>false</LinksUpToDate>
  <CharactersWithSpaces>4665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•</dc:title>
  <dc:subject/>
  <dc:creator>Deborah Fleming</dc:creator>
  <cp:keywords/>
  <dc:description/>
  <cp:lastModifiedBy>Deborah Fleming</cp:lastModifiedBy>
  <cp:revision>89</cp:revision>
  <cp:lastPrinted>2020-03-05T01:48:00Z</cp:lastPrinted>
  <dcterms:created xsi:type="dcterms:W3CDTF">2020-03-04T23:04:00Z</dcterms:created>
  <dcterms:modified xsi:type="dcterms:W3CDTF">2020-03-13T05:42:00Z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0x0101009AEA9839F97DA84EAC43A7FB852BABF8</vt:lpwstr>
  </property>
</Properties>
</file>