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794D" w:rsidRPr="00970E6D" w:rsidRDefault="00BE794D" w:rsidP="00BE794D">
      <w:pPr>
        <w:tabs>
          <w:tab w:val="clear" w:pos="567"/>
        </w:tabs>
        <w:jc w:val="center"/>
        <w:rPr>
          <w:b/>
          <w:bCs/>
        </w:rPr>
      </w:pPr>
      <w:bookmarkStart w:id="0" w:name="_Toc106707122"/>
      <w:bookmarkStart w:id="1" w:name="_Toc155675722"/>
      <w:bookmarkStart w:id="2" w:name="_Toc155675934"/>
      <w:bookmarkStart w:id="3" w:name="_Toc155675975"/>
      <w:bookmarkStart w:id="4" w:name="_Toc155676245"/>
      <w:bookmarkStart w:id="5" w:name="_Toc174415768"/>
      <w:bookmarkStart w:id="6" w:name="_GoBack"/>
      <w:bookmarkEnd w:id="6"/>
      <w:r w:rsidRPr="00970E6D">
        <w:rPr>
          <w:noProof/>
          <w:lang w:eastAsia="en-AU"/>
        </w:rPr>
        <w:drawing>
          <wp:inline distT="0" distB="0" distL="0" distR="0" wp14:anchorId="3896DD7C" wp14:editId="0EBBAB4E">
            <wp:extent cx="2933700" cy="1524600"/>
            <wp:effectExtent l="19050" t="0" r="0" b="0"/>
            <wp:docPr id="1" name="Picture 1" descr="Commonwealth Grants Commis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GC_stackedstrip"/>
                    <pic:cNvPicPr>
                      <a:picLocks noChangeAspect="1" noChangeArrowheads="1"/>
                    </pic:cNvPicPr>
                  </pic:nvPicPr>
                  <pic:blipFill>
                    <a:blip r:embed="rId8" cstate="print"/>
                    <a:srcRect/>
                    <a:stretch>
                      <a:fillRect/>
                    </a:stretch>
                  </pic:blipFill>
                  <pic:spPr bwMode="auto">
                    <a:xfrm>
                      <a:off x="0" y="0"/>
                      <a:ext cx="2933700" cy="1524600"/>
                    </a:xfrm>
                    <a:prstGeom prst="rect">
                      <a:avLst/>
                    </a:prstGeom>
                    <a:noFill/>
                    <a:ln w="9525">
                      <a:noFill/>
                      <a:miter lim="800000"/>
                      <a:headEnd/>
                      <a:tailEnd/>
                    </a:ln>
                  </pic:spPr>
                </pic:pic>
              </a:graphicData>
            </a:graphic>
          </wp:inline>
        </w:drawing>
      </w:r>
    </w:p>
    <w:p w:rsidR="00BE794D" w:rsidRPr="00970E6D" w:rsidRDefault="00BE794D" w:rsidP="00BE794D">
      <w:pPr>
        <w:tabs>
          <w:tab w:val="clear" w:pos="567"/>
        </w:tabs>
        <w:jc w:val="center"/>
        <w:rPr>
          <w:b/>
          <w:sz w:val="40"/>
          <w:szCs w:val="40"/>
        </w:rPr>
      </w:pPr>
    </w:p>
    <w:p w:rsidR="00BE794D" w:rsidRPr="00970E6D" w:rsidRDefault="00BE794D" w:rsidP="00BE794D">
      <w:pPr>
        <w:tabs>
          <w:tab w:val="clear" w:pos="567"/>
        </w:tabs>
        <w:jc w:val="center"/>
        <w:rPr>
          <w:b/>
          <w:sz w:val="40"/>
          <w:szCs w:val="40"/>
        </w:rPr>
      </w:pPr>
    </w:p>
    <w:p w:rsidR="00BE794D" w:rsidRPr="00970E6D" w:rsidRDefault="00BE794D" w:rsidP="00BE794D">
      <w:pPr>
        <w:tabs>
          <w:tab w:val="clear" w:pos="567"/>
        </w:tabs>
        <w:jc w:val="center"/>
        <w:rPr>
          <w:b/>
          <w:sz w:val="40"/>
          <w:szCs w:val="40"/>
        </w:rPr>
      </w:pPr>
      <w:r w:rsidRPr="00970E6D">
        <w:rPr>
          <w:b/>
          <w:sz w:val="40"/>
          <w:szCs w:val="40"/>
        </w:rPr>
        <w:t>20</w:t>
      </w:r>
      <w:r w:rsidR="008E3EA2">
        <w:rPr>
          <w:b/>
          <w:sz w:val="40"/>
          <w:szCs w:val="40"/>
        </w:rPr>
        <w:t>20</w:t>
      </w:r>
      <w:r w:rsidRPr="00970E6D">
        <w:rPr>
          <w:b/>
          <w:sz w:val="40"/>
          <w:szCs w:val="40"/>
        </w:rPr>
        <w:t xml:space="preserve"> REVIEW</w:t>
      </w:r>
    </w:p>
    <w:p w:rsidR="00BE794D" w:rsidRPr="00970E6D" w:rsidRDefault="00BE794D" w:rsidP="00BE794D">
      <w:pPr>
        <w:tabs>
          <w:tab w:val="clear" w:pos="567"/>
        </w:tabs>
        <w:jc w:val="center"/>
        <w:rPr>
          <w:b/>
          <w:sz w:val="40"/>
          <w:szCs w:val="40"/>
        </w:rPr>
      </w:pPr>
    </w:p>
    <w:p w:rsidR="00BE794D" w:rsidRPr="00970E6D" w:rsidRDefault="00BE794D" w:rsidP="00BE794D">
      <w:pPr>
        <w:tabs>
          <w:tab w:val="clear" w:pos="567"/>
        </w:tabs>
        <w:jc w:val="center"/>
        <w:rPr>
          <w:b/>
          <w:sz w:val="40"/>
          <w:szCs w:val="40"/>
        </w:rPr>
      </w:pPr>
    </w:p>
    <w:p w:rsidR="00BE794D" w:rsidRPr="00970E6D" w:rsidRDefault="00BE794D" w:rsidP="00BE794D">
      <w:pPr>
        <w:tabs>
          <w:tab w:val="clear" w:pos="567"/>
        </w:tabs>
        <w:jc w:val="center"/>
        <w:rPr>
          <w:b/>
          <w:sz w:val="40"/>
          <w:szCs w:val="40"/>
        </w:rPr>
      </w:pPr>
    </w:p>
    <w:p w:rsidR="00BE794D" w:rsidRPr="00970E6D" w:rsidRDefault="00BE794D" w:rsidP="00BE794D">
      <w:pPr>
        <w:tabs>
          <w:tab w:val="clear" w:pos="567"/>
        </w:tabs>
        <w:jc w:val="center"/>
        <w:rPr>
          <w:b/>
          <w:sz w:val="40"/>
          <w:szCs w:val="40"/>
        </w:rPr>
      </w:pPr>
    </w:p>
    <w:p w:rsidR="00AA7224" w:rsidRDefault="00AA7224" w:rsidP="00BE794D">
      <w:pPr>
        <w:tabs>
          <w:tab w:val="clear" w:pos="567"/>
        </w:tabs>
        <w:jc w:val="center"/>
        <w:rPr>
          <w:b/>
          <w:sz w:val="40"/>
          <w:szCs w:val="40"/>
        </w:rPr>
      </w:pPr>
      <w:r>
        <w:rPr>
          <w:b/>
          <w:sz w:val="40"/>
          <w:szCs w:val="40"/>
        </w:rPr>
        <w:t>IMPROVING THE POLICY NEUTRALITY OF</w:t>
      </w:r>
    </w:p>
    <w:p w:rsidR="00BE794D" w:rsidRPr="00970E6D" w:rsidRDefault="00AA7224" w:rsidP="00BE794D">
      <w:pPr>
        <w:tabs>
          <w:tab w:val="clear" w:pos="567"/>
        </w:tabs>
        <w:jc w:val="center"/>
        <w:rPr>
          <w:bCs/>
          <w:sz w:val="40"/>
          <w:szCs w:val="40"/>
        </w:rPr>
      </w:pPr>
      <w:r>
        <w:rPr>
          <w:b/>
          <w:sz w:val="40"/>
          <w:szCs w:val="40"/>
        </w:rPr>
        <w:t>THE MINING REVENUE ASSESSMENT</w:t>
      </w:r>
    </w:p>
    <w:p w:rsidR="00BE794D" w:rsidRPr="00970E6D" w:rsidRDefault="00BE794D" w:rsidP="00BE794D">
      <w:pPr>
        <w:tabs>
          <w:tab w:val="clear" w:pos="567"/>
        </w:tabs>
        <w:jc w:val="center"/>
        <w:rPr>
          <w:b/>
          <w:sz w:val="40"/>
          <w:szCs w:val="40"/>
        </w:rPr>
      </w:pPr>
    </w:p>
    <w:p w:rsidR="00BE794D" w:rsidRPr="00970E6D" w:rsidRDefault="00BE794D" w:rsidP="00BE794D">
      <w:pPr>
        <w:tabs>
          <w:tab w:val="clear" w:pos="567"/>
        </w:tabs>
        <w:jc w:val="center"/>
        <w:rPr>
          <w:b/>
          <w:sz w:val="40"/>
          <w:szCs w:val="40"/>
        </w:rPr>
      </w:pPr>
    </w:p>
    <w:p w:rsidR="00BE794D" w:rsidRPr="00970E6D" w:rsidRDefault="00BE794D" w:rsidP="00BE794D">
      <w:pPr>
        <w:tabs>
          <w:tab w:val="clear" w:pos="567"/>
        </w:tabs>
        <w:jc w:val="center"/>
        <w:rPr>
          <w:b/>
          <w:sz w:val="40"/>
          <w:szCs w:val="40"/>
        </w:rPr>
      </w:pPr>
    </w:p>
    <w:p w:rsidR="00BE794D" w:rsidRPr="00970E6D" w:rsidRDefault="00BE794D" w:rsidP="00BE794D">
      <w:pPr>
        <w:tabs>
          <w:tab w:val="clear" w:pos="567"/>
        </w:tabs>
        <w:jc w:val="center"/>
        <w:rPr>
          <w:b/>
          <w:sz w:val="40"/>
          <w:szCs w:val="40"/>
        </w:rPr>
      </w:pPr>
      <w:r w:rsidRPr="00970E6D">
        <w:rPr>
          <w:b/>
          <w:sz w:val="40"/>
          <w:szCs w:val="40"/>
        </w:rPr>
        <w:t xml:space="preserve">STAFF DISCUSSION </w:t>
      </w:r>
      <w:r w:rsidR="00055F2A">
        <w:rPr>
          <w:b/>
          <w:sz w:val="40"/>
          <w:szCs w:val="40"/>
        </w:rPr>
        <w:t>PAPER</w:t>
      </w:r>
      <w:r w:rsidR="00055F2A">
        <w:rPr>
          <w:b/>
          <w:sz w:val="40"/>
          <w:szCs w:val="40"/>
        </w:rPr>
        <w:br/>
        <w:t>CGC 20</w:t>
      </w:r>
      <w:r w:rsidRPr="00970E6D">
        <w:rPr>
          <w:b/>
          <w:sz w:val="40"/>
          <w:szCs w:val="40"/>
        </w:rPr>
        <w:t>1</w:t>
      </w:r>
      <w:r w:rsidR="00AA7224">
        <w:rPr>
          <w:b/>
          <w:sz w:val="40"/>
          <w:szCs w:val="40"/>
        </w:rPr>
        <w:t>8</w:t>
      </w:r>
      <w:r w:rsidRPr="00970E6D">
        <w:rPr>
          <w:b/>
          <w:sz w:val="40"/>
          <w:szCs w:val="40"/>
        </w:rPr>
        <w:t>-</w:t>
      </w:r>
      <w:r w:rsidR="00AA7224">
        <w:rPr>
          <w:b/>
          <w:sz w:val="40"/>
          <w:szCs w:val="40"/>
        </w:rPr>
        <w:t>07-S</w:t>
      </w:r>
    </w:p>
    <w:p w:rsidR="00BE794D" w:rsidRPr="00970E6D" w:rsidRDefault="00BE794D" w:rsidP="00BE794D">
      <w:pPr>
        <w:tabs>
          <w:tab w:val="clear" w:pos="567"/>
        </w:tabs>
        <w:jc w:val="center"/>
        <w:rPr>
          <w:b/>
          <w:sz w:val="40"/>
          <w:szCs w:val="40"/>
        </w:rPr>
      </w:pPr>
    </w:p>
    <w:p w:rsidR="00BE794D" w:rsidRPr="00970E6D" w:rsidRDefault="00BE794D" w:rsidP="00BE794D">
      <w:pPr>
        <w:tabs>
          <w:tab w:val="clear" w:pos="567"/>
        </w:tabs>
        <w:jc w:val="center"/>
        <w:rPr>
          <w:b/>
          <w:sz w:val="40"/>
          <w:szCs w:val="40"/>
        </w:rPr>
      </w:pPr>
    </w:p>
    <w:p w:rsidR="00BE794D" w:rsidRPr="00970E6D" w:rsidRDefault="00BE794D" w:rsidP="00BE794D">
      <w:pPr>
        <w:tabs>
          <w:tab w:val="clear" w:pos="567"/>
        </w:tabs>
        <w:jc w:val="center"/>
        <w:rPr>
          <w:b/>
          <w:sz w:val="40"/>
          <w:szCs w:val="40"/>
        </w:rPr>
      </w:pPr>
    </w:p>
    <w:p w:rsidR="00BE794D" w:rsidRPr="00970E6D" w:rsidRDefault="00BE794D" w:rsidP="00BE794D">
      <w:pPr>
        <w:tabs>
          <w:tab w:val="clear" w:pos="567"/>
        </w:tabs>
        <w:jc w:val="center"/>
        <w:rPr>
          <w:sz w:val="40"/>
          <w:szCs w:val="40"/>
        </w:rPr>
      </w:pPr>
    </w:p>
    <w:p w:rsidR="00BE794D" w:rsidRPr="00970E6D" w:rsidRDefault="00AA7224" w:rsidP="00BE794D">
      <w:pPr>
        <w:tabs>
          <w:tab w:val="clear" w:pos="567"/>
        </w:tabs>
        <w:jc w:val="right"/>
        <w:rPr>
          <w:b/>
          <w:sz w:val="28"/>
          <w:szCs w:val="28"/>
        </w:rPr>
      </w:pPr>
      <w:r>
        <w:rPr>
          <w:b/>
          <w:sz w:val="28"/>
          <w:szCs w:val="28"/>
        </w:rPr>
        <w:t>NOVEMBER</w:t>
      </w:r>
      <w:r w:rsidR="00BE794D" w:rsidRPr="00970E6D">
        <w:rPr>
          <w:b/>
          <w:sz w:val="28"/>
          <w:szCs w:val="28"/>
        </w:rPr>
        <w:t xml:space="preserve"> </w:t>
      </w:r>
      <w:r>
        <w:rPr>
          <w:b/>
          <w:sz w:val="28"/>
          <w:szCs w:val="28"/>
        </w:rPr>
        <w:t>2018</w:t>
      </w:r>
    </w:p>
    <w:p w:rsidR="00BE794D" w:rsidRPr="00970E6D" w:rsidRDefault="00BE794D" w:rsidP="00BE794D">
      <w:pPr>
        <w:tabs>
          <w:tab w:val="clear" w:pos="567"/>
        </w:tabs>
      </w:pPr>
    </w:p>
    <w:p w:rsidR="00BE794D" w:rsidRPr="00970E6D" w:rsidRDefault="00BE794D" w:rsidP="00BE794D">
      <w:pPr>
        <w:tabs>
          <w:tab w:val="clear" w:pos="567"/>
        </w:tabs>
        <w:sectPr w:rsidR="00BE794D" w:rsidRPr="00970E6D" w:rsidSect="001010FD">
          <w:footerReference w:type="default" r:id="rId9"/>
          <w:footerReference w:type="first" r:id="rId10"/>
          <w:pgSz w:w="11899" w:h="16838" w:code="9"/>
          <w:pgMar w:top="1701" w:right="1474" w:bottom="1701" w:left="1474" w:header="709" w:footer="709" w:gutter="0"/>
          <w:cols w:space="708"/>
          <w:titlePg/>
          <w:docGrid w:linePitch="299"/>
        </w:sectPr>
      </w:pPr>
    </w:p>
    <w:tbl>
      <w:tblPr>
        <w:tblStyle w:val="TableGrid"/>
        <w:tblW w:w="5000" w:type="pct"/>
        <w:tblLook w:val="01E0" w:firstRow="1" w:lastRow="1" w:firstColumn="1" w:lastColumn="1" w:noHBand="0" w:noVBand="0"/>
      </w:tblPr>
      <w:tblGrid>
        <w:gridCol w:w="2870"/>
        <w:gridCol w:w="6071"/>
      </w:tblGrid>
      <w:tr w:rsidR="00BE794D" w:rsidRPr="00970E6D" w:rsidTr="001010FD">
        <w:tc>
          <w:tcPr>
            <w:tcW w:w="1605" w:type="pct"/>
            <w:tcBorders>
              <w:top w:val="single" w:sz="4" w:space="0" w:color="auto"/>
              <w:left w:val="single" w:sz="4" w:space="0" w:color="auto"/>
              <w:bottom w:val="single" w:sz="4" w:space="0" w:color="auto"/>
              <w:right w:val="single" w:sz="4" w:space="0" w:color="auto"/>
            </w:tcBorders>
          </w:tcPr>
          <w:p w:rsidR="00BE794D" w:rsidRPr="00970E6D" w:rsidRDefault="00BE794D" w:rsidP="001010FD">
            <w:pPr>
              <w:tabs>
                <w:tab w:val="clear" w:pos="567"/>
                <w:tab w:val="clear" w:pos="1418"/>
                <w:tab w:val="clear" w:pos="2268"/>
                <w:tab w:val="clear" w:pos="2835"/>
              </w:tabs>
            </w:pPr>
            <w:r w:rsidRPr="00970E6D">
              <w:lastRenderedPageBreak/>
              <w:t>Paper issued</w:t>
            </w:r>
          </w:p>
        </w:tc>
        <w:tc>
          <w:tcPr>
            <w:tcW w:w="3395" w:type="pct"/>
            <w:tcBorders>
              <w:top w:val="single" w:sz="4" w:space="0" w:color="auto"/>
              <w:left w:val="single" w:sz="4" w:space="0" w:color="auto"/>
              <w:bottom w:val="single" w:sz="4" w:space="0" w:color="auto"/>
              <w:right w:val="single" w:sz="4" w:space="0" w:color="auto"/>
            </w:tcBorders>
          </w:tcPr>
          <w:p w:rsidR="00BE794D" w:rsidRPr="00970E6D" w:rsidRDefault="00AA7224" w:rsidP="00E43FBD">
            <w:pPr>
              <w:tabs>
                <w:tab w:val="clear" w:pos="567"/>
                <w:tab w:val="clear" w:pos="1418"/>
                <w:tab w:val="clear" w:pos="2268"/>
                <w:tab w:val="clear" w:pos="2835"/>
              </w:tabs>
            </w:pPr>
            <w:r>
              <w:t>1</w:t>
            </w:r>
            <w:r w:rsidR="00E43FBD">
              <w:t xml:space="preserve">4 </w:t>
            </w:r>
            <w:r>
              <w:t>November</w:t>
            </w:r>
            <w:r w:rsidR="00BE794D" w:rsidRPr="00970E6D">
              <w:t xml:space="preserve"> 20</w:t>
            </w:r>
            <w:r>
              <w:t>18</w:t>
            </w:r>
          </w:p>
        </w:tc>
      </w:tr>
      <w:tr w:rsidR="00BE794D" w:rsidRPr="00970E6D" w:rsidTr="001010FD">
        <w:tc>
          <w:tcPr>
            <w:tcW w:w="1605" w:type="pct"/>
            <w:tcBorders>
              <w:top w:val="single" w:sz="4" w:space="0" w:color="auto"/>
              <w:left w:val="single" w:sz="4" w:space="0" w:color="auto"/>
              <w:bottom w:val="single" w:sz="4" w:space="0" w:color="auto"/>
              <w:right w:val="single" w:sz="4" w:space="0" w:color="auto"/>
            </w:tcBorders>
          </w:tcPr>
          <w:p w:rsidR="00BE794D" w:rsidRPr="00970E6D" w:rsidRDefault="00BE794D" w:rsidP="001010FD">
            <w:pPr>
              <w:tabs>
                <w:tab w:val="clear" w:pos="567"/>
                <w:tab w:val="clear" w:pos="1418"/>
                <w:tab w:val="clear" w:pos="2268"/>
                <w:tab w:val="clear" w:pos="2835"/>
              </w:tabs>
            </w:pPr>
            <w:r w:rsidRPr="00970E6D">
              <w:t>Commission contact officer</w:t>
            </w:r>
          </w:p>
        </w:tc>
        <w:tc>
          <w:tcPr>
            <w:tcW w:w="3395" w:type="pct"/>
            <w:tcBorders>
              <w:top w:val="single" w:sz="4" w:space="0" w:color="auto"/>
              <w:left w:val="single" w:sz="4" w:space="0" w:color="auto"/>
              <w:bottom w:val="single" w:sz="4" w:space="0" w:color="auto"/>
              <w:right w:val="single" w:sz="4" w:space="0" w:color="auto"/>
            </w:tcBorders>
          </w:tcPr>
          <w:p w:rsidR="00BE794D" w:rsidRPr="00970E6D" w:rsidRDefault="00AA7224" w:rsidP="00AA7224">
            <w:pPr>
              <w:tabs>
                <w:tab w:val="clear" w:pos="567"/>
                <w:tab w:val="clear" w:pos="1418"/>
                <w:tab w:val="clear" w:pos="2268"/>
                <w:tab w:val="clear" w:pos="2835"/>
              </w:tabs>
            </w:pPr>
            <w:r>
              <w:t xml:space="preserve">Dermot Doherty, 6229 8816, </w:t>
            </w:r>
            <w:hyperlink r:id="rId11" w:history="1">
              <w:r w:rsidRPr="00976AA6">
                <w:rPr>
                  <w:rStyle w:val="Hyperlink"/>
                </w:rPr>
                <w:t>Dermot.Doherty@cgc.gov.au</w:t>
              </w:r>
            </w:hyperlink>
            <w:r>
              <w:rPr>
                <w:rStyle w:val="Hyperlink"/>
              </w:rPr>
              <w:t xml:space="preserve"> </w:t>
            </w:r>
          </w:p>
        </w:tc>
      </w:tr>
      <w:tr w:rsidR="00BE794D" w:rsidRPr="00970E6D" w:rsidTr="001010FD">
        <w:tc>
          <w:tcPr>
            <w:tcW w:w="1605" w:type="pct"/>
            <w:tcBorders>
              <w:top w:val="single" w:sz="4" w:space="0" w:color="auto"/>
              <w:left w:val="single" w:sz="4" w:space="0" w:color="auto"/>
              <w:bottom w:val="single" w:sz="4" w:space="0" w:color="auto"/>
              <w:right w:val="single" w:sz="4" w:space="0" w:color="auto"/>
            </w:tcBorders>
          </w:tcPr>
          <w:p w:rsidR="00BE794D" w:rsidRPr="00970E6D" w:rsidRDefault="00BE794D" w:rsidP="001010FD">
            <w:pPr>
              <w:tabs>
                <w:tab w:val="clear" w:pos="567"/>
                <w:tab w:val="clear" w:pos="1418"/>
                <w:tab w:val="clear" w:pos="2268"/>
                <w:tab w:val="clear" w:pos="2835"/>
              </w:tabs>
            </w:pPr>
            <w:r w:rsidRPr="00970E6D">
              <w:t>Submissions sought by</w:t>
            </w:r>
          </w:p>
        </w:tc>
        <w:tc>
          <w:tcPr>
            <w:tcW w:w="3395" w:type="pct"/>
            <w:tcBorders>
              <w:top w:val="single" w:sz="4" w:space="0" w:color="auto"/>
              <w:left w:val="single" w:sz="4" w:space="0" w:color="auto"/>
              <w:bottom w:val="single" w:sz="4" w:space="0" w:color="auto"/>
              <w:right w:val="single" w:sz="4" w:space="0" w:color="auto"/>
            </w:tcBorders>
          </w:tcPr>
          <w:p w:rsidR="00AA7224" w:rsidRDefault="00B97D96" w:rsidP="001010FD">
            <w:pPr>
              <w:tabs>
                <w:tab w:val="clear" w:pos="567"/>
                <w:tab w:val="clear" w:pos="1418"/>
                <w:tab w:val="clear" w:pos="2268"/>
                <w:tab w:val="clear" w:pos="2835"/>
              </w:tabs>
            </w:pPr>
            <w:r>
              <w:t>25 January</w:t>
            </w:r>
            <w:r w:rsidR="00E43FBD">
              <w:t xml:space="preserve"> 2019</w:t>
            </w:r>
            <w:r w:rsidR="00BE794D" w:rsidRPr="00970E6D">
              <w:t>.</w:t>
            </w:r>
          </w:p>
          <w:p w:rsidR="00BE794D" w:rsidRPr="00970E6D" w:rsidRDefault="00BE794D" w:rsidP="001010FD">
            <w:pPr>
              <w:tabs>
                <w:tab w:val="clear" w:pos="567"/>
                <w:tab w:val="clear" w:pos="1418"/>
                <w:tab w:val="clear" w:pos="2268"/>
                <w:tab w:val="clear" w:pos="2835"/>
              </w:tabs>
            </w:pPr>
            <w:r w:rsidRPr="00970E6D">
              <w:t xml:space="preserve">Submissions should be emailed in Word format to </w:t>
            </w:r>
            <w:hyperlink r:id="rId12" w:history="1">
              <w:r w:rsidRPr="00970E6D">
                <w:rPr>
                  <w:rStyle w:val="Hyperlink"/>
                </w:rPr>
                <w:t>secretary@cgc.gov.au</w:t>
              </w:r>
            </w:hyperlink>
            <w:r w:rsidRPr="00970E6D">
              <w:t>.</w:t>
            </w:r>
          </w:p>
          <w:p w:rsidR="00BE794D" w:rsidRPr="00970E6D" w:rsidRDefault="00BE794D" w:rsidP="001010FD">
            <w:pPr>
              <w:tabs>
                <w:tab w:val="clear" w:pos="567"/>
                <w:tab w:val="clear" w:pos="1418"/>
                <w:tab w:val="clear" w:pos="2268"/>
                <w:tab w:val="clear" w:pos="2835"/>
              </w:tabs>
            </w:pPr>
            <w:r w:rsidRPr="00970E6D">
              <w:t xml:space="preserve">Submissions of more than </w:t>
            </w:r>
            <w:r>
              <w:t>10</w:t>
            </w:r>
            <w:r w:rsidRPr="00970E6D">
              <w:t xml:space="preserve"> pages in length should include a summary section.</w:t>
            </w:r>
          </w:p>
        </w:tc>
      </w:tr>
      <w:tr w:rsidR="00BE794D" w:rsidRPr="00970E6D" w:rsidTr="001010FD">
        <w:tc>
          <w:tcPr>
            <w:tcW w:w="1605" w:type="pct"/>
            <w:tcBorders>
              <w:top w:val="single" w:sz="4" w:space="0" w:color="auto"/>
              <w:left w:val="single" w:sz="4" w:space="0" w:color="auto"/>
              <w:bottom w:val="single" w:sz="4" w:space="0" w:color="auto"/>
              <w:right w:val="single" w:sz="4" w:space="0" w:color="auto"/>
            </w:tcBorders>
          </w:tcPr>
          <w:p w:rsidR="00BE794D" w:rsidRPr="00970E6D" w:rsidRDefault="00BE794D" w:rsidP="001010FD">
            <w:pPr>
              <w:tabs>
                <w:tab w:val="clear" w:pos="567"/>
                <w:tab w:val="clear" w:pos="1418"/>
                <w:tab w:val="clear" w:pos="2268"/>
                <w:tab w:val="clear" w:pos="2835"/>
              </w:tabs>
            </w:pPr>
            <w:r w:rsidRPr="00970E6D">
              <w:t>Confidential material</w:t>
            </w:r>
          </w:p>
        </w:tc>
        <w:tc>
          <w:tcPr>
            <w:tcW w:w="3395" w:type="pct"/>
            <w:tcBorders>
              <w:top w:val="single" w:sz="4" w:space="0" w:color="auto"/>
              <w:left w:val="single" w:sz="4" w:space="0" w:color="auto"/>
              <w:bottom w:val="single" w:sz="4" w:space="0" w:color="auto"/>
              <w:right w:val="single" w:sz="4" w:space="0" w:color="auto"/>
            </w:tcBorders>
          </w:tcPr>
          <w:p w:rsidR="00BE794D" w:rsidRPr="00CF1294" w:rsidRDefault="00AA7224" w:rsidP="001010FD">
            <w:pPr>
              <w:tabs>
                <w:tab w:val="clear" w:pos="567"/>
                <w:tab w:val="clear" w:pos="1418"/>
                <w:tab w:val="clear" w:pos="2268"/>
                <w:tab w:val="clear" w:pos="2835"/>
              </w:tabs>
            </w:pPr>
            <w:r w:rsidRPr="00CF1294">
              <w:t>It is the commission’s normal practice to make State submissions available on its website under the CC BY licence, allowing free use of content by third parties</w:t>
            </w:r>
            <w:r w:rsidR="00BE794D" w:rsidRPr="00CF1294">
              <w:t xml:space="preserve">. </w:t>
            </w:r>
          </w:p>
          <w:p w:rsidR="00BE794D" w:rsidRPr="00CF1294" w:rsidRDefault="00BE794D" w:rsidP="001010FD">
            <w:pPr>
              <w:tabs>
                <w:tab w:val="clear" w:pos="567"/>
                <w:tab w:val="clear" w:pos="1418"/>
                <w:tab w:val="clear" w:pos="2268"/>
                <w:tab w:val="clear" w:pos="2835"/>
              </w:tabs>
            </w:pPr>
            <w:r w:rsidRPr="00CF1294">
              <w:rPr>
                <w:noProof/>
                <w:lang w:eastAsia="en-AU"/>
              </w:rPr>
              <w:drawing>
                <wp:inline distT="0" distB="0" distL="0" distR="0" wp14:anchorId="50A77DDE" wp14:editId="44947FC5">
                  <wp:extent cx="828675" cy="295275"/>
                  <wp:effectExtent l="19050" t="0" r="9525" b="0"/>
                  <wp:docPr id="3" name="Picture 1" descr="Creative Commons - CC BY Attribu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 Attribution"/>
                          <pic:cNvPicPr>
                            <a:picLocks noChangeAspect="1" noChangeArrowheads="1"/>
                          </pic:cNvPicPr>
                        </pic:nvPicPr>
                        <pic:blipFill>
                          <a:blip r:embed="rId13"/>
                          <a:srcRect/>
                          <a:stretch>
                            <a:fillRect/>
                          </a:stretch>
                        </pic:blipFill>
                        <pic:spPr bwMode="auto">
                          <a:xfrm>
                            <a:off x="0" y="0"/>
                            <a:ext cx="828675" cy="295275"/>
                          </a:xfrm>
                          <a:prstGeom prst="rect">
                            <a:avLst/>
                          </a:prstGeom>
                          <a:noFill/>
                          <a:ln w="9525">
                            <a:noFill/>
                            <a:miter lim="800000"/>
                            <a:headEnd/>
                            <a:tailEnd/>
                          </a:ln>
                        </pic:spPr>
                      </pic:pic>
                    </a:graphicData>
                  </a:graphic>
                </wp:inline>
              </w:drawing>
            </w:r>
          </w:p>
          <w:p w:rsidR="00BE794D" w:rsidRPr="00CF1294" w:rsidRDefault="00BE794D" w:rsidP="001010FD">
            <w:pPr>
              <w:tabs>
                <w:tab w:val="clear" w:pos="567"/>
                <w:tab w:val="clear" w:pos="1418"/>
                <w:tab w:val="clear" w:pos="2268"/>
                <w:tab w:val="clear" w:pos="2835"/>
              </w:tabs>
            </w:pPr>
            <w:r w:rsidRPr="00CF1294">
              <w:t xml:space="preserve">Further information on the CC BY licence can be found </w:t>
            </w:r>
            <w:r w:rsidR="00C77BD0" w:rsidRPr="00EC79CF">
              <w:t xml:space="preserve">on the </w:t>
            </w:r>
            <w:hyperlink r:id="rId14" w:history="1">
              <w:r w:rsidR="00C77BD0" w:rsidRPr="00841145">
                <w:rPr>
                  <w:rStyle w:val="Hyperlink"/>
                </w:rPr>
                <w:t>Creative Commons website</w:t>
              </w:r>
            </w:hyperlink>
            <w:r w:rsidR="00C77BD0" w:rsidRPr="00EC79CF">
              <w:t xml:space="preserve"> </w:t>
            </w:r>
            <w:r w:rsidR="00C77BD0">
              <w:t>(</w:t>
            </w:r>
            <w:r w:rsidR="00C77BD0" w:rsidRPr="00841145">
              <w:t>http://creativecommons.org</w:t>
            </w:r>
            <w:r w:rsidR="00C77BD0">
              <w:t>).</w:t>
            </w:r>
            <w:r w:rsidRPr="00CF1294">
              <w:t xml:space="preserve"> </w:t>
            </w:r>
          </w:p>
          <w:p w:rsidR="00BE794D" w:rsidRPr="00970E6D" w:rsidRDefault="00BE794D" w:rsidP="001010FD">
            <w:pPr>
              <w:tabs>
                <w:tab w:val="clear" w:pos="567"/>
                <w:tab w:val="clear" w:pos="1418"/>
                <w:tab w:val="clear" w:pos="2268"/>
                <w:tab w:val="clear" w:pos="2835"/>
              </w:tabs>
            </w:pPr>
            <w:r w:rsidRPr="00CF1294">
              <w:t>Confidential material contained in submissions must be clearly identified or included in separate attachment/s, and details provided in the covering email. Identified confidential material will not be published on the commission’s website.</w:t>
            </w:r>
          </w:p>
        </w:tc>
      </w:tr>
    </w:tbl>
    <w:p w:rsidR="00BE794D" w:rsidRPr="00970E6D" w:rsidRDefault="00BE794D" w:rsidP="00BE794D">
      <w:pPr>
        <w:tabs>
          <w:tab w:val="clear" w:pos="567"/>
        </w:tabs>
        <w:sectPr w:rsidR="00BE794D" w:rsidRPr="00970E6D" w:rsidSect="001010FD">
          <w:headerReference w:type="first" r:id="rId15"/>
          <w:footerReference w:type="first" r:id="rId16"/>
          <w:pgSz w:w="11899" w:h="16838" w:code="9"/>
          <w:pgMar w:top="1701" w:right="1474" w:bottom="1701" w:left="1474" w:header="709" w:footer="709" w:gutter="0"/>
          <w:cols w:space="708"/>
          <w:vAlign w:val="bottom"/>
          <w:titlePg/>
          <w:docGrid w:linePitch="299"/>
        </w:sectPr>
      </w:pPr>
    </w:p>
    <w:p w:rsidR="00BE794D" w:rsidRPr="00970E6D" w:rsidRDefault="00BE794D" w:rsidP="00BE794D">
      <w:pPr>
        <w:pStyle w:val="Heading1"/>
      </w:pPr>
      <w:r w:rsidRPr="00970E6D">
        <w:lastRenderedPageBreak/>
        <w:t>C</w:t>
      </w:r>
      <w:bookmarkEnd w:id="0"/>
      <w:bookmarkEnd w:id="1"/>
      <w:bookmarkEnd w:id="2"/>
      <w:bookmarkEnd w:id="3"/>
      <w:bookmarkEnd w:id="4"/>
      <w:bookmarkEnd w:id="5"/>
      <w:r w:rsidR="007E6A9E">
        <w:t>ontents</w:t>
      </w:r>
    </w:p>
    <w:p w:rsidR="00BE794D" w:rsidRPr="00970E6D" w:rsidRDefault="00BE794D" w:rsidP="00BE794D">
      <w:pPr>
        <w:tabs>
          <w:tab w:val="clear" w:pos="567"/>
        </w:tabs>
      </w:pPr>
    </w:p>
    <w:p w:rsidR="00FD6209" w:rsidRDefault="00A105E0">
      <w:pPr>
        <w:pStyle w:val="TOC1"/>
        <w:tabs>
          <w:tab w:val="right" w:pos="8941"/>
        </w:tabs>
        <w:rPr>
          <w:rFonts w:eastAsiaTheme="minorEastAsia"/>
          <w:noProof/>
          <w:sz w:val="22"/>
          <w:szCs w:val="22"/>
          <w:lang w:eastAsia="en-AU"/>
        </w:rPr>
      </w:pPr>
      <w:r>
        <w:fldChar w:fldCharType="begin"/>
      </w:r>
      <w:r>
        <w:instrText xml:space="preserve"> TOC \f \h \z \u \t "Heading 2,1,Heading 3,1,Heading 4,3" </w:instrText>
      </w:r>
      <w:r>
        <w:fldChar w:fldCharType="separate"/>
      </w:r>
      <w:hyperlink w:anchor="_Toc529869527" w:history="1">
        <w:r w:rsidR="00FD6209" w:rsidRPr="00601F1E">
          <w:rPr>
            <w:rStyle w:val="Hyperlink"/>
            <w:noProof/>
          </w:rPr>
          <w:t>Background</w:t>
        </w:r>
        <w:r w:rsidR="00FD6209">
          <w:rPr>
            <w:noProof/>
            <w:webHidden/>
          </w:rPr>
          <w:tab/>
        </w:r>
        <w:r w:rsidR="00FD6209">
          <w:rPr>
            <w:noProof/>
            <w:webHidden/>
          </w:rPr>
          <w:fldChar w:fldCharType="begin"/>
        </w:r>
        <w:r w:rsidR="00FD6209">
          <w:rPr>
            <w:noProof/>
            <w:webHidden/>
          </w:rPr>
          <w:instrText xml:space="preserve"> PAGEREF _Toc529869527 \h </w:instrText>
        </w:r>
        <w:r w:rsidR="00FD6209">
          <w:rPr>
            <w:noProof/>
            <w:webHidden/>
          </w:rPr>
        </w:r>
        <w:r w:rsidR="00FD6209">
          <w:rPr>
            <w:noProof/>
            <w:webHidden/>
          </w:rPr>
          <w:fldChar w:fldCharType="separate"/>
        </w:r>
        <w:r w:rsidR="00A7301A">
          <w:rPr>
            <w:noProof/>
            <w:webHidden/>
          </w:rPr>
          <w:t>1</w:t>
        </w:r>
        <w:r w:rsidR="00FD6209">
          <w:rPr>
            <w:noProof/>
            <w:webHidden/>
          </w:rPr>
          <w:fldChar w:fldCharType="end"/>
        </w:r>
      </w:hyperlink>
    </w:p>
    <w:p w:rsidR="00FD6209" w:rsidRDefault="00A7301A">
      <w:pPr>
        <w:pStyle w:val="TOC3"/>
        <w:tabs>
          <w:tab w:val="right" w:pos="8941"/>
        </w:tabs>
        <w:rPr>
          <w:rFonts w:eastAsiaTheme="minorEastAsia"/>
          <w:noProof/>
          <w:sz w:val="22"/>
          <w:szCs w:val="22"/>
          <w:lang w:eastAsia="en-AU"/>
        </w:rPr>
      </w:pPr>
      <w:hyperlink w:anchor="_Toc529869528" w:history="1">
        <w:r w:rsidR="00FD6209" w:rsidRPr="00601F1E">
          <w:rPr>
            <w:rStyle w:val="Hyperlink"/>
            <w:noProof/>
          </w:rPr>
          <w:t>The proposed Mining revenue assessment</w:t>
        </w:r>
        <w:r w:rsidR="00FD6209">
          <w:rPr>
            <w:noProof/>
            <w:webHidden/>
          </w:rPr>
          <w:tab/>
        </w:r>
        <w:r w:rsidR="00FD6209">
          <w:rPr>
            <w:noProof/>
            <w:webHidden/>
          </w:rPr>
          <w:fldChar w:fldCharType="begin"/>
        </w:r>
        <w:r w:rsidR="00FD6209">
          <w:rPr>
            <w:noProof/>
            <w:webHidden/>
          </w:rPr>
          <w:instrText xml:space="preserve"> PAGEREF _Toc529869528 \h </w:instrText>
        </w:r>
        <w:r w:rsidR="00FD6209">
          <w:rPr>
            <w:noProof/>
            <w:webHidden/>
          </w:rPr>
        </w:r>
        <w:r w:rsidR="00FD6209">
          <w:rPr>
            <w:noProof/>
            <w:webHidden/>
          </w:rPr>
          <w:fldChar w:fldCharType="separate"/>
        </w:r>
        <w:r>
          <w:rPr>
            <w:noProof/>
            <w:webHidden/>
          </w:rPr>
          <w:t>1</w:t>
        </w:r>
        <w:r w:rsidR="00FD6209">
          <w:rPr>
            <w:noProof/>
            <w:webHidden/>
          </w:rPr>
          <w:fldChar w:fldCharType="end"/>
        </w:r>
      </w:hyperlink>
    </w:p>
    <w:p w:rsidR="00FD6209" w:rsidRDefault="00A7301A">
      <w:pPr>
        <w:pStyle w:val="TOC3"/>
        <w:tabs>
          <w:tab w:val="right" w:pos="8941"/>
        </w:tabs>
        <w:rPr>
          <w:rFonts w:eastAsiaTheme="minorEastAsia"/>
          <w:noProof/>
          <w:sz w:val="22"/>
          <w:szCs w:val="22"/>
          <w:lang w:eastAsia="en-AU"/>
        </w:rPr>
      </w:pPr>
      <w:hyperlink w:anchor="_Toc529869529" w:history="1">
        <w:r w:rsidR="00FD6209" w:rsidRPr="00601F1E">
          <w:rPr>
            <w:rStyle w:val="Hyperlink"/>
            <w:noProof/>
          </w:rPr>
          <w:t>The Productivity Commission report</w:t>
        </w:r>
        <w:r w:rsidR="00FD6209">
          <w:rPr>
            <w:noProof/>
            <w:webHidden/>
          </w:rPr>
          <w:tab/>
        </w:r>
        <w:r w:rsidR="00FD6209">
          <w:rPr>
            <w:noProof/>
            <w:webHidden/>
          </w:rPr>
          <w:fldChar w:fldCharType="begin"/>
        </w:r>
        <w:r w:rsidR="00FD6209">
          <w:rPr>
            <w:noProof/>
            <w:webHidden/>
          </w:rPr>
          <w:instrText xml:space="preserve"> PAGEREF _Toc529869529 \h </w:instrText>
        </w:r>
        <w:r w:rsidR="00FD6209">
          <w:rPr>
            <w:noProof/>
            <w:webHidden/>
          </w:rPr>
        </w:r>
        <w:r w:rsidR="00FD6209">
          <w:rPr>
            <w:noProof/>
            <w:webHidden/>
          </w:rPr>
          <w:fldChar w:fldCharType="separate"/>
        </w:r>
        <w:r>
          <w:rPr>
            <w:noProof/>
            <w:webHidden/>
          </w:rPr>
          <w:t>1</w:t>
        </w:r>
        <w:r w:rsidR="00FD6209">
          <w:rPr>
            <w:noProof/>
            <w:webHidden/>
          </w:rPr>
          <w:fldChar w:fldCharType="end"/>
        </w:r>
      </w:hyperlink>
    </w:p>
    <w:p w:rsidR="00FD6209" w:rsidRDefault="00A7301A">
      <w:pPr>
        <w:pStyle w:val="TOC3"/>
        <w:tabs>
          <w:tab w:val="right" w:pos="8941"/>
        </w:tabs>
        <w:rPr>
          <w:rFonts w:eastAsiaTheme="minorEastAsia"/>
          <w:noProof/>
          <w:sz w:val="22"/>
          <w:szCs w:val="22"/>
          <w:lang w:eastAsia="en-AU"/>
        </w:rPr>
      </w:pPr>
      <w:hyperlink w:anchor="_Toc529869530" w:history="1">
        <w:r w:rsidR="00FD6209" w:rsidRPr="00601F1E">
          <w:rPr>
            <w:rStyle w:val="Hyperlink"/>
            <w:noProof/>
          </w:rPr>
          <w:t>The Government’s response to the PC report</w:t>
        </w:r>
        <w:r w:rsidR="00FD6209">
          <w:rPr>
            <w:noProof/>
            <w:webHidden/>
          </w:rPr>
          <w:tab/>
        </w:r>
        <w:r w:rsidR="00FD6209">
          <w:rPr>
            <w:noProof/>
            <w:webHidden/>
          </w:rPr>
          <w:fldChar w:fldCharType="begin"/>
        </w:r>
        <w:r w:rsidR="00FD6209">
          <w:rPr>
            <w:noProof/>
            <w:webHidden/>
          </w:rPr>
          <w:instrText xml:space="preserve"> PAGEREF _Toc529869530 \h </w:instrText>
        </w:r>
        <w:r w:rsidR="00FD6209">
          <w:rPr>
            <w:noProof/>
            <w:webHidden/>
          </w:rPr>
        </w:r>
        <w:r w:rsidR="00FD6209">
          <w:rPr>
            <w:noProof/>
            <w:webHidden/>
          </w:rPr>
          <w:fldChar w:fldCharType="separate"/>
        </w:r>
        <w:r>
          <w:rPr>
            <w:noProof/>
            <w:webHidden/>
          </w:rPr>
          <w:t>2</w:t>
        </w:r>
        <w:r w:rsidR="00FD6209">
          <w:rPr>
            <w:noProof/>
            <w:webHidden/>
          </w:rPr>
          <w:fldChar w:fldCharType="end"/>
        </w:r>
      </w:hyperlink>
    </w:p>
    <w:p w:rsidR="00FD6209" w:rsidRDefault="00A7301A">
      <w:pPr>
        <w:pStyle w:val="TOC1"/>
        <w:tabs>
          <w:tab w:val="right" w:pos="8941"/>
        </w:tabs>
        <w:rPr>
          <w:rFonts w:eastAsiaTheme="minorEastAsia"/>
          <w:noProof/>
          <w:sz w:val="22"/>
          <w:szCs w:val="22"/>
          <w:lang w:eastAsia="en-AU"/>
        </w:rPr>
      </w:pPr>
      <w:hyperlink w:anchor="_Toc529869531" w:history="1">
        <w:r w:rsidR="00FD6209" w:rsidRPr="00601F1E">
          <w:rPr>
            <w:rStyle w:val="Hyperlink"/>
            <w:noProof/>
          </w:rPr>
          <w:t>Issue</w:t>
        </w:r>
        <w:r w:rsidR="00FD6209">
          <w:rPr>
            <w:noProof/>
            <w:webHidden/>
          </w:rPr>
          <w:tab/>
        </w:r>
        <w:r w:rsidR="00FD6209">
          <w:rPr>
            <w:noProof/>
            <w:webHidden/>
          </w:rPr>
          <w:fldChar w:fldCharType="begin"/>
        </w:r>
        <w:r w:rsidR="00FD6209">
          <w:rPr>
            <w:noProof/>
            <w:webHidden/>
          </w:rPr>
          <w:instrText xml:space="preserve"> PAGEREF _Toc529869531 \h </w:instrText>
        </w:r>
        <w:r w:rsidR="00FD6209">
          <w:rPr>
            <w:noProof/>
            <w:webHidden/>
          </w:rPr>
        </w:r>
        <w:r w:rsidR="00FD6209">
          <w:rPr>
            <w:noProof/>
            <w:webHidden/>
          </w:rPr>
          <w:fldChar w:fldCharType="separate"/>
        </w:r>
        <w:r>
          <w:rPr>
            <w:noProof/>
            <w:webHidden/>
          </w:rPr>
          <w:t>2</w:t>
        </w:r>
        <w:r w:rsidR="00FD6209">
          <w:rPr>
            <w:noProof/>
            <w:webHidden/>
          </w:rPr>
          <w:fldChar w:fldCharType="end"/>
        </w:r>
      </w:hyperlink>
    </w:p>
    <w:p w:rsidR="00FD6209" w:rsidRDefault="00A7301A">
      <w:pPr>
        <w:pStyle w:val="TOC1"/>
        <w:tabs>
          <w:tab w:val="right" w:pos="8941"/>
        </w:tabs>
        <w:rPr>
          <w:rFonts w:eastAsiaTheme="minorEastAsia"/>
          <w:noProof/>
          <w:sz w:val="22"/>
          <w:szCs w:val="22"/>
          <w:lang w:eastAsia="en-AU"/>
        </w:rPr>
      </w:pPr>
      <w:hyperlink w:anchor="_Toc529869532" w:history="1">
        <w:r w:rsidR="00FD6209" w:rsidRPr="00601F1E">
          <w:rPr>
            <w:rStyle w:val="Hyperlink"/>
            <w:noProof/>
          </w:rPr>
          <w:t>Options for improving policy neutrality</w:t>
        </w:r>
        <w:r w:rsidR="00FD6209">
          <w:rPr>
            <w:noProof/>
            <w:webHidden/>
          </w:rPr>
          <w:tab/>
        </w:r>
        <w:r w:rsidR="00FD6209">
          <w:rPr>
            <w:noProof/>
            <w:webHidden/>
          </w:rPr>
          <w:fldChar w:fldCharType="begin"/>
        </w:r>
        <w:r w:rsidR="00FD6209">
          <w:rPr>
            <w:noProof/>
            <w:webHidden/>
          </w:rPr>
          <w:instrText xml:space="preserve"> PAGEREF _Toc529869532 \h </w:instrText>
        </w:r>
        <w:r w:rsidR="00FD6209">
          <w:rPr>
            <w:noProof/>
            <w:webHidden/>
          </w:rPr>
        </w:r>
        <w:r w:rsidR="00FD6209">
          <w:rPr>
            <w:noProof/>
            <w:webHidden/>
          </w:rPr>
          <w:fldChar w:fldCharType="separate"/>
        </w:r>
        <w:r>
          <w:rPr>
            <w:noProof/>
            <w:webHidden/>
          </w:rPr>
          <w:t>3</w:t>
        </w:r>
        <w:r w:rsidR="00FD6209">
          <w:rPr>
            <w:noProof/>
            <w:webHidden/>
          </w:rPr>
          <w:fldChar w:fldCharType="end"/>
        </w:r>
      </w:hyperlink>
    </w:p>
    <w:p w:rsidR="00FD6209" w:rsidRDefault="00A7301A">
      <w:pPr>
        <w:pStyle w:val="TOC1"/>
        <w:tabs>
          <w:tab w:val="right" w:pos="8941"/>
        </w:tabs>
        <w:rPr>
          <w:rFonts w:eastAsiaTheme="minorEastAsia"/>
          <w:noProof/>
          <w:sz w:val="22"/>
          <w:szCs w:val="22"/>
          <w:lang w:eastAsia="en-AU"/>
        </w:rPr>
      </w:pPr>
      <w:hyperlink w:anchor="_Toc529869533" w:history="1">
        <w:r w:rsidR="00FD6209" w:rsidRPr="00601F1E">
          <w:rPr>
            <w:rStyle w:val="Hyperlink"/>
            <w:noProof/>
          </w:rPr>
          <w:t>An aggregated value of production approach</w:t>
        </w:r>
        <w:r w:rsidR="00FD6209">
          <w:rPr>
            <w:noProof/>
            <w:webHidden/>
          </w:rPr>
          <w:tab/>
        </w:r>
        <w:r w:rsidR="00FD6209">
          <w:rPr>
            <w:noProof/>
            <w:webHidden/>
          </w:rPr>
          <w:fldChar w:fldCharType="begin"/>
        </w:r>
        <w:r w:rsidR="00FD6209">
          <w:rPr>
            <w:noProof/>
            <w:webHidden/>
          </w:rPr>
          <w:instrText xml:space="preserve"> PAGEREF _Toc529869533 \h </w:instrText>
        </w:r>
        <w:r w:rsidR="00FD6209">
          <w:rPr>
            <w:noProof/>
            <w:webHidden/>
          </w:rPr>
        </w:r>
        <w:r w:rsidR="00FD6209">
          <w:rPr>
            <w:noProof/>
            <w:webHidden/>
          </w:rPr>
          <w:fldChar w:fldCharType="separate"/>
        </w:r>
        <w:r>
          <w:rPr>
            <w:noProof/>
            <w:webHidden/>
          </w:rPr>
          <w:t>4</w:t>
        </w:r>
        <w:r w:rsidR="00FD6209">
          <w:rPr>
            <w:noProof/>
            <w:webHidden/>
          </w:rPr>
          <w:fldChar w:fldCharType="end"/>
        </w:r>
      </w:hyperlink>
    </w:p>
    <w:p w:rsidR="00FD6209" w:rsidRDefault="00A7301A">
      <w:pPr>
        <w:pStyle w:val="TOC3"/>
        <w:tabs>
          <w:tab w:val="right" w:pos="8941"/>
        </w:tabs>
        <w:rPr>
          <w:rFonts w:eastAsiaTheme="minorEastAsia"/>
          <w:noProof/>
          <w:sz w:val="22"/>
          <w:szCs w:val="22"/>
          <w:lang w:eastAsia="en-AU"/>
        </w:rPr>
      </w:pPr>
      <w:hyperlink w:anchor="_Toc529869534" w:history="1">
        <w:r w:rsidR="00FD6209" w:rsidRPr="00601F1E">
          <w:rPr>
            <w:rStyle w:val="Hyperlink"/>
            <w:noProof/>
          </w:rPr>
          <w:t>Option 1 — full aggregation</w:t>
        </w:r>
        <w:r w:rsidR="00FD6209">
          <w:rPr>
            <w:noProof/>
            <w:webHidden/>
          </w:rPr>
          <w:tab/>
        </w:r>
        <w:r w:rsidR="00FD6209">
          <w:rPr>
            <w:noProof/>
            <w:webHidden/>
          </w:rPr>
          <w:fldChar w:fldCharType="begin"/>
        </w:r>
        <w:r w:rsidR="00FD6209">
          <w:rPr>
            <w:noProof/>
            <w:webHidden/>
          </w:rPr>
          <w:instrText xml:space="preserve"> PAGEREF _Toc529869534 \h </w:instrText>
        </w:r>
        <w:r w:rsidR="00FD6209">
          <w:rPr>
            <w:noProof/>
            <w:webHidden/>
          </w:rPr>
        </w:r>
        <w:r w:rsidR="00FD6209">
          <w:rPr>
            <w:noProof/>
            <w:webHidden/>
          </w:rPr>
          <w:fldChar w:fldCharType="separate"/>
        </w:r>
        <w:r>
          <w:rPr>
            <w:noProof/>
            <w:webHidden/>
          </w:rPr>
          <w:t>4</w:t>
        </w:r>
        <w:r w:rsidR="00FD6209">
          <w:rPr>
            <w:noProof/>
            <w:webHidden/>
          </w:rPr>
          <w:fldChar w:fldCharType="end"/>
        </w:r>
      </w:hyperlink>
    </w:p>
    <w:p w:rsidR="00FD6209" w:rsidRDefault="00A7301A">
      <w:pPr>
        <w:pStyle w:val="TOC3"/>
        <w:tabs>
          <w:tab w:val="right" w:pos="8941"/>
        </w:tabs>
        <w:rPr>
          <w:rFonts w:eastAsiaTheme="minorEastAsia"/>
          <w:noProof/>
          <w:sz w:val="22"/>
          <w:szCs w:val="22"/>
          <w:lang w:eastAsia="en-AU"/>
        </w:rPr>
      </w:pPr>
      <w:hyperlink w:anchor="_Toc529869535" w:history="1">
        <w:r w:rsidR="00FD6209" w:rsidRPr="00601F1E">
          <w:rPr>
            <w:rStyle w:val="Hyperlink"/>
            <w:noProof/>
          </w:rPr>
          <w:t>Option 2 — two mineral groups</w:t>
        </w:r>
        <w:r w:rsidR="00FD6209">
          <w:rPr>
            <w:noProof/>
            <w:webHidden/>
          </w:rPr>
          <w:tab/>
        </w:r>
        <w:r w:rsidR="00FD6209">
          <w:rPr>
            <w:noProof/>
            <w:webHidden/>
          </w:rPr>
          <w:fldChar w:fldCharType="begin"/>
        </w:r>
        <w:r w:rsidR="00FD6209">
          <w:rPr>
            <w:noProof/>
            <w:webHidden/>
          </w:rPr>
          <w:instrText xml:space="preserve"> PAGEREF _Toc529869535 \h </w:instrText>
        </w:r>
        <w:r w:rsidR="00FD6209">
          <w:rPr>
            <w:noProof/>
            <w:webHidden/>
          </w:rPr>
        </w:r>
        <w:r w:rsidR="00FD6209">
          <w:rPr>
            <w:noProof/>
            <w:webHidden/>
          </w:rPr>
          <w:fldChar w:fldCharType="separate"/>
        </w:r>
        <w:r>
          <w:rPr>
            <w:noProof/>
            <w:webHidden/>
          </w:rPr>
          <w:t>7</w:t>
        </w:r>
        <w:r w:rsidR="00FD6209">
          <w:rPr>
            <w:noProof/>
            <w:webHidden/>
          </w:rPr>
          <w:fldChar w:fldCharType="end"/>
        </w:r>
      </w:hyperlink>
    </w:p>
    <w:p w:rsidR="00FD6209" w:rsidRDefault="00A7301A">
      <w:pPr>
        <w:pStyle w:val="TOC3"/>
        <w:tabs>
          <w:tab w:val="right" w:pos="8941"/>
        </w:tabs>
        <w:rPr>
          <w:rFonts w:eastAsiaTheme="minorEastAsia"/>
          <w:noProof/>
          <w:sz w:val="22"/>
          <w:szCs w:val="22"/>
          <w:lang w:eastAsia="en-AU"/>
        </w:rPr>
      </w:pPr>
      <w:hyperlink w:anchor="_Toc529869536" w:history="1">
        <w:r w:rsidR="00FD6209" w:rsidRPr="00601F1E">
          <w:rPr>
            <w:rStyle w:val="Hyperlink"/>
            <w:noProof/>
          </w:rPr>
          <w:t>The proposed policy neutrality adjustments</w:t>
        </w:r>
        <w:r w:rsidR="00FD6209">
          <w:rPr>
            <w:noProof/>
            <w:webHidden/>
          </w:rPr>
          <w:tab/>
        </w:r>
        <w:r w:rsidR="00FD6209">
          <w:rPr>
            <w:noProof/>
            <w:webHidden/>
          </w:rPr>
          <w:fldChar w:fldCharType="begin"/>
        </w:r>
        <w:r w:rsidR="00FD6209">
          <w:rPr>
            <w:noProof/>
            <w:webHidden/>
          </w:rPr>
          <w:instrText xml:space="preserve"> PAGEREF _Toc529869536 \h </w:instrText>
        </w:r>
        <w:r w:rsidR="00FD6209">
          <w:rPr>
            <w:noProof/>
            <w:webHidden/>
          </w:rPr>
        </w:r>
        <w:r w:rsidR="00FD6209">
          <w:rPr>
            <w:noProof/>
            <w:webHidden/>
          </w:rPr>
          <w:fldChar w:fldCharType="separate"/>
        </w:r>
        <w:r>
          <w:rPr>
            <w:noProof/>
            <w:webHidden/>
          </w:rPr>
          <w:t>8</w:t>
        </w:r>
        <w:r w:rsidR="00FD6209">
          <w:rPr>
            <w:noProof/>
            <w:webHidden/>
          </w:rPr>
          <w:fldChar w:fldCharType="end"/>
        </w:r>
      </w:hyperlink>
    </w:p>
    <w:p w:rsidR="00FD6209" w:rsidRDefault="00A7301A">
      <w:pPr>
        <w:pStyle w:val="TOC1"/>
        <w:tabs>
          <w:tab w:val="right" w:pos="8941"/>
        </w:tabs>
        <w:rPr>
          <w:rFonts w:eastAsiaTheme="minorEastAsia"/>
          <w:noProof/>
          <w:sz w:val="22"/>
          <w:szCs w:val="22"/>
          <w:lang w:eastAsia="en-AU"/>
        </w:rPr>
      </w:pPr>
      <w:hyperlink w:anchor="_Toc529869537" w:history="1">
        <w:r w:rsidR="00FD6209" w:rsidRPr="00601F1E">
          <w:rPr>
            <w:rStyle w:val="Hyperlink"/>
            <w:noProof/>
          </w:rPr>
          <w:t>Conclusions</w:t>
        </w:r>
        <w:r w:rsidR="00FD6209">
          <w:rPr>
            <w:noProof/>
            <w:webHidden/>
          </w:rPr>
          <w:tab/>
        </w:r>
        <w:r w:rsidR="00FD6209">
          <w:rPr>
            <w:noProof/>
            <w:webHidden/>
          </w:rPr>
          <w:fldChar w:fldCharType="begin"/>
        </w:r>
        <w:r w:rsidR="00FD6209">
          <w:rPr>
            <w:noProof/>
            <w:webHidden/>
          </w:rPr>
          <w:instrText xml:space="preserve"> PAGEREF _Toc529869537 \h </w:instrText>
        </w:r>
        <w:r w:rsidR="00FD6209">
          <w:rPr>
            <w:noProof/>
            <w:webHidden/>
          </w:rPr>
        </w:r>
        <w:r w:rsidR="00FD6209">
          <w:rPr>
            <w:noProof/>
            <w:webHidden/>
          </w:rPr>
          <w:fldChar w:fldCharType="separate"/>
        </w:r>
        <w:r>
          <w:rPr>
            <w:noProof/>
            <w:webHidden/>
          </w:rPr>
          <w:t>8</w:t>
        </w:r>
        <w:r w:rsidR="00FD6209">
          <w:rPr>
            <w:noProof/>
            <w:webHidden/>
          </w:rPr>
          <w:fldChar w:fldCharType="end"/>
        </w:r>
      </w:hyperlink>
    </w:p>
    <w:p w:rsidR="00FD6209" w:rsidRDefault="00A7301A">
      <w:pPr>
        <w:pStyle w:val="TOC1"/>
        <w:tabs>
          <w:tab w:val="right" w:pos="8941"/>
        </w:tabs>
        <w:rPr>
          <w:rFonts w:eastAsiaTheme="minorEastAsia"/>
          <w:noProof/>
          <w:sz w:val="22"/>
          <w:szCs w:val="22"/>
          <w:lang w:eastAsia="en-AU"/>
        </w:rPr>
      </w:pPr>
      <w:hyperlink w:anchor="_Toc529869538" w:history="1">
        <w:r w:rsidR="00FD6209" w:rsidRPr="00601F1E">
          <w:rPr>
            <w:rStyle w:val="Hyperlink"/>
            <w:noProof/>
          </w:rPr>
          <w:t>Seeking State views</w:t>
        </w:r>
        <w:r w:rsidR="00FD6209">
          <w:rPr>
            <w:noProof/>
            <w:webHidden/>
          </w:rPr>
          <w:tab/>
        </w:r>
        <w:r w:rsidR="00FD6209">
          <w:rPr>
            <w:noProof/>
            <w:webHidden/>
          </w:rPr>
          <w:fldChar w:fldCharType="begin"/>
        </w:r>
        <w:r w:rsidR="00FD6209">
          <w:rPr>
            <w:noProof/>
            <w:webHidden/>
          </w:rPr>
          <w:instrText xml:space="preserve"> PAGEREF _Toc529869538 \h </w:instrText>
        </w:r>
        <w:r w:rsidR="00FD6209">
          <w:rPr>
            <w:noProof/>
            <w:webHidden/>
          </w:rPr>
        </w:r>
        <w:r w:rsidR="00FD6209">
          <w:rPr>
            <w:noProof/>
            <w:webHidden/>
          </w:rPr>
          <w:fldChar w:fldCharType="separate"/>
        </w:r>
        <w:r>
          <w:rPr>
            <w:noProof/>
            <w:webHidden/>
          </w:rPr>
          <w:t>9</w:t>
        </w:r>
        <w:r w:rsidR="00FD6209">
          <w:rPr>
            <w:noProof/>
            <w:webHidden/>
          </w:rPr>
          <w:fldChar w:fldCharType="end"/>
        </w:r>
      </w:hyperlink>
    </w:p>
    <w:p w:rsidR="00BE794D" w:rsidRPr="00970E6D" w:rsidRDefault="00A105E0" w:rsidP="00BE794D">
      <w:pPr>
        <w:tabs>
          <w:tab w:val="clear" w:pos="567"/>
        </w:tabs>
      </w:pPr>
      <w:r>
        <w:fldChar w:fldCharType="end"/>
      </w:r>
    </w:p>
    <w:p w:rsidR="00BE794D" w:rsidRPr="00970E6D" w:rsidRDefault="00BE794D" w:rsidP="00BE794D">
      <w:pPr>
        <w:tabs>
          <w:tab w:val="clear" w:pos="567"/>
        </w:tabs>
      </w:pPr>
    </w:p>
    <w:p w:rsidR="00BE794D" w:rsidRPr="00970E6D" w:rsidRDefault="00BE794D" w:rsidP="00BE794D">
      <w:pPr>
        <w:tabs>
          <w:tab w:val="clear" w:pos="567"/>
        </w:tabs>
        <w:sectPr w:rsidR="00BE794D" w:rsidRPr="00970E6D" w:rsidSect="001010FD">
          <w:headerReference w:type="first" r:id="rId17"/>
          <w:footerReference w:type="first" r:id="rId18"/>
          <w:pgSz w:w="11899" w:h="16838" w:code="9"/>
          <w:pgMar w:top="1701" w:right="1474" w:bottom="1701" w:left="1474" w:header="709" w:footer="709" w:gutter="0"/>
          <w:pgNumType w:fmt="lowerRoman" w:start="1"/>
          <w:cols w:space="708"/>
          <w:titlePg/>
          <w:docGrid w:linePitch="299"/>
        </w:sectPr>
      </w:pPr>
    </w:p>
    <w:p w:rsidR="00BE794D" w:rsidRPr="00970E6D" w:rsidRDefault="00BE794D" w:rsidP="00BE794D">
      <w:pPr>
        <w:pStyle w:val="Heading3"/>
      </w:pPr>
      <w:bookmarkStart w:id="7" w:name="_Toc106707725"/>
      <w:bookmarkStart w:id="8" w:name="_Toc155675935"/>
      <w:bookmarkStart w:id="9" w:name="_Toc174415770"/>
      <w:bookmarkStart w:id="10" w:name="_Toc174415844"/>
      <w:bookmarkStart w:id="11" w:name="_Toc174415935"/>
      <w:bookmarkStart w:id="12" w:name="_Toc174416620"/>
      <w:bookmarkStart w:id="13" w:name="_Toc174416662"/>
      <w:bookmarkStart w:id="14" w:name="_Toc174416675"/>
      <w:bookmarkStart w:id="15" w:name="_Toc529869527"/>
      <w:r w:rsidRPr="00970E6D">
        <w:lastRenderedPageBreak/>
        <w:t>B</w:t>
      </w:r>
      <w:bookmarkEnd w:id="7"/>
      <w:bookmarkEnd w:id="8"/>
      <w:bookmarkEnd w:id="9"/>
      <w:bookmarkEnd w:id="10"/>
      <w:bookmarkEnd w:id="11"/>
      <w:bookmarkEnd w:id="12"/>
      <w:bookmarkEnd w:id="13"/>
      <w:bookmarkEnd w:id="14"/>
      <w:r w:rsidR="007E6A9E">
        <w:t>ackground</w:t>
      </w:r>
      <w:bookmarkEnd w:id="15"/>
    </w:p>
    <w:p w:rsidR="00BE794D" w:rsidRDefault="00AA7224" w:rsidP="00AA7224">
      <w:pPr>
        <w:pStyle w:val="Heading4"/>
      </w:pPr>
      <w:bookmarkStart w:id="16" w:name="_Toc155675723"/>
      <w:bookmarkStart w:id="17" w:name="_Toc529869528"/>
      <w:bookmarkEnd w:id="16"/>
      <w:r>
        <w:t>The proposed Mining revenue assessment</w:t>
      </w:r>
      <w:bookmarkEnd w:id="17"/>
    </w:p>
    <w:p w:rsidR="00AA7224" w:rsidRDefault="00AA7224" w:rsidP="00BE794D">
      <w:pPr>
        <w:pStyle w:val="CGCNumberedPara"/>
      </w:pPr>
      <w:r>
        <w:t xml:space="preserve">In April 2018, the Commission released a Draft </w:t>
      </w:r>
      <w:r w:rsidR="00510D7B">
        <w:t>A</w:t>
      </w:r>
      <w:r>
        <w:t xml:space="preserve">ssessment </w:t>
      </w:r>
      <w:r w:rsidR="00510D7B">
        <w:t>P</w:t>
      </w:r>
      <w:r>
        <w:t>aper (DAP) on Mining revenue. In the DAP, Commission staff proposed retaining the 2015 Review assessment approach, but introducing two adjustments to improve its policy neutrality.</w:t>
      </w:r>
      <w:r>
        <w:rPr>
          <w:rStyle w:val="FootnoteReference"/>
        </w:rPr>
        <w:footnoteReference w:id="1"/>
      </w:r>
    </w:p>
    <w:p w:rsidR="00AA7224" w:rsidRDefault="00AA7224" w:rsidP="00AA7224">
      <w:pPr>
        <w:pStyle w:val="CGCNumberedPara"/>
        <w:tabs>
          <w:tab w:val="clear" w:pos="567"/>
        </w:tabs>
      </w:pPr>
      <w:r>
        <w:t xml:space="preserve">Under this approach, mining capacity would be assessed using a mineral by mineral approach — with separate assessments of iron ore, coal, gold, onshore oil and gas, copper, bauxite, nickel and all remaining minerals. </w:t>
      </w:r>
      <w:r w:rsidR="005F34A6">
        <w:t>The capacity measure would be v</w:t>
      </w:r>
      <w:r>
        <w:t>alue of production. Grants in lieu of royalties would continue to be assessed on an actual per capita basis.</w:t>
      </w:r>
    </w:p>
    <w:p w:rsidR="00AA7224" w:rsidRDefault="00AA7224" w:rsidP="00AA7224">
      <w:pPr>
        <w:pStyle w:val="CGCNumberedPara"/>
        <w:tabs>
          <w:tab w:val="clear" w:pos="567"/>
        </w:tabs>
      </w:pPr>
      <w:r>
        <w:t xml:space="preserve">The first of the two policy neutrality adjustments addressed </w:t>
      </w:r>
      <w:r w:rsidRPr="0048016B">
        <w:rPr>
          <w:b/>
        </w:rPr>
        <w:t>the dominant State problem</w:t>
      </w:r>
      <w:r>
        <w:t xml:space="preserve">. When a mineral base is concentrated in one or two States (such as iron ore in Western Australia), the policies of those States have a dominant role in determining the average policy. In these situations, an individual State’s policy could become the average policy and </w:t>
      </w:r>
      <w:r w:rsidR="0070426D">
        <w:t>its</w:t>
      </w:r>
      <w:r>
        <w:t xml:space="preserve"> own choices </w:t>
      </w:r>
      <w:r w:rsidR="0070426D">
        <w:t>c</w:t>
      </w:r>
      <w:r>
        <w:t>ould directly influence the GST it receive</w:t>
      </w:r>
      <w:r w:rsidR="0070426D">
        <w:t>s — implying the mining assessment was not sufficiently policy neutral</w:t>
      </w:r>
      <w:r>
        <w:t>. Commission staff prop</w:t>
      </w:r>
      <w:r w:rsidR="0070426D">
        <w:t>osed an adjustment where</w:t>
      </w:r>
      <w:r w:rsidR="00510D7B">
        <w:t>by</w:t>
      </w:r>
      <w:r w:rsidR="0070426D">
        <w:t xml:space="preserve"> 50% of </w:t>
      </w:r>
      <w:r>
        <w:t xml:space="preserve">revenue from </w:t>
      </w:r>
      <w:r w:rsidR="0070426D">
        <w:t xml:space="preserve">a dominant State’s </w:t>
      </w:r>
      <w:r>
        <w:t>discretionary rate change would be assessed equal per capita (</w:t>
      </w:r>
      <w:proofErr w:type="spellStart"/>
      <w:r>
        <w:t>EPC</w:t>
      </w:r>
      <w:proofErr w:type="spellEnd"/>
      <w:r>
        <w:t>).</w:t>
      </w:r>
    </w:p>
    <w:p w:rsidR="00AA7224" w:rsidRDefault="00AA7224" w:rsidP="00AA7224">
      <w:pPr>
        <w:pStyle w:val="CGCNumberedPara"/>
        <w:tabs>
          <w:tab w:val="clear" w:pos="567"/>
        </w:tabs>
      </w:pPr>
      <w:r>
        <w:t xml:space="preserve">The second adjustment addressed </w:t>
      </w:r>
      <w:r w:rsidRPr="0048016B">
        <w:rPr>
          <w:b/>
        </w:rPr>
        <w:t>the banned mineral problem</w:t>
      </w:r>
      <w:r>
        <w:t>. For some minerals the distribution of the revenue base is unclear, such as when some States ban or discourage mineral extraction. Commission staff proposed an adjustment where</w:t>
      </w:r>
      <w:r w:rsidR="00510D7B">
        <w:t>by</w:t>
      </w:r>
      <w:r>
        <w:t xml:space="preserve"> all revenue from banned minerals would be assessed </w:t>
      </w:r>
      <w:proofErr w:type="spellStart"/>
      <w:r>
        <w:t>EPC</w:t>
      </w:r>
      <w:proofErr w:type="spellEnd"/>
      <w:r>
        <w:t>.</w:t>
      </w:r>
    </w:p>
    <w:p w:rsidR="00AA7224" w:rsidRDefault="00AA7224" w:rsidP="00AA7224">
      <w:pPr>
        <w:pStyle w:val="CGCNumberedPara"/>
        <w:tabs>
          <w:tab w:val="clear" w:pos="567"/>
        </w:tabs>
      </w:pPr>
      <w:r>
        <w:t xml:space="preserve">The first adjustment received little support from States in their responses to the DAP. Most said it was inconsistent with HFE and a departure from full equalisation. While the second adjustment received more support, Western Australia queried the selectivity of adjusting for mining bans but </w:t>
      </w:r>
      <w:proofErr w:type="spellStart"/>
      <w:r>
        <w:t>not</w:t>
      </w:r>
      <w:proofErr w:type="spellEnd"/>
      <w:r>
        <w:t xml:space="preserve"> other State policies.</w:t>
      </w:r>
    </w:p>
    <w:p w:rsidR="00AA7224" w:rsidRDefault="00AA7224" w:rsidP="00AA7224">
      <w:pPr>
        <w:pStyle w:val="Heading4"/>
      </w:pPr>
      <w:bookmarkStart w:id="18" w:name="_Toc529869529"/>
      <w:r>
        <w:t>The Productivity Commission report</w:t>
      </w:r>
      <w:bookmarkEnd w:id="18"/>
    </w:p>
    <w:p w:rsidR="00AA7224" w:rsidRPr="00AA7224" w:rsidRDefault="00AA7224" w:rsidP="00BE794D">
      <w:pPr>
        <w:pStyle w:val="CGCNumberedPara"/>
      </w:pPr>
      <w:r>
        <w:t>The Government released the Productivity Commission’s (PC’s) final report on Horizontal Fiscal Equalisation on 5 July 2018.</w:t>
      </w:r>
      <w:r>
        <w:rPr>
          <w:rStyle w:val="FootnoteReference"/>
        </w:rPr>
        <w:footnoteReference w:id="2"/>
      </w:r>
      <w:r>
        <w:t xml:space="preserve"> </w:t>
      </w:r>
      <w:r w:rsidRPr="00037A7A">
        <w:rPr>
          <w:bCs/>
        </w:rPr>
        <w:t xml:space="preserve">The PC criticised the </w:t>
      </w:r>
      <w:r>
        <w:rPr>
          <w:bCs/>
        </w:rPr>
        <w:t>proposed</w:t>
      </w:r>
      <w:r w:rsidRPr="00037A7A">
        <w:rPr>
          <w:bCs/>
        </w:rPr>
        <w:t xml:space="preserve"> </w:t>
      </w:r>
      <w:r>
        <w:rPr>
          <w:bCs/>
        </w:rPr>
        <w:t>mining assessment for:</w:t>
      </w:r>
    </w:p>
    <w:p w:rsidR="00AA7224" w:rsidRDefault="00AA7224" w:rsidP="00AA7224">
      <w:pPr>
        <w:pStyle w:val="CGCBulletlist"/>
      </w:pPr>
      <w:r>
        <w:lastRenderedPageBreak/>
        <w:t>not being policy neutral</w:t>
      </w:r>
    </w:p>
    <w:p w:rsidR="00F51282" w:rsidRPr="00970E6D" w:rsidRDefault="00AA7224" w:rsidP="00AA7224">
      <w:pPr>
        <w:pStyle w:val="CGCBulletlist"/>
      </w:pPr>
      <w:proofErr w:type="gramStart"/>
      <w:r>
        <w:t>creating</w:t>
      </w:r>
      <w:proofErr w:type="gramEnd"/>
      <w:r>
        <w:t xml:space="preserve"> adverse incentive effects.</w:t>
      </w:r>
    </w:p>
    <w:p w:rsidR="00BE794D" w:rsidRDefault="00AA7224" w:rsidP="00BE794D">
      <w:pPr>
        <w:pStyle w:val="CGCNumberedPara"/>
      </w:pPr>
      <w:r>
        <w:rPr>
          <w:bCs/>
        </w:rPr>
        <w:t>The PC’s</w:t>
      </w:r>
      <w:r w:rsidRPr="00037A7A">
        <w:rPr>
          <w:bCs/>
        </w:rPr>
        <w:t xml:space="preserve"> policy neutrality concern</w:t>
      </w:r>
      <w:r>
        <w:rPr>
          <w:bCs/>
        </w:rPr>
        <w:t xml:space="preserve"> was the dominant State problem</w:t>
      </w:r>
      <w:r w:rsidRPr="00037A7A">
        <w:rPr>
          <w:bCs/>
        </w:rPr>
        <w:t xml:space="preserve"> identified by the Commission. </w:t>
      </w:r>
      <w:r>
        <w:rPr>
          <w:bCs/>
        </w:rPr>
        <w:t xml:space="preserve">The PC concluded aggregation could improve the assessment’s </w:t>
      </w:r>
      <w:r>
        <w:t>policy neutrality. It suggested two policy neutral capacity measures:</w:t>
      </w:r>
    </w:p>
    <w:p w:rsidR="00AA7224" w:rsidRDefault="00AA7224" w:rsidP="00AA7224">
      <w:pPr>
        <w:pStyle w:val="CGCBulletlist"/>
      </w:pPr>
      <w:r>
        <w:t>aggregate mining profits</w:t>
      </w:r>
    </w:p>
    <w:p w:rsidR="00AA7224" w:rsidRDefault="00AA7224" w:rsidP="00AA7224">
      <w:pPr>
        <w:pStyle w:val="CGCBulletlist"/>
      </w:pPr>
      <w:proofErr w:type="gramStart"/>
      <w:r>
        <w:t>aggregate</w:t>
      </w:r>
      <w:proofErr w:type="gramEnd"/>
      <w:r>
        <w:t xml:space="preserve"> value of production.</w:t>
      </w:r>
    </w:p>
    <w:p w:rsidR="00AA7224" w:rsidRDefault="00AA7224" w:rsidP="00BE794D">
      <w:pPr>
        <w:pStyle w:val="CGCNumberedPara"/>
      </w:pPr>
      <w:r>
        <w:t>The PC also criticised the proposed mineral by mineral approach for creating the conditions for adverse incentive effects to arise. States that increased mineral production or royalty rates could lose much of the additional revenue to equalisation — such that they retained as little as their population share of any increase in revenue or bore as little as their population share of any decrease. The PC concluded aggregation could reduce these adverse incentives.</w:t>
      </w:r>
    </w:p>
    <w:p w:rsidR="00AA7224" w:rsidRDefault="00AA7224" w:rsidP="00AA7224">
      <w:pPr>
        <w:pStyle w:val="Heading4"/>
      </w:pPr>
      <w:bookmarkStart w:id="19" w:name="_Toc529869530"/>
      <w:r>
        <w:t>The Government’s response to the PC report</w:t>
      </w:r>
      <w:bookmarkEnd w:id="19"/>
    </w:p>
    <w:p w:rsidR="00AA7224" w:rsidRDefault="00AA7224" w:rsidP="00BE794D">
      <w:pPr>
        <w:pStyle w:val="CGCNumberedPara"/>
      </w:pPr>
      <w:r>
        <w:t xml:space="preserve">Following the PC’s report, the Government signalled its intention to transition from a system of full equalisation to a system of reasonable equalisation. Under </w:t>
      </w:r>
      <w:r w:rsidR="00F30E31">
        <w:t>reasonable equalisation</w:t>
      </w:r>
      <w:r>
        <w:t xml:space="preserve">, each State </w:t>
      </w:r>
      <w:r w:rsidR="005F34A6">
        <w:t>will</w:t>
      </w:r>
      <w:r>
        <w:t xml:space="preserve"> be equalised to the </w:t>
      </w:r>
      <w:r w:rsidR="00F30E31">
        <w:t xml:space="preserve">fiscal capacity of the </w:t>
      </w:r>
      <w:r>
        <w:t>stronger of New South Wales or Victoria.</w:t>
      </w:r>
    </w:p>
    <w:p w:rsidR="00AA7224" w:rsidRDefault="00AA7224" w:rsidP="00BE794D">
      <w:pPr>
        <w:pStyle w:val="CGCNumberedPara"/>
      </w:pPr>
      <w:r>
        <w:t xml:space="preserve">In order to ascertain the fiscally stronger of these two States, the Commission will </w:t>
      </w:r>
      <w:r w:rsidR="004574EA">
        <w:t xml:space="preserve">need to </w:t>
      </w:r>
      <w:r>
        <w:t xml:space="preserve">continue to determine </w:t>
      </w:r>
      <w:r w:rsidR="004574EA">
        <w:t>States’</w:t>
      </w:r>
      <w:r>
        <w:t xml:space="preserve"> relative fiscal capacities. Indeed, the no worse off provisions of the legislation requires the Commission to produce relativities as if the </w:t>
      </w:r>
      <w:r w:rsidRPr="004A5A24">
        <w:rPr>
          <w:i/>
        </w:rPr>
        <w:t xml:space="preserve">Treasury Laws Amendment (Making Sure Every State and Territory Gets Their Fair Share of GST) </w:t>
      </w:r>
      <w:r w:rsidR="00006AD1">
        <w:rPr>
          <w:i/>
        </w:rPr>
        <w:t>Act</w:t>
      </w:r>
      <w:r w:rsidRPr="004A5A24">
        <w:rPr>
          <w:i/>
        </w:rPr>
        <w:t xml:space="preserve"> 2018</w:t>
      </w:r>
      <w:r>
        <w:t xml:space="preserve"> had not been enacted. Th</w:t>
      </w:r>
      <w:r w:rsidR="005F34A6">
        <w:t>e no worse off provision</w:t>
      </w:r>
      <w:r w:rsidR="004574EA">
        <w:t xml:space="preserve">s </w:t>
      </w:r>
      <w:r w:rsidR="005F34A6">
        <w:t>require</w:t>
      </w:r>
      <w:r w:rsidR="004574EA">
        <w:t xml:space="preserve"> </w:t>
      </w:r>
      <w:r>
        <w:t xml:space="preserve">the Commission to produce relativities on a full equalisation basis. To </w:t>
      </w:r>
      <w:r w:rsidR="008D4366">
        <w:t>support</w:t>
      </w:r>
      <w:r>
        <w:t xml:space="preserve"> this, </w:t>
      </w:r>
      <w:r w:rsidR="004574EA">
        <w:t>its</w:t>
      </w:r>
      <w:r>
        <w:t xml:space="preserve"> </w:t>
      </w:r>
      <w:r w:rsidR="00F30E31">
        <w:t xml:space="preserve">assessment </w:t>
      </w:r>
      <w:r>
        <w:t xml:space="preserve">methods must continue to </w:t>
      </w:r>
      <w:r w:rsidR="00F30E31">
        <w:t>capture</w:t>
      </w:r>
      <w:r>
        <w:t xml:space="preserve"> States’ relative fiscal capacities.</w:t>
      </w:r>
    </w:p>
    <w:p w:rsidR="00AA7224" w:rsidRDefault="004574EA" w:rsidP="00BE794D">
      <w:pPr>
        <w:pStyle w:val="CGCNumberedPara"/>
      </w:pPr>
      <w:r>
        <w:t>W</w:t>
      </w:r>
      <w:r w:rsidR="00AA7224">
        <w:t xml:space="preserve">hile the Commission is sensitive to improving the policy neutrality of </w:t>
      </w:r>
      <w:r>
        <w:t>the</w:t>
      </w:r>
      <w:r w:rsidR="00AA7224">
        <w:t xml:space="preserve"> mining assessment, any change cannot be to the detriment of capturing States’ relative fiscal capacities.</w:t>
      </w:r>
      <w:r>
        <w:t xml:space="preserve"> </w:t>
      </w:r>
      <w:r w:rsidR="0070426D">
        <w:t>Under full equalisation, t</w:t>
      </w:r>
      <w:r>
        <w:t xml:space="preserve">he mining assessment </w:t>
      </w:r>
      <w:r w:rsidR="0070426D">
        <w:t>needs to capture</w:t>
      </w:r>
      <w:r>
        <w:t xml:space="preserve"> </w:t>
      </w:r>
      <w:r w:rsidR="0070426D">
        <w:t xml:space="preserve">the </w:t>
      </w:r>
      <w:r>
        <w:t xml:space="preserve">differences in revenue capacities </w:t>
      </w:r>
      <w:r w:rsidR="008D4366">
        <w:t>arising</w:t>
      </w:r>
      <w:r>
        <w:t xml:space="preserve"> from the uneven distribution of minerals.</w:t>
      </w:r>
    </w:p>
    <w:p w:rsidR="00AA7224" w:rsidRPr="00970E6D" w:rsidRDefault="00AA7224" w:rsidP="00AA7224">
      <w:pPr>
        <w:pStyle w:val="Heading3"/>
      </w:pPr>
      <w:bookmarkStart w:id="20" w:name="_Toc106707726"/>
      <w:bookmarkStart w:id="21" w:name="_Toc155675936"/>
      <w:bookmarkStart w:id="22" w:name="_Toc174415771"/>
      <w:bookmarkStart w:id="23" w:name="_Toc174415845"/>
      <w:bookmarkStart w:id="24" w:name="_Toc174415936"/>
      <w:bookmarkStart w:id="25" w:name="_Toc174416621"/>
      <w:bookmarkStart w:id="26" w:name="_Toc174416663"/>
      <w:bookmarkStart w:id="27" w:name="_Toc174416676"/>
      <w:bookmarkStart w:id="28" w:name="_Toc529869531"/>
      <w:r w:rsidRPr="00970E6D">
        <w:t>I</w:t>
      </w:r>
      <w:bookmarkEnd w:id="20"/>
      <w:bookmarkEnd w:id="21"/>
      <w:bookmarkEnd w:id="22"/>
      <w:bookmarkEnd w:id="23"/>
      <w:bookmarkEnd w:id="24"/>
      <w:bookmarkEnd w:id="25"/>
      <w:bookmarkEnd w:id="26"/>
      <w:bookmarkEnd w:id="27"/>
      <w:r>
        <w:t>ssue</w:t>
      </w:r>
      <w:bookmarkEnd w:id="28"/>
    </w:p>
    <w:p w:rsidR="000C2408" w:rsidRDefault="00AA7224" w:rsidP="00BE794D">
      <w:pPr>
        <w:pStyle w:val="CGCNumberedPara"/>
      </w:pPr>
      <w:r>
        <w:t>The volatile nature of mining</w:t>
      </w:r>
      <w:r w:rsidR="001010FD">
        <w:rPr>
          <w:rStyle w:val="FootnoteReference"/>
        </w:rPr>
        <w:footnoteReference w:id="3"/>
      </w:r>
      <w:r>
        <w:t xml:space="preserve"> and the </w:t>
      </w:r>
      <w:r w:rsidR="004574EA">
        <w:t>uneven</w:t>
      </w:r>
      <w:r>
        <w:t xml:space="preserve"> distribution of minerals means developing a methodology that appropriately captures States’</w:t>
      </w:r>
      <w:r w:rsidR="004574EA">
        <w:t xml:space="preserve"> relative </w:t>
      </w:r>
      <w:r>
        <w:t xml:space="preserve">fiscal </w:t>
      </w:r>
      <w:r>
        <w:lastRenderedPageBreak/>
        <w:t>capacities has posed greater challenges for past and present Commissions than other area</w:t>
      </w:r>
      <w:r w:rsidR="004574EA">
        <w:t>s</w:t>
      </w:r>
      <w:r>
        <w:t xml:space="preserve"> of State revenue.</w:t>
      </w:r>
      <w:r>
        <w:rPr>
          <w:rStyle w:val="FootnoteReference"/>
        </w:rPr>
        <w:footnoteReference w:id="4"/>
      </w:r>
    </w:p>
    <w:p w:rsidR="00AA7224" w:rsidRPr="00AA7224" w:rsidRDefault="00430468" w:rsidP="00AA7224">
      <w:pPr>
        <w:pStyle w:val="CGCNumberedPara"/>
        <w:tabs>
          <w:tab w:val="clear" w:pos="567"/>
        </w:tabs>
      </w:pPr>
      <w:r>
        <w:rPr>
          <w:bCs/>
        </w:rPr>
        <w:t>I</w:t>
      </w:r>
      <w:r w:rsidR="00AA7224" w:rsidRPr="001D61FB">
        <w:rPr>
          <w:bCs/>
        </w:rPr>
        <w:t>n the light of the PC’s criticisms</w:t>
      </w:r>
      <w:r w:rsidR="001010FD">
        <w:rPr>
          <w:bCs/>
        </w:rPr>
        <w:t>,</w:t>
      </w:r>
      <w:r w:rsidR="00AA7224">
        <w:rPr>
          <w:bCs/>
        </w:rPr>
        <w:t xml:space="preserve"> and the Government’s subsequent response,</w:t>
      </w:r>
      <w:r w:rsidR="00AA7224">
        <w:t xml:space="preserve"> </w:t>
      </w:r>
      <w:r w:rsidR="00AA7224">
        <w:rPr>
          <w:bCs/>
        </w:rPr>
        <w:t>Commission staff are considering options for improving the policy neutrality of the mining assessment. We are seeking States views on whether the Commission should move away from its mineral by mineral approach and, if so, how it should assess mining capacity in the 2020 Review.</w:t>
      </w:r>
    </w:p>
    <w:p w:rsidR="00AA7224" w:rsidRPr="00970E6D" w:rsidRDefault="00AA7224" w:rsidP="00AA7224">
      <w:pPr>
        <w:pStyle w:val="CGCNumberedPara"/>
        <w:tabs>
          <w:tab w:val="clear" w:pos="567"/>
        </w:tabs>
      </w:pPr>
      <w:r>
        <w:rPr>
          <w:bCs/>
        </w:rPr>
        <w:t>State views are sought</w:t>
      </w:r>
      <w:r>
        <w:t xml:space="preserve"> by </w:t>
      </w:r>
      <w:r w:rsidR="00B97D96">
        <w:t xml:space="preserve">25 January </w:t>
      </w:r>
      <w:r>
        <w:t>201</w:t>
      </w:r>
      <w:r w:rsidR="00510D7B">
        <w:t>9</w:t>
      </w:r>
      <w:r>
        <w:t>.</w:t>
      </w:r>
    </w:p>
    <w:p w:rsidR="00BE794D" w:rsidRPr="00970E6D" w:rsidRDefault="00AA7224" w:rsidP="00BE794D">
      <w:pPr>
        <w:pStyle w:val="Heading3"/>
      </w:pPr>
      <w:bookmarkStart w:id="29" w:name="_Toc529869532"/>
      <w:r>
        <w:t>Options for improving policy neutrality</w:t>
      </w:r>
      <w:bookmarkEnd w:id="29"/>
    </w:p>
    <w:p w:rsidR="00AA7224" w:rsidRDefault="00510D7B" w:rsidP="00BE794D">
      <w:pPr>
        <w:pStyle w:val="CGCNumberedPara"/>
      </w:pPr>
      <w:r>
        <w:t>In considering</w:t>
      </w:r>
      <w:r w:rsidR="00AA7224">
        <w:t xml:space="preserve"> the approaches favoured by the PC, there appear to be three options for improving policy neutrality:</w:t>
      </w:r>
    </w:p>
    <w:p w:rsidR="00BE794D" w:rsidRDefault="00AA7224" w:rsidP="00AA7224">
      <w:pPr>
        <w:pStyle w:val="CGCBulletlist"/>
      </w:pPr>
      <w:r>
        <w:t>an aggregated profitability approach</w:t>
      </w:r>
    </w:p>
    <w:p w:rsidR="00AA7224" w:rsidRDefault="00AA7224" w:rsidP="00AA7224">
      <w:pPr>
        <w:pStyle w:val="CGCBulletlist"/>
      </w:pPr>
      <w:r>
        <w:t>an aggregated value of production approach</w:t>
      </w:r>
    </w:p>
    <w:p w:rsidR="00AA7224" w:rsidRDefault="00AA7224" w:rsidP="00AA7224">
      <w:pPr>
        <w:pStyle w:val="CGCSubbulletlist"/>
      </w:pPr>
      <w:r>
        <w:t>with a single mineral group (full aggregation)</w:t>
      </w:r>
    </w:p>
    <w:p w:rsidR="00AA7224" w:rsidRPr="00970E6D" w:rsidRDefault="00AA7224" w:rsidP="00AA7224">
      <w:pPr>
        <w:pStyle w:val="CGCSubbulletlist"/>
      </w:pPr>
      <w:proofErr w:type="gramStart"/>
      <w:r>
        <w:t>with</w:t>
      </w:r>
      <w:proofErr w:type="gramEnd"/>
      <w:r>
        <w:t xml:space="preserve"> two mineral groups.</w:t>
      </w:r>
    </w:p>
    <w:p w:rsidR="00AA7224" w:rsidRDefault="00AA7224" w:rsidP="00AA7224">
      <w:pPr>
        <w:pStyle w:val="CGCNumberedPara"/>
        <w:tabs>
          <w:tab w:val="clear" w:pos="567"/>
        </w:tabs>
      </w:pPr>
      <w:r>
        <w:t>Staff have a number of concerns over the viability of a profitability approach. As the PC itself acknowledged, a profit-based approach could face practical difficulties. It would be highly sensitive to price and cost changes and, therefore, volatile. Any change that increased the volatility of the mining assessment would</w:t>
      </w:r>
      <w:r w:rsidR="00C6481E">
        <w:t xml:space="preserve"> be</w:t>
      </w:r>
      <w:r>
        <w:t xml:space="preserve"> inconsistent with the </w:t>
      </w:r>
      <w:r w:rsidR="005F34A6">
        <w:t>Government’s desire to move to a more stable distribution system</w:t>
      </w:r>
      <w:r>
        <w:t>.</w:t>
      </w:r>
    </w:p>
    <w:p w:rsidR="00AA7224" w:rsidRDefault="00AA7224" w:rsidP="00AA7224">
      <w:pPr>
        <w:pStyle w:val="CGCNumberedPara"/>
        <w:tabs>
          <w:tab w:val="clear" w:pos="567"/>
        </w:tabs>
      </w:pPr>
      <w:r>
        <w:t>In addition, it might also be difficult to develop reliable profitability measures for all mining activities. Commission staff have been in discussions with the Australian Bureau of Statistics (ABS) about the possibility of obtaining mining profitability data by State. The ABS advises it is not able to provide State based profit data.</w:t>
      </w:r>
      <w:r w:rsidRPr="00D121F1">
        <w:t xml:space="preserve"> </w:t>
      </w:r>
      <w:r>
        <w:t>For this option to progress, the Commission would need to develop its own profitability measure</w:t>
      </w:r>
      <w:r w:rsidRPr="00C8121A">
        <w:t xml:space="preserve"> </w:t>
      </w:r>
      <w:r>
        <w:t xml:space="preserve">and find data to </w:t>
      </w:r>
      <w:r w:rsidR="00C339BE">
        <w:t>implement</w:t>
      </w:r>
      <w:r>
        <w:t xml:space="preserve"> it. This is unlikely to be practical for the 2020 Review.</w:t>
      </w:r>
    </w:p>
    <w:p w:rsidR="00AA7224" w:rsidRDefault="00AA7224" w:rsidP="00AA7224">
      <w:pPr>
        <w:pStyle w:val="CGCNumberedPara"/>
        <w:tabs>
          <w:tab w:val="clear" w:pos="567"/>
        </w:tabs>
      </w:pPr>
      <w:r>
        <w:t>Finally, profitability represents a departure from what States do. Whilst royalty rate levels might reflect underlying profitability, they tend not to change frequently and are applied to production rather than profitability. That is, States do not tax profitability, they tax production.</w:t>
      </w:r>
    </w:p>
    <w:p w:rsidR="00BE794D" w:rsidRDefault="00AA7224" w:rsidP="00AA7224">
      <w:pPr>
        <w:pStyle w:val="CGCNumberedPara"/>
      </w:pPr>
      <w:r>
        <w:t>Western Australia proposed a fourth option, which it said would also address the issue of the sensitivity of States’ GST revenue to royalty rate changes</w:t>
      </w:r>
      <w:r w:rsidR="0070426D">
        <w:t xml:space="preserve"> (these were the adverse incentive effects </w:t>
      </w:r>
      <w:r w:rsidR="005E04DC">
        <w:t xml:space="preserve">identified by </w:t>
      </w:r>
      <w:r w:rsidR="0070426D">
        <w:t>the PC)</w:t>
      </w:r>
      <w:r>
        <w:t xml:space="preserve">. </w:t>
      </w:r>
      <w:r w:rsidR="0070426D">
        <w:t>Western Australia</w:t>
      </w:r>
      <w:r>
        <w:t xml:space="preserve"> suggested </w:t>
      </w:r>
      <w:r>
        <w:lastRenderedPageBreak/>
        <w:t xml:space="preserve">aggregating the mining revenue base with </w:t>
      </w:r>
      <w:r w:rsidR="005E04DC">
        <w:t xml:space="preserve">the </w:t>
      </w:r>
      <w:r>
        <w:t xml:space="preserve">other tax bases through a global assessment. It outlined two possible global capacity measures — adjusted Gross State Product and an aggregation of the existing revenue bases. It believed either measure would address the </w:t>
      </w:r>
      <w:r w:rsidR="0070426D">
        <w:t>extreme</w:t>
      </w:r>
      <w:r>
        <w:t xml:space="preserve"> differences in sensitivity to rate changes that existed between taxes and minerals.</w:t>
      </w:r>
      <w:r>
        <w:rPr>
          <w:rStyle w:val="FootnoteReference"/>
        </w:rPr>
        <w:footnoteReference w:id="5"/>
      </w:r>
    </w:p>
    <w:p w:rsidR="00AA7224" w:rsidRPr="00970E6D" w:rsidRDefault="00AA7224" w:rsidP="00AA7224">
      <w:pPr>
        <w:pStyle w:val="CGCNumberedPara"/>
      </w:pPr>
      <w:r>
        <w:t>Commission staff have concerns with this option. While it would improve policy neutrality, it would do so by producing unrepresentative revenue capacities. They would be created by averaging a State’s relative capacity to raise tax revenue with its relative capacity to raise mining revenue. Counter to Western Australia’s view, Commission staff do not consider th</w:t>
      </w:r>
      <w:r w:rsidR="005E04DC">
        <w:t>es</w:t>
      </w:r>
      <w:r>
        <w:t>e averaged revenue capacities would reflect States’ underlying revenue capacities.</w:t>
      </w:r>
      <w:r>
        <w:rPr>
          <w:rStyle w:val="FootnoteReference"/>
        </w:rPr>
        <w:footnoteReference w:id="6"/>
      </w:r>
    </w:p>
    <w:p w:rsidR="00BE794D" w:rsidRPr="00970E6D" w:rsidRDefault="00BE794D" w:rsidP="00BE794D">
      <w:pPr>
        <w:pStyle w:val="Heading3"/>
      </w:pPr>
      <w:bookmarkStart w:id="30" w:name="_Toc106707728"/>
      <w:bookmarkStart w:id="31" w:name="_Toc155675938"/>
      <w:bookmarkStart w:id="32" w:name="_Toc174415773"/>
      <w:bookmarkStart w:id="33" w:name="_Toc174415847"/>
      <w:bookmarkStart w:id="34" w:name="_Toc174415938"/>
      <w:bookmarkStart w:id="35" w:name="_Toc174416623"/>
      <w:bookmarkStart w:id="36" w:name="_Toc174416665"/>
      <w:bookmarkStart w:id="37" w:name="_Toc174416678"/>
      <w:bookmarkStart w:id="38" w:name="_Toc529869533"/>
      <w:r w:rsidRPr="00970E6D">
        <w:t>A</w:t>
      </w:r>
      <w:r w:rsidR="007E6A9E">
        <w:t>n</w:t>
      </w:r>
      <w:r w:rsidR="00AA7224">
        <w:t xml:space="preserve"> aggregated value of production approach</w:t>
      </w:r>
      <w:bookmarkEnd w:id="30"/>
      <w:bookmarkEnd w:id="31"/>
      <w:bookmarkEnd w:id="32"/>
      <w:bookmarkEnd w:id="33"/>
      <w:bookmarkEnd w:id="34"/>
      <w:bookmarkEnd w:id="35"/>
      <w:bookmarkEnd w:id="36"/>
      <w:bookmarkEnd w:id="37"/>
      <w:bookmarkEnd w:id="38"/>
    </w:p>
    <w:p w:rsidR="00BE794D" w:rsidRDefault="00AA7224" w:rsidP="00BE794D">
      <w:pPr>
        <w:pStyle w:val="CGCNumberedPara"/>
      </w:pPr>
      <w:r>
        <w:t>The PC said the advantages of an aggregate mining production approach were:</w:t>
      </w:r>
    </w:p>
    <w:p w:rsidR="00AA7224" w:rsidRDefault="00006AD1" w:rsidP="00AA7224">
      <w:pPr>
        <w:pStyle w:val="CGCBulletlist"/>
      </w:pPr>
      <w:proofErr w:type="gramStart"/>
      <w:r>
        <w:t>i</w:t>
      </w:r>
      <w:r w:rsidR="00AA7224">
        <w:t>t</w:t>
      </w:r>
      <w:proofErr w:type="gramEnd"/>
      <w:r w:rsidR="00AA7224">
        <w:t xml:space="preserve"> was simpler than a mineral by mineral approach. </w:t>
      </w:r>
    </w:p>
    <w:p w:rsidR="00AA7224" w:rsidRDefault="00006AD1" w:rsidP="00AA7224">
      <w:pPr>
        <w:pStyle w:val="CGCBulletlist"/>
      </w:pPr>
      <w:proofErr w:type="gramStart"/>
      <w:r>
        <w:t>i</w:t>
      </w:r>
      <w:r w:rsidR="00AA7224">
        <w:t>t</w:t>
      </w:r>
      <w:proofErr w:type="gramEnd"/>
      <w:r w:rsidR="00AA7224">
        <w:t xml:space="preserve"> was more policy neutral because individual States had less scope to influence their GST payments by changing the royalty rate on a single mineral. </w:t>
      </w:r>
    </w:p>
    <w:p w:rsidR="00AA7224" w:rsidRDefault="00AA7224" w:rsidP="00BE794D">
      <w:pPr>
        <w:pStyle w:val="CGCNumberedPara"/>
      </w:pPr>
      <w:r>
        <w:t>The PC acknowledged some policy neutrality problems would remain. It noted Western Australia’s iron ore comprised about 40% of the value of all mineral production in 2015-16, meaning that changes in its royalty rate could still have a material influence on GST shares.</w:t>
      </w:r>
    </w:p>
    <w:p w:rsidR="00AA7224" w:rsidRDefault="00AA7224" w:rsidP="00BE794D">
      <w:pPr>
        <w:pStyle w:val="CGCNumberedPara"/>
      </w:pPr>
      <w:r>
        <w:t>Staff consider there are two aggregation options worth exploring</w:t>
      </w:r>
      <w:r w:rsidR="00E475AF">
        <w:t>.</w:t>
      </w:r>
    </w:p>
    <w:p w:rsidR="00E475AF" w:rsidRDefault="00E475AF" w:rsidP="00E475AF">
      <w:pPr>
        <w:pStyle w:val="Heading4"/>
      </w:pPr>
      <w:bookmarkStart w:id="39" w:name="_Toc529869534"/>
      <w:r>
        <w:t>Option 1 — full aggregation</w:t>
      </w:r>
      <w:bookmarkEnd w:id="39"/>
    </w:p>
    <w:p w:rsidR="00B048AA" w:rsidRDefault="00B048AA" w:rsidP="00E475AF">
      <w:pPr>
        <w:pStyle w:val="CGCNumberedPara"/>
        <w:tabs>
          <w:tab w:val="clear" w:pos="567"/>
        </w:tabs>
      </w:pPr>
      <w:r>
        <w:t xml:space="preserve">Under full aggregation, all minerals would be assessed in one group. </w:t>
      </w:r>
      <w:r>
        <w:fldChar w:fldCharType="begin"/>
      </w:r>
      <w:r>
        <w:instrText xml:space="preserve"> REF _Ref529190291 \h </w:instrText>
      </w:r>
      <w:r>
        <w:fldChar w:fldCharType="separate"/>
      </w:r>
      <w:r w:rsidR="00A7301A">
        <w:t>Table </w:t>
      </w:r>
      <w:r w:rsidR="00A7301A">
        <w:rPr>
          <w:noProof/>
        </w:rPr>
        <w:t>1</w:t>
      </w:r>
      <w:r>
        <w:fldChar w:fldCharType="end"/>
      </w:r>
      <w:r>
        <w:t xml:space="preserve"> shows States’ population shares</w:t>
      </w:r>
      <w:r w:rsidR="00C34DC6">
        <w:t xml:space="preserve">, </w:t>
      </w:r>
      <w:r>
        <w:t>their shares of value of production for all minerals</w:t>
      </w:r>
      <w:r w:rsidR="00C34DC6">
        <w:t xml:space="preserve"> and the corresponding sensitivity to royalty rate changes (which is the difference between the</w:t>
      </w:r>
      <w:r w:rsidR="00303A5D">
        <w:t xml:space="preserve"> two</w:t>
      </w:r>
      <w:r w:rsidR="00C34DC6">
        <w:t>)</w:t>
      </w:r>
      <w:r>
        <w:t xml:space="preserve">. It shows full aggregation </w:t>
      </w:r>
      <w:r w:rsidR="00303A5D">
        <w:t xml:space="preserve">would </w:t>
      </w:r>
      <w:r>
        <w:t>remove the mo</w:t>
      </w:r>
      <w:r w:rsidR="00303A5D">
        <w:t>re</w:t>
      </w:r>
      <w:r>
        <w:t xml:space="preserve"> extreme sensitivities </w:t>
      </w:r>
      <w:r w:rsidR="00303A5D">
        <w:t>that exist under a mineral by mineral approach</w:t>
      </w:r>
      <w:r>
        <w:t>.</w:t>
      </w:r>
    </w:p>
    <w:p w:rsidR="00B048AA" w:rsidRDefault="00B048AA" w:rsidP="00B048AA">
      <w:pPr>
        <w:pStyle w:val="CGCTableHeading"/>
      </w:pPr>
      <w:bookmarkStart w:id="40" w:name="_Ref529190291"/>
      <w:r>
        <w:lastRenderedPageBreak/>
        <w:t>Table </w:t>
      </w:r>
      <w:r>
        <w:rPr>
          <w:noProof/>
        </w:rPr>
        <w:fldChar w:fldCharType="begin"/>
      </w:r>
      <w:r>
        <w:rPr>
          <w:noProof/>
        </w:rPr>
        <w:instrText xml:space="preserve"> SEQ Table \* ARABIC </w:instrText>
      </w:r>
      <w:r>
        <w:rPr>
          <w:noProof/>
        </w:rPr>
        <w:fldChar w:fldCharType="separate"/>
      </w:r>
      <w:r w:rsidR="00A7301A">
        <w:rPr>
          <w:noProof/>
        </w:rPr>
        <w:t>1</w:t>
      </w:r>
      <w:r>
        <w:rPr>
          <w:noProof/>
        </w:rPr>
        <w:fldChar w:fldCharType="end"/>
      </w:r>
      <w:bookmarkEnd w:id="40"/>
      <w:r>
        <w:tab/>
        <w:t>Sensitivity to royalty rate changes, full aggregation, 2016-17</w:t>
      </w:r>
    </w:p>
    <w:tbl>
      <w:tblPr>
        <w:tblW w:w="5000" w:type="pct"/>
        <w:tblLayout w:type="fixed"/>
        <w:tblCellMar>
          <w:left w:w="0" w:type="dxa"/>
          <w:right w:w="0" w:type="dxa"/>
        </w:tblCellMar>
        <w:tblLook w:val="0000" w:firstRow="0" w:lastRow="0" w:firstColumn="0" w:lastColumn="0" w:noHBand="0" w:noVBand="0"/>
      </w:tblPr>
      <w:tblGrid>
        <w:gridCol w:w="1843"/>
        <w:gridCol w:w="1041"/>
        <w:gridCol w:w="760"/>
        <w:gridCol w:w="760"/>
        <w:gridCol w:w="760"/>
        <w:gridCol w:w="758"/>
        <w:gridCol w:w="760"/>
        <w:gridCol w:w="760"/>
        <w:gridCol w:w="760"/>
        <w:gridCol w:w="756"/>
      </w:tblGrid>
      <w:tr w:rsidR="00B048AA" w:rsidRPr="00FE3F73" w:rsidTr="00B048AA">
        <w:tc>
          <w:tcPr>
            <w:tcW w:w="1029" w:type="pct"/>
            <w:tcBorders>
              <w:top w:val="single" w:sz="6" w:space="0" w:color="auto"/>
              <w:bottom w:val="single" w:sz="6" w:space="0" w:color="auto"/>
            </w:tcBorders>
            <w:vAlign w:val="center"/>
          </w:tcPr>
          <w:p w:rsidR="00B048AA" w:rsidRPr="00FE3F73" w:rsidRDefault="00B048AA" w:rsidP="00B048AA">
            <w:pPr>
              <w:pStyle w:val="CGCTableStub"/>
              <w:spacing w:line="240" w:lineRule="auto"/>
              <w:ind w:left="193" w:hanging="142"/>
              <w:rPr>
                <w:rFonts w:cstheme="minorHAnsi"/>
              </w:rPr>
            </w:pPr>
            <w:r>
              <w:rPr>
                <w:rFonts w:cstheme="minorHAnsi"/>
              </w:rPr>
              <w:t>Group:</w:t>
            </w:r>
          </w:p>
        </w:tc>
        <w:tc>
          <w:tcPr>
            <w:tcW w:w="581" w:type="pct"/>
            <w:tcBorders>
              <w:top w:val="single" w:sz="6" w:space="0" w:color="auto"/>
              <w:bottom w:val="single" w:sz="6" w:space="0" w:color="auto"/>
            </w:tcBorders>
            <w:vAlign w:val="center"/>
          </w:tcPr>
          <w:p w:rsidR="00B048AA" w:rsidRPr="00FE3F73" w:rsidRDefault="00B048AA" w:rsidP="00B048AA">
            <w:pPr>
              <w:pStyle w:val="TableColHeadings"/>
              <w:rPr>
                <w:rFonts w:cstheme="minorHAnsi"/>
              </w:rPr>
            </w:pPr>
            <w:r w:rsidRPr="00FE3F73">
              <w:rPr>
                <w:rFonts w:cstheme="minorHAnsi"/>
              </w:rPr>
              <w:t>NSW</w:t>
            </w:r>
          </w:p>
        </w:tc>
        <w:tc>
          <w:tcPr>
            <w:tcW w:w="424" w:type="pct"/>
            <w:tcBorders>
              <w:top w:val="single" w:sz="6" w:space="0" w:color="auto"/>
              <w:bottom w:val="single" w:sz="6" w:space="0" w:color="auto"/>
            </w:tcBorders>
            <w:vAlign w:val="center"/>
          </w:tcPr>
          <w:p w:rsidR="00B048AA" w:rsidRPr="00FE3F73" w:rsidRDefault="00B048AA" w:rsidP="00B048AA">
            <w:pPr>
              <w:pStyle w:val="TableColHeadings"/>
              <w:rPr>
                <w:rFonts w:cstheme="minorHAnsi"/>
              </w:rPr>
            </w:pPr>
            <w:r w:rsidRPr="00FE3F73">
              <w:rPr>
                <w:rFonts w:cstheme="minorHAnsi"/>
              </w:rPr>
              <w:t>Vic</w:t>
            </w:r>
          </w:p>
        </w:tc>
        <w:tc>
          <w:tcPr>
            <w:tcW w:w="424" w:type="pct"/>
            <w:tcBorders>
              <w:top w:val="single" w:sz="6" w:space="0" w:color="auto"/>
              <w:bottom w:val="single" w:sz="6" w:space="0" w:color="auto"/>
            </w:tcBorders>
            <w:vAlign w:val="center"/>
          </w:tcPr>
          <w:p w:rsidR="00B048AA" w:rsidRPr="00FE3F73" w:rsidRDefault="00B048AA" w:rsidP="00B048AA">
            <w:pPr>
              <w:pStyle w:val="TableColHeadings"/>
              <w:rPr>
                <w:rFonts w:cstheme="minorHAnsi"/>
              </w:rPr>
            </w:pPr>
            <w:r w:rsidRPr="00FE3F73">
              <w:rPr>
                <w:rFonts w:cstheme="minorHAnsi"/>
              </w:rPr>
              <w:t>Qld</w:t>
            </w:r>
          </w:p>
        </w:tc>
        <w:tc>
          <w:tcPr>
            <w:tcW w:w="424" w:type="pct"/>
            <w:tcBorders>
              <w:top w:val="single" w:sz="6" w:space="0" w:color="auto"/>
              <w:bottom w:val="single" w:sz="6" w:space="0" w:color="auto"/>
            </w:tcBorders>
            <w:vAlign w:val="center"/>
          </w:tcPr>
          <w:p w:rsidR="00B048AA" w:rsidRPr="00FE3F73" w:rsidRDefault="00B048AA" w:rsidP="00B048AA">
            <w:pPr>
              <w:pStyle w:val="TableColHeadings"/>
              <w:rPr>
                <w:rFonts w:cstheme="minorHAnsi"/>
              </w:rPr>
            </w:pPr>
            <w:r w:rsidRPr="00FE3F73">
              <w:rPr>
                <w:rFonts w:cstheme="minorHAnsi"/>
              </w:rPr>
              <w:t>WA</w:t>
            </w:r>
          </w:p>
        </w:tc>
        <w:tc>
          <w:tcPr>
            <w:tcW w:w="423" w:type="pct"/>
            <w:tcBorders>
              <w:top w:val="single" w:sz="6" w:space="0" w:color="auto"/>
              <w:bottom w:val="single" w:sz="6" w:space="0" w:color="auto"/>
            </w:tcBorders>
            <w:vAlign w:val="center"/>
          </w:tcPr>
          <w:p w:rsidR="00B048AA" w:rsidRPr="00FE3F73" w:rsidRDefault="00B048AA" w:rsidP="00B048AA">
            <w:pPr>
              <w:pStyle w:val="TableColHeadings"/>
              <w:rPr>
                <w:rFonts w:cstheme="minorHAnsi"/>
              </w:rPr>
            </w:pPr>
            <w:r w:rsidRPr="00FE3F73">
              <w:rPr>
                <w:rFonts w:cstheme="minorHAnsi"/>
              </w:rPr>
              <w:t>SA</w:t>
            </w:r>
          </w:p>
        </w:tc>
        <w:tc>
          <w:tcPr>
            <w:tcW w:w="424" w:type="pct"/>
            <w:tcBorders>
              <w:top w:val="single" w:sz="6" w:space="0" w:color="auto"/>
              <w:bottom w:val="single" w:sz="6" w:space="0" w:color="auto"/>
            </w:tcBorders>
            <w:vAlign w:val="center"/>
          </w:tcPr>
          <w:p w:rsidR="00B048AA" w:rsidRPr="00FE3F73" w:rsidRDefault="00B048AA" w:rsidP="00B048AA">
            <w:pPr>
              <w:pStyle w:val="TableColHeadings"/>
              <w:rPr>
                <w:rFonts w:cstheme="minorHAnsi"/>
              </w:rPr>
            </w:pPr>
            <w:proofErr w:type="spellStart"/>
            <w:r w:rsidRPr="00FE3F73">
              <w:rPr>
                <w:rFonts w:cstheme="minorHAnsi"/>
              </w:rPr>
              <w:t>Tas</w:t>
            </w:r>
            <w:proofErr w:type="spellEnd"/>
          </w:p>
        </w:tc>
        <w:tc>
          <w:tcPr>
            <w:tcW w:w="424" w:type="pct"/>
            <w:tcBorders>
              <w:top w:val="single" w:sz="6" w:space="0" w:color="auto"/>
              <w:bottom w:val="single" w:sz="6" w:space="0" w:color="auto"/>
            </w:tcBorders>
            <w:vAlign w:val="center"/>
          </w:tcPr>
          <w:p w:rsidR="00B048AA" w:rsidRPr="00FE3F73" w:rsidRDefault="00B048AA" w:rsidP="00B048AA">
            <w:pPr>
              <w:pStyle w:val="TableColHeadings"/>
              <w:rPr>
                <w:rFonts w:cstheme="minorHAnsi"/>
              </w:rPr>
            </w:pPr>
            <w:r w:rsidRPr="00FE3F73">
              <w:rPr>
                <w:rFonts w:cstheme="minorHAnsi"/>
              </w:rPr>
              <w:t>ACT</w:t>
            </w:r>
          </w:p>
        </w:tc>
        <w:tc>
          <w:tcPr>
            <w:tcW w:w="424" w:type="pct"/>
            <w:tcBorders>
              <w:top w:val="single" w:sz="6" w:space="0" w:color="auto"/>
              <w:bottom w:val="single" w:sz="6" w:space="0" w:color="auto"/>
            </w:tcBorders>
            <w:vAlign w:val="center"/>
          </w:tcPr>
          <w:p w:rsidR="00B048AA" w:rsidRPr="00FE3F73" w:rsidRDefault="00B048AA" w:rsidP="00B048AA">
            <w:pPr>
              <w:pStyle w:val="TableColHeadings"/>
              <w:rPr>
                <w:rFonts w:cstheme="minorHAnsi"/>
              </w:rPr>
            </w:pPr>
            <w:r w:rsidRPr="00FE3F73">
              <w:rPr>
                <w:rFonts w:cstheme="minorHAnsi"/>
              </w:rPr>
              <w:t>NT</w:t>
            </w:r>
          </w:p>
        </w:tc>
        <w:tc>
          <w:tcPr>
            <w:tcW w:w="422" w:type="pct"/>
            <w:tcBorders>
              <w:top w:val="single" w:sz="6" w:space="0" w:color="auto"/>
              <w:bottom w:val="single" w:sz="6" w:space="0" w:color="auto"/>
            </w:tcBorders>
            <w:vAlign w:val="center"/>
          </w:tcPr>
          <w:p w:rsidR="00B048AA" w:rsidRPr="00FE3F73" w:rsidRDefault="00B048AA" w:rsidP="00B048AA">
            <w:pPr>
              <w:pStyle w:val="TableColHeadings"/>
              <w:rPr>
                <w:rFonts w:cstheme="minorHAnsi"/>
              </w:rPr>
            </w:pPr>
            <w:r>
              <w:rPr>
                <w:rFonts w:cstheme="minorHAnsi"/>
              </w:rPr>
              <w:t>Total</w:t>
            </w:r>
          </w:p>
        </w:tc>
      </w:tr>
      <w:tr w:rsidR="00B048AA" w:rsidRPr="00FE3F73" w:rsidTr="00B048AA">
        <w:tc>
          <w:tcPr>
            <w:tcW w:w="1029" w:type="pct"/>
            <w:tcMar>
              <w:top w:w="0" w:type="dxa"/>
              <w:bottom w:w="0" w:type="dxa"/>
            </w:tcMar>
            <w:vAlign w:val="bottom"/>
          </w:tcPr>
          <w:p w:rsidR="00B048AA" w:rsidRPr="00FE3F73" w:rsidRDefault="00B048AA" w:rsidP="00B048AA">
            <w:pPr>
              <w:pStyle w:val="CGCTableStub"/>
              <w:spacing w:before="0" w:after="0" w:line="240" w:lineRule="auto"/>
              <w:ind w:left="193" w:hanging="142"/>
              <w:jc w:val="right"/>
              <w:rPr>
                <w:rFonts w:cstheme="minorHAnsi"/>
              </w:rPr>
            </w:pPr>
          </w:p>
        </w:tc>
        <w:tc>
          <w:tcPr>
            <w:tcW w:w="581" w:type="pct"/>
            <w:tcMar>
              <w:top w:w="0" w:type="dxa"/>
              <w:bottom w:w="0" w:type="dxa"/>
            </w:tcMar>
            <w:vAlign w:val="bottom"/>
          </w:tcPr>
          <w:p w:rsidR="00B048AA" w:rsidRPr="00FE3F73" w:rsidRDefault="00B048AA" w:rsidP="00B048AA">
            <w:pPr>
              <w:pStyle w:val="TableRowNormal"/>
              <w:spacing w:before="0" w:after="0" w:line="240" w:lineRule="auto"/>
              <w:ind w:left="0" w:firstLine="0"/>
              <w:rPr>
                <w:rFonts w:cstheme="minorHAnsi"/>
              </w:rPr>
            </w:pPr>
            <w:r>
              <w:rPr>
                <w:rFonts w:cstheme="minorHAnsi"/>
              </w:rPr>
              <w:t>%</w:t>
            </w:r>
          </w:p>
        </w:tc>
        <w:tc>
          <w:tcPr>
            <w:tcW w:w="424" w:type="pct"/>
            <w:tcMar>
              <w:top w:w="0" w:type="dxa"/>
              <w:bottom w:w="0" w:type="dxa"/>
            </w:tcMar>
            <w:vAlign w:val="bottom"/>
          </w:tcPr>
          <w:p w:rsidR="00B048AA" w:rsidRPr="00FE3F73" w:rsidRDefault="00B048AA" w:rsidP="00B048AA">
            <w:pPr>
              <w:pStyle w:val="TableRowNormal"/>
              <w:spacing w:before="0" w:after="0" w:line="240" w:lineRule="auto"/>
              <w:ind w:left="0" w:firstLine="0"/>
              <w:rPr>
                <w:rFonts w:cstheme="minorHAnsi"/>
              </w:rPr>
            </w:pPr>
            <w:r>
              <w:rPr>
                <w:rFonts w:cstheme="minorHAnsi"/>
              </w:rPr>
              <w:t>%</w:t>
            </w:r>
          </w:p>
        </w:tc>
        <w:tc>
          <w:tcPr>
            <w:tcW w:w="424" w:type="pct"/>
            <w:tcMar>
              <w:top w:w="0" w:type="dxa"/>
              <w:bottom w:w="0" w:type="dxa"/>
            </w:tcMar>
            <w:vAlign w:val="bottom"/>
          </w:tcPr>
          <w:p w:rsidR="00B048AA" w:rsidRPr="00FE3F73" w:rsidRDefault="00B048AA" w:rsidP="00B048AA">
            <w:pPr>
              <w:pStyle w:val="TableRowNormal"/>
              <w:spacing w:before="0" w:after="0" w:line="240" w:lineRule="auto"/>
              <w:ind w:left="0" w:firstLine="0"/>
              <w:rPr>
                <w:rFonts w:cstheme="minorHAnsi"/>
              </w:rPr>
            </w:pPr>
            <w:r>
              <w:rPr>
                <w:rFonts w:cstheme="minorHAnsi"/>
              </w:rPr>
              <w:t>%</w:t>
            </w:r>
          </w:p>
        </w:tc>
        <w:tc>
          <w:tcPr>
            <w:tcW w:w="424" w:type="pct"/>
            <w:tcMar>
              <w:top w:w="0" w:type="dxa"/>
              <w:bottom w:w="0" w:type="dxa"/>
            </w:tcMar>
            <w:vAlign w:val="bottom"/>
          </w:tcPr>
          <w:p w:rsidR="00B048AA" w:rsidRPr="00FE3F73" w:rsidRDefault="00B048AA" w:rsidP="00B048AA">
            <w:pPr>
              <w:pStyle w:val="TableRowNormal"/>
              <w:spacing w:before="0" w:after="0" w:line="240" w:lineRule="auto"/>
              <w:ind w:left="0" w:firstLine="0"/>
              <w:rPr>
                <w:rFonts w:cstheme="minorHAnsi"/>
              </w:rPr>
            </w:pPr>
            <w:r>
              <w:rPr>
                <w:rFonts w:cstheme="minorHAnsi"/>
              </w:rPr>
              <w:t>%</w:t>
            </w:r>
          </w:p>
        </w:tc>
        <w:tc>
          <w:tcPr>
            <w:tcW w:w="423" w:type="pct"/>
            <w:tcMar>
              <w:top w:w="0" w:type="dxa"/>
              <w:bottom w:w="0" w:type="dxa"/>
            </w:tcMar>
            <w:vAlign w:val="bottom"/>
          </w:tcPr>
          <w:p w:rsidR="00B048AA" w:rsidRPr="00FE3F73" w:rsidRDefault="00B048AA" w:rsidP="00B048AA">
            <w:pPr>
              <w:pStyle w:val="TableRowNormal"/>
              <w:spacing w:before="0" w:after="0" w:line="240" w:lineRule="auto"/>
              <w:ind w:left="0" w:firstLine="0"/>
              <w:rPr>
                <w:rFonts w:cstheme="minorHAnsi"/>
              </w:rPr>
            </w:pPr>
            <w:r>
              <w:rPr>
                <w:rFonts w:cstheme="minorHAnsi"/>
              </w:rPr>
              <w:t>%</w:t>
            </w:r>
          </w:p>
        </w:tc>
        <w:tc>
          <w:tcPr>
            <w:tcW w:w="424" w:type="pct"/>
            <w:tcMar>
              <w:top w:w="0" w:type="dxa"/>
              <w:bottom w:w="0" w:type="dxa"/>
            </w:tcMar>
            <w:vAlign w:val="bottom"/>
          </w:tcPr>
          <w:p w:rsidR="00B048AA" w:rsidRPr="00FE3F73" w:rsidRDefault="00B048AA" w:rsidP="00B048AA">
            <w:pPr>
              <w:pStyle w:val="TableRowNormal"/>
              <w:spacing w:before="0" w:after="0" w:line="240" w:lineRule="auto"/>
              <w:ind w:left="0" w:firstLine="0"/>
              <w:rPr>
                <w:rFonts w:cstheme="minorHAnsi"/>
              </w:rPr>
            </w:pPr>
            <w:r>
              <w:rPr>
                <w:rFonts w:cstheme="minorHAnsi"/>
              </w:rPr>
              <w:t>%</w:t>
            </w:r>
          </w:p>
        </w:tc>
        <w:tc>
          <w:tcPr>
            <w:tcW w:w="424" w:type="pct"/>
            <w:tcMar>
              <w:top w:w="0" w:type="dxa"/>
              <w:bottom w:w="0" w:type="dxa"/>
            </w:tcMar>
            <w:vAlign w:val="bottom"/>
          </w:tcPr>
          <w:p w:rsidR="00B048AA" w:rsidRPr="00FE3F73" w:rsidRDefault="00B048AA" w:rsidP="00B048AA">
            <w:pPr>
              <w:pStyle w:val="TableRowNormal"/>
              <w:spacing w:before="0" w:after="0" w:line="240" w:lineRule="auto"/>
              <w:ind w:left="0" w:firstLine="0"/>
              <w:rPr>
                <w:rFonts w:cstheme="minorHAnsi"/>
              </w:rPr>
            </w:pPr>
            <w:r>
              <w:rPr>
                <w:rFonts w:cstheme="minorHAnsi"/>
              </w:rPr>
              <w:t>%</w:t>
            </w:r>
          </w:p>
        </w:tc>
        <w:tc>
          <w:tcPr>
            <w:tcW w:w="424" w:type="pct"/>
            <w:tcMar>
              <w:top w:w="0" w:type="dxa"/>
              <w:bottom w:w="0" w:type="dxa"/>
            </w:tcMar>
            <w:vAlign w:val="bottom"/>
          </w:tcPr>
          <w:p w:rsidR="00B048AA" w:rsidRPr="00FE3F73" w:rsidRDefault="00B048AA" w:rsidP="00B048AA">
            <w:pPr>
              <w:pStyle w:val="TableRowNormal"/>
              <w:spacing w:before="0" w:after="0" w:line="240" w:lineRule="auto"/>
              <w:ind w:left="0" w:firstLine="0"/>
              <w:rPr>
                <w:rFonts w:cstheme="minorHAnsi"/>
              </w:rPr>
            </w:pPr>
            <w:r>
              <w:rPr>
                <w:rFonts w:cstheme="minorHAnsi"/>
              </w:rPr>
              <w:t>%</w:t>
            </w:r>
          </w:p>
        </w:tc>
        <w:tc>
          <w:tcPr>
            <w:tcW w:w="422" w:type="pct"/>
            <w:tcMar>
              <w:top w:w="0" w:type="dxa"/>
              <w:bottom w:w="0" w:type="dxa"/>
            </w:tcMar>
            <w:vAlign w:val="bottom"/>
          </w:tcPr>
          <w:p w:rsidR="00B048AA" w:rsidRPr="00FE3F73" w:rsidRDefault="00B048AA" w:rsidP="00B048AA">
            <w:pPr>
              <w:pStyle w:val="TableRowNormal"/>
              <w:spacing w:before="0" w:after="0" w:line="240" w:lineRule="auto"/>
              <w:ind w:left="0" w:firstLine="0"/>
              <w:rPr>
                <w:rFonts w:cstheme="minorHAnsi"/>
              </w:rPr>
            </w:pPr>
            <w:r>
              <w:rPr>
                <w:rFonts w:cstheme="minorHAnsi"/>
              </w:rPr>
              <w:t>%</w:t>
            </w:r>
          </w:p>
        </w:tc>
      </w:tr>
      <w:tr w:rsidR="00B048AA" w:rsidRPr="00FE3F73" w:rsidTr="00B048AA">
        <w:tc>
          <w:tcPr>
            <w:tcW w:w="1029" w:type="pct"/>
            <w:vAlign w:val="bottom"/>
          </w:tcPr>
          <w:p w:rsidR="00B048AA" w:rsidRPr="00FE3F73" w:rsidRDefault="00B048AA" w:rsidP="00B048AA">
            <w:pPr>
              <w:pStyle w:val="CGCTableStub"/>
              <w:tabs>
                <w:tab w:val="left" w:pos="142"/>
                <w:tab w:val="left" w:pos="425"/>
                <w:tab w:val="left" w:pos="709"/>
                <w:tab w:val="left" w:pos="851"/>
              </w:tabs>
              <w:ind w:left="193" w:hanging="142"/>
              <w:rPr>
                <w:rFonts w:cstheme="minorHAnsi"/>
              </w:rPr>
            </w:pPr>
            <w:r>
              <w:rPr>
                <w:rFonts w:cstheme="minorHAnsi"/>
              </w:rPr>
              <w:t>Share of population</w:t>
            </w:r>
          </w:p>
        </w:tc>
        <w:tc>
          <w:tcPr>
            <w:tcW w:w="581" w:type="pct"/>
            <w:vAlign w:val="bottom"/>
          </w:tcPr>
          <w:p w:rsidR="00B048AA" w:rsidRPr="002C506F" w:rsidRDefault="00B048AA" w:rsidP="00B048AA">
            <w:pPr>
              <w:pStyle w:val="TableRowNormal"/>
              <w:ind w:left="0" w:firstLine="0"/>
              <w:rPr>
                <w:rFonts w:cstheme="minorHAnsi"/>
              </w:rPr>
            </w:pPr>
            <w:r>
              <w:rPr>
                <w:rFonts w:cstheme="minorHAnsi"/>
              </w:rPr>
              <w:t>32.0</w:t>
            </w:r>
          </w:p>
        </w:tc>
        <w:tc>
          <w:tcPr>
            <w:tcW w:w="424" w:type="pct"/>
            <w:vAlign w:val="bottom"/>
          </w:tcPr>
          <w:p w:rsidR="00B048AA" w:rsidRPr="002C506F" w:rsidRDefault="00B048AA" w:rsidP="00B048AA">
            <w:pPr>
              <w:pStyle w:val="TableRowNormal"/>
              <w:ind w:left="0" w:firstLine="0"/>
              <w:rPr>
                <w:rFonts w:cstheme="minorHAnsi"/>
              </w:rPr>
            </w:pPr>
            <w:r>
              <w:rPr>
                <w:rFonts w:cstheme="minorHAnsi"/>
              </w:rPr>
              <w:t>25.6</w:t>
            </w:r>
          </w:p>
        </w:tc>
        <w:tc>
          <w:tcPr>
            <w:tcW w:w="424" w:type="pct"/>
            <w:vAlign w:val="bottom"/>
          </w:tcPr>
          <w:p w:rsidR="00B048AA" w:rsidRPr="002C506F" w:rsidRDefault="00B048AA" w:rsidP="00B048AA">
            <w:pPr>
              <w:pStyle w:val="TableRowNormal"/>
              <w:ind w:left="0" w:firstLine="0"/>
              <w:rPr>
                <w:rFonts w:cstheme="minorHAnsi"/>
              </w:rPr>
            </w:pPr>
            <w:r>
              <w:rPr>
                <w:rFonts w:cstheme="minorHAnsi"/>
              </w:rPr>
              <w:t>20.0</w:t>
            </w:r>
          </w:p>
        </w:tc>
        <w:tc>
          <w:tcPr>
            <w:tcW w:w="424" w:type="pct"/>
            <w:vAlign w:val="bottom"/>
          </w:tcPr>
          <w:p w:rsidR="00B048AA" w:rsidRPr="002C506F" w:rsidRDefault="00B048AA" w:rsidP="00B048AA">
            <w:pPr>
              <w:pStyle w:val="TableRowNormal"/>
              <w:ind w:left="0" w:firstLine="0"/>
              <w:rPr>
                <w:rFonts w:cstheme="minorHAnsi"/>
              </w:rPr>
            </w:pPr>
            <w:r>
              <w:rPr>
                <w:rFonts w:cstheme="minorHAnsi"/>
              </w:rPr>
              <w:t>10.5</w:t>
            </w:r>
          </w:p>
        </w:tc>
        <w:tc>
          <w:tcPr>
            <w:tcW w:w="423" w:type="pct"/>
            <w:vAlign w:val="bottom"/>
          </w:tcPr>
          <w:p w:rsidR="00B048AA" w:rsidRPr="002C506F" w:rsidRDefault="00B048AA" w:rsidP="00B048AA">
            <w:pPr>
              <w:pStyle w:val="TableRowNormal"/>
              <w:ind w:left="0" w:firstLine="0"/>
              <w:rPr>
                <w:rFonts w:cstheme="minorHAnsi"/>
              </w:rPr>
            </w:pPr>
            <w:r>
              <w:rPr>
                <w:rFonts w:cstheme="minorHAnsi"/>
              </w:rPr>
              <w:t>7.0</w:t>
            </w:r>
          </w:p>
        </w:tc>
        <w:tc>
          <w:tcPr>
            <w:tcW w:w="424" w:type="pct"/>
            <w:vAlign w:val="bottom"/>
          </w:tcPr>
          <w:p w:rsidR="00B048AA" w:rsidRPr="002C506F" w:rsidRDefault="00B048AA" w:rsidP="00B048AA">
            <w:pPr>
              <w:pStyle w:val="TableRowNormal"/>
              <w:ind w:left="0" w:firstLine="0"/>
              <w:rPr>
                <w:rFonts w:cstheme="minorHAnsi"/>
              </w:rPr>
            </w:pPr>
            <w:r>
              <w:rPr>
                <w:rFonts w:cstheme="minorHAnsi"/>
              </w:rPr>
              <w:t>2.1</w:t>
            </w:r>
          </w:p>
        </w:tc>
        <w:tc>
          <w:tcPr>
            <w:tcW w:w="424" w:type="pct"/>
            <w:vAlign w:val="bottom"/>
          </w:tcPr>
          <w:p w:rsidR="00B048AA" w:rsidRDefault="00B048AA" w:rsidP="00B048AA">
            <w:pPr>
              <w:pStyle w:val="TableRowNormal"/>
              <w:ind w:left="0" w:firstLine="0"/>
              <w:rPr>
                <w:rFonts w:cstheme="minorHAnsi"/>
              </w:rPr>
            </w:pPr>
            <w:r>
              <w:rPr>
                <w:rFonts w:cstheme="minorHAnsi"/>
              </w:rPr>
              <w:t>1.7</w:t>
            </w:r>
          </w:p>
        </w:tc>
        <w:tc>
          <w:tcPr>
            <w:tcW w:w="424" w:type="pct"/>
            <w:vAlign w:val="bottom"/>
          </w:tcPr>
          <w:p w:rsidR="00B048AA" w:rsidRDefault="00B048AA" w:rsidP="00B048AA">
            <w:pPr>
              <w:pStyle w:val="TableRowNormal"/>
              <w:ind w:left="0" w:firstLine="0"/>
              <w:rPr>
                <w:rFonts w:cstheme="minorHAnsi"/>
              </w:rPr>
            </w:pPr>
            <w:r>
              <w:rPr>
                <w:rFonts w:cstheme="minorHAnsi"/>
              </w:rPr>
              <w:t>1.0</w:t>
            </w:r>
          </w:p>
        </w:tc>
        <w:tc>
          <w:tcPr>
            <w:tcW w:w="422" w:type="pct"/>
            <w:vAlign w:val="bottom"/>
          </w:tcPr>
          <w:p w:rsidR="00B048AA" w:rsidRDefault="00B048AA" w:rsidP="00B048AA">
            <w:pPr>
              <w:pStyle w:val="TableRowNormal"/>
              <w:ind w:left="0" w:firstLine="0"/>
              <w:rPr>
                <w:rFonts w:cstheme="minorHAnsi"/>
              </w:rPr>
            </w:pPr>
            <w:r>
              <w:rPr>
                <w:rFonts w:cstheme="minorHAnsi"/>
              </w:rPr>
              <w:t>100.0</w:t>
            </w:r>
          </w:p>
        </w:tc>
      </w:tr>
      <w:tr w:rsidR="00B048AA" w:rsidRPr="00FE3F73" w:rsidTr="00B048AA">
        <w:tc>
          <w:tcPr>
            <w:tcW w:w="1029" w:type="pct"/>
            <w:vAlign w:val="bottom"/>
          </w:tcPr>
          <w:p w:rsidR="00B048AA" w:rsidRDefault="00B048AA" w:rsidP="00B048AA">
            <w:pPr>
              <w:pStyle w:val="CGCTableStub"/>
              <w:tabs>
                <w:tab w:val="left" w:pos="142"/>
                <w:tab w:val="left" w:pos="425"/>
                <w:tab w:val="left" w:pos="709"/>
                <w:tab w:val="left" w:pos="851"/>
              </w:tabs>
              <w:ind w:left="193" w:hanging="142"/>
              <w:rPr>
                <w:rFonts w:cstheme="minorHAnsi"/>
              </w:rPr>
            </w:pPr>
            <w:r>
              <w:rPr>
                <w:rFonts w:cstheme="minorHAnsi"/>
              </w:rPr>
              <w:t>Share of value of production</w:t>
            </w:r>
          </w:p>
        </w:tc>
        <w:tc>
          <w:tcPr>
            <w:tcW w:w="581" w:type="pct"/>
            <w:tcBorders>
              <w:bottom w:val="single" w:sz="4" w:space="0" w:color="auto"/>
            </w:tcBorders>
            <w:vAlign w:val="bottom"/>
          </w:tcPr>
          <w:p w:rsidR="00B048AA" w:rsidRPr="002C506F" w:rsidRDefault="00B048AA" w:rsidP="00B048AA">
            <w:pPr>
              <w:pStyle w:val="TableRowNormal"/>
              <w:ind w:left="0" w:firstLine="0"/>
              <w:rPr>
                <w:rFonts w:cstheme="minorHAnsi"/>
              </w:rPr>
            </w:pPr>
            <w:r>
              <w:rPr>
                <w:rFonts w:cstheme="minorHAnsi"/>
              </w:rPr>
              <w:t>14.8</w:t>
            </w:r>
          </w:p>
        </w:tc>
        <w:tc>
          <w:tcPr>
            <w:tcW w:w="424" w:type="pct"/>
            <w:tcBorders>
              <w:bottom w:val="single" w:sz="4" w:space="0" w:color="auto"/>
            </w:tcBorders>
            <w:vAlign w:val="bottom"/>
          </w:tcPr>
          <w:p w:rsidR="00B048AA" w:rsidRPr="002C506F" w:rsidRDefault="00B048AA" w:rsidP="00B048AA">
            <w:pPr>
              <w:pStyle w:val="TableRowNormal"/>
              <w:ind w:left="0" w:firstLine="0"/>
              <w:rPr>
                <w:rFonts w:cstheme="minorHAnsi"/>
              </w:rPr>
            </w:pPr>
            <w:r>
              <w:rPr>
                <w:rFonts w:cstheme="minorHAnsi"/>
              </w:rPr>
              <w:t>1.0</w:t>
            </w:r>
          </w:p>
        </w:tc>
        <w:tc>
          <w:tcPr>
            <w:tcW w:w="424" w:type="pct"/>
            <w:tcBorders>
              <w:bottom w:val="single" w:sz="4" w:space="0" w:color="auto"/>
            </w:tcBorders>
            <w:vAlign w:val="bottom"/>
          </w:tcPr>
          <w:p w:rsidR="00B048AA" w:rsidRPr="002C506F" w:rsidRDefault="00B048AA" w:rsidP="00B048AA">
            <w:pPr>
              <w:pStyle w:val="TableRowNormal"/>
              <w:ind w:left="0" w:firstLine="0"/>
              <w:rPr>
                <w:rFonts w:cstheme="minorHAnsi"/>
              </w:rPr>
            </w:pPr>
            <w:r>
              <w:rPr>
                <w:rFonts w:cstheme="minorHAnsi"/>
              </w:rPr>
              <w:t>27.3</w:t>
            </w:r>
          </w:p>
        </w:tc>
        <w:tc>
          <w:tcPr>
            <w:tcW w:w="424" w:type="pct"/>
            <w:tcBorders>
              <w:bottom w:val="single" w:sz="4" w:space="0" w:color="auto"/>
            </w:tcBorders>
            <w:vAlign w:val="bottom"/>
          </w:tcPr>
          <w:p w:rsidR="00B048AA" w:rsidRPr="002C506F" w:rsidRDefault="00B048AA" w:rsidP="00B048AA">
            <w:pPr>
              <w:pStyle w:val="TableRowNormal"/>
              <w:ind w:left="0" w:firstLine="0"/>
              <w:rPr>
                <w:rFonts w:cstheme="minorHAnsi"/>
              </w:rPr>
            </w:pPr>
            <w:r>
              <w:rPr>
                <w:rFonts w:cstheme="minorHAnsi"/>
              </w:rPr>
              <w:t>51.0</w:t>
            </w:r>
          </w:p>
        </w:tc>
        <w:tc>
          <w:tcPr>
            <w:tcW w:w="423" w:type="pct"/>
            <w:tcBorders>
              <w:bottom w:val="single" w:sz="4" w:space="0" w:color="auto"/>
            </w:tcBorders>
            <w:vAlign w:val="bottom"/>
          </w:tcPr>
          <w:p w:rsidR="00B048AA" w:rsidRPr="002C506F" w:rsidRDefault="00B048AA" w:rsidP="00B048AA">
            <w:pPr>
              <w:pStyle w:val="TableRowNormal"/>
              <w:ind w:left="0" w:firstLine="0"/>
              <w:rPr>
                <w:rFonts w:cstheme="minorHAnsi"/>
              </w:rPr>
            </w:pPr>
            <w:r>
              <w:rPr>
                <w:rFonts w:cstheme="minorHAnsi"/>
              </w:rPr>
              <w:t>2.9</w:t>
            </w:r>
          </w:p>
        </w:tc>
        <w:tc>
          <w:tcPr>
            <w:tcW w:w="424" w:type="pct"/>
            <w:tcBorders>
              <w:bottom w:val="single" w:sz="4" w:space="0" w:color="auto"/>
            </w:tcBorders>
            <w:vAlign w:val="bottom"/>
          </w:tcPr>
          <w:p w:rsidR="00B048AA" w:rsidRPr="002C506F" w:rsidRDefault="00B048AA" w:rsidP="00B048AA">
            <w:pPr>
              <w:pStyle w:val="TableRowNormal"/>
              <w:ind w:left="0" w:firstLine="0"/>
              <w:rPr>
                <w:rFonts w:cstheme="minorHAnsi"/>
              </w:rPr>
            </w:pPr>
            <w:r>
              <w:rPr>
                <w:rFonts w:cstheme="minorHAnsi"/>
              </w:rPr>
              <w:t>0.9</w:t>
            </w:r>
          </w:p>
        </w:tc>
        <w:tc>
          <w:tcPr>
            <w:tcW w:w="424" w:type="pct"/>
            <w:tcBorders>
              <w:bottom w:val="single" w:sz="4" w:space="0" w:color="auto"/>
            </w:tcBorders>
            <w:vAlign w:val="bottom"/>
          </w:tcPr>
          <w:p w:rsidR="00B048AA" w:rsidRDefault="00B048AA" w:rsidP="00B048AA">
            <w:pPr>
              <w:pStyle w:val="TableRowNormal"/>
              <w:ind w:left="0" w:firstLine="0"/>
              <w:rPr>
                <w:rFonts w:cstheme="minorHAnsi"/>
              </w:rPr>
            </w:pPr>
            <w:r>
              <w:rPr>
                <w:rFonts w:cstheme="minorHAnsi"/>
              </w:rPr>
              <w:t>0.0</w:t>
            </w:r>
          </w:p>
        </w:tc>
        <w:tc>
          <w:tcPr>
            <w:tcW w:w="424" w:type="pct"/>
            <w:tcBorders>
              <w:bottom w:val="single" w:sz="4" w:space="0" w:color="auto"/>
            </w:tcBorders>
            <w:vAlign w:val="bottom"/>
          </w:tcPr>
          <w:p w:rsidR="00B048AA" w:rsidRDefault="00B048AA" w:rsidP="00B048AA">
            <w:pPr>
              <w:pStyle w:val="TableRowNormal"/>
              <w:ind w:left="0" w:firstLine="0"/>
              <w:rPr>
                <w:rFonts w:cstheme="minorHAnsi"/>
              </w:rPr>
            </w:pPr>
            <w:r>
              <w:rPr>
                <w:rFonts w:cstheme="minorHAnsi"/>
              </w:rPr>
              <w:t>2.0</w:t>
            </w:r>
          </w:p>
        </w:tc>
        <w:tc>
          <w:tcPr>
            <w:tcW w:w="422" w:type="pct"/>
            <w:tcBorders>
              <w:bottom w:val="single" w:sz="4" w:space="0" w:color="auto"/>
            </w:tcBorders>
            <w:vAlign w:val="bottom"/>
          </w:tcPr>
          <w:p w:rsidR="00B048AA" w:rsidRDefault="00B048AA" w:rsidP="00B048AA">
            <w:pPr>
              <w:pStyle w:val="TableRowNormal"/>
              <w:ind w:left="0" w:firstLine="0"/>
              <w:rPr>
                <w:rFonts w:cstheme="minorHAnsi"/>
              </w:rPr>
            </w:pPr>
            <w:r>
              <w:rPr>
                <w:rFonts w:cstheme="minorHAnsi"/>
              </w:rPr>
              <w:t>100.0</w:t>
            </w:r>
          </w:p>
        </w:tc>
      </w:tr>
      <w:tr w:rsidR="00B048AA" w:rsidRPr="00FE3F73" w:rsidTr="00B048AA">
        <w:tc>
          <w:tcPr>
            <w:tcW w:w="1029" w:type="pct"/>
            <w:tcBorders>
              <w:bottom w:val="single" w:sz="4" w:space="0" w:color="auto"/>
            </w:tcBorders>
            <w:vAlign w:val="bottom"/>
          </w:tcPr>
          <w:p w:rsidR="00B048AA" w:rsidRDefault="00B048AA" w:rsidP="00B048AA">
            <w:pPr>
              <w:pStyle w:val="CGCTableStub"/>
              <w:tabs>
                <w:tab w:val="left" w:pos="142"/>
                <w:tab w:val="left" w:pos="425"/>
                <w:tab w:val="left" w:pos="709"/>
                <w:tab w:val="left" w:pos="851"/>
              </w:tabs>
              <w:ind w:left="193" w:hanging="142"/>
              <w:rPr>
                <w:rFonts w:cstheme="minorHAnsi"/>
              </w:rPr>
            </w:pPr>
            <w:r>
              <w:rPr>
                <w:rFonts w:cstheme="minorHAnsi"/>
              </w:rPr>
              <w:t>Sensitivity to royalty rate changes (a)</w:t>
            </w:r>
          </w:p>
        </w:tc>
        <w:tc>
          <w:tcPr>
            <w:tcW w:w="581" w:type="pct"/>
            <w:tcBorders>
              <w:top w:val="single" w:sz="4" w:space="0" w:color="auto"/>
              <w:bottom w:val="single" w:sz="4" w:space="0" w:color="auto"/>
            </w:tcBorders>
            <w:vAlign w:val="bottom"/>
          </w:tcPr>
          <w:p w:rsidR="00B048AA" w:rsidRPr="0084691C" w:rsidRDefault="00B048AA" w:rsidP="00B048AA">
            <w:pPr>
              <w:pStyle w:val="TableRowNormal"/>
              <w:ind w:left="0" w:firstLine="0"/>
              <w:rPr>
                <w:rFonts w:cstheme="minorHAnsi"/>
              </w:rPr>
            </w:pPr>
            <w:r w:rsidRPr="0084691C">
              <w:rPr>
                <w:rFonts w:cstheme="minorHAnsi"/>
              </w:rPr>
              <w:t>17.2</w:t>
            </w:r>
          </w:p>
        </w:tc>
        <w:tc>
          <w:tcPr>
            <w:tcW w:w="424" w:type="pct"/>
            <w:tcBorders>
              <w:top w:val="single" w:sz="4" w:space="0" w:color="auto"/>
              <w:bottom w:val="single" w:sz="4" w:space="0" w:color="auto"/>
            </w:tcBorders>
            <w:vAlign w:val="bottom"/>
          </w:tcPr>
          <w:p w:rsidR="00B048AA" w:rsidRPr="0084691C" w:rsidRDefault="00B048AA" w:rsidP="00B048AA">
            <w:pPr>
              <w:pStyle w:val="TableRowNormal"/>
              <w:ind w:left="0" w:firstLine="0"/>
              <w:rPr>
                <w:rFonts w:cstheme="minorHAnsi"/>
              </w:rPr>
            </w:pPr>
            <w:r w:rsidRPr="0084691C">
              <w:rPr>
                <w:rFonts w:cstheme="minorHAnsi"/>
              </w:rPr>
              <w:t>24.6</w:t>
            </w:r>
          </w:p>
        </w:tc>
        <w:tc>
          <w:tcPr>
            <w:tcW w:w="424" w:type="pct"/>
            <w:tcBorders>
              <w:top w:val="single" w:sz="4" w:space="0" w:color="auto"/>
              <w:bottom w:val="single" w:sz="4" w:space="0" w:color="auto"/>
            </w:tcBorders>
            <w:vAlign w:val="bottom"/>
          </w:tcPr>
          <w:p w:rsidR="00B048AA" w:rsidRPr="0084691C" w:rsidRDefault="00B048AA" w:rsidP="00B048AA">
            <w:pPr>
              <w:pStyle w:val="TableRowNormal"/>
              <w:ind w:left="0" w:firstLine="0"/>
              <w:rPr>
                <w:rFonts w:cstheme="minorHAnsi"/>
              </w:rPr>
            </w:pPr>
            <w:r w:rsidRPr="0084691C">
              <w:rPr>
                <w:rFonts w:cstheme="minorHAnsi"/>
              </w:rPr>
              <w:t>-7.3</w:t>
            </w:r>
          </w:p>
        </w:tc>
        <w:tc>
          <w:tcPr>
            <w:tcW w:w="424" w:type="pct"/>
            <w:tcBorders>
              <w:top w:val="single" w:sz="4" w:space="0" w:color="auto"/>
              <w:bottom w:val="single" w:sz="4" w:space="0" w:color="auto"/>
            </w:tcBorders>
            <w:vAlign w:val="bottom"/>
          </w:tcPr>
          <w:p w:rsidR="00B048AA" w:rsidRPr="0084691C" w:rsidRDefault="00B048AA" w:rsidP="00B048AA">
            <w:pPr>
              <w:pStyle w:val="TableRowNormal"/>
              <w:ind w:left="0" w:firstLine="0"/>
              <w:rPr>
                <w:rFonts w:cstheme="minorHAnsi"/>
              </w:rPr>
            </w:pPr>
            <w:r w:rsidRPr="0084691C">
              <w:rPr>
                <w:rFonts w:cstheme="minorHAnsi"/>
              </w:rPr>
              <w:t>-40.4</w:t>
            </w:r>
          </w:p>
        </w:tc>
        <w:tc>
          <w:tcPr>
            <w:tcW w:w="423" w:type="pct"/>
            <w:tcBorders>
              <w:top w:val="single" w:sz="4" w:space="0" w:color="auto"/>
              <w:bottom w:val="single" w:sz="4" w:space="0" w:color="auto"/>
            </w:tcBorders>
            <w:vAlign w:val="bottom"/>
          </w:tcPr>
          <w:p w:rsidR="00B048AA" w:rsidRPr="0084691C" w:rsidRDefault="00B048AA" w:rsidP="00B048AA">
            <w:pPr>
              <w:pStyle w:val="TableRowNormal"/>
              <w:ind w:left="0" w:firstLine="0"/>
              <w:rPr>
                <w:rFonts w:cstheme="minorHAnsi"/>
              </w:rPr>
            </w:pPr>
            <w:r w:rsidRPr="0084691C">
              <w:rPr>
                <w:rFonts w:cstheme="minorHAnsi"/>
              </w:rPr>
              <w:t>4.1</w:t>
            </w:r>
          </w:p>
        </w:tc>
        <w:tc>
          <w:tcPr>
            <w:tcW w:w="424" w:type="pct"/>
            <w:tcBorders>
              <w:top w:val="single" w:sz="4" w:space="0" w:color="auto"/>
              <w:bottom w:val="single" w:sz="4" w:space="0" w:color="auto"/>
            </w:tcBorders>
            <w:vAlign w:val="bottom"/>
          </w:tcPr>
          <w:p w:rsidR="00B048AA" w:rsidRPr="0084691C" w:rsidRDefault="00B048AA" w:rsidP="00B048AA">
            <w:pPr>
              <w:pStyle w:val="TableRowNormal"/>
              <w:ind w:left="0" w:firstLine="0"/>
              <w:rPr>
                <w:rFonts w:cstheme="minorHAnsi"/>
              </w:rPr>
            </w:pPr>
            <w:r w:rsidRPr="0084691C">
              <w:rPr>
                <w:rFonts w:cstheme="minorHAnsi"/>
              </w:rPr>
              <w:t>1.3</w:t>
            </w:r>
          </w:p>
        </w:tc>
        <w:tc>
          <w:tcPr>
            <w:tcW w:w="424" w:type="pct"/>
            <w:tcBorders>
              <w:top w:val="single" w:sz="4" w:space="0" w:color="auto"/>
              <w:bottom w:val="single" w:sz="4" w:space="0" w:color="auto"/>
            </w:tcBorders>
            <w:vAlign w:val="bottom"/>
          </w:tcPr>
          <w:p w:rsidR="00B048AA" w:rsidRPr="0084691C" w:rsidRDefault="00B048AA" w:rsidP="00B048AA">
            <w:pPr>
              <w:pStyle w:val="TableRowNormal"/>
              <w:ind w:left="0" w:firstLine="0"/>
              <w:rPr>
                <w:rFonts w:cstheme="minorHAnsi"/>
              </w:rPr>
            </w:pPr>
            <w:r w:rsidRPr="0084691C">
              <w:rPr>
                <w:rFonts w:cstheme="minorHAnsi"/>
              </w:rPr>
              <w:t>1.7</w:t>
            </w:r>
          </w:p>
        </w:tc>
        <w:tc>
          <w:tcPr>
            <w:tcW w:w="424" w:type="pct"/>
            <w:tcBorders>
              <w:top w:val="single" w:sz="4" w:space="0" w:color="auto"/>
              <w:bottom w:val="single" w:sz="4" w:space="0" w:color="auto"/>
            </w:tcBorders>
            <w:vAlign w:val="bottom"/>
          </w:tcPr>
          <w:p w:rsidR="00B048AA" w:rsidRPr="0084691C" w:rsidRDefault="00B048AA" w:rsidP="00B048AA">
            <w:pPr>
              <w:pStyle w:val="TableRowNormal"/>
              <w:ind w:left="0" w:firstLine="0"/>
              <w:rPr>
                <w:rFonts w:cstheme="minorHAnsi"/>
              </w:rPr>
            </w:pPr>
            <w:r w:rsidRPr="0084691C">
              <w:rPr>
                <w:rFonts w:cstheme="minorHAnsi"/>
              </w:rPr>
              <w:t>-1.0</w:t>
            </w:r>
          </w:p>
        </w:tc>
        <w:tc>
          <w:tcPr>
            <w:tcW w:w="422" w:type="pct"/>
            <w:tcBorders>
              <w:top w:val="single" w:sz="4" w:space="0" w:color="auto"/>
              <w:bottom w:val="single" w:sz="4" w:space="0" w:color="auto"/>
            </w:tcBorders>
            <w:vAlign w:val="bottom"/>
          </w:tcPr>
          <w:p w:rsidR="00B048AA" w:rsidRPr="002A5DD2" w:rsidRDefault="00B048AA" w:rsidP="00B048AA">
            <w:pPr>
              <w:pStyle w:val="TableRowNormal"/>
              <w:ind w:left="0" w:firstLine="0"/>
              <w:rPr>
                <w:rFonts w:cstheme="minorHAnsi"/>
              </w:rPr>
            </w:pPr>
            <w:r>
              <w:rPr>
                <w:rFonts w:cstheme="minorHAnsi"/>
              </w:rPr>
              <w:t>0.0</w:t>
            </w:r>
          </w:p>
        </w:tc>
      </w:tr>
    </w:tbl>
    <w:p w:rsidR="00B048AA" w:rsidRDefault="00B048AA" w:rsidP="00B048AA">
      <w:pPr>
        <w:pStyle w:val="CGCTableFootnote"/>
      </w:pPr>
      <w:r>
        <w:t>(a)</w:t>
      </w:r>
      <w:r>
        <w:tab/>
        <w:t>This is a State’s population share less its share of value of production.</w:t>
      </w:r>
    </w:p>
    <w:p w:rsidR="00B048AA" w:rsidRDefault="00B048AA" w:rsidP="00B048AA">
      <w:pPr>
        <w:pStyle w:val="CGCTableFootnote"/>
      </w:pPr>
      <w:r>
        <w:t>Source:</w:t>
      </w:r>
      <w:r>
        <w:tab/>
        <w:t>Commission simulation using State provided data.</w:t>
      </w:r>
    </w:p>
    <w:p w:rsidR="00B048AA" w:rsidRDefault="0046608D" w:rsidP="00B048AA">
      <w:pPr>
        <w:pStyle w:val="CGCNumberedPara"/>
      </w:pPr>
      <w:r>
        <w:fldChar w:fldCharType="begin"/>
      </w:r>
      <w:r>
        <w:instrText xml:space="preserve"> REF _Ref529190965 \h </w:instrText>
      </w:r>
      <w:r>
        <w:fldChar w:fldCharType="separate"/>
      </w:r>
      <w:r w:rsidR="00A7301A">
        <w:t>Table </w:t>
      </w:r>
      <w:r w:rsidR="00A7301A">
        <w:rPr>
          <w:noProof/>
        </w:rPr>
        <w:t>2</w:t>
      </w:r>
      <w:r>
        <w:fldChar w:fldCharType="end"/>
      </w:r>
      <w:r w:rsidR="00B048AA">
        <w:t xml:space="preserve"> shows </w:t>
      </w:r>
      <w:r>
        <w:t>full aggregation would have changed States’ GST shares by $330 million</w:t>
      </w:r>
      <w:r w:rsidR="00C34DC6">
        <w:t xml:space="preserve"> in the 2018 Update</w:t>
      </w:r>
      <w:r w:rsidR="00B048AA">
        <w:t>.</w:t>
      </w:r>
      <w:r>
        <w:t xml:space="preserve"> </w:t>
      </w:r>
      <w:r w:rsidR="00303A5D">
        <w:t>Compared with the mineral by mineral approach, i</w:t>
      </w:r>
      <w:r>
        <w:t xml:space="preserve">t would have </w:t>
      </w:r>
      <w:r w:rsidR="00C31093">
        <w:t>increas</w:t>
      </w:r>
      <w:r>
        <w:t xml:space="preserve">ed the assessed capacities of Victoria, </w:t>
      </w:r>
      <w:r w:rsidR="00303A5D">
        <w:t xml:space="preserve">Western Australia, </w:t>
      </w:r>
      <w:r>
        <w:t>South Australia, Tasmania and the Northern Territory.</w:t>
      </w:r>
    </w:p>
    <w:p w:rsidR="00B048AA" w:rsidRDefault="00B048AA" w:rsidP="00B048AA">
      <w:pPr>
        <w:pStyle w:val="CGCTableHeading"/>
      </w:pPr>
      <w:bookmarkStart w:id="41" w:name="_Ref529190965"/>
      <w:r>
        <w:t>Table </w:t>
      </w:r>
      <w:r>
        <w:rPr>
          <w:noProof/>
        </w:rPr>
        <w:fldChar w:fldCharType="begin"/>
      </w:r>
      <w:r>
        <w:rPr>
          <w:noProof/>
        </w:rPr>
        <w:instrText xml:space="preserve"> SEQ Table \* ARABIC </w:instrText>
      </w:r>
      <w:r>
        <w:rPr>
          <w:noProof/>
        </w:rPr>
        <w:fldChar w:fldCharType="separate"/>
      </w:r>
      <w:r w:rsidR="00A7301A">
        <w:rPr>
          <w:noProof/>
        </w:rPr>
        <w:t>2</w:t>
      </w:r>
      <w:r>
        <w:rPr>
          <w:noProof/>
        </w:rPr>
        <w:fldChar w:fldCharType="end"/>
      </w:r>
      <w:bookmarkEnd w:id="41"/>
      <w:r>
        <w:tab/>
        <w:t>Replacing the mineral by mineral assessment with an aggregated assessment, 2018 Update</w:t>
      </w:r>
      <w:r w:rsidR="00C34DC6">
        <w:t xml:space="preserve"> (a)</w:t>
      </w:r>
    </w:p>
    <w:tbl>
      <w:tblPr>
        <w:tblW w:w="5000" w:type="pct"/>
        <w:tblLayout w:type="fixed"/>
        <w:tblCellMar>
          <w:left w:w="0" w:type="dxa"/>
          <w:right w:w="0" w:type="dxa"/>
        </w:tblCellMar>
        <w:tblLook w:val="0000" w:firstRow="0" w:lastRow="0" w:firstColumn="0" w:lastColumn="0" w:noHBand="0" w:noVBand="0"/>
      </w:tblPr>
      <w:tblGrid>
        <w:gridCol w:w="1990"/>
        <w:gridCol w:w="776"/>
        <w:gridCol w:w="776"/>
        <w:gridCol w:w="774"/>
        <w:gridCol w:w="774"/>
        <w:gridCol w:w="774"/>
        <w:gridCol w:w="774"/>
        <w:gridCol w:w="774"/>
        <w:gridCol w:w="774"/>
        <w:gridCol w:w="772"/>
      </w:tblGrid>
      <w:tr w:rsidR="00B048AA" w:rsidRPr="00FE3F73" w:rsidTr="0046608D">
        <w:tc>
          <w:tcPr>
            <w:tcW w:w="1111" w:type="pct"/>
            <w:tcBorders>
              <w:top w:val="single" w:sz="6" w:space="0" w:color="auto"/>
              <w:bottom w:val="single" w:sz="6" w:space="0" w:color="auto"/>
            </w:tcBorders>
            <w:vAlign w:val="center"/>
          </w:tcPr>
          <w:p w:rsidR="00B048AA" w:rsidRPr="00FE3F73" w:rsidRDefault="00B048AA" w:rsidP="00F03139">
            <w:pPr>
              <w:pStyle w:val="CGCTableStub"/>
              <w:spacing w:line="240" w:lineRule="auto"/>
              <w:ind w:left="193" w:hanging="142"/>
              <w:rPr>
                <w:rFonts w:cstheme="minorHAnsi"/>
              </w:rPr>
            </w:pPr>
            <w:r>
              <w:rPr>
                <w:rFonts w:cstheme="minorHAnsi"/>
              </w:rPr>
              <w:t>Aggregation option:</w:t>
            </w:r>
          </w:p>
        </w:tc>
        <w:tc>
          <w:tcPr>
            <w:tcW w:w="433" w:type="pct"/>
            <w:tcBorders>
              <w:top w:val="single" w:sz="6" w:space="0" w:color="auto"/>
              <w:bottom w:val="single" w:sz="6" w:space="0" w:color="auto"/>
            </w:tcBorders>
            <w:vAlign w:val="center"/>
          </w:tcPr>
          <w:p w:rsidR="00B048AA" w:rsidRPr="00FE3F73" w:rsidRDefault="00B048AA" w:rsidP="00F03139">
            <w:pPr>
              <w:pStyle w:val="TableColHeadings"/>
              <w:rPr>
                <w:rFonts w:cstheme="minorHAnsi"/>
              </w:rPr>
            </w:pPr>
            <w:r w:rsidRPr="00FE3F73">
              <w:rPr>
                <w:rFonts w:cstheme="minorHAnsi"/>
              </w:rPr>
              <w:t>NSW</w:t>
            </w:r>
          </w:p>
        </w:tc>
        <w:tc>
          <w:tcPr>
            <w:tcW w:w="433" w:type="pct"/>
            <w:tcBorders>
              <w:top w:val="single" w:sz="6" w:space="0" w:color="auto"/>
              <w:bottom w:val="single" w:sz="6" w:space="0" w:color="auto"/>
            </w:tcBorders>
            <w:vAlign w:val="center"/>
          </w:tcPr>
          <w:p w:rsidR="00B048AA" w:rsidRPr="00FE3F73" w:rsidRDefault="00B048AA" w:rsidP="00F03139">
            <w:pPr>
              <w:pStyle w:val="TableColHeadings"/>
              <w:rPr>
                <w:rFonts w:cstheme="minorHAnsi"/>
              </w:rPr>
            </w:pPr>
            <w:r w:rsidRPr="00FE3F73">
              <w:rPr>
                <w:rFonts w:cstheme="minorHAnsi"/>
              </w:rPr>
              <w:t>Vic</w:t>
            </w:r>
          </w:p>
        </w:tc>
        <w:tc>
          <w:tcPr>
            <w:tcW w:w="432" w:type="pct"/>
            <w:tcBorders>
              <w:top w:val="single" w:sz="6" w:space="0" w:color="auto"/>
              <w:bottom w:val="single" w:sz="6" w:space="0" w:color="auto"/>
            </w:tcBorders>
            <w:vAlign w:val="center"/>
          </w:tcPr>
          <w:p w:rsidR="00B048AA" w:rsidRPr="00FE3F73" w:rsidRDefault="00B048AA" w:rsidP="00F03139">
            <w:pPr>
              <w:pStyle w:val="TableColHeadings"/>
              <w:rPr>
                <w:rFonts w:cstheme="minorHAnsi"/>
              </w:rPr>
            </w:pPr>
            <w:r w:rsidRPr="00FE3F73">
              <w:rPr>
                <w:rFonts w:cstheme="minorHAnsi"/>
              </w:rPr>
              <w:t>Qld</w:t>
            </w:r>
          </w:p>
        </w:tc>
        <w:tc>
          <w:tcPr>
            <w:tcW w:w="432" w:type="pct"/>
            <w:tcBorders>
              <w:top w:val="single" w:sz="6" w:space="0" w:color="auto"/>
              <w:bottom w:val="single" w:sz="6" w:space="0" w:color="auto"/>
            </w:tcBorders>
            <w:vAlign w:val="center"/>
          </w:tcPr>
          <w:p w:rsidR="00B048AA" w:rsidRPr="00FE3F73" w:rsidRDefault="00B048AA" w:rsidP="00F03139">
            <w:pPr>
              <w:pStyle w:val="TableColHeadings"/>
              <w:rPr>
                <w:rFonts w:cstheme="minorHAnsi"/>
              </w:rPr>
            </w:pPr>
            <w:r w:rsidRPr="00FE3F73">
              <w:rPr>
                <w:rFonts w:cstheme="minorHAnsi"/>
              </w:rPr>
              <w:t>WA</w:t>
            </w:r>
          </w:p>
        </w:tc>
        <w:tc>
          <w:tcPr>
            <w:tcW w:w="432" w:type="pct"/>
            <w:tcBorders>
              <w:top w:val="single" w:sz="6" w:space="0" w:color="auto"/>
              <w:bottom w:val="single" w:sz="6" w:space="0" w:color="auto"/>
            </w:tcBorders>
            <w:vAlign w:val="center"/>
          </w:tcPr>
          <w:p w:rsidR="00B048AA" w:rsidRPr="00FE3F73" w:rsidRDefault="00B048AA" w:rsidP="00F03139">
            <w:pPr>
              <w:pStyle w:val="TableColHeadings"/>
              <w:rPr>
                <w:rFonts w:cstheme="minorHAnsi"/>
              </w:rPr>
            </w:pPr>
            <w:r w:rsidRPr="00FE3F73">
              <w:rPr>
                <w:rFonts w:cstheme="minorHAnsi"/>
              </w:rPr>
              <w:t>SA</w:t>
            </w:r>
          </w:p>
        </w:tc>
        <w:tc>
          <w:tcPr>
            <w:tcW w:w="432" w:type="pct"/>
            <w:tcBorders>
              <w:top w:val="single" w:sz="6" w:space="0" w:color="auto"/>
              <w:bottom w:val="single" w:sz="6" w:space="0" w:color="auto"/>
            </w:tcBorders>
            <w:vAlign w:val="center"/>
          </w:tcPr>
          <w:p w:rsidR="00B048AA" w:rsidRPr="00FE3F73" w:rsidRDefault="00B048AA" w:rsidP="00F03139">
            <w:pPr>
              <w:pStyle w:val="TableColHeadings"/>
              <w:rPr>
                <w:rFonts w:cstheme="minorHAnsi"/>
              </w:rPr>
            </w:pPr>
            <w:proofErr w:type="spellStart"/>
            <w:r w:rsidRPr="00FE3F73">
              <w:rPr>
                <w:rFonts w:cstheme="minorHAnsi"/>
              </w:rPr>
              <w:t>Tas</w:t>
            </w:r>
            <w:proofErr w:type="spellEnd"/>
          </w:p>
        </w:tc>
        <w:tc>
          <w:tcPr>
            <w:tcW w:w="432" w:type="pct"/>
            <w:tcBorders>
              <w:top w:val="single" w:sz="6" w:space="0" w:color="auto"/>
              <w:bottom w:val="single" w:sz="6" w:space="0" w:color="auto"/>
            </w:tcBorders>
            <w:vAlign w:val="center"/>
          </w:tcPr>
          <w:p w:rsidR="00B048AA" w:rsidRPr="00FE3F73" w:rsidRDefault="00B048AA" w:rsidP="00F03139">
            <w:pPr>
              <w:pStyle w:val="TableColHeadings"/>
              <w:rPr>
                <w:rFonts w:cstheme="minorHAnsi"/>
              </w:rPr>
            </w:pPr>
            <w:r w:rsidRPr="00FE3F73">
              <w:rPr>
                <w:rFonts w:cstheme="minorHAnsi"/>
              </w:rPr>
              <w:t>ACT</w:t>
            </w:r>
          </w:p>
        </w:tc>
        <w:tc>
          <w:tcPr>
            <w:tcW w:w="432" w:type="pct"/>
            <w:tcBorders>
              <w:top w:val="single" w:sz="6" w:space="0" w:color="auto"/>
              <w:bottom w:val="single" w:sz="6" w:space="0" w:color="auto"/>
            </w:tcBorders>
            <w:vAlign w:val="center"/>
          </w:tcPr>
          <w:p w:rsidR="00B048AA" w:rsidRPr="00FE3F73" w:rsidRDefault="00B048AA" w:rsidP="00F03139">
            <w:pPr>
              <w:pStyle w:val="TableColHeadings"/>
              <w:rPr>
                <w:rFonts w:cstheme="minorHAnsi"/>
              </w:rPr>
            </w:pPr>
            <w:r w:rsidRPr="00FE3F73">
              <w:rPr>
                <w:rFonts w:cstheme="minorHAnsi"/>
              </w:rPr>
              <w:t>NT</w:t>
            </w:r>
          </w:p>
        </w:tc>
        <w:tc>
          <w:tcPr>
            <w:tcW w:w="431" w:type="pct"/>
            <w:tcBorders>
              <w:top w:val="single" w:sz="6" w:space="0" w:color="auto"/>
              <w:bottom w:val="single" w:sz="6" w:space="0" w:color="auto"/>
            </w:tcBorders>
            <w:vAlign w:val="center"/>
          </w:tcPr>
          <w:p w:rsidR="00B048AA" w:rsidRPr="00FE3F73" w:rsidRDefault="00B048AA" w:rsidP="00F03139">
            <w:pPr>
              <w:pStyle w:val="TableColHeadings"/>
              <w:rPr>
                <w:rFonts w:cstheme="minorHAnsi"/>
              </w:rPr>
            </w:pPr>
            <w:proofErr w:type="spellStart"/>
            <w:r>
              <w:rPr>
                <w:rFonts w:cstheme="minorHAnsi"/>
              </w:rPr>
              <w:t>Redist</w:t>
            </w:r>
            <w:proofErr w:type="spellEnd"/>
          </w:p>
        </w:tc>
      </w:tr>
      <w:tr w:rsidR="00B048AA" w:rsidRPr="00FE3F73" w:rsidTr="0046608D">
        <w:tc>
          <w:tcPr>
            <w:tcW w:w="1111" w:type="pct"/>
            <w:tcMar>
              <w:top w:w="0" w:type="dxa"/>
              <w:bottom w:w="0" w:type="dxa"/>
            </w:tcMar>
            <w:vAlign w:val="bottom"/>
          </w:tcPr>
          <w:p w:rsidR="00B048AA" w:rsidRPr="00FE3F73" w:rsidRDefault="00B048AA" w:rsidP="00F03139">
            <w:pPr>
              <w:pStyle w:val="CGCTableStub"/>
              <w:spacing w:before="0" w:after="0" w:line="240" w:lineRule="auto"/>
              <w:ind w:left="193" w:hanging="142"/>
              <w:jc w:val="right"/>
              <w:rPr>
                <w:rFonts w:cstheme="minorHAnsi"/>
              </w:rPr>
            </w:pPr>
          </w:p>
        </w:tc>
        <w:tc>
          <w:tcPr>
            <w:tcW w:w="433" w:type="pct"/>
            <w:tcMar>
              <w:top w:w="0" w:type="dxa"/>
              <w:bottom w:w="0" w:type="dxa"/>
            </w:tcMar>
            <w:vAlign w:val="bottom"/>
          </w:tcPr>
          <w:p w:rsidR="00B048AA" w:rsidRPr="00FE3F73" w:rsidRDefault="00B048AA" w:rsidP="00F03139">
            <w:pPr>
              <w:pStyle w:val="TableRowNormal"/>
              <w:spacing w:before="0" w:after="0" w:line="240" w:lineRule="auto"/>
              <w:ind w:left="0" w:firstLine="0"/>
              <w:rPr>
                <w:rFonts w:cstheme="minorHAnsi"/>
              </w:rPr>
            </w:pPr>
            <w:r>
              <w:rPr>
                <w:rFonts w:cstheme="minorHAnsi"/>
              </w:rPr>
              <w:t>$m</w:t>
            </w:r>
          </w:p>
        </w:tc>
        <w:tc>
          <w:tcPr>
            <w:tcW w:w="433" w:type="pct"/>
            <w:tcMar>
              <w:top w:w="0" w:type="dxa"/>
              <w:bottom w:w="0" w:type="dxa"/>
            </w:tcMar>
            <w:vAlign w:val="bottom"/>
          </w:tcPr>
          <w:p w:rsidR="00B048AA" w:rsidRPr="00FE3F73" w:rsidRDefault="00B048AA" w:rsidP="00F03139">
            <w:pPr>
              <w:pStyle w:val="TableRowNormal"/>
              <w:spacing w:before="0" w:after="0" w:line="240" w:lineRule="auto"/>
              <w:ind w:left="0" w:firstLine="0"/>
              <w:rPr>
                <w:rFonts w:cstheme="minorHAnsi"/>
              </w:rPr>
            </w:pPr>
            <w:r>
              <w:rPr>
                <w:rFonts w:cstheme="minorHAnsi"/>
              </w:rPr>
              <w:t>$m</w:t>
            </w:r>
          </w:p>
        </w:tc>
        <w:tc>
          <w:tcPr>
            <w:tcW w:w="432" w:type="pct"/>
            <w:tcMar>
              <w:top w:w="0" w:type="dxa"/>
              <w:bottom w:w="0" w:type="dxa"/>
            </w:tcMar>
            <w:vAlign w:val="bottom"/>
          </w:tcPr>
          <w:p w:rsidR="00B048AA" w:rsidRPr="00FE3F73" w:rsidRDefault="00B048AA" w:rsidP="00F03139">
            <w:pPr>
              <w:pStyle w:val="TableRowNormal"/>
              <w:spacing w:before="0" w:after="0" w:line="240" w:lineRule="auto"/>
              <w:ind w:left="0" w:firstLine="0"/>
              <w:rPr>
                <w:rFonts w:cstheme="minorHAnsi"/>
              </w:rPr>
            </w:pPr>
            <w:r>
              <w:rPr>
                <w:rFonts w:cstheme="minorHAnsi"/>
              </w:rPr>
              <w:t>$m</w:t>
            </w:r>
          </w:p>
        </w:tc>
        <w:tc>
          <w:tcPr>
            <w:tcW w:w="432" w:type="pct"/>
            <w:tcMar>
              <w:top w:w="0" w:type="dxa"/>
              <w:bottom w:w="0" w:type="dxa"/>
            </w:tcMar>
            <w:vAlign w:val="bottom"/>
          </w:tcPr>
          <w:p w:rsidR="00B048AA" w:rsidRPr="00FE3F73" w:rsidRDefault="00B048AA" w:rsidP="00F03139">
            <w:pPr>
              <w:pStyle w:val="TableRowNormal"/>
              <w:spacing w:before="0" w:after="0" w:line="240" w:lineRule="auto"/>
              <w:ind w:left="0" w:firstLine="0"/>
              <w:rPr>
                <w:rFonts w:cstheme="minorHAnsi"/>
              </w:rPr>
            </w:pPr>
            <w:r>
              <w:rPr>
                <w:rFonts w:cstheme="minorHAnsi"/>
              </w:rPr>
              <w:t>$m</w:t>
            </w:r>
          </w:p>
        </w:tc>
        <w:tc>
          <w:tcPr>
            <w:tcW w:w="432" w:type="pct"/>
            <w:tcMar>
              <w:top w:w="0" w:type="dxa"/>
              <w:bottom w:w="0" w:type="dxa"/>
            </w:tcMar>
            <w:vAlign w:val="bottom"/>
          </w:tcPr>
          <w:p w:rsidR="00B048AA" w:rsidRPr="00FE3F73" w:rsidRDefault="00B048AA" w:rsidP="00F03139">
            <w:pPr>
              <w:pStyle w:val="TableRowNormal"/>
              <w:spacing w:before="0" w:after="0" w:line="240" w:lineRule="auto"/>
              <w:ind w:left="0" w:firstLine="0"/>
              <w:rPr>
                <w:rFonts w:cstheme="minorHAnsi"/>
              </w:rPr>
            </w:pPr>
            <w:r>
              <w:rPr>
                <w:rFonts w:cstheme="minorHAnsi"/>
              </w:rPr>
              <w:t>$m</w:t>
            </w:r>
          </w:p>
        </w:tc>
        <w:tc>
          <w:tcPr>
            <w:tcW w:w="432" w:type="pct"/>
            <w:tcMar>
              <w:top w:w="0" w:type="dxa"/>
              <w:bottom w:w="0" w:type="dxa"/>
            </w:tcMar>
            <w:vAlign w:val="bottom"/>
          </w:tcPr>
          <w:p w:rsidR="00B048AA" w:rsidRPr="00FE3F73" w:rsidRDefault="00B048AA" w:rsidP="00F03139">
            <w:pPr>
              <w:pStyle w:val="TableRowNormal"/>
              <w:spacing w:before="0" w:after="0" w:line="240" w:lineRule="auto"/>
              <w:ind w:left="0" w:firstLine="0"/>
              <w:rPr>
                <w:rFonts w:cstheme="minorHAnsi"/>
              </w:rPr>
            </w:pPr>
            <w:r>
              <w:rPr>
                <w:rFonts w:cstheme="minorHAnsi"/>
              </w:rPr>
              <w:t>$m</w:t>
            </w:r>
          </w:p>
        </w:tc>
        <w:tc>
          <w:tcPr>
            <w:tcW w:w="432" w:type="pct"/>
            <w:tcMar>
              <w:top w:w="0" w:type="dxa"/>
              <w:bottom w:w="0" w:type="dxa"/>
            </w:tcMar>
            <w:vAlign w:val="bottom"/>
          </w:tcPr>
          <w:p w:rsidR="00B048AA" w:rsidRPr="00FE3F73" w:rsidRDefault="00B048AA" w:rsidP="00F03139">
            <w:pPr>
              <w:pStyle w:val="TableRowNormal"/>
              <w:spacing w:before="0" w:after="0" w:line="240" w:lineRule="auto"/>
              <w:ind w:left="0" w:firstLine="0"/>
              <w:rPr>
                <w:rFonts w:cstheme="minorHAnsi"/>
              </w:rPr>
            </w:pPr>
            <w:r>
              <w:rPr>
                <w:rFonts w:cstheme="minorHAnsi"/>
              </w:rPr>
              <w:t>$m</w:t>
            </w:r>
          </w:p>
        </w:tc>
        <w:tc>
          <w:tcPr>
            <w:tcW w:w="432" w:type="pct"/>
            <w:tcMar>
              <w:top w:w="0" w:type="dxa"/>
              <w:bottom w:w="0" w:type="dxa"/>
            </w:tcMar>
            <w:vAlign w:val="bottom"/>
          </w:tcPr>
          <w:p w:rsidR="00B048AA" w:rsidRPr="00FE3F73" w:rsidRDefault="00B048AA" w:rsidP="00F03139">
            <w:pPr>
              <w:pStyle w:val="TableRowNormal"/>
              <w:spacing w:before="0" w:after="0" w:line="240" w:lineRule="auto"/>
              <w:ind w:left="0" w:firstLine="0"/>
              <w:rPr>
                <w:rFonts w:cstheme="minorHAnsi"/>
              </w:rPr>
            </w:pPr>
            <w:r>
              <w:rPr>
                <w:rFonts w:cstheme="minorHAnsi"/>
              </w:rPr>
              <w:t>$m</w:t>
            </w:r>
          </w:p>
        </w:tc>
        <w:tc>
          <w:tcPr>
            <w:tcW w:w="431" w:type="pct"/>
            <w:tcMar>
              <w:top w:w="0" w:type="dxa"/>
              <w:bottom w:w="0" w:type="dxa"/>
            </w:tcMar>
            <w:vAlign w:val="bottom"/>
          </w:tcPr>
          <w:p w:rsidR="00B048AA" w:rsidRPr="00FE3F73" w:rsidRDefault="00B048AA" w:rsidP="00F03139">
            <w:pPr>
              <w:pStyle w:val="TableRowNormal"/>
              <w:spacing w:before="0" w:after="0" w:line="240" w:lineRule="auto"/>
              <w:ind w:left="0" w:firstLine="0"/>
              <w:rPr>
                <w:rFonts w:cstheme="minorHAnsi"/>
              </w:rPr>
            </w:pPr>
            <w:r>
              <w:rPr>
                <w:rFonts w:cstheme="minorHAnsi"/>
              </w:rPr>
              <w:t>$m</w:t>
            </w:r>
          </w:p>
        </w:tc>
      </w:tr>
      <w:tr w:rsidR="0046608D" w:rsidRPr="00FE3F73" w:rsidTr="0046608D">
        <w:tc>
          <w:tcPr>
            <w:tcW w:w="1111" w:type="pct"/>
            <w:vAlign w:val="bottom"/>
          </w:tcPr>
          <w:p w:rsidR="0046608D" w:rsidRDefault="0046608D" w:rsidP="0046608D">
            <w:pPr>
              <w:pStyle w:val="CGCTableStub"/>
              <w:tabs>
                <w:tab w:val="left" w:pos="142"/>
                <w:tab w:val="left" w:pos="425"/>
                <w:tab w:val="left" w:pos="709"/>
                <w:tab w:val="left" w:pos="851"/>
              </w:tabs>
              <w:ind w:left="193" w:hanging="142"/>
              <w:rPr>
                <w:rFonts w:cstheme="minorHAnsi"/>
              </w:rPr>
            </w:pPr>
            <w:r>
              <w:rPr>
                <w:rFonts w:cstheme="minorHAnsi"/>
              </w:rPr>
              <w:t>2018 Update</w:t>
            </w:r>
          </w:p>
        </w:tc>
        <w:tc>
          <w:tcPr>
            <w:tcW w:w="433" w:type="pct"/>
            <w:vAlign w:val="bottom"/>
          </w:tcPr>
          <w:p w:rsidR="0046608D" w:rsidRPr="0046608D" w:rsidRDefault="0046608D" w:rsidP="0046608D">
            <w:pPr>
              <w:pStyle w:val="TableRowNormal"/>
              <w:ind w:left="0" w:firstLine="0"/>
              <w:rPr>
                <w:rFonts w:cstheme="minorHAnsi"/>
              </w:rPr>
            </w:pPr>
            <w:r w:rsidRPr="0046608D">
              <w:rPr>
                <w:rFonts w:cstheme="minorHAnsi"/>
              </w:rPr>
              <w:t>1</w:t>
            </w:r>
            <w:r>
              <w:rPr>
                <w:rFonts w:cstheme="minorHAnsi"/>
              </w:rPr>
              <w:t xml:space="preserve"> </w:t>
            </w:r>
            <w:r w:rsidRPr="0046608D">
              <w:rPr>
                <w:rFonts w:cstheme="minorHAnsi"/>
              </w:rPr>
              <w:t>702</w:t>
            </w:r>
          </w:p>
        </w:tc>
        <w:tc>
          <w:tcPr>
            <w:tcW w:w="433" w:type="pct"/>
            <w:vAlign w:val="bottom"/>
          </w:tcPr>
          <w:p w:rsidR="0046608D" w:rsidRPr="0046608D" w:rsidRDefault="0046608D" w:rsidP="0046608D">
            <w:pPr>
              <w:pStyle w:val="TableRowNormal"/>
              <w:ind w:left="0" w:firstLine="0"/>
              <w:rPr>
                <w:rFonts w:cstheme="minorHAnsi"/>
              </w:rPr>
            </w:pPr>
            <w:r w:rsidRPr="0046608D">
              <w:rPr>
                <w:rFonts w:cstheme="minorHAnsi"/>
              </w:rPr>
              <w:t>2</w:t>
            </w:r>
            <w:r>
              <w:rPr>
                <w:rFonts w:cstheme="minorHAnsi"/>
              </w:rPr>
              <w:t xml:space="preserve"> </w:t>
            </w:r>
            <w:r w:rsidRPr="0046608D">
              <w:rPr>
                <w:rFonts w:cstheme="minorHAnsi"/>
              </w:rPr>
              <w:t>583</w:t>
            </w:r>
          </w:p>
        </w:tc>
        <w:tc>
          <w:tcPr>
            <w:tcW w:w="432" w:type="pct"/>
            <w:vAlign w:val="bottom"/>
          </w:tcPr>
          <w:p w:rsidR="0046608D" w:rsidRPr="0046608D" w:rsidRDefault="0046608D" w:rsidP="0046608D">
            <w:pPr>
              <w:pStyle w:val="TableRowNormal"/>
              <w:ind w:left="0" w:firstLine="0"/>
              <w:rPr>
                <w:rFonts w:cstheme="minorHAnsi"/>
              </w:rPr>
            </w:pPr>
            <w:r w:rsidRPr="0046608D">
              <w:rPr>
                <w:rFonts w:cstheme="minorHAnsi"/>
              </w:rPr>
              <w:t>-825</w:t>
            </w:r>
          </w:p>
        </w:tc>
        <w:tc>
          <w:tcPr>
            <w:tcW w:w="432" w:type="pct"/>
            <w:vAlign w:val="bottom"/>
          </w:tcPr>
          <w:p w:rsidR="0046608D" w:rsidRPr="0046608D" w:rsidRDefault="0046608D" w:rsidP="0046608D">
            <w:pPr>
              <w:pStyle w:val="TableRowNormal"/>
              <w:ind w:left="0" w:firstLine="0"/>
              <w:rPr>
                <w:rFonts w:cstheme="minorHAnsi"/>
              </w:rPr>
            </w:pPr>
            <w:r w:rsidRPr="0046608D">
              <w:rPr>
                <w:rFonts w:cstheme="minorHAnsi"/>
              </w:rPr>
              <w:t>-4</w:t>
            </w:r>
            <w:r>
              <w:rPr>
                <w:rFonts w:cstheme="minorHAnsi"/>
              </w:rPr>
              <w:t xml:space="preserve"> </w:t>
            </w:r>
            <w:r w:rsidRPr="0046608D">
              <w:rPr>
                <w:rFonts w:cstheme="minorHAnsi"/>
              </w:rPr>
              <w:t>161</w:t>
            </w:r>
          </w:p>
        </w:tc>
        <w:tc>
          <w:tcPr>
            <w:tcW w:w="432" w:type="pct"/>
            <w:vAlign w:val="bottom"/>
          </w:tcPr>
          <w:p w:rsidR="0046608D" w:rsidRPr="0046608D" w:rsidRDefault="0046608D" w:rsidP="0046608D">
            <w:pPr>
              <w:pStyle w:val="TableRowNormal"/>
              <w:ind w:left="0" w:firstLine="0"/>
              <w:rPr>
                <w:rFonts w:cstheme="minorHAnsi"/>
              </w:rPr>
            </w:pPr>
            <w:r w:rsidRPr="0046608D">
              <w:rPr>
                <w:rFonts w:cstheme="minorHAnsi"/>
              </w:rPr>
              <w:t>426</w:t>
            </w:r>
          </w:p>
        </w:tc>
        <w:tc>
          <w:tcPr>
            <w:tcW w:w="432" w:type="pct"/>
            <w:vAlign w:val="bottom"/>
          </w:tcPr>
          <w:p w:rsidR="0046608D" w:rsidRPr="0046608D" w:rsidRDefault="0046608D" w:rsidP="0046608D">
            <w:pPr>
              <w:pStyle w:val="TableRowNormal"/>
              <w:ind w:left="0" w:firstLine="0"/>
              <w:rPr>
                <w:rFonts w:cstheme="minorHAnsi"/>
              </w:rPr>
            </w:pPr>
            <w:r w:rsidRPr="0046608D">
              <w:rPr>
                <w:rFonts w:cstheme="minorHAnsi"/>
              </w:rPr>
              <w:t>160</w:t>
            </w:r>
          </w:p>
        </w:tc>
        <w:tc>
          <w:tcPr>
            <w:tcW w:w="432" w:type="pct"/>
            <w:vAlign w:val="bottom"/>
          </w:tcPr>
          <w:p w:rsidR="0046608D" w:rsidRPr="0046608D" w:rsidRDefault="0046608D" w:rsidP="0046608D">
            <w:pPr>
              <w:pStyle w:val="TableRowNormal"/>
              <w:ind w:left="0" w:firstLine="0"/>
              <w:rPr>
                <w:rFonts w:cstheme="minorHAnsi"/>
              </w:rPr>
            </w:pPr>
            <w:r w:rsidRPr="0046608D">
              <w:rPr>
                <w:rFonts w:cstheme="minorHAnsi"/>
              </w:rPr>
              <w:t>173</w:t>
            </w:r>
          </w:p>
        </w:tc>
        <w:tc>
          <w:tcPr>
            <w:tcW w:w="432" w:type="pct"/>
            <w:vAlign w:val="bottom"/>
          </w:tcPr>
          <w:p w:rsidR="0046608D" w:rsidRPr="0046608D" w:rsidRDefault="0046608D" w:rsidP="0046608D">
            <w:pPr>
              <w:pStyle w:val="TableRowNormal"/>
              <w:ind w:left="0" w:firstLine="0"/>
              <w:rPr>
                <w:rFonts w:cstheme="minorHAnsi"/>
              </w:rPr>
            </w:pPr>
            <w:r w:rsidRPr="0046608D">
              <w:rPr>
                <w:rFonts w:cstheme="minorHAnsi"/>
              </w:rPr>
              <w:t>-58</w:t>
            </w:r>
          </w:p>
        </w:tc>
        <w:tc>
          <w:tcPr>
            <w:tcW w:w="431" w:type="pct"/>
            <w:vAlign w:val="bottom"/>
          </w:tcPr>
          <w:p w:rsidR="0046608D" w:rsidRPr="0046608D" w:rsidRDefault="0046608D" w:rsidP="0046608D">
            <w:pPr>
              <w:pStyle w:val="TableRowNormal"/>
              <w:ind w:left="0" w:firstLine="0"/>
              <w:rPr>
                <w:rFonts w:cstheme="minorHAnsi"/>
              </w:rPr>
            </w:pPr>
            <w:r w:rsidRPr="0046608D">
              <w:rPr>
                <w:rFonts w:cstheme="minorHAnsi"/>
              </w:rPr>
              <w:t>5</w:t>
            </w:r>
            <w:r>
              <w:rPr>
                <w:rFonts w:cstheme="minorHAnsi"/>
              </w:rPr>
              <w:t xml:space="preserve"> </w:t>
            </w:r>
            <w:r w:rsidRPr="0046608D">
              <w:rPr>
                <w:rFonts w:cstheme="minorHAnsi"/>
              </w:rPr>
              <w:t>044</w:t>
            </w:r>
          </w:p>
        </w:tc>
      </w:tr>
      <w:tr w:rsidR="0046608D" w:rsidRPr="00FE3F73" w:rsidTr="0046608D">
        <w:tc>
          <w:tcPr>
            <w:tcW w:w="1111" w:type="pct"/>
            <w:vAlign w:val="bottom"/>
          </w:tcPr>
          <w:p w:rsidR="0046608D" w:rsidRDefault="0046608D" w:rsidP="0046608D">
            <w:pPr>
              <w:pStyle w:val="CGCTableStub"/>
              <w:tabs>
                <w:tab w:val="left" w:pos="142"/>
                <w:tab w:val="left" w:pos="425"/>
                <w:tab w:val="left" w:pos="709"/>
                <w:tab w:val="left" w:pos="851"/>
              </w:tabs>
              <w:ind w:left="193" w:hanging="142"/>
              <w:rPr>
                <w:rFonts w:cstheme="minorHAnsi"/>
              </w:rPr>
            </w:pPr>
            <w:r>
              <w:rPr>
                <w:rFonts w:cstheme="minorHAnsi"/>
              </w:rPr>
              <w:t>Full aggregation</w:t>
            </w:r>
          </w:p>
        </w:tc>
        <w:tc>
          <w:tcPr>
            <w:tcW w:w="433" w:type="pct"/>
            <w:tcBorders>
              <w:bottom w:val="single" w:sz="4" w:space="0" w:color="auto"/>
            </w:tcBorders>
            <w:vAlign w:val="bottom"/>
          </w:tcPr>
          <w:p w:rsidR="0046608D" w:rsidRPr="0046608D" w:rsidRDefault="0046608D" w:rsidP="0046608D">
            <w:pPr>
              <w:pStyle w:val="TableRowNormal"/>
              <w:ind w:left="0" w:firstLine="0"/>
              <w:rPr>
                <w:rFonts w:cstheme="minorHAnsi"/>
              </w:rPr>
            </w:pPr>
            <w:r w:rsidRPr="0046608D">
              <w:rPr>
                <w:rFonts w:cstheme="minorHAnsi"/>
              </w:rPr>
              <w:t>1</w:t>
            </w:r>
            <w:r>
              <w:rPr>
                <w:rFonts w:cstheme="minorHAnsi"/>
              </w:rPr>
              <w:t xml:space="preserve"> </w:t>
            </w:r>
            <w:r w:rsidRPr="0046608D">
              <w:rPr>
                <w:rFonts w:cstheme="minorHAnsi"/>
              </w:rPr>
              <w:t>779</w:t>
            </w:r>
          </w:p>
        </w:tc>
        <w:tc>
          <w:tcPr>
            <w:tcW w:w="433" w:type="pct"/>
            <w:tcBorders>
              <w:bottom w:val="single" w:sz="4" w:space="0" w:color="auto"/>
            </w:tcBorders>
            <w:vAlign w:val="bottom"/>
          </w:tcPr>
          <w:p w:rsidR="0046608D" w:rsidRPr="0046608D" w:rsidRDefault="0046608D" w:rsidP="0046608D">
            <w:pPr>
              <w:pStyle w:val="TableRowNormal"/>
              <w:ind w:left="0" w:firstLine="0"/>
              <w:rPr>
                <w:rFonts w:cstheme="minorHAnsi"/>
              </w:rPr>
            </w:pPr>
            <w:r w:rsidRPr="0046608D">
              <w:rPr>
                <w:rFonts w:cstheme="minorHAnsi"/>
              </w:rPr>
              <w:t>2</w:t>
            </w:r>
            <w:r>
              <w:rPr>
                <w:rFonts w:cstheme="minorHAnsi"/>
              </w:rPr>
              <w:t xml:space="preserve"> </w:t>
            </w:r>
            <w:r w:rsidRPr="0046608D">
              <w:rPr>
                <w:rFonts w:cstheme="minorHAnsi"/>
              </w:rPr>
              <w:t>551</w:t>
            </w:r>
          </w:p>
        </w:tc>
        <w:tc>
          <w:tcPr>
            <w:tcW w:w="432" w:type="pct"/>
            <w:tcBorders>
              <w:bottom w:val="single" w:sz="4" w:space="0" w:color="auto"/>
            </w:tcBorders>
            <w:vAlign w:val="bottom"/>
          </w:tcPr>
          <w:p w:rsidR="0046608D" w:rsidRPr="0046608D" w:rsidRDefault="0046608D" w:rsidP="0046608D">
            <w:pPr>
              <w:pStyle w:val="TableRowNormal"/>
              <w:ind w:left="0" w:firstLine="0"/>
              <w:rPr>
                <w:rFonts w:cstheme="minorHAnsi"/>
              </w:rPr>
            </w:pPr>
            <w:r w:rsidRPr="0046608D">
              <w:rPr>
                <w:rFonts w:cstheme="minorHAnsi"/>
              </w:rPr>
              <w:t>-573</w:t>
            </w:r>
          </w:p>
        </w:tc>
        <w:tc>
          <w:tcPr>
            <w:tcW w:w="432" w:type="pct"/>
            <w:tcBorders>
              <w:bottom w:val="single" w:sz="4" w:space="0" w:color="auto"/>
            </w:tcBorders>
            <w:vAlign w:val="bottom"/>
          </w:tcPr>
          <w:p w:rsidR="0046608D" w:rsidRPr="0046608D" w:rsidRDefault="0046608D" w:rsidP="0046608D">
            <w:pPr>
              <w:pStyle w:val="TableRowNormal"/>
              <w:ind w:left="0" w:firstLine="0"/>
              <w:rPr>
                <w:rFonts w:cstheme="minorHAnsi"/>
              </w:rPr>
            </w:pPr>
            <w:r w:rsidRPr="0046608D">
              <w:rPr>
                <w:rFonts w:cstheme="minorHAnsi"/>
              </w:rPr>
              <w:t>-4</w:t>
            </w:r>
            <w:r>
              <w:rPr>
                <w:rFonts w:cstheme="minorHAnsi"/>
              </w:rPr>
              <w:t xml:space="preserve"> </w:t>
            </w:r>
            <w:r w:rsidRPr="0046608D">
              <w:rPr>
                <w:rFonts w:cstheme="minorHAnsi"/>
              </w:rPr>
              <w:t>330</w:t>
            </w:r>
          </w:p>
        </w:tc>
        <w:tc>
          <w:tcPr>
            <w:tcW w:w="432" w:type="pct"/>
            <w:tcBorders>
              <w:bottom w:val="single" w:sz="4" w:space="0" w:color="auto"/>
            </w:tcBorders>
            <w:vAlign w:val="bottom"/>
          </w:tcPr>
          <w:p w:rsidR="0046608D" w:rsidRPr="0046608D" w:rsidRDefault="0046608D" w:rsidP="0046608D">
            <w:pPr>
              <w:pStyle w:val="TableRowNormal"/>
              <w:ind w:left="0" w:firstLine="0"/>
              <w:rPr>
                <w:rFonts w:cstheme="minorHAnsi"/>
              </w:rPr>
            </w:pPr>
            <w:r w:rsidRPr="0046608D">
              <w:rPr>
                <w:rFonts w:cstheme="minorHAnsi"/>
              </w:rPr>
              <w:t>357</w:t>
            </w:r>
          </w:p>
        </w:tc>
        <w:tc>
          <w:tcPr>
            <w:tcW w:w="432" w:type="pct"/>
            <w:tcBorders>
              <w:bottom w:val="single" w:sz="4" w:space="0" w:color="auto"/>
            </w:tcBorders>
            <w:vAlign w:val="bottom"/>
          </w:tcPr>
          <w:p w:rsidR="0046608D" w:rsidRPr="0046608D" w:rsidRDefault="0046608D" w:rsidP="0046608D">
            <w:pPr>
              <w:pStyle w:val="TableRowNormal"/>
              <w:ind w:left="0" w:firstLine="0"/>
              <w:rPr>
                <w:rFonts w:cstheme="minorHAnsi"/>
              </w:rPr>
            </w:pPr>
            <w:r w:rsidRPr="0046608D">
              <w:rPr>
                <w:rFonts w:cstheme="minorHAnsi"/>
              </w:rPr>
              <w:t>146</w:t>
            </w:r>
          </w:p>
        </w:tc>
        <w:tc>
          <w:tcPr>
            <w:tcW w:w="432" w:type="pct"/>
            <w:tcBorders>
              <w:bottom w:val="single" w:sz="4" w:space="0" w:color="auto"/>
            </w:tcBorders>
            <w:vAlign w:val="bottom"/>
          </w:tcPr>
          <w:p w:rsidR="0046608D" w:rsidRPr="0046608D" w:rsidRDefault="0046608D" w:rsidP="0046608D">
            <w:pPr>
              <w:pStyle w:val="TableRowNormal"/>
              <w:ind w:left="0" w:firstLine="0"/>
              <w:rPr>
                <w:rFonts w:cstheme="minorHAnsi"/>
              </w:rPr>
            </w:pPr>
            <w:r w:rsidRPr="0046608D">
              <w:rPr>
                <w:rFonts w:cstheme="minorHAnsi"/>
              </w:rPr>
              <w:t>173</w:t>
            </w:r>
          </w:p>
        </w:tc>
        <w:tc>
          <w:tcPr>
            <w:tcW w:w="432" w:type="pct"/>
            <w:tcBorders>
              <w:bottom w:val="single" w:sz="4" w:space="0" w:color="auto"/>
            </w:tcBorders>
            <w:vAlign w:val="bottom"/>
          </w:tcPr>
          <w:p w:rsidR="0046608D" w:rsidRPr="0046608D" w:rsidRDefault="0046608D" w:rsidP="0046608D">
            <w:pPr>
              <w:pStyle w:val="TableRowNormal"/>
              <w:ind w:left="0" w:firstLine="0"/>
              <w:rPr>
                <w:rFonts w:cstheme="minorHAnsi"/>
              </w:rPr>
            </w:pPr>
            <w:r w:rsidRPr="0046608D">
              <w:rPr>
                <w:rFonts w:cstheme="minorHAnsi"/>
              </w:rPr>
              <w:t>-104</w:t>
            </w:r>
          </w:p>
        </w:tc>
        <w:tc>
          <w:tcPr>
            <w:tcW w:w="431" w:type="pct"/>
            <w:tcBorders>
              <w:bottom w:val="single" w:sz="4" w:space="0" w:color="auto"/>
            </w:tcBorders>
            <w:vAlign w:val="bottom"/>
          </w:tcPr>
          <w:p w:rsidR="0046608D" w:rsidRPr="0046608D" w:rsidRDefault="0046608D" w:rsidP="0046608D">
            <w:pPr>
              <w:pStyle w:val="TableRowNormal"/>
              <w:ind w:left="0" w:firstLine="0"/>
              <w:rPr>
                <w:rFonts w:cstheme="minorHAnsi"/>
              </w:rPr>
            </w:pPr>
            <w:r w:rsidRPr="0046608D">
              <w:rPr>
                <w:rFonts w:cstheme="minorHAnsi"/>
              </w:rPr>
              <w:t>5</w:t>
            </w:r>
            <w:r>
              <w:rPr>
                <w:rFonts w:cstheme="minorHAnsi"/>
              </w:rPr>
              <w:t xml:space="preserve"> </w:t>
            </w:r>
            <w:r w:rsidRPr="0046608D">
              <w:rPr>
                <w:rFonts w:cstheme="minorHAnsi"/>
              </w:rPr>
              <w:t>006</w:t>
            </w:r>
          </w:p>
        </w:tc>
      </w:tr>
      <w:tr w:rsidR="0046608D" w:rsidRPr="00FE3F73" w:rsidTr="0046608D">
        <w:tc>
          <w:tcPr>
            <w:tcW w:w="1111" w:type="pct"/>
            <w:tcBorders>
              <w:bottom w:val="single" w:sz="4" w:space="0" w:color="auto"/>
            </w:tcBorders>
            <w:vAlign w:val="bottom"/>
          </w:tcPr>
          <w:p w:rsidR="0046608D" w:rsidRDefault="0046608D" w:rsidP="0046608D">
            <w:pPr>
              <w:pStyle w:val="CGCTableStub"/>
              <w:tabs>
                <w:tab w:val="left" w:pos="142"/>
                <w:tab w:val="left" w:pos="425"/>
                <w:tab w:val="left" w:pos="709"/>
                <w:tab w:val="left" w:pos="851"/>
              </w:tabs>
              <w:ind w:left="193" w:hanging="142"/>
              <w:rPr>
                <w:rFonts w:cstheme="minorHAnsi"/>
              </w:rPr>
            </w:pPr>
            <w:r>
              <w:rPr>
                <w:rFonts w:cstheme="minorHAnsi"/>
              </w:rPr>
              <w:t>Difference</w:t>
            </w:r>
          </w:p>
        </w:tc>
        <w:tc>
          <w:tcPr>
            <w:tcW w:w="433" w:type="pct"/>
            <w:tcBorders>
              <w:top w:val="single" w:sz="4" w:space="0" w:color="auto"/>
              <w:bottom w:val="single" w:sz="4" w:space="0" w:color="auto"/>
            </w:tcBorders>
            <w:vAlign w:val="bottom"/>
          </w:tcPr>
          <w:p w:rsidR="0046608D" w:rsidRPr="00A36A4A" w:rsidRDefault="0046608D" w:rsidP="0046608D">
            <w:pPr>
              <w:pStyle w:val="TableRowNormal"/>
              <w:ind w:left="0" w:firstLine="0"/>
              <w:rPr>
                <w:rFonts w:cstheme="minorHAnsi"/>
              </w:rPr>
            </w:pPr>
            <w:r w:rsidRPr="00A36A4A">
              <w:rPr>
                <w:rFonts w:cstheme="minorHAnsi"/>
              </w:rPr>
              <w:t>77</w:t>
            </w:r>
          </w:p>
        </w:tc>
        <w:tc>
          <w:tcPr>
            <w:tcW w:w="433" w:type="pct"/>
            <w:tcBorders>
              <w:top w:val="single" w:sz="4" w:space="0" w:color="auto"/>
              <w:bottom w:val="single" w:sz="4" w:space="0" w:color="auto"/>
            </w:tcBorders>
            <w:vAlign w:val="bottom"/>
          </w:tcPr>
          <w:p w:rsidR="0046608D" w:rsidRPr="00A36A4A" w:rsidRDefault="0046608D" w:rsidP="0046608D">
            <w:pPr>
              <w:pStyle w:val="TableRowNormal"/>
              <w:ind w:left="0" w:firstLine="0"/>
              <w:rPr>
                <w:rFonts w:cstheme="minorHAnsi"/>
              </w:rPr>
            </w:pPr>
            <w:r w:rsidRPr="00A36A4A">
              <w:rPr>
                <w:rFonts w:cstheme="minorHAnsi"/>
              </w:rPr>
              <w:t>-32</w:t>
            </w:r>
          </w:p>
        </w:tc>
        <w:tc>
          <w:tcPr>
            <w:tcW w:w="432" w:type="pct"/>
            <w:tcBorders>
              <w:top w:val="single" w:sz="4" w:space="0" w:color="auto"/>
              <w:bottom w:val="single" w:sz="4" w:space="0" w:color="auto"/>
            </w:tcBorders>
            <w:vAlign w:val="bottom"/>
          </w:tcPr>
          <w:p w:rsidR="0046608D" w:rsidRPr="00A36A4A" w:rsidRDefault="0046608D" w:rsidP="0046608D">
            <w:pPr>
              <w:pStyle w:val="TableRowNormal"/>
              <w:ind w:left="0" w:firstLine="0"/>
              <w:rPr>
                <w:rFonts w:cstheme="minorHAnsi"/>
              </w:rPr>
            </w:pPr>
            <w:r w:rsidRPr="00A36A4A">
              <w:rPr>
                <w:rFonts w:cstheme="minorHAnsi"/>
              </w:rPr>
              <w:t>252</w:t>
            </w:r>
          </w:p>
        </w:tc>
        <w:tc>
          <w:tcPr>
            <w:tcW w:w="432" w:type="pct"/>
            <w:tcBorders>
              <w:top w:val="single" w:sz="4" w:space="0" w:color="auto"/>
              <w:bottom w:val="single" w:sz="4" w:space="0" w:color="auto"/>
            </w:tcBorders>
            <w:vAlign w:val="bottom"/>
          </w:tcPr>
          <w:p w:rsidR="0046608D" w:rsidRPr="00A36A4A" w:rsidRDefault="0046608D" w:rsidP="0046608D">
            <w:pPr>
              <w:pStyle w:val="TableRowNormal"/>
              <w:ind w:left="0" w:firstLine="0"/>
              <w:rPr>
                <w:rFonts w:cstheme="minorHAnsi"/>
              </w:rPr>
            </w:pPr>
            <w:r w:rsidRPr="00A36A4A">
              <w:rPr>
                <w:rFonts w:cstheme="minorHAnsi"/>
              </w:rPr>
              <w:t>-169</w:t>
            </w:r>
          </w:p>
        </w:tc>
        <w:tc>
          <w:tcPr>
            <w:tcW w:w="432" w:type="pct"/>
            <w:tcBorders>
              <w:top w:val="single" w:sz="4" w:space="0" w:color="auto"/>
              <w:bottom w:val="single" w:sz="4" w:space="0" w:color="auto"/>
            </w:tcBorders>
            <w:vAlign w:val="bottom"/>
          </w:tcPr>
          <w:p w:rsidR="0046608D" w:rsidRPr="00A36A4A" w:rsidRDefault="0046608D" w:rsidP="0046608D">
            <w:pPr>
              <w:pStyle w:val="TableRowNormal"/>
              <w:ind w:left="0" w:firstLine="0"/>
              <w:rPr>
                <w:rFonts w:cstheme="minorHAnsi"/>
              </w:rPr>
            </w:pPr>
            <w:r w:rsidRPr="00A36A4A">
              <w:rPr>
                <w:rFonts w:cstheme="minorHAnsi"/>
              </w:rPr>
              <w:t>-69</w:t>
            </w:r>
          </w:p>
        </w:tc>
        <w:tc>
          <w:tcPr>
            <w:tcW w:w="432" w:type="pct"/>
            <w:tcBorders>
              <w:top w:val="single" w:sz="4" w:space="0" w:color="auto"/>
              <w:bottom w:val="single" w:sz="4" w:space="0" w:color="auto"/>
            </w:tcBorders>
            <w:vAlign w:val="bottom"/>
          </w:tcPr>
          <w:p w:rsidR="0046608D" w:rsidRPr="00A36A4A" w:rsidRDefault="0046608D" w:rsidP="0046608D">
            <w:pPr>
              <w:pStyle w:val="TableRowNormal"/>
              <w:ind w:left="0" w:firstLine="0"/>
              <w:rPr>
                <w:rFonts w:cstheme="minorHAnsi"/>
              </w:rPr>
            </w:pPr>
            <w:r w:rsidRPr="00A36A4A">
              <w:rPr>
                <w:rFonts w:cstheme="minorHAnsi"/>
              </w:rPr>
              <w:t>-14</w:t>
            </w:r>
          </w:p>
        </w:tc>
        <w:tc>
          <w:tcPr>
            <w:tcW w:w="432" w:type="pct"/>
            <w:tcBorders>
              <w:top w:val="single" w:sz="4" w:space="0" w:color="auto"/>
              <w:bottom w:val="single" w:sz="4" w:space="0" w:color="auto"/>
            </w:tcBorders>
            <w:vAlign w:val="bottom"/>
          </w:tcPr>
          <w:p w:rsidR="0046608D" w:rsidRPr="00A36A4A" w:rsidRDefault="0046608D" w:rsidP="0046608D">
            <w:pPr>
              <w:pStyle w:val="TableRowNormal"/>
              <w:ind w:left="0" w:firstLine="0"/>
              <w:rPr>
                <w:rFonts w:cstheme="minorHAnsi"/>
              </w:rPr>
            </w:pPr>
            <w:r w:rsidRPr="00A36A4A">
              <w:rPr>
                <w:rFonts w:cstheme="minorHAnsi"/>
              </w:rPr>
              <w:t>0</w:t>
            </w:r>
          </w:p>
        </w:tc>
        <w:tc>
          <w:tcPr>
            <w:tcW w:w="432" w:type="pct"/>
            <w:tcBorders>
              <w:top w:val="single" w:sz="4" w:space="0" w:color="auto"/>
              <w:bottom w:val="single" w:sz="4" w:space="0" w:color="auto"/>
            </w:tcBorders>
            <w:vAlign w:val="bottom"/>
          </w:tcPr>
          <w:p w:rsidR="0046608D" w:rsidRPr="00A36A4A" w:rsidRDefault="0046608D" w:rsidP="0046608D">
            <w:pPr>
              <w:pStyle w:val="TableRowNormal"/>
              <w:ind w:left="0" w:firstLine="0"/>
              <w:rPr>
                <w:rFonts w:cstheme="minorHAnsi"/>
              </w:rPr>
            </w:pPr>
            <w:r w:rsidRPr="00A36A4A">
              <w:rPr>
                <w:rFonts w:cstheme="minorHAnsi"/>
              </w:rPr>
              <w:t>-45</w:t>
            </w:r>
          </w:p>
        </w:tc>
        <w:tc>
          <w:tcPr>
            <w:tcW w:w="431" w:type="pct"/>
            <w:tcBorders>
              <w:top w:val="single" w:sz="4" w:space="0" w:color="auto"/>
              <w:bottom w:val="single" w:sz="4" w:space="0" w:color="auto"/>
            </w:tcBorders>
            <w:vAlign w:val="bottom"/>
          </w:tcPr>
          <w:p w:rsidR="0046608D" w:rsidRPr="00A36A4A" w:rsidRDefault="0046608D" w:rsidP="0046608D">
            <w:pPr>
              <w:pStyle w:val="TableRowNormal"/>
              <w:ind w:left="0" w:firstLine="0"/>
              <w:rPr>
                <w:rFonts w:cstheme="minorHAnsi"/>
              </w:rPr>
            </w:pPr>
            <w:r w:rsidRPr="00A36A4A">
              <w:rPr>
                <w:rFonts w:cstheme="minorHAnsi"/>
              </w:rPr>
              <w:t>330</w:t>
            </w:r>
          </w:p>
        </w:tc>
      </w:tr>
    </w:tbl>
    <w:p w:rsidR="0046608D" w:rsidRDefault="0046608D" w:rsidP="0046608D">
      <w:pPr>
        <w:pStyle w:val="CGCTableFootnote"/>
      </w:pPr>
      <w:r>
        <w:t>(a)</w:t>
      </w:r>
      <w:r>
        <w:tab/>
        <w:t xml:space="preserve">This analysis </w:t>
      </w:r>
      <w:r w:rsidR="00C34DC6">
        <w:t>ex</w:t>
      </w:r>
      <w:r>
        <w:t>clude</w:t>
      </w:r>
      <w:r w:rsidR="00C34DC6">
        <w:t>s</w:t>
      </w:r>
      <w:r>
        <w:t xml:space="preserve"> the effect of Grants in lieu of royalties.</w:t>
      </w:r>
    </w:p>
    <w:p w:rsidR="00B048AA" w:rsidRDefault="00B048AA" w:rsidP="00B048AA">
      <w:pPr>
        <w:pStyle w:val="CGCTableFootnote"/>
      </w:pPr>
      <w:r>
        <w:t>Source:</w:t>
      </w:r>
      <w:r>
        <w:tab/>
        <w:t>Commission simulation using State provided data.</w:t>
      </w:r>
    </w:p>
    <w:p w:rsidR="00E475AF" w:rsidRDefault="0046608D" w:rsidP="00E475AF">
      <w:pPr>
        <w:pStyle w:val="CGCNumberedPara"/>
        <w:tabs>
          <w:tab w:val="clear" w:pos="567"/>
        </w:tabs>
      </w:pPr>
      <w:r>
        <w:t>F</w:t>
      </w:r>
      <w:r w:rsidR="00E475AF">
        <w:t>ull aggregation addresses one aspect of policy neutrality — the dominant State problem. However, full aggregation can create its own policy neutrality problems.</w:t>
      </w:r>
    </w:p>
    <w:p w:rsidR="00E475AF" w:rsidRDefault="00A4531C" w:rsidP="00E475AF">
      <w:pPr>
        <w:pStyle w:val="CGCNumberedPara"/>
        <w:tabs>
          <w:tab w:val="clear" w:pos="567"/>
        </w:tabs>
      </w:pPr>
      <w:r>
        <w:fldChar w:fldCharType="begin"/>
      </w:r>
      <w:r>
        <w:instrText xml:space="preserve"> REF _Ref529168216 \h </w:instrText>
      </w:r>
      <w:r>
        <w:fldChar w:fldCharType="separate"/>
      </w:r>
      <w:r w:rsidR="00A7301A">
        <w:t xml:space="preserve">Table </w:t>
      </w:r>
      <w:r w:rsidR="00A7301A">
        <w:rPr>
          <w:noProof/>
        </w:rPr>
        <w:t>3</w:t>
      </w:r>
      <w:r>
        <w:fldChar w:fldCharType="end"/>
      </w:r>
      <w:r>
        <w:t xml:space="preserve"> shows average royalty rates for minerals in the 2018 Update. </w:t>
      </w:r>
      <w:r w:rsidR="00E475AF">
        <w:t xml:space="preserve">Some States have </w:t>
      </w:r>
      <w:r w:rsidR="0046608D">
        <w:t xml:space="preserve">a preponderance of </w:t>
      </w:r>
      <w:r w:rsidR="00E475AF">
        <w:t>base metals and other low value minerals</w:t>
      </w:r>
      <w:r w:rsidR="0046608D">
        <w:t>, which</w:t>
      </w:r>
      <w:r w:rsidR="00E475AF">
        <w:t xml:space="preserve"> attract a </w:t>
      </w:r>
      <w:r w:rsidR="0046608D">
        <w:t xml:space="preserve">lower </w:t>
      </w:r>
      <w:r w:rsidR="00E475AF">
        <w:t>royalty rate than the average for all minerals. Under full aggregation, when production of those minerals increases, these States can lose more in GST revenue than they raise in royalty revenue. This reduces the</w:t>
      </w:r>
      <w:r w:rsidR="0046608D">
        <w:t>ir</w:t>
      </w:r>
      <w:r w:rsidR="00E475AF">
        <w:t xml:space="preserve"> incentive to approve mini</w:t>
      </w:r>
      <w:r w:rsidR="00510D7B">
        <w:t>ng developments.</w:t>
      </w:r>
    </w:p>
    <w:p w:rsidR="00A4531C" w:rsidRDefault="00A4531C" w:rsidP="001010FD">
      <w:pPr>
        <w:pStyle w:val="CGCTableHeading"/>
      </w:pPr>
      <w:bookmarkStart w:id="42" w:name="_Ref529168216"/>
      <w:r>
        <w:lastRenderedPageBreak/>
        <w:t xml:space="preserve">Table </w:t>
      </w:r>
      <w:r w:rsidR="00C43E02">
        <w:rPr>
          <w:noProof/>
        </w:rPr>
        <w:fldChar w:fldCharType="begin"/>
      </w:r>
      <w:r w:rsidR="00C43E02">
        <w:rPr>
          <w:noProof/>
        </w:rPr>
        <w:instrText xml:space="preserve"> SEQ Table \* ARABIC </w:instrText>
      </w:r>
      <w:r w:rsidR="00C43E02">
        <w:rPr>
          <w:noProof/>
        </w:rPr>
        <w:fldChar w:fldCharType="separate"/>
      </w:r>
      <w:r w:rsidR="00A7301A">
        <w:rPr>
          <w:noProof/>
        </w:rPr>
        <w:t>3</w:t>
      </w:r>
      <w:r w:rsidR="00C43E02">
        <w:rPr>
          <w:noProof/>
        </w:rPr>
        <w:fldChar w:fldCharType="end"/>
      </w:r>
      <w:bookmarkEnd w:id="42"/>
      <w:r>
        <w:tab/>
        <w:t>Average royalty rates by mineral, 2018 Update</w:t>
      </w:r>
    </w:p>
    <w:tbl>
      <w:tblPr>
        <w:tblW w:w="5915" w:type="pct"/>
        <w:tblCellMar>
          <w:left w:w="85" w:type="dxa"/>
          <w:right w:w="85" w:type="dxa"/>
        </w:tblCellMar>
        <w:tblLook w:val="0000" w:firstRow="0" w:lastRow="0" w:firstColumn="0" w:lastColumn="0" w:noHBand="0" w:noVBand="0"/>
      </w:tblPr>
      <w:tblGrid>
        <w:gridCol w:w="993"/>
        <w:gridCol w:w="886"/>
        <w:gridCol w:w="886"/>
        <w:gridCol w:w="886"/>
        <w:gridCol w:w="886"/>
        <w:gridCol w:w="886"/>
        <w:gridCol w:w="886"/>
        <w:gridCol w:w="886"/>
        <w:gridCol w:w="886"/>
        <w:gridCol w:w="886"/>
        <w:gridCol w:w="1630"/>
      </w:tblGrid>
      <w:tr w:rsidR="00A4531C" w:rsidRPr="00FE3F73" w:rsidTr="00A4531C">
        <w:trPr>
          <w:gridAfter w:val="1"/>
          <w:wAfter w:w="769" w:type="pct"/>
        </w:trPr>
        <w:tc>
          <w:tcPr>
            <w:tcW w:w="469" w:type="pct"/>
            <w:tcBorders>
              <w:top w:val="single" w:sz="6" w:space="0" w:color="auto"/>
              <w:bottom w:val="single" w:sz="6" w:space="0" w:color="auto"/>
            </w:tcBorders>
            <w:vAlign w:val="bottom"/>
          </w:tcPr>
          <w:p w:rsidR="00A4531C" w:rsidRPr="00FE3F73" w:rsidRDefault="00A4531C" w:rsidP="00A4531C">
            <w:pPr>
              <w:pStyle w:val="CGCTableStub"/>
              <w:spacing w:line="240" w:lineRule="auto"/>
              <w:ind w:left="142" w:hanging="142"/>
              <w:rPr>
                <w:rFonts w:cstheme="minorHAnsi"/>
              </w:rPr>
            </w:pPr>
          </w:p>
        </w:tc>
        <w:tc>
          <w:tcPr>
            <w:tcW w:w="418" w:type="pct"/>
            <w:tcBorders>
              <w:top w:val="single" w:sz="6" w:space="0" w:color="auto"/>
              <w:bottom w:val="single" w:sz="6" w:space="0" w:color="auto"/>
            </w:tcBorders>
            <w:vAlign w:val="center"/>
          </w:tcPr>
          <w:p w:rsidR="00A4531C" w:rsidRPr="00FE3F73" w:rsidRDefault="00A4531C" w:rsidP="00A4531C">
            <w:pPr>
              <w:pStyle w:val="TableColHeadings"/>
              <w:rPr>
                <w:rFonts w:cstheme="minorHAnsi"/>
              </w:rPr>
            </w:pPr>
            <w:r>
              <w:rPr>
                <w:rFonts w:cstheme="minorHAnsi"/>
              </w:rPr>
              <w:t>Iron ore</w:t>
            </w:r>
          </w:p>
        </w:tc>
        <w:tc>
          <w:tcPr>
            <w:tcW w:w="418" w:type="pct"/>
            <w:tcBorders>
              <w:top w:val="single" w:sz="6" w:space="0" w:color="auto"/>
              <w:bottom w:val="single" w:sz="6" w:space="0" w:color="auto"/>
            </w:tcBorders>
            <w:vAlign w:val="center"/>
          </w:tcPr>
          <w:p w:rsidR="00A4531C" w:rsidRPr="00FE3F73" w:rsidRDefault="00A4531C" w:rsidP="00A4531C">
            <w:pPr>
              <w:pStyle w:val="TableColHeadings"/>
              <w:rPr>
                <w:rFonts w:cstheme="minorHAnsi"/>
              </w:rPr>
            </w:pPr>
            <w:r>
              <w:rPr>
                <w:rFonts w:cstheme="minorHAnsi"/>
              </w:rPr>
              <w:t>Coal</w:t>
            </w:r>
          </w:p>
        </w:tc>
        <w:tc>
          <w:tcPr>
            <w:tcW w:w="418" w:type="pct"/>
            <w:tcBorders>
              <w:top w:val="single" w:sz="6" w:space="0" w:color="auto"/>
              <w:bottom w:val="single" w:sz="6" w:space="0" w:color="auto"/>
            </w:tcBorders>
            <w:vAlign w:val="center"/>
          </w:tcPr>
          <w:p w:rsidR="00A4531C" w:rsidRPr="00FE3F73" w:rsidRDefault="00A4531C" w:rsidP="00A4531C">
            <w:pPr>
              <w:pStyle w:val="TableColHeadings"/>
              <w:rPr>
                <w:rFonts w:cstheme="minorHAnsi"/>
              </w:rPr>
            </w:pPr>
            <w:r>
              <w:rPr>
                <w:rFonts w:cstheme="minorHAnsi"/>
              </w:rPr>
              <w:t>Onshore oil and gas</w:t>
            </w:r>
          </w:p>
        </w:tc>
        <w:tc>
          <w:tcPr>
            <w:tcW w:w="418" w:type="pct"/>
            <w:tcBorders>
              <w:top w:val="single" w:sz="6" w:space="0" w:color="auto"/>
              <w:bottom w:val="single" w:sz="6" w:space="0" w:color="auto"/>
            </w:tcBorders>
            <w:vAlign w:val="center"/>
          </w:tcPr>
          <w:p w:rsidR="00A4531C" w:rsidRPr="00FE3F73" w:rsidRDefault="00A4531C" w:rsidP="00A4531C">
            <w:pPr>
              <w:pStyle w:val="TableColHeadings"/>
              <w:rPr>
                <w:rFonts w:cstheme="minorHAnsi"/>
              </w:rPr>
            </w:pPr>
            <w:r>
              <w:rPr>
                <w:rFonts w:cstheme="minorHAnsi"/>
              </w:rPr>
              <w:t>Bauxite</w:t>
            </w:r>
          </w:p>
        </w:tc>
        <w:tc>
          <w:tcPr>
            <w:tcW w:w="418" w:type="pct"/>
            <w:tcBorders>
              <w:top w:val="single" w:sz="6" w:space="0" w:color="auto"/>
              <w:bottom w:val="single" w:sz="6" w:space="0" w:color="auto"/>
            </w:tcBorders>
            <w:vAlign w:val="center"/>
          </w:tcPr>
          <w:p w:rsidR="00A4531C" w:rsidRPr="00FE3F73" w:rsidRDefault="00A4531C" w:rsidP="00A4531C">
            <w:pPr>
              <w:pStyle w:val="TableColHeadings"/>
              <w:rPr>
                <w:rFonts w:cstheme="minorHAnsi"/>
              </w:rPr>
            </w:pPr>
            <w:r>
              <w:rPr>
                <w:rFonts w:cstheme="minorHAnsi"/>
              </w:rPr>
              <w:t>Copper</w:t>
            </w:r>
          </w:p>
        </w:tc>
        <w:tc>
          <w:tcPr>
            <w:tcW w:w="418" w:type="pct"/>
            <w:tcBorders>
              <w:top w:val="single" w:sz="6" w:space="0" w:color="auto"/>
              <w:bottom w:val="single" w:sz="6" w:space="0" w:color="auto"/>
            </w:tcBorders>
            <w:vAlign w:val="center"/>
          </w:tcPr>
          <w:p w:rsidR="00A4531C" w:rsidRPr="00FE3F73" w:rsidRDefault="00A4531C" w:rsidP="00A4531C">
            <w:pPr>
              <w:pStyle w:val="TableColHeadings"/>
              <w:rPr>
                <w:rFonts w:cstheme="minorHAnsi"/>
              </w:rPr>
            </w:pPr>
            <w:r>
              <w:rPr>
                <w:rFonts w:cstheme="minorHAnsi"/>
              </w:rPr>
              <w:t>Nickel</w:t>
            </w:r>
          </w:p>
        </w:tc>
        <w:tc>
          <w:tcPr>
            <w:tcW w:w="418" w:type="pct"/>
            <w:tcBorders>
              <w:top w:val="single" w:sz="6" w:space="0" w:color="auto"/>
              <w:bottom w:val="single" w:sz="6" w:space="0" w:color="auto"/>
            </w:tcBorders>
            <w:vAlign w:val="center"/>
          </w:tcPr>
          <w:p w:rsidR="00A4531C" w:rsidRPr="00FE3F73" w:rsidRDefault="00A4531C" w:rsidP="00A4531C">
            <w:pPr>
              <w:pStyle w:val="TableColHeadings"/>
              <w:rPr>
                <w:rFonts w:cstheme="minorHAnsi"/>
              </w:rPr>
            </w:pPr>
            <w:r>
              <w:rPr>
                <w:rFonts w:cstheme="minorHAnsi"/>
              </w:rPr>
              <w:t>Nickel</w:t>
            </w:r>
          </w:p>
        </w:tc>
        <w:tc>
          <w:tcPr>
            <w:tcW w:w="418" w:type="pct"/>
            <w:tcBorders>
              <w:top w:val="single" w:sz="6" w:space="0" w:color="auto"/>
              <w:bottom w:val="single" w:sz="6" w:space="0" w:color="auto"/>
            </w:tcBorders>
            <w:vAlign w:val="center"/>
          </w:tcPr>
          <w:p w:rsidR="00A4531C" w:rsidRPr="00FE3F73" w:rsidRDefault="00A4531C" w:rsidP="00A4531C">
            <w:pPr>
              <w:pStyle w:val="TableColHeadings"/>
              <w:rPr>
                <w:rFonts w:cstheme="minorHAnsi"/>
              </w:rPr>
            </w:pPr>
            <w:r>
              <w:rPr>
                <w:rFonts w:cstheme="minorHAnsi"/>
              </w:rPr>
              <w:t>Other minerals</w:t>
            </w:r>
          </w:p>
        </w:tc>
        <w:tc>
          <w:tcPr>
            <w:tcW w:w="418" w:type="pct"/>
            <w:tcBorders>
              <w:top w:val="single" w:sz="6" w:space="0" w:color="auto"/>
              <w:bottom w:val="single" w:sz="6" w:space="0" w:color="auto"/>
            </w:tcBorders>
            <w:vAlign w:val="center"/>
          </w:tcPr>
          <w:p w:rsidR="00A4531C" w:rsidRPr="00FE3F73" w:rsidRDefault="00A4531C" w:rsidP="00A4531C">
            <w:pPr>
              <w:pStyle w:val="TableColHeadings"/>
              <w:rPr>
                <w:rFonts w:cstheme="minorHAnsi"/>
              </w:rPr>
            </w:pPr>
            <w:r>
              <w:rPr>
                <w:rFonts w:cstheme="minorHAnsi"/>
              </w:rPr>
              <w:t>Average – all minerals</w:t>
            </w:r>
          </w:p>
        </w:tc>
      </w:tr>
      <w:tr w:rsidR="00A4531C" w:rsidRPr="00FE3F73" w:rsidTr="00A4531C">
        <w:tc>
          <w:tcPr>
            <w:tcW w:w="469" w:type="pct"/>
            <w:tcMar>
              <w:top w:w="0" w:type="dxa"/>
              <w:bottom w:w="0" w:type="dxa"/>
            </w:tcMar>
            <w:vAlign w:val="bottom"/>
          </w:tcPr>
          <w:p w:rsidR="00A4531C" w:rsidRPr="00FE3F73" w:rsidRDefault="00A4531C" w:rsidP="00A4531C">
            <w:pPr>
              <w:pStyle w:val="CGCTableStub"/>
              <w:spacing w:before="0" w:after="0" w:line="240" w:lineRule="auto"/>
              <w:jc w:val="right"/>
              <w:rPr>
                <w:rFonts w:cstheme="minorHAnsi"/>
              </w:rPr>
            </w:pPr>
          </w:p>
        </w:tc>
        <w:tc>
          <w:tcPr>
            <w:tcW w:w="418" w:type="pct"/>
            <w:tcMar>
              <w:top w:w="0" w:type="dxa"/>
              <w:bottom w:w="0" w:type="dxa"/>
            </w:tcMar>
            <w:vAlign w:val="bottom"/>
          </w:tcPr>
          <w:p w:rsidR="00A4531C" w:rsidRPr="00FE3F73" w:rsidRDefault="00A4531C" w:rsidP="00A4531C">
            <w:pPr>
              <w:pStyle w:val="TableRowNormal"/>
              <w:spacing w:before="0" w:after="0" w:line="240" w:lineRule="auto"/>
              <w:ind w:left="0" w:firstLine="0"/>
              <w:rPr>
                <w:rFonts w:cstheme="minorHAnsi"/>
              </w:rPr>
            </w:pPr>
            <w:r>
              <w:rPr>
                <w:rFonts w:cstheme="minorHAnsi"/>
              </w:rPr>
              <w:t>%</w:t>
            </w:r>
          </w:p>
        </w:tc>
        <w:tc>
          <w:tcPr>
            <w:tcW w:w="418" w:type="pct"/>
            <w:tcMar>
              <w:top w:w="0" w:type="dxa"/>
              <w:bottom w:w="0" w:type="dxa"/>
            </w:tcMar>
            <w:vAlign w:val="bottom"/>
          </w:tcPr>
          <w:p w:rsidR="00A4531C" w:rsidRPr="00FE3F73" w:rsidRDefault="00A4531C" w:rsidP="00A4531C">
            <w:pPr>
              <w:pStyle w:val="TableRowNormal"/>
              <w:spacing w:before="0" w:after="0" w:line="240" w:lineRule="auto"/>
              <w:ind w:left="0" w:firstLine="0"/>
              <w:rPr>
                <w:rFonts w:cstheme="minorHAnsi"/>
              </w:rPr>
            </w:pPr>
            <w:r>
              <w:rPr>
                <w:rFonts w:cstheme="minorHAnsi"/>
              </w:rPr>
              <w:t>%</w:t>
            </w:r>
          </w:p>
        </w:tc>
        <w:tc>
          <w:tcPr>
            <w:tcW w:w="418" w:type="pct"/>
            <w:tcMar>
              <w:top w:w="0" w:type="dxa"/>
              <w:bottom w:w="0" w:type="dxa"/>
            </w:tcMar>
            <w:vAlign w:val="bottom"/>
          </w:tcPr>
          <w:p w:rsidR="00A4531C" w:rsidRPr="00FE3F73" w:rsidRDefault="00A4531C" w:rsidP="00A4531C">
            <w:pPr>
              <w:pStyle w:val="TableRowNormal"/>
              <w:spacing w:before="0" w:after="0" w:line="240" w:lineRule="auto"/>
              <w:ind w:left="0" w:firstLine="0"/>
              <w:rPr>
                <w:rFonts w:cstheme="minorHAnsi"/>
              </w:rPr>
            </w:pPr>
            <w:r>
              <w:rPr>
                <w:rFonts w:cstheme="minorHAnsi"/>
              </w:rPr>
              <w:t>%</w:t>
            </w:r>
          </w:p>
        </w:tc>
        <w:tc>
          <w:tcPr>
            <w:tcW w:w="418" w:type="pct"/>
            <w:tcMar>
              <w:top w:w="0" w:type="dxa"/>
              <w:bottom w:w="0" w:type="dxa"/>
            </w:tcMar>
            <w:vAlign w:val="bottom"/>
          </w:tcPr>
          <w:p w:rsidR="00A4531C" w:rsidRPr="00FE3F73" w:rsidRDefault="00A4531C" w:rsidP="00A4531C">
            <w:pPr>
              <w:pStyle w:val="TableRowNormal"/>
              <w:spacing w:before="0" w:after="0" w:line="240" w:lineRule="auto"/>
              <w:ind w:left="0" w:firstLine="0"/>
              <w:rPr>
                <w:rFonts w:cstheme="minorHAnsi"/>
              </w:rPr>
            </w:pPr>
            <w:r>
              <w:rPr>
                <w:rFonts w:cstheme="minorHAnsi"/>
              </w:rPr>
              <w:t>%</w:t>
            </w:r>
          </w:p>
        </w:tc>
        <w:tc>
          <w:tcPr>
            <w:tcW w:w="418" w:type="pct"/>
            <w:tcMar>
              <w:top w:w="0" w:type="dxa"/>
              <w:bottom w:w="0" w:type="dxa"/>
            </w:tcMar>
            <w:vAlign w:val="bottom"/>
          </w:tcPr>
          <w:p w:rsidR="00A4531C" w:rsidRPr="00FE3F73" w:rsidRDefault="00A4531C" w:rsidP="00A4531C">
            <w:pPr>
              <w:pStyle w:val="TableRowNormal"/>
              <w:spacing w:before="0" w:after="0" w:line="240" w:lineRule="auto"/>
              <w:ind w:left="0" w:firstLine="0"/>
              <w:rPr>
                <w:rFonts w:cstheme="minorHAnsi"/>
              </w:rPr>
            </w:pPr>
            <w:r>
              <w:rPr>
                <w:rFonts w:cstheme="minorHAnsi"/>
              </w:rPr>
              <w:t>%</w:t>
            </w:r>
          </w:p>
        </w:tc>
        <w:tc>
          <w:tcPr>
            <w:tcW w:w="418" w:type="pct"/>
            <w:tcMar>
              <w:top w:w="0" w:type="dxa"/>
              <w:bottom w:w="0" w:type="dxa"/>
            </w:tcMar>
            <w:vAlign w:val="bottom"/>
          </w:tcPr>
          <w:p w:rsidR="00A4531C" w:rsidRPr="00FE3F73" w:rsidRDefault="00A4531C" w:rsidP="00A4531C">
            <w:pPr>
              <w:pStyle w:val="TableRowNormal"/>
              <w:spacing w:before="0" w:after="0" w:line="240" w:lineRule="auto"/>
              <w:ind w:left="0" w:firstLine="0"/>
              <w:rPr>
                <w:rFonts w:cstheme="minorHAnsi"/>
              </w:rPr>
            </w:pPr>
            <w:r>
              <w:rPr>
                <w:rFonts w:cstheme="minorHAnsi"/>
              </w:rPr>
              <w:t>%</w:t>
            </w:r>
          </w:p>
        </w:tc>
        <w:tc>
          <w:tcPr>
            <w:tcW w:w="418" w:type="pct"/>
            <w:tcMar>
              <w:top w:w="0" w:type="dxa"/>
              <w:bottom w:w="0" w:type="dxa"/>
            </w:tcMar>
            <w:vAlign w:val="bottom"/>
          </w:tcPr>
          <w:p w:rsidR="00A4531C" w:rsidRPr="00FE3F73" w:rsidRDefault="00A4531C" w:rsidP="00A4531C">
            <w:pPr>
              <w:pStyle w:val="TableRowNormal"/>
              <w:spacing w:before="0" w:after="0" w:line="240" w:lineRule="auto"/>
              <w:ind w:left="0" w:firstLine="0"/>
              <w:rPr>
                <w:rFonts w:cstheme="minorHAnsi"/>
              </w:rPr>
            </w:pPr>
            <w:r>
              <w:rPr>
                <w:rFonts w:cstheme="minorHAnsi"/>
              </w:rPr>
              <w:t>%</w:t>
            </w:r>
          </w:p>
        </w:tc>
        <w:tc>
          <w:tcPr>
            <w:tcW w:w="418" w:type="pct"/>
            <w:tcMar>
              <w:top w:w="0" w:type="dxa"/>
              <w:bottom w:w="0" w:type="dxa"/>
            </w:tcMar>
            <w:vAlign w:val="bottom"/>
          </w:tcPr>
          <w:p w:rsidR="00A4531C" w:rsidRPr="00FE3F73" w:rsidRDefault="00A4531C" w:rsidP="00A4531C">
            <w:pPr>
              <w:pStyle w:val="TableRowNormal"/>
              <w:spacing w:before="0" w:after="0" w:line="240" w:lineRule="auto"/>
              <w:ind w:left="0" w:firstLine="0"/>
              <w:rPr>
                <w:rFonts w:cstheme="minorHAnsi"/>
              </w:rPr>
            </w:pPr>
            <w:r>
              <w:rPr>
                <w:rFonts w:cstheme="minorHAnsi"/>
              </w:rPr>
              <w:t>%</w:t>
            </w:r>
          </w:p>
        </w:tc>
        <w:tc>
          <w:tcPr>
            <w:tcW w:w="418" w:type="pct"/>
            <w:tcMar>
              <w:top w:w="0" w:type="dxa"/>
              <w:bottom w:w="0" w:type="dxa"/>
            </w:tcMar>
            <w:vAlign w:val="bottom"/>
          </w:tcPr>
          <w:p w:rsidR="00A4531C" w:rsidRPr="00FE3F73" w:rsidRDefault="00A4531C" w:rsidP="00A4531C">
            <w:pPr>
              <w:pStyle w:val="TableRowNormal"/>
              <w:spacing w:before="0" w:after="0" w:line="240" w:lineRule="auto"/>
              <w:ind w:left="0" w:firstLine="0"/>
              <w:rPr>
                <w:rFonts w:cstheme="minorHAnsi"/>
              </w:rPr>
            </w:pPr>
            <w:r>
              <w:rPr>
                <w:rFonts w:cstheme="minorHAnsi"/>
              </w:rPr>
              <w:t>%</w:t>
            </w:r>
          </w:p>
        </w:tc>
        <w:tc>
          <w:tcPr>
            <w:tcW w:w="769" w:type="pct"/>
            <w:vAlign w:val="bottom"/>
          </w:tcPr>
          <w:p w:rsidR="00A4531C" w:rsidRPr="00FE3F73" w:rsidRDefault="00A4531C" w:rsidP="00A4531C">
            <w:pPr>
              <w:pStyle w:val="TableRowNormal"/>
              <w:spacing w:before="0" w:after="0" w:line="240" w:lineRule="auto"/>
              <w:ind w:left="0" w:firstLine="0"/>
              <w:rPr>
                <w:rFonts w:cstheme="minorHAnsi"/>
              </w:rPr>
            </w:pPr>
          </w:p>
        </w:tc>
      </w:tr>
      <w:tr w:rsidR="00A4531C" w:rsidRPr="00FE3F73" w:rsidTr="00A4531C">
        <w:trPr>
          <w:gridAfter w:val="1"/>
          <w:wAfter w:w="769" w:type="pct"/>
        </w:trPr>
        <w:tc>
          <w:tcPr>
            <w:tcW w:w="469" w:type="pct"/>
            <w:vAlign w:val="bottom"/>
          </w:tcPr>
          <w:p w:rsidR="00A4531C" w:rsidRDefault="00A4531C" w:rsidP="00A4531C">
            <w:pPr>
              <w:pStyle w:val="CGCTableStub"/>
              <w:tabs>
                <w:tab w:val="left" w:pos="142"/>
                <w:tab w:val="left" w:pos="425"/>
                <w:tab w:val="left" w:pos="709"/>
                <w:tab w:val="left" w:pos="851"/>
              </w:tabs>
              <w:ind w:left="193" w:hanging="142"/>
              <w:rPr>
                <w:rFonts w:cstheme="minorHAnsi"/>
              </w:rPr>
            </w:pPr>
            <w:r>
              <w:rPr>
                <w:rFonts w:cstheme="minorHAnsi"/>
              </w:rPr>
              <w:t>2013-14</w:t>
            </w:r>
          </w:p>
        </w:tc>
        <w:tc>
          <w:tcPr>
            <w:tcW w:w="418" w:type="pct"/>
            <w:vAlign w:val="bottom"/>
          </w:tcPr>
          <w:p w:rsidR="00A4531C" w:rsidRPr="002C506F" w:rsidRDefault="00A4531C" w:rsidP="00A4531C">
            <w:pPr>
              <w:pStyle w:val="TableRowNormal"/>
              <w:ind w:left="0" w:firstLine="0"/>
              <w:rPr>
                <w:rFonts w:cstheme="minorHAnsi"/>
              </w:rPr>
            </w:pPr>
            <w:r>
              <w:rPr>
                <w:rFonts w:cstheme="minorHAnsi"/>
              </w:rPr>
              <w:t>7.1</w:t>
            </w:r>
          </w:p>
        </w:tc>
        <w:tc>
          <w:tcPr>
            <w:tcW w:w="418" w:type="pct"/>
            <w:vAlign w:val="bottom"/>
          </w:tcPr>
          <w:p w:rsidR="00A4531C" w:rsidRPr="002C506F" w:rsidRDefault="00A4531C" w:rsidP="00A4531C">
            <w:pPr>
              <w:pStyle w:val="TableRowNormal"/>
              <w:ind w:left="0" w:firstLine="0"/>
              <w:rPr>
                <w:rFonts w:cstheme="minorHAnsi"/>
              </w:rPr>
            </w:pPr>
            <w:r>
              <w:rPr>
                <w:rFonts w:cstheme="minorHAnsi"/>
              </w:rPr>
              <w:t>8.0</w:t>
            </w:r>
          </w:p>
        </w:tc>
        <w:tc>
          <w:tcPr>
            <w:tcW w:w="418" w:type="pct"/>
            <w:vAlign w:val="bottom"/>
          </w:tcPr>
          <w:p w:rsidR="00A4531C" w:rsidRPr="002C506F" w:rsidRDefault="00A4531C" w:rsidP="00A4531C">
            <w:pPr>
              <w:pStyle w:val="TableRowNormal"/>
              <w:ind w:left="0" w:firstLine="0"/>
              <w:rPr>
                <w:rFonts w:cstheme="minorHAnsi"/>
              </w:rPr>
            </w:pPr>
            <w:r>
              <w:rPr>
                <w:rFonts w:cstheme="minorHAnsi"/>
              </w:rPr>
              <w:t>8.0</w:t>
            </w:r>
          </w:p>
        </w:tc>
        <w:tc>
          <w:tcPr>
            <w:tcW w:w="418" w:type="pct"/>
            <w:vAlign w:val="bottom"/>
          </w:tcPr>
          <w:p w:rsidR="00A4531C" w:rsidRPr="002C506F" w:rsidRDefault="00A4531C" w:rsidP="00A4531C">
            <w:pPr>
              <w:pStyle w:val="TableRowNormal"/>
              <w:ind w:left="0" w:firstLine="0"/>
              <w:rPr>
                <w:rFonts w:cstheme="minorHAnsi"/>
              </w:rPr>
            </w:pPr>
            <w:r>
              <w:rPr>
                <w:rFonts w:cstheme="minorHAnsi"/>
              </w:rPr>
              <w:t>9.8</w:t>
            </w:r>
          </w:p>
        </w:tc>
        <w:tc>
          <w:tcPr>
            <w:tcW w:w="418" w:type="pct"/>
            <w:vAlign w:val="bottom"/>
          </w:tcPr>
          <w:p w:rsidR="00A4531C" w:rsidRPr="002C506F" w:rsidRDefault="00A4531C" w:rsidP="00A4531C">
            <w:pPr>
              <w:pStyle w:val="TableRowNormal"/>
              <w:ind w:left="0" w:firstLine="0"/>
              <w:rPr>
                <w:rFonts w:cstheme="minorHAnsi"/>
              </w:rPr>
            </w:pPr>
            <w:r>
              <w:rPr>
                <w:rFonts w:cstheme="minorHAnsi"/>
              </w:rPr>
              <w:t>3.3</w:t>
            </w:r>
          </w:p>
        </w:tc>
        <w:tc>
          <w:tcPr>
            <w:tcW w:w="418" w:type="pct"/>
            <w:vAlign w:val="bottom"/>
          </w:tcPr>
          <w:p w:rsidR="00A4531C" w:rsidRPr="002C506F" w:rsidRDefault="00A4531C" w:rsidP="00A4531C">
            <w:pPr>
              <w:pStyle w:val="TableRowNormal"/>
              <w:ind w:left="0" w:firstLine="0"/>
              <w:rPr>
                <w:rFonts w:cstheme="minorHAnsi"/>
              </w:rPr>
            </w:pPr>
            <w:r>
              <w:rPr>
                <w:rFonts w:cstheme="minorHAnsi"/>
              </w:rPr>
              <w:t>2.5</w:t>
            </w:r>
          </w:p>
        </w:tc>
        <w:tc>
          <w:tcPr>
            <w:tcW w:w="418" w:type="pct"/>
            <w:vAlign w:val="bottom"/>
          </w:tcPr>
          <w:p w:rsidR="00A4531C" w:rsidRDefault="00A4531C" w:rsidP="00A4531C">
            <w:pPr>
              <w:pStyle w:val="TableRowNormal"/>
              <w:ind w:left="0" w:firstLine="0"/>
              <w:rPr>
                <w:rFonts w:cstheme="minorHAnsi"/>
              </w:rPr>
            </w:pPr>
            <w:r>
              <w:rPr>
                <w:rFonts w:cstheme="minorHAnsi"/>
              </w:rPr>
              <w:t>2.6</w:t>
            </w:r>
          </w:p>
        </w:tc>
        <w:tc>
          <w:tcPr>
            <w:tcW w:w="418" w:type="pct"/>
            <w:vAlign w:val="bottom"/>
          </w:tcPr>
          <w:p w:rsidR="00A4531C" w:rsidRDefault="00A4531C" w:rsidP="00A4531C">
            <w:pPr>
              <w:pStyle w:val="TableRowNormal"/>
              <w:ind w:left="0" w:firstLine="0"/>
              <w:rPr>
                <w:rFonts w:cstheme="minorHAnsi"/>
              </w:rPr>
            </w:pPr>
            <w:r>
              <w:rPr>
                <w:rFonts w:cstheme="minorHAnsi"/>
              </w:rPr>
              <w:t>4.4</w:t>
            </w:r>
          </w:p>
        </w:tc>
        <w:tc>
          <w:tcPr>
            <w:tcW w:w="418" w:type="pct"/>
            <w:vAlign w:val="bottom"/>
          </w:tcPr>
          <w:p w:rsidR="00A4531C" w:rsidRPr="00FE3F73" w:rsidRDefault="00A4531C" w:rsidP="00A4531C">
            <w:pPr>
              <w:pStyle w:val="TableRowNormal"/>
              <w:ind w:left="0" w:firstLine="0"/>
              <w:rPr>
                <w:rFonts w:cstheme="minorHAnsi"/>
              </w:rPr>
            </w:pPr>
            <w:r>
              <w:rPr>
                <w:rFonts w:cstheme="minorHAnsi"/>
              </w:rPr>
              <w:t>6.5</w:t>
            </w:r>
          </w:p>
        </w:tc>
      </w:tr>
      <w:tr w:rsidR="00A4531C" w:rsidRPr="00FE3F73" w:rsidTr="00A4531C">
        <w:trPr>
          <w:gridAfter w:val="1"/>
          <w:wAfter w:w="769" w:type="pct"/>
        </w:trPr>
        <w:tc>
          <w:tcPr>
            <w:tcW w:w="469" w:type="pct"/>
            <w:vAlign w:val="bottom"/>
          </w:tcPr>
          <w:p w:rsidR="00A4531C" w:rsidRPr="00FE3F73" w:rsidRDefault="00A4531C" w:rsidP="00A4531C">
            <w:pPr>
              <w:pStyle w:val="CGCTableStub"/>
              <w:tabs>
                <w:tab w:val="left" w:pos="142"/>
                <w:tab w:val="left" w:pos="425"/>
                <w:tab w:val="left" w:pos="709"/>
                <w:tab w:val="left" w:pos="851"/>
              </w:tabs>
              <w:ind w:left="193" w:hanging="142"/>
              <w:rPr>
                <w:rFonts w:cstheme="minorHAnsi"/>
              </w:rPr>
            </w:pPr>
            <w:r>
              <w:rPr>
                <w:rFonts w:cstheme="minorHAnsi"/>
              </w:rPr>
              <w:t>2014-15</w:t>
            </w:r>
          </w:p>
        </w:tc>
        <w:tc>
          <w:tcPr>
            <w:tcW w:w="418" w:type="pct"/>
            <w:vAlign w:val="bottom"/>
          </w:tcPr>
          <w:p w:rsidR="00A4531C" w:rsidRPr="002C506F" w:rsidRDefault="00A4531C" w:rsidP="00A4531C">
            <w:pPr>
              <w:pStyle w:val="TableRowNormal"/>
              <w:ind w:left="0" w:firstLine="0"/>
              <w:rPr>
                <w:rFonts w:cstheme="minorHAnsi"/>
              </w:rPr>
            </w:pPr>
            <w:r>
              <w:rPr>
                <w:rFonts w:cstheme="minorHAnsi"/>
              </w:rPr>
              <w:t>7.2</w:t>
            </w:r>
          </w:p>
        </w:tc>
        <w:tc>
          <w:tcPr>
            <w:tcW w:w="418" w:type="pct"/>
            <w:vAlign w:val="bottom"/>
          </w:tcPr>
          <w:p w:rsidR="00A4531C" w:rsidRPr="002C506F" w:rsidRDefault="00A4531C" w:rsidP="00A4531C">
            <w:pPr>
              <w:pStyle w:val="TableRowNormal"/>
              <w:ind w:left="0" w:firstLine="0"/>
              <w:rPr>
                <w:rFonts w:cstheme="minorHAnsi"/>
              </w:rPr>
            </w:pPr>
            <w:r>
              <w:rPr>
                <w:rFonts w:cstheme="minorHAnsi"/>
              </w:rPr>
              <w:t>6.9</w:t>
            </w:r>
          </w:p>
        </w:tc>
        <w:tc>
          <w:tcPr>
            <w:tcW w:w="418" w:type="pct"/>
            <w:vAlign w:val="bottom"/>
          </w:tcPr>
          <w:p w:rsidR="00A4531C" w:rsidRPr="002C506F" w:rsidRDefault="00A4531C" w:rsidP="00A4531C">
            <w:pPr>
              <w:pStyle w:val="TableRowNormal"/>
              <w:ind w:left="0" w:firstLine="0"/>
              <w:rPr>
                <w:rFonts w:cstheme="minorHAnsi"/>
              </w:rPr>
            </w:pPr>
            <w:r>
              <w:rPr>
                <w:rFonts w:cstheme="minorHAnsi"/>
              </w:rPr>
              <w:t>9.5</w:t>
            </w:r>
          </w:p>
        </w:tc>
        <w:tc>
          <w:tcPr>
            <w:tcW w:w="418" w:type="pct"/>
            <w:vAlign w:val="bottom"/>
          </w:tcPr>
          <w:p w:rsidR="00A4531C" w:rsidRPr="002C506F" w:rsidRDefault="00A4531C" w:rsidP="00A4531C">
            <w:pPr>
              <w:pStyle w:val="TableRowNormal"/>
              <w:ind w:left="0" w:firstLine="0"/>
              <w:rPr>
                <w:rFonts w:cstheme="minorHAnsi"/>
              </w:rPr>
            </w:pPr>
            <w:r>
              <w:rPr>
                <w:rFonts w:cstheme="minorHAnsi"/>
              </w:rPr>
              <w:t>10.1</w:t>
            </w:r>
          </w:p>
        </w:tc>
        <w:tc>
          <w:tcPr>
            <w:tcW w:w="418" w:type="pct"/>
            <w:vAlign w:val="bottom"/>
          </w:tcPr>
          <w:p w:rsidR="00A4531C" w:rsidRPr="002C506F" w:rsidRDefault="00A4531C" w:rsidP="00A4531C">
            <w:pPr>
              <w:pStyle w:val="TableRowNormal"/>
              <w:ind w:left="0" w:firstLine="0"/>
              <w:rPr>
                <w:rFonts w:cstheme="minorHAnsi"/>
              </w:rPr>
            </w:pPr>
            <w:r>
              <w:rPr>
                <w:rFonts w:cstheme="minorHAnsi"/>
              </w:rPr>
              <w:t>3.7</w:t>
            </w:r>
          </w:p>
        </w:tc>
        <w:tc>
          <w:tcPr>
            <w:tcW w:w="418" w:type="pct"/>
            <w:vAlign w:val="bottom"/>
          </w:tcPr>
          <w:p w:rsidR="00A4531C" w:rsidRPr="002C506F" w:rsidRDefault="00A4531C" w:rsidP="00A4531C">
            <w:pPr>
              <w:pStyle w:val="TableRowNormal"/>
              <w:ind w:left="0" w:firstLine="0"/>
              <w:rPr>
                <w:rFonts w:cstheme="minorHAnsi"/>
              </w:rPr>
            </w:pPr>
            <w:r>
              <w:rPr>
                <w:rFonts w:cstheme="minorHAnsi"/>
              </w:rPr>
              <w:t>2.8</w:t>
            </w:r>
          </w:p>
        </w:tc>
        <w:tc>
          <w:tcPr>
            <w:tcW w:w="418" w:type="pct"/>
            <w:vAlign w:val="bottom"/>
          </w:tcPr>
          <w:p w:rsidR="00A4531C" w:rsidRDefault="00A4531C" w:rsidP="00A4531C">
            <w:pPr>
              <w:pStyle w:val="TableRowNormal"/>
              <w:ind w:left="0" w:firstLine="0"/>
              <w:rPr>
                <w:rFonts w:cstheme="minorHAnsi"/>
              </w:rPr>
            </w:pPr>
            <w:r>
              <w:rPr>
                <w:rFonts w:cstheme="minorHAnsi"/>
              </w:rPr>
              <w:t>2.4</w:t>
            </w:r>
          </w:p>
        </w:tc>
        <w:tc>
          <w:tcPr>
            <w:tcW w:w="418" w:type="pct"/>
            <w:vAlign w:val="bottom"/>
          </w:tcPr>
          <w:p w:rsidR="00A4531C" w:rsidRDefault="00A4531C" w:rsidP="00A4531C">
            <w:pPr>
              <w:pStyle w:val="TableRowNormal"/>
              <w:ind w:left="0" w:firstLine="0"/>
              <w:rPr>
                <w:rFonts w:cstheme="minorHAnsi"/>
              </w:rPr>
            </w:pPr>
            <w:r>
              <w:rPr>
                <w:rFonts w:cstheme="minorHAnsi"/>
              </w:rPr>
              <w:t>3.7</w:t>
            </w:r>
          </w:p>
        </w:tc>
        <w:tc>
          <w:tcPr>
            <w:tcW w:w="418" w:type="pct"/>
            <w:vAlign w:val="bottom"/>
          </w:tcPr>
          <w:p w:rsidR="00A4531C" w:rsidRPr="00FE3F73" w:rsidRDefault="00A4531C" w:rsidP="00A4531C">
            <w:pPr>
              <w:pStyle w:val="TableRowNormal"/>
              <w:ind w:left="0" w:firstLine="0"/>
              <w:rPr>
                <w:rFonts w:cstheme="minorHAnsi"/>
              </w:rPr>
            </w:pPr>
            <w:r>
              <w:rPr>
                <w:rFonts w:cstheme="minorHAnsi"/>
              </w:rPr>
              <w:t>6.2</w:t>
            </w:r>
          </w:p>
        </w:tc>
      </w:tr>
      <w:tr w:rsidR="00A4531C" w:rsidRPr="00FE3F73" w:rsidTr="00A4531C">
        <w:trPr>
          <w:gridAfter w:val="1"/>
          <w:wAfter w:w="769" w:type="pct"/>
        </w:trPr>
        <w:tc>
          <w:tcPr>
            <w:tcW w:w="469" w:type="pct"/>
            <w:vAlign w:val="bottom"/>
          </w:tcPr>
          <w:p w:rsidR="00A4531C" w:rsidRDefault="00A4531C" w:rsidP="00A4531C">
            <w:pPr>
              <w:pStyle w:val="CGCTableStub"/>
              <w:tabs>
                <w:tab w:val="left" w:pos="142"/>
                <w:tab w:val="left" w:pos="425"/>
                <w:tab w:val="left" w:pos="709"/>
                <w:tab w:val="left" w:pos="851"/>
              </w:tabs>
              <w:ind w:left="193" w:hanging="142"/>
              <w:rPr>
                <w:rFonts w:cstheme="minorHAnsi"/>
              </w:rPr>
            </w:pPr>
            <w:r>
              <w:rPr>
                <w:rFonts w:cstheme="minorHAnsi"/>
              </w:rPr>
              <w:t>2015-16</w:t>
            </w:r>
          </w:p>
        </w:tc>
        <w:tc>
          <w:tcPr>
            <w:tcW w:w="418" w:type="pct"/>
            <w:vAlign w:val="bottom"/>
          </w:tcPr>
          <w:p w:rsidR="00A4531C" w:rsidRPr="002C506F" w:rsidRDefault="00A4531C" w:rsidP="00A4531C">
            <w:pPr>
              <w:pStyle w:val="TableRowNormal"/>
              <w:ind w:left="0" w:firstLine="0"/>
              <w:rPr>
                <w:rFonts w:cstheme="minorHAnsi"/>
              </w:rPr>
            </w:pPr>
            <w:r>
              <w:rPr>
                <w:rFonts w:cstheme="minorHAnsi"/>
              </w:rPr>
              <w:t>7.3</w:t>
            </w:r>
          </w:p>
        </w:tc>
        <w:tc>
          <w:tcPr>
            <w:tcW w:w="418" w:type="pct"/>
            <w:vAlign w:val="bottom"/>
          </w:tcPr>
          <w:p w:rsidR="00A4531C" w:rsidRPr="002C506F" w:rsidRDefault="00A4531C" w:rsidP="00A4531C">
            <w:pPr>
              <w:pStyle w:val="TableRowNormal"/>
              <w:ind w:left="0" w:firstLine="0"/>
              <w:rPr>
                <w:rFonts w:cstheme="minorHAnsi"/>
              </w:rPr>
            </w:pPr>
            <w:r>
              <w:rPr>
                <w:rFonts w:cstheme="minorHAnsi"/>
              </w:rPr>
              <w:t>7.5</w:t>
            </w:r>
          </w:p>
        </w:tc>
        <w:tc>
          <w:tcPr>
            <w:tcW w:w="418" w:type="pct"/>
            <w:vAlign w:val="bottom"/>
          </w:tcPr>
          <w:p w:rsidR="00A4531C" w:rsidRPr="002C506F" w:rsidRDefault="00A4531C" w:rsidP="00A4531C">
            <w:pPr>
              <w:pStyle w:val="TableRowNormal"/>
              <w:ind w:left="0" w:firstLine="0"/>
              <w:rPr>
                <w:rFonts w:cstheme="minorHAnsi"/>
              </w:rPr>
            </w:pPr>
            <w:r>
              <w:rPr>
                <w:rFonts w:cstheme="minorHAnsi"/>
              </w:rPr>
              <w:t>9.8</w:t>
            </w:r>
          </w:p>
        </w:tc>
        <w:tc>
          <w:tcPr>
            <w:tcW w:w="418" w:type="pct"/>
            <w:vAlign w:val="bottom"/>
          </w:tcPr>
          <w:p w:rsidR="00A4531C" w:rsidRPr="002C506F" w:rsidRDefault="00A4531C" w:rsidP="00A4531C">
            <w:pPr>
              <w:pStyle w:val="TableRowNormal"/>
              <w:ind w:left="0" w:firstLine="0"/>
              <w:rPr>
                <w:rFonts w:cstheme="minorHAnsi"/>
              </w:rPr>
            </w:pPr>
            <w:r>
              <w:rPr>
                <w:rFonts w:cstheme="minorHAnsi"/>
              </w:rPr>
              <w:t>10.2</w:t>
            </w:r>
          </w:p>
        </w:tc>
        <w:tc>
          <w:tcPr>
            <w:tcW w:w="418" w:type="pct"/>
            <w:vAlign w:val="bottom"/>
          </w:tcPr>
          <w:p w:rsidR="00A4531C" w:rsidRPr="002C506F" w:rsidRDefault="00A4531C" w:rsidP="00A4531C">
            <w:pPr>
              <w:pStyle w:val="TableRowNormal"/>
              <w:ind w:left="0" w:firstLine="0"/>
              <w:rPr>
                <w:rFonts w:cstheme="minorHAnsi"/>
              </w:rPr>
            </w:pPr>
            <w:r>
              <w:rPr>
                <w:rFonts w:cstheme="minorHAnsi"/>
              </w:rPr>
              <w:t>3.5</w:t>
            </w:r>
          </w:p>
        </w:tc>
        <w:tc>
          <w:tcPr>
            <w:tcW w:w="418" w:type="pct"/>
            <w:vAlign w:val="bottom"/>
          </w:tcPr>
          <w:p w:rsidR="00A4531C" w:rsidRPr="002C506F" w:rsidRDefault="00A4531C" w:rsidP="00A4531C">
            <w:pPr>
              <w:pStyle w:val="TableRowNormal"/>
              <w:ind w:left="0" w:firstLine="0"/>
              <w:rPr>
                <w:rFonts w:cstheme="minorHAnsi"/>
              </w:rPr>
            </w:pPr>
            <w:r>
              <w:rPr>
                <w:rFonts w:cstheme="minorHAnsi"/>
              </w:rPr>
              <w:t>2.8</w:t>
            </w:r>
          </w:p>
        </w:tc>
        <w:tc>
          <w:tcPr>
            <w:tcW w:w="418" w:type="pct"/>
            <w:vAlign w:val="bottom"/>
          </w:tcPr>
          <w:p w:rsidR="00A4531C" w:rsidRDefault="00A4531C" w:rsidP="00A4531C">
            <w:pPr>
              <w:pStyle w:val="TableRowNormal"/>
              <w:ind w:left="0" w:firstLine="0"/>
              <w:rPr>
                <w:rFonts w:cstheme="minorHAnsi"/>
              </w:rPr>
            </w:pPr>
            <w:r>
              <w:rPr>
                <w:rFonts w:cstheme="minorHAnsi"/>
              </w:rPr>
              <w:t>2.1</w:t>
            </w:r>
          </w:p>
        </w:tc>
        <w:tc>
          <w:tcPr>
            <w:tcW w:w="418" w:type="pct"/>
            <w:vAlign w:val="bottom"/>
          </w:tcPr>
          <w:p w:rsidR="00A4531C" w:rsidRDefault="00A4531C" w:rsidP="00A4531C">
            <w:pPr>
              <w:pStyle w:val="TableRowNormal"/>
              <w:ind w:left="0" w:firstLine="0"/>
              <w:rPr>
                <w:rFonts w:cstheme="minorHAnsi"/>
              </w:rPr>
            </w:pPr>
            <w:r>
              <w:rPr>
                <w:rFonts w:cstheme="minorHAnsi"/>
              </w:rPr>
              <w:t>4.8</w:t>
            </w:r>
          </w:p>
        </w:tc>
        <w:tc>
          <w:tcPr>
            <w:tcW w:w="418" w:type="pct"/>
            <w:vAlign w:val="bottom"/>
          </w:tcPr>
          <w:p w:rsidR="00A4531C" w:rsidRPr="00FE3F73" w:rsidRDefault="00A4531C" w:rsidP="00A4531C">
            <w:pPr>
              <w:pStyle w:val="TableRowNormal"/>
              <w:ind w:left="0" w:firstLine="0"/>
              <w:rPr>
                <w:rFonts w:cstheme="minorHAnsi"/>
              </w:rPr>
            </w:pPr>
            <w:r>
              <w:rPr>
                <w:rFonts w:cstheme="minorHAnsi"/>
              </w:rPr>
              <w:t>6.4</w:t>
            </w:r>
          </w:p>
        </w:tc>
      </w:tr>
      <w:tr w:rsidR="00A4531C" w:rsidRPr="00FE3F73" w:rsidTr="00A4531C">
        <w:trPr>
          <w:gridAfter w:val="1"/>
          <w:wAfter w:w="769" w:type="pct"/>
        </w:trPr>
        <w:tc>
          <w:tcPr>
            <w:tcW w:w="469" w:type="pct"/>
            <w:tcBorders>
              <w:bottom w:val="single" w:sz="4" w:space="0" w:color="auto"/>
            </w:tcBorders>
            <w:vAlign w:val="bottom"/>
          </w:tcPr>
          <w:p w:rsidR="00A4531C" w:rsidRDefault="00A4531C" w:rsidP="00A4531C">
            <w:pPr>
              <w:pStyle w:val="CGCTableStub"/>
              <w:tabs>
                <w:tab w:val="left" w:pos="142"/>
                <w:tab w:val="left" w:pos="425"/>
                <w:tab w:val="left" w:pos="709"/>
                <w:tab w:val="left" w:pos="851"/>
              </w:tabs>
              <w:ind w:left="193" w:hanging="142"/>
              <w:rPr>
                <w:rFonts w:cstheme="minorHAnsi"/>
              </w:rPr>
            </w:pPr>
            <w:r>
              <w:rPr>
                <w:rFonts w:cstheme="minorHAnsi"/>
              </w:rPr>
              <w:t>2016-17</w:t>
            </w:r>
          </w:p>
        </w:tc>
        <w:tc>
          <w:tcPr>
            <w:tcW w:w="418" w:type="pct"/>
            <w:tcBorders>
              <w:bottom w:val="single" w:sz="4" w:space="0" w:color="auto"/>
            </w:tcBorders>
            <w:vAlign w:val="bottom"/>
          </w:tcPr>
          <w:p w:rsidR="00A4531C" w:rsidRPr="002C506F" w:rsidRDefault="00A4531C" w:rsidP="00A4531C">
            <w:pPr>
              <w:pStyle w:val="TableRowNormal"/>
              <w:ind w:left="0" w:firstLine="0"/>
              <w:rPr>
                <w:rFonts w:cstheme="minorHAnsi"/>
              </w:rPr>
            </w:pPr>
            <w:r>
              <w:rPr>
                <w:rFonts w:cstheme="minorHAnsi"/>
              </w:rPr>
              <w:t>7.3</w:t>
            </w:r>
          </w:p>
        </w:tc>
        <w:tc>
          <w:tcPr>
            <w:tcW w:w="418" w:type="pct"/>
            <w:tcBorders>
              <w:bottom w:val="single" w:sz="4" w:space="0" w:color="auto"/>
            </w:tcBorders>
            <w:vAlign w:val="bottom"/>
          </w:tcPr>
          <w:p w:rsidR="00A4531C" w:rsidRPr="002C506F" w:rsidRDefault="00A4531C" w:rsidP="00A4531C">
            <w:pPr>
              <w:pStyle w:val="TableRowNormal"/>
              <w:ind w:left="0" w:firstLine="0"/>
              <w:rPr>
                <w:rFonts w:cstheme="minorHAnsi"/>
              </w:rPr>
            </w:pPr>
            <w:r>
              <w:rPr>
                <w:rFonts w:cstheme="minorHAnsi"/>
              </w:rPr>
              <w:t>8.5</w:t>
            </w:r>
          </w:p>
        </w:tc>
        <w:tc>
          <w:tcPr>
            <w:tcW w:w="418" w:type="pct"/>
            <w:tcBorders>
              <w:bottom w:val="single" w:sz="4" w:space="0" w:color="auto"/>
            </w:tcBorders>
            <w:vAlign w:val="bottom"/>
          </w:tcPr>
          <w:p w:rsidR="00A4531C" w:rsidRPr="002C506F" w:rsidRDefault="00A4531C" w:rsidP="00A4531C">
            <w:pPr>
              <w:pStyle w:val="TableRowNormal"/>
              <w:ind w:left="0" w:firstLine="0"/>
              <w:rPr>
                <w:rFonts w:cstheme="minorHAnsi"/>
              </w:rPr>
            </w:pPr>
            <w:r>
              <w:rPr>
                <w:rFonts w:cstheme="minorHAnsi"/>
              </w:rPr>
              <w:t>10.2</w:t>
            </w:r>
          </w:p>
        </w:tc>
        <w:tc>
          <w:tcPr>
            <w:tcW w:w="418" w:type="pct"/>
            <w:tcBorders>
              <w:bottom w:val="single" w:sz="4" w:space="0" w:color="auto"/>
            </w:tcBorders>
            <w:vAlign w:val="bottom"/>
          </w:tcPr>
          <w:p w:rsidR="00A4531C" w:rsidRPr="002C506F" w:rsidRDefault="00A4531C" w:rsidP="00A4531C">
            <w:pPr>
              <w:pStyle w:val="TableRowNormal"/>
              <w:ind w:left="0" w:firstLine="0"/>
              <w:rPr>
                <w:rFonts w:cstheme="minorHAnsi"/>
              </w:rPr>
            </w:pPr>
            <w:r>
              <w:rPr>
                <w:rFonts w:cstheme="minorHAnsi"/>
              </w:rPr>
              <w:t>9.9</w:t>
            </w:r>
          </w:p>
        </w:tc>
        <w:tc>
          <w:tcPr>
            <w:tcW w:w="418" w:type="pct"/>
            <w:tcBorders>
              <w:bottom w:val="single" w:sz="4" w:space="0" w:color="auto"/>
            </w:tcBorders>
            <w:vAlign w:val="bottom"/>
          </w:tcPr>
          <w:p w:rsidR="00A4531C" w:rsidRPr="002C506F" w:rsidRDefault="00A4531C" w:rsidP="00A4531C">
            <w:pPr>
              <w:pStyle w:val="TableRowNormal"/>
              <w:ind w:left="0" w:firstLine="0"/>
              <w:rPr>
                <w:rFonts w:cstheme="minorHAnsi"/>
              </w:rPr>
            </w:pPr>
            <w:r>
              <w:rPr>
                <w:rFonts w:cstheme="minorHAnsi"/>
              </w:rPr>
              <w:t>3.4</w:t>
            </w:r>
          </w:p>
        </w:tc>
        <w:tc>
          <w:tcPr>
            <w:tcW w:w="418" w:type="pct"/>
            <w:tcBorders>
              <w:bottom w:val="single" w:sz="4" w:space="0" w:color="auto"/>
            </w:tcBorders>
            <w:vAlign w:val="bottom"/>
          </w:tcPr>
          <w:p w:rsidR="00A4531C" w:rsidRPr="002C506F" w:rsidRDefault="00A4531C" w:rsidP="00A4531C">
            <w:pPr>
              <w:pStyle w:val="TableRowNormal"/>
              <w:ind w:left="0" w:firstLine="0"/>
              <w:rPr>
                <w:rFonts w:cstheme="minorHAnsi"/>
              </w:rPr>
            </w:pPr>
            <w:r>
              <w:rPr>
                <w:rFonts w:cstheme="minorHAnsi"/>
              </w:rPr>
              <w:t>2.7</w:t>
            </w:r>
          </w:p>
        </w:tc>
        <w:tc>
          <w:tcPr>
            <w:tcW w:w="418" w:type="pct"/>
            <w:tcBorders>
              <w:bottom w:val="single" w:sz="4" w:space="0" w:color="auto"/>
            </w:tcBorders>
            <w:vAlign w:val="bottom"/>
          </w:tcPr>
          <w:p w:rsidR="00A4531C" w:rsidRDefault="00A4531C" w:rsidP="00A4531C">
            <w:pPr>
              <w:pStyle w:val="TableRowNormal"/>
              <w:ind w:left="0" w:firstLine="0"/>
              <w:rPr>
                <w:rFonts w:cstheme="minorHAnsi"/>
              </w:rPr>
            </w:pPr>
            <w:r>
              <w:rPr>
                <w:rFonts w:cstheme="minorHAnsi"/>
              </w:rPr>
              <w:t>2.1</w:t>
            </w:r>
          </w:p>
        </w:tc>
        <w:tc>
          <w:tcPr>
            <w:tcW w:w="418" w:type="pct"/>
            <w:tcBorders>
              <w:bottom w:val="single" w:sz="4" w:space="0" w:color="auto"/>
            </w:tcBorders>
            <w:vAlign w:val="bottom"/>
          </w:tcPr>
          <w:p w:rsidR="00A4531C" w:rsidRDefault="00A4531C" w:rsidP="00A4531C">
            <w:pPr>
              <w:pStyle w:val="TableRowNormal"/>
              <w:ind w:left="0" w:firstLine="0"/>
              <w:rPr>
                <w:rFonts w:cstheme="minorHAnsi"/>
              </w:rPr>
            </w:pPr>
            <w:r>
              <w:rPr>
                <w:rFonts w:cstheme="minorHAnsi"/>
              </w:rPr>
              <w:t>5.1</w:t>
            </w:r>
          </w:p>
        </w:tc>
        <w:tc>
          <w:tcPr>
            <w:tcW w:w="418" w:type="pct"/>
            <w:tcBorders>
              <w:bottom w:val="single" w:sz="4" w:space="0" w:color="auto"/>
            </w:tcBorders>
            <w:vAlign w:val="bottom"/>
          </w:tcPr>
          <w:p w:rsidR="00A4531C" w:rsidRPr="00FE3F73" w:rsidRDefault="00A4531C" w:rsidP="00A4531C">
            <w:pPr>
              <w:pStyle w:val="TableRowNormal"/>
              <w:ind w:left="0" w:firstLine="0"/>
              <w:rPr>
                <w:rFonts w:cstheme="minorHAnsi"/>
              </w:rPr>
            </w:pPr>
            <w:r>
              <w:rPr>
                <w:rFonts w:cstheme="minorHAnsi"/>
              </w:rPr>
              <w:t>7.0</w:t>
            </w:r>
          </w:p>
        </w:tc>
      </w:tr>
    </w:tbl>
    <w:p w:rsidR="00A4531C" w:rsidRDefault="00A4531C" w:rsidP="001010FD">
      <w:pPr>
        <w:pStyle w:val="CGCTableFootnote"/>
      </w:pPr>
      <w:r>
        <w:t>Source:</w:t>
      </w:r>
      <w:r>
        <w:tab/>
        <w:t>State provided royalty revenue and value of production data.</w:t>
      </w:r>
    </w:p>
    <w:p w:rsidR="00C34DC6" w:rsidRDefault="00C34DC6" w:rsidP="00C34DC6">
      <w:pPr>
        <w:pStyle w:val="CGCNumberedPara"/>
      </w:pPr>
      <w:r>
        <w:fldChar w:fldCharType="begin"/>
      </w:r>
      <w:r>
        <w:instrText xml:space="preserve"> REF _Ref528738836 \h </w:instrText>
      </w:r>
      <w:r>
        <w:fldChar w:fldCharType="separate"/>
      </w:r>
      <w:r w:rsidR="00A7301A">
        <w:t>Table </w:t>
      </w:r>
      <w:r w:rsidR="00A7301A">
        <w:rPr>
          <w:noProof/>
        </w:rPr>
        <w:t>4</w:t>
      </w:r>
      <w:r>
        <w:fldChar w:fldCharType="end"/>
      </w:r>
      <w:r>
        <w:t xml:space="preserve"> shows Victoria, South Australia, Tasmania and the Northern Territory have almost none of the minerals that attract the highest royalty rates.</w:t>
      </w:r>
    </w:p>
    <w:p w:rsidR="00C34DC6" w:rsidRDefault="00C34DC6" w:rsidP="00C34DC6">
      <w:pPr>
        <w:pStyle w:val="CGCTableHeading"/>
      </w:pPr>
      <w:bookmarkStart w:id="43" w:name="_Ref528738836"/>
      <w:r>
        <w:t>Table </w:t>
      </w:r>
      <w:r>
        <w:rPr>
          <w:noProof/>
        </w:rPr>
        <w:fldChar w:fldCharType="begin"/>
      </w:r>
      <w:r>
        <w:rPr>
          <w:noProof/>
        </w:rPr>
        <w:instrText xml:space="preserve"> SEQ Table \* ARABIC </w:instrText>
      </w:r>
      <w:r>
        <w:rPr>
          <w:noProof/>
        </w:rPr>
        <w:fldChar w:fldCharType="separate"/>
      </w:r>
      <w:r w:rsidR="00A7301A">
        <w:rPr>
          <w:noProof/>
        </w:rPr>
        <w:t>4</w:t>
      </w:r>
      <w:r>
        <w:rPr>
          <w:noProof/>
        </w:rPr>
        <w:fldChar w:fldCharType="end"/>
      </w:r>
      <w:bookmarkEnd w:id="43"/>
      <w:r>
        <w:tab/>
        <w:t xml:space="preserve">Share of value of production, </w:t>
      </w:r>
      <w:r w:rsidR="00303A5D">
        <w:t xml:space="preserve">two group option, </w:t>
      </w:r>
      <w:r>
        <w:t>2016-17</w:t>
      </w:r>
    </w:p>
    <w:tbl>
      <w:tblPr>
        <w:tblW w:w="5000" w:type="pct"/>
        <w:tblLayout w:type="fixed"/>
        <w:tblCellMar>
          <w:left w:w="0" w:type="dxa"/>
          <w:right w:w="0" w:type="dxa"/>
        </w:tblCellMar>
        <w:tblLook w:val="0000" w:firstRow="0" w:lastRow="0" w:firstColumn="0" w:lastColumn="0" w:noHBand="0" w:noVBand="0"/>
      </w:tblPr>
      <w:tblGrid>
        <w:gridCol w:w="1701"/>
        <w:gridCol w:w="685"/>
        <w:gridCol w:w="823"/>
        <w:gridCol w:w="822"/>
        <w:gridCol w:w="822"/>
        <w:gridCol w:w="822"/>
        <w:gridCol w:w="822"/>
        <w:gridCol w:w="822"/>
        <w:gridCol w:w="822"/>
        <w:gridCol w:w="817"/>
      </w:tblGrid>
      <w:tr w:rsidR="00C34DC6" w:rsidRPr="00FE3F73" w:rsidTr="00303A5D">
        <w:tc>
          <w:tcPr>
            <w:tcW w:w="949" w:type="pct"/>
            <w:tcBorders>
              <w:top w:val="single" w:sz="6" w:space="0" w:color="auto"/>
              <w:bottom w:val="single" w:sz="6" w:space="0" w:color="auto"/>
            </w:tcBorders>
            <w:vAlign w:val="center"/>
          </w:tcPr>
          <w:p w:rsidR="00C34DC6" w:rsidRPr="00FE3F73" w:rsidRDefault="00C34DC6" w:rsidP="00F03139">
            <w:pPr>
              <w:pStyle w:val="CGCTableStub"/>
              <w:spacing w:line="240" w:lineRule="auto"/>
              <w:ind w:left="193" w:hanging="142"/>
              <w:rPr>
                <w:rFonts w:cstheme="minorHAnsi"/>
              </w:rPr>
            </w:pPr>
            <w:r>
              <w:rPr>
                <w:rFonts w:cstheme="minorHAnsi"/>
              </w:rPr>
              <w:t>Group</w:t>
            </w:r>
          </w:p>
        </w:tc>
        <w:tc>
          <w:tcPr>
            <w:tcW w:w="382" w:type="pct"/>
            <w:tcBorders>
              <w:top w:val="single" w:sz="6" w:space="0" w:color="auto"/>
              <w:bottom w:val="single" w:sz="6" w:space="0" w:color="auto"/>
            </w:tcBorders>
            <w:vAlign w:val="center"/>
          </w:tcPr>
          <w:p w:rsidR="00C34DC6" w:rsidRPr="00FE3F73" w:rsidRDefault="00C34DC6" w:rsidP="00F03139">
            <w:pPr>
              <w:pStyle w:val="TableColHeadings"/>
              <w:rPr>
                <w:rFonts w:cstheme="minorHAnsi"/>
              </w:rPr>
            </w:pPr>
            <w:r w:rsidRPr="00FE3F73">
              <w:rPr>
                <w:rFonts w:cstheme="minorHAnsi"/>
              </w:rPr>
              <w:t>NSW</w:t>
            </w:r>
          </w:p>
        </w:tc>
        <w:tc>
          <w:tcPr>
            <w:tcW w:w="459" w:type="pct"/>
            <w:tcBorders>
              <w:top w:val="single" w:sz="6" w:space="0" w:color="auto"/>
              <w:bottom w:val="single" w:sz="6" w:space="0" w:color="auto"/>
            </w:tcBorders>
            <w:vAlign w:val="center"/>
          </w:tcPr>
          <w:p w:rsidR="00C34DC6" w:rsidRPr="00FE3F73" w:rsidRDefault="00C34DC6" w:rsidP="00F03139">
            <w:pPr>
              <w:pStyle w:val="TableColHeadings"/>
              <w:rPr>
                <w:rFonts w:cstheme="minorHAnsi"/>
              </w:rPr>
            </w:pPr>
            <w:r w:rsidRPr="00FE3F73">
              <w:rPr>
                <w:rFonts w:cstheme="minorHAnsi"/>
              </w:rPr>
              <w:t>Vic</w:t>
            </w:r>
          </w:p>
        </w:tc>
        <w:tc>
          <w:tcPr>
            <w:tcW w:w="459" w:type="pct"/>
            <w:tcBorders>
              <w:top w:val="single" w:sz="6" w:space="0" w:color="auto"/>
              <w:bottom w:val="single" w:sz="6" w:space="0" w:color="auto"/>
            </w:tcBorders>
            <w:vAlign w:val="center"/>
          </w:tcPr>
          <w:p w:rsidR="00C34DC6" w:rsidRPr="00FE3F73" w:rsidRDefault="00C34DC6" w:rsidP="00F03139">
            <w:pPr>
              <w:pStyle w:val="TableColHeadings"/>
              <w:rPr>
                <w:rFonts w:cstheme="minorHAnsi"/>
              </w:rPr>
            </w:pPr>
            <w:r w:rsidRPr="00FE3F73">
              <w:rPr>
                <w:rFonts w:cstheme="minorHAnsi"/>
              </w:rPr>
              <w:t>Qld</w:t>
            </w:r>
          </w:p>
        </w:tc>
        <w:tc>
          <w:tcPr>
            <w:tcW w:w="459" w:type="pct"/>
            <w:tcBorders>
              <w:top w:val="single" w:sz="6" w:space="0" w:color="auto"/>
              <w:bottom w:val="single" w:sz="6" w:space="0" w:color="auto"/>
            </w:tcBorders>
            <w:vAlign w:val="center"/>
          </w:tcPr>
          <w:p w:rsidR="00C34DC6" w:rsidRPr="00FE3F73" w:rsidRDefault="00C34DC6" w:rsidP="00F03139">
            <w:pPr>
              <w:pStyle w:val="TableColHeadings"/>
              <w:rPr>
                <w:rFonts w:cstheme="minorHAnsi"/>
              </w:rPr>
            </w:pPr>
            <w:r w:rsidRPr="00FE3F73">
              <w:rPr>
                <w:rFonts w:cstheme="minorHAnsi"/>
              </w:rPr>
              <w:t>WA</w:t>
            </w:r>
          </w:p>
        </w:tc>
        <w:tc>
          <w:tcPr>
            <w:tcW w:w="459" w:type="pct"/>
            <w:tcBorders>
              <w:top w:val="single" w:sz="6" w:space="0" w:color="auto"/>
              <w:bottom w:val="single" w:sz="6" w:space="0" w:color="auto"/>
            </w:tcBorders>
            <w:vAlign w:val="center"/>
          </w:tcPr>
          <w:p w:rsidR="00C34DC6" w:rsidRPr="00FE3F73" w:rsidRDefault="00C34DC6" w:rsidP="00F03139">
            <w:pPr>
              <w:pStyle w:val="TableColHeadings"/>
              <w:rPr>
                <w:rFonts w:cstheme="minorHAnsi"/>
              </w:rPr>
            </w:pPr>
            <w:r w:rsidRPr="00FE3F73">
              <w:rPr>
                <w:rFonts w:cstheme="minorHAnsi"/>
              </w:rPr>
              <w:t>SA</w:t>
            </w:r>
          </w:p>
        </w:tc>
        <w:tc>
          <w:tcPr>
            <w:tcW w:w="459" w:type="pct"/>
            <w:tcBorders>
              <w:top w:val="single" w:sz="6" w:space="0" w:color="auto"/>
              <w:bottom w:val="single" w:sz="6" w:space="0" w:color="auto"/>
            </w:tcBorders>
            <w:vAlign w:val="center"/>
          </w:tcPr>
          <w:p w:rsidR="00C34DC6" w:rsidRPr="00FE3F73" w:rsidRDefault="00C34DC6" w:rsidP="00F03139">
            <w:pPr>
              <w:pStyle w:val="TableColHeadings"/>
              <w:rPr>
                <w:rFonts w:cstheme="minorHAnsi"/>
              </w:rPr>
            </w:pPr>
            <w:proofErr w:type="spellStart"/>
            <w:r w:rsidRPr="00FE3F73">
              <w:rPr>
                <w:rFonts w:cstheme="minorHAnsi"/>
              </w:rPr>
              <w:t>Tas</w:t>
            </w:r>
            <w:proofErr w:type="spellEnd"/>
          </w:p>
        </w:tc>
        <w:tc>
          <w:tcPr>
            <w:tcW w:w="459" w:type="pct"/>
            <w:tcBorders>
              <w:top w:val="single" w:sz="6" w:space="0" w:color="auto"/>
              <w:bottom w:val="single" w:sz="6" w:space="0" w:color="auto"/>
            </w:tcBorders>
            <w:vAlign w:val="center"/>
          </w:tcPr>
          <w:p w:rsidR="00C34DC6" w:rsidRPr="00FE3F73" w:rsidRDefault="00C34DC6" w:rsidP="00F03139">
            <w:pPr>
              <w:pStyle w:val="TableColHeadings"/>
              <w:rPr>
                <w:rFonts w:cstheme="minorHAnsi"/>
              </w:rPr>
            </w:pPr>
            <w:r w:rsidRPr="00FE3F73">
              <w:rPr>
                <w:rFonts w:cstheme="minorHAnsi"/>
              </w:rPr>
              <w:t>ACT</w:t>
            </w:r>
          </w:p>
        </w:tc>
        <w:tc>
          <w:tcPr>
            <w:tcW w:w="459" w:type="pct"/>
            <w:tcBorders>
              <w:top w:val="single" w:sz="6" w:space="0" w:color="auto"/>
              <w:bottom w:val="single" w:sz="6" w:space="0" w:color="auto"/>
            </w:tcBorders>
            <w:vAlign w:val="center"/>
          </w:tcPr>
          <w:p w:rsidR="00C34DC6" w:rsidRPr="00FE3F73" w:rsidRDefault="00C34DC6" w:rsidP="00F03139">
            <w:pPr>
              <w:pStyle w:val="TableColHeadings"/>
              <w:rPr>
                <w:rFonts w:cstheme="minorHAnsi"/>
              </w:rPr>
            </w:pPr>
            <w:r w:rsidRPr="00FE3F73">
              <w:rPr>
                <w:rFonts w:cstheme="minorHAnsi"/>
              </w:rPr>
              <w:t>NT</w:t>
            </w:r>
          </w:p>
        </w:tc>
        <w:tc>
          <w:tcPr>
            <w:tcW w:w="456" w:type="pct"/>
            <w:tcBorders>
              <w:top w:val="single" w:sz="6" w:space="0" w:color="auto"/>
              <w:bottom w:val="single" w:sz="6" w:space="0" w:color="auto"/>
            </w:tcBorders>
            <w:vAlign w:val="center"/>
          </w:tcPr>
          <w:p w:rsidR="00C34DC6" w:rsidRPr="00FE3F73" w:rsidRDefault="00C34DC6" w:rsidP="00F03139">
            <w:pPr>
              <w:pStyle w:val="TableColHeadings"/>
              <w:rPr>
                <w:rFonts w:cstheme="minorHAnsi"/>
              </w:rPr>
            </w:pPr>
            <w:r>
              <w:rPr>
                <w:rFonts w:cstheme="minorHAnsi"/>
              </w:rPr>
              <w:t>Total</w:t>
            </w:r>
          </w:p>
        </w:tc>
      </w:tr>
      <w:tr w:rsidR="00C34DC6" w:rsidRPr="00FE3F73" w:rsidTr="00303A5D">
        <w:tc>
          <w:tcPr>
            <w:tcW w:w="949" w:type="pct"/>
            <w:tcMar>
              <w:top w:w="0" w:type="dxa"/>
              <w:bottom w:w="0" w:type="dxa"/>
            </w:tcMar>
            <w:vAlign w:val="bottom"/>
          </w:tcPr>
          <w:p w:rsidR="00C34DC6" w:rsidRPr="00FE3F73" w:rsidRDefault="00C34DC6" w:rsidP="00F03139">
            <w:pPr>
              <w:pStyle w:val="CGCTableStub"/>
              <w:spacing w:before="0" w:after="0" w:line="240" w:lineRule="auto"/>
              <w:ind w:left="193" w:hanging="142"/>
              <w:jc w:val="right"/>
              <w:rPr>
                <w:rFonts w:cstheme="minorHAnsi"/>
              </w:rPr>
            </w:pPr>
          </w:p>
        </w:tc>
        <w:tc>
          <w:tcPr>
            <w:tcW w:w="382" w:type="pct"/>
            <w:tcMar>
              <w:top w:w="0" w:type="dxa"/>
              <w:bottom w:w="0" w:type="dxa"/>
            </w:tcMar>
            <w:vAlign w:val="bottom"/>
          </w:tcPr>
          <w:p w:rsidR="00C34DC6" w:rsidRPr="00FE3F73" w:rsidRDefault="00C34DC6" w:rsidP="00F03139">
            <w:pPr>
              <w:pStyle w:val="TableRowNormal"/>
              <w:spacing w:before="0" w:after="0" w:line="240" w:lineRule="auto"/>
              <w:ind w:left="0" w:firstLine="0"/>
              <w:rPr>
                <w:rFonts w:cstheme="minorHAnsi"/>
              </w:rPr>
            </w:pPr>
            <w:r>
              <w:rPr>
                <w:rFonts w:cstheme="minorHAnsi"/>
              </w:rPr>
              <w:t>%</w:t>
            </w:r>
          </w:p>
        </w:tc>
        <w:tc>
          <w:tcPr>
            <w:tcW w:w="459" w:type="pct"/>
            <w:tcMar>
              <w:top w:w="0" w:type="dxa"/>
              <w:bottom w:w="0" w:type="dxa"/>
            </w:tcMar>
            <w:vAlign w:val="bottom"/>
          </w:tcPr>
          <w:p w:rsidR="00C34DC6" w:rsidRPr="00FE3F73" w:rsidRDefault="00C34DC6" w:rsidP="00F03139">
            <w:pPr>
              <w:pStyle w:val="TableRowNormal"/>
              <w:spacing w:before="0" w:after="0" w:line="240" w:lineRule="auto"/>
              <w:ind w:left="0" w:firstLine="0"/>
              <w:rPr>
                <w:rFonts w:cstheme="minorHAnsi"/>
              </w:rPr>
            </w:pPr>
            <w:r>
              <w:rPr>
                <w:rFonts w:cstheme="minorHAnsi"/>
              </w:rPr>
              <w:t>%</w:t>
            </w:r>
          </w:p>
        </w:tc>
        <w:tc>
          <w:tcPr>
            <w:tcW w:w="459" w:type="pct"/>
            <w:tcMar>
              <w:top w:w="0" w:type="dxa"/>
              <w:bottom w:w="0" w:type="dxa"/>
            </w:tcMar>
            <w:vAlign w:val="bottom"/>
          </w:tcPr>
          <w:p w:rsidR="00C34DC6" w:rsidRPr="00FE3F73" w:rsidRDefault="00C34DC6" w:rsidP="00F03139">
            <w:pPr>
              <w:pStyle w:val="TableRowNormal"/>
              <w:spacing w:before="0" w:after="0" w:line="240" w:lineRule="auto"/>
              <w:ind w:left="0" w:firstLine="0"/>
              <w:rPr>
                <w:rFonts w:cstheme="minorHAnsi"/>
              </w:rPr>
            </w:pPr>
            <w:r>
              <w:rPr>
                <w:rFonts w:cstheme="minorHAnsi"/>
              </w:rPr>
              <w:t>%</w:t>
            </w:r>
          </w:p>
        </w:tc>
        <w:tc>
          <w:tcPr>
            <w:tcW w:w="459" w:type="pct"/>
            <w:tcMar>
              <w:top w:w="0" w:type="dxa"/>
              <w:bottom w:w="0" w:type="dxa"/>
            </w:tcMar>
            <w:vAlign w:val="bottom"/>
          </w:tcPr>
          <w:p w:rsidR="00C34DC6" w:rsidRPr="00FE3F73" w:rsidRDefault="00C34DC6" w:rsidP="00F03139">
            <w:pPr>
              <w:pStyle w:val="TableRowNormal"/>
              <w:spacing w:before="0" w:after="0" w:line="240" w:lineRule="auto"/>
              <w:ind w:left="0" w:firstLine="0"/>
              <w:rPr>
                <w:rFonts w:cstheme="minorHAnsi"/>
              </w:rPr>
            </w:pPr>
            <w:r>
              <w:rPr>
                <w:rFonts w:cstheme="minorHAnsi"/>
              </w:rPr>
              <w:t>%</w:t>
            </w:r>
          </w:p>
        </w:tc>
        <w:tc>
          <w:tcPr>
            <w:tcW w:w="459" w:type="pct"/>
            <w:tcMar>
              <w:top w:w="0" w:type="dxa"/>
              <w:bottom w:w="0" w:type="dxa"/>
            </w:tcMar>
            <w:vAlign w:val="bottom"/>
          </w:tcPr>
          <w:p w:rsidR="00C34DC6" w:rsidRPr="00FE3F73" w:rsidRDefault="00C34DC6" w:rsidP="00F03139">
            <w:pPr>
              <w:pStyle w:val="TableRowNormal"/>
              <w:spacing w:before="0" w:after="0" w:line="240" w:lineRule="auto"/>
              <w:ind w:left="0" w:firstLine="0"/>
              <w:rPr>
                <w:rFonts w:cstheme="minorHAnsi"/>
              </w:rPr>
            </w:pPr>
            <w:r>
              <w:rPr>
                <w:rFonts w:cstheme="minorHAnsi"/>
              </w:rPr>
              <w:t>%</w:t>
            </w:r>
          </w:p>
        </w:tc>
        <w:tc>
          <w:tcPr>
            <w:tcW w:w="459" w:type="pct"/>
            <w:tcMar>
              <w:top w:w="0" w:type="dxa"/>
              <w:bottom w:w="0" w:type="dxa"/>
            </w:tcMar>
            <w:vAlign w:val="bottom"/>
          </w:tcPr>
          <w:p w:rsidR="00C34DC6" w:rsidRPr="00FE3F73" w:rsidRDefault="00C34DC6" w:rsidP="00F03139">
            <w:pPr>
              <w:pStyle w:val="TableRowNormal"/>
              <w:spacing w:before="0" w:after="0" w:line="240" w:lineRule="auto"/>
              <w:ind w:left="0" w:firstLine="0"/>
              <w:rPr>
                <w:rFonts w:cstheme="minorHAnsi"/>
              </w:rPr>
            </w:pPr>
            <w:r>
              <w:rPr>
                <w:rFonts w:cstheme="minorHAnsi"/>
              </w:rPr>
              <w:t>%</w:t>
            </w:r>
          </w:p>
        </w:tc>
        <w:tc>
          <w:tcPr>
            <w:tcW w:w="459" w:type="pct"/>
            <w:tcMar>
              <w:top w:w="0" w:type="dxa"/>
              <w:bottom w:w="0" w:type="dxa"/>
            </w:tcMar>
            <w:vAlign w:val="bottom"/>
          </w:tcPr>
          <w:p w:rsidR="00C34DC6" w:rsidRPr="00FE3F73" w:rsidRDefault="00C34DC6" w:rsidP="00F03139">
            <w:pPr>
              <w:pStyle w:val="TableRowNormal"/>
              <w:spacing w:before="0" w:after="0" w:line="240" w:lineRule="auto"/>
              <w:ind w:left="0" w:firstLine="0"/>
              <w:rPr>
                <w:rFonts w:cstheme="minorHAnsi"/>
              </w:rPr>
            </w:pPr>
            <w:r>
              <w:rPr>
                <w:rFonts w:cstheme="minorHAnsi"/>
              </w:rPr>
              <w:t>%</w:t>
            </w:r>
          </w:p>
        </w:tc>
        <w:tc>
          <w:tcPr>
            <w:tcW w:w="459" w:type="pct"/>
            <w:tcMar>
              <w:top w:w="0" w:type="dxa"/>
              <w:bottom w:w="0" w:type="dxa"/>
            </w:tcMar>
            <w:vAlign w:val="bottom"/>
          </w:tcPr>
          <w:p w:rsidR="00C34DC6" w:rsidRPr="00FE3F73" w:rsidRDefault="00C34DC6" w:rsidP="00F03139">
            <w:pPr>
              <w:pStyle w:val="TableRowNormal"/>
              <w:spacing w:before="0" w:after="0" w:line="240" w:lineRule="auto"/>
              <w:ind w:left="0" w:firstLine="0"/>
              <w:rPr>
                <w:rFonts w:cstheme="minorHAnsi"/>
              </w:rPr>
            </w:pPr>
            <w:r>
              <w:rPr>
                <w:rFonts w:cstheme="minorHAnsi"/>
              </w:rPr>
              <w:t>%</w:t>
            </w:r>
          </w:p>
        </w:tc>
        <w:tc>
          <w:tcPr>
            <w:tcW w:w="456" w:type="pct"/>
            <w:tcMar>
              <w:top w:w="0" w:type="dxa"/>
              <w:bottom w:w="0" w:type="dxa"/>
            </w:tcMar>
            <w:vAlign w:val="bottom"/>
          </w:tcPr>
          <w:p w:rsidR="00C34DC6" w:rsidRPr="00FE3F73" w:rsidRDefault="00C34DC6" w:rsidP="00F03139">
            <w:pPr>
              <w:pStyle w:val="TableRowNormal"/>
              <w:spacing w:before="0" w:after="0" w:line="240" w:lineRule="auto"/>
              <w:ind w:left="0" w:firstLine="0"/>
              <w:rPr>
                <w:rFonts w:cstheme="minorHAnsi"/>
              </w:rPr>
            </w:pPr>
            <w:r>
              <w:rPr>
                <w:rFonts w:cstheme="minorHAnsi"/>
              </w:rPr>
              <w:t>%</w:t>
            </w:r>
          </w:p>
        </w:tc>
      </w:tr>
      <w:tr w:rsidR="00C34DC6" w:rsidRPr="00FE3F73" w:rsidTr="00303A5D">
        <w:tc>
          <w:tcPr>
            <w:tcW w:w="949" w:type="pct"/>
            <w:vAlign w:val="bottom"/>
          </w:tcPr>
          <w:p w:rsidR="00C34DC6" w:rsidRPr="00FE3F73" w:rsidRDefault="00C34DC6" w:rsidP="00F03139">
            <w:pPr>
              <w:pStyle w:val="CGCTableStub"/>
              <w:tabs>
                <w:tab w:val="left" w:pos="142"/>
                <w:tab w:val="left" w:pos="425"/>
                <w:tab w:val="left" w:pos="709"/>
                <w:tab w:val="left" w:pos="851"/>
              </w:tabs>
              <w:ind w:left="193" w:hanging="142"/>
              <w:rPr>
                <w:rFonts w:cstheme="minorHAnsi"/>
              </w:rPr>
            </w:pPr>
            <w:r>
              <w:rPr>
                <w:rFonts w:cstheme="minorHAnsi"/>
              </w:rPr>
              <w:t>Major minerals (a)</w:t>
            </w:r>
          </w:p>
        </w:tc>
        <w:tc>
          <w:tcPr>
            <w:tcW w:w="382" w:type="pct"/>
            <w:vAlign w:val="bottom"/>
          </w:tcPr>
          <w:p w:rsidR="00C34DC6" w:rsidRPr="002C506F" w:rsidRDefault="00C34DC6" w:rsidP="00F03139">
            <w:pPr>
              <w:pStyle w:val="TableRowNormal"/>
              <w:ind w:left="0" w:firstLine="0"/>
              <w:rPr>
                <w:rFonts w:cstheme="minorHAnsi"/>
              </w:rPr>
            </w:pPr>
            <w:r w:rsidRPr="002C506F">
              <w:rPr>
                <w:rFonts w:cstheme="minorHAnsi"/>
              </w:rPr>
              <w:t>15.7</w:t>
            </w:r>
          </w:p>
        </w:tc>
        <w:tc>
          <w:tcPr>
            <w:tcW w:w="459" w:type="pct"/>
            <w:vAlign w:val="bottom"/>
          </w:tcPr>
          <w:p w:rsidR="00C34DC6" w:rsidRPr="002C506F" w:rsidRDefault="00C34DC6" w:rsidP="00F03139">
            <w:pPr>
              <w:pStyle w:val="TableRowNormal"/>
              <w:ind w:left="0" w:firstLine="0"/>
              <w:rPr>
                <w:rFonts w:cstheme="minorHAnsi"/>
              </w:rPr>
            </w:pPr>
            <w:r w:rsidRPr="002C506F">
              <w:rPr>
                <w:rFonts w:cstheme="minorHAnsi"/>
              </w:rPr>
              <w:t>0.4</w:t>
            </w:r>
          </w:p>
        </w:tc>
        <w:tc>
          <w:tcPr>
            <w:tcW w:w="459" w:type="pct"/>
            <w:vAlign w:val="bottom"/>
          </w:tcPr>
          <w:p w:rsidR="00C34DC6" w:rsidRPr="002C506F" w:rsidRDefault="00C34DC6" w:rsidP="00F03139">
            <w:pPr>
              <w:pStyle w:val="TableRowNormal"/>
              <w:ind w:left="0" w:firstLine="0"/>
              <w:rPr>
                <w:rFonts w:cstheme="minorHAnsi"/>
              </w:rPr>
            </w:pPr>
            <w:r w:rsidRPr="002C506F">
              <w:rPr>
                <w:rFonts w:cstheme="minorHAnsi"/>
              </w:rPr>
              <w:t>30.6</w:t>
            </w:r>
          </w:p>
        </w:tc>
        <w:tc>
          <w:tcPr>
            <w:tcW w:w="459" w:type="pct"/>
            <w:vAlign w:val="bottom"/>
          </w:tcPr>
          <w:p w:rsidR="00C34DC6" w:rsidRPr="002C506F" w:rsidRDefault="00C34DC6" w:rsidP="00F03139">
            <w:pPr>
              <w:pStyle w:val="TableRowNormal"/>
              <w:ind w:left="0" w:firstLine="0"/>
              <w:rPr>
                <w:rFonts w:cstheme="minorHAnsi"/>
              </w:rPr>
            </w:pPr>
            <w:r w:rsidRPr="002C506F">
              <w:rPr>
                <w:rFonts w:cstheme="minorHAnsi"/>
              </w:rPr>
              <w:t>51.5</w:t>
            </w:r>
          </w:p>
        </w:tc>
        <w:tc>
          <w:tcPr>
            <w:tcW w:w="459" w:type="pct"/>
            <w:vAlign w:val="bottom"/>
          </w:tcPr>
          <w:p w:rsidR="00C34DC6" w:rsidRPr="002C506F" w:rsidRDefault="00C34DC6" w:rsidP="00F03139">
            <w:pPr>
              <w:pStyle w:val="TableRowNormal"/>
              <w:ind w:left="0" w:firstLine="0"/>
              <w:rPr>
                <w:rFonts w:cstheme="minorHAnsi"/>
              </w:rPr>
            </w:pPr>
            <w:r w:rsidRPr="002C506F">
              <w:rPr>
                <w:rFonts w:cstheme="minorHAnsi"/>
              </w:rPr>
              <w:t>1.0</w:t>
            </w:r>
          </w:p>
        </w:tc>
        <w:tc>
          <w:tcPr>
            <w:tcW w:w="459" w:type="pct"/>
            <w:vAlign w:val="bottom"/>
          </w:tcPr>
          <w:p w:rsidR="00C34DC6" w:rsidRPr="002C506F" w:rsidRDefault="00C34DC6" w:rsidP="00F03139">
            <w:pPr>
              <w:pStyle w:val="TableRowNormal"/>
              <w:ind w:left="0" w:firstLine="0"/>
              <w:rPr>
                <w:rFonts w:cstheme="minorHAnsi"/>
              </w:rPr>
            </w:pPr>
            <w:r w:rsidRPr="002C506F">
              <w:rPr>
                <w:rFonts w:cstheme="minorHAnsi"/>
              </w:rPr>
              <w:t>0.4</w:t>
            </w:r>
          </w:p>
        </w:tc>
        <w:tc>
          <w:tcPr>
            <w:tcW w:w="459" w:type="pct"/>
            <w:vAlign w:val="bottom"/>
          </w:tcPr>
          <w:p w:rsidR="00C34DC6" w:rsidRPr="00E51101" w:rsidRDefault="00C34DC6" w:rsidP="00F03139">
            <w:pPr>
              <w:pStyle w:val="TableRowNormal"/>
              <w:ind w:left="0" w:firstLine="0"/>
              <w:rPr>
                <w:rFonts w:cstheme="minorHAnsi"/>
              </w:rPr>
            </w:pPr>
            <w:r>
              <w:rPr>
                <w:rFonts w:cstheme="minorHAnsi"/>
              </w:rPr>
              <w:t>0.</w:t>
            </w:r>
            <w:r w:rsidRPr="00E51101">
              <w:rPr>
                <w:rFonts w:cstheme="minorHAnsi"/>
              </w:rPr>
              <w:t>0</w:t>
            </w:r>
          </w:p>
        </w:tc>
        <w:tc>
          <w:tcPr>
            <w:tcW w:w="459" w:type="pct"/>
            <w:vAlign w:val="bottom"/>
          </w:tcPr>
          <w:p w:rsidR="00C34DC6" w:rsidRPr="00E51101" w:rsidRDefault="00C34DC6" w:rsidP="00F03139">
            <w:pPr>
              <w:pStyle w:val="TableRowNormal"/>
              <w:ind w:left="0" w:firstLine="0"/>
              <w:rPr>
                <w:rFonts w:cstheme="minorHAnsi"/>
              </w:rPr>
            </w:pPr>
            <w:r>
              <w:rPr>
                <w:rFonts w:cstheme="minorHAnsi"/>
              </w:rPr>
              <w:t>0.4</w:t>
            </w:r>
          </w:p>
        </w:tc>
        <w:tc>
          <w:tcPr>
            <w:tcW w:w="456" w:type="pct"/>
            <w:vAlign w:val="bottom"/>
          </w:tcPr>
          <w:p w:rsidR="00C34DC6" w:rsidRPr="00E51101" w:rsidRDefault="00C34DC6" w:rsidP="00F03139">
            <w:pPr>
              <w:pStyle w:val="TableRowNormal"/>
              <w:ind w:left="0" w:firstLine="0"/>
              <w:rPr>
                <w:rFonts w:cstheme="minorHAnsi"/>
              </w:rPr>
            </w:pPr>
            <w:r>
              <w:rPr>
                <w:rFonts w:cstheme="minorHAnsi"/>
              </w:rPr>
              <w:t>100.0</w:t>
            </w:r>
          </w:p>
        </w:tc>
      </w:tr>
      <w:tr w:rsidR="00C34DC6" w:rsidRPr="00FE3F73" w:rsidTr="00303A5D">
        <w:tc>
          <w:tcPr>
            <w:tcW w:w="949" w:type="pct"/>
            <w:tcBorders>
              <w:bottom w:val="single" w:sz="4" w:space="0" w:color="auto"/>
            </w:tcBorders>
            <w:vAlign w:val="bottom"/>
          </w:tcPr>
          <w:p w:rsidR="00C34DC6" w:rsidRDefault="00C34DC6" w:rsidP="00F03139">
            <w:pPr>
              <w:pStyle w:val="CGCTableStub"/>
              <w:tabs>
                <w:tab w:val="left" w:pos="142"/>
                <w:tab w:val="left" w:pos="425"/>
                <w:tab w:val="left" w:pos="709"/>
                <w:tab w:val="left" w:pos="851"/>
              </w:tabs>
              <w:ind w:left="193" w:hanging="142"/>
              <w:rPr>
                <w:rFonts w:cstheme="minorHAnsi"/>
              </w:rPr>
            </w:pPr>
            <w:r>
              <w:rPr>
                <w:rFonts w:cstheme="minorHAnsi"/>
              </w:rPr>
              <w:t>Other minerals</w:t>
            </w:r>
          </w:p>
        </w:tc>
        <w:tc>
          <w:tcPr>
            <w:tcW w:w="382" w:type="pct"/>
            <w:tcBorders>
              <w:bottom w:val="single" w:sz="4" w:space="0" w:color="auto"/>
            </w:tcBorders>
            <w:vAlign w:val="bottom"/>
          </w:tcPr>
          <w:p w:rsidR="00C34DC6" w:rsidRPr="002C506F" w:rsidRDefault="00C34DC6" w:rsidP="00F03139">
            <w:pPr>
              <w:pStyle w:val="TableRowNormal"/>
              <w:ind w:left="0" w:firstLine="0"/>
              <w:rPr>
                <w:rFonts w:cstheme="minorHAnsi"/>
              </w:rPr>
            </w:pPr>
            <w:r w:rsidRPr="002C506F">
              <w:rPr>
                <w:rFonts w:cstheme="minorHAnsi"/>
              </w:rPr>
              <w:t>11.5</w:t>
            </w:r>
          </w:p>
        </w:tc>
        <w:tc>
          <w:tcPr>
            <w:tcW w:w="459" w:type="pct"/>
            <w:tcBorders>
              <w:bottom w:val="single" w:sz="4" w:space="0" w:color="auto"/>
            </w:tcBorders>
            <w:vAlign w:val="bottom"/>
          </w:tcPr>
          <w:p w:rsidR="00C34DC6" w:rsidRPr="002C506F" w:rsidRDefault="00C34DC6" w:rsidP="00F03139">
            <w:pPr>
              <w:pStyle w:val="TableRowNormal"/>
              <w:ind w:left="0" w:firstLine="0"/>
              <w:rPr>
                <w:rFonts w:cstheme="minorHAnsi"/>
              </w:rPr>
            </w:pPr>
            <w:r w:rsidRPr="002C506F">
              <w:rPr>
                <w:rFonts w:cstheme="minorHAnsi"/>
              </w:rPr>
              <w:t>3.4</w:t>
            </w:r>
          </w:p>
        </w:tc>
        <w:tc>
          <w:tcPr>
            <w:tcW w:w="459" w:type="pct"/>
            <w:tcBorders>
              <w:bottom w:val="single" w:sz="4" w:space="0" w:color="auto"/>
            </w:tcBorders>
            <w:vAlign w:val="bottom"/>
          </w:tcPr>
          <w:p w:rsidR="00C34DC6" w:rsidRPr="002C506F" w:rsidRDefault="00C34DC6" w:rsidP="00F03139">
            <w:pPr>
              <w:pStyle w:val="TableRowNormal"/>
              <w:ind w:left="0" w:firstLine="0"/>
              <w:rPr>
                <w:rFonts w:cstheme="minorHAnsi"/>
              </w:rPr>
            </w:pPr>
            <w:r w:rsidRPr="002C506F">
              <w:rPr>
                <w:rFonts w:cstheme="minorHAnsi"/>
              </w:rPr>
              <w:t>15.2</w:t>
            </w:r>
          </w:p>
        </w:tc>
        <w:tc>
          <w:tcPr>
            <w:tcW w:w="459" w:type="pct"/>
            <w:tcBorders>
              <w:bottom w:val="single" w:sz="4" w:space="0" w:color="auto"/>
            </w:tcBorders>
            <w:vAlign w:val="bottom"/>
          </w:tcPr>
          <w:p w:rsidR="00C34DC6" w:rsidRPr="002C506F" w:rsidRDefault="00C34DC6" w:rsidP="00F03139">
            <w:pPr>
              <w:pStyle w:val="TableRowNormal"/>
              <w:ind w:left="0" w:firstLine="0"/>
              <w:rPr>
                <w:rFonts w:cstheme="minorHAnsi"/>
              </w:rPr>
            </w:pPr>
            <w:r w:rsidRPr="002C506F">
              <w:rPr>
                <w:rFonts w:cstheme="minorHAnsi"/>
              </w:rPr>
              <w:t>49.1</w:t>
            </w:r>
          </w:p>
        </w:tc>
        <w:tc>
          <w:tcPr>
            <w:tcW w:w="459" w:type="pct"/>
            <w:tcBorders>
              <w:bottom w:val="single" w:sz="4" w:space="0" w:color="auto"/>
            </w:tcBorders>
            <w:vAlign w:val="bottom"/>
          </w:tcPr>
          <w:p w:rsidR="00C34DC6" w:rsidRPr="002C506F" w:rsidRDefault="00C34DC6" w:rsidP="00F03139">
            <w:pPr>
              <w:pStyle w:val="TableRowNormal"/>
              <w:ind w:left="0" w:firstLine="0"/>
              <w:rPr>
                <w:rFonts w:cstheme="minorHAnsi"/>
              </w:rPr>
            </w:pPr>
            <w:r w:rsidRPr="002C506F">
              <w:rPr>
                <w:rFonts w:cstheme="minorHAnsi"/>
              </w:rPr>
              <w:t>10.0</w:t>
            </w:r>
          </w:p>
        </w:tc>
        <w:tc>
          <w:tcPr>
            <w:tcW w:w="459" w:type="pct"/>
            <w:tcBorders>
              <w:bottom w:val="single" w:sz="4" w:space="0" w:color="auto"/>
            </w:tcBorders>
            <w:vAlign w:val="bottom"/>
          </w:tcPr>
          <w:p w:rsidR="00C34DC6" w:rsidRPr="002C506F" w:rsidRDefault="00C34DC6" w:rsidP="00F03139">
            <w:pPr>
              <w:pStyle w:val="TableRowNormal"/>
              <w:ind w:left="0" w:firstLine="0"/>
              <w:rPr>
                <w:rFonts w:cstheme="minorHAnsi"/>
              </w:rPr>
            </w:pPr>
            <w:r w:rsidRPr="002C506F">
              <w:rPr>
                <w:rFonts w:cstheme="minorHAnsi"/>
              </w:rPr>
              <w:t>2.7</w:t>
            </w:r>
          </w:p>
        </w:tc>
        <w:tc>
          <w:tcPr>
            <w:tcW w:w="459" w:type="pct"/>
            <w:tcBorders>
              <w:bottom w:val="single" w:sz="4" w:space="0" w:color="auto"/>
            </w:tcBorders>
            <w:vAlign w:val="bottom"/>
          </w:tcPr>
          <w:p w:rsidR="00C34DC6" w:rsidRPr="00E51101" w:rsidRDefault="00C34DC6" w:rsidP="00F03139">
            <w:pPr>
              <w:pStyle w:val="TableRowNormal"/>
              <w:ind w:left="0" w:firstLine="0"/>
              <w:rPr>
                <w:rFonts w:cstheme="minorHAnsi"/>
              </w:rPr>
            </w:pPr>
            <w:r>
              <w:rPr>
                <w:rFonts w:cstheme="minorHAnsi"/>
              </w:rPr>
              <w:t>0.0</w:t>
            </w:r>
          </w:p>
        </w:tc>
        <w:tc>
          <w:tcPr>
            <w:tcW w:w="459" w:type="pct"/>
            <w:tcBorders>
              <w:bottom w:val="single" w:sz="4" w:space="0" w:color="auto"/>
            </w:tcBorders>
            <w:vAlign w:val="bottom"/>
          </w:tcPr>
          <w:p w:rsidR="00C34DC6" w:rsidRPr="00E51101" w:rsidRDefault="00C34DC6" w:rsidP="00F03139">
            <w:pPr>
              <w:pStyle w:val="TableRowNormal"/>
              <w:ind w:left="0" w:firstLine="0"/>
              <w:rPr>
                <w:rFonts w:cstheme="minorHAnsi"/>
              </w:rPr>
            </w:pPr>
            <w:r>
              <w:rPr>
                <w:rFonts w:cstheme="minorHAnsi"/>
              </w:rPr>
              <w:t>8.2</w:t>
            </w:r>
          </w:p>
        </w:tc>
        <w:tc>
          <w:tcPr>
            <w:tcW w:w="456" w:type="pct"/>
            <w:tcBorders>
              <w:bottom w:val="single" w:sz="4" w:space="0" w:color="auto"/>
            </w:tcBorders>
            <w:vAlign w:val="bottom"/>
          </w:tcPr>
          <w:p w:rsidR="00C34DC6" w:rsidRPr="00E51101" w:rsidRDefault="00C34DC6" w:rsidP="00F03139">
            <w:pPr>
              <w:pStyle w:val="TableRowNormal"/>
              <w:ind w:left="0" w:firstLine="0"/>
              <w:rPr>
                <w:rFonts w:cstheme="minorHAnsi"/>
              </w:rPr>
            </w:pPr>
            <w:r>
              <w:rPr>
                <w:rFonts w:cstheme="minorHAnsi"/>
              </w:rPr>
              <w:t>100.0</w:t>
            </w:r>
          </w:p>
        </w:tc>
      </w:tr>
    </w:tbl>
    <w:p w:rsidR="00C34DC6" w:rsidRDefault="00C34DC6" w:rsidP="00C34DC6">
      <w:pPr>
        <w:pStyle w:val="CGCTableFootnote"/>
      </w:pPr>
      <w:r>
        <w:t>(a)</w:t>
      </w:r>
      <w:r>
        <w:tab/>
        <w:t>This group comprises iron ore, coal, bauxite and onshore oil and gas.</w:t>
      </w:r>
    </w:p>
    <w:p w:rsidR="00C34DC6" w:rsidRDefault="00C34DC6" w:rsidP="00C34DC6">
      <w:pPr>
        <w:pStyle w:val="CGCTableFootnote"/>
      </w:pPr>
      <w:r>
        <w:t>Source:</w:t>
      </w:r>
      <w:r>
        <w:tab/>
        <w:t>State provided value of production data.</w:t>
      </w:r>
    </w:p>
    <w:p w:rsidR="00E475AF" w:rsidRDefault="00E475AF" w:rsidP="00E475AF">
      <w:pPr>
        <w:pStyle w:val="CGCNumberedPara"/>
        <w:tabs>
          <w:tab w:val="clear" w:pos="567"/>
        </w:tabs>
      </w:pPr>
      <w:r>
        <w:t xml:space="preserve">Thus, the distribution of incentives under full aggregation would vary across States according to the composition of their minerals — potentially favouring the developments for minerals with the highest royalty rates (coal, onshore oil and gas and bauxite) over other minerals. </w:t>
      </w:r>
    </w:p>
    <w:p w:rsidR="00E475AF" w:rsidRDefault="00E475AF" w:rsidP="00E475AF">
      <w:pPr>
        <w:pStyle w:val="CGCNumberedPara"/>
        <w:tabs>
          <w:tab w:val="clear" w:pos="567"/>
        </w:tabs>
      </w:pPr>
      <w:r>
        <w:t>Western Australia does not believe full aggregation addresses its concerns over the difference in sensitivity to rate changes between taxes and minerals. It proposed a variation — full aggregation with a fixed uniform standard royalty rate, which would not change when States changed actual royalty rates. It suggested a fixed rate of 5% or 6%.</w:t>
      </w:r>
    </w:p>
    <w:p w:rsidR="00E475AF" w:rsidRDefault="00E475AF" w:rsidP="00E475AF">
      <w:pPr>
        <w:pStyle w:val="CGCNumberedPara"/>
        <w:tabs>
          <w:tab w:val="clear" w:pos="567"/>
        </w:tabs>
      </w:pPr>
      <w:r>
        <w:t xml:space="preserve">Staff consider there are two </w:t>
      </w:r>
      <w:r w:rsidR="00C31093">
        <w:t>concerns</w:t>
      </w:r>
      <w:r>
        <w:t xml:space="preserve"> with its proposal. Firstly, it would apply the same rate to minerals that attract a low royalty rate as to those that attract a high royalty rate and so would create the same adverse incentives as full aggregation. Secondly, it would effectively discount the mining assessment. The discount would be the difference between the average royalty rate</w:t>
      </w:r>
      <w:r w:rsidR="005E04DC">
        <w:t xml:space="preserve">s in </w:t>
      </w:r>
      <w:r w:rsidR="005E04DC">
        <w:fldChar w:fldCharType="begin"/>
      </w:r>
      <w:r w:rsidR="005E04DC">
        <w:instrText xml:space="preserve"> REF _Ref529168216 \h </w:instrText>
      </w:r>
      <w:r w:rsidR="005E04DC">
        <w:fldChar w:fldCharType="separate"/>
      </w:r>
      <w:r w:rsidR="00A7301A">
        <w:t xml:space="preserve">Table </w:t>
      </w:r>
      <w:r w:rsidR="00A7301A">
        <w:rPr>
          <w:noProof/>
        </w:rPr>
        <w:t>3</w:t>
      </w:r>
      <w:r w:rsidR="005E04DC">
        <w:fldChar w:fldCharType="end"/>
      </w:r>
      <w:r w:rsidR="005E04DC">
        <w:t xml:space="preserve"> </w:t>
      </w:r>
      <w:r>
        <w:t xml:space="preserve">and the fixed rate. For the 2018 Update, a 5% rate would be similar to introducing a medium discount and a 6% rate would be similar to introducing a low discount. In its report, the PC </w:t>
      </w:r>
      <w:r w:rsidR="00D26E10">
        <w:t>said</w:t>
      </w:r>
      <w:r>
        <w:t xml:space="preserve"> discounting the mining assessment</w:t>
      </w:r>
      <w:r w:rsidR="00D26E10">
        <w:t xml:space="preserve"> was inconsistent with the broad objective of HFE</w:t>
      </w:r>
      <w:r>
        <w:t>.</w:t>
      </w:r>
      <w:r w:rsidR="001010FD">
        <w:rPr>
          <w:rStyle w:val="FootnoteReference"/>
        </w:rPr>
        <w:footnoteReference w:id="7"/>
      </w:r>
    </w:p>
    <w:p w:rsidR="00E475AF" w:rsidRDefault="00E475AF" w:rsidP="00E475AF">
      <w:pPr>
        <w:pStyle w:val="Heading4"/>
      </w:pPr>
      <w:bookmarkStart w:id="44" w:name="_Toc529869535"/>
      <w:r>
        <w:lastRenderedPageBreak/>
        <w:t>Option 2 — two mineral groups</w:t>
      </w:r>
      <w:bookmarkEnd w:id="44"/>
    </w:p>
    <w:p w:rsidR="00E475AF" w:rsidRPr="00E475AF" w:rsidRDefault="00C34DC6" w:rsidP="00BE794D">
      <w:pPr>
        <w:pStyle w:val="CGCNumberedPara"/>
      </w:pPr>
      <w:r>
        <w:rPr>
          <w:bCs/>
        </w:rPr>
        <w:t xml:space="preserve">One way of addressing the adverse incentives of full aggregation is to aggregate minerals into two groups. </w:t>
      </w:r>
      <w:r w:rsidR="00E475AF">
        <w:rPr>
          <w:bCs/>
        </w:rPr>
        <w:t>Compared with f</w:t>
      </w:r>
      <w:r w:rsidR="00E475AF" w:rsidRPr="002F569C">
        <w:rPr>
          <w:bCs/>
        </w:rPr>
        <w:t>ull aggregation</w:t>
      </w:r>
      <w:r w:rsidR="00E475AF">
        <w:rPr>
          <w:bCs/>
        </w:rPr>
        <w:t xml:space="preserve">, </w:t>
      </w:r>
      <w:r w:rsidR="00CA6840">
        <w:rPr>
          <w:bCs/>
        </w:rPr>
        <w:t>the</w:t>
      </w:r>
      <w:r w:rsidR="00E475AF" w:rsidRPr="002F569C">
        <w:rPr>
          <w:bCs/>
        </w:rPr>
        <w:t xml:space="preserve"> two group </w:t>
      </w:r>
      <w:r w:rsidR="00CA6840">
        <w:rPr>
          <w:bCs/>
        </w:rPr>
        <w:t>option</w:t>
      </w:r>
      <w:r w:rsidR="00E475AF" w:rsidRPr="002F569C">
        <w:rPr>
          <w:bCs/>
        </w:rPr>
        <w:t xml:space="preserve"> </w:t>
      </w:r>
      <w:r>
        <w:rPr>
          <w:bCs/>
        </w:rPr>
        <w:t>may</w:t>
      </w:r>
      <w:r w:rsidR="00E475AF">
        <w:rPr>
          <w:bCs/>
        </w:rPr>
        <w:t xml:space="preserve"> </w:t>
      </w:r>
      <w:r w:rsidR="00E475AF" w:rsidRPr="002F569C">
        <w:rPr>
          <w:bCs/>
        </w:rPr>
        <w:t>provide a better balance between</w:t>
      </w:r>
      <w:r w:rsidR="00E475AF">
        <w:rPr>
          <w:bCs/>
        </w:rPr>
        <w:t>:</w:t>
      </w:r>
    </w:p>
    <w:p w:rsidR="00E475AF" w:rsidRDefault="00E475AF" w:rsidP="00E475AF">
      <w:pPr>
        <w:pStyle w:val="CGCBulletlist"/>
      </w:pPr>
      <w:r>
        <w:t>what States do — they apply higher royalty rates to some minerals</w:t>
      </w:r>
    </w:p>
    <w:p w:rsidR="00E475AF" w:rsidRPr="00E475AF" w:rsidRDefault="00E475AF" w:rsidP="00E475AF">
      <w:pPr>
        <w:pStyle w:val="CGCBulletlist"/>
      </w:pPr>
      <w:proofErr w:type="gramStart"/>
      <w:r>
        <w:t>policy</w:t>
      </w:r>
      <w:proofErr w:type="gramEnd"/>
      <w:r>
        <w:t xml:space="preserve"> neutrality — it avoids situations where a State has such a dominant share of a mineral base that its policy becomes the average policy.</w:t>
      </w:r>
    </w:p>
    <w:p w:rsidR="00C34DC6" w:rsidRDefault="00E475AF" w:rsidP="00F03139">
      <w:pPr>
        <w:pStyle w:val="CGCNumberedPara"/>
      </w:pPr>
      <w:r>
        <w:fldChar w:fldCharType="begin"/>
      </w:r>
      <w:r>
        <w:instrText xml:space="preserve"> REF _Ref525723743 \h </w:instrText>
      </w:r>
      <w:r>
        <w:fldChar w:fldCharType="separate"/>
      </w:r>
      <w:r w:rsidR="00A7301A">
        <w:t>Table </w:t>
      </w:r>
      <w:r w:rsidR="00A7301A">
        <w:rPr>
          <w:noProof/>
        </w:rPr>
        <w:t>5</w:t>
      </w:r>
      <w:r>
        <w:fldChar w:fldCharType="end"/>
      </w:r>
      <w:r>
        <w:t xml:space="preserve"> </w:t>
      </w:r>
      <w:r w:rsidR="00C34DC6">
        <w:t>shows sensitivities to royalty rate changes for both mineral groups. Like full aggregation, the two group option removes the most extreme sensitivities to changes in royalty rates.</w:t>
      </w:r>
    </w:p>
    <w:p w:rsidR="00E475AF" w:rsidRDefault="00E475AF" w:rsidP="00E475AF">
      <w:pPr>
        <w:pStyle w:val="CGCTableHeading"/>
      </w:pPr>
      <w:bookmarkStart w:id="45" w:name="_Ref525723743"/>
      <w:bookmarkStart w:id="46" w:name="_Ref525723734"/>
      <w:r>
        <w:t>Table </w:t>
      </w:r>
      <w:r>
        <w:rPr>
          <w:noProof/>
        </w:rPr>
        <w:fldChar w:fldCharType="begin"/>
      </w:r>
      <w:r>
        <w:rPr>
          <w:noProof/>
        </w:rPr>
        <w:instrText xml:space="preserve"> SEQ Table \* ARABIC </w:instrText>
      </w:r>
      <w:r>
        <w:rPr>
          <w:noProof/>
        </w:rPr>
        <w:fldChar w:fldCharType="separate"/>
      </w:r>
      <w:r w:rsidR="00A7301A">
        <w:rPr>
          <w:noProof/>
        </w:rPr>
        <w:t>5</w:t>
      </w:r>
      <w:r>
        <w:rPr>
          <w:noProof/>
        </w:rPr>
        <w:fldChar w:fldCharType="end"/>
      </w:r>
      <w:bookmarkEnd w:id="45"/>
      <w:r>
        <w:tab/>
      </w:r>
      <w:bookmarkEnd w:id="46"/>
      <w:r w:rsidR="0084691C">
        <w:t>Sensitivity to royalty rate changes, 2016-17</w:t>
      </w:r>
    </w:p>
    <w:tbl>
      <w:tblPr>
        <w:tblW w:w="5000" w:type="pct"/>
        <w:tblLayout w:type="fixed"/>
        <w:tblCellMar>
          <w:left w:w="0" w:type="dxa"/>
          <w:right w:w="0" w:type="dxa"/>
        </w:tblCellMar>
        <w:tblLook w:val="0000" w:firstRow="0" w:lastRow="0" w:firstColumn="0" w:lastColumn="0" w:noHBand="0" w:noVBand="0"/>
      </w:tblPr>
      <w:tblGrid>
        <w:gridCol w:w="1701"/>
        <w:gridCol w:w="807"/>
        <w:gridCol w:w="807"/>
        <w:gridCol w:w="807"/>
        <w:gridCol w:w="806"/>
        <w:gridCol w:w="806"/>
        <w:gridCol w:w="806"/>
        <w:gridCol w:w="806"/>
        <w:gridCol w:w="806"/>
        <w:gridCol w:w="806"/>
      </w:tblGrid>
      <w:tr w:rsidR="00E475AF" w:rsidRPr="00FE3F73" w:rsidTr="00A4531C">
        <w:tc>
          <w:tcPr>
            <w:tcW w:w="949" w:type="pct"/>
            <w:tcBorders>
              <w:top w:val="single" w:sz="6" w:space="0" w:color="auto"/>
              <w:bottom w:val="single" w:sz="6" w:space="0" w:color="auto"/>
            </w:tcBorders>
            <w:vAlign w:val="center"/>
          </w:tcPr>
          <w:p w:rsidR="00E475AF" w:rsidRPr="00FE3F73" w:rsidRDefault="0084691C" w:rsidP="00A4531C">
            <w:pPr>
              <w:pStyle w:val="CGCTableStub"/>
              <w:spacing w:line="240" w:lineRule="auto"/>
              <w:ind w:left="193" w:hanging="142"/>
              <w:rPr>
                <w:rFonts w:cstheme="minorHAnsi"/>
              </w:rPr>
            </w:pPr>
            <w:r>
              <w:rPr>
                <w:rFonts w:cstheme="minorHAnsi"/>
              </w:rPr>
              <w:t>Group</w:t>
            </w:r>
            <w:r w:rsidR="00E475AF">
              <w:rPr>
                <w:rFonts w:cstheme="minorHAnsi"/>
              </w:rPr>
              <w:t>:</w:t>
            </w:r>
          </w:p>
        </w:tc>
        <w:tc>
          <w:tcPr>
            <w:tcW w:w="450" w:type="pct"/>
            <w:tcBorders>
              <w:top w:val="single" w:sz="6" w:space="0" w:color="auto"/>
              <w:bottom w:val="single" w:sz="6" w:space="0" w:color="auto"/>
            </w:tcBorders>
            <w:vAlign w:val="center"/>
          </w:tcPr>
          <w:p w:rsidR="00E475AF" w:rsidRPr="00FE3F73" w:rsidRDefault="00E475AF" w:rsidP="00A4531C">
            <w:pPr>
              <w:pStyle w:val="TableColHeadings"/>
              <w:rPr>
                <w:rFonts w:cstheme="minorHAnsi"/>
              </w:rPr>
            </w:pPr>
            <w:r w:rsidRPr="00FE3F73">
              <w:rPr>
                <w:rFonts w:cstheme="minorHAnsi"/>
              </w:rPr>
              <w:t>NSW</w:t>
            </w:r>
          </w:p>
        </w:tc>
        <w:tc>
          <w:tcPr>
            <w:tcW w:w="450" w:type="pct"/>
            <w:tcBorders>
              <w:top w:val="single" w:sz="6" w:space="0" w:color="auto"/>
              <w:bottom w:val="single" w:sz="6" w:space="0" w:color="auto"/>
            </w:tcBorders>
            <w:vAlign w:val="center"/>
          </w:tcPr>
          <w:p w:rsidR="00E475AF" w:rsidRPr="00FE3F73" w:rsidRDefault="00E475AF" w:rsidP="00A4531C">
            <w:pPr>
              <w:pStyle w:val="TableColHeadings"/>
              <w:rPr>
                <w:rFonts w:cstheme="minorHAnsi"/>
              </w:rPr>
            </w:pPr>
            <w:r w:rsidRPr="00FE3F73">
              <w:rPr>
                <w:rFonts w:cstheme="minorHAnsi"/>
              </w:rPr>
              <w:t>Vic</w:t>
            </w:r>
          </w:p>
        </w:tc>
        <w:tc>
          <w:tcPr>
            <w:tcW w:w="450" w:type="pct"/>
            <w:tcBorders>
              <w:top w:val="single" w:sz="6" w:space="0" w:color="auto"/>
              <w:bottom w:val="single" w:sz="6" w:space="0" w:color="auto"/>
            </w:tcBorders>
            <w:vAlign w:val="center"/>
          </w:tcPr>
          <w:p w:rsidR="00E475AF" w:rsidRPr="00FE3F73" w:rsidRDefault="00E475AF" w:rsidP="00A4531C">
            <w:pPr>
              <w:pStyle w:val="TableColHeadings"/>
              <w:rPr>
                <w:rFonts w:cstheme="minorHAnsi"/>
              </w:rPr>
            </w:pPr>
            <w:r w:rsidRPr="00FE3F73">
              <w:rPr>
                <w:rFonts w:cstheme="minorHAnsi"/>
              </w:rPr>
              <w:t>Qld</w:t>
            </w:r>
          </w:p>
        </w:tc>
        <w:tc>
          <w:tcPr>
            <w:tcW w:w="450" w:type="pct"/>
            <w:tcBorders>
              <w:top w:val="single" w:sz="6" w:space="0" w:color="auto"/>
              <w:bottom w:val="single" w:sz="6" w:space="0" w:color="auto"/>
            </w:tcBorders>
            <w:vAlign w:val="center"/>
          </w:tcPr>
          <w:p w:rsidR="00E475AF" w:rsidRPr="00FE3F73" w:rsidRDefault="00E475AF" w:rsidP="00A4531C">
            <w:pPr>
              <w:pStyle w:val="TableColHeadings"/>
              <w:rPr>
                <w:rFonts w:cstheme="minorHAnsi"/>
              </w:rPr>
            </w:pPr>
            <w:r w:rsidRPr="00FE3F73">
              <w:rPr>
                <w:rFonts w:cstheme="minorHAnsi"/>
              </w:rPr>
              <w:t>WA</w:t>
            </w:r>
          </w:p>
        </w:tc>
        <w:tc>
          <w:tcPr>
            <w:tcW w:w="450" w:type="pct"/>
            <w:tcBorders>
              <w:top w:val="single" w:sz="6" w:space="0" w:color="auto"/>
              <w:bottom w:val="single" w:sz="6" w:space="0" w:color="auto"/>
            </w:tcBorders>
            <w:vAlign w:val="center"/>
          </w:tcPr>
          <w:p w:rsidR="00E475AF" w:rsidRPr="00FE3F73" w:rsidRDefault="00E475AF" w:rsidP="00A4531C">
            <w:pPr>
              <w:pStyle w:val="TableColHeadings"/>
              <w:rPr>
                <w:rFonts w:cstheme="minorHAnsi"/>
              </w:rPr>
            </w:pPr>
            <w:r w:rsidRPr="00FE3F73">
              <w:rPr>
                <w:rFonts w:cstheme="minorHAnsi"/>
              </w:rPr>
              <w:t>SA</w:t>
            </w:r>
          </w:p>
        </w:tc>
        <w:tc>
          <w:tcPr>
            <w:tcW w:w="450" w:type="pct"/>
            <w:tcBorders>
              <w:top w:val="single" w:sz="6" w:space="0" w:color="auto"/>
              <w:bottom w:val="single" w:sz="6" w:space="0" w:color="auto"/>
            </w:tcBorders>
            <w:vAlign w:val="center"/>
          </w:tcPr>
          <w:p w:rsidR="00E475AF" w:rsidRPr="00FE3F73" w:rsidRDefault="00E475AF" w:rsidP="00A4531C">
            <w:pPr>
              <w:pStyle w:val="TableColHeadings"/>
              <w:rPr>
                <w:rFonts w:cstheme="minorHAnsi"/>
              </w:rPr>
            </w:pPr>
            <w:proofErr w:type="spellStart"/>
            <w:r w:rsidRPr="00FE3F73">
              <w:rPr>
                <w:rFonts w:cstheme="minorHAnsi"/>
              </w:rPr>
              <w:t>Tas</w:t>
            </w:r>
            <w:proofErr w:type="spellEnd"/>
          </w:p>
        </w:tc>
        <w:tc>
          <w:tcPr>
            <w:tcW w:w="450" w:type="pct"/>
            <w:tcBorders>
              <w:top w:val="single" w:sz="6" w:space="0" w:color="auto"/>
              <w:bottom w:val="single" w:sz="6" w:space="0" w:color="auto"/>
            </w:tcBorders>
            <w:vAlign w:val="center"/>
          </w:tcPr>
          <w:p w:rsidR="00E475AF" w:rsidRPr="00FE3F73" w:rsidRDefault="00E475AF" w:rsidP="00A4531C">
            <w:pPr>
              <w:pStyle w:val="TableColHeadings"/>
              <w:rPr>
                <w:rFonts w:cstheme="minorHAnsi"/>
              </w:rPr>
            </w:pPr>
            <w:r w:rsidRPr="00FE3F73">
              <w:rPr>
                <w:rFonts w:cstheme="minorHAnsi"/>
              </w:rPr>
              <w:t>ACT</w:t>
            </w:r>
          </w:p>
        </w:tc>
        <w:tc>
          <w:tcPr>
            <w:tcW w:w="450" w:type="pct"/>
            <w:tcBorders>
              <w:top w:val="single" w:sz="6" w:space="0" w:color="auto"/>
              <w:bottom w:val="single" w:sz="6" w:space="0" w:color="auto"/>
            </w:tcBorders>
            <w:vAlign w:val="center"/>
          </w:tcPr>
          <w:p w:rsidR="00E475AF" w:rsidRPr="00FE3F73" w:rsidRDefault="00E475AF" w:rsidP="00A4531C">
            <w:pPr>
              <w:pStyle w:val="TableColHeadings"/>
              <w:rPr>
                <w:rFonts w:cstheme="minorHAnsi"/>
              </w:rPr>
            </w:pPr>
            <w:r w:rsidRPr="00FE3F73">
              <w:rPr>
                <w:rFonts w:cstheme="minorHAnsi"/>
              </w:rPr>
              <w:t>NT</w:t>
            </w:r>
          </w:p>
        </w:tc>
        <w:tc>
          <w:tcPr>
            <w:tcW w:w="450" w:type="pct"/>
            <w:tcBorders>
              <w:top w:val="single" w:sz="6" w:space="0" w:color="auto"/>
              <w:bottom w:val="single" w:sz="6" w:space="0" w:color="auto"/>
            </w:tcBorders>
            <w:vAlign w:val="center"/>
          </w:tcPr>
          <w:p w:rsidR="00E475AF" w:rsidRPr="00FE3F73" w:rsidRDefault="0084691C" w:rsidP="00A4531C">
            <w:pPr>
              <w:pStyle w:val="TableColHeadings"/>
              <w:rPr>
                <w:rFonts w:cstheme="minorHAnsi"/>
              </w:rPr>
            </w:pPr>
            <w:r>
              <w:rPr>
                <w:rFonts w:cstheme="minorHAnsi"/>
              </w:rPr>
              <w:t>Total</w:t>
            </w:r>
          </w:p>
        </w:tc>
      </w:tr>
      <w:tr w:rsidR="00E475AF" w:rsidRPr="00FE3F73" w:rsidTr="00A4531C">
        <w:tc>
          <w:tcPr>
            <w:tcW w:w="949" w:type="pct"/>
            <w:tcMar>
              <w:top w:w="0" w:type="dxa"/>
              <w:bottom w:w="0" w:type="dxa"/>
            </w:tcMar>
            <w:vAlign w:val="bottom"/>
          </w:tcPr>
          <w:p w:rsidR="00E475AF" w:rsidRPr="00FE3F73" w:rsidRDefault="00E475AF" w:rsidP="00A4531C">
            <w:pPr>
              <w:pStyle w:val="CGCTableStub"/>
              <w:spacing w:before="0" w:after="0" w:line="240" w:lineRule="auto"/>
              <w:ind w:left="193" w:hanging="142"/>
              <w:jc w:val="right"/>
              <w:rPr>
                <w:rFonts w:cstheme="minorHAnsi"/>
              </w:rPr>
            </w:pPr>
          </w:p>
        </w:tc>
        <w:tc>
          <w:tcPr>
            <w:tcW w:w="450" w:type="pct"/>
            <w:tcMar>
              <w:top w:w="0" w:type="dxa"/>
              <w:bottom w:w="0" w:type="dxa"/>
            </w:tcMar>
            <w:vAlign w:val="bottom"/>
          </w:tcPr>
          <w:p w:rsidR="00E475AF" w:rsidRPr="00FE3F73" w:rsidRDefault="0084691C" w:rsidP="00A4531C">
            <w:pPr>
              <w:pStyle w:val="TableRowNormal"/>
              <w:spacing w:before="0" w:after="0" w:line="240" w:lineRule="auto"/>
              <w:ind w:left="0" w:firstLine="0"/>
              <w:rPr>
                <w:rFonts w:cstheme="minorHAnsi"/>
              </w:rPr>
            </w:pPr>
            <w:r>
              <w:rPr>
                <w:rFonts w:cstheme="minorHAnsi"/>
              </w:rPr>
              <w:t>%</w:t>
            </w:r>
          </w:p>
        </w:tc>
        <w:tc>
          <w:tcPr>
            <w:tcW w:w="450" w:type="pct"/>
            <w:tcMar>
              <w:top w:w="0" w:type="dxa"/>
              <w:bottom w:w="0" w:type="dxa"/>
            </w:tcMar>
            <w:vAlign w:val="bottom"/>
          </w:tcPr>
          <w:p w:rsidR="00E475AF" w:rsidRPr="00FE3F73" w:rsidRDefault="0084691C" w:rsidP="00A4531C">
            <w:pPr>
              <w:pStyle w:val="TableRowNormal"/>
              <w:spacing w:before="0" w:after="0" w:line="240" w:lineRule="auto"/>
              <w:ind w:left="0" w:firstLine="0"/>
              <w:rPr>
                <w:rFonts w:cstheme="minorHAnsi"/>
              </w:rPr>
            </w:pPr>
            <w:r>
              <w:rPr>
                <w:rFonts w:cstheme="minorHAnsi"/>
              </w:rPr>
              <w:t>%</w:t>
            </w:r>
          </w:p>
        </w:tc>
        <w:tc>
          <w:tcPr>
            <w:tcW w:w="450" w:type="pct"/>
            <w:tcMar>
              <w:top w:w="0" w:type="dxa"/>
              <w:bottom w:w="0" w:type="dxa"/>
            </w:tcMar>
            <w:vAlign w:val="bottom"/>
          </w:tcPr>
          <w:p w:rsidR="00E475AF" w:rsidRPr="00FE3F73" w:rsidRDefault="0084691C" w:rsidP="00A4531C">
            <w:pPr>
              <w:pStyle w:val="TableRowNormal"/>
              <w:spacing w:before="0" w:after="0" w:line="240" w:lineRule="auto"/>
              <w:ind w:left="0" w:firstLine="0"/>
              <w:rPr>
                <w:rFonts w:cstheme="minorHAnsi"/>
              </w:rPr>
            </w:pPr>
            <w:r>
              <w:rPr>
                <w:rFonts w:cstheme="minorHAnsi"/>
              </w:rPr>
              <w:t>%</w:t>
            </w:r>
          </w:p>
        </w:tc>
        <w:tc>
          <w:tcPr>
            <w:tcW w:w="450" w:type="pct"/>
            <w:tcMar>
              <w:top w:w="0" w:type="dxa"/>
              <w:bottom w:w="0" w:type="dxa"/>
            </w:tcMar>
            <w:vAlign w:val="bottom"/>
          </w:tcPr>
          <w:p w:rsidR="00E475AF" w:rsidRPr="00FE3F73" w:rsidRDefault="0084691C" w:rsidP="00A4531C">
            <w:pPr>
              <w:pStyle w:val="TableRowNormal"/>
              <w:spacing w:before="0" w:after="0" w:line="240" w:lineRule="auto"/>
              <w:ind w:left="0" w:firstLine="0"/>
              <w:rPr>
                <w:rFonts w:cstheme="minorHAnsi"/>
              </w:rPr>
            </w:pPr>
            <w:r>
              <w:rPr>
                <w:rFonts w:cstheme="minorHAnsi"/>
              </w:rPr>
              <w:t>%</w:t>
            </w:r>
          </w:p>
        </w:tc>
        <w:tc>
          <w:tcPr>
            <w:tcW w:w="450" w:type="pct"/>
            <w:tcMar>
              <w:top w:w="0" w:type="dxa"/>
              <w:bottom w:w="0" w:type="dxa"/>
            </w:tcMar>
            <w:vAlign w:val="bottom"/>
          </w:tcPr>
          <w:p w:rsidR="00E475AF" w:rsidRPr="00FE3F73" w:rsidRDefault="0084691C" w:rsidP="00A4531C">
            <w:pPr>
              <w:pStyle w:val="TableRowNormal"/>
              <w:spacing w:before="0" w:after="0" w:line="240" w:lineRule="auto"/>
              <w:ind w:left="0" w:firstLine="0"/>
              <w:rPr>
                <w:rFonts w:cstheme="minorHAnsi"/>
              </w:rPr>
            </w:pPr>
            <w:r>
              <w:rPr>
                <w:rFonts w:cstheme="minorHAnsi"/>
              </w:rPr>
              <w:t>%</w:t>
            </w:r>
          </w:p>
        </w:tc>
        <w:tc>
          <w:tcPr>
            <w:tcW w:w="450" w:type="pct"/>
            <w:tcMar>
              <w:top w:w="0" w:type="dxa"/>
              <w:bottom w:w="0" w:type="dxa"/>
            </w:tcMar>
            <w:vAlign w:val="bottom"/>
          </w:tcPr>
          <w:p w:rsidR="00E475AF" w:rsidRPr="00FE3F73" w:rsidRDefault="0084691C" w:rsidP="00A4531C">
            <w:pPr>
              <w:pStyle w:val="TableRowNormal"/>
              <w:spacing w:before="0" w:after="0" w:line="240" w:lineRule="auto"/>
              <w:ind w:left="0" w:firstLine="0"/>
              <w:rPr>
                <w:rFonts w:cstheme="minorHAnsi"/>
              </w:rPr>
            </w:pPr>
            <w:r>
              <w:rPr>
                <w:rFonts w:cstheme="minorHAnsi"/>
              </w:rPr>
              <w:t>%</w:t>
            </w:r>
          </w:p>
        </w:tc>
        <w:tc>
          <w:tcPr>
            <w:tcW w:w="450" w:type="pct"/>
            <w:tcMar>
              <w:top w:w="0" w:type="dxa"/>
              <w:bottom w:w="0" w:type="dxa"/>
            </w:tcMar>
            <w:vAlign w:val="bottom"/>
          </w:tcPr>
          <w:p w:rsidR="00E475AF" w:rsidRPr="00FE3F73" w:rsidRDefault="0084691C" w:rsidP="00A4531C">
            <w:pPr>
              <w:pStyle w:val="TableRowNormal"/>
              <w:spacing w:before="0" w:after="0" w:line="240" w:lineRule="auto"/>
              <w:ind w:left="0" w:firstLine="0"/>
              <w:rPr>
                <w:rFonts w:cstheme="minorHAnsi"/>
              </w:rPr>
            </w:pPr>
            <w:r>
              <w:rPr>
                <w:rFonts w:cstheme="minorHAnsi"/>
              </w:rPr>
              <w:t>%</w:t>
            </w:r>
          </w:p>
        </w:tc>
        <w:tc>
          <w:tcPr>
            <w:tcW w:w="450" w:type="pct"/>
            <w:tcMar>
              <w:top w:w="0" w:type="dxa"/>
              <w:bottom w:w="0" w:type="dxa"/>
            </w:tcMar>
            <w:vAlign w:val="bottom"/>
          </w:tcPr>
          <w:p w:rsidR="00E475AF" w:rsidRPr="00FE3F73" w:rsidRDefault="0084691C" w:rsidP="00A4531C">
            <w:pPr>
              <w:pStyle w:val="TableRowNormal"/>
              <w:spacing w:before="0" w:after="0" w:line="240" w:lineRule="auto"/>
              <w:ind w:left="0" w:firstLine="0"/>
              <w:rPr>
                <w:rFonts w:cstheme="minorHAnsi"/>
              </w:rPr>
            </w:pPr>
            <w:r>
              <w:rPr>
                <w:rFonts w:cstheme="minorHAnsi"/>
              </w:rPr>
              <w:t>%</w:t>
            </w:r>
          </w:p>
        </w:tc>
        <w:tc>
          <w:tcPr>
            <w:tcW w:w="450" w:type="pct"/>
            <w:tcMar>
              <w:top w:w="0" w:type="dxa"/>
              <w:bottom w:w="0" w:type="dxa"/>
            </w:tcMar>
            <w:vAlign w:val="bottom"/>
          </w:tcPr>
          <w:p w:rsidR="00E475AF" w:rsidRPr="00FE3F73" w:rsidRDefault="0084691C" w:rsidP="00A4531C">
            <w:pPr>
              <w:pStyle w:val="TableRowNormal"/>
              <w:spacing w:before="0" w:after="0" w:line="240" w:lineRule="auto"/>
              <w:ind w:left="0" w:firstLine="0"/>
              <w:rPr>
                <w:rFonts w:cstheme="minorHAnsi"/>
              </w:rPr>
            </w:pPr>
            <w:r>
              <w:rPr>
                <w:rFonts w:cstheme="minorHAnsi"/>
              </w:rPr>
              <w:t>%</w:t>
            </w:r>
          </w:p>
        </w:tc>
      </w:tr>
      <w:tr w:rsidR="0084691C" w:rsidRPr="00FE3F73" w:rsidTr="00C34DC6">
        <w:tc>
          <w:tcPr>
            <w:tcW w:w="949" w:type="pct"/>
            <w:vAlign w:val="bottom"/>
          </w:tcPr>
          <w:p w:rsidR="0084691C" w:rsidRPr="00FE3F73" w:rsidRDefault="0084691C" w:rsidP="00A4531C">
            <w:pPr>
              <w:pStyle w:val="CGCTableStub"/>
              <w:tabs>
                <w:tab w:val="left" w:pos="142"/>
                <w:tab w:val="left" w:pos="425"/>
                <w:tab w:val="left" w:pos="709"/>
                <w:tab w:val="left" w:pos="851"/>
              </w:tabs>
              <w:ind w:left="193" w:hanging="142"/>
              <w:rPr>
                <w:rFonts w:cstheme="minorHAnsi"/>
              </w:rPr>
            </w:pPr>
            <w:r>
              <w:rPr>
                <w:rFonts w:cstheme="minorHAnsi"/>
              </w:rPr>
              <w:t>Major minerals (a)</w:t>
            </w:r>
          </w:p>
        </w:tc>
        <w:tc>
          <w:tcPr>
            <w:tcW w:w="450" w:type="pct"/>
            <w:vAlign w:val="bottom"/>
          </w:tcPr>
          <w:p w:rsidR="0084691C" w:rsidRPr="0084691C" w:rsidRDefault="0084691C" w:rsidP="00A4531C">
            <w:pPr>
              <w:pStyle w:val="TableRowNormal"/>
              <w:ind w:left="0" w:firstLine="0"/>
              <w:rPr>
                <w:rFonts w:cstheme="minorHAnsi"/>
              </w:rPr>
            </w:pPr>
            <w:r w:rsidRPr="0084691C">
              <w:rPr>
                <w:rFonts w:cstheme="minorHAnsi"/>
              </w:rPr>
              <w:t>16.3</w:t>
            </w:r>
          </w:p>
        </w:tc>
        <w:tc>
          <w:tcPr>
            <w:tcW w:w="450" w:type="pct"/>
            <w:vAlign w:val="bottom"/>
          </w:tcPr>
          <w:p w:rsidR="0084691C" w:rsidRPr="0084691C" w:rsidRDefault="0084691C" w:rsidP="00A4531C">
            <w:pPr>
              <w:pStyle w:val="TableRowNormal"/>
              <w:ind w:left="0" w:firstLine="0"/>
              <w:rPr>
                <w:rFonts w:cstheme="minorHAnsi"/>
              </w:rPr>
            </w:pPr>
            <w:r w:rsidRPr="0084691C">
              <w:rPr>
                <w:rFonts w:cstheme="minorHAnsi"/>
              </w:rPr>
              <w:t>25.2</w:t>
            </w:r>
          </w:p>
        </w:tc>
        <w:tc>
          <w:tcPr>
            <w:tcW w:w="450" w:type="pct"/>
            <w:vAlign w:val="bottom"/>
          </w:tcPr>
          <w:p w:rsidR="0084691C" w:rsidRPr="0084691C" w:rsidRDefault="0084691C" w:rsidP="00A4531C">
            <w:pPr>
              <w:pStyle w:val="TableRowNormal"/>
              <w:ind w:left="0" w:firstLine="0"/>
              <w:rPr>
                <w:rFonts w:cstheme="minorHAnsi"/>
              </w:rPr>
            </w:pPr>
            <w:r w:rsidRPr="0084691C">
              <w:rPr>
                <w:rFonts w:cstheme="minorHAnsi"/>
              </w:rPr>
              <w:t>-10.6</w:t>
            </w:r>
          </w:p>
        </w:tc>
        <w:tc>
          <w:tcPr>
            <w:tcW w:w="450" w:type="pct"/>
            <w:vAlign w:val="bottom"/>
          </w:tcPr>
          <w:p w:rsidR="0084691C" w:rsidRPr="0084691C" w:rsidRDefault="0084691C" w:rsidP="00A4531C">
            <w:pPr>
              <w:pStyle w:val="TableRowNormal"/>
              <w:ind w:left="0" w:firstLine="0"/>
              <w:rPr>
                <w:rFonts w:cstheme="minorHAnsi"/>
              </w:rPr>
            </w:pPr>
            <w:r w:rsidRPr="0084691C">
              <w:rPr>
                <w:rFonts w:cstheme="minorHAnsi"/>
              </w:rPr>
              <w:t>-40.9</w:t>
            </w:r>
          </w:p>
        </w:tc>
        <w:tc>
          <w:tcPr>
            <w:tcW w:w="450" w:type="pct"/>
            <w:vAlign w:val="bottom"/>
          </w:tcPr>
          <w:p w:rsidR="0084691C" w:rsidRPr="0084691C" w:rsidRDefault="0084691C" w:rsidP="00A4531C">
            <w:pPr>
              <w:pStyle w:val="TableRowNormal"/>
              <w:ind w:left="0" w:firstLine="0"/>
              <w:rPr>
                <w:rFonts w:cstheme="minorHAnsi"/>
              </w:rPr>
            </w:pPr>
            <w:r w:rsidRPr="0084691C">
              <w:rPr>
                <w:rFonts w:cstheme="minorHAnsi"/>
              </w:rPr>
              <w:t>6.0</w:t>
            </w:r>
          </w:p>
        </w:tc>
        <w:tc>
          <w:tcPr>
            <w:tcW w:w="450" w:type="pct"/>
            <w:vAlign w:val="bottom"/>
          </w:tcPr>
          <w:p w:rsidR="0084691C" w:rsidRPr="0084691C" w:rsidRDefault="0084691C" w:rsidP="00A4531C">
            <w:pPr>
              <w:pStyle w:val="TableRowNormal"/>
              <w:ind w:left="0" w:firstLine="0"/>
              <w:rPr>
                <w:rFonts w:cstheme="minorHAnsi"/>
              </w:rPr>
            </w:pPr>
            <w:r w:rsidRPr="0084691C">
              <w:rPr>
                <w:rFonts w:cstheme="minorHAnsi"/>
              </w:rPr>
              <w:t>1.8</w:t>
            </w:r>
          </w:p>
        </w:tc>
        <w:tc>
          <w:tcPr>
            <w:tcW w:w="450" w:type="pct"/>
            <w:vAlign w:val="bottom"/>
          </w:tcPr>
          <w:p w:rsidR="0084691C" w:rsidRPr="0084691C" w:rsidRDefault="0084691C" w:rsidP="00A4531C">
            <w:pPr>
              <w:pStyle w:val="TableRowNormal"/>
              <w:ind w:left="0" w:firstLine="0"/>
              <w:rPr>
                <w:rFonts w:cstheme="minorHAnsi"/>
              </w:rPr>
            </w:pPr>
            <w:r w:rsidRPr="0084691C">
              <w:rPr>
                <w:rFonts w:cstheme="minorHAnsi"/>
              </w:rPr>
              <w:t>1.7</w:t>
            </w:r>
          </w:p>
        </w:tc>
        <w:tc>
          <w:tcPr>
            <w:tcW w:w="450" w:type="pct"/>
            <w:vAlign w:val="bottom"/>
          </w:tcPr>
          <w:p w:rsidR="0084691C" w:rsidRPr="0084691C" w:rsidRDefault="0084691C" w:rsidP="00A4531C">
            <w:pPr>
              <w:pStyle w:val="TableRowNormal"/>
              <w:ind w:left="0" w:firstLine="0"/>
              <w:rPr>
                <w:rFonts w:cstheme="minorHAnsi"/>
              </w:rPr>
            </w:pPr>
            <w:r w:rsidRPr="0084691C">
              <w:rPr>
                <w:rFonts w:cstheme="minorHAnsi"/>
              </w:rPr>
              <w:t>0.6</w:t>
            </w:r>
          </w:p>
        </w:tc>
        <w:tc>
          <w:tcPr>
            <w:tcW w:w="450" w:type="pct"/>
            <w:vAlign w:val="bottom"/>
          </w:tcPr>
          <w:p w:rsidR="0084691C" w:rsidRPr="002A5DD2" w:rsidRDefault="0084691C" w:rsidP="00A4531C">
            <w:pPr>
              <w:pStyle w:val="TableRowNormal"/>
              <w:ind w:left="0" w:firstLine="0"/>
              <w:rPr>
                <w:rFonts w:cstheme="minorHAnsi"/>
              </w:rPr>
            </w:pPr>
            <w:r>
              <w:rPr>
                <w:rFonts w:cstheme="minorHAnsi"/>
              </w:rPr>
              <w:t>0.0</w:t>
            </w:r>
          </w:p>
        </w:tc>
      </w:tr>
      <w:tr w:rsidR="0084691C" w:rsidRPr="00FE3F73" w:rsidTr="00C34DC6">
        <w:tc>
          <w:tcPr>
            <w:tcW w:w="949" w:type="pct"/>
            <w:tcBorders>
              <w:bottom w:val="single" w:sz="4" w:space="0" w:color="auto"/>
            </w:tcBorders>
            <w:vAlign w:val="bottom"/>
          </w:tcPr>
          <w:p w:rsidR="0084691C" w:rsidRDefault="0084691C" w:rsidP="00A4531C">
            <w:pPr>
              <w:pStyle w:val="CGCTableStub"/>
              <w:tabs>
                <w:tab w:val="left" w:pos="142"/>
                <w:tab w:val="left" w:pos="425"/>
                <w:tab w:val="left" w:pos="709"/>
                <w:tab w:val="left" w:pos="851"/>
              </w:tabs>
              <w:ind w:left="193" w:hanging="142"/>
              <w:rPr>
                <w:rFonts w:cstheme="minorHAnsi"/>
              </w:rPr>
            </w:pPr>
            <w:r>
              <w:rPr>
                <w:rFonts w:cstheme="minorHAnsi"/>
              </w:rPr>
              <w:t>Other minerals</w:t>
            </w:r>
          </w:p>
        </w:tc>
        <w:tc>
          <w:tcPr>
            <w:tcW w:w="450" w:type="pct"/>
            <w:tcBorders>
              <w:bottom w:val="single" w:sz="4" w:space="0" w:color="auto"/>
            </w:tcBorders>
            <w:vAlign w:val="bottom"/>
          </w:tcPr>
          <w:p w:rsidR="0084691C" w:rsidRPr="0084691C" w:rsidRDefault="0084691C" w:rsidP="00A4531C">
            <w:pPr>
              <w:pStyle w:val="TableRowNormal"/>
              <w:ind w:left="0" w:firstLine="0"/>
              <w:rPr>
                <w:rFonts w:cstheme="minorHAnsi"/>
              </w:rPr>
            </w:pPr>
            <w:r w:rsidRPr="0084691C">
              <w:rPr>
                <w:rFonts w:cstheme="minorHAnsi"/>
              </w:rPr>
              <w:t>20.5</w:t>
            </w:r>
          </w:p>
        </w:tc>
        <w:tc>
          <w:tcPr>
            <w:tcW w:w="450" w:type="pct"/>
            <w:tcBorders>
              <w:bottom w:val="single" w:sz="4" w:space="0" w:color="auto"/>
            </w:tcBorders>
            <w:vAlign w:val="bottom"/>
          </w:tcPr>
          <w:p w:rsidR="0084691C" w:rsidRPr="0084691C" w:rsidRDefault="0084691C" w:rsidP="00A4531C">
            <w:pPr>
              <w:pStyle w:val="TableRowNormal"/>
              <w:ind w:left="0" w:firstLine="0"/>
              <w:rPr>
                <w:rFonts w:cstheme="minorHAnsi"/>
              </w:rPr>
            </w:pPr>
            <w:r w:rsidRPr="0084691C">
              <w:rPr>
                <w:rFonts w:cstheme="minorHAnsi"/>
              </w:rPr>
              <w:t>22.2</w:t>
            </w:r>
          </w:p>
        </w:tc>
        <w:tc>
          <w:tcPr>
            <w:tcW w:w="450" w:type="pct"/>
            <w:tcBorders>
              <w:bottom w:val="single" w:sz="4" w:space="0" w:color="auto"/>
            </w:tcBorders>
            <w:vAlign w:val="bottom"/>
          </w:tcPr>
          <w:p w:rsidR="0084691C" w:rsidRPr="0084691C" w:rsidRDefault="0084691C" w:rsidP="00A4531C">
            <w:pPr>
              <w:pStyle w:val="TableRowNormal"/>
              <w:ind w:left="0" w:firstLine="0"/>
              <w:rPr>
                <w:rFonts w:cstheme="minorHAnsi"/>
              </w:rPr>
            </w:pPr>
            <w:r w:rsidRPr="0084691C">
              <w:rPr>
                <w:rFonts w:cstheme="minorHAnsi"/>
              </w:rPr>
              <w:t>4.8</w:t>
            </w:r>
          </w:p>
        </w:tc>
        <w:tc>
          <w:tcPr>
            <w:tcW w:w="450" w:type="pct"/>
            <w:tcBorders>
              <w:bottom w:val="single" w:sz="4" w:space="0" w:color="auto"/>
            </w:tcBorders>
            <w:vAlign w:val="bottom"/>
          </w:tcPr>
          <w:p w:rsidR="0084691C" w:rsidRPr="0084691C" w:rsidRDefault="0084691C" w:rsidP="00A4531C">
            <w:pPr>
              <w:pStyle w:val="TableRowNormal"/>
              <w:ind w:left="0" w:firstLine="0"/>
              <w:rPr>
                <w:rFonts w:cstheme="minorHAnsi"/>
              </w:rPr>
            </w:pPr>
            <w:r w:rsidRPr="0084691C">
              <w:rPr>
                <w:rFonts w:cstheme="minorHAnsi"/>
              </w:rPr>
              <w:t>-38.5</w:t>
            </w:r>
          </w:p>
        </w:tc>
        <w:tc>
          <w:tcPr>
            <w:tcW w:w="450" w:type="pct"/>
            <w:tcBorders>
              <w:bottom w:val="single" w:sz="4" w:space="0" w:color="auto"/>
            </w:tcBorders>
            <w:vAlign w:val="bottom"/>
          </w:tcPr>
          <w:p w:rsidR="0084691C" w:rsidRPr="0084691C" w:rsidRDefault="0084691C" w:rsidP="00A4531C">
            <w:pPr>
              <w:pStyle w:val="TableRowNormal"/>
              <w:ind w:left="0" w:firstLine="0"/>
              <w:rPr>
                <w:rFonts w:cstheme="minorHAnsi"/>
              </w:rPr>
            </w:pPr>
            <w:r w:rsidRPr="0084691C">
              <w:rPr>
                <w:rFonts w:cstheme="minorHAnsi"/>
              </w:rPr>
              <w:t>-2.9</w:t>
            </w:r>
          </w:p>
        </w:tc>
        <w:tc>
          <w:tcPr>
            <w:tcW w:w="450" w:type="pct"/>
            <w:tcBorders>
              <w:bottom w:val="single" w:sz="4" w:space="0" w:color="auto"/>
            </w:tcBorders>
            <w:vAlign w:val="bottom"/>
          </w:tcPr>
          <w:p w:rsidR="0084691C" w:rsidRPr="0084691C" w:rsidRDefault="0084691C" w:rsidP="00A4531C">
            <w:pPr>
              <w:pStyle w:val="TableRowNormal"/>
              <w:ind w:left="0" w:firstLine="0"/>
              <w:rPr>
                <w:rFonts w:cstheme="minorHAnsi"/>
              </w:rPr>
            </w:pPr>
            <w:r w:rsidRPr="0084691C">
              <w:rPr>
                <w:rFonts w:cstheme="minorHAnsi"/>
              </w:rPr>
              <w:t>-0.5</w:t>
            </w:r>
          </w:p>
        </w:tc>
        <w:tc>
          <w:tcPr>
            <w:tcW w:w="450" w:type="pct"/>
            <w:tcBorders>
              <w:bottom w:val="single" w:sz="4" w:space="0" w:color="auto"/>
            </w:tcBorders>
            <w:vAlign w:val="bottom"/>
          </w:tcPr>
          <w:p w:rsidR="0084691C" w:rsidRPr="0084691C" w:rsidRDefault="0084691C" w:rsidP="00A4531C">
            <w:pPr>
              <w:pStyle w:val="TableRowNormal"/>
              <w:ind w:left="0" w:firstLine="0"/>
              <w:rPr>
                <w:rFonts w:cstheme="minorHAnsi"/>
              </w:rPr>
            </w:pPr>
            <w:r w:rsidRPr="0084691C">
              <w:rPr>
                <w:rFonts w:cstheme="minorHAnsi"/>
              </w:rPr>
              <w:t>1.7</w:t>
            </w:r>
          </w:p>
        </w:tc>
        <w:tc>
          <w:tcPr>
            <w:tcW w:w="450" w:type="pct"/>
            <w:tcBorders>
              <w:bottom w:val="single" w:sz="4" w:space="0" w:color="auto"/>
            </w:tcBorders>
            <w:vAlign w:val="bottom"/>
          </w:tcPr>
          <w:p w:rsidR="0084691C" w:rsidRPr="0084691C" w:rsidRDefault="0084691C" w:rsidP="00A4531C">
            <w:pPr>
              <w:pStyle w:val="TableRowNormal"/>
              <w:ind w:left="0" w:firstLine="0"/>
              <w:rPr>
                <w:rFonts w:cstheme="minorHAnsi"/>
              </w:rPr>
            </w:pPr>
            <w:r w:rsidRPr="0084691C">
              <w:rPr>
                <w:rFonts w:cstheme="minorHAnsi"/>
              </w:rPr>
              <w:t>-7.2</w:t>
            </w:r>
          </w:p>
        </w:tc>
        <w:tc>
          <w:tcPr>
            <w:tcW w:w="450" w:type="pct"/>
            <w:tcBorders>
              <w:bottom w:val="single" w:sz="4" w:space="0" w:color="auto"/>
            </w:tcBorders>
            <w:vAlign w:val="bottom"/>
          </w:tcPr>
          <w:p w:rsidR="0084691C" w:rsidRPr="00A36A4A" w:rsidRDefault="0084691C" w:rsidP="00A4531C">
            <w:pPr>
              <w:pStyle w:val="TableRowNormal"/>
              <w:ind w:left="0" w:firstLine="0"/>
              <w:rPr>
                <w:rFonts w:cstheme="minorHAnsi"/>
              </w:rPr>
            </w:pPr>
            <w:r>
              <w:rPr>
                <w:rFonts w:cstheme="minorHAnsi"/>
              </w:rPr>
              <w:t>0.0</w:t>
            </w:r>
          </w:p>
        </w:tc>
      </w:tr>
    </w:tbl>
    <w:p w:rsidR="0084691C" w:rsidRDefault="0084691C" w:rsidP="0084691C">
      <w:pPr>
        <w:pStyle w:val="CGCTableFootnote"/>
      </w:pPr>
      <w:r>
        <w:t>(a)</w:t>
      </w:r>
      <w:r>
        <w:tab/>
        <w:t>This group comprises iron ore, coal, bauxite and onshore oil and gas.</w:t>
      </w:r>
    </w:p>
    <w:p w:rsidR="00E475AF" w:rsidRDefault="00E475AF" w:rsidP="00E475AF">
      <w:pPr>
        <w:pStyle w:val="CGCTableFootnote"/>
      </w:pPr>
      <w:r>
        <w:t>Source:</w:t>
      </w:r>
      <w:r>
        <w:tab/>
        <w:t>Commission simulation using State provided data.</w:t>
      </w:r>
    </w:p>
    <w:p w:rsidR="00E475AF" w:rsidRDefault="00E475AF" w:rsidP="00BE794D">
      <w:pPr>
        <w:pStyle w:val="CGCNumberedPara"/>
      </w:pPr>
      <w:r>
        <w:fldChar w:fldCharType="begin"/>
      </w:r>
      <w:r>
        <w:instrText xml:space="preserve"> REF _Ref528919132 \h </w:instrText>
      </w:r>
      <w:r>
        <w:fldChar w:fldCharType="separate"/>
      </w:r>
      <w:r w:rsidR="00A7301A">
        <w:t>Table </w:t>
      </w:r>
      <w:r w:rsidR="00A7301A">
        <w:rPr>
          <w:noProof/>
        </w:rPr>
        <w:t>6</w:t>
      </w:r>
      <w:r>
        <w:fldChar w:fldCharType="end"/>
      </w:r>
      <w:r>
        <w:t xml:space="preserve"> </w:t>
      </w:r>
      <w:r w:rsidR="00755205">
        <w:t>shows the two group option would have changed States’ GST shares by $232 million in the 2018 Update. It would have increased Western Australia’s assessed capacity and reduced the capacities of other States. Compared with the full equalisation option, it would reduce the assessed</w:t>
      </w:r>
      <w:r>
        <w:t xml:space="preserve"> capacity of Victoria, South Australia, Tasmania and the Northern Territory.</w:t>
      </w:r>
    </w:p>
    <w:p w:rsidR="00E475AF" w:rsidRDefault="00E475AF" w:rsidP="00E475AF">
      <w:pPr>
        <w:pStyle w:val="CGCTableHeading"/>
      </w:pPr>
      <w:bookmarkStart w:id="47" w:name="_Ref528919132"/>
      <w:r>
        <w:t>Table </w:t>
      </w:r>
      <w:r>
        <w:rPr>
          <w:noProof/>
        </w:rPr>
        <w:fldChar w:fldCharType="begin"/>
      </w:r>
      <w:r>
        <w:rPr>
          <w:noProof/>
        </w:rPr>
        <w:instrText xml:space="preserve"> SEQ Table \* ARABIC </w:instrText>
      </w:r>
      <w:r>
        <w:rPr>
          <w:noProof/>
        </w:rPr>
        <w:fldChar w:fldCharType="separate"/>
      </w:r>
      <w:r w:rsidR="00A7301A">
        <w:rPr>
          <w:noProof/>
        </w:rPr>
        <w:t>6</w:t>
      </w:r>
      <w:r>
        <w:rPr>
          <w:noProof/>
        </w:rPr>
        <w:fldChar w:fldCharType="end"/>
      </w:r>
      <w:bookmarkEnd w:id="47"/>
      <w:r>
        <w:tab/>
        <w:t>Replacing the mineral by mineral assessment with an aggregated assessment, 2018 Update</w:t>
      </w:r>
      <w:r w:rsidR="00C34DC6">
        <w:t xml:space="preserve"> (a)</w:t>
      </w:r>
    </w:p>
    <w:tbl>
      <w:tblPr>
        <w:tblW w:w="5000" w:type="pct"/>
        <w:tblLayout w:type="fixed"/>
        <w:tblCellMar>
          <w:left w:w="0" w:type="dxa"/>
          <w:right w:w="0" w:type="dxa"/>
        </w:tblCellMar>
        <w:tblLook w:val="0000" w:firstRow="0" w:lastRow="0" w:firstColumn="0" w:lastColumn="0" w:noHBand="0" w:noVBand="0"/>
      </w:tblPr>
      <w:tblGrid>
        <w:gridCol w:w="1990"/>
        <w:gridCol w:w="776"/>
        <w:gridCol w:w="776"/>
        <w:gridCol w:w="774"/>
        <w:gridCol w:w="774"/>
        <w:gridCol w:w="774"/>
        <w:gridCol w:w="774"/>
        <w:gridCol w:w="774"/>
        <w:gridCol w:w="774"/>
        <w:gridCol w:w="772"/>
      </w:tblGrid>
      <w:tr w:rsidR="00E475AF" w:rsidRPr="00FE3F73" w:rsidTr="00C34DC6">
        <w:tc>
          <w:tcPr>
            <w:tcW w:w="1111" w:type="pct"/>
            <w:tcBorders>
              <w:top w:val="single" w:sz="6" w:space="0" w:color="auto"/>
              <w:bottom w:val="single" w:sz="6" w:space="0" w:color="auto"/>
            </w:tcBorders>
            <w:vAlign w:val="center"/>
          </w:tcPr>
          <w:p w:rsidR="00E475AF" w:rsidRPr="00FE3F73" w:rsidRDefault="00E475AF" w:rsidP="001010FD">
            <w:pPr>
              <w:pStyle w:val="CGCTableStub"/>
              <w:spacing w:line="240" w:lineRule="auto"/>
              <w:ind w:left="193" w:hanging="142"/>
              <w:rPr>
                <w:rFonts w:cstheme="minorHAnsi"/>
              </w:rPr>
            </w:pPr>
            <w:r>
              <w:rPr>
                <w:rFonts w:cstheme="minorHAnsi"/>
              </w:rPr>
              <w:t>Aggregation option:</w:t>
            </w:r>
          </w:p>
        </w:tc>
        <w:tc>
          <w:tcPr>
            <w:tcW w:w="433" w:type="pct"/>
            <w:tcBorders>
              <w:top w:val="single" w:sz="6" w:space="0" w:color="auto"/>
              <w:bottom w:val="single" w:sz="6" w:space="0" w:color="auto"/>
            </w:tcBorders>
            <w:vAlign w:val="center"/>
          </w:tcPr>
          <w:p w:rsidR="00E475AF" w:rsidRPr="00FE3F73" w:rsidRDefault="00E475AF" w:rsidP="001010FD">
            <w:pPr>
              <w:pStyle w:val="TableColHeadings"/>
              <w:rPr>
                <w:rFonts w:cstheme="minorHAnsi"/>
              </w:rPr>
            </w:pPr>
            <w:r w:rsidRPr="00FE3F73">
              <w:rPr>
                <w:rFonts w:cstheme="minorHAnsi"/>
              </w:rPr>
              <w:t>NSW</w:t>
            </w:r>
          </w:p>
        </w:tc>
        <w:tc>
          <w:tcPr>
            <w:tcW w:w="433" w:type="pct"/>
            <w:tcBorders>
              <w:top w:val="single" w:sz="6" w:space="0" w:color="auto"/>
              <w:bottom w:val="single" w:sz="6" w:space="0" w:color="auto"/>
            </w:tcBorders>
            <w:vAlign w:val="center"/>
          </w:tcPr>
          <w:p w:rsidR="00E475AF" w:rsidRPr="00FE3F73" w:rsidRDefault="00E475AF" w:rsidP="001010FD">
            <w:pPr>
              <w:pStyle w:val="TableColHeadings"/>
              <w:rPr>
                <w:rFonts w:cstheme="minorHAnsi"/>
              </w:rPr>
            </w:pPr>
            <w:r w:rsidRPr="00FE3F73">
              <w:rPr>
                <w:rFonts w:cstheme="minorHAnsi"/>
              </w:rPr>
              <w:t>Vic</w:t>
            </w:r>
          </w:p>
        </w:tc>
        <w:tc>
          <w:tcPr>
            <w:tcW w:w="432" w:type="pct"/>
            <w:tcBorders>
              <w:top w:val="single" w:sz="6" w:space="0" w:color="auto"/>
              <w:bottom w:val="single" w:sz="6" w:space="0" w:color="auto"/>
            </w:tcBorders>
            <w:vAlign w:val="center"/>
          </w:tcPr>
          <w:p w:rsidR="00E475AF" w:rsidRPr="00FE3F73" w:rsidRDefault="00E475AF" w:rsidP="001010FD">
            <w:pPr>
              <w:pStyle w:val="TableColHeadings"/>
              <w:rPr>
                <w:rFonts w:cstheme="minorHAnsi"/>
              </w:rPr>
            </w:pPr>
            <w:r w:rsidRPr="00FE3F73">
              <w:rPr>
                <w:rFonts w:cstheme="minorHAnsi"/>
              </w:rPr>
              <w:t>Qld</w:t>
            </w:r>
          </w:p>
        </w:tc>
        <w:tc>
          <w:tcPr>
            <w:tcW w:w="432" w:type="pct"/>
            <w:tcBorders>
              <w:top w:val="single" w:sz="6" w:space="0" w:color="auto"/>
              <w:bottom w:val="single" w:sz="6" w:space="0" w:color="auto"/>
            </w:tcBorders>
            <w:vAlign w:val="center"/>
          </w:tcPr>
          <w:p w:rsidR="00E475AF" w:rsidRPr="00FE3F73" w:rsidRDefault="00E475AF" w:rsidP="001010FD">
            <w:pPr>
              <w:pStyle w:val="TableColHeadings"/>
              <w:rPr>
                <w:rFonts w:cstheme="minorHAnsi"/>
              </w:rPr>
            </w:pPr>
            <w:r w:rsidRPr="00FE3F73">
              <w:rPr>
                <w:rFonts w:cstheme="minorHAnsi"/>
              </w:rPr>
              <w:t>WA</w:t>
            </w:r>
          </w:p>
        </w:tc>
        <w:tc>
          <w:tcPr>
            <w:tcW w:w="432" w:type="pct"/>
            <w:tcBorders>
              <w:top w:val="single" w:sz="6" w:space="0" w:color="auto"/>
              <w:bottom w:val="single" w:sz="6" w:space="0" w:color="auto"/>
            </w:tcBorders>
            <w:vAlign w:val="center"/>
          </w:tcPr>
          <w:p w:rsidR="00E475AF" w:rsidRPr="00FE3F73" w:rsidRDefault="00E475AF" w:rsidP="001010FD">
            <w:pPr>
              <w:pStyle w:val="TableColHeadings"/>
              <w:rPr>
                <w:rFonts w:cstheme="minorHAnsi"/>
              </w:rPr>
            </w:pPr>
            <w:r w:rsidRPr="00FE3F73">
              <w:rPr>
                <w:rFonts w:cstheme="minorHAnsi"/>
              </w:rPr>
              <w:t>SA</w:t>
            </w:r>
          </w:p>
        </w:tc>
        <w:tc>
          <w:tcPr>
            <w:tcW w:w="432" w:type="pct"/>
            <w:tcBorders>
              <w:top w:val="single" w:sz="6" w:space="0" w:color="auto"/>
              <w:bottom w:val="single" w:sz="6" w:space="0" w:color="auto"/>
            </w:tcBorders>
            <w:vAlign w:val="center"/>
          </w:tcPr>
          <w:p w:rsidR="00E475AF" w:rsidRPr="00FE3F73" w:rsidRDefault="00E475AF" w:rsidP="001010FD">
            <w:pPr>
              <w:pStyle w:val="TableColHeadings"/>
              <w:rPr>
                <w:rFonts w:cstheme="minorHAnsi"/>
              </w:rPr>
            </w:pPr>
            <w:proofErr w:type="spellStart"/>
            <w:r w:rsidRPr="00FE3F73">
              <w:rPr>
                <w:rFonts w:cstheme="minorHAnsi"/>
              </w:rPr>
              <w:t>Tas</w:t>
            </w:r>
            <w:proofErr w:type="spellEnd"/>
          </w:p>
        </w:tc>
        <w:tc>
          <w:tcPr>
            <w:tcW w:w="432" w:type="pct"/>
            <w:tcBorders>
              <w:top w:val="single" w:sz="6" w:space="0" w:color="auto"/>
              <w:bottom w:val="single" w:sz="6" w:space="0" w:color="auto"/>
            </w:tcBorders>
            <w:vAlign w:val="center"/>
          </w:tcPr>
          <w:p w:rsidR="00E475AF" w:rsidRPr="00FE3F73" w:rsidRDefault="00E475AF" w:rsidP="001010FD">
            <w:pPr>
              <w:pStyle w:val="TableColHeadings"/>
              <w:rPr>
                <w:rFonts w:cstheme="minorHAnsi"/>
              </w:rPr>
            </w:pPr>
            <w:r w:rsidRPr="00FE3F73">
              <w:rPr>
                <w:rFonts w:cstheme="minorHAnsi"/>
              </w:rPr>
              <w:t>ACT</w:t>
            </w:r>
          </w:p>
        </w:tc>
        <w:tc>
          <w:tcPr>
            <w:tcW w:w="432" w:type="pct"/>
            <w:tcBorders>
              <w:top w:val="single" w:sz="6" w:space="0" w:color="auto"/>
              <w:bottom w:val="single" w:sz="6" w:space="0" w:color="auto"/>
            </w:tcBorders>
            <w:vAlign w:val="center"/>
          </w:tcPr>
          <w:p w:rsidR="00E475AF" w:rsidRPr="00FE3F73" w:rsidRDefault="00E475AF" w:rsidP="001010FD">
            <w:pPr>
              <w:pStyle w:val="TableColHeadings"/>
              <w:rPr>
                <w:rFonts w:cstheme="minorHAnsi"/>
              </w:rPr>
            </w:pPr>
            <w:r w:rsidRPr="00FE3F73">
              <w:rPr>
                <w:rFonts w:cstheme="minorHAnsi"/>
              </w:rPr>
              <w:t>NT</w:t>
            </w:r>
          </w:p>
        </w:tc>
        <w:tc>
          <w:tcPr>
            <w:tcW w:w="431" w:type="pct"/>
            <w:tcBorders>
              <w:top w:val="single" w:sz="6" w:space="0" w:color="auto"/>
              <w:bottom w:val="single" w:sz="6" w:space="0" w:color="auto"/>
            </w:tcBorders>
            <w:vAlign w:val="center"/>
          </w:tcPr>
          <w:p w:rsidR="00E475AF" w:rsidRPr="00FE3F73" w:rsidRDefault="00E475AF" w:rsidP="001010FD">
            <w:pPr>
              <w:pStyle w:val="TableColHeadings"/>
              <w:rPr>
                <w:rFonts w:cstheme="minorHAnsi"/>
              </w:rPr>
            </w:pPr>
            <w:proofErr w:type="spellStart"/>
            <w:r>
              <w:rPr>
                <w:rFonts w:cstheme="minorHAnsi"/>
              </w:rPr>
              <w:t>Redist</w:t>
            </w:r>
            <w:proofErr w:type="spellEnd"/>
          </w:p>
        </w:tc>
      </w:tr>
      <w:tr w:rsidR="00E475AF" w:rsidRPr="00FE3F73" w:rsidTr="00C34DC6">
        <w:tc>
          <w:tcPr>
            <w:tcW w:w="1111" w:type="pct"/>
            <w:tcMar>
              <w:top w:w="0" w:type="dxa"/>
              <w:bottom w:w="0" w:type="dxa"/>
            </w:tcMar>
            <w:vAlign w:val="bottom"/>
          </w:tcPr>
          <w:p w:rsidR="00E475AF" w:rsidRPr="00FE3F73" w:rsidRDefault="00E475AF" w:rsidP="001010FD">
            <w:pPr>
              <w:pStyle w:val="CGCTableStub"/>
              <w:spacing w:before="0" w:after="0" w:line="240" w:lineRule="auto"/>
              <w:ind w:left="193" w:hanging="142"/>
              <w:jc w:val="right"/>
              <w:rPr>
                <w:rFonts w:cstheme="minorHAnsi"/>
              </w:rPr>
            </w:pPr>
          </w:p>
        </w:tc>
        <w:tc>
          <w:tcPr>
            <w:tcW w:w="433" w:type="pct"/>
            <w:tcMar>
              <w:top w:w="0" w:type="dxa"/>
              <w:bottom w:w="0" w:type="dxa"/>
            </w:tcMar>
            <w:vAlign w:val="bottom"/>
          </w:tcPr>
          <w:p w:rsidR="00E475AF" w:rsidRPr="00FE3F73" w:rsidRDefault="00E475AF" w:rsidP="001010FD">
            <w:pPr>
              <w:pStyle w:val="TableRowNormal"/>
              <w:spacing w:before="0" w:after="0" w:line="240" w:lineRule="auto"/>
              <w:ind w:left="0" w:firstLine="0"/>
              <w:rPr>
                <w:rFonts w:cstheme="minorHAnsi"/>
              </w:rPr>
            </w:pPr>
            <w:r>
              <w:rPr>
                <w:rFonts w:cstheme="minorHAnsi"/>
              </w:rPr>
              <w:t>$m</w:t>
            </w:r>
          </w:p>
        </w:tc>
        <w:tc>
          <w:tcPr>
            <w:tcW w:w="433" w:type="pct"/>
            <w:tcMar>
              <w:top w:w="0" w:type="dxa"/>
              <w:bottom w:w="0" w:type="dxa"/>
            </w:tcMar>
            <w:vAlign w:val="bottom"/>
          </w:tcPr>
          <w:p w:rsidR="00E475AF" w:rsidRPr="00FE3F73" w:rsidRDefault="00E475AF" w:rsidP="001010FD">
            <w:pPr>
              <w:pStyle w:val="TableRowNormal"/>
              <w:spacing w:before="0" w:after="0" w:line="240" w:lineRule="auto"/>
              <w:ind w:left="0" w:firstLine="0"/>
              <w:rPr>
                <w:rFonts w:cstheme="minorHAnsi"/>
              </w:rPr>
            </w:pPr>
            <w:r>
              <w:rPr>
                <w:rFonts w:cstheme="minorHAnsi"/>
              </w:rPr>
              <w:t>$m</w:t>
            </w:r>
          </w:p>
        </w:tc>
        <w:tc>
          <w:tcPr>
            <w:tcW w:w="432" w:type="pct"/>
            <w:tcMar>
              <w:top w:w="0" w:type="dxa"/>
              <w:bottom w:w="0" w:type="dxa"/>
            </w:tcMar>
            <w:vAlign w:val="bottom"/>
          </w:tcPr>
          <w:p w:rsidR="00E475AF" w:rsidRPr="00FE3F73" w:rsidRDefault="00E475AF" w:rsidP="001010FD">
            <w:pPr>
              <w:pStyle w:val="TableRowNormal"/>
              <w:spacing w:before="0" w:after="0" w:line="240" w:lineRule="auto"/>
              <w:ind w:left="0" w:firstLine="0"/>
              <w:rPr>
                <w:rFonts w:cstheme="minorHAnsi"/>
              </w:rPr>
            </w:pPr>
            <w:r>
              <w:rPr>
                <w:rFonts w:cstheme="minorHAnsi"/>
              </w:rPr>
              <w:t>$m</w:t>
            </w:r>
          </w:p>
        </w:tc>
        <w:tc>
          <w:tcPr>
            <w:tcW w:w="432" w:type="pct"/>
            <w:tcMar>
              <w:top w:w="0" w:type="dxa"/>
              <w:bottom w:w="0" w:type="dxa"/>
            </w:tcMar>
            <w:vAlign w:val="bottom"/>
          </w:tcPr>
          <w:p w:rsidR="00E475AF" w:rsidRPr="00FE3F73" w:rsidRDefault="00E475AF" w:rsidP="001010FD">
            <w:pPr>
              <w:pStyle w:val="TableRowNormal"/>
              <w:spacing w:before="0" w:after="0" w:line="240" w:lineRule="auto"/>
              <w:ind w:left="0" w:firstLine="0"/>
              <w:rPr>
                <w:rFonts w:cstheme="minorHAnsi"/>
              </w:rPr>
            </w:pPr>
            <w:r>
              <w:rPr>
                <w:rFonts w:cstheme="minorHAnsi"/>
              </w:rPr>
              <w:t>$m</w:t>
            </w:r>
          </w:p>
        </w:tc>
        <w:tc>
          <w:tcPr>
            <w:tcW w:w="432" w:type="pct"/>
            <w:tcMar>
              <w:top w:w="0" w:type="dxa"/>
              <w:bottom w:w="0" w:type="dxa"/>
            </w:tcMar>
            <w:vAlign w:val="bottom"/>
          </w:tcPr>
          <w:p w:rsidR="00E475AF" w:rsidRPr="00FE3F73" w:rsidRDefault="00E475AF" w:rsidP="001010FD">
            <w:pPr>
              <w:pStyle w:val="TableRowNormal"/>
              <w:spacing w:before="0" w:after="0" w:line="240" w:lineRule="auto"/>
              <w:ind w:left="0" w:firstLine="0"/>
              <w:rPr>
                <w:rFonts w:cstheme="minorHAnsi"/>
              </w:rPr>
            </w:pPr>
            <w:r>
              <w:rPr>
                <w:rFonts w:cstheme="minorHAnsi"/>
              </w:rPr>
              <w:t>$m</w:t>
            </w:r>
          </w:p>
        </w:tc>
        <w:tc>
          <w:tcPr>
            <w:tcW w:w="432" w:type="pct"/>
            <w:tcMar>
              <w:top w:w="0" w:type="dxa"/>
              <w:bottom w:w="0" w:type="dxa"/>
            </w:tcMar>
            <w:vAlign w:val="bottom"/>
          </w:tcPr>
          <w:p w:rsidR="00E475AF" w:rsidRPr="00FE3F73" w:rsidRDefault="00E475AF" w:rsidP="001010FD">
            <w:pPr>
              <w:pStyle w:val="TableRowNormal"/>
              <w:spacing w:before="0" w:after="0" w:line="240" w:lineRule="auto"/>
              <w:ind w:left="0" w:firstLine="0"/>
              <w:rPr>
                <w:rFonts w:cstheme="minorHAnsi"/>
              </w:rPr>
            </w:pPr>
            <w:r>
              <w:rPr>
                <w:rFonts w:cstheme="minorHAnsi"/>
              </w:rPr>
              <w:t>$m</w:t>
            </w:r>
          </w:p>
        </w:tc>
        <w:tc>
          <w:tcPr>
            <w:tcW w:w="432" w:type="pct"/>
            <w:tcMar>
              <w:top w:w="0" w:type="dxa"/>
              <w:bottom w:w="0" w:type="dxa"/>
            </w:tcMar>
            <w:vAlign w:val="bottom"/>
          </w:tcPr>
          <w:p w:rsidR="00E475AF" w:rsidRPr="00FE3F73" w:rsidRDefault="00E475AF" w:rsidP="001010FD">
            <w:pPr>
              <w:pStyle w:val="TableRowNormal"/>
              <w:spacing w:before="0" w:after="0" w:line="240" w:lineRule="auto"/>
              <w:ind w:left="0" w:firstLine="0"/>
              <w:rPr>
                <w:rFonts w:cstheme="minorHAnsi"/>
              </w:rPr>
            </w:pPr>
            <w:r>
              <w:rPr>
                <w:rFonts w:cstheme="minorHAnsi"/>
              </w:rPr>
              <w:t>$m</w:t>
            </w:r>
          </w:p>
        </w:tc>
        <w:tc>
          <w:tcPr>
            <w:tcW w:w="432" w:type="pct"/>
            <w:tcMar>
              <w:top w:w="0" w:type="dxa"/>
              <w:bottom w:w="0" w:type="dxa"/>
            </w:tcMar>
            <w:vAlign w:val="bottom"/>
          </w:tcPr>
          <w:p w:rsidR="00E475AF" w:rsidRPr="00FE3F73" w:rsidRDefault="00E475AF" w:rsidP="001010FD">
            <w:pPr>
              <w:pStyle w:val="TableRowNormal"/>
              <w:spacing w:before="0" w:after="0" w:line="240" w:lineRule="auto"/>
              <w:ind w:left="0" w:firstLine="0"/>
              <w:rPr>
                <w:rFonts w:cstheme="minorHAnsi"/>
              </w:rPr>
            </w:pPr>
            <w:r>
              <w:rPr>
                <w:rFonts w:cstheme="minorHAnsi"/>
              </w:rPr>
              <w:t>$m</w:t>
            </w:r>
          </w:p>
        </w:tc>
        <w:tc>
          <w:tcPr>
            <w:tcW w:w="431" w:type="pct"/>
            <w:tcMar>
              <w:top w:w="0" w:type="dxa"/>
              <w:bottom w:w="0" w:type="dxa"/>
            </w:tcMar>
            <w:vAlign w:val="bottom"/>
          </w:tcPr>
          <w:p w:rsidR="00E475AF" w:rsidRPr="00FE3F73" w:rsidRDefault="00E475AF" w:rsidP="001010FD">
            <w:pPr>
              <w:pStyle w:val="TableRowNormal"/>
              <w:spacing w:before="0" w:after="0" w:line="240" w:lineRule="auto"/>
              <w:ind w:left="0" w:firstLine="0"/>
              <w:rPr>
                <w:rFonts w:cstheme="minorHAnsi"/>
              </w:rPr>
            </w:pPr>
            <w:r>
              <w:rPr>
                <w:rFonts w:cstheme="minorHAnsi"/>
              </w:rPr>
              <w:t>$m</w:t>
            </w:r>
          </w:p>
        </w:tc>
      </w:tr>
      <w:tr w:rsidR="00C34DC6" w:rsidRPr="00FE3F73" w:rsidTr="00C34DC6">
        <w:tc>
          <w:tcPr>
            <w:tcW w:w="1111" w:type="pct"/>
            <w:vAlign w:val="bottom"/>
          </w:tcPr>
          <w:p w:rsidR="00C34DC6" w:rsidRDefault="00C34DC6" w:rsidP="00C34DC6">
            <w:pPr>
              <w:pStyle w:val="CGCTableStub"/>
              <w:tabs>
                <w:tab w:val="left" w:pos="142"/>
                <w:tab w:val="left" w:pos="425"/>
                <w:tab w:val="left" w:pos="709"/>
                <w:tab w:val="left" w:pos="851"/>
              </w:tabs>
              <w:ind w:left="193" w:hanging="142"/>
              <w:rPr>
                <w:rFonts w:cstheme="minorHAnsi"/>
              </w:rPr>
            </w:pPr>
            <w:r>
              <w:rPr>
                <w:rFonts w:cstheme="minorHAnsi"/>
              </w:rPr>
              <w:t>2018 Update</w:t>
            </w:r>
          </w:p>
        </w:tc>
        <w:tc>
          <w:tcPr>
            <w:tcW w:w="433" w:type="pct"/>
            <w:vAlign w:val="bottom"/>
          </w:tcPr>
          <w:p w:rsidR="00C34DC6" w:rsidRPr="0046608D" w:rsidRDefault="00C34DC6" w:rsidP="00C34DC6">
            <w:pPr>
              <w:pStyle w:val="TableRowNormal"/>
              <w:ind w:left="0" w:firstLine="0"/>
              <w:rPr>
                <w:rFonts w:cstheme="minorHAnsi"/>
              </w:rPr>
            </w:pPr>
            <w:r w:rsidRPr="0046608D">
              <w:rPr>
                <w:rFonts w:cstheme="minorHAnsi"/>
              </w:rPr>
              <w:t>1</w:t>
            </w:r>
            <w:r>
              <w:rPr>
                <w:rFonts w:cstheme="minorHAnsi"/>
              </w:rPr>
              <w:t xml:space="preserve"> </w:t>
            </w:r>
            <w:r w:rsidRPr="0046608D">
              <w:rPr>
                <w:rFonts w:cstheme="minorHAnsi"/>
              </w:rPr>
              <w:t>702</w:t>
            </w:r>
          </w:p>
        </w:tc>
        <w:tc>
          <w:tcPr>
            <w:tcW w:w="433" w:type="pct"/>
            <w:vAlign w:val="bottom"/>
          </w:tcPr>
          <w:p w:rsidR="00C34DC6" w:rsidRPr="0046608D" w:rsidRDefault="00C34DC6" w:rsidP="00C34DC6">
            <w:pPr>
              <w:pStyle w:val="TableRowNormal"/>
              <w:ind w:left="0" w:firstLine="0"/>
              <w:rPr>
                <w:rFonts w:cstheme="minorHAnsi"/>
              </w:rPr>
            </w:pPr>
            <w:r w:rsidRPr="0046608D">
              <w:rPr>
                <w:rFonts w:cstheme="minorHAnsi"/>
              </w:rPr>
              <w:t>2</w:t>
            </w:r>
            <w:r>
              <w:rPr>
                <w:rFonts w:cstheme="minorHAnsi"/>
              </w:rPr>
              <w:t xml:space="preserve"> </w:t>
            </w:r>
            <w:r w:rsidRPr="0046608D">
              <w:rPr>
                <w:rFonts w:cstheme="minorHAnsi"/>
              </w:rPr>
              <w:t>583</w:t>
            </w:r>
          </w:p>
        </w:tc>
        <w:tc>
          <w:tcPr>
            <w:tcW w:w="432" w:type="pct"/>
            <w:vAlign w:val="bottom"/>
          </w:tcPr>
          <w:p w:rsidR="00C34DC6" w:rsidRPr="0046608D" w:rsidRDefault="00C34DC6" w:rsidP="00C34DC6">
            <w:pPr>
              <w:pStyle w:val="TableRowNormal"/>
              <w:ind w:left="0" w:firstLine="0"/>
              <w:rPr>
                <w:rFonts w:cstheme="minorHAnsi"/>
              </w:rPr>
            </w:pPr>
            <w:r w:rsidRPr="0046608D">
              <w:rPr>
                <w:rFonts w:cstheme="minorHAnsi"/>
              </w:rPr>
              <w:t>-825</w:t>
            </w:r>
          </w:p>
        </w:tc>
        <w:tc>
          <w:tcPr>
            <w:tcW w:w="432" w:type="pct"/>
            <w:vAlign w:val="bottom"/>
          </w:tcPr>
          <w:p w:rsidR="00C34DC6" w:rsidRPr="0046608D" w:rsidRDefault="00C34DC6" w:rsidP="00C34DC6">
            <w:pPr>
              <w:pStyle w:val="TableRowNormal"/>
              <w:ind w:left="0" w:firstLine="0"/>
              <w:rPr>
                <w:rFonts w:cstheme="minorHAnsi"/>
              </w:rPr>
            </w:pPr>
            <w:r w:rsidRPr="0046608D">
              <w:rPr>
                <w:rFonts w:cstheme="minorHAnsi"/>
              </w:rPr>
              <w:t>-4</w:t>
            </w:r>
            <w:r>
              <w:rPr>
                <w:rFonts w:cstheme="minorHAnsi"/>
              </w:rPr>
              <w:t xml:space="preserve"> </w:t>
            </w:r>
            <w:r w:rsidRPr="0046608D">
              <w:rPr>
                <w:rFonts w:cstheme="minorHAnsi"/>
              </w:rPr>
              <w:t>161</w:t>
            </w:r>
          </w:p>
        </w:tc>
        <w:tc>
          <w:tcPr>
            <w:tcW w:w="432" w:type="pct"/>
            <w:vAlign w:val="bottom"/>
          </w:tcPr>
          <w:p w:rsidR="00C34DC6" w:rsidRPr="0046608D" w:rsidRDefault="00C34DC6" w:rsidP="00C34DC6">
            <w:pPr>
              <w:pStyle w:val="TableRowNormal"/>
              <w:ind w:left="0" w:firstLine="0"/>
              <w:rPr>
                <w:rFonts w:cstheme="minorHAnsi"/>
              </w:rPr>
            </w:pPr>
            <w:r w:rsidRPr="0046608D">
              <w:rPr>
                <w:rFonts w:cstheme="minorHAnsi"/>
              </w:rPr>
              <w:t>426</w:t>
            </w:r>
          </w:p>
        </w:tc>
        <w:tc>
          <w:tcPr>
            <w:tcW w:w="432" w:type="pct"/>
            <w:vAlign w:val="bottom"/>
          </w:tcPr>
          <w:p w:rsidR="00C34DC6" w:rsidRPr="0046608D" w:rsidRDefault="00C34DC6" w:rsidP="00C34DC6">
            <w:pPr>
              <w:pStyle w:val="TableRowNormal"/>
              <w:ind w:left="0" w:firstLine="0"/>
              <w:rPr>
                <w:rFonts w:cstheme="minorHAnsi"/>
              </w:rPr>
            </w:pPr>
            <w:r w:rsidRPr="0046608D">
              <w:rPr>
                <w:rFonts w:cstheme="minorHAnsi"/>
              </w:rPr>
              <w:t>160</w:t>
            </w:r>
          </w:p>
        </w:tc>
        <w:tc>
          <w:tcPr>
            <w:tcW w:w="432" w:type="pct"/>
            <w:vAlign w:val="bottom"/>
          </w:tcPr>
          <w:p w:rsidR="00C34DC6" w:rsidRPr="0046608D" w:rsidRDefault="00C34DC6" w:rsidP="00C34DC6">
            <w:pPr>
              <w:pStyle w:val="TableRowNormal"/>
              <w:ind w:left="0" w:firstLine="0"/>
              <w:rPr>
                <w:rFonts w:cstheme="minorHAnsi"/>
              </w:rPr>
            </w:pPr>
            <w:r w:rsidRPr="0046608D">
              <w:rPr>
                <w:rFonts w:cstheme="minorHAnsi"/>
              </w:rPr>
              <w:t>173</w:t>
            </w:r>
          </w:p>
        </w:tc>
        <w:tc>
          <w:tcPr>
            <w:tcW w:w="432" w:type="pct"/>
            <w:vAlign w:val="bottom"/>
          </w:tcPr>
          <w:p w:rsidR="00C34DC6" w:rsidRPr="0046608D" w:rsidRDefault="00C34DC6" w:rsidP="00C34DC6">
            <w:pPr>
              <w:pStyle w:val="TableRowNormal"/>
              <w:ind w:left="0" w:firstLine="0"/>
              <w:rPr>
                <w:rFonts w:cstheme="minorHAnsi"/>
              </w:rPr>
            </w:pPr>
            <w:r w:rsidRPr="0046608D">
              <w:rPr>
                <w:rFonts w:cstheme="minorHAnsi"/>
              </w:rPr>
              <w:t>-58</w:t>
            </w:r>
          </w:p>
        </w:tc>
        <w:tc>
          <w:tcPr>
            <w:tcW w:w="431" w:type="pct"/>
            <w:vAlign w:val="bottom"/>
          </w:tcPr>
          <w:p w:rsidR="00C34DC6" w:rsidRPr="0046608D" w:rsidRDefault="00C34DC6" w:rsidP="00C34DC6">
            <w:pPr>
              <w:pStyle w:val="TableRowNormal"/>
              <w:ind w:left="0" w:firstLine="0"/>
              <w:rPr>
                <w:rFonts w:cstheme="minorHAnsi"/>
              </w:rPr>
            </w:pPr>
            <w:r w:rsidRPr="0046608D">
              <w:rPr>
                <w:rFonts w:cstheme="minorHAnsi"/>
              </w:rPr>
              <w:t>5</w:t>
            </w:r>
            <w:r>
              <w:rPr>
                <w:rFonts w:cstheme="minorHAnsi"/>
              </w:rPr>
              <w:t xml:space="preserve"> </w:t>
            </w:r>
            <w:r w:rsidRPr="0046608D">
              <w:rPr>
                <w:rFonts w:cstheme="minorHAnsi"/>
              </w:rPr>
              <w:t>044</w:t>
            </w:r>
          </w:p>
        </w:tc>
      </w:tr>
      <w:tr w:rsidR="00C34DC6" w:rsidRPr="00FE3F73" w:rsidTr="00C34DC6">
        <w:tc>
          <w:tcPr>
            <w:tcW w:w="1111" w:type="pct"/>
            <w:vAlign w:val="bottom"/>
          </w:tcPr>
          <w:p w:rsidR="00C34DC6" w:rsidRDefault="00C34DC6" w:rsidP="00C34DC6">
            <w:pPr>
              <w:pStyle w:val="CGCTableStub"/>
              <w:tabs>
                <w:tab w:val="left" w:pos="142"/>
                <w:tab w:val="left" w:pos="425"/>
                <w:tab w:val="left" w:pos="709"/>
                <w:tab w:val="left" w:pos="851"/>
              </w:tabs>
              <w:ind w:left="193" w:hanging="142"/>
              <w:rPr>
                <w:rFonts w:cstheme="minorHAnsi"/>
              </w:rPr>
            </w:pPr>
            <w:r>
              <w:rPr>
                <w:rFonts w:cstheme="minorHAnsi"/>
              </w:rPr>
              <w:t>Two group option</w:t>
            </w:r>
          </w:p>
        </w:tc>
        <w:tc>
          <w:tcPr>
            <w:tcW w:w="433" w:type="pct"/>
            <w:tcBorders>
              <w:bottom w:val="single" w:sz="4" w:space="0" w:color="auto"/>
            </w:tcBorders>
            <w:vAlign w:val="bottom"/>
          </w:tcPr>
          <w:p w:rsidR="00C34DC6" w:rsidRPr="00C34DC6" w:rsidRDefault="00C34DC6" w:rsidP="00C34DC6">
            <w:pPr>
              <w:pStyle w:val="TableRowNormal"/>
              <w:ind w:left="0" w:firstLine="0"/>
              <w:rPr>
                <w:rFonts w:cstheme="minorHAnsi"/>
              </w:rPr>
            </w:pPr>
            <w:r w:rsidRPr="00C34DC6">
              <w:rPr>
                <w:rFonts w:cstheme="minorHAnsi"/>
              </w:rPr>
              <w:t>1 729</w:t>
            </w:r>
          </w:p>
        </w:tc>
        <w:tc>
          <w:tcPr>
            <w:tcW w:w="433" w:type="pct"/>
            <w:tcBorders>
              <w:bottom w:val="single" w:sz="4" w:space="0" w:color="auto"/>
            </w:tcBorders>
            <w:vAlign w:val="bottom"/>
          </w:tcPr>
          <w:p w:rsidR="00C34DC6" w:rsidRPr="00C34DC6" w:rsidRDefault="00C34DC6" w:rsidP="00C34DC6">
            <w:pPr>
              <w:pStyle w:val="TableRowNormal"/>
              <w:ind w:left="0" w:firstLine="0"/>
              <w:rPr>
                <w:rFonts w:cstheme="minorHAnsi"/>
              </w:rPr>
            </w:pPr>
            <w:r w:rsidRPr="00C34DC6">
              <w:rPr>
                <w:rFonts w:cstheme="minorHAnsi"/>
              </w:rPr>
              <w:t>2 592</w:t>
            </w:r>
          </w:p>
        </w:tc>
        <w:tc>
          <w:tcPr>
            <w:tcW w:w="432" w:type="pct"/>
            <w:tcBorders>
              <w:bottom w:val="single" w:sz="4" w:space="0" w:color="auto"/>
            </w:tcBorders>
            <w:vAlign w:val="bottom"/>
          </w:tcPr>
          <w:p w:rsidR="00C34DC6" w:rsidRPr="00C34DC6" w:rsidRDefault="00C34DC6" w:rsidP="00C34DC6">
            <w:pPr>
              <w:pStyle w:val="TableRowNormal"/>
              <w:ind w:left="0" w:firstLine="0"/>
              <w:rPr>
                <w:rFonts w:cstheme="minorHAnsi"/>
              </w:rPr>
            </w:pPr>
            <w:r w:rsidRPr="00C34DC6">
              <w:rPr>
                <w:rFonts w:cstheme="minorHAnsi"/>
              </w:rPr>
              <w:t>-696</w:t>
            </w:r>
          </w:p>
        </w:tc>
        <w:tc>
          <w:tcPr>
            <w:tcW w:w="432" w:type="pct"/>
            <w:tcBorders>
              <w:bottom w:val="single" w:sz="4" w:space="0" w:color="auto"/>
            </w:tcBorders>
            <w:vAlign w:val="bottom"/>
          </w:tcPr>
          <w:p w:rsidR="00C34DC6" w:rsidRPr="00C34DC6" w:rsidRDefault="00C34DC6" w:rsidP="00C34DC6">
            <w:pPr>
              <w:pStyle w:val="TableRowNormal"/>
              <w:ind w:left="0" w:firstLine="0"/>
              <w:rPr>
                <w:rFonts w:cstheme="minorHAnsi"/>
              </w:rPr>
            </w:pPr>
            <w:r w:rsidRPr="00C34DC6">
              <w:rPr>
                <w:rFonts w:cstheme="minorHAnsi"/>
              </w:rPr>
              <w:t>-4 393</w:t>
            </w:r>
          </w:p>
        </w:tc>
        <w:tc>
          <w:tcPr>
            <w:tcW w:w="432" w:type="pct"/>
            <w:tcBorders>
              <w:bottom w:val="single" w:sz="4" w:space="0" w:color="auto"/>
            </w:tcBorders>
            <w:vAlign w:val="bottom"/>
          </w:tcPr>
          <w:p w:rsidR="00C34DC6" w:rsidRPr="00C34DC6" w:rsidRDefault="00C34DC6" w:rsidP="00C34DC6">
            <w:pPr>
              <w:pStyle w:val="TableRowNormal"/>
              <w:ind w:left="0" w:firstLine="0"/>
              <w:rPr>
                <w:rFonts w:cstheme="minorHAnsi"/>
              </w:rPr>
            </w:pPr>
            <w:r w:rsidRPr="00C34DC6">
              <w:rPr>
                <w:rFonts w:cstheme="minorHAnsi"/>
              </w:rPr>
              <w:t>459</w:t>
            </w:r>
          </w:p>
        </w:tc>
        <w:tc>
          <w:tcPr>
            <w:tcW w:w="432" w:type="pct"/>
            <w:tcBorders>
              <w:bottom w:val="single" w:sz="4" w:space="0" w:color="auto"/>
            </w:tcBorders>
            <w:vAlign w:val="bottom"/>
          </w:tcPr>
          <w:p w:rsidR="00C34DC6" w:rsidRPr="00C34DC6" w:rsidRDefault="00C34DC6" w:rsidP="00C34DC6">
            <w:pPr>
              <w:pStyle w:val="TableRowNormal"/>
              <w:ind w:left="0" w:firstLine="0"/>
              <w:rPr>
                <w:rFonts w:cstheme="minorHAnsi"/>
              </w:rPr>
            </w:pPr>
            <w:r w:rsidRPr="00C34DC6">
              <w:rPr>
                <w:rFonts w:cstheme="minorHAnsi"/>
              </w:rPr>
              <w:t>166</w:t>
            </w:r>
          </w:p>
        </w:tc>
        <w:tc>
          <w:tcPr>
            <w:tcW w:w="432" w:type="pct"/>
            <w:tcBorders>
              <w:bottom w:val="single" w:sz="4" w:space="0" w:color="auto"/>
            </w:tcBorders>
            <w:vAlign w:val="bottom"/>
          </w:tcPr>
          <w:p w:rsidR="00C34DC6" w:rsidRPr="00C34DC6" w:rsidRDefault="00C34DC6" w:rsidP="00C34DC6">
            <w:pPr>
              <w:pStyle w:val="TableRowNormal"/>
              <w:ind w:left="0" w:firstLine="0"/>
              <w:rPr>
                <w:rFonts w:cstheme="minorHAnsi"/>
              </w:rPr>
            </w:pPr>
            <w:r w:rsidRPr="00C34DC6">
              <w:rPr>
                <w:rFonts w:cstheme="minorHAnsi"/>
              </w:rPr>
              <w:t>173</w:t>
            </w:r>
          </w:p>
        </w:tc>
        <w:tc>
          <w:tcPr>
            <w:tcW w:w="432" w:type="pct"/>
            <w:tcBorders>
              <w:bottom w:val="single" w:sz="4" w:space="0" w:color="auto"/>
            </w:tcBorders>
            <w:vAlign w:val="bottom"/>
          </w:tcPr>
          <w:p w:rsidR="00C34DC6" w:rsidRPr="00C34DC6" w:rsidRDefault="00C34DC6" w:rsidP="00C34DC6">
            <w:pPr>
              <w:pStyle w:val="TableRowNormal"/>
              <w:ind w:left="0" w:firstLine="0"/>
              <w:rPr>
                <w:rFonts w:cstheme="minorHAnsi"/>
              </w:rPr>
            </w:pPr>
            <w:r w:rsidRPr="00C34DC6">
              <w:rPr>
                <w:rFonts w:cstheme="minorHAnsi"/>
              </w:rPr>
              <w:t>-29</w:t>
            </w:r>
          </w:p>
        </w:tc>
        <w:tc>
          <w:tcPr>
            <w:tcW w:w="431" w:type="pct"/>
            <w:tcBorders>
              <w:bottom w:val="single" w:sz="4" w:space="0" w:color="auto"/>
            </w:tcBorders>
            <w:vAlign w:val="bottom"/>
          </w:tcPr>
          <w:p w:rsidR="00C34DC6" w:rsidRPr="00C34DC6" w:rsidRDefault="00C34DC6" w:rsidP="00C34DC6">
            <w:pPr>
              <w:pStyle w:val="TableRowNormal"/>
              <w:ind w:left="0" w:firstLine="0"/>
              <w:rPr>
                <w:rFonts w:cstheme="minorHAnsi"/>
              </w:rPr>
            </w:pPr>
            <w:r w:rsidRPr="00C34DC6">
              <w:rPr>
                <w:rFonts w:cstheme="minorHAnsi"/>
              </w:rPr>
              <w:t>5 118</w:t>
            </w:r>
          </w:p>
        </w:tc>
      </w:tr>
      <w:tr w:rsidR="00C34DC6" w:rsidRPr="00FE3F73" w:rsidTr="00C34DC6">
        <w:tc>
          <w:tcPr>
            <w:tcW w:w="1111" w:type="pct"/>
            <w:tcBorders>
              <w:bottom w:val="single" w:sz="4" w:space="0" w:color="auto"/>
            </w:tcBorders>
            <w:vAlign w:val="bottom"/>
          </w:tcPr>
          <w:p w:rsidR="00C34DC6" w:rsidRDefault="00C34DC6" w:rsidP="00C34DC6">
            <w:pPr>
              <w:pStyle w:val="CGCTableStub"/>
              <w:tabs>
                <w:tab w:val="left" w:pos="142"/>
                <w:tab w:val="left" w:pos="425"/>
                <w:tab w:val="left" w:pos="709"/>
                <w:tab w:val="left" w:pos="851"/>
              </w:tabs>
              <w:ind w:left="193" w:hanging="142"/>
              <w:rPr>
                <w:rFonts w:cstheme="minorHAnsi"/>
              </w:rPr>
            </w:pPr>
            <w:r>
              <w:rPr>
                <w:rFonts w:cstheme="minorHAnsi"/>
              </w:rPr>
              <w:t>Difference</w:t>
            </w:r>
          </w:p>
        </w:tc>
        <w:tc>
          <w:tcPr>
            <w:tcW w:w="433" w:type="pct"/>
            <w:tcBorders>
              <w:top w:val="single" w:sz="4" w:space="0" w:color="auto"/>
              <w:bottom w:val="single" w:sz="4" w:space="0" w:color="auto"/>
            </w:tcBorders>
            <w:vAlign w:val="bottom"/>
          </w:tcPr>
          <w:p w:rsidR="00C34DC6" w:rsidRPr="002A5DD2" w:rsidRDefault="00C34DC6" w:rsidP="00C34DC6">
            <w:pPr>
              <w:pStyle w:val="TableRowNormal"/>
              <w:ind w:left="0" w:firstLine="0"/>
              <w:rPr>
                <w:rFonts w:cstheme="minorHAnsi"/>
              </w:rPr>
            </w:pPr>
            <w:r w:rsidRPr="002A5DD2">
              <w:rPr>
                <w:rFonts w:cstheme="minorHAnsi"/>
              </w:rPr>
              <w:t>27</w:t>
            </w:r>
          </w:p>
        </w:tc>
        <w:tc>
          <w:tcPr>
            <w:tcW w:w="433" w:type="pct"/>
            <w:tcBorders>
              <w:top w:val="single" w:sz="4" w:space="0" w:color="auto"/>
              <w:bottom w:val="single" w:sz="4" w:space="0" w:color="auto"/>
            </w:tcBorders>
            <w:vAlign w:val="bottom"/>
          </w:tcPr>
          <w:p w:rsidR="00C34DC6" w:rsidRPr="002A5DD2" w:rsidRDefault="00C34DC6" w:rsidP="00C34DC6">
            <w:pPr>
              <w:pStyle w:val="TableRowNormal"/>
              <w:ind w:left="0" w:firstLine="0"/>
              <w:rPr>
                <w:rFonts w:cstheme="minorHAnsi"/>
              </w:rPr>
            </w:pPr>
            <w:r w:rsidRPr="002A5DD2">
              <w:rPr>
                <w:rFonts w:cstheme="minorHAnsi"/>
              </w:rPr>
              <w:t>8</w:t>
            </w:r>
          </w:p>
        </w:tc>
        <w:tc>
          <w:tcPr>
            <w:tcW w:w="432" w:type="pct"/>
            <w:tcBorders>
              <w:top w:val="single" w:sz="4" w:space="0" w:color="auto"/>
              <w:bottom w:val="single" w:sz="4" w:space="0" w:color="auto"/>
            </w:tcBorders>
            <w:vAlign w:val="bottom"/>
          </w:tcPr>
          <w:p w:rsidR="00C34DC6" w:rsidRPr="002A5DD2" w:rsidRDefault="00C34DC6" w:rsidP="00C34DC6">
            <w:pPr>
              <w:pStyle w:val="TableRowNormal"/>
              <w:ind w:left="0" w:firstLine="0"/>
              <w:rPr>
                <w:rFonts w:cstheme="minorHAnsi"/>
              </w:rPr>
            </w:pPr>
            <w:r w:rsidRPr="002A5DD2">
              <w:rPr>
                <w:rFonts w:cstheme="minorHAnsi"/>
              </w:rPr>
              <w:t>129</w:t>
            </w:r>
          </w:p>
        </w:tc>
        <w:tc>
          <w:tcPr>
            <w:tcW w:w="432" w:type="pct"/>
            <w:tcBorders>
              <w:top w:val="single" w:sz="4" w:space="0" w:color="auto"/>
              <w:bottom w:val="single" w:sz="4" w:space="0" w:color="auto"/>
            </w:tcBorders>
            <w:vAlign w:val="bottom"/>
          </w:tcPr>
          <w:p w:rsidR="00C34DC6" w:rsidRPr="002A5DD2" w:rsidRDefault="00C34DC6" w:rsidP="00C34DC6">
            <w:pPr>
              <w:pStyle w:val="TableRowNormal"/>
              <w:ind w:left="0" w:firstLine="0"/>
              <w:rPr>
                <w:rFonts w:cstheme="minorHAnsi"/>
              </w:rPr>
            </w:pPr>
            <w:r w:rsidRPr="002A5DD2">
              <w:rPr>
                <w:rFonts w:cstheme="minorHAnsi"/>
              </w:rPr>
              <w:t>-232</w:t>
            </w:r>
          </w:p>
        </w:tc>
        <w:tc>
          <w:tcPr>
            <w:tcW w:w="432" w:type="pct"/>
            <w:tcBorders>
              <w:top w:val="single" w:sz="4" w:space="0" w:color="auto"/>
              <w:bottom w:val="single" w:sz="4" w:space="0" w:color="auto"/>
            </w:tcBorders>
            <w:vAlign w:val="bottom"/>
          </w:tcPr>
          <w:p w:rsidR="00C34DC6" w:rsidRPr="002A5DD2" w:rsidRDefault="00C34DC6" w:rsidP="00C34DC6">
            <w:pPr>
              <w:pStyle w:val="TableRowNormal"/>
              <w:ind w:left="0" w:firstLine="0"/>
              <w:rPr>
                <w:rFonts w:cstheme="minorHAnsi"/>
              </w:rPr>
            </w:pPr>
            <w:r w:rsidRPr="002A5DD2">
              <w:rPr>
                <w:rFonts w:cstheme="minorHAnsi"/>
              </w:rPr>
              <w:t>33</w:t>
            </w:r>
          </w:p>
        </w:tc>
        <w:tc>
          <w:tcPr>
            <w:tcW w:w="432" w:type="pct"/>
            <w:tcBorders>
              <w:top w:val="single" w:sz="4" w:space="0" w:color="auto"/>
              <w:bottom w:val="single" w:sz="4" w:space="0" w:color="auto"/>
            </w:tcBorders>
            <w:vAlign w:val="bottom"/>
          </w:tcPr>
          <w:p w:rsidR="00C34DC6" w:rsidRPr="002A5DD2" w:rsidRDefault="00C34DC6" w:rsidP="00C34DC6">
            <w:pPr>
              <w:pStyle w:val="TableRowNormal"/>
              <w:ind w:left="0" w:firstLine="0"/>
              <w:rPr>
                <w:rFonts w:cstheme="minorHAnsi"/>
              </w:rPr>
            </w:pPr>
            <w:r w:rsidRPr="002A5DD2">
              <w:rPr>
                <w:rFonts w:cstheme="minorHAnsi"/>
              </w:rPr>
              <w:t>6</w:t>
            </w:r>
          </w:p>
        </w:tc>
        <w:tc>
          <w:tcPr>
            <w:tcW w:w="432" w:type="pct"/>
            <w:tcBorders>
              <w:top w:val="single" w:sz="4" w:space="0" w:color="auto"/>
              <w:bottom w:val="single" w:sz="4" w:space="0" w:color="auto"/>
            </w:tcBorders>
            <w:vAlign w:val="bottom"/>
          </w:tcPr>
          <w:p w:rsidR="00C34DC6" w:rsidRPr="002A5DD2" w:rsidRDefault="00C34DC6" w:rsidP="00C34DC6">
            <w:pPr>
              <w:pStyle w:val="TableRowNormal"/>
              <w:ind w:left="0" w:firstLine="0"/>
              <w:rPr>
                <w:rFonts w:cstheme="minorHAnsi"/>
              </w:rPr>
            </w:pPr>
            <w:r w:rsidRPr="002A5DD2">
              <w:rPr>
                <w:rFonts w:cstheme="minorHAnsi"/>
              </w:rPr>
              <w:t>0</w:t>
            </w:r>
          </w:p>
        </w:tc>
        <w:tc>
          <w:tcPr>
            <w:tcW w:w="432" w:type="pct"/>
            <w:tcBorders>
              <w:top w:val="single" w:sz="4" w:space="0" w:color="auto"/>
              <w:bottom w:val="single" w:sz="4" w:space="0" w:color="auto"/>
            </w:tcBorders>
            <w:vAlign w:val="bottom"/>
          </w:tcPr>
          <w:p w:rsidR="00C34DC6" w:rsidRPr="002A5DD2" w:rsidRDefault="00C34DC6" w:rsidP="00C34DC6">
            <w:pPr>
              <w:pStyle w:val="TableRowNormal"/>
              <w:ind w:left="0" w:firstLine="0"/>
              <w:rPr>
                <w:rFonts w:cstheme="minorHAnsi"/>
              </w:rPr>
            </w:pPr>
            <w:r w:rsidRPr="002A5DD2">
              <w:rPr>
                <w:rFonts w:cstheme="minorHAnsi"/>
              </w:rPr>
              <w:t>29</w:t>
            </w:r>
          </w:p>
        </w:tc>
        <w:tc>
          <w:tcPr>
            <w:tcW w:w="431" w:type="pct"/>
            <w:tcBorders>
              <w:top w:val="single" w:sz="4" w:space="0" w:color="auto"/>
              <w:bottom w:val="single" w:sz="4" w:space="0" w:color="auto"/>
            </w:tcBorders>
            <w:vAlign w:val="bottom"/>
          </w:tcPr>
          <w:p w:rsidR="00C34DC6" w:rsidRPr="002A5DD2" w:rsidRDefault="00C34DC6" w:rsidP="00C34DC6">
            <w:pPr>
              <w:pStyle w:val="TableRowNormal"/>
              <w:ind w:left="0" w:firstLine="0"/>
              <w:rPr>
                <w:rFonts w:cstheme="minorHAnsi"/>
              </w:rPr>
            </w:pPr>
            <w:r w:rsidRPr="002A5DD2">
              <w:rPr>
                <w:rFonts w:cstheme="minorHAnsi"/>
              </w:rPr>
              <w:t>232</w:t>
            </w:r>
          </w:p>
        </w:tc>
      </w:tr>
    </w:tbl>
    <w:p w:rsidR="00C34DC6" w:rsidRDefault="00C34DC6" w:rsidP="00C34DC6">
      <w:pPr>
        <w:pStyle w:val="CGCTableFootnote"/>
      </w:pPr>
      <w:r>
        <w:t>(a)</w:t>
      </w:r>
      <w:r>
        <w:tab/>
        <w:t>This analysis excludes the effect of Grants in lieu of royalties.</w:t>
      </w:r>
    </w:p>
    <w:p w:rsidR="00E475AF" w:rsidRDefault="00E475AF" w:rsidP="00E475AF">
      <w:pPr>
        <w:pStyle w:val="CGCTableFootnote"/>
      </w:pPr>
      <w:r>
        <w:t>Source:</w:t>
      </w:r>
      <w:r>
        <w:tab/>
        <w:t>Commission simulation using State provided data.</w:t>
      </w:r>
    </w:p>
    <w:p w:rsidR="00E475AF" w:rsidRDefault="00E475AF" w:rsidP="00BE794D">
      <w:pPr>
        <w:pStyle w:val="CGCNumberedPara"/>
      </w:pPr>
      <w:r w:rsidRPr="00A51C6D">
        <w:rPr>
          <w:bCs/>
        </w:rPr>
        <w:t>The Commission was criticised for implementing a two group approach in the 2010 Review, particularly because of the GST effects that arose from minerals switching between groups</w:t>
      </w:r>
      <w:r>
        <w:rPr>
          <w:bCs/>
        </w:rPr>
        <w:t>.</w:t>
      </w:r>
      <w:r>
        <w:rPr>
          <w:rStyle w:val="FootnoteReference"/>
        </w:rPr>
        <w:footnoteReference w:id="8"/>
      </w:r>
      <w:r>
        <w:rPr>
          <w:bCs/>
        </w:rPr>
        <w:t xml:space="preserve"> A way of avoiding these adverse effects would be to freeze</w:t>
      </w:r>
      <w:r w:rsidRPr="00A51C6D">
        <w:rPr>
          <w:bCs/>
        </w:rPr>
        <w:t xml:space="preserve"> the </w:t>
      </w:r>
      <w:r>
        <w:rPr>
          <w:bCs/>
        </w:rPr>
        <w:t xml:space="preserve">composition of the mineral </w:t>
      </w:r>
      <w:r w:rsidRPr="00A51C6D">
        <w:rPr>
          <w:bCs/>
        </w:rPr>
        <w:t>groups for the duration of the review</w:t>
      </w:r>
      <w:r>
        <w:rPr>
          <w:bCs/>
        </w:rPr>
        <w:t>.</w:t>
      </w:r>
    </w:p>
    <w:p w:rsidR="00E475AF" w:rsidRDefault="00E475AF" w:rsidP="00E475AF">
      <w:pPr>
        <w:pStyle w:val="Heading4"/>
      </w:pPr>
      <w:bookmarkStart w:id="48" w:name="_Toc529869536"/>
      <w:r>
        <w:lastRenderedPageBreak/>
        <w:t>The proposed policy neutrality adjustments</w:t>
      </w:r>
      <w:bookmarkEnd w:id="48"/>
    </w:p>
    <w:p w:rsidR="00E475AF" w:rsidRDefault="00E475AF" w:rsidP="00E475AF">
      <w:pPr>
        <w:pStyle w:val="CGCNumberedPara"/>
        <w:tabs>
          <w:tab w:val="clear" w:pos="567"/>
        </w:tabs>
      </w:pPr>
      <w:r>
        <w:t xml:space="preserve">In the DAP, Commission staff proposed introducing two adjustments to improve the policy neutrality of the mining assessment. The dominant State adjustment proposed treating 50% of any revenue from a discretionary rate change by a dominant State </w:t>
      </w:r>
      <w:proofErr w:type="spellStart"/>
      <w:r>
        <w:t>EPC</w:t>
      </w:r>
      <w:proofErr w:type="spellEnd"/>
      <w:r>
        <w:t>. The banned mineral adjustment proposed treat</w:t>
      </w:r>
      <w:r w:rsidR="005E04DC">
        <w:t>ing</w:t>
      </w:r>
      <w:r>
        <w:t xml:space="preserve"> all revenue from a banned mineral </w:t>
      </w:r>
      <w:proofErr w:type="spellStart"/>
      <w:r>
        <w:t>EPC</w:t>
      </w:r>
      <w:proofErr w:type="spellEnd"/>
      <w:r>
        <w:t>.</w:t>
      </w:r>
    </w:p>
    <w:p w:rsidR="008B36C2" w:rsidRDefault="008B36C2" w:rsidP="00E475AF">
      <w:pPr>
        <w:pStyle w:val="CGCNumberedPara"/>
        <w:tabs>
          <w:tab w:val="clear" w:pos="567"/>
        </w:tabs>
      </w:pPr>
      <w:r>
        <w:t>There is a question whether either adjustment is required under greater aggregation.</w:t>
      </w:r>
    </w:p>
    <w:p w:rsidR="00E475AF" w:rsidRDefault="00E475AF" w:rsidP="00E475AF">
      <w:pPr>
        <w:pStyle w:val="CGCNumberedPara"/>
        <w:tabs>
          <w:tab w:val="clear" w:pos="567"/>
        </w:tabs>
      </w:pPr>
      <w:r>
        <w:t xml:space="preserve">The PC concluded that aggregation addressed the dominant State problem. If so, </w:t>
      </w:r>
      <w:r w:rsidR="005C7087">
        <w:t>a</w:t>
      </w:r>
      <w:r>
        <w:t xml:space="preserve"> dominant State adjustment may not be required</w:t>
      </w:r>
      <w:r w:rsidR="005E04DC">
        <w:t xml:space="preserve"> under either the full aggregation or the two group option</w:t>
      </w:r>
      <w:r>
        <w:t>.</w:t>
      </w:r>
    </w:p>
    <w:p w:rsidR="005C7087" w:rsidRDefault="00E475AF" w:rsidP="00E475AF">
      <w:pPr>
        <w:pStyle w:val="CGCNumberedPara"/>
        <w:tabs>
          <w:tab w:val="clear" w:pos="567"/>
        </w:tabs>
      </w:pPr>
      <w:r>
        <w:t xml:space="preserve">The PC noted the banned mineral adjustment, but made no comment. </w:t>
      </w:r>
      <w:r w:rsidR="00F03139">
        <w:t xml:space="preserve">While States generally supported an </w:t>
      </w:r>
      <w:proofErr w:type="spellStart"/>
      <w:r w:rsidR="00F03139">
        <w:t>EPC</w:t>
      </w:r>
      <w:proofErr w:type="spellEnd"/>
      <w:r w:rsidR="00F03139">
        <w:t xml:space="preserve"> assessment, there were some concerns. Victoria and Western Australia questioned whether bans have a material effect</w:t>
      </w:r>
      <w:r w:rsidR="000F2950">
        <w:t xml:space="preserve"> in every State</w:t>
      </w:r>
      <w:r w:rsidR="00F03139">
        <w:t xml:space="preserve">. Victoria said </w:t>
      </w:r>
      <w:r w:rsidR="000F2950">
        <w:t xml:space="preserve">it had </w:t>
      </w:r>
      <w:r w:rsidR="00F03139">
        <w:t xml:space="preserve">no </w:t>
      </w:r>
      <w:r w:rsidR="000F2950">
        <w:t>proved or probable onshore conventional or unconventional gas reserves</w:t>
      </w:r>
      <w:r w:rsidR="008B3231">
        <w:t>.</w:t>
      </w:r>
      <w:r w:rsidR="000F2950">
        <w:t xml:space="preserve"> Western Australia said its ban on hydraulic fracturing was largely irrelevant because of the high cost of developing shale gas resources. An </w:t>
      </w:r>
      <w:proofErr w:type="spellStart"/>
      <w:r w:rsidR="000F2950">
        <w:t>EPC</w:t>
      </w:r>
      <w:proofErr w:type="spellEnd"/>
      <w:r w:rsidR="000F2950">
        <w:t xml:space="preserve"> assessment for all States would benefit those that had viable resources</w:t>
      </w:r>
      <w:r w:rsidR="0059597E">
        <w:t xml:space="preserve">. </w:t>
      </w:r>
      <w:r w:rsidR="005C7087">
        <w:t xml:space="preserve">Western Australia raised an additional concern </w:t>
      </w:r>
      <w:r w:rsidR="000F2950">
        <w:t>(</w:t>
      </w:r>
      <w:r w:rsidR="005C7087">
        <w:t>intertemporal equity</w:t>
      </w:r>
      <w:r w:rsidR="000F2950">
        <w:t>) — whether it would be fair to assess</w:t>
      </w:r>
      <w:r w:rsidR="005C7087">
        <w:t xml:space="preserve"> </w:t>
      </w:r>
      <w:r w:rsidR="00C31093">
        <w:t>coal seam gas (</w:t>
      </w:r>
      <w:r w:rsidR="005C7087">
        <w:t>CSG</w:t>
      </w:r>
      <w:r w:rsidR="00C31093">
        <w:t>)</w:t>
      </w:r>
      <w:r w:rsidR="005C7087">
        <w:t xml:space="preserve"> </w:t>
      </w:r>
      <w:r w:rsidR="000F2950">
        <w:t>royalties</w:t>
      </w:r>
      <w:r w:rsidR="005C7087">
        <w:t xml:space="preserve"> </w:t>
      </w:r>
      <w:proofErr w:type="spellStart"/>
      <w:r w:rsidR="005C7087">
        <w:t>EPC</w:t>
      </w:r>
      <w:proofErr w:type="spellEnd"/>
      <w:r w:rsidR="005C7087">
        <w:t xml:space="preserve"> wh</w:t>
      </w:r>
      <w:r w:rsidR="000F2950">
        <w:t>en</w:t>
      </w:r>
      <w:r w:rsidR="005C7087">
        <w:t xml:space="preserve"> Queensland was extracting it, but </w:t>
      </w:r>
      <w:r w:rsidR="000F2950">
        <w:t xml:space="preserve">to impose </w:t>
      </w:r>
      <w:r w:rsidR="005C7087">
        <w:t>a differential assessment when all States start</w:t>
      </w:r>
      <w:r w:rsidR="000F2950">
        <w:t>ed</w:t>
      </w:r>
      <w:r w:rsidR="005C7087">
        <w:t xml:space="preserve"> </w:t>
      </w:r>
      <w:r w:rsidR="000F2950">
        <w:t xml:space="preserve">to </w:t>
      </w:r>
      <w:r w:rsidR="005C7087">
        <w:t>extract it.</w:t>
      </w:r>
    </w:p>
    <w:p w:rsidR="00A97D54" w:rsidRDefault="005C7087" w:rsidP="00E475AF">
      <w:pPr>
        <w:pStyle w:val="CGCNumberedPara"/>
        <w:tabs>
          <w:tab w:val="clear" w:pos="567"/>
        </w:tabs>
      </w:pPr>
      <w:r>
        <w:t>If</w:t>
      </w:r>
      <w:r w:rsidR="008B3231">
        <w:t>,</w:t>
      </w:r>
      <w:r>
        <w:t xml:space="preserve"> </w:t>
      </w:r>
      <w:r w:rsidR="008B3231">
        <w:t xml:space="preserve">under greater aggregation, </w:t>
      </w:r>
      <w:r w:rsidR="008B30B2">
        <w:t xml:space="preserve">banned minerals were not assessed </w:t>
      </w:r>
      <w:proofErr w:type="spellStart"/>
      <w:r w:rsidR="008B30B2">
        <w:t>EPC</w:t>
      </w:r>
      <w:proofErr w:type="spellEnd"/>
      <w:r w:rsidR="008B3231">
        <w:t xml:space="preserve"> then</w:t>
      </w:r>
      <w:r>
        <w:t xml:space="preserve"> potential </w:t>
      </w:r>
      <w:r w:rsidR="00A97D54">
        <w:t>options would be to:</w:t>
      </w:r>
    </w:p>
    <w:p w:rsidR="00A97D54" w:rsidRDefault="008B3231" w:rsidP="00A97D54">
      <w:pPr>
        <w:pStyle w:val="CGCBulletlist"/>
      </w:pPr>
      <w:r>
        <w:t>leave the banned minerals where they are currently assessed</w:t>
      </w:r>
      <w:r>
        <w:rPr>
          <w:rStyle w:val="FootnoteReference"/>
        </w:rPr>
        <w:footnoteReference w:id="9"/>
      </w:r>
    </w:p>
    <w:p w:rsidR="00A97D54" w:rsidRDefault="008B30B2" w:rsidP="00A97D54">
      <w:pPr>
        <w:pStyle w:val="CGCBulletlist"/>
      </w:pPr>
      <w:r>
        <w:t>assess all</w:t>
      </w:r>
      <w:r w:rsidR="0059597E">
        <w:t xml:space="preserve"> banned minerals in the Other mineral</w:t>
      </w:r>
      <w:r w:rsidR="00A97D54">
        <w:t>s</w:t>
      </w:r>
      <w:r w:rsidR="0059597E">
        <w:t xml:space="preserve"> group</w:t>
      </w:r>
    </w:p>
    <w:p w:rsidR="0059597E" w:rsidRDefault="005C7087" w:rsidP="00A97D54">
      <w:pPr>
        <w:pStyle w:val="CGCBulletlist"/>
      </w:pPr>
      <w:proofErr w:type="gramStart"/>
      <w:r>
        <w:t>assess</w:t>
      </w:r>
      <w:proofErr w:type="gramEnd"/>
      <w:r w:rsidR="00A97D54">
        <w:t xml:space="preserve"> a portion of the revenue from banned minerals</w:t>
      </w:r>
      <w:r>
        <w:t xml:space="preserve"> EPC</w:t>
      </w:r>
      <w:r w:rsidR="0059597E">
        <w:t>.</w:t>
      </w:r>
    </w:p>
    <w:p w:rsidR="00E475AF" w:rsidRDefault="00E475AF" w:rsidP="00E475AF">
      <w:pPr>
        <w:pStyle w:val="Heading3"/>
      </w:pPr>
      <w:bookmarkStart w:id="49" w:name="_Toc529869537"/>
      <w:r>
        <w:t>Conclusions</w:t>
      </w:r>
      <w:bookmarkEnd w:id="49"/>
    </w:p>
    <w:p w:rsidR="00E475AF" w:rsidRPr="00C20B6B" w:rsidRDefault="00E475AF" w:rsidP="00E475AF">
      <w:pPr>
        <w:pStyle w:val="CGCNumberedPara"/>
        <w:tabs>
          <w:tab w:val="clear" w:pos="567"/>
        </w:tabs>
      </w:pPr>
      <w:r>
        <w:t xml:space="preserve">Mining revenue is an area where policy neutrality concerns can arise when a State has a dominant share of the production of a mineral. In these circumstances, its policy can become the average policy for that mineral. These concerns led the PC to criticise the proposed mineral by mineral assessment </w:t>
      </w:r>
      <w:r>
        <w:rPr>
          <w:bCs/>
        </w:rPr>
        <w:t xml:space="preserve">as not being policy neutral. The </w:t>
      </w:r>
      <w:r>
        <w:rPr>
          <w:bCs/>
        </w:rPr>
        <w:lastRenderedPageBreak/>
        <w:t>PC also criticised the assessment for creating adverse incentive effects. In the light of these criticisms, Commission staff are considering options for improving the policy neutrality of the mining assessment.</w:t>
      </w:r>
    </w:p>
    <w:p w:rsidR="00E475AF" w:rsidRDefault="00E475AF" w:rsidP="00E475AF">
      <w:pPr>
        <w:pStyle w:val="CGCNumberedPara"/>
        <w:tabs>
          <w:tab w:val="clear" w:pos="567"/>
        </w:tabs>
      </w:pPr>
      <w:r>
        <w:rPr>
          <w:bCs/>
        </w:rPr>
        <w:t xml:space="preserve">The PC concluded aggregation would improve the assessment’s </w:t>
      </w:r>
      <w:r>
        <w:t>policy neutrality and it suggested two policy neutral capacity measures: aggregate mining profits and aggregate value of production</w:t>
      </w:r>
      <w:r>
        <w:rPr>
          <w:bCs/>
        </w:rPr>
        <w:t>.</w:t>
      </w:r>
    </w:p>
    <w:p w:rsidR="00E475AF" w:rsidRPr="00970E6D" w:rsidRDefault="00E475AF" w:rsidP="00E475AF">
      <w:pPr>
        <w:pStyle w:val="CGCNumberedPara"/>
        <w:tabs>
          <w:tab w:val="clear" w:pos="567"/>
        </w:tabs>
      </w:pPr>
      <w:r>
        <w:t xml:space="preserve">If a profits approach could be made to work, it might solve the policy neutrality problems. However, there are practical difficulties with developing a profits approach, not least obtaining profits data on a State basis. </w:t>
      </w:r>
      <w:r w:rsidR="00EE2AF7">
        <w:t xml:space="preserve">The greater volatility of a profits approach would </w:t>
      </w:r>
      <w:r w:rsidR="005F34A6">
        <w:t>be inconsistent with the Government’s desire to move to a more stable distribution system</w:t>
      </w:r>
      <w:r w:rsidR="00EE2AF7">
        <w:t xml:space="preserve">. </w:t>
      </w:r>
      <w:r>
        <w:t>I</w:t>
      </w:r>
      <w:r w:rsidR="005F34A6">
        <w:t>n addition, i</w:t>
      </w:r>
      <w:r>
        <w:t>t is unlikely a profits approach could be developed in time for the 2020 Review.</w:t>
      </w:r>
    </w:p>
    <w:p w:rsidR="00E475AF" w:rsidRDefault="00E475AF" w:rsidP="00E475AF">
      <w:pPr>
        <w:pStyle w:val="CGCNumberedPara"/>
        <w:tabs>
          <w:tab w:val="clear" w:pos="567"/>
        </w:tabs>
      </w:pPr>
      <w:r>
        <w:t>Full aggregation would address one aspect of policy neutrality (the dominant State problem), but it would raise its own policy neutrality issue. It would create adverse incentives that would vary across States according to the composition of their minerals. Aggregation into two groups would re</w:t>
      </w:r>
      <w:r w:rsidR="005E04DC">
        <w:t>duc</w:t>
      </w:r>
      <w:r>
        <w:t>e these adverse effects.</w:t>
      </w:r>
    </w:p>
    <w:p w:rsidR="0087230F" w:rsidRDefault="0087230F" w:rsidP="0087230F">
      <w:pPr>
        <w:pStyle w:val="CGCNumberedPara"/>
        <w:tabs>
          <w:tab w:val="clear" w:pos="567"/>
        </w:tabs>
      </w:pPr>
      <w:r>
        <w:t>There is a question whether either of the policy neutrality adjustments proposed in the DAP would be required under greater aggregation.</w:t>
      </w:r>
    </w:p>
    <w:p w:rsidR="0087230F" w:rsidRDefault="00E475AF" w:rsidP="00E475AF">
      <w:pPr>
        <w:pStyle w:val="CGCNumberedPara"/>
        <w:tabs>
          <w:tab w:val="clear" w:pos="567"/>
        </w:tabs>
      </w:pPr>
      <w:r>
        <w:t>Commission staff are seeking State views on whether the Commission should improve the policy neutrality of the mining assessment and</w:t>
      </w:r>
      <w:r w:rsidR="0087230F">
        <w:t>, if so, how it should do that.</w:t>
      </w:r>
    </w:p>
    <w:p w:rsidR="00E475AF" w:rsidRPr="00970E6D" w:rsidRDefault="00E475AF" w:rsidP="00E475AF">
      <w:pPr>
        <w:pStyle w:val="CGCNumberedPara"/>
        <w:tabs>
          <w:tab w:val="clear" w:pos="567"/>
        </w:tabs>
      </w:pPr>
      <w:r>
        <w:t xml:space="preserve">State views are sought by </w:t>
      </w:r>
      <w:r w:rsidR="00B97D96">
        <w:t xml:space="preserve">25 January </w:t>
      </w:r>
      <w:r w:rsidR="00510D7B">
        <w:t>2019</w:t>
      </w:r>
      <w:r>
        <w:t>.</w:t>
      </w:r>
    </w:p>
    <w:p w:rsidR="00BE794D" w:rsidRPr="00970E6D" w:rsidRDefault="00BE794D" w:rsidP="00BE794D">
      <w:pPr>
        <w:pStyle w:val="Heading3"/>
      </w:pPr>
      <w:bookmarkStart w:id="50" w:name="_Toc529869538"/>
      <w:r w:rsidRPr="00970E6D">
        <w:t>Seeking State views</w:t>
      </w:r>
      <w:bookmarkEnd w:id="50"/>
    </w:p>
    <w:tbl>
      <w:tblPr>
        <w:tblW w:w="0" w:type="auto"/>
        <w:tblInd w:w="108" w:type="dxa"/>
        <w:shd w:val="clear" w:color="auto" w:fill="D9F3E6"/>
        <w:tblLook w:val="04A0" w:firstRow="1" w:lastRow="0" w:firstColumn="1" w:lastColumn="0" w:noHBand="0" w:noVBand="1"/>
      </w:tblPr>
      <w:tblGrid>
        <w:gridCol w:w="8850"/>
      </w:tblGrid>
      <w:tr w:rsidR="00BE794D" w:rsidRPr="00970E6D" w:rsidTr="00BE794D">
        <w:tc>
          <w:tcPr>
            <w:tcW w:w="8931" w:type="dxa"/>
            <w:shd w:val="clear" w:color="auto" w:fill="D9F3E6"/>
          </w:tcPr>
          <w:p w:rsidR="00BE794D" w:rsidRPr="00970E6D" w:rsidRDefault="00BE794D" w:rsidP="001010FD">
            <w:pPr>
              <w:tabs>
                <w:tab w:val="clear" w:pos="567"/>
              </w:tabs>
            </w:pPr>
            <w:r w:rsidRPr="00970E6D">
              <w:t>State views are sought on:</w:t>
            </w:r>
          </w:p>
          <w:p w:rsidR="00BE794D" w:rsidRDefault="00E475AF" w:rsidP="00BE794D">
            <w:pPr>
              <w:pStyle w:val="CGCBulletlist"/>
            </w:pPr>
            <w:r>
              <w:t>whether the proposed mining assessment for the 2020 Review should be changed to improve policy neutrality</w:t>
            </w:r>
          </w:p>
          <w:p w:rsidR="00E475AF" w:rsidRPr="00970E6D" w:rsidRDefault="00E475AF" w:rsidP="00BE794D">
            <w:pPr>
              <w:pStyle w:val="CGCBulletlist"/>
            </w:pPr>
            <w:r>
              <w:t>if so, how mining capacity should be assessed in the 2020 Review</w:t>
            </w:r>
          </w:p>
          <w:p w:rsidR="00BE794D" w:rsidRPr="00970E6D" w:rsidRDefault="008E5B5A" w:rsidP="008E5B5A">
            <w:pPr>
              <w:pStyle w:val="CGCBulletlist"/>
            </w:pPr>
            <w:r>
              <w:t xml:space="preserve">if mining is assessed using either the full aggregation or the two group option, </w:t>
            </w:r>
            <w:r w:rsidR="00E475AF">
              <w:t xml:space="preserve">whether either of the policy neutrality adjustments proposed in the DAP </w:t>
            </w:r>
            <w:r>
              <w:t>are</w:t>
            </w:r>
            <w:r w:rsidR="00611A4F">
              <w:t xml:space="preserve"> required</w:t>
            </w:r>
            <w:r w:rsidR="00E475AF">
              <w:t>?</w:t>
            </w:r>
          </w:p>
        </w:tc>
      </w:tr>
    </w:tbl>
    <w:p w:rsidR="00BE794D" w:rsidRPr="00970E6D" w:rsidRDefault="00BE794D" w:rsidP="00BE794D">
      <w:pPr>
        <w:pStyle w:val="CGCNumeralList"/>
        <w:numPr>
          <w:ilvl w:val="0"/>
          <w:numId w:val="0"/>
        </w:numPr>
      </w:pPr>
    </w:p>
    <w:p w:rsidR="00FE43C4" w:rsidRDefault="00FE43C4" w:rsidP="000F6176">
      <w:pPr>
        <w:pStyle w:val="CGCNumberedPara"/>
        <w:numPr>
          <w:ilvl w:val="0"/>
          <w:numId w:val="0"/>
        </w:numPr>
      </w:pPr>
    </w:p>
    <w:sectPr w:rsidR="00FE43C4" w:rsidSect="00E475AF">
      <w:footerReference w:type="default" r:id="rId19"/>
      <w:footerReference w:type="first" r:id="rId20"/>
      <w:pgSz w:w="11906" w:h="16838" w:code="9"/>
      <w:pgMar w:top="1701" w:right="1474" w:bottom="1701" w:left="147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3139" w:rsidRDefault="00F03139" w:rsidP="00410163">
      <w:pPr>
        <w:spacing w:after="0" w:line="240" w:lineRule="auto"/>
      </w:pPr>
      <w:r>
        <w:separator/>
      </w:r>
    </w:p>
  </w:endnote>
  <w:endnote w:type="continuationSeparator" w:id="0">
    <w:p w:rsidR="00F03139" w:rsidRDefault="00F03139" w:rsidP="004101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3139" w:rsidRPr="00875C0F" w:rsidRDefault="00F03139" w:rsidP="001010FD">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3139" w:rsidRPr="00875C0F" w:rsidRDefault="00F03139" w:rsidP="001010FD">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7996344"/>
      <w:docPartObj>
        <w:docPartGallery w:val="Page Numbers (Bottom of Page)"/>
        <w:docPartUnique/>
      </w:docPartObj>
    </w:sdtPr>
    <w:sdtEndPr/>
    <w:sdtContent>
      <w:p w:rsidR="00F03139" w:rsidRPr="00875C0F" w:rsidRDefault="00A7301A" w:rsidP="001010FD">
        <w:pPr>
          <w:pStyle w:val="Footer"/>
          <w:jc w:val="right"/>
        </w:pPr>
      </w:p>
    </w:sdtContent>
  </w:sdt>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7996348"/>
      <w:docPartObj>
        <w:docPartGallery w:val="Page Numbers (Bottom of Page)"/>
        <w:docPartUnique/>
      </w:docPartObj>
    </w:sdtPr>
    <w:sdtEndPr/>
    <w:sdtContent>
      <w:p w:rsidR="00F03139" w:rsidRPr="00875C0F" w:rsidRDefault="00A7301A" w:rsidP="001010FD">
        <w:pPr>
          <w:pStyle w:val="Footer"/>
          <w:jc w:val="right"/>
        </w:pPr>
      </w:p>
    </w:sdtContent>
  </w:sdt>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3139" w:rsidRPr="00410163" w:rsidRDefault="00F03139" w:rsidP="00410163">
    <w:pPr>
      <w:pStyle w:val="Footer"/>
      <w:tabs>
        <w:tab w:val="clear" w:pos="4513"/>
        <w:tab w:val="right" w:pos="8931"/>
      </w:tabs>
      <w:rPr>
        <w:rFonts w:cstheme="minorHAnsi"/>
      </w:rPr>
    </w:pPr>
    <w:r w:rsidRPr="00410163">
      <w:rPr>
        <w:rFonts w:cstheme="minorHAnsi"/>
      </w:rPr>
      <w:ptab w:relativeTo="margin" w:alignment="center" w:leader="none"/>
    </w:r>
    <w:r w:rsidRPr="00410163">
      <w:rPr>
        <w:rFonts w:cstheme="minorHAnsi"/>
      </w:rPr>
      <w:ptab w:relativeTo="margin" w:alignment="right" w:leader="none"/>
    </w:r>
    <w:r>
      <w:rPr>
        <w:rFonts w:cstheme="minorHAnsi"/>
      </w:rPr>
      <w:fldChar w:fldCharType="begin"/>
    </w:r>
    <w:r>
      <w:rPr>
        <w:rFonts w:cstheme="minorHAnsi"/>
      </w:rPr>
      <w:instrText xml:space="preserve"> PAGE \* MERGEFORMAT </w:instrText>
    </w:r>
    <w:r>
      <w:rPr>
        <w:rFonts w:cstheme="minorHAnsi"/>
      </w:rPr>
      <w:fldChar w:fldCharType="separate"/>
    </w:r>
    <w:r w:rsidR="00A7301A">
      <w:rPr>
        <w:rFonts w:cstheme="minorHAnsi"/>
        <w:noProof/>
      </w:rPr>
      <w:t>9</w:t>
    </w:r>
    <w:r>
      <w:rPr>
        <w:rFonts w:cstheme="minorHAnsi"/>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3139" w:rsidRDefault="00F03139" w:rsidP="00410163">
    <w:pPr>
      <w:pStyle w:val="Footer"/>
      <w:tabs>
        <w:tab w:val="clear" w:pos="4513"/>
      </w:tabs>
    </w:pPr>
    <w:r>
      <w:tab/>
    </w:r>
    <w:r>
      <w:fldChar w:fldCharType="begin"/>
    </w:r>
    <w:r>
      <w:instrText xml:space="preserve"> PAGE \* MERGEFORMAT </w:instrText>
    </w:r>
    <w:r>
      <w:fldChar w:fldCharType="separate"/>
    </w:r>
    <w:r w:rsidR="00A7301A">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3139" w:rsidRDefault="00F03139" w:rsidP="00410163">
      <w:pPr>
        <w:spacing w:after="0" w:line="240" w:lineRule="auto"/>
      </w:pPr>
      <w:r>
        <w:separator/>
      </w:r>
    </w:p>
  </w:footnote>
  <w:footnote w:type="continuationSeparator" w:id="0">
    <w:p w:rsidR="00F03139" w:rsidRDefault="00F03139" w:rsidP="00410163">
      <w:pPr>
        <w:spacing w:after="0" w:line="240" w:lineRule="auto"/>
      </w:pPr>
      <w:r>
        <w:continuationSeparator/>
      </w:r>
    </w:p>
  </w:footnote>
  <w:footnote w:id="1">
    <w:p w:rsidR="00F03139" w:rsidRDefault="00F03139" w:rsidP="00AA7224">
      <w:pPr>
        <w:pStyle w:val="FootnoteText"/>
        <w:ind w:left="567" w:hanging="567"/>
      </w:pPr>
      <w:r>
        <w:rPr>
          <w:rStyle w:val="FootnoteReference"/>
        </w:rPr>
        <w:footnoteRef/>
      </w:r>
      <w:r>
        <w:t xml:space="preserve"> </w:t>
      </w:r>
      <w:r>
        <w:tab/>
        <w:t xml:space="preserve">The two policy neutrality adjustments were first referred to by the Commission in Commission Position Paper CGC2017-21 </w:t>
      </w:r>
      <w:proofErr w:type="gramStart"/>
      <w:r w:rsidRPr="00EB7BFE">
        <w:rPr>
          <w:i/>
        </w:rPr>
        <w:t>The</w:t>
      </w:r>
      <w:proofErr w:type="gramEnd"/>
      <w:r w:rsidRPr="00EB7BFE">
        <w:rPr>
          <w:i/>
        </w:rPr>
        <w:t xml:space="preserve"> Principle of HFE and its Implementation</w:t>
      </w:r>
      <w:r>
        <w:t>.</w:t>
      </w:r>
    </w:p>
  </w:footnote>
  <w:footnote w:id="2">
    <w:p w:rsidR="00F03139" w:rsidRDefault="00F03139" w:rsidP="00AA7224">
      <w:pPr>
        <w:pStyle w:val="FootnoteText"/>
        <w:ind w:left="567" w:hanging="567"/>
      </w:pPr>
      <w:r>
        <w:rPr>
          <w:rStyle w:val="FootnoteReference"/>
        </w:rPr>
        <w:footnoteRef/>
      </w:r>
      <w:r>
        <w:t xml:space="preserve"> </w:t>
      </w:r>
      <w:r>
        <w:tab/>
        <w:t xml:space="preserve">Productivity Commission, 2018, </w:t>
      </w:r>
      <w:r w:rsidRPr="00E35BB8">
        <w:rPr>
          <w:i/>
        </w:rPr>
        <w:t>Horizontal Fiscal Equalisation</w:t>
      </w:r>
      <w:r>
        <w:t>, Report no. 88, Canberra.</w:t>
      </w:r>
    </w:p>
  </w:footnote>
  <w:footnote w:id="3">
    <w:p w:rsidR="00F03139" w:rsidRDefault="00F03139" w:rsidP="001010FD">
      <w:pPr>
        <w:pStyle w:val="FootnoteText"/>
        <w:ind w:left="567" w:hanging="567"/>
      </w:pPr>
      <w:r>
        <w:rPr>
          <w:rStyle w:val="FootnoteReference"/>
        </w:rPr>
        <w:footnoteRef/>
      </w:r>
      <w:r>
        <w:t xml:space="preserve"> </w:t>
      </w:r>
      <w:r>
        <w:tab/>
      </w:r>
      <w:r>
        <w:rPr>
          <w:bCs/>
        </w:rPr>
        <w:t>In its response to the PC’s report, the Government cited the mining boom as having created extraordinary volatility in the GST distribution, resulting in declining community confidence in Australia’s HFE system</w:t>
      </w:r>
      <w:r>
        <w:t>. It said less volatility would be a virtue of the new system.</w:t>
      </w:r>
    </w:p>
  </w:footnote>
  <w:footnote w:id="4">
    <w:p w:rsidR="00F03139" w:rsidRDefault="00F03139" w:rsidP="00AA7224">
      <w:pPr>
        <w:pStyle w:val="FootnoteText"/>
        <w:ind w:left="567" w:hanging="567"/>
      </w:pPr>
      <w:r>
        <w:rPr>
          <w:rStyle w:val="FootnoteReference"/>
        </w:rPr>
        <w:footnoteRef/>
      </w:r>
      <w:r>
        <w:t xml:space="preserve"> </w:t>
      </w:r>
      <w:r>
        <w:tab/>
        <w:t xml:space="preserve">See also Information Paper CGC 2015-07 </w:t>
      </w:r>
      <w:r w:rsidRPr="00007C7A">
        <w:rPr>
          <w:i/>
        </w:rPr>
        <w:t>History of the Mining Assessment</w:t>
      </w:r>
      <w:r>
        <w:t>.</w:t>
      </w:r>
    </w:p>
  </w:footnote>
  <w:footnote w:id="5">
    <w:p w:rsidR="00F03139" w:rsidRDefault="00F03139" w:rsidP="00AA7224">
      <w:pPr>
        <w:pStyle w:val="FootnoteText"/>
        <w:ind w:left="567" w:hanging="567"/>
      </w:pPr>
      <w:r>
        <w:rPr>
          <w:rStyle w:val="FootnoteReference"/>
        </w:rPr>
        <w:footnoteRef/>
      </w:r>
      <w:r>
        <w:t xml:space="preserve"> </w:t>
      </w:r>
      <w:r>
        <w:tab/>
        <w:t>Western Australia noted that for some minerals, there were five examples where a State’s sensitivity to royalty rate changes exceeded 40%. This compares with the average sensitivity to tax rate changes of 5.5%. It identified this as a policy neutrality issue the Commission needed to address.</w:t>
      </w:r>
    </w:p>
  </w:footnote>
  <w:footnote w:id="6">
    <w:p w:rsidR="00F03139" w:rsidRDefault="00F03139" w:rsidP="00AA7224">
      <w:pPr>
        <w:pStyle w:val="FootnoteText"/>
        <w:ind w:left="567" w:hanging="567"/>
      </w:pPr>
      <w:r>
        <w:rPr>
          <w:rStyle w:val="FootnoteReference"/>
        </w:rPr>
        <w:footnoteRef/>
      </w:r>
      <w:r>
        <w:t xml:space="preserve"> </w:t>
      </w:r>
      <w:r>
        <w:tab/>
        <w:t xml:space="preserve">In April 2018, the Commission released a staff research paper, 2018-02-S, </w:t>
      </w:r>
      <w:r>
        <w:rPr>
          <w:i/>
        </w:rPr>
        <w:t>A broader assessment approach</w:t>
      </w:r>
      <w:r>
        <w:t>. The staff conclusions in that paper were that the taxable capacity differences under a global approach were substantially lower than under a tax approach, meaning fiscally weak States would have had to impose taxes and charges at rates above those of fiscally strong States, which would be inconsistent with HFE (as it was understood at the time).</w:t>
      </w:r>
    </w:p>
  </w:footnote>
  <w:footnote w:id="7">
    <w:p w:rsidR="00F03139" w:rsidRDefault="00F03139" w:rsidP="001010FD">
      <w:pPr>
        <w:pStyle w:val="FootnoteText"/>
        <w:ind w:left="567" w:hanging="567"/>
      </w:pPr>
      <w:r>
        <w:rPr>
          <w:rStyle w:val="FootnoteReference"/>
        </w:rPr>
        <w:footnoteRef/>
      </w:r>
      <w:r>
        <w:t xml:space="preserve"> </w:t>
      </w:r>
      <w:r>
        <w:tab/>
        <w:t xml:space="preserve">Op </w:t>
      </w:r>
      <w:proofErr w:type="spellStart"/>
      <w:r>
        <w:t>cit</w:t>
      </w:r>
      <w:proofErr w:type="spellEnd"/>
      <w:r>
        <w:t>, page 210.</w:t>
      </w:r>
    </w:p>
  </w:footnote>
  <w:footnote w:id="8">
    <w:p w:rsidR="00F03139" w:rsidRDefault="00F03139" w:rsidP="00E475AF">
      <w:pPr>
        <w:pStyle w:val="FootnoteText"/>
        <w:ind w:left="567" w:hanging="567"/>
      </w:pPr>
      <w:r>
        <w:rPr>
          <w:rStyle w:val="FootnoteReference"/>
        </w:rPr>
        <w:footnoteRef/>
      </w:r>
      <w:r>
        <w:t xml:space="preserve"> </w:t>
      </w:r>
      <w:r>
        <w:tab/>
        <w:t>Following the 2010 Review, Western Australia changed its royalty rate on iron ore fines (then a low royalty rate mineral). Its changes meant iron ore fines would eventually have the same royalty rate as lump iron ore (a high royalty rate mineral). Western Australia argued that iron ore fines should not be shifted from the low group because to do so would mean its loss in its GST revenue would exceed the increase in its revenue from higher royalty rates. The Commission received terms of reference in the subsequent updates instructing it to leave iron ore fines in the low royalty rate group.</w:t>
      </w:r>
    </w:p>
  </w:footnote>
  <w:footnote w:id="9">
    <w:p w:rsidR="008B3231" w:rsidRDefault="008B3231" w:rsidP="008B3231">
      <w:pPr>
        <w:pStyle w:val="FootnoteText"/>
        <w:ind w:left="567" w:hanging="567"/>
      </w:pPr>
      <w:r>
        <w:rPr>
          <w:rStyle w:val="FootnoteReference"/>
        </w:rPr>
        <w:footnoteRef/>
      </w:r>
      <w:r>
        <w:t xml:space="preserve"> </w:t>
      </w:r>
      <w:r>
        <w:tab/>
        <w:t xml:space="preserve">Currently CSG is assessed with onshore oil and gas and uranium is assessed with other minerals. Under the </w:t>
      </w:r>
      <w:proofErr w:type="gramStart"/>
      <w:r>
        <w:t>two group</w:t>
      </w:r>
      <w:proofErr w:type="gramEnd"/>
      <w:r>
        <w:t xml:space="preserve"> option, </w:t>
      </w:r>
      <w:r w:rsidR="00E4619C">
        <w:t>C</w:t>
      </w:r>
      <w:r>
        <w:t>SG would be assessed in the Major minerals group and uranium in the Other minerals group.</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3139" w:rsidRDefault="00F031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3139" w:rsidRDefault="00F031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CE0303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42A3D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26E6FF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392BDC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120C2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60185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22AB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66E3E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C12848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410451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53D7BB4"/>
    <w:multiLevelType w:val="multilevel"/>
    <w:tmpl w:val="410E2C24"/>
    <w:lvl w:ilvl="0">
      <w:start w:val="1"/>
      <w:numFmt w:val="decimal"/>
      <w:suff w:val="space"/>
      <w:lvlText w:val="Chapter %1"/>
      <w:lvlJc w:val="left"/>
      <w:pPr>
        <w:ind w:left="0" w:firstLine="0"/>
      </w:pPr>
      <w:rPr>
        <w:rFonts w:hint="default"/>
      </w:rPr>
    </w:lvl>
    <w:lvl w:ilvl="1">
      <w:start w:val="1"/>
      <w:numFmt w:val="decimal"/>
      <w:pStyle w:val="CGCNumberedPara"/>
      <w:lvlText w:val="%2"/>
      <w:lvlJc w:val="left"/>
      <w:pPr>
        <w:tabs>
          <w:tab w:val="num" w:pos="567"/>
        </w:tabs>
        <w:ind w:left="567" w:hanging="567"/>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1" w15:restartNumberingAfterBreak="0">
    <w:nsid w:val="317A6023"/>
    <w:multiLevelType w:val="hybridMultilevel"/>
    <w:tmpl w:val="1262912E"/>
    <w:lvl w:ilvl="0" w:tplc="9B9083DC">
      <w:start w:val="1"/>
      <w:numFmt w:val="lowerRoman"/>
      <w:pStyle w:val="CGCNumeralList"/>
      <w:lvlText w:val="%1"/>
      <w:lvlJc w:val="left"/>
      <w:pPr>
        <w:ind w:left="2061"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CDF4199"/>
    <w:multiLevelType w:val="hybridMultilevel"/>
    <w:tmpl w:val="99062688"/>
    <w:lvl w:ilvl="0" w:tplc="F3F48994">
      <w:start w:val="1"/>
      <w:numFmt w:val="bullet"/>
      <w:pStyle w:val="CGCQuotationBullet"/>
      <w:lvlText w:val=""/>
      <w:lvlJc w:val="left"/>
      <w:pPr>
        <w:tabs>
          <w:tab w:val="num" w:pos="1701"/>
        </w:tabs>
        <w:ind w:left="1701" w:hanging="567"/>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D517EA6"/>
    <w:multiLevelType w:val="multilevel"/>
    <w:tmpl w:val="2D22BA72"/>
    <w:lvl w:ilvl="0">
      <w:start w:val="1"/>
      <w:numFmt w:val="bullet"/>
      <w:pStyle w:val="CGCBulletlist"/>
      <w:lvlText w:val=""/>
      <w:lvlJc w:val="left"/>
      <w:pPr>
        <w:tabs>
          <w:tab w:val="num" w:pos="927"/>
        </w:tabs>
        <w:ind w:left="927" w:hanging="360"/>
      </w:pPr>
      <w:rPr>
        <w:rFonts w:ascii="Symbol" w:hAnsi="Symbol" w:hint="default"/>
      </w:rPr>
    </w:lvl>
    <w:lvl w:ilvl="1">
      <w:start w:val="1"/>
      <w:numFmt w:val="lowerLetter"/>
      <w:lvlText w:val="%2)"/>
      <w:lvlJc w:val="left"/>
      <w:pPr>
        <w:tabs>
          <w:tab w:val="num" w:pos="1593"/>
        </w:tabs>
        <w:ind w:left="1593" w:hanging="360"/>
      </w:pPr>
      <w:rPr>
        <w:rFonts w:hint="default"/>
      </w:rPr>
    </w:lvl>
    <w:lvl w:ilvl="2">
      <w:start w:val="1"/>
      <w:numFmt w:val="lowerRoman"/>
      <w:lvlText w:val="%3)"/>
      <w:lvlJc w:val="left"/>
      <w:pPr>
        <w:tabs>
          <w:tab w:val="num" w:pos="1953"/>
        </w:tabs>
        <w:ind w:left="1953" w:hanging="360"/>
      </w:pPr>
      <w:rPr>
        <w:rFonts w:hint="default"/>
      </w:rPr>
    </w:lvl>
    <w:lvl w:ilvl="3">
      <w:start w:val="1"/>
      <w:numFmt w:val="decimal"/>
      <w:lvlText w:val="(%4)"/>
      <w:lvlJc w:val="left"/>
      <w:pPr>
        <w:tabs>
          <w:tab w:val="num" w:pos="2313"/>
        </w:tabs>
        <w:ind w:left="2313" w:hanging="360"/>
      </w:pPr>
      <w:rPr>
        <w:rFonts w:hint="default"/>
      </w:rPr>
    </w:lvl>
    <w:lvl w:ilvl="4">
      <w:start w:val="1"/>
      <w:numFmt w:val="lowerLetter"/>
      <w:lvlText w:val="(%5)"/>
      <w:lvlJc w:val="left"/>
      <w:pPr>
        <w:tabs>
          <w:tab w:val="num" w:pos="2673"/>
        </w:tabs>
        <w:ind w:left="2673" w:hanging="360"/>
      </w:pPr>
      <w:rPr>
        <w:rFonts w:hint="default"/>
      </w:rPr>
    </w:lvl>
    <w:lvl w:ilvl="5">
      <w:start w:val="1"/>
      <w:numFmt w:val="lowerRoman"/>
      <w:lvlText w:val="(%6)"/>
      <w:lvlJc w:val="left"/>
      <w:pPr>
        <w:tabs>
          <w:tab w:val="num" w:pos="3033"/>
        </w:tabs>
        <w:ind w:left="3033" w:hanging="360"/>
      </w:pPr>
      <w:rPr>
        <w:rFonts w:hint="default"/>
      </w:rPr>
    </w:lvl>
    <w:lvl w:ilvl="6">
      <w:start w:val="1"/>
      <w:numFmt w:val="decimal"/>
      <w:lvlText w:val="%7."/>
      <w:lvlJc w:val="left"/>
      <w:pPr>
        <w:tabs>
          <w:tab w:val="num" w:pos="3393"/>
        </w:tabs>
        <w:ind w:left="3393" w:hanging="360"/>
      </w:pPr>
      <w:rPr>
        <w:rFonts w:hint="default"/>
      </w:rPr>
    </w:lvl>
    <w:lvl w:ilvl="7">
      <w:start w:val="1"/>
      <w:numFmt w:val="lowerLetter"/>
      <w:lvlText w:val="%8."/>
      <w:lvlJc w:val="left"/>
      <w:pPr>
        <w:tabs>
          <w:tab w:val="num" w:pos="3753"/>
        </w:tabs>
        <w:ind w:left="3753" w:hanging="360"/>
      </w:pPr>
      <w:rPr>
        <w:rFonts w:hint="default"/>
      </w:rPr>
    </w:lvl>
    <w:lvl w:ilvl="8">
      <w:start w:val="1"/>
      <w:numFmt w:val="lowerRoman"/>
      <w:lvlText w:val="%9."/>
      <w:lvlJc w:val="left"/>
      <w:pPr>
        <w:tabs>
          <w:tab w:val="num" w:pos="4113"/>
        </w:tabs>
        <w:ind w:left="4113" w:hanging="360"/>
      </w:pPr>
      <w:rPr>
        <w:rFonts w:hint="default"/>
      </w:rPr>
    </w:lvl>
  </w:abstractNum>
  <w:abstractNum w:abstractNumId="14" w15:restartNumberingAfterBreak="0">
    <w:nsid w:val="77D62F87"/>
    <w:multiLevelType w:val="hybridMultilevel"/>
    <w:tmpl w:val="E454F9EC"/>
    <w:lvl w:ilvl="0" w:tplc="80F48E56">
      <w:start w:val="1"/>
      <w:numFmt w:val="bullet"/>
      <w:pStyle w:val="CGCSubbulletlist"/>
      <w:lvlText w:val=""/>
      <w:lvlJc w:val="left"/>
      <w:pPr>
        <w:tabs>
          <w:tab w:val="num" w:pos="927"/>
        </w:tabs>
        <w:ind w:left="1134" w:firstLine="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0"/>
  </w:num>
  <w:num w:numId="13">
    <w:abstractNumId w:val="11"/>
  </w:num>
  <w:num w:numId="14">
    <w:abstractNumId w:val="14"/>
  </w:num>
  <w:num w:numId="15">
    <w:abstractNumId w:val="12"/>
  </w:num>
  <w:num w:numId="16">
    <w:abstractNumId w:val="11"/>
    <w:lvlOverride w:ilvl="0">
      <w:startOverride w:val="1"/>
    </w:lvlOverride>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7224"/>
    <w:rsid w:val="00001731"/>
    <w:rsid w:val="00006AD1"/>
    <w:rsid w:val="00055F2A"/>
    <w:rsid w:val="000C2408"/>
    <w:rsid w:val="000C421C"/>
    <w:rsid w:val="000F2950"/>
    <w:rsid w:val="000F6176"/>
    <w:rsid w:val="001010FD"/>
    <w:rsid w:val="00144676"/>
    <w:rsid w:val="00234022"/>
    <w:rsid w:val="002351F8"/>
    <w:rsid w:val="0026552E"/>
    <w:rsid w:val="00266164"/>
    <w:rsid w:val="00267A1A"/>
    <w:rsid w:val="00303A5D"/>
    <w:rsid w:val="003E0C86"/>
    <w:rsid w:val="003F3FED"/>
    <w:rsid w:val="0040562E"/>
    <w:rsid w:val="00410163"/>
    <w:rsid w:val="00430468"/>
    <w:rsid w:val="004574EA"/>
    <w:rsid w:val="0046608D"/>
    <w:rsid w:val="00484FBC"/>
    <w:rsid w:val="00510D7B"/>
    <w:rsid w:val="00512424"/>
    <w:rsid w:val="0059597E"/>
    <w:rsid w:val="005C7087"/>
    <w:rsid w:val="005E04DC"/>
    <w:rsid w:val="005F34A6"/>
    <w:rsid w:val="00611A4F"/>
    <w:rsid w:val="006C65C2"/>
    <w:rsid w:val="0070426D"/>
    <w:rsid w:val="00755205"/>
    <w:rsid w:val="007C4E81"/>
    <w:rsid w:val="007E6A9E"/>
    <w:rsid w:val="0084691C"/>
    <w:rsid w:val="00872071"/>
    <w:rsid w:val="0087230F"/>
    <w:rsid w:val="008B30B2"/>
    <w:rsid w:val="008B3231"/>
    <w:rsid w:val="008B36C2"/>
    <w:rsid w:val="008D4366"/>
    <w:rsid w:val="008E3EA2"/>
    <w:rsid w:val="008E5B5A"/>
    <w:rsid w:val="009844EA"/>
    <w:rsid w:val="00A105E0"/>
    <w:rsid w:val="00A25FA6"/>
    <w:rsid w:val="00A4531C"/>
    <w:rsid w:val="00A7301A"/>
    <w:rsid w:val="00A97D54"/>
    <w:rsid w:val="00AA7224"/>
    <w:rsid w:val="00AD1999"/>
    <w:rsid w:val="00B048AA"/>
    <w:rsid w:val="00B5214A"/>
    <w:rsid w:val="00B61C9C"/>
    <w:rsid w:val="00B97D96"/>
    <w:rsid w:val="00BD1799"/>
    <w:rsid w:val="00BE794D"/>
    <w:rsid w:val="00C31093"/>
    <w:rsid w:val="00C339BE"/>
    <w:rsid w:val="00C34DC6"/>
    <w:rsid w:val="00C43E02"/>
    <w:rsid w:val="00C6481E"/>
    <w:rsid w:val="00C77BD0"/>
    <w:rsid w:val="00CA6840"/>
    <w:rsid w:val="00CE05AE"/>
    <w:rsid w:val="00D26E10"/>
    <w:rsid w:val="00E43FBD"/>
    <w:rsid w:val="00E4619C"/>
    <w:rsid w:val="00E475AF"/>
    <w:rsid w:val="00E8436E"/>
    <w:rsid w:val="00E92226"/>
    <w:rsid w:val="00EE2AF7"/>
    <w:rsid w:val="00F03139"/>
    <w:rsid w:val="00F30E31"/>
    <w:rsid w:val="00F51282"/>
    <w:rsid w:val="00F64736"/>
    <w:rsid w:val="00FA3ECB"/>
    <w:rsid w:val="00FB53BE"/>
    <w:rsid w:val="00FB7F5F"/>
    <w:rsid w:val="00FC7CAF"/>
    <w:rsid w:val="00FD2DF1"/>
    <w:rsid w:val="00FD6209"/>
    <w:rsid w:val="00FE43C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5:docId w15:val="{38080A41-1D4B-489F-A64B-D908592DD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80" w:line="320" w:lineRule="atLeast"/>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794D"/>
    <w:pPr>
      <w:tabs>
        <w:tab w:val="left" w:pos="567"/>
      </w:tabs>
    </w:pPr>
    <w:rPr>
      <w:sz w:val="24"/>
      <w:szCs w:val="24"/>
    </w:rPr>
  </w:style>
  <w:style w:type="paragraph" w:styleId="Heading1">
    <w:name w:val="heading 1"/>
    <w:basedOn w:val="Normal"/>
    <w:next w:val="Heading2"/>
    <w:link w:val="Heading1Char"/>
    <w:qFormat/>
    <w:rsid w:val="000F6176"/>
    <w:pPr>
      <w:keepNext/>
      <w:widowControl w:val="0"/>
      <w:pBdr>
        <w:bottom w:val="single" w:sz="4" w:space="1" w:color="auto"/>
      </w:pBdr>
      <w:spacing w:before="800" w:after="0" w:line="240" w:lineRule="auto"/>
      <w:outlineLvl w:val="0"/>
    </w:pPr>
    <w:rPr>
      <w:rFonts w:eastAsiaTheme="majorEastAsia" w:cstheme="majorBidi"/>
      <w:b/>
      <w:bCs/>
      <w:caps/>
      <w:color w:val="2C8558"/>
      <w:sz w:val="40"/>
      <w:szCs w:val="28"/>
    </w:rPr>
  </w:style>
  <w:style w:type="paragraph" w:styleId="Heading2">
    <w:name w:val="heading 2"/>
    <w:basedOn w:val="Normal"/>
    <w:next w:val="Heading3"/>
    <w:link w:val="Heading2Char"/>
    <w:qFormat/>
    <w:rsid w:val="000F6176"/>
    <w:pPr>
      <w:keepNext/>
      <w:widowControl w:val="0"/>
      <w:spacing w:before="100" w:after="720" w:line="240" w:lineRule="auto"/>
      <w:outlineLvl w:val="1"/>
    </w:pPr>
    <w:rPr>
      <w:rFonts w:eastAsiaTheme="majorEastAsia" w:cstheme="majorBidi"/>
      <w:b/>
      <w:bCs/>
      <w:caps/>
      <w:color w:val="2C8558"/>
      <w:sz w:val="40"/>
      <w:szCs w:val="26"/>
    </w:rPr>
  </w:style>
  <w:style w:type="paragraph" w:styleId="Heading3">
    <w:name w:val="heading 3"/>
    <w:basedOn w:val="Normal"/>
    <w:next w:val="Heading4"/>
    <w:link w:val="Heading3Char"/>
    <w:qFormat/>
    <w:rsid w:val="00BD1799"/>
    <w:pPr>
      <w:keepNext/>
      <w:widowControl w:val="0"/>
      <w:spacing w:before="600" w:after="200" w:line="240" w:lineRule="auto"/>
      <w:outlineLvl w:val="2"/>
    </w:pPr>
    <w:rPr>
      <w:rFonts w:eastAsiaTheme="majorEastAsia" w:cstheme="majorBidi"/>
      <w:b/>
      <w:bCs/>
      <w:caps/>
      <w:color w:val="2C8558"/>
      <w:sz w:val="32"/>
    </w:rPr>
  </w:style>
  <w:style w:type="paragraph" w:styleId="Heading4">
    <w:name w:val="heading 4"/>
    <w:basedOn w:val="Normal"/>
    <w:next w:val="Heading5"/>
    <w:link w:val="Heading4Char"/>
    <w:qFormat/>
    <w:rsid w:val="00BD1799"/>
    <w:pPr>
      <w:keepNext/>
      <w:widowControl w:val="0"/>
      <w:spacing w:before="300" w:after="40" w:line="240" w:lineRule="auto"/>
      <w:outlineLvl w:val="3"/>
    </w:pPr>
    <w:rPr>
      <w:rFonts w:eastAsiaTheme="majorEastAsia" w:cstheme="majorBidi"/>
      <w:b/>
      <w:bCs/>
      <w:iCs/>
      <w:color w:val="2C8558"/>
      <w:sz w:val="32"/>
    </w:rPr>
  </w:style>
  <w:style w:type="paragraph" w:styleId="Heading5">
    <w:name w:val="heading 5"/>
    <w:basedOn w:val="Normal"/>
    <w:next w:val="Heading6"/>
    <w:link w:val="Heading5Char"/>
    <w:uiPriority w:val="9"/>
    <w:qFormat/>
    <w:rsid w:val="00BD1799"/>
    <w:pPr>
      <w:keepNext/>
      <w:tabs>
        <w:tab w:val="clear" w:pos="567"/>
      </w:tabs>
      <w:spacing w:before="300" w:after="40" w:line="240" w:lineRule="auto"/>
      <w:outlineLvl w:val="4"/>
    </w:pPr>
    <w:rPr>
      <w:rFonts w:eastAsiaTheme="majorEastAsia" w:cstheme="majorBidi"/>
      <w:b/>
      <w:i/>
      <w:color w:val="2C8558"/>
      <w:sz w:val="28"/>
    </w:rPr>
  </w:style>
  <w:style w:type="paragraph" w:styleId="Heading6">
    <w:name w:val="heading 6"/>
    <w:basedOn w:val="Normal"/>
    <w:next w:val="Normal"/>
    <w:link w:val="Heading6Char"/>
    <w:uiPriority w:val="9"/>
    <w:qFormat/>
    <w:rsid w:val="00AD1999"/>
    <w:pPr>
      <w:keepNext/>
      <w:keepLines/>
      <w:spacing w:before="120"/>
      <w:outlineLvl w:val="5"/>
    </w:pPr>
    <w:rPr>
      <w:rFonts w:eastAsiaTheme="majorEastAsia" w:cstheme="majorBidi"/>
      <w:b/>
      <w:i/>
      <w:iCs/>
      <w:color w:val="2C8558"/>
      <w:sz w:val="28"/>
    </w:rPr>
  </w:style>
  <w:style w:type="paragraph" w:styleId="Heading7">
    <w:name w:val="heading 7"/>
    <w:basedOn w:val="Normal"/>
    <w:next w:val="Normal"/>
    <w:link w:val="Heading7Char"/>
    <w:uiPriority w:val="9"/>
    <w:semiHidden/>
    <w:rsid w:val="00001731"/>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484FBC"/>
    <w:rPr>
      <w:rFonts w:eastAsiaTheme="majorEastAsia" w:cstheme="majorBidi"/>
      <w:b/>
      <w:i/>
      <w:iCs/>
      <w:color w:val="2C8558"/>
      <w:sz w:val="28"/>
    </w:rPr>
  </w:style>
  <w:style w:type="character" w:customStyle="1" w:styleId="Heading1Char">
    <w:name w:val="Heading 1 Char"/>
    <w:basedOn w:val="DefaultParagraphFont"/>
    <w:link w:val="Heading1"/>
    <w:rsid w:val="000F6176"/>
    <w:rPr>
      <w:rFonts w:eastAsiaTheme="majorEastAsia" w:cstheme="majorBidi"/>
      <w:b/>
      <w:bCs/>
      <w:caps/>
      <w:color w:val="2C8558"/>
      <w:sz w:val="40"/>
      <w:szCs w:val="28"/>
    </w:rPr>
  </w:style>
  <w:style w:type="character" w:customStyle="1" w:styleId="Heading7Char">
    <w:name w:val="Heading 7 Char"/>
    <w:basedOn w:val="DefaultParagraphFont"/>
    <w:link w:val="Heading7"/>
    <w:uiPriority w:val="9"/>
    <w:semiHidden/>
    <w:rsid w:val="00001731"/>
    <w:rPr>
      <w:rFonts w:asciiTheme="majorHAnsi" w:eastAsiaTheme="majorEastAsia" w:hAnsiTheme="majorHAnsi" w:cstheme="majorBidi"/>
      <w:i/>
      <w:iCs/>
      <w:color w:val="404040" w:themeColor="text1" w:themeTint="BF"/>
      <w:sz w:val="24"/>
    </w:rPr>
  </w:style>
  <w:style w:type="character" w:customStyle="1" w:styleId="Heading2Char">
    <w:name w:val="Heading 2 Char"/>
    <w:basedOn w:val="DefaultParagraphFont"/>
    <w:link w:val="Heading2"/>
    <w:rsid w:val="000F6176"/>
    <w:rPr>
      <w:rFonts w:eastAsiaTheme="majorEastAsia" w:cstheme="majorBidi"/>
      <w:b/>
      <w:bCs/>
      <w:caps/>
      <w:color w:val="2C8558"/>
      <w:sz w:val="40"/>
      <w:szCs w:val="26"/>
    </w:rPr>
  </w:style>
  <w:style w:type="character" w:customStyle="1" w:styleId="Heading3Char">
    <w:name w:val="Heading 3 Char"/>
    <w:basedOn w:val="DefaultParagraphFont"/>
    <w:link w:val="Heading3"/>
    <w:rsid w:val="00484FBC"/>
    <w:rPr>
      <w:rFonts w:eastAsiaTheme="majorEastAsia" w:cstheme="majorBidi"/>
      <w:b/>
      <w:bCs/>
      <w:caps/>
      <w:color w:val="2C8558"/>
      <w:sz w:val="32"/>
    </w:rPr>
  </w:style>
  <w:style w:type="character" w:customStyle="1" w:styleId="Heading4Char">
    <w:name w:val="Heading 4 Char"/>
    <w:basedOn w:val="DefaultParagraphFont"/>
    <w:link w:val="Heading4"/>
    <w:rsid w:val="00484FBC"/>
    <w:rPr>
      <w:rFonts w:eastAsiaTheme="majorEastAsia" w:cstheme="majorBidi"/>
      <w:b/>
      <w:bCs/>
      <w:iCs/>
      <w:color w:val="2C8558"/>
      <w:sz w:val="32"/>
    </w:rPr>
  </w:style>
  <w:style w:type="character" w:customStyle="1" w:styleId="Heading5Char">
    <w:name w:val="Heading 5 Char"/>
    <w:basedOn w:val="DefaultParagraphFont"/>
    <w:link w:val="Heading5"/>
    <w:uiPriority w:val="9"/>
    <w:rsid w:val="00484FBC"/>
    <w:rPr>
      <w:rFonts w:eastAsiaTheme="majorEastAsia" w:cstheme="majorBidi"/>
      <w:b/>
      <w:i/>
      <w:color w:val="2C8558"/>
      <w:sz w:val="28"/>
    </w:rPr>
  </w:style>
  <w:style w:type="paragraph" w:customStyle="1" w:styleId="CGCBulletlist">
    <w:name w:val="CGC Bullet list"/>
    <w:aliases w:val="CGC List 1"/>
    <w:basedOn w:val="Normal"/>
    <w:qFormat/>
    <w:rsid w:val="00F51282"/>
    <w:pPr>
      <w:numPr>
        <w:numId w:val="11"/>
      </w:numPr>
      <w:tabs>
        <w:tab w:val="clear" w:pos="567"/>
        <w:tab w:val="clear" w:pos="927"/>
        <w:tab w:val="left" w:pos="1134"/>
      </w:tabs>
      <w:spacing w:before="80" w:line="300" w:lineRule="atLeast"/>
      <w:ind w:left="1134" w:hanging="567"/>
    </w:pPr>
    <w:rPr>
      <w:szCs w:val="20"/>
    </w:rPr>
  </w:style>
  <w:style w:type="paragraph" w:customStyle="1" w:styleId="CGCNumberedPara">
    <w:name w:val="CGC Numbered Para"/>
    <w:aliases w:val="CGC Para No"/>
    <w:basedOn w:val="Normal"/>
    <w:qFormat/>
    <w:rsid w:val="00CE05AE"/>
    <w:pPr>
      <w:numPr>
        <w:ilvl w:val="1"/>
        <w:numId w:val="12"/>
      </w:numPr>
      <w:spacing w:before="120"/>
    </w:pPr>
  </w:style>
  <w:style w:type="paragraph" w:customStyle="1" w:styleId="CGCTableFootnote">
    <w:name w:val="CGC Table Footnote"/>
    <w:basedOn w:val="CGCNumberedPara"/>
    <w:next w:val="NoSpacing"/>
    <w:qFormat/>
    <w:rsid w:val="00CE05AE"/>
    <w:pPr>
      <w:numPr>
        <w:ilvl w:val="0"/>
        <w:numId w:val="0"/>
      </w:numPr>
      <w:tabs>
        <w:tab w:val="left" w:pos="851"/>
      </w:tabs>
      <w:spacing w:before="0" w:after="0" w:line="240" w:lineRule="auto"/>
      <w:ind w:left="851" w:hanging="851"/>
    </w:pPr>
    <w:rPr>
      <w:sz w:val="20"/>
    </w:rPr>
  </w:style>
  <w:style w:type="paragraph" w:styleId="NoSpacing">
    <w:name w:val="No Spacing"/>
    <w:uiPriority w:val="1"/>
    <w:qFormat/>
    <w:rsid w:val="00CE05AE"/>
    <w:pPr>
      <w:tabs>
        <w:tab w:val="left" w:pos="567"/>
      </w:tabs>
      <w:spacing w:after="0" w:line="240" w:lineRule="auto"/>
    </w:pPr>
    <w:rPr>
      <w:sz w:val="24"/>
    </w:rPr>
  </w:style>
  <w:style w:type="paragraph" w:customStyle="1" w:styleId="CGCDataCaption">
    <w:name w:val="CGC Data Caption"/>
    <w:basedOn w:val="CGCTableFootnote"/>
    <w:next w:val="NoSpacing"/>
    <w:link w:val="DataCaptionChar"/>
    <w:qFormat/>
    <w:rsid w:val="00CE05AE"/>
  </w:style>
  <w:style w:type="character" w:customStyle="1" w:styleId="DataCaptionChar">
    <w:name w:val="Data Caption Char"/>
    <w:basedOn w:val="DefaultParagraphFont"/>
    <w:link w:val="CGCDataCaption"/>
    <w:rsid w:val="00CE05AE"/>
    <w:rPr>
      <w:sz w:val="20"/>
      <w:szCs w:val="24"/>
    </w:rPr>
  </w:style>
  <w:style w:type="paragraph" w:customStyle="1" w:styleId="CGCNumeralList">
    <w:name w:val="CGC Numeral List"/>
    <w:aliases w:val="CGC List 3"/>
    <w:basedOn w:val="Normal"/>
    <w:qFormat/>
    <w:rsid w:val="00CE05AE"/>
    <w:pPr>
      <w:numPr>
        <w:numId w:val="13"/>
      </w:numPr>
      <w:tabs>
        <w:tab w:val="clear" w:pos="567"/>
      </w:tabs>
      <w:spacing w:line="300" w:lineRule="atLeast"/>
    </w:pPr>
    <w:rPr>
      <w:szCs w:val="20"/>
    </w:rPr>
  </w:style>
  <w:style w:type="paragraph" w:customStyle="1" w:styleId="CGCQuotation">
    <w:name w:val="CGC Quotation"/>
    <w:basedOn w:val="Normal"/>
    <w:next w:val="CGCNumberedPara"/>
    <w:rsid w:val="00CE05AE"/>
    <w:pPr>
      <w:tabs>
        <w:tab w:val="clear" w:pos="567"/>
      </w:tabs>
      <w:spacing w:before="120" w:after="120" w:line="240" w:lineRule="auto"/>
      <w:ind w:left="1134" w:right="1134"/>
    </w:pPr>
    <w:rPr>
      <w:sz w:val="22"/>
    </w:rPr>
  </w:style>
  <w:style w:type="paragraph" w:customStyle="1" w:styleId="CGCSubbulletlist">
    <w:name w:val="CGC Sub bullet list"/>
    <w:aliases w:val="CGC List 2"/>
    <w:basedOn w:val="Normal"/>
    <w:qFormat/>
    <w:rsid w:val="000C2408"/>
    <w:pPr>
      <w:numPr>
        <w:numId w:val="14"/>
      </w:numPr>
      <w:tabs>
        <w:tab w:val="clear" w:pos="567"/>
        <w:tab w:val="left" w:pos="1701"/>
      </w:tabs>
      <w:spacing w:line="300" w:lineRule="atLeast"/>
      <w:ind w:left="1701" w:hanging="567"/>
    </w:pPr>
    <w:rPr>
      <w:szCs w:val="20"/>
    </w:rPr>
  </w:style>
  <w:style w:type="paragraph" w:customStyle="1" w:styleId="CGCQuotationBullet">
    <w:name w:val="CGC Quotation Bullet"/>
    <w:basedOn w:val="CGCSubbulletlist"/>
    <w:rsid w:val="00CE05AE"/>
    <w:pPr>
      <w:numPr>
        <w:numId w:val="15"/>
      </w:numPr>
      <w:ind w:right="1134"/>
    </w:pPr>
    <w:rPr>
      <w:sz w:val="22"/>
    </w:rPr>
  </w:style>
  <w:style w:type="paragraph" w:customStyle="1" w:styleId="CGCTableHeading">
    <w:name w:val="CGC Table Heading"/>
    <w:basedOn w:val="Normal"/>
    <w:next w:val="Normal"/>
    <w:qFormat/>
    <w:rsid w:val="00CE05AE"/>
    <w:pPr>
      <w:keepNext/>
      <w:keepLines/>
      <w:tabs>
        <w:tab w:val="clear" w:pos="567"/>
        <w:tab w:val="left" w:pos="1420"/>
      </w:tabs>
      <w:spacing w:before="240" w:after="120" w:line="240" w:lineRule="auto"/>
      <w:ind w:left="1418" w:hanging="1418"/>
    </w:pPr>
    <w:rPr>
      <w:b/>
      <w:szCs w:val="20"/>
    </w:rPr>
  </w:style>
  <w:style w:type="paragraph" w:customStyle="1" w:styleId="CGCTableStub">
    <w:name w:val="CGC Table Stub"/>
    <w:basedOn w:val="Normal"/>
    <w:rsid w:val="00CE05AE"/>
    <w:pPr>
      <w:keepNext/>
      <w:keepLines/>
      <w:tabs>
        <w:tab w:val="left" w:pos="284"/>
      </w:tabs>
      <w:spacing w:before="60" w:after="60" w:line="200" w:lineRule="atLeast"/>
    </w:pPr>
    <w:rPr>
      <w:sz w:val="20"/>
      <w:szCs w:val="20"/>
    </w:rPr>
  </w:style>
  <w:style w:type="paragraph" w:styleId="Header">
    <w:name w:val="header"/>
    <w:basedOn w:val="Normal"/>
    <w:link w:val="HeaderChar"/>
    <w:unhideWhenUsed/>
    <w:rsid w:val="00410163"/>
    <w:pPr>
      <w:tabs>
        <w:tab w:val="clear" w:pos="567"/>
        <w:tab w:val="center" w:pos="4513"/>
        <w:tab w:val="right" w:pos="9026"/>
      </w:tabs>
      <w:spacing w:after="0" w:line="240" w:lineRule="auto"/>
    </w:pPr>
  </w:style>
  <w:style w:type="character" w:customStyle="1" w:styleId="HeaderChar">
    <w:name w:val="Header Char"/>
    <w:basedOn w:val="DefaultParagraphFont"/>
    <w:link w:val="Header"/>
    <w:rsid w:val="00410163"/>
    <w:rPr>
      <w:sz w:val="24"/>
    </w:rPr>
  </w:style>
  <w:style w:type="paragraph" w:styleId="Footer">
    <w:name w:val="footer"/>
    <w:basedOn w:val="Normal"/>
    <w:link w:val="FooterChar"/>
    <w:uiPriority w:val="99"/>
    <w:unhideWhenUsed/>
    <w:rsid w:val="00410163"/>
    <w:pPr>
      <w:tabs>
        <w:tab w:val="clear" w:pos="567"/>
        <w:tab w:val="center" w:pos="4513"/>
        <w:tab w:val="right" w:pos="9026"/>
      </w:tabs>
      <w:spacing w:after="0" w:line="240" w:lineRule="auto"/>
    </w:pPr>
  </w:style>
  <w:style w:type="character" w:customStyle="1" w:styleId="FooterChar">
    <w:name w:val="Footer Char"/>
    <w:basedOn w:val="DefaultParagraphFont"/>
    <w:link w:val="Footer"/>
    <w:uiPriority w:val="99"/>
    <w:rsid w:val="00410163"/>
    <w:rPr>
      <w:sz w:val="24"/>
    </w:rPr>
  </w:style>
  <w:style w:type="paragraph" w:styleId="BalloonText">
    <w:name w:val="Balloon Text"/>
    <w:basedOn w:val="Normal"/>
    <w:link w:val="BalloonTextChar"/>
    <w:uiPriority w:val="99"/>
    <w:semiHidden/>
    <w:unhideWhenUsed/>
    <w:rsid w:val="004101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0163"/>
    <w:rPr>
      <w:rFonts w:ascii="Tahoma" w:hAnsi="Tahoma" w:cs="Tahoma"/>
      <w:sz w:val="16"/>
      <w:szCs w:val="16"/>
    </w:rPr>
  </w:style>
  <w:style w:type="paragraph" w:styleId="ListParagraph">
    <w:name w:val="List Paragraph"/>
    <w:basedOn w:val="Normal"/>
    <w:uiPriority w:val="34"/>
    <w:qFormat/>
    <w:rsid w:val="00872071"/>
    <w:pPr>
      <w:tabs>
        <w:tab w:val="clear" w:pos="567"/>
      </w:tabs>
      <w:spacing w:line="300" w:lineRule="atLeast"/>
      <w:ind w:left="1134"/>
    </w:pPr>
  </w:style>
  <w:style w:type="character" w:styleId="Hyperlink">
    <w:name w:val="Hyperlink"/>
    <w:basedOn w:val="DefaultParagraphFont"/>
    <w:uiPriority w:val="99"/>
    <w:rsid w:val="00BE794D"/>
    <w:rPr>
      <w:color w:val="0000FF"/>
      <w:u w:val="single"/>
    </w:rPr>
  </w:style>
  <w:style w:type="table" w:styleId="TableGrid">
    <w:name w:val="Table Grid"/>
    <w:basedOn w:val="TableNormal"/>
    <w:rsid w:val="00BE794D"/>
    <w:pPr>
      <w:tabs>
        <w:tab w:val="left" w:pos="1418"/>
        <w:tab w:val="left" w:pos="2268"/>
        <w:tab w:val="left" w:pos="2835"/>
      </w:tab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nhideWhenUsed/>
    <w:rsid w:val="00AA7224"/>
    <w:pPr>
      <w:spacing w:after="0" w:line="240" w:lineRule="auto"/>
    </w:pPr>
    <w:rPr>
      <w:sz w:val="20"/>
      <w:szCs w:val="20"/>
    </w:rPr>
  </w:style>
  <w:style w:type="character" w:customStyle="1" w:styleId="FootnoteTextChar">
    <w:name w:val="Footnote Text Char"/>
    <w:basedOn w:val="DefaultParagraphFont"/>
    <w:link w:val="FootnoteText"/>
    <w:rsid w:val="00AA7224"/>
    <w:rPr>
      <w:sz w:val="20"/>
      <w:szCs w:val="20"/>
    </w:rPr>
  </w:style>
  <w:style w:type="character" w:styleId="FootnoteReference">
    <w:name w:val="footnote reference"/>
    <w:basedOn w:val="DefaultParagraphFont"/>
    <w:uiPriority w:val="99"/>
    <w:semiHidden/>
    <w:unhideWhenUsed/>
    <w:rsid w:val="00AA7224"/>
    <w:rPr>
      <w:vertAlign w:val="superscript"/>
    </w:rPr>
  </w:style>
  <w:style w:type="paragraph" w:customStyle="1" w:styleId="TableRowNormal">
    <w:name w:val="TableRowNormal"/>
    <w:basedOn w:val="Normal"/>
    <w:rsid w:val="00E475AF"/>
    <w:pPr>
      <w:keepNext/>
      <w:keepLines/>
      <w:tabs>
        <w:tab w:val="left" w:pos="475"/>
        <w:tab w:val="left" w:pos="1440"/>
        <w:tab w:val="left" w:pos="2160"/>
        <w:tab w:val="left" w:pos="2880"/>
      </w:tabs>
      <w:spacing w:before="60" w:after="60" w:line="200" w:lineRule="atLeast"/>
      <w:ind w:left="144" w:hanging="144"/>
      <w:jc w:val="right"/>
    </w:pPr>
    <w:rPr>
      <w:sz w:val="20"/>
      <w:szCs w:val="20"/>
    </w:rPr>
  </w:style>
  <w:style w:type="paragraph" w:customStyle="1" w:styleId="TableColHeadings">
    <w:name w:val="TableColHeadings"/>
    <w:basedOn w:val="Normal"/>
    <w:rsid w:val="00E475AF"/>
    <w:pPr>
      <w:keepNext/>
      <w:keepLines/>
      <w:tabs>
        <w:tab w:val="left" w:pos="475"/>
        <w:tab w:val="left" w:pos="1440"/>
        <w:tab w:val="left" w:pos="2160"/>
        <w:tab w:val="left" w:pos="2880"/>
      </w:tabs>
      <w:spacing w:before="60" w:after="60" w:line="240" w:lineRule="auto"/>
      <w:jc w:val="right"/>
    </w:pPr>
    <w:rPr>
      <w:sz w:val="20"/>
      <w:szCs w:val="20"/>
    </w:rPr>
  </w:style>
  <w:style w:type="paragraph" w:styleId="TOC1">
    <w:name w:val="toc 1"/>
    <w:basedOn w:val="Normal"/>
    <w:next w:val="Normal"/>
    <w:autoRedefine/>
    <w:uiPriority w:val="39"/>
    <w:unhideWhenUsed/>
    <w:rsid w:val="00A105E0"/>
    <w:pPr>
      <w:tabs>
        <w:tab w:val="clear" w:pos="567"/>
      </w:tabs>
      <w:spacing w:after="100"/>
    </w:pPr>
  </w:style>
  <w:style w:type="paragraph" w:styleId="TOC3">
    <w:name w:val="toc 3"/>
    <w:basedOn w:val="Normal"/>
    <w:next w:val="Normal"/>
    <w:autoRedefine/>
    <w:uiPriority w:val="39"/>
    <w:unhideWhenUsed/>
    <w:rsid w:val="00A105E0"/>
    <w:pPr>
      <w:tabs>
        <w:tab w:val="clear" w:pos="567"/>
      </w:tabs>
      <w:spacing w:after="100"/>
      <w:ind w:left="480"/>
    </w:pPr>
  </w:style>
  <w:style w:type="paragraph" w:styleId="TOC2">
    <w:name w:val="toc 2"/>
    <w:basedOn w:val="Normal"/>
    <w:next w:val="Normal"/>
    <w:autoRedefine/>
    <w:uiPriority w:val="39"/>
    <w:semiHidden/>
    <w:unhideWhenUsed/>
    <w:rsid w:val="00A105E0"/>
    <w:pPr>
      <w:tabs>
        <w:tab w:val="clear" w:pos="567"/>
      </w:tabs>
      <w:spacing w:after="100"/>
      <w:ind w:left="240"/>
    </w:pPr>
  </w:style>
  <w:style w:type="paragraph" w:styleId="TOC4">
    <w:name w:val="toc 4"/>
    <w:basedOn w:val="Normal"/>
    <w:next w:val="Normal"/>
    <w:autoRedefine/>
    <w:uiPriority w:val="39"/>
    <w:semiHidden/>
    <w:unhideWhenUsed/>
    <w:rsid w:val="00A105E0"/>
    <w:pPr>
      <w:tabs>
        <w:tab w:val="clear" w:pos="567"/>
      </w:tabs>
      <w:spacing w:after="100"/>
      <w:ind w:left="720"/>
    </w:pPr>
  </w:style>
  <w:style w:type="paragraph" w:styleId="TOC5">
    <w:name w:val="toc 5"/>
    <w:basedOn w:val="Normal"/>
    <w:next w:val="Normal"/>
    <w:autoRedefine/>
    <w:uiPriority w:val="39"/>
    <w:semiHidden/>
    <w:unhideWhenUsed/>
    <w:rsid w:val="00A105E0"/>
    <w:pPr>
      <w:tabs>
        <w:tab w:val="clear" w:pos="567"/>
      </w:tabs>
      <w:spacing w:after="100"/>
      <w:ind w:left="960"/>
    </w:pPr>
  </w:style>
  <w:style w:type="paragraph" w:styleId="TOC6">
    <w:name w:val="toc 6"/>
    <w:basedOn w:val="Normal"/>
    <w:next w:val="Normal"/>
    <w:autoRedefine/>
    <w:uiPriority w:val="39"/>
    <w:semiHidden/>
    <w:unhideWhenUsed/>
    <w:rsid w:val="00A105E0"/>
    <w:pPr>
      <w:tabs>
        <w:tab w:val="clear" w:pos="567"/>
      </w:tabs>
      <w:spacing w:after="100"/>
      <w:ind w:left="1200"/>
    </w:pPr>
  </w:style>
  <w:style w:type="paragraph" w:styleId="TOC7">
    <w:name w:val="toc 7"/>
    <w:basedOn w:val="Normal"/>
    <w:next w:val="Normal"/>
    <w:autoRedefine/>
    <w:uiPriority w:val="39"/>
    <w:semiHidden/>
    <w:unhideWhenUsed/>
    <w:rsid w:val="00A105E0"/>
    <w:pPr>
      <w:tabs>
        <w:tab w:val="clear" w:pos="567"/>
      </w:tabs>
      <w:spacing w:after="100"/>
      <w:ind w:left="1440"/>
    </w:pPr>
  </w:style>
  <w:style w:type="paragraph" w:styleId="TOC8">
    <w:name w:val="toc 8"/>
    <w:basedOn w:val="Normal"/>
    <w:next w:val="Normal"/>
    <w:autoRedefine/>
    <w:uiPriority w:val="39"/>
    <w:semiHidden/>
    <w:unhideWhenUsed/>
    <w:rsid w:val="00A105E0"/>
    <w:pPr>
      <w:tabs>
        <w:tab w:val="clear" w:pos="567"/>
      </w:tabs>
      <w:spacing w:after="100"/>
      <w:ind w:left="1680"/>
    </w:pPr>
  </w:style>
  <w:style w:type="paragraph" w:styleId="TOC9">
    <w:name w:val="toc 9"/>
    <w:basedOn w:val="Normal"/>
    <w:next w:val="Normal"/>
    <w:autoRedefine/>
    <w:uiPriority w:val="39"/>
    <w:semiHidden/>
    <w:unhideWhenUsed/>
    <w:rsid w:val="00A105E0"/>
    <w:pPr>
      <w:tabs>
        <w:tab w:val="clear" w:pos="567"/>
      </w:tabs>
      <w:spacing w:after="100"/>
      <w:ind w:left="1920"/>
    </w:pPr>
  </w:style>
  <w:style w:type="paragraph" w:customStyle="1" w:styleId="Single">
    <w:name w:val="Single"/>
    <w:basedOn w:val="Normal"/>
    <w:next w:val="CGCNumberedPara"/>
    <w:rsid w:val="00A4531C"/>
    <w:pPr>
      <w:spacing w:after="0" w:line="240" w:lineRule="auto"/>
    </w:pPr>
    <w:rPr>
      <w:rFonts w:ascii="Times New Roman" w:eastAsia="Times New Roman" w:hAnsi="Times New Roman"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9446113">
      <w:bodyDiv w:val="1"/>
      <w:marLeft w:val="0"/>
      <w:marRight w:val="0"/>
      <w:marTop w:val="0"/>
      <w:marBottom w:val="0"/>
      <w:divBdr>
        <w:top w:val="none" w:sz="0" w:space="0" w:color="auto"/>
        <w:left w:val="none" w:sz="0" w:space="0" w:color="auto"/>
        <w:bottom w:val="none" w:sz="0" w:space="0" w:color="auto"/>
        <w:right w:val="none" w:sz="0" w:space="0" w:color="auto"/>
      </w:divBdr>
    </w:div>
    <w:div w:id="708990743">
      <w:bodyDiv w:val="1"/>
      <w:marLeft w:val="0"/>
      <w:marRight w:val="0"/>
      <w:marTop w:val="0"/>
      <w:marBottom w:val="0"/>
      <w:divBdr>
        <w:top w:val="none" w:sz="0" w:space="0" w:color="auto"/>
        <w:left w:val="none" w:sz="0" w:space="0" w:color="auto"/>
        <w:bottom w:val="none" w:sz="0" w:space="0" w:color="auto"/>
        <w:right w:val="none" w:sz="0" w:space="0" w:color="auto"/>
      </w:divBdr>
    </w:div>
    <w:div w:id="1857378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secretary@cgc.gov.au"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ermot.Doherty@cgc.gov.au"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footer" Target="footer2.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creativecommons.org/licenses/by/3.0"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gcfs\ODrive\Word%20Templates\Official%20Template\Document%20Templates\Discussion%20Pap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3495E9-2D41-4FC7-BBD5-AEB7F92CD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Discussion Paper.dotx</Template>
  <TotalTime>1446</TotalTime>
  <Pages>12</Pages>
  <Words>3194</Words>
  <Characters>18212</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21364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Dermot Doherty</dc:creator>
  <cp:lastModifiedBy>Jenny Connolly</cp:lastModifiedBy>
  <cp:revision>42</cp:revision>
  <cp:lastPrinted>2018-11-15T23:13:00Z</cp:lastPrinted>
  <dcterms:created xsi:type="dcterms:W3CDTF">2018-11-01T23:28:00Z</dcterms:created>
  <dcterms:modified xsi:type="dcterms:W3CDTF">2018-11-15T23:13:00Z</dcterms:modified>
</cp:coreProperties>
</file>